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sz w:val="22"/>
          <w:szCs w:val="22"/>
          <w:rtl w:val="0"/>
        </w:rPr>
        <w:t xml:space="preserve">catorce de mayo del dos mil veinticinco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02">
      <w:pPr>
        <w:tabs>
          <w:tab w:val="left" w:leader="none" w:pos="5812"/>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sz w:val="22"/>
          <w:szCs w:val="22"/>
          <w:rtl w:val="0"/>
        </w:rPr>
        <w:t xml:space="preserve">02444/INFOEM/IP/RR/2025</w:t>
      </w:r>
      <w:r w:rsidDel="00000000" w:rsidR="00000000" w:rsidRPr="00000000">
        <w:rPr>
          <w:rFonts w:ascii="Palatino Linotype" w:cs="Palatino Linotype" w:eastAsia="Palatino Linotype" w:hAnsi="Palatino Linotype"/>
          <w:sz w:val="22"/>
          <w:szCs w:val="22"/>
          <w:rtl w:val="0"/>
        </w:rPr>
        <w:t xml:space="preserve">, interpuesto por</w:t>
      </w:r>
      <w:r w:rsidDel="00000000" w:rsidR="00000000" w:rsidRPr="00000000">
        <w:rPr>
          <w:rFonts w:ascii="Palatino Linotype" w:cs="Palatino Linotype" w:eastAsia="Palatino Linotype" w:hAnsi="Palatino Linotype"/>
          <w:b w:val="1"/>
          <w:sz w:val="22"/>
          <w:szCs w:val="22"/>
          <w:rtl w:val="0"/>
        </w:rPr>
        <w:t xml:space="preserve"> XXXXXX,</w:t>
      </w:r>
      <w:r w:rsidDel="00000000" w:rsidR="00000000" w:rsidRPr="00000000">
        <w:rPr>
          <w:rFonts w:ascii="Palatino Linotype" w:cs="Palatino Linotype" w:eastAsia="Palatino Linotype" w:hAnsi="Palatino Linotype"/>
          <w:sz w:val="22"/>
          <w:szCs w:val="22"/>
          <w:rtl w:val="0"/>
        </w:rPr>
        <w:t xml:space="preserve"> en lo sucesivo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la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00012/OASTOL/IP/2025, </w:t>
      </w:r>
      <w:r w:rsidDel="00000000" w:rsidR="00000000" w:rsidRPr="00000000">
        <w:rPr>
          <w:rFonts w:ascii="Palatino Linotype" w:cs="Palatino Linotype" w:eastAsia="Palatino Linotype" w:hAnsi="Palatino Linotype"/>
          <w:sz w:val="22"/>
          <w:szCs w:val="22"/>
          <w:rtl w:val="0"/>
        </w:rPr>
        <w:t xml:space="preserve">por parte del </w:t>
      </w:r>
      <w:r w:rsidDel="00000000" w:rsidR="00000000" w:rsidRPr="00000000">
        <w:rPr>
          <w:rFonts w:ascii="Palatino Linotype" w:cs="Palatino Linotype" w:eastAsia="Palatino Linotype" w:hAnsi="Palatino Linotype"/>
          <w:b w:val="1"/>
          <w:sz w:val="22"/>
          <w:szCs w:val="22"/>
          <w:rtl w:val="0"/>
        </w:rPr>
        <w:t xml:space="preserve">Organismo Agua y Saneamiento de Toluca,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sz w:val="22"/>
          <w:szCs w:val="22"/>
        </w:rPr>
      </w:pPr>
      <w:bookmarkStart w:colFirst="0" w:colLast="0" w:name="_heading=h.4d34og8" w:id="0"/>
      <w:bookmarkEnd w:id="0"/>
      <w:r w:rsidDel="00000000" w:rsidR="00000000" w:rsidRPr="00000000">
        <w:rPr>
          <w:rFonts w:ascii="Palatino Linotype" w:cs="Palatino Linotype" w:eastAsia="Palatino Linotype" w:hAnsi="Palatino Linotype"/>
          <w:b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veintisiete de enero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mediante la cual requirió la información siguiente: </w:t>
      </w:r>
    </w:p>
    <w:p w:rsidR="00000000" w:rsidDel="00000000" w:rsidP="00000000" w:rsidRDefault="00000000" w:rsidRPr="00000000" w14:paraId="00000005">
      <w:pPr>
        <w:spacing w:after="120" w:before="120" w:lineRule="auto"/>
        <w:ind w:left="851" w:right="616" w:firstLine="0"/>
        <w:jc w:val="both"/>
        <w:rPr>
          <w:rFonts w:ascii="Palatino Linotype" w:cs="Palatino Linotype" w:eastAsia="Palatino Linotype" w:hAnsi="Palatino Linotype"/>
          <w:b w:val="1"/>
          <w:i w:val="1"/>
          <w:sz w:val="22"/>
          <w:szCs w:val="22"/>
        </w:rPr>
      </w:pPr>
      <w:bookmarkStart w:colFirst="0" w:colLast="0" w:name="_heading=h.gjdgxs" w:id="1"/>
      <w:bookmarkEnd w:id="1"/>
      <w:r w:rsidDel="00000000" w:rsidR="00000000" w:rsidRPr="00000000">
        <w:rPr>
          <w:rFonts w:ascii="Palatino Linotype" w:cs="Palatino Linotype" w:eastAsia="Palatino Linotype" w:hAnsi="Palatino Linotype"/>
          <w:i w:val="1"/>
          <w:sz w:val="22"/>
          <w:szCs w:val="22"/>
          <w:rtl w:val="0"/>
        </w:rPr>
        <w:t xml:space="preserve">“¿Cuales son las actividades que se realizan en el departamento de servicios generales asi como el numero de personal con el que se cuenta, nombre completo de cada servidor publico, sueldo neto y actividades que realiza cada uno?” (sic) </w:t>
      </w:r>
      <w:r w:rsidDel="00000000" w:rsidR="00000000" w:rsidRPr="00000000">
        <w:rPr>
          <w:rtl w:val="0"/>
        </w:rPr>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sz w:val="22"/>
          <w:szCs w:val="22"/>
        </w:rPr>
      </w:pPr>
      <w:bookmarkStart w:colFirst="0" w:colLast="0" w:name="_heading=h.3dy6vkm" w:id="2"/>
      <w:bookmarkEnd w:id="2"/>
      <w:r w:rsidDel="00000000" w:rsidR="00000000" w:rsidRPr="00000000">
        <w:rPr>
          <w:rFonts w:ascii="Palatino Linotype" w:cs="Palatino Linotype" w:eastAsia="Palatino Linotype" w:hAnsi="Palatino Linotype"/>
          <w:b w:val="1"/>
          <w:sz w:val="22"/>
          <w:szCs w:val="22"/>
          <w:rtl w:val="0"/>
        </w:rPr>
        <w:t xml:space="preserve">Modalidad de Entrega: </w:t>
      </w:r>
      <w:r w:rsidDel="00000000" w:rsidR="00000000" w:rsidRPr="00000000">
        <w:rPr>
          <w:rFonts w:ascii="Palatino Linotype" w:cs="Palatino Linotype" w:eastAsia="Palatino Linotype" w:hAnsi="Palatino Linotype"/>
          <w:sz w:val="22"/>
          <w:szCs w:val="22"/>
          <w:rtl w:val="0"/>
        </w:rPr>
        <w:t xml:space="preserve">A través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left" w:leader="none" w:pos="3119"/>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dieciocho de febrero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 SAIMEX, sustancialmente en los términos siguientes:   </w:t>
      </w:r>
    </w:p>
    <w:p w:rsidR="00000000" w:rsidDel="00000000" w:rsidP="00000000" w:rsidRDefault="00000000" w:rsidRPr="00000000" w14:paraId="0000000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ADJUNTAN ARCHIVOS QUE RESPONDEN A LA SOLICITUD DEL IMPETRANTE, REITERANDO NUESTRA INSTITUCIONALIDAD.</w:t>
      </w:r>
    </w:p>
    <w:p w:rsidR="00000000" w:rsidDel="00000000" w:rsidP="00000000" w:rsidRDefault="00000000" w:rsidRPr="00000000" w14:paraId="0000000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Areli Aurora Roldan Correa” (sic)</w:t>
      </w:r>
    </w:p>
    <w:p w:rsidR="00000000" w:rsidDel="00000000" w:rsidP="00000000" w:rsidRDefault="00000000" w:rsidRPr="00000000" w14:paraId="0000000C">
      <w:pPr>
        <w:spacing w:line="360" w:lineRule="auto"/>
        <w:ind w:left="851" w:right="49" w:firstLine="0"/>
        <w:jc w:val="both"/>
        <w:rPr>
          <w:rFonts w:ascii="Palatino Linotype" w:cs="Palatino Linotype" w:eastAsia="Palatino Linotype" w:hAnsi="Palatino Linotype"/>
          <w:b w:val="1"/>
          <w:sz w:val="22"/>
          <w:szCs w:val="22"/>
        </w:rPr>
      </w:pPr>
      <w:bookmarkStart w:colFirst="0" w:colLast="0" w:name="_heading=h.onjiecqcwqh" w:id="3"/>
      <w:bookmarkEnd w:id="3"/>
      <w:r w:rsidDel="00000000" w:rsidR="00000000" w:rsidRPr="00000000">
        <w:rPr>
          <w:rFonts w:ascii="Palatino Linotype" w:cs="Palatino Linotype" w:eastAsia="Palatino Linotype" w:hAnsi="Palatino Linotype"/>
          <w:b w:val="1"/>
          <w:sz w:val="22"/>
          <w:szCs w:val="22"/>
          <w:rtl w:val="0"/>
        </w:rPr>
        <w:t xml:space="preserve">Archivos adjuntos:</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line="360" w:lineRule="auto"/>
        <w:ind w:left="1287" w:right="616" w:hanging="360"/>
        <w:jc w:val="both"/>
        <w:rPr>
          <w:rFonts w:ascii="Palatino Linotype" w:cs="Palatino Linotype" w:eastAsia="Palatino Linotype" w:hAnsi="Palatino Linotype"/>
          <w:sz w:val="22"/>
          <w:szCs w:val="22"/>
        </w:rPr>
      </w:pPr>
      <w:bookmarkStart w:colFirst="0" w:colLast="0" w:name="_heading=h.a4esm6v4rpfb" w:id="4"/>
      <w:bookmarkEnd w:id="4"/>
      <w:r w:rsidDel="00000000" w:rsidR="00000000" w:rsidRPr="00000000">
        <w:rPr>
          <w:rFonts w:ascii="Palatino Linotype" w:cs="Palatino Linotype" w:eastAsia="Palatino Linotype" w:hAnsi="Palatino Linotype"/>
          <w:b w:val="1"/>
          <w:i w:val="1"/>
          <w:sz w:val="22"/>
          <w:szCs w:val="22"/>
          <w:rtl w:val="0"/>
        </w:rPr>
        <w:t xml:space="preserve">ANEXO OFICIO 73.pdf: </w:t>
      </w:r>
      <w:r w:rsidDel="00000000" w:rsidR="00000000" w:rsidRPr="00000000">
        <w:rPr>
          <w:rFonts w:ascii="Palatino Linotype" w:cs="Palatino Linotype" w:eastAsia="Palatino Linotype" w:hAnsi="Palatino Linotype"/>
          <w:sz w:val="22"/>
          <w:szCs w:val="22"/>
          <w:rtl w:val="0"/>
        </w:rPr>
        <w:t xml:space="preserve">Documento que contiene las atribuciones del Departamento de Servicios Generales y Control Patrimonial, establecidas en los artículos 96 y 97 del Reglamento Interior del Organismo Público Descentralizado por servicio de carácter municipal denominado Agua y Saneamiento de Toluca. </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line="360" w:lineRule="auto"/>
        <w:ind w:left="1287"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200C13200.163.2025.pdf: </w:t>
      </w:r>
      <w:r w:rsidDel="00000000" w:rsidR="00000000" w:rsidRPr="00000000">
        <w:rPr>
          <w:rFonts w:ascii="Palatino Linotype" w:cs="Palatino Linotype" w:eastAsia="Palatino Linotype" w:hAnsi="Palatino Linotype"/>
          <w:sz w:val="22"/>
          <w:szCs w:val="22"/>
          <w:rtl w:val="0"/>
        </w:rPr>
        <w:t xml:space="preserve">Memorándum número 200C13200/163/2025 de fecha catorce de febrero de dos mil veinticinco, suscrito por el Subdirector de Recursos Humanos, en el que informó la entrega de la información solicitada. </w:t>
      </w:r>
    </w:p>
    <w:p w:rsidR="00000000" w:rsidDel="00000000" w:rsidP="00000000" w:rsidRDefault="00000000" w:rsidRPr="00000000" w14:paraId="0000000F">
      <w:pPr>
        <w:spacing w:line="360" w:lineRule="auto"/>
        <w:ind w:left="567" w:right="900" w:firstLine="0"/>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070564" cy="2695613"/>
            <wp:effectExtent b="0" l="0" r="0" t="0"/>
            <wp:docPr descr="Tabla&#10;&#10;El contenido generado por IA puede ser incorrecto." id="2143108263" name="image7.png"/>
            <a:graphic>
              <a:graphicData uri="http://schemas.openxmlformats.org/drawingml/2006/picture">
                <pic:pic>
                  <pic:nvPicPr>
                    <pic:cNvPr descr="Tabla&#10;&#10;El contenido generado por IA puede ser incorrecto." id="0" name="image7.png"/>
                    <pic:cNvPicPr preferRelativeResize="0"/>
                  </pic:nvPicPr>
                  <pic:blipFill>
                    <a:blip r:embed="rId7"/>
                    <a:srcRect b="0" l="0" r="0" t="0"/>
                    <a:stretch>
                      <a:fillRect/>
                    </a:stretch>
                  </pic:blipFill>
                  <pic:spPr>
                    <a:xfrm>
                      <a:off x="0" y="0"/>
                      <a:ext cx="4070564" cy="269561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pacing w:line="360" w:lineRule="auto"/>
        <w:ind w:left="1287" w:right="616"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OFICIO XXXXXXXXXX.pdf: </w:t>
      </w:r>
      <w:r w:rsidDel="00000000" w:rsidR="00000000" w:rsidRPr="00000000">
        <w:rPr>
          <w:rFonts w:ascii="Palatino Linotype" w:cs="Palatino Linotype" w:eastAsia="Palatino Linotype" w:hAnsi="Palatino Linotype"/>
          <w:sz w:val="22"/>
          <w:szCs w:val="22"/>
          <w:rtl w:val="0"/>
        </w:rPr>
        <w:t xml:space="preserve">Oficio número 200C16201/026/2025 de fecha diecisiete de febrero de dos mil veinticinco, suscrito por la Jefa de Departamento de Transparencia, Oficialía de Partes y Atención Ciudadana mediante el cual informó la entrega del oficio número 200C13200/163/2025 remitido por el Subdirector de Recursos Humanos y el oficio 200C13100/073/2025 remitido por el Subdirector Administración, ambos con anexo, mediante los cuales da respuesta a la solicitud de acceso a la información pública. </w:t>
      </w:r>
      <w:r w:rsidDel="00000000" w:rsidR="00000000" w:rsidRPr="00000000">
        <w:rPr>
          <w:rtl w:val="0"/>
        </w:rPr>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pacing w:line="360" w:lineRule="auto"/>
        <w:ind w:left="1287"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200C13100.073.2025.pdf</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Oficio número 200C13100/073/2025 suscrito por el Subdirector Administración, mediante el cual informó que las actividades que se realizan en el Departamento de Servicios Generales y Control Patrimonial, están establecidas en la pagina 73, artículo 96 y 97 del Reglamento Interior del Organismo Público Descentralizado por servicio de carácter municipal denominado Agua y Saneamiento de Toluca, el cual se anexa de forma digital al presente. Asimismo, informó que las actividades asignadas a cada servidor público son conforme a las necesidades que las áreas del organismo requieran. </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240" w:line="360" w:lineRule="auto"/>
        <w:ind w:left="720" w:right="90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3">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cuatro de marzo de dos mil veinticinco, </w:t>
      </w: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donde se manifestó de la siguiente manera:</w:t>
      </w:r>
    </w:p>
    <w:p w:rsidR="00000000" w:rsidDel="00000000" w:rsidP="00000000" w:rsidRDefault="00000000" w:rsidRPr="00000000" w14:paraId="00000014">
      <w:pPr>
        <w:tabs>
          <w:tab w:val="left" w:leader="none" w:pos="2745"/>
        </w:tabs>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Acto impugnado: </w:t>
      </w:r>
      <w:r w:rsidDel="00000000" w:rsidR="00000000" w:rsidRPr="00000000">
        <w:rPr>
          <w:rFonts w:ascii="Palatino Linotype" w:cs="Palatino Linotype" w:eastAsia="Palatino Linotype" w:hAnsi="Palatino Linotype"/>
          <w:i w:val="1"/>
          <w:sz w:val="22"/>
          <w:szCs w:val="22"/>
          <w:rtl w:val="0"/>
        </w:rPr>
        <w:t xml:space="preserve">“respuesta a la solicitud 00012/OASTOL/IP/2025 de fecha 18 de febrero de 2025” (Sic)</w:t>
      </w:r>
      <w:r w:rsidDel="00000000" w:rsidR="00000000" w:rsidRPr="00000000">
        <w:rPr>
          <w:rtl w:val="0"/>
        </w:rPr>
      </w:r>
    </w:p>
    <w:p w:rsidR="00000000" w:rsidDel="00000000" w:rsidP="00000000" w:rsidRDefault="00000000" w:rsidRPr="00000000" w14:paraId="00000015">
      <w:pPr>
        <w:spacing w:line="276" w:lineRule="auto"/>
        <w:ind w:left="567" w:right="900" w:firstLine="0"/>
        <w:jc w:val="both"/>
        <w:rPr>
          <w:rFonts w:ascii="Palatino Linotype" w:cs="Palatino Linotype" w:eastAsia="Palatino Linotype" w:hAnsi="Palatino Linotype"/>
          <w:sz w:val="22"/>
          <w:szCs w:val="22"/>
        </w:rPr>
      </w:pPr>
      <w:bookmarkStart w:colFirst="0" w:colLast="0" w:name="_heading=h.30j0zll" w:id="5"/>
      <w:bookmarkEnd w:id="5"/>
      <w:r w:rsidDel="00000000" w:rsidR="00000000" w:rsidRPr="00000000">
        <w:rPr>
          <w:rFonts w:ascii="Palatino Linotype" w:cs="Palatino Linotype" w:eastAsia="Palatino Linotype" w:hAnsi="Palatino Linotype"/>
          <w:b w:val="1"/>
          <w:sz w:val="22"/>
          <w:szCs w:val="22"/>
          <w:rtl w:val="0"/>
        </w:rPr>
        <w:t xml:space="preserve">b) Razones o motivos de inconformidad</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“remite informacion incompleta en virtud de que </w:t>
      </w:r>
      <w:r w:rsidDel="00000000" w:rsidR="00000000" w:rsidRPr="00000000">
        <w:rPr>
          <w:rFonts w:ascii="Palatino Linotype" w:cs="Palatino Linotype" w:eastAsia="Palatino Linotype" w:hAnsi="Palatino Linotype"/>
          <w:b w:val="1"/>
          <w:i w:val="1"/>
          <w:sz w:val="22"/>
          <w:szCs w:val="22"/>
          <w:rtl w:val="0"/>
        </w:rPr>
        <w:t xml:space="preserve">no establece las actividades de cada uno de los servidores publicos</w:t>
      </w:r>
      <w:r w:rsidDel="00000000" w:rsidR="00000000" w:rsidRPr="00000000">
        <w:rPr>
          <w:rFonts w:ascii="Palatino Linotype" w:cs="Palatino Linotype" w:eastAsia="Palatino Linotype" w:hAnsi="Palatino Linotype"/>
          <w:i w:val="1"/>
          <w:sz w:val="22"/>
          <w:szCs w:val="22"/>
          <w:rtl w:val="0"/>
        </w:rPr>
        <w:t xml:space="preserve"> de la dependencia” (Sic)</w:t>
      </w:r>
      <w:r w:rsidDel="00000000" w:rsidR="00000000" w:rsidRPr="00000000">
        <w:rPr>
          <w:rtl w:val="0"/>
        </w:rPr>
      </w:r>
    </w:p>
    <w:p w:rsidR="00000000" w:rsidDel="00000000" w:rsidP="00000000" w:rsidRDefault="00000000" w:rsidRPr="00000000" w14:paraId="00000016">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1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analizará sobre su admisión o su desechamiento.</w: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sz w:val="22"/>
          <w:szCs w:val="22"/>
        </w:rPr>
      </w:pPr>
      <w:bookmarkStart w:colFirst="0" w:colLast="0" w:name="_heading=h.2s8eyo1" w:id="6"/>
      <w:bookmarkEnd w:id="6"/>
      <w:r w:rsidDel="00000000" w:rsidR="00000000" w:rsidRPr="00000000">
        <w:rPr>
          <w:rFonts w:ascii="Palatino Linotype" w:cs="Palatino Linotype" w:eastAsia="Palatino Linotype" w:hAnsi="Palatino Linotype"/>
          <w:b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sz w:val="22"/>
          <w:szCs w:val="22"/>
          <w:rtl w:val="0"/>
        </w:rPr>
        <w:t xml:space="preserve"> siete de marzo de dos mil veinticinco,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presentará su informe justificado.</w:t>
      </w:r>
    </w:p>
    <w:p w:rsidR="00000000" w:rsidDel="00000000" w:rsidP="00000000" w:rsidRDefault="00000000" w:rsidRPr="00000000" w14:paraId="00000019">
      <w:pPr>
        <w:widowControl w:val="0"/>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6. Manifestaciones. </w:t>
      </w:r>
      <w:r w:rsidDel="00000000" w:rsidR="00000000" w:rsidRPr="00000000">
        <w:rPr>
          <w:rFonts w:ascii="Palatino Linotype" w:cs="Palatino Linotype" w:eastAsia="Palatino Linotype" w:hAnsi="Palatino Linotype"/>
          <w:sz w:val="22"/>
          <w:szCs w:val="22"/>
          <w:rtl w:val="0"/>
        </w:rPr>
        <w:t xml:space="preserve">Las partes fueron omisas en rendir manifestaciones, como se observa a continuación en la siguiente imagen: </w:t>
      </w:r>
    </w:p>
    <w:p w:rsidR="00000000" w:rsidDel="00000000" w:rsidP="00000000" w:rsidRDefault="00000000" w:rsidRPr="00000000" w14:paraId="0000001A">
      <w:pPr>
        <w:widowControl w:val="0"/>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292860"/>
            <wp:effectExtent b="0" l="0" r="0" t="0"/>
            <wp:docPr descr="Una captura de pantalla de una red social&#10;&#10;El contenido generado por IA puede ser incorrecto." id="2143108265" name="image2.png"/>
            <a:graphic>
              <a:graphicData uri="http://schemas.openxmlformats.org/drawingml/2006/picture">
                <pic:pic>
                  <pic:nvPicPr>
                    <pic:cNvPr descr="Una captura de pantalla de una red social&#10;&#10;El contenido generado por IA puede ser incorrecto." id="0" name="image2.png"/>
                    <pic:cNvPicPr preferRelativeResize="0"/>
                  </pic:nvPicPr>
                  <pic:blipFill>
                    <a:blip r:embed="rId8"/>
                    <a:srcRect b="0" l="0" r="0" t="0"/>
                    <a:stretch>
                      <a:fillRect/>
                    </a:stretch>
                  </pic:blipFill>
                  <pic:spPr>
                    <a:xfrm>
                      <a:off x="0" y="0"/>
                      <a:ext cx="5612130" cy="129286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7. Ampliación del término para resolver</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treinta de abril de dos mil veinticinco, </w:t>
      </w:r>
      <w:r w:rsidDel="00000000" w:rsidR="00000000" w:rsidRPr="00000000">
        <w:rPr>
          <w:rFonts w:ascii="Palatino Linotype" w:cs="Palatino Linotype" w:eastAsia="Palatino Linotype" w:hAnsi="Palatino Linotype"/>
          <w:sz w:val="22"/>
          <w:szCs w:val="22"/>
          <w:rtl w:val="0"/>
        </w:rPr>
        <w:t xml:space="preserve">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1C">
      <w:pPr>
        <w:spacing w:after="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8.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sz w:val="22"/>
          <w:szCs w:val="22"/>
          <w:rtl w:val="0"/>
        </w:rPr>
        <w:t xml:space="preserve">treinta de abril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1E">
      <w:pPr>
        <w:widowControl w:val="0"/>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 S</w:t>
      </w:r>
    </w:p>
    <w:p w:rsidR="00000000" w:rsidDel="00000000" w:rsidP="00000000" w:rsidRDefault="00000000" w:rsidRPr="00000000" w14:paraId="0000001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0">
      <w:pPr>
        <w:spacing w:after="240" w:before="240" w:line="360" w:lineRule="auto"/>
        <w:jc w:val="both"/>
        <w:rPr>
          <w:rFonts w:ascii="Palatino Linotype" w:cs="Palatino Linotype" w:eastAsia="Palatino Linotype" w:hAnsi="Palatino Linotype"/>
          <w:sz w:val="22"/>
          <w:szCs w:val="22"/>
        </w:rPr>
      </w:pPr>
      <w:bookmarkStart w:colFirst="0" w:colLast="0" w:name="_heading=h.tyjcwt" w:id="7"/>
      <w:bookmarkEnd w:id="7"/>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remitió la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dieciocho de febrero de dos mil veinticinco,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tuvo por presentado el </w:t>
      </w:r>
      <w:r w:rsidDel="00000000" w:rsidR="00000000" w:rsidRPr="00000000">
        <w:rPr>
          <w:rFonts w:ascii="Palatino Linotype" w:cs="Palatino Linotype" w:eastAsia="Palatino Linotype" w:hAnsi="Palatino Linotype"/>
          <w:b w:val="1"/>
          <w:sz w:val="22"/>
          <w:szCs w:val="22"/>
          <w:rtl w:val="0"/>
        </w:rPr>
        <w:t xml:space="preserve">cuatro de marzo de dos mil veinticinco, </w:t>
      </w:r>
      <w:r w:rsidDel="00000000" w:rsidR="00000000" w:rsidRPr="00000000">
        <w:rPr>
          <w:rFonts w:ascii="Palatino Linotype" w:cs="Palatino Linotype" w:eastAsia="Palatino Linotype" w:hAnsi="Palatino Linotype"/>
          <w:sz w:val="22"/>
          <w:szCs w:val="22"/>
          <w:rtl w:val="0"/>
        </w:rPr>
        <w:t xml:space="preserve">esto es, al </w:t>
      </w:r>
      <w:r w:rsidDel="00000000" w:rsidR="00000000" w:rsidRPr="00000000">
        <w:rPr>
          <w:rFonts w:ascii="Palatino Linotype" w:cs="Palatino Linotype" w:eastAsia="Palatino Linotype" w:hAnsi="Palatino Linotype"/>
          <w:b w:val="1"/>
          <w:sz w:val="22"/>
          <w:szCs w:val="22"/>
          <w:rtl w:val="0"/>
        </w:rPr>
        <w:t xml:space="preserve">noveno día hábil en el que tuvo conocimiento de la respuesta impugnada.</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2">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por cuanto hace a la procedibilidad del recurso de revisión, es de suma importancia señalar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proporcionó un nombre incompleto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con el que desea que se le identifique</w:t>
      </w: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2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w:t>
      </w:r>
      <w:r w:rsidDel="00000000" w:rsidR="00000000" w:rsidRPr="00000000">
        <w:rPr>
          <w:rFonts w:ascii="Palatino Linotype" w:cs="Palatino Linotype" w:eastAsia="Palatino Linotype" w:hAnsi="Palatino Linotype"/>
          <w:i w:val="1"/>
          <w:sz w:val="22"/>
          <w:szCs w:val="22"/>
          <w:rtl w:val="0"/>
        </w:rPr>
        <w:t xml:space="preserve">anónimas, con </w:t>
      </w:r>
      <w:r w:rsidDel="00000000" w:rsidR="00000000" w:rsidRPr="00000000">
        <w:rPr>
          <w:rFonts w:ascii="Palatino Linotype" w:cs="Palatino Linotype" w:eastAsia="Palatino Linotype" w:hAnsi="Palatino Linotype"/>
          <w:b w:val="1"/>
          <w:i w:val="1"/>
          <w:sz w:val="22"/>
          <w:szCs w:val="22"/>
          <w:rtl w:val="0"/>
        </w:rPr>
        <w:t xml:space="preserve">nombre incompleto </w:t>
      </w:r>
      <w:r w:rsidDel="00000000" w:rsidR="00000000" w:rsidRPr="00000000">
        <w:rPr>
          <w:rFonts w:ascii="Palatino Linotype" w:cs="Palatino Linotype" w:eastAsia="Palatino Linotype" w:hAnsi="Palatino Linotype"/>
          <w:i w:val="1"/>
          <w:sz w:val="22"/>
          <w:szCs w:val="22"/>
          <w:rtl w:val="0"/>
        </w:rPr>
        <w:t xml:space="preserve">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p>
    <w:p w:rsidR="00000000" w:rsidDel="00000000" w:rsidP="00000000" w:rsidRDefault="00000000" w:rsidRPr="00000000" w14:paraId="0000002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25">
      <w:pPr>
        <w:tabs>
          <w:tab w:val="left" w:leader="none" w:pos="7938"/>
        </w:tabs>
        <w:spacing w:after="240" w:before="240" w:line="360" w:lineRule="auto"/>
        <w:jc w:val="both"/>
        <w:rPr>
          <w:rFonts w:ascii="Palatino Linotype" w:cs="Palatino Linotype" w:eastAsia="Palatino Linotype" w:hAnsi="Palatino Linotype"/>
          <w:sz w:val="22"/>
          <w:szCs w:val="22"/>
        </w:rPr>
      </w:pPr>
      <w:bookmarkStart w:colFirst="0" w:colLast="0" w:name="_heading=h.3znysh7" w:id="8"/>
      <w:bookmarkEnd w:id="8"/>
      <w:r w:rsidDel="00000000" w:rsidR="00000000" w:rsidRPr="00000000">
        <w:rPr>
          <w:rFonts w:ascii="Palatino Linotype" w:cs="Palatino Linotype" w:eastAsia="Palatino Linotype" w:hAnsi="Palatino Linotype"/>
          <w:sz w:val="22"/>
          <w:szCs w:val="22"/>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 de acuerdo al artículo 179, fracción V del ordenamiento legal citado, que a la letra dice: </w:t>
      </w:r>
    </w:p>
    <w:p w:rsidR="00000000" w:rsidDel="00000000" w:rsidP="00000000" w:rsidRDefault="00000000" w:rsidRPr="00000000" w14:paraId="0000002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2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9">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La entrega de información incompleta</w:t>
      </w:r>
      <w:r w:rsidDel="00000000" w:rsidR="00000000" w:rsidRPr="00000000">
        <w:rPr>
          <w:rFonts w:ascii="Palatino Linotype" w:cs="Palatino Linotype" w:eastAsia="Palatino Linotype" w:hAnsi="Palatino Linotype"/>
          <w:b w:val="1"/>
          <w:i w:val="1"/>
          <w:sz w:val="22"/>
          <w:szCs w:val="22"/>
          <w:u w:val="single"/>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2A">
      <w:pP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sz w:val="22"/>
          <w:szCs w:val="22"/>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sz w:val="22"/>
          <w:szCs w:val="22"/>
          <w:rtl w:val="0"/>
        </w:rPr>
        <w:t xml:space="preserve">de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bookmarkStart w:colFirst="0" w:colLast="0" w:name="_heading=h.2et92p0" w:id="9"/>
      <w:bookmarkEnd w:id="9"/>
      <w:r w:rsidDel="00000000" w:rsidR="00000000" w:rsidRPr="00000000">
        <w:rPr>
          <w:rFonts w:ascii="Palatino Linotype" w:cs="Palatino Linotype" w:eastAsia="Palatino Linotype" w:hAnsi="Palatino Linotype"/>
          <w:b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Antes de entrar al análisis de los pronunciamientos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 Para tal efecto, los sujetos obligados contarán con las facultades suficientes para su atención.</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Se establecerán mecanismos de acceso a la información pública y procedimientos de revisión expeditos que se sustanciarán ante las instancias competentes en los términos que fija esta Constitución y las leyes.</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240" w:before="24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240" w:before="24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240" w:before="24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240" w:before="24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240" w:before="24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sz w:val="22"/>
          <w:szCs w:val="22"/>
          <w:rtl w:val="0"/>
        </w:rPr>
        <w:t xml:space="preserve">ad hoc</w:t>
      </w:r>
      <w:r w:rsidDel="00000000" w:rsidR="00000000" w:rsidRPr="00000000">
        <w:rPr>
          <w:rFonts w:ascii="Palatino Linotype" w:cs="Palatino Linotype" w:eastAsia="Palatino Linotype" w:hAnsi="Palatino Linotype"/>
          <w:sz w:val="22"/>
          <w:szCs w:val="22"/>
          <w:rtl w:val="0"/>
        </w:rPr>
        <w:t xml:space="preserve">, para satisfacer el derecho de acceso a la información pública, como así lo establece el criterio orientador 03/17 emitido por el entonces Instituto Nacional de Transparencia, Acceso a la Información Pública y Protección de Datos Personales, el cual señala lo siguiente:</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240" w:before="24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240" w:before="24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76" w:lineRule="auto"/>
        <w:ind w:left="851"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76" w:lineRule="auto"/>
        <w:ind w:left="851"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76" w:lineRule="auto"/>
        <w:ind w:left="851"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r w:rsidDel="00000000" w:rsidR="00000000" w:rsidRPr="00000000">
        <w:rPr>
          <w:rtl w:val="0"/>
        </w:rPr>
      </w:r>
    </w:p>
    <w:p w:rsidR="00000000" w:rsidDel="00000000" w:rsidP="00000000" w:rsidRDefault="00000000" w:rsidRPr="00000000" w14:paraId="00000050">
      <w:pPr>
        <w:numPr>
          <w:ilvl w:val="0"/>
          <w:numId w:val="6"/>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51">
      <w:pPr>
        <w:numPr>
          <w:ilvl w:val="0"/>
          <w:numId w:val="6"/>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3. </w:t>
      </w:r>
      <w:r w:rsidDel="00000000" w:rsidR="00000000" w:rsidRPr="00000000">
        <w:rPr>
          <w:rFonts w:ascii="Palatino Linotype" w:cs="Palatino Linotype" w:eastAsia="Palatino Linotype" w:hAnsi="Palatino Linotype"/>
          <w:b w:val="1"/>
          <w:i w:val="1"/>
          <w:sz w:val="22"/>
          <w:szCs w:val="22"/>
          <w:rtl w:val="0"/>
        </w:rPr>
        <w:t xml:space="preserve">Que se trate de información registrada en cualquier soporte documental, que en ejercicio de las atribuciones conferidas, se encuentre en posesión de los Sujetos Obligados.” </w:t>
      </w: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ahí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para profundizar en el estudio del presente asunto, es conveniente recordar que de un análisis a la solicitud de información, se advierte que la parte solicitante requirió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le proporcionará lo siguiente:</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76" w:lineRule="auto"/>
        <w:ind w:left="1440" w:hanging="360"/>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Del Departamento de servicios generales</w:t>
      </w:r>
    </w:p>
    <w:p w:rsidR="00000000" w:rsidDel="00000000" w:rsidP="00000000" w:rsidRDefault="00000000" w:rsidRPr="00000000" w14:paraId="00000056">
      <w:pPr>
        <w:numPr>
          <w:ilvl w:val="0"/>
          <w:numId w:val="3"/>
        </w:numPr>
        <w:pBdr>
          <w:top w:space="0" w:sz="0" w:val="nil"/>
          <w:left w:space="0" w:sz="0" w:val="nil"/>
          <w:bottom w:space="0" w:sz="0" w:val="nil"/>
          <w:right w:space="0" w:sz="0" w:val="nil"/>
          <w:between w:space="0" w:sz="0" w:val="nil"/>
        </w:pBdr>
        <w:spacing w:line="276" w:lineRule="auto"/>
        <w:ind w:left="1440" w:hanging="360"/>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Actividades que se realizan en el departamento </w:t>
      </w:r>
    </w:p>
    <w:p w:rsidR="00000000" w:rsidDel="00000000" w:rsidP="00000000" w:rsidRDefault="00000000" w:rsidRPr="00000000" w14:paraId="00000057">
      <w:pPr>
        <w:numPr>
          <w:ilvl w:val="0"/>
          <w:numId w:val="3"/>
        </w:numPr>
        <w:pBdr>
          <w:top w:space="0" w:sz="0" w:val="nil"/>
          <w:left w:space="0" w:sz="0" w:val="nil"/>
          <w:bottom w:space="0" w:sz="0" w:val="nil"/>
          <w:right w:space="0" w:sz="0" w:val="nil"/>
          <w:between w:space="0" w:sz="0" w:val="nil"/>
        </w:pBdr>
        <w:spacing w:line="276" w:lineRule="auto"/>
        <w:ind w:left="1440" w:hanging="360"/>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Número de personal con el que se cuenta, </w:t>
      </w:r>
    </w:p>
    <w:p w:rsidR="00000000" w:rsidDel="00000000" w:rsidP="00000000" w:rsidRDefault="00000000" w:rsidRPr="00000000" w14:paraId="00000058">
      <w:pPr>
        <w:numPr>
          <w:ilvl w:val="0"/>
          <w:numId w:val="3"/>
        </w:numPr>
        <w:pBdr>
          <w:top w:space="0" w:sz="0" w:val="nil"/>
          <w:left w:space="0" w:sz="0" w:val="nil"/>
          <w:bottom w:space="0" w:sz="0" w:val="nil"/>
          <w:right w:space="0" w:sz="0" w:val="nil"/>
          <w:between w:space="0" w:sz="0" w:val="nil"/>
        </w:pBdr>
        <w:spacing w:line="276" w:lineRule="auto"/>
        <w:ind w:left="1440" w:hanging="360"/>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Nombre completo de cada servidor público, </w:t>
      </w:r>
    </w:p>
    <w:p w:rsidR="00000000" w:rsidDel="00000000" w:rsidP="00000000" w:rsidRDefault="00000000" w:rsidRPr="00000000" w14:paraId="00000059">
      <w:pPr>
        <w:numPr>
          <w:ilvl w:val="0"/>
          <w:numId w:val="3"/>
        </w:numPr>
        <w:pBdr>
          <w:top w:space="0" w:sz="0" w:val="nil"/>
          <w:left w:space="0" w:sz="0" w:val="nil"/>
          <w:bottom w:space="0" w:sz="0" w:val="nil"/>
          <w:right w:space="0" w:sz="0" w:val="nil"/>
          <w:between w:space="0" w:sz="0" w:val="nil"/>
        </w:pBdr>
        <w:spacing w:line="276" w:lineRule="auto"/>
        <w:ind w:left="1440" w:hanging="360"/>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Sueldo neto; y,</w:t>
      </w:r>
    </w:p>
    <w:p w:rsidR="00000000" w:rsidDel="00000000" w:rsidP="00000000" w:rsidRDefault="00000000" w:rsidRPr="00000000" w14:paraId="0000005A">
      <w:pPr>
        <w:numPr>
          <w:ilvl w:val="0"/>
          <w:numId w:val="3"/>
        </w:numPr>
        <w:pBdr>
          <w:top w:space="0" w:sz="0" w:val="nil"/>
          <w:left w:space="0" w:sz="0" w:val="nil"/>
          <w:bottom w:space="0" w:sz="0" w:val="nil"/>
          <w:right w:space="0" w:sz="0" w:val="nil"/>
          <w:between w:space="0" w:sz="0" w:val="nil"/>
        </w:pBdr>
        <w:spacing w:line="276" w:lineRule="auto"/>
        <w:ind w:left="1440" w:hanging="360"/>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Actividades que realiza cada servidor público.</w:t>
      </w:r>
    </w:p>
    <w:p w:rsidR="00000000" w:rsidDel="00000000" w:rsidP="00000000" w:rsidRDefault="00000000" w:rsidRPr="00000000" w14:paraId="0000005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se pronunció por conducto del Subdirector de Recursos Humanos quien informó la entrega de la información consistente al número de personal con el que se cuenta, nombre completo de cada servidor público y sueldo neto; adjuntando con ello a modo de ejemplo, el siguiente listado: </w:t>
      </w:r>
    </w:p>
    <w:p w:rsidR="00000000" w:rsidDel="00000000" w:rsidP="00000000" w:rsidRDefault="00000000" w:rsidRPr="00000000" w14:paraId="0000005C">
      <w:pPr>
        <w:spacing w:after="240" w:before="240"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463771" cy="2182895"/>
            <wp:effectExtent b="0" l="0" r="0" t="0"/>
            <wp:docPr descr="Tabla&#10;&#10;El contenido generado por IA puede ser incorrecto." id="2143108264" name="image1.png"/>
            <a:graphic>
              <a:graphicData uri="http://schemas.openxmlformats.org/drawingml/2006/picture">
                <pic:pic>
                  <pic:nvPicPr>
                    <pic:cNvPr descr="Tabla&#10;&#10;El contenido generado por IA puede ser incorrecto." id="0" name="image1.png"/>
                    <pic:cNvPicPr preferRelativeResize="0"/>
                  </pic:nvPicPr>
                  <pic:blipFill>
                    <a:blip r:embed="rId9"/>
                    <a:srcRect b="0" l="0" r="0" t="0"/>
                    <a:stretch>
                      <a:fillRect/>
                    </a:stretch>
                  </pic:blipFill>
                  <pic:spPr>
                    <a:xfrm>
                      <a:off x="0" y="0"/>
                      <a:ext cx="4463771" cy="218289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ello, el Subdirector de Administración informó que las actividades que se realizan en el Departamento de Servicios Generales y Control Patrimonial, están establecidas en la página 73, artículos 96 y 97 del Reglamento Interior del Organismo Público Descentralizado por servicio de carácter municipal denominado Agua y Saneamiento de Toluca, el cual se anexa de forma digital al presente. Asimismo, informó que las actividades asignadas a cada servidor público son conforme a las necesidades que las áreas del organismo requieran.</w:t>
      </w:r>
    </w:p>
    <w:p w:rsidR="00000000" w:rsidDel="00000000" w:rsidP="00000000" w:rsidRDefault="00000000" w:rsidRPr="00000000" w14:paraId="0000005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esta tesitura, una vez conocida la respuesta emitida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al no estar conforme con los términos de la misma, interpuso el recurso de revisión que nos ocupa, inconformándose medularmente respecto de la entrega de información incompleta, en virtud de que no se establece las actividades de cada uno de los servidores públicos de la dependencia. </w:t>
      </w:r>
    </w:p>
    <w:p w:rsidR="00000000" w:rsidDel="00000000" w:rsidP="00000000" w:rsidRDefault="00000000" w:rsidRPr="00000000" w14:paraId="0000005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las cosas, durante la etapa de manifestaciones e informe justificado, se tiene que tanto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como la parte</w:t>
      </w:r>
      <w:r w:rsidDel="00000000" w:rsidR="00000000" w:rsidRPr="00000000">
        <w:rPr>
          <w:rFonts w:ascii="Palatino Linotype" w:cs="Palatino Linotype" w:eastAsia="Palatino Linotype" w:hAnsi="Palatino Linotype"/>
          <w:b w:val="1"/>
          <w:sz w:val="22"/>
          <w:szCs w:val="22"/>
          <w:rtl w:val="0"/>
        </w:rPr>
        <w:t xml:space="preserve"> Recurrente </w:t>
      </w:r>
      <w:r w:rsidDel="00000000" w:rsidR="00000000" w:rsidRPr="00000000">
        <w:rPr>
          <w:rFonts w:ascii="Palatino Linotype" w:cs="Palatino Linotype" w:eastAsia="Palatino Linotype" w:hAnsi="Palatino Linotype"/>
          <w:sz w:val="22"/>
          <w:szCs w:val="22"/>
          <w:rtl w:val="0"/>
        </w:rPr>
        <w:t xml:space="preserve">fueron omisas en rendir sus manifestaciones, por lo que se tiene por precluido el plazo para tal efecto y se procede a emitir la resolución que conforme a derecho corresponda. </w:t>
      </w:r>
    </w:p>
    <w:p w:rsidR="00000000" w:rsidDel="00000000" w:rsidP="00000000" w:rsidRDefault="00000000" w:rsidRPr="00000000" w14:paraId="0000006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Expuesto lo anterior, no pasa inadvertido para este Organismo Garante que, toda vez que el motivo de inconformidad, no versa sobre la totalidad de la información proporcionada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pues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inconformó de manera expresa por </w:t>
      </w:r>
      <w:r w:rsidDel="00000000" w:rsidR="00000000" w:rsidRPr="00000000">
        <w:rPr>
          <w:rFonts w:ascii="Palatino Linotype" w:cs="Palatino Linotype" w:eastAsia="Palatino Linotype" w:hAnsi="Palatino Linotype"/>
          <w:b w:val="1"/>
          <w:sz w:val="22"/>
          <w:szCs w:val="22"/>
          <w:rtl w:val="0"/>
        </w:rPr>
        <w:t xml:space="preserve">las actividades asignadas a cada servidor público, </w:t>
      </w:r>
      <w:r w:rsidDel="00000000" w:rsidR="00000000" w:rsidRPr="00000000">
        <w:rPr>
          <w:rFonts w:ascii="Palatino Linotype" w:cs="Palatino Linotype" w:eastAsia="Palatino Linotype" w:hAnsi="Palatino Linotype"/>
          <w:sz w:val="22"/>
          <w:szCs w:val="22"/>
          <w:rtl w:val="0"/>
        </w:rPr>
        <w:t xml:space="preserve">no así respecto a los puntos marcados con los numerales 1, 2, 3 y 4, referentes a las actividades que se realizan en el departamento, número de personal con el que se cuenta, nombre completo de cada servidor público, y el sueldo neto; por ello se colige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Sujeto Obligado, satisface la solicitud presentada.</w:t>
      </w:r>
    </w:p>
    <w:p w:rsidR="00000000" w:rsidDel="00000000" w:rsidP="00000000" w:rsidRDefault="00000000" w:rsidRPr="00000000" w14:paraId="0000006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así, debido a que cuando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impugna la respuesta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y este no expresa Razón o Motivo de Inconformidad en contra de todos los rubros solicitados, dichos rubros deben declararse atendidos, pues se entiende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63">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4">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sz w:val="22"/>
          <w:szCs w:val="22"/>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065">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6">
      <w:pPr>
        <w:spacing w:line="360" w:lineRule="auto"/>
        <w:jc w:val="both"/>
        <w:rPr>
          <w:rFonts w:ascii="Palatino Linotype" w:cs="Palatino Linotype" w:eastAsia="Palatino Linotype" w:hAnsi="Palatino Linotype"/>
          <w:sz w:val="22"/>
          <w:szCs w:val="22"/>
        </w:rPr>
      </w:pPr>
      <w:bookmarkStart w:colFirst="0" w:colLast="0" w:name="_heading=h.qlazp4xjhgf0" w:id="10"/>
      <w:bookmarkEnd w:id="10"/>
      <w:r w:rsidDel="00000000" w:rsidR="00000000" w:rsidRPr="00000000">
        <w:rPr>
          <w:rFonts w:ascii="Palatino Linotype" w:cs="Palatino Linotype" w:eastAsia="Palatino Linotype" w:hAnsi="Palatino Linotype"/>
          <w:sz w:val="22"/>
          <w:szCs w:val="22"/>
          <w:rtl w:val="0"/>
        </w:rPr>
        <w:t xml:space="preserve">Consecuentemente, se insiste, ante la falta de impugnación eficaz, la respuesta entregada debe declararse consentida por la persona solicitante.</w:t>
      </w:r>
    </w:p>
    <w:p w:rsidR="00000000" w:rsidDel="00000000" w:rsidP="00000000" w:rsidRDefault="00000000" w:rsidRPr="00000000" w14:paraId="0000006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se sustenta con lo plasmado en el criterio orientador 01/20 emitido por el entonces Instituto Nacional de Transparencia, Acceso a la Información, y Protección de Datos Personales, INAI, que lleva por rubro y texto los siguientes: </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Actos consentidos tácitamente. Improcedencia de su análisis. </w:t>
      </w:r>
      <w:r w:rsidDel="00000000" w:rsidR="00000000" w:rsidRPr="00000000">
        <w:rPr>
          <w:rFonts w:ascii="Palatino Linotype" w:cs="Palatino Linotype" w:eastAsia="Palatino Linotype" w:hAnsi="Palatino Linotype"/>
          <w:i w:val="1"/>
          <w:sz w:val="22"/>
          <w:szCs w:val="22"/>
          <w:rtl w:val="0"/>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w:t>
      </w:r>
    </w:p>
    <w:p w:rsidR="00000000" w:rsidDel="00000000" w:rsidP="00000000" w:rsidRDefault="00000000" w:rsidRPr="00000000" w14:paraId="0000006A">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aplicable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6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D">
      <w:pPr>
        <w:tabs>
          <w:tab w:val="left" w:leader="none" w:pos="851"/>
          <w:tab w:val="left" w:leader="none" w:pos="1276"/>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mallCaps w:val="1"/>
          <w:sz w:val="22"/>
          <w:szCs w:val="22"/>
          <w:rtl w:val="0"/>
        </w:rPr>
        <w:t xml:space="preserve">“</w:t>
      </w:r>
      <w:r w:rsidDel="00000000" w:rsidR="00000000" w:rsidRPr="00000000">
        <w:rPr>
          <w:rFonts w:ascii="Palatino Linotype" w:cs="Palatino Linotype" w:eastAsia="Palatino Linotype" w:hAnsi="Palatino Linotype"/>
          <w:b w:val="1"/>
          <w:i w:val="1"/>
          <w:smallCaps w:val="1"/>
          <w:sz w:val="22"/>
          <w:szCs w:val="22"/>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sz w:val="22"/>
          <w:szCs w:val="22"/>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Del="00000000" w:rsidR="00000000" w:rsidRPr="00000000">
        <w:rPr>
          <w:rtl w:val="0"/>
        </w:rPr>
      </w:r>
    </w:p>
    <w:p w:rsidR="00000000" w:rsidDel="00000000" w:rsidP="00000000" w:rsidRDefault="00000000" w:rsidRPr="00000000" w14:paraId="0000006E">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resulta importante iniciar este análisis mencionando que las unidades administrativas que se pronunciaron fueron la Subdirección de Administración y la Subdirección de Recursos Humanos, unidades administrativas que dependen de la Dirección de Administración y Finanzas del Sujeto Obligado, misma que de conformidad con el Manual de Organización del Organismo Público Descentralizado, por servicio de carácter municipal denominado Agua y Saneamiento de Toluca, tiene como objetivo dirigir, planear y gestionar las acciones para la administración de los recursos humanos, materiales y financieros que requiera el Organismo para el desarrollo de los planes, programas y proyectos con eficiencia, racionalidad, transparencia y apego a la normatividad, que permitan cumplir con los objetivos institucionales, en el marco de la normatividad aplicable en la materia.</w:t>
      </w:r>
    </w:p>
    <w:p w:rsidR="00000000" w:rsidDel="00000000" w:rsidP="00000000" w:rsidRDefault="00000000" w:rsidRPr="00000000" w14:paraId="0000006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mismo modo, señala que dentro de las funciones con las que cuenta la Subdirección de Recursos Humanos, se advierte planear, programar, coordinar y normar la administración y desarrollo de personal del Organismo. </w:t>
      </w:r>
    </w:p>
    <w:p w:rsidR="00000000" w:rsidDel="00000000" w:rsidP="00000000" w:rsidRDefault="00000000" w:rsidRPr="00000000" w14:paraId="0000007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1">
      <w:pPr>
        <w:spacing w:line="360" w:lineRule="auto"/>
        <w:jc w:val="both"/>
        <w:rPr>
          <w:rFonts w:ascii="Palatino Linotype" w:cs="Palatino Linotype" w:eastAsia="Palatino Linotype" w:hAnsi="Palatino Linotype"/>
          <w:sz w:val="22"/>
          <w:szCs w:val="22"/>
        </w:rPr>
      </w:pPr>
      <w:bookmarkStart w:colFirst="0" w:colLast="0" w:name="_heading=h.ddc4p630dked" w:id="11"/>
      <w:bookmarkEnd w:id="11"/>
      <w:r w:rsidDel="00000000" w:rsidR="00000000" w:rsidRPr="00000000">
        <w:rPr>
          <w:rFonts w:ascii="Palatino Linotype" w:cs="Palatino Linotype" w:eastAsia="Palatino Linotype" w:hAnsi="Palatino Linotype"/>
          <w:sz w:val="22"/>
          <w:szCs w:val="22"/>
          <w:rtl w:val="0"/>
        </w:rPr>
        <w:t xml:space="preserve">Por lo anteriormente expuesto, y de la revisión a las constancias que obran en el expediente electrónico, se logra advertir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turnó la solicitud de información a la Dirección de Administración y Finanzas, por lo que, 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rsidR="00000000" w:rsidDel="00000000" w:rsidP="00000000" w:rsidRDefault="00000000" w:rsidRPr="00000000" w14:paraId="00000072">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3">
      <w:pPr>
        <w:numPr>
          <w:ilvl w:val="0"/>
          <w:numId w:val="5"/>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000000" w:rsidDel="00000000" w:rsidP="00000000" w:rsidRDefault="00000000" w:rsidRPr="00000000" w14:paraId="00000074">
      <w:pPr>
        <w:numPr>
          <w:ilvl w:val="0"/>
          <w:numId w:val="5"/>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00000000" w:rsidDel="00000000" w:rsidP="00000000" w:rsidRDefault="00000000" w:rsidRPr="00000000" w14:paraId="00000075">
      <w:pPr>
        <w:tabs>
          <w:tab w:val="left" w:leader="none" w:pos="4962"/>
        </w:tabs>
        <w:spacing w:line="360" w:lineRule="auto"/>
        <w:ind w:right="-2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circunstancia, se logra colegir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cumplió con el procedimiento de búsqueda establecido en el artículo 162 de la Ley de Transparencia y Acceso a la Información Pública del Estado de México y Municipios, toda vez que turno la solicitud a la unidad administrativa competente. </w:t>
      </w:r>
    </w:p>
    <w:p w:rsidR="00000000" w:rsidDel="00000000" w:rsidP="00000000" w:rsidRDefault="00000000" w:rsidRPr="00000000" w14:paraId="0000007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toma relevancia señalar que, conforme al Diccionario de Real Academia Española, las </w:t>
      </w:r>
      <w:r w:rsidDel="00000000" w:rsidR="00000000" w:rsidRPr="00000000">
        <w:rPr>
          <w:rFonts w:ascii="Palatino Linotype" w:cs="Palatino Linotype" w:eastAsia="Palatino Linotype" w:hAnsi="Palatino Linotype"/>
          <w:i w:val="1"/>
          <w:sz w:val="22"/>
          <w:szCs w:val="22"/>
          <w:rtl w:val="0"/>
        </w:rPr>
        <w:t xml:space="preserve">actividades </w:t>
      </w:r>
      <w:r w:rsidDel="00000000" w:rsidR="00000000" w:rsidRPr="00000000">
        <w:rPr>
          <w:rFonts w:ascii="Palatino Linotype" w:cs="Palatino Linotype" w:eastAsia="Palatino Linotype" w:hAnsi="Palatino Linotype"/>
          <w:sz w:val="22"/>
          <w:szCs w:val="22"/>
          <w:rtl w:val="0"/>
        </w:rPr>
        <w:t xml:space="preserve">corresponden a las operaciones, tareas, trabajos o labores realizadas por una persona; que en materia de administración pública, se pueden ver como las acciones realizadas por los servidores públicos para cumplir sus funciones y atribuciones.</w:t>
      </w:r>
    </w:p>
    <w:p w:rsidR="00000000" w:rsidDel="00000000" w:rsidP="00000000" w:rsidRDefault="00000000" w:rsidRPr="00000000" w14:paraId="0000007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la información solicitada se encuentra vinculada a las obligaciones de transparencia establecidas en la Ley de Transparencia y Acceso a la Información Pública del Estado de México y Municipios, relativa a la estructura orgánica contemplada en el artículo 92, fracción II, de la Ley de Transparencia y Acceso a la Información Pública del Estado de México y Municipios, que se transcribe a continuación:</w:t>
      </w:r>
    </w:p>
    <w:p w:rsidR="00000000" w:rsidDel="00000000" w:rsidP="00000000" w:rsidRDefault="00000000" w:rsidRPr="00000000" w14:paraId="0000007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w:t>
      </w:r>
    </w:p>
    <w:p w:rsidR="00000000" w:rsidDel="00000000" w:rsidP="00000000" w:rsidRDefault="00000000" w:rsidRPr="00000000" w14:paraId="0000007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7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Su estructura orgánica completa, en un formato que permita vincular cada parte de la estructura, </w:t>
      </w:r>
      <w:r w:rsidDel="00000000" w:rsidR="00000000" w:rsidRPr="00000000">
        <w:rPr>
          <w:rFonts w:ascii="Palatino Linotype" w:cs="Palatino Linotype" w:eastAsia="Palatino Linotype" w:hAnsi="Palatino Linotype"/>
          <w:b w:val="1"/>
          <w:i w:val="1"/>
          <w:sz w:val="22"/>
          <w:szCs w:val="22"/>
          <w:rtl w:val="0"/>
        </w:rPr>
        <w:t xml:space="preserve">las atribuciones y responsabilidades que le corresponden a </w:t>
      </w:r>
      <w:r w:rsidDel="00000000" w:rsidR="00000000" w:rsidRPr="00000000">
        <w:rPr>
          <w:rFonts w:ascii="Palatino Linotype" w:cs="Palatino Linotype" w:eastAsia="Palatino Linotype" w:hAnsi="Palatino Linotype"/>
          <w:b w:val="1"/>
          <w:i w:val="1"/>
          <w:sz w:val="22"/>
          <w:szCs w:val="22"/>
          <w:u w:val="single"/>
          <w:rtl w:val="0"/>
        </w:rPr>
        <w:t xml:space="preserve">cada servidor público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prestador de servicios profesionales o miembro de los sujetos obligados</w:t>
      </w:r>
      <w:r w:rsidDel="00000000" w:rsidR="00000000" w:rsidRPr="00000000">
        <w:rPr>
          <w:rFonts w:ascii="Palatino Linotype" w:cs="Palatino Linotype" w:eastAsia="Palatino Linotype" w:hAnsi="Palatino Linotype"/>
          <w:i w:val="1"/>
          <w:sz w:val="22"/>
          <w:szCs w:val="22"/>
          <w:rtl w:val="0"/>
        </w:rPr>
        <w:t xml:space="preserve">, de conformidad con las disposiciones jurídicas aplicables;”</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mayor abundamiento,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contemplan lo siguiente: </w:t>
      </w:r>
    </w:p>
    <w:p w:rsidR="00000000" w:rsidDel="00000000" w:rsidP="00000000" w:rsidRDefault="00000000" w:rsidRPr="00000000" w14:paraId="00000081">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r w:rsidDel="00000000" w:rsidR="00000000" w:rsidRPr="00000000">
        <w:rPr>
          <w:rtl w:val="0"/>
        </w:rPr>
      </w:r>
    </w:p>
    <w:p w:rsidR="00000000" w:rsidDel="00000000" w:rsidP="00000000" w:rsidRDefault="00000000" w:rsidRPr="00000000" w14:paraId="00000083">
      <w:pPr>
        <w:ind w:left="851"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El sujeto obligado incluirá la estructura orgánica que da cuenta de la distribución y orden de las funciones que se establecen para el cumplimiento de sus objetivos conforme a criterios de jerarquía y especialización, ordenados mediante los catálogos de las áreas que integran el sujeto obligado</w:t>
      </w:r>
      <w:r w:rsidDel="00000000" w:rsidR="00000000" w:rsidRPr="00000000">
        <w:rPr>
          <w:rFonts w:ascii="Palatino Linotype" w:cs="Palatino Linotype" w:eastAsia="Palatino Linotype" w:hAnsi="Palatino Linotype"/>
          <w:i w:val="1"/>
          <w:sz w:val="22"/>
          <w:szCs w:val="22"/>
          <w:rtl w:val="0"/>
        </w:rPr>
        <w:t xml:space="preserve">; de tal forma que sea posible visualizar los niveles jerárquicos y sus relaciones de dependencia de acuerdo con el estatuto orgánico u otro ordenamiento que le aplique. Se deberá publicar la estructura vigente, es decir, la que está en operación en el sujeto obligado y ha sido aprobada y/o dictaminada por la autoridad competente. </w:t>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En aquellos casos en los que dicha estructura no corresponda con la funcional, deberá especificarse cuáles puestos se encuentran en tránsito de aprobación por parte de las autoridades competentes. </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Si la estructura aprobada se modifica, los sujetos obligados deberán aclarar mediante una nota fundamentada, motivada y actualizada al periodo que corresponda, cuáles son las áreas de reciente creación, las que cambiaron de denominación (anterior y actual) y aquéllas que desaparecieron. Esta nota se conservará durante un trimestre, el cual empezará a contar a partir de la actualización de la fracción. Los sujetos obligados que no tengan estructura orgánica autorizada deberán incluir una nota fundamentada, motivada y actualizada al periodo que corresponda, que explique la situación del sujeto obligado. </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La estructura orgánica deberá incluir </w:t>
      </w:r>
      <w:r w:rsidDel="00000000" w:rsidR="00000000" w:rsidRPr="00000000">
        <w:rPr>
          <w:rFonts w:ascii="Palatino Linotype" w:cs="Palatino Linotype" w:eastAsia="Palatino Linotype" w:hAnsi="Palatino Linotype"/>
          <w:b w:val="1"/>
          <w:i w:val="1"/>
          <w:sz w:val="22"/>
          <w:szCs w:val="22"/>
          <w:u w:val="single"/>
          <w:rtl w:val="0"/>
        </w:rPr>
        <w:t xml:space="preserve">al titular del sujeto obligado y todos los servidores públicos adscritos a las unidades administrativas</w:t>
      </w:r>
      <w:r w:rsidDel="00000000" w:rsidR="00000000" w:rsidRPr="00000000">
        <w:rPr>
          <w:rFonts w:ascii="Palatino Linotype" w:cs="Palatino Linotype" w:eastAsia="Palatino Linotype" w:hAnsi="Palatino Linotype"/>
          <w:b w:val="1"/>
          <w:i w:val="1"/>
          <w:sz w:val="22"/>
          <w:szCs w:val="22"/>
          <w:rtl w:val="0"/>
        </w:rPr>
        <w:t xml:space="preserve">, áreas, institutos o los que correspondan, incluido el personal de gabinete de apoyo u homólogo, prestadores de servicios profesionales, miembros de los sujetos obligados, así como los respectivos niveles de adjunto, homólogo o cualquier otro equivalente, según la denominación que se le dé.</w:t>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Todos los sujetos obligados deberán publicar una nota que especifique claramente que los prestadores de servicios profesionales reportados no forman parte de la estructura orgánica en virtud de que fungen como apoyo para el desarrollo de las actividades de los puestos que sí conforman la estructura orgánica.</w:t>
      </w:r>
    </w:p>
    <w:p w:rsidR="00000000" w:rsidDel="00000000" w:rsidP="00000000" w:rsidRDefault="00000000" w:rsidRPr="00000000" w14:paraId="0000008A">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ind w:left="851" w:right="616" w:firstLine="0"/>
        <w:jc w:val="center"/>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Pr>
        <w:drawing>
          <wp:inline distB="0" distT="0" distL="0" distR="0">
            <wp:extent cx="4317193" cy="2795167"/>
            <wp:effectExtent b="0" l="0" r="0" t="0"/>
            <wp:docPr descr="https://lh7-us.googleusercontent.com/Em2T3FepT9VaJWw0tVO9TivCdmh6uCuZwpDBqMJDlWo9INEMu2dwLOf_dpW7-U0ArpYyJ1B94JFvCsgwNp-9v93PEM8cRC19Sz4VR8mr0gx6EZbdEvmx84HPZVaDwZveqEaoT8C-JB6q6fmYTLFn" id="2143108268" name="image10.png"/>
            <a:graphic>
              <a:graphicData uri="http://schemas.openxmlformats.org/drawingml/2006/picture">
                <pic:pic>
                  <pic:nvPicPr>
                    <pic:cNvPr descr="https://lh7-us.googleusercontent.com/Em2T3FepT9VaJWw0tVO9TivCdmh6uCuZwpDBqMJDlWo9INEMu2dwLOf_dpW7-U0ArpYyJ1B94JFvCsgwNp-9v93PEM8cRC19Sz4VR8mr0gx6EZbdEvmx84HPZVaDwZveqEaoT8C-JB6q6fmYTLFn" id="0" name="image10.png"/>
                    <pic:cNvPicPr preferRelativeResize="0"/>
                  </pic:nvPicPr>
                  <pic:blipFill>
                    <a:blip r:embed="rId10"/>
                    <a:srcRect b="0" l="0" r="0" t="0"/>
                    <a:stretch>
                      <a:fillRect/>
                    </a:stretch>
                  </pic:blipFill>
                  <pic:spPr>
                    <a:xfrm>
                      <a:off x="0" y="0"/>
                      <a:ext cx="4317193" cy="2795167"/>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D">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lo anterior, se arriba a la conclusión de que la información requerida no sólo obra en los archivos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sino que obra en las fronteras conceptuales de las obligaciones de transparencia común. </w:t>
      </w:r>
    </w:p>
    <w:p w:rsidR="00000000" w:rsidDel="00000000" w:rsidP="00000000" w:rsidRDefault="00000000" w:rsidRPr="00000000" w14:paraId="0000008E">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F">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Hasta este punto, conviene recordar que el hoy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solicitó la información de los servidores públicos que integran el Departamento de Servicios Generales; por lo que de conformidad con el Organigrama del Sujeto Obligado, dicha unidad administrativa forma parte de la Dirección de Administración y Finanzas, tal y como se observa a continuación: </w:t>
      </w:r>
    </w:p>
    <w:p w:rsidR="00000000" w:rsidDel="00000000" w:rsidP="00000000" w:rsidRDefault="00000000" w:rsidRPr="00000000" w14:paraId="00000090">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1">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2895600"/>
            <wp:effectExtent b="0" l="0" r="0" t="0"/>
            <wp:docPr id="2143108266"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61213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810796" cy="3315163"/>
            <wp:effectExtent b="0" l="0" r="0" t="0"/>
            <wp:docPr id="2143108270"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810796" cy="331516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2616200</wp:posOffset>
                </wp:positionV>
                <wp:extent cx="1400175" cy="495300"/>
                <wp:effectExtent b="0" l="0" r="0" t="0"/>
                <wp:wrapNone/>
                <wp:docPr id="2143108261" name=""/>
                <a:graphic>
                  <a:graphicData uri="http://schemas.microsoft.com/office/word/2010/wordprocessingShape">
                    <wps:wsp>
                      <wps:cNvSpPr/>
                      <wps:cNvPr id="3" name="Shape 3"/>
                      <wps:spPr>
                        <a:xfrm>
                          <a:off x="4664963" y="3551400"/>
                          <a:ext cx="1362075" cy="45720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2616200</wp:posOffset>
                </wp:positionV>
                <wp:extent cx="1400175" cy="495300"/>
                <wp:effectExtent b="0" l="0" r="0" t="0"/>
                <wp:wrapNone/>
                <wp:docPr id="2143108261"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1400175" cy="495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2527300</wp:posOffset>
                </wp:positionV>
                <wp:extent cx="123825" cy="180975"/>
                <wp:effectExtent b="0" l="0" r="0" t="0"/>
                <wp:wrapNone/>
                <wp:docPr id="2143108260" name=""/>
                <a:graphic>
                  <a:graphicData uri="http://schemas.microsoft.com/office/word/2010/wordprocessingShape">
                    <wps:wsp>
                      <wps:cNvSpPr/>
                      <wps:cNvPr id="2" name="Shape 2"/>
                      <wps:spPr>
                        <a:xfrm>
                          <a:off x="5293613" y="3699038"/>
                          <a:ext cx="104775" cy="161925"/>
                        </a:xfrm>
                        <a:prstGeom prst="rect">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2527300</wp:posOffset>
                </wp:positionV>
                <wp:extent cx="123825" cy="180975"/>
                <wp:effectExtent b="0" l="0" r="0" t="0"/>
                <wp:wrapNone/>
                <wp:docPr id="2143108260"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123825" cy="180975"/>
                        </a:xfrm>
                        <a:prstGeom prst="rect"/>
                        <a:ln/>
                      </pic:spPr>
                    </pic:pic>
                  </a:graphicData>
                </a:graphic>
              </wp:anchor>
            </w:drawing>
          </mc:Fallback>
        </mc:AlternateContent>
      </w:r>
    </w:p>
    <w:p w:rsidR="00000000" w:rsidDel="00000000" w:rsidP="00000000" w:rsidRDefault="00000000" w:rsidRPr="00000000" w14:paraId="00000093">
      <w:pPr>
        <w:spacing w:line="360" w:lineRule="auto"/>
        <w:ind w:right="51"/>
        <w:jc w:val="cente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4">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no pasa desapercibido para este Organismo Garante que de la revisión al expediente electrónico se advierte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respuesta, hizo entrega del siguiente listado de servidores públicos que conforman el Departamento de Servicios Generales y Control Patrimonial:  </w:t>
      </w:r>
    </w:p>
    <w:p w:rsidR="00000000" w:rsidDel="00000000" w:rsidP="00000000" w:rsidRDefault="00000000" w:rsidRPr="00000000" w14:paraId="00000095">
      <w:pPr>
        <w:spacing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3909402" cy="4777417"/>
            <wp:effectExtent b="0" l="0" r="0" t="0"/>
            <wp:docPr id="2143108269" name="image4.png"/>
            <a:graphic>
              <a:graphicData uri="http://schemas.openxmlformats.org/drawingml/2006/picture">
                <pic:pic>
                  <pic:nvPicPr>
                    <pic:cNvPr id="0" name="image4.png"/>
                    <pic:cNvPicPr preferRelativeResize="0"/>
                  </pic:nvPicPr>
                  <pic:blipFill>
                    <a:blip r:embed="rId14"/>
                    <a:srcRect b="2944" l="0" r="0" t="0"/>
                    <a:stretch>
                      <a:fillRect/>
                    </a:stretch>
                  </pic:blipFill>
                  <pic:spPr>
                    <a:xfrm>
                      <a:off x="0" y="0"/>
                      <a:ext cx="3909402" cy="4777417"/>
                    </a:xfrm>
                    <a:prstGeom prst="rect"/>
                    <a:ln/>
                  </pic:spPr>
                </pic:pic>
              </a:graphicData>
            </a:graphic>
          </wp:inline>
        </w:drawing>
      </w:r>
      <w:r w:rsidDel="00000000" w:rsidR="00000000" w:rsidRPr="00000000">
        <w:rPr>
          <w:rFonts w:ascii="Palatino Linotype" w:cs="Palatino Linotype" w:eastAsia="Palatino Linotype" w:hAnsi="Palatino Linotype"/>
          <w:sz w:val="22"/>
          <w:szCs w:val="22"/>
        </w:rPr>
        <w:drawing>
          <wp:inline distB="0" distT="0" distL="0" distR="0">
            <wp:extent cx="3858843" cy="531892"/>
            <wp:effectExtent b="0" l="0" r="0" t="0"/>
            <wp:docPr id="2143108272" name="image6.png"/>
            <a:graphic>
              <a:graphicData uri="http://schemas.openxmlformats.org/drawingml/2006/picture">
                <pic:pic>
                  <pic:nvPicPr>
                    <pic:cNvPr id="0" name="image6.png"/>
                    <pic:cNvPicPr preferRelativeResize="0"/>
                  </pic:nvPicPr>
                  <pic:blipFill>
                    <a:blip r:embed="rId15"/>
                    <a:srcRect b="0" l="0" r="0" t="25538"/>
                    <a:stretch>
                      <a:fillRect/>
                    </a:stretch>
                  </pic:blipFill>
                  <pic:spPr>
                    <a:xfrm>
                      <a:off x="0" y="0"/>
                      <a:ext cx="3858843" cy="531892"/>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del análisis realizado a la respuesta otorgada por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advierte que únicamente hizo entrega de las atribuciones generales que corresponden al Departamento de Servicios Generales y Control Patrimonial, de conformidad con los artículos 96 y 97 del Reglamento Interior del Organismo Público Descentralizado por Servicio de Carácter Municipal denominado Agua y Saneamiento de Toluca, sin que se adviertan las actividades de los servidores públicos; tal y como se muestra a continuación: </w:t>
      </w:r>
    </w:p>
    <w:p w:rsidR="00000000" w:rsidDel="00000000" w:rsidP="00000000" w:rsidRDefault="00000000" w:rsidRPr="00000000" w14:paraId="0000009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9">
      <w:pPr>
        <w:spacing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635430" cy="5591573"/>
            <wp:effectExtent b="0" l="0" r="0" t="0"/>
            <wp:docPr id="2143108271"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4635430" cy="5591573"/>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6241415"/>
            <wp:effectExtent b="0" l="0" r="0" t="0"/>
            <wp:docPr id="2143108273"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612130" cy="624141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informó a través del Subdirector Administración, que las actividades asignadas a cada servidor público </w:t>
      </w:r>
      <w:r w:rsidDel="00000000" w:rsidR="00000000" w:rsidRPr="00000000">
        <w:rPr>
          <w:rFonts w:ascii="Palatino Linotype" w:cs="Palatino Linotype" w:eastAsia="Palatino Linotype" w:hAnsi="Palatino Linotype"/>
          <w:b w:val="1"/>
          <w:sz w:val="22"/>
          <w:szCs w:val="22"/>
          <w:rtl w:val="0"/>
        </w:rPr>
        <w:t xml:space="preserve">son conforme a las necesidades que las áreas del organismo requieran</w:t>
      </w:r>
      <w:r w:rsidDel="00000000" w:rsidR="00000000" w:rsidRPr="00000000">
        <w:rPr>
          <w:rFonts w:ascii="Palatino Linotype" w:cs="Palatino Linotype" w:eastAsia="Palatino Linotype" w:hAnsi="Palatino Linotype"/>
          <w:sz w:val="22"/>
          <w:szCs w:val="22"/>
          <w:rtl w:val="0"/>
        </w:rPr>
        <w:t xml:space="preserve">; sin embargo, este pronunciamiento no es puntual, ya que como fue señalado en párrafos que anteceden la información requerida no sólo obra en los archivos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sino que obra en las fronteras conceptuales de las obligaciones de transparencia común, por lo que nos conduce a concluir que no se atendió el principio de congruencia y exhaustividad, el cual de acuerdo con el Criterio orientador 02/2017 emitido por el entonces Instituto Nacional de Transparencia, Acceso a la Información y Protección de Datos Personales, el cual establece lo siguiente</w:t>
      </w:r>
    </w:p>
    <w:p w:rsidR="00000000" w:rsidDel="00000000" w:rsidP="00000000" w:rsidRDefault="00000000" w:rsidRPr="00000000" w14:paraId="0000009D">
      <w:pPr>
        <w:pBdr>
          <w:top w:space="0" w:sz="0" w:val="nil"/>
          <w:left w:space="0" w:sz="0" w:val="nil"/>
          <w:bottom w:space="0" w:sz="0" w:val="nil"/>
          <w:right w:space="0" w:sz="0" w:val="nil"/>
          <w:between w:space="0" w:sz="0" w:val="nil"/>
        </w:pBdr>
        <w:ind w:right="70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bookmarkStart w:colFirst="0" w:colLast="0" w:name="_heading=h.ll7zneq0zx44" w:id="12"/>
      <w:bookmarkEnd w:id="12"/>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Congruencia y exhaustividad. Sus alcances para garantizar el derecho de acceso a la información.</w:t>
      </w:r>
      <w:r w:rsidDel="00000000" w:rsidR="00000000" w:rsidRPr="00000000">
        <w:rPr>
          <w:rFonts w:ascii="Palatino Linotype" w:cs="Palatino Linotype" w:eastAsia="Palatino Linotype" w:hAnsi="Palatino Linotype"/>
          <w:i w:val="1"/>
          <w:sz w:val="22"/>
          <w:szCs w:val="22"/>
          <w:rtl w:val="0"/>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los sujetos obligados para garantizar el Derecho de Acceso a la Información Pública, deberán cumplir con los principios de exhaustividad y congruencia, esto es, que la congruencia </w:t>
      </w:r>
      <w:r w:rsidDel="00000000" w:rsidR="00000000" w:rsidRPr="00000000">
        <w:rPr>
          <w:rFonts w:ascii="Palatino Linotype" w:cs="Palatino Linotype" w:eastAsia="Palatino Linotype" w:hAnsi="Palatino Linotype"/>
          <w:b w:val="1"/>
          <w:sz w:val="22"/>
          <w:szCs w:val="22"/>
          <w:rtl w:val="0"/>
        </w:rPr>
        <w:t xml:space="preserve">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sz w:val="22"/>
          <w:szCs w:val="22"/>
          <w:rtl w:val="0"/>
        </w:rPr>
        <w:t xml:space="preserve">, mientras que la exhaustividad establece que el sujeto obligado </w:t>
      </w:r>
      <w:r w:rsidDel="00000000" w:rsidR="00000000" w:rsidRPr="00000000">
        <w:rPr>
          <w:rFonts w:ascii="Palatino Linotype" w:cs="Palatino Linotype" w:eastAsia="Palatino Linotype" w:hAnsi="Palatino Linotype"/>
          <w:b w:val="1"/>
          <w:sz w:val="22"/>
          <w:szCs w:val="22"/>
          <w:rtl w:val="0"/>
        </w:rPr>
        <w:t xml:space="preserve">deberá atender de manera expresa cada uno de los puntos solicitados</w:t>
      </w:r>
      <w:r w:rsidDel="00000000" w:rsidR="00000000" w:rsidRPr="00000000">
        <w:rPr>
          <w:rFonts w:ascii="Palatino Linotype" w:cs="Palatino Linotype" w:eastAsia="Palatino Linotype" w:hAnsi="Palatino Linotype"/>
          <w:sz w:val="22"/>
          <w:szCs w:val="22"/>
          <w:rtl w:val="0"/>
        </w:rPr>
        <w:t xml:space="preserve">, situación que en el presente caso </w:t>
      </w:r>
      <w:r w:rsidDel="00000000" w:rsidR="00000000" w:rsidRPr="00000000">
        <w:rPr>
          <w:rFonts w:ascii="Palatino Linotype" w:cs="Palatino Linotype" w:eastAsia="Palatino Linotype" w:hAnsi="Palatino Linotype"/>
          <w:b w:val="1"/>
          <w:sz w:val="22"/>
          <w:szCs w:val="22"/>
          <w:u w:val="single"/>
          <w:rtl w:val="0"/>
        </w:rPr>
        <w:t xml:space="preserve">no aconteció</w:t>
      </w:r>
      <w:r w:rsidDel="00000000" w:rsidR="00000000" w:rsidRPr="00000000">
        <w:rPr>
          <w:rFonts w:ascii="Palatino Linotype" w:cs="Palatino Linotype" w:eastAsia="Palatino Linotype" w:hAnsi="Palatino Linotype"/>
          <w:sz w:val="22"/>
          <w:szCs w:val="22"/>
          <w:rtl w:val="0"/>
        </w:rPr>
        <w:t xml:space="preserve">, pues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fue congruente ni exhaustivo en proporcionar la información que requirió específicamente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debido 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cumplió cabalmente con la entrega de la información, los agravios hechos valer por la parte solicitante devienen</w:t>
      </w:r>
      <w:r w:rsidDel="00000000" w:rsidR="00000000" w:rsidRPr="00000000">
        <w:rPr>
          <w:rFonts w:ascii="Palatino Linotype" w:cs="Palatino Linotype" w:eastAsia="Palatino Linotype" w:hAnsi="Palatino Linotype"/>
          <w:b w:val="1"/>
          <w:sz w:val="22"/>
          <w:szCs w:val="22"/>
          <w:rtl w:val="0"/>
        </w:rPr>
        <w:t xml:space="preserve"> fundados </w:t>
      </w:r>
      <w:r w:rsidDel="00000000" w:rsidR="00000000" w:rsidRPr="00000000">
        <w:rPr>
          <w:rFonts w:ascii="Palatino Linotype" w:cs="Palatino Linotype" w:eastAsia="Palatino Linotype" w:hAnsi="Palatino Linotype"/>
          <w:sz w:val="22"/>
          <w:szCs w:val="22"/>
          <w:rtl w:val="0"/>
        </w:rPr>
        <w:t xml:space="preserve">y, por ende, este Organismo Garante determina modificar la respuesta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y </w:t>
      </w:r>
      <w:r w:rsidDel="00000000" w:rsidR="00000000" w:rsidRPr="00000000">
        <w:rPr>
          <w:rFonts w:ascii="Palatino Linotype" w:cs="Palatino Linotype" w:eastAsia="Palatino Linotype" w:hAnsi="Palatino Linotype"/>
          <w:b w:val="1"/>
          <w:sz w:val="22"/>
          <w:szCs w:val="22"/>
          <w:rtl w:val="0"/>
        </w:rPr>
        <w:t xml:space="preserve">ordenar</w:t>
      </w:r>
      <w:r w:rsidDel="00000000" w:rsidR="00000000" w:rsidRPr="00000000">
        <w:rPr>
          <w:rFonts w:ascii="Palatino Linotype" w:cs="Palatino Linotype" w:eastAsia="Palatino Linotype" w:hAnsi="Palatino Linotype"/>
          <w:sz w:val="22"/>
          <w:szCs w:val="22"/>
          <w:rtl w:val="0"/>
        </w:rPr>
        <w:t xml:space="preserve"> la entrega, del documento en donde consten las actividades de los servidores públicos que integran el Departamento de Servicios Generales y Control Patrimonial, al veintisiete de enero de dos mil veinticinco, de ser procedente en versión pública.</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para el caso de que la información que se ordena entregar, no obre en los archivos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por no haberse generado, poseído o administrado, este deberá hacerlo del conocimiento de la parte Recurrente, en términos del artículo 19, párrafo segundo, de la Ley de Transparencia y Acceso a la Información Pública del Estado de México y Municipios, para tenerse por colmado dicho requerimiento.</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Finalmente para la entrega de los soportes documentales que deberá proporcionar el sujeto obligado para dar satisfacción del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000000" w:rsidDel="00000000" w:rsidP="00000000" w:rsidRDefault="00000000" w:rsidRPr="00000000" w14:paraId="000000A7">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a lo que señalan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0A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0A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0A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0A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w:t>
      </w:r>
      <w:r w:rsidDel="00000000" w:rsidR="00000000" w:rsidRPr="00000000">
        <w:rPr>
          <w:rFonts w:ascii="Palatino Linotype" w:cs="Palatino Linotype" w:eastAsia="Palatino Linotype" w:hAnsi="Palatino Linotype"/>
          <w:i w:val="1"/>
          <w:sz w:val="22"/>
          <w:szCs w:val="22"/>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A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0A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0B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 </w:t>
      </w:r>
      <w:r w:rsidDel="00000000" w:rsidR="00000000" w:rsidRPr="00000000">
        <w:rPr>
          <w:rFonts w:ascii="Palatino Linotype" w:cs="Palatino Linotype" w:eastAsia="Palatino Linotype" w:hAnsi="Palatino Linotype"/>
          <w:i w:val="1"/>
          <w:sz w:val="22"/>
          <w:szCs w:val="22"/>
          <w:rtl w:val="0"/>
        </w:rPr>
        <w:t xml:space="preserve">La clasificación de la información se llevará a cabo en el momento en que:</w:t>
      </w:r>
    </w:p>
    <w:p w:rsidR="00000000" w:rsidDel="00000000" w:rsidP="00000000" w:rsidRDefault="00000000" w:rsidRPr="00000000" w14:paraId="000000B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0B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0B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0B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B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0B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B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0B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B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B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0B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siendo estas las siguientes:</w:t>
      </w:r>
    </w:p>
    <w:p w:rsidR="00000000" w:rsidDel="00000000" w:rsidP="00000000" w:rsidRDefault="00000000" w:rsidRPr="00000000" w14:paraId="000000BD">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“CAPÍTULO VIII </w:t>
      </w:r>
    </w:p>
    <w:p w:rsidR="00000000" w:rsidDel="00000000" w:rsidP="00000000" w:rsidRDefault="00000000" w:rsidRPr="00000000" w14:paraId="000000B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LOS ELEMENTOS PARA LA CLASIFICACIÓN </w:t>
      </w:r>
    </w:p>
    <w:p w:rsidR="00000000" w:rsidDel="00000000" w:rsidP="00000000" w:rsidRDefault="00000000" w:rsidRPr="00000000" w14:paraId="000000C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0C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 </w:t>
      </w:r>
    </w:p>
    <w:p w:rsidR="00000000" w:rsidDel="00000000" w:rsidP="00000000" w:rsidRDefault="00000000" w:rsidRPr="00000000" w14:paraId="000000C2">
      <w:pPr>
        <w:numPr>
          <w:ilvl w:val="1"/>
          <w:numId w:val="4"/>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número de sesión y fecha; </w:t>
      </w:r>
    </w:p>
    <w:p w:rsidR="00000000" w:rsidDel="00000000" w:rsidP="00000000" w:rsidRDefault="00000000" w:rsidRPr="00000000" w14:paraId="000000C3">
      <w:pPr>
        <w:numPr>
          <w:ilvl w:val="1"/>
          <w:numId w:val="4"/>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nombre del área que solicitó la clasificación de información; </w:t>
      </w:r>
    </w:p>
    <w:p w:rsidR="00000000" w:rsidDel="00000000" w:rsidP="00000000" w:rsidRDefault="00000000" w:rsidRPr="00000000" w14:paraId="000000C4">
      <w:pPr>
        <w:numPr>
          <w:ilvl w:val="1"/>
          <w:numId w:val="4"/>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fundamentación legal y motivación correspondiente; </w:t>
      </w:r>
    </w:p>
    <w:p w:rsidR="00000000" w:rsidDel="00000000" w:rsidP="00000000" w:rsidRDefault="00000000" w:rsidRPr="00000000" w14:paraId="000000C5">
      <w:pPr>
        <w:numPr>
          <w:ilvl w:val="1"/>
          <w:numId w:val="4"/>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resolución o resoluciones aprobadas; y </w:t>
      </w:r>
    </w:p>
    <w:p w:rsidR="00000000" w:rsidDel="00000000" w:rsidP="00000000" w:rsidRDefault="00000000" w:rsidRPr="00000000" w14:paraId="000000C6">
      <w:pPr>
        <w:numPr>
          <w:ilvl w:val="1"/>
          <w:numId w:val="4"/>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rúbrica o firma digital de cada integrante del Comité de Transparencia. </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 </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 </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 </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 </w:t>
      </w:r>
    </w:p>
    <w:p w:rsidR="00000000" w:rsidDel="00000000" w:rsidP="00000000" w:rsidRDefault="00000000" w:rsidRPr="00000000" w14:paraId="000000C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0D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por todo lo expuesto que resulta procedente modificar la respuesta en términos de la fracción III del artículo 186 de la Ley de Transparencia y Acceso a la Información Pública del Estado de México y Municipios, a efectos de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entregue la información requerida.</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séptimo, trigésimo octavo y trigésimo noveno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sz w:val="22"/>
          <w:szCs w:val="22"/>
        </w:rPr>
      </w:pPr>
      <w:bookmarkStart w:colFirst="0" w:colLast="0" w:name="_heading=h.ijv98pntcd5s" w:id="13"/>
      <w:bookmarkEnd w:id="13"/>
      <w:r w:rsidDel="00000000" w:rsidR="00000000" w:rsidRPr="00000000">
        <w:rPr>
          <w:rFonts w:ascii="Palatino Linotype" w:cs="Palatino Linotype" w:eastAsia="Palatino Linotype" w:hAnsi="Palatino Linotype"/>
          <w:b w:val="1"/>
          <w:sz w:val="22"/>
          <w:szCs w:val="22"/>
          <w:rtl w:val="0"/>
        </w:rPr>
        <w:t xml:space="preserve">III. R E S U E L V E</w:t>
      </w:r>
    </w:p>
    <w:p w:rsidR="00000000" w:rsidDel="00000000" w:rsidP="00000000" w:rsidRDefault="00000000" w:rsidRPr="00000000" w14:paraId="000000D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w:t>
      </w:r>
      <w:r w:rsidDel="00000000" w:rsidR="00000000" w:rsidRPr="00000000">
        <w:rPr>
          <w:rFonts w:ascii="Palatino Linotype" w:cs="Palatino Linotype" w:eastAsia="Palatino Linotype" w:hAnsi="Palatino Linotype"/>
          <w:b w:val="1"/>
          <w:sz w:val="22"/>
          <w:szCs w:val="22"/>
          <w:rtl w:val="0"/>
        </w:rPr>
        <w:t xml:space="preserve"> fundadas</w:t>
      </w:r>
      <w:r w:rsidDel="00000000" w:rsidR="00000000" w:rsidRPr="00000000">
        <w:rPr>
          <w:rFonts w:ascii="Palatino Linotype" w:cs="Palatino Linotype" w:eastAsia="Palatino Linotype" w:hAnsi="Palatino Linotype"/>
          <w:sz w:val="22"/>
          <w:szCs w:val="22"/>
          <w:rtl w:val="0"/>
        </w:rPr>
        <w:t xml:space="preserve"> las razones o motivos de inconformidad hechos valer por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02444/INFOEM/IP/RR/2025</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tl w:val="0"/>
        </w:rPr>
      </w:r>
    </w:p>
    <w:p w:rsidR="00000000" w:rsidDel="00000000" w:rsidP="00000000" w:rsidRDefault="00000000" w:rsidRPr="00000000" w14:paraId="000000D4">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haga entrega, a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vía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términos de los </w:t>
      </w:r>
      <w:r w:rsidDel="00000000" w:rsidR="00000000" w:rsidRPr="00000000">
        <w:rPr>
          <w:rFonts w:ascii="Palatino Linotype" w:cs="Palatino Linotype" w:eastAsia="Palatino Linotype" w:hAnsi="Palatino Linotype"/>
          <w:b w:val="1"/>
          <w:sz w:val="22"/>
          <w:szCs w:val="22"/>
          <w:rtl w:val="0"/>
        </w:rPr>
        <w:t xml:space="preserve">Considerandos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y Quinto, </w:t>
      </w:r>
      <w:r w:rsidDel="00000000" w:rsidR="00000000" w:rsidRPr="00000000">
        <w:rPr>
          <w:rFonts w:ascii="Palatino Linotype" w:cs="Palatino Linotype" w:eastAsia="Palatino Linotype" w:hAnsi="Palatino Linotype"/>
          <w:sz w:val="22"/>
          <w:szCs w:val="22"/>
          <w:rtl w:val="0"/>
        </w:rPr>
        <w:t xml:space="preserve">de ser procedente en versión pública,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 lo siguiente: </w:t>
      </w:r>
    </w:p>
    <w:p w:rsidR="00000000" w:rsidDel="00000000" w:rsidP="00000000" w:rsidRDefault="00000000" w:rsidRPr="00000000" w14:paraId="000000D5">
      <w:pPr>
        <w:numPr>
          <w:ilvl w:val="3"/>
          <w:numId w:val="4"/>
        </w:num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El documento en donde consten las actividades de los servidores públicos que integran el Departamento de Servicios Generales y Control Patrimonial, al veintisiete de enero de dos mil veinticinco.</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el caso de que la información que se ordena entregar, no obre en los archivos del </w:t>
      </w:r>
      <w:r w:rsidDel="00000000" w:rsidR="00000000" w:rsidRPr="00000000">
        <w:rPr>
          <w:rFonts w:ascii="Palatino Linotype" w:cs="Palatino Linotype" w:eastAsia="Palatino Linotype" w:hAnsi="Palatino Linotype"/>
          <w:b w:val="1"/>
          <w:i w:val="1"/>
          <w:sz w:val="22"/>
          <w:szCs w:val="22"/>
          <w:rtl w:val="0"/>
        </w:rPr>
        <w:t xml:space="preserve">Sujeto Obligado</w:t>
      </w:r>
      <w:r w:rsidDel="00000000" w:rsidR="00000000" w:rsidRPr="00000000">
        <w:rPr>
          <w:rFonts w:ascii="Palatino Linotype" w:cs="Palatino Linotype" w:eastAsia="Palatino Linotype" w:hAnsi="Palatino Linotype"/>
          <w:i w:val="1"/>
          <w:sz w:val="22"/>
          <w:szCs w:val="22"/>
          <w:rtl w:val="0"/>
        </w:rPr>
        <w:t xml:space="preserve">, por no haberse generado, poseído o administrado, este deberá hacerlo del conocimiento del </w:t>
      </w:r>
      <w:r w:rsidDel="00000000" w:rsidR="00000000" w:rsidRPr="00000000">
        <w:rPr>
          <w:rFonts w:ascii="Palatino Linotype" w:cs="Palatino Linotype" w:eastAsia="Palatino Linotype" w:hAnsi="Palatino Linotype"/>
          <w:b w:val="1"/>
          <w:i w:val="1"/>
          <w:sz w:val="22"/>
          <w:szCs w:val="22"/>
          <w:rtl w:val="0"/>
        </w:rPr>
        <w:t xml:space="preserve">Particular</w:t>
      </w:r>
      <w:r w:rsidDel="00000000" w:rsidR="00000000" w:rsidRPr="00000000">
        <w:rPr>
          <w:rFonts w:ascii="Palatino Linotype" w:cs="Palatino Linotype" w:eastAsia="Palatino Linotype" w:hAnsi="Palatino Linotype"/>
          <w:i w:val="1"/>
          <w:sz w:val="22"/>
          <w:szCs w:val="22"/>
          <w:rtl w:val="0"/>
        </w:rPr>
        <w:t xml:space="preserve"> en términos del artículo 19, párrafo segundo, de la Ley de Transparencia y Acceso a la Información Pública del Estado de México y Municipios, para tenerse por colmado dicho requerimiento.</w:t>
      </w:r>
    </w:p>
    <w:p w:rsidR="00000000" w:rsidDel="00000000" w:rsidP="00000000" w:rsidRDefault="00000000" w:rsidRPr="00000000" w14:paraId="000000D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vía 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0DB">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Notifíquese vía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al Titular de la Unidad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rsidR="00000000" w:rsidDel="00000000" w:rsidP="00000000" w:rsidRDefault="00000000" w:rsidRPr="00000000" w14:paraId="000000DC">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sz w:val="22"/>
          <w:szCs w:val="22"/>
          <w:rtl w:val="0"/>
        </w:rPr>
        <w:t xml:space="preserve"> SAIMEX, </w:t>
      </w:r>
      <w:r w:rsidDel="00000000" w:rsidR="00000000" w:rsidRPr="00000000">
        <w:rPr>
          <w:rFonts w:ascii="Palatino Linotype" w:cs="Palatino Linotype" w:eastAsia="Palatino Linotype" w:hAnsi="Palatino Linotype"/>
          <w:sz w:val="22"/>
          <w:szCs w:val="22"/>
          <w:rtl w:val="0"/>
        </w:rPr>
        <w:t xml:space="preserve">a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w:t>
      </w:r>
    </w:p>
    <w:p w:rsidR="00000000" w:rsidDel="00000000" w:rsidP="00000000" w:rsidRDefault="00000000" w:rsidRPr="00000000" w14:paraId="000000D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SÉPTIMA SESIÓN ORDINARIA CELEBRADA EL CATORCE DE MAYO DE DOS MIL VEINTICINCO, ANTE EL SECRETARIO TÉCNICO DEL PLENO ALEXIS TAPIA RAMÍREZ.</w:t>
      </w:r>
    </w:p>
    <w:p w:rsidR="00000000" w:rsidDel="00000000" w:rsidP="00000000" w:rsidRDefault="00000000" w:rsidRPr="00000000" w14:paraId="000000DE">
      <w:pPr>
        <w:spacing w:line="360" w:lineRule="auto"/>
        <w:ind w:right="14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F">
      <w:pPr>
        <w:spacing w:line="360" w:lineRule="auto"/>
        <w:ind w:right="14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0">
      <w:pPr>
        <w:spacing w:line="360" w:lineRule="auto"/>
        <w:ind w:right="14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left" w:leader="none" w:pos="851"/>
        </w:tabs>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left" w:leader="none" w:pos="851"/>
        </w:tabs>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E3">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4">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E5">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E6">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E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4">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8" w:type="default"/>
      <w:headerReference r:id="rId19" w:type="first"/>
      <w:footerReference r:id="rId20" w:type="default"/>
      <w:footerReference r:id="rId21"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7">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5">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-1080130</wp:posOffset>
          </wp:positionH>
          <wp:positionV relativeFrom="paragraph">
            <wp:posOffset>-488272</wp:posOffset>
          </wp:positionV>
          <wp:extent cx="7809865" cy="10165715"/>
          <wp:effectExtent b="0" l="0" r="0" t="0"/>
          <wp:wrapNone/>
          <wp:docPr id="214310826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811.0" w:type="dxa"/>
      <w:jc w:val="left"/>
      <w:tblInd w:w="3261.0" w:type="dxa"/>
      <w:tblLayout w:type="fixed"/>
      <w:tblLook w:val="0400"/>
    </w:tblPr>
    <w:tblGrid>
      <w:gridCol w:w="2489"/>
      <w:gridCol w:w="3322"/>
      <w:tblGridChange w:id="0">
        <w:tblGrid>
          <w:gridCol w:w="2489"/>
          <w:gridCol w:w="3322"/>
        </w:tblGrid>
      </w:tblGridChange>
    </w:tblGrid>
    <w:tr>
      <w:trPr>
        <w:cantSplit w:val="0"/>
        <w:tblHeader w:val="0"/>
      </w:trPr>
      <w:tc>
        <w:tcPr>
          <w:shd w:fill="auto" w:val="clear"/>
        </w:tcPr>
        <w:p w:rsidR="00000000" w:rsidDel="00000000" w:rsidP="00000000" w:rsidRDefault="00000000" w:rsidRPr="00000000" w14:paraId="000000F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F7">
          <w:pPr>
            <w:ind w:left="-53" w:right="17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02444/INFOEM/IP/RR/2025</w:t>
          </w:r>
        </w:p>
      </w:tc>
    </w:tr>
    <w:tr>
      <w:trPr>
        <w:cantSplit w:val="0"/>
        <w:trHeight w:val="228" w:hRule="atLeast"/>
        <w:tblHeader w:val="0"/>
      </w:trPr>
      <w:tc>
        <w:tcPr>
          <w:shd w:fill="auto" w:val="clear"/>
          <w:vAlign w:val="center"/>
        </w:tcPr>
        <w:p w:rsidR="00000000" w:rsidDel="00000000" w:rsidP="00000000" w:rsidRDefault="00000000" w:rsidRPr="00000000" w14:paraId="000000F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F9">
          <w:pPr>
            <w:ind w:left="-45" w:right="168"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Organismo Agua y Saneamiento de Toluca</w:t>
          </w:r>
        </w:p>
      </w:tc>
    </w:tr>
    <w:tr>
      <w:trPr>
        <w:cantSplit w:val="0"/>
        <w:tblHeader w:val="0"/>
      </w:trPr>
      <w:tc>
        <w:tcPr>
          <w:shd w:fill="auto" w:val="clear"/>
          <w:vAlign w:val="center"/>
        </w:tcPr>
        <w:p w:rsidR="00000000" w:rsidDel="00000000" w:rsidP="00000000" w:rsidRDefault="00000000" w:rsidRPr="00000000" w14:paraId="000000FA">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FB">
          <w:pPr>
            <w:ind w:left="-53" w:right="17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FC">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-1080125</wp:posOffset>
          </wp:positionH>
          <wp:positionV relativeFrom="paragraph">
            <wp:posOffset>-369900</wp:posOffset>
          </wp:positionV>
          <wp:extent cx="7809865" cy="10165715"/>
          <wp:effectExtent b="0" l="0" r="0" t="0"/>
          <wp:wrapNone/>
          <wp:docPr id="2143108267"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6095.0" w:type="dxa"/>
      <w:jc w:val="left"/>
      <w:tblInd w:w="3261.0" w:type="dxa"/>
      <w:tblLayout w:type="fixed"/>
      <w:tblLook w:val="0400"/>
    </w:tblPr>
    <w:tblGrid>
      <w:gridCol w:w="2489"/>
      <w:gridCol w:w="3606"/>
      <w:tblGridChange w:id="0">
        <w:tblGrid>
          <w:gridCol w:w="2489"/>
          <w:gridCol w:w="3606"/>
        </w:tblGrid>
      </w:tblGridChange>
    </w:tblGrid>
    <w:tr>
      <w:trPr>
        <w:cantSplit w:val="0"/>
        <w:tblHeader w:val="0"/>
      </w:trPr>
      <w:tc>
        <w:tcPr>
          <w:shd w:fill="auto" w:val="clear"/>
        </w:tcPr>
        <w:p w:rsidR="00000000" w:rsidDel="00000000" w:rsidP="00000000" w:rsidRDefault="00000000" w:rsidRPr="00000000" w14:paraId="000000F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FF">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02444/INFOEM/IP/RR/2025</w:t>
          </w:r>
        </w:p>
      </w:tc>
    </w:tr>
    <w:tr>
      <w:trPr>
        <w:cantSplit w:val="0"/>
        <w:tblHeader w:val="0"/>
      </w:trPr>
      <w:tc>
        <w:tcPr>
          <w:shd w:fill="auto" w:val="clear"/>
        </w:tcPr>
        <w:p w:rsidR="00000000" w:rsidDel="00000000" w:rsidP="00000000" w:rsidRDefault="00000000" w:rsidRPr="00000000" w14:paraId="0000010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01">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w:t>
          </w:r>
        </w:p>
      </w:tc>
    </w:tr>
    <w:tr>
      <w:trPr>
        <w:cantSplit w:val="0"/>
        <w:trHeight w:val="228" w:hRule="atLeast"/>
        <w:tblHeader w:val="0"/>
      </w:trPr>
      <w:tc>
        <w:tcPr>
          <w:shd w:fill="auto" w:val="clear"/>
          <w:vAlign w:val="center"/>
        </w:tcPr>
        <w:p w:rsidR="00000000" w:rsidDel="00000000" w:rsidP="00000000" w:rsidRDefault="00000000" w:rsidRPr="00000000" w14:paraId="0000010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03">
          <w:pPr>
            <w:ind w:right="176"/>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Organismo Agua y Saneamiento de Toluca</w:t>
          </w:r>
        </w:p>
      </w:tc>
    </w:tr>
    <w:tr>
      <w:trPr>
        <w:cantSplit w:val="0"/>
        <w:tblHeader w:val="0"/>
      </w:trPr>
      <w:tc>
        <w:tcPr>
          <w:shd w:fill="auto" w:val="clear"/>
          <w:vAlign w:val="center"/>
        </w:tcPr>
        <w:p w:rsidR="00000000" w:rsidDel="00000000" w:rsidP="00000000" w:rsidRDefault="00000000" w:rsidRPr="00000000" w14:paraId="00000104">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05">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0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5"/>
      <w:numFmt w:val="bullet"/>
      <w:lvlText w:val="-"/>
      <w:lvlJc w:val="left"/>
      <w:pPr>
        <w:ind w:left="1287" w:hanging="360.0000000000001"/>
      </w:pPr>
      <w:rPr>
        <w:rFonts w:ascii="Palatino Linotype" w:cs="Palatino Linotype" w:eastAsia="Palatino Linotype" w:hAnsi="Palatino Linotype"/>
        <w:b w:val="1"/>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2">
    <w:lvl w:ilvl="0">
      <w:start w:val="5"/>
      <w:numFmt w:val="bullet"/>
      <w:lvlText w:val="-"/>
      <w:lvlJc w:val="left"/>
      <w:pPr>
        <w:ind w:left="1287" w:hanging="360.0000000000001"/>
      </w:pPr>
      <w:rPr>
        <w:rFonts w:ascii="Palatino Linotype" w:cs="Palatino Linotype" w:eastAsia="Palatino Linotype" w:hAnsi="Palatino Linotype"/>
        <w:b w:val="1"/>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3">
    <w:lvl w:ilvl="0">
      <w:start w:val="1"/>
      <w:numFmt w:val="decimal"/>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lowerLetter"/>
      <w:lvlText w:val="%1)"/>
      <w:lvlJc w:val="left"/>
      <w:pPr>
        <w:ind w:left="0" w:firstLine="0"/>
      </w:pPr>
      <w:rPr>
        <w:rFonts w:ascii="Palatino Linotype" w:cs="Palatino Linotype" w:eastAsia="Palatino Linotype" w:hAnsi="Palatino Linotype"/>
        <w:b w:val="1"/>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cs="Palatino Linotype" w:eastAsia="Palatino Linotype" w:hAnsi="Palatino Linotype"/>
      </w:rPr>
    </w:lvl>
    <w:lvl w:ilvl="3">
      <w:start w:val="1"/>
      <w:numFmt w:val="bullet"/>
      <w:lvlText w:val="❖"/>
      <w:lvlJc w:val="left"/>
      <w:pPr>
        <w:ind w:left="2880" w:hanging="360"/>
      </w:pPr>
      <w:rPr>
        <w:rFonts w:ascii="Noto Sans Symbols" w:cs="Noto Sans Symbols" w:eastAsia="Noto Sans Symbols" w:hAnsi="Noto Sans Symbols"/>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26F1A"/>
  </w:style>
  <w:style w:type="paragraph" w:styleId="Ttulo1">
    <w:name w:val="heading 1"/>
    <w:basedOn w:val="Normal"/>
    <w:next w:val="Normal"/>
    <w:uiPriority w:val="9"/>
    <w:qFormat w:val="1"/>
    <w:pPr>
      <w:keepNext w:val="1"/>
      <w:keepLines w:val="1"/>
      <w:spacing w:before="240"/>
      <w:outlineLvl w:val="0"/>
    </w:pPr>
    <w:rPr>
      <w:rFonts w:ascii="Calibri" w:cs="Calibri" w:eastAsia="Calibri" w:hAnsi="Calibri"/>
      <w:color w:val="366091"/>
      <w:sz w:val="32"/>
      <w:szCs w:val="32"/>
    </w:rPr>
  </w:style>
  <w:style w:type="paragraph" w:styleId="Ttulo2">
    <w:name w:val="heading 2"/>
    <w:basedOn w:val="Normal"/>
    <w:next w:val="Normal"/>
    <w:uiPriority w:val="9"/>
    <w:semiHidden w:val="1"/>
    <w:unhideWhenUsed w:val="1"/>
    <w:qFormat w:val="1"/>
    <w:pPr>
      <w:keepNext w:val="1"/>
      <w:keepLines w:val="1"/>
      <w:spacing w:before="40"/>
      <w:outlineLvl w:val="1"/>
    </w:pPr>
    <w:rPr>
      <w:rFonts w:ascii="Calibri" w:cs="Calibri" w:eastAsia="Calibri" w:hAnsi="Calibri"/>
      <w:color w:val="366091"/>
      <w:sz w:val="26"/>
      <w:szCs w:val="26"/>
    </w:rPr>
  </w:style>
  <w:style w:type="paragraph" w:styleId="Ttulo3">
    <w:name w:val="heading 3"/>
    <w:basedOn w:val="Normal"/>
    <w:next w:val="Normal"/>
    <w:uiPriority w:val="9"/>
    <w:semiHidden w:val="1"/>
    <w:unhideWhenUsed w:val="1"/>
    <w:qFormat w:val="1"/>
    <w:pPr>
      <w:keepNext w:val="1"/>
      <w:spacing w:after="60" w:before="240"/>
      <w:ind w:left="2160" w:hanging="720"/>
      <w:outlineLvl w:val="2"/>
    </w:pPr>
    <w:rPr>
      <w:rFonts w:ascii="Calibri" w:cs="Calibri" w:eastAsia="Calibri" w:hAnsi="Calibri"/>
      <w:b w:val="1"/>
      <w:sz w:val="26"/>
      <w:szCs w:val="26"/>
    </w:rPr>
  </w:style>
  <w:style w:type="paragraph" w:styleId="Ttulo4">
    <w:name w:val="heading 4"/>
    <w:basedOn w:val="Normal"/>
    <w:next w:val="Normal"/>
    <w:uiPriority w:val="9"/>
    <w:semiHidden w:val="1"/>
    <w:unhideWhenUsed w:val="1"/>
    <w:qFormat w:val="1"/>
    <w:pPr>
      <w:keepNext w:val="1"/>
      <w:spacing w:after="60" w:before="240"/>
      <w:ind w:left="2880" w:hanging="720"/>
      <w:outlineLvl w:val="3"/>
    </w:pPr>
    <w:rPr>
      <w:rFonts w:ascii="Cambria" w:cs="Cambria" w:eastAsia="Cambria" w:hAnsi="Cambria"/>
      <w:b w:val="1"/>
      <w:sz w:val="28"/>
      <w:szCs w:val="28"/>
    </w:rPr>
  </w:style>
  <w:style w:type="paragraph" w:styleId="Ttulo5">
    <w:name w:val="heading 5"/>
    <w:basedOn w:val="Normal"/>
    <w:next w:val="Normal"/>
    <w:uiPriority w:val="9"/>
    <w:semiHidden w:val="1"/>
    <w:unhideWhenUsed w:val="1"/>
    <w:qFormat w:val="1"/>
    <w:pPr>
      <w:spacing w:after="60" w:before="240"/>
      <w:ind w:left="3600" w:hanging="720"/>
      <w:outlineLvl w:val="4"/>
    </w:pPr>
    <w:rPr>
      <w:rFonts w:ascii="Cambria" w:cs="Cambria" w:eastAsia="Cambria" w:hAnsi="Cambria"/>
      <w:b w:val="1"/>
      <w:i w:val="1"/>
      <w:sz w:val="26"/>
      <w:szCs w:val="26"/>
    </w:rPr>
  </w:style>
  <w:style w:type="paragraph" w:styleId="Ttulo6">
    <w:name w:val="heading 6"/>
    <w:basedOn w:val="Normal"/>
    <w:next w:val="Normal"/>
    <w:uiPriority w:val="9"/>
    <w:semiHidden w:val="1"/>
    <w:unhideWhenUsed w:val="1"/>
    <w:qFormat w:val="1"/>
    <w:pPr>
      <w:spacing w:after="60" w:before="240"/>
      <w:ind w:left="4320" w:hanging="720"/>
      <w:outlineLvl w:val="5"/>
    </w:pPr>
    <w:rPr>
      <w:b w:val="1"/>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9"/>
    <w:tblPr>
      <w:tblStyleRowBandSize w:val="1"/>
      <w:tblStyleColBandSize w:val="1"/>
      <w:tblCellMar>
        <w:left w:w="115.0" w:type="dxa"/>
        <w:right w:w="115.0" w:type="dxa"/>
      </w:tblCellMar>
    </w:tblPr>
  </w:style>
  <w:style w:type="table" w:styleId="a0" w:customStyle="1">
    <w:basedOn w:val="TableNormal9"/>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0D197B"/>
    <w:pPr>
      <w:tabs>
        <w:tab w:val="center" w:pos="4419"/>
        <w:tab w:val="right" w:pos="8838"/>
      </w:tabs>
    </w:pPr>
  </w:style>
  <w:style w:type="character" w:styleId="EncabezadoCar" w:customStyle="1">
    <w:name w:val="Encabezado Car"/>
    <w:basedOn w:val="Fuentedeprrafopredeter"/>
    <w:link w:val="Encabezado"/>
    <w:uiPriority w:val="99"/>
    <w:rsid w:val="000D197B"/>
  </w:style>
  <w:style w:type="paragraph" w:styleId="Piedepgina">
    <w:name w:val="footer"/>
    <w:basedOn w:val="Normal"/>
    <w:link w:val="PiedepginaCar"/>
    <w:uiPriority w:val="99"/>
    <w:unhideWhenUsed w:val="1"/>
    <w:rsid w:val="000D197B"/>
    <w:pPr>
      <w:tabs>
        <w:tab w:val="center" w:pos="4419"/>
        <w:tab w:val="right" w:pos="8838"/>
      </w:tabs>
    </w:pPr>
  </w:style>
  <w:style w:type="character" w:styleId="PiedepginaCar" w:customStyle="1">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43334"/>
    <w:pPr>
      <w:ind w:left="720"/>
      <w:contextualSpacing w:val="1"/>
    </w:pPr>
  </w:style>
  <w:style w:type="paragraph" w:styleId="NormalWeb">
    <w:name w:val="Normal (Web)"/>
    <w:basedOn w:val="Normal"/>
    <w:uiPriority w:val="99"/>
    <w:unhideWhenUsed w:val="1"/>
    <w:rsid w:val="00476335"/>
    <w:pPr>
      <w:spacing w:after="100" w:afterAutospacing="1" w:before="100" w:before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806B5C"/>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806B5C"/>
    <w:rPr>
      <w:rFonts w:asciiTheme="minorHAnsi" w:cstheme="minorBidi" w:eastAsiaTheme="minorHAnsi" w:hAnsiTheme="minorHAns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val="1"/>
    <w:qFormat w:val="1"/>
    <w:rsid w:val="00806B5C"/>
    <w:rPr>
      <w:vertAlign w:val="superscript"/>
    </w:rPr>
  </w:style>
  <w:style w:type="table" w:styleId="a1" w:customStyle="1">
    <w:basedOn w:val="TableNormal9"/>
    <w:tblPr>
      <w:tblStyleRowBandSize w:val="1"/>
      <w:tblStyleColBandSize w:val="1"/>
      <w:tblCellMar>
        <w:left w:w="115.0" w:type="dxa"/>
        <w:right w:w="115.0" w:type="dxa"/>
      </w:tblCellMar>
    </w:tblPr>
  </w:style>
  <w:style w:type="table" w:styleId="a2" w:customStyle="1">
    <w:basedOn w:val="TableNormal9"/>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504D6C"/>
    <w:rPr>
      <w:color w:val="0000ff" w:themeColor="hyperlink"/>
      <w:u w:val="single"/>
    </w:rPr>
  </w:style>
  <w:style w:type="character" w:styleId="Hipervnculovisitado">
    <w:name w:val="FollowedHyperlink"/>
    <w:basedOn w:val="Fuentedeprrafopredeter"/>
    <w:uiPriority w:val="99"/>
    <w:semiHidden w:val="1"/>
    <w:unhideWhenUsed w:val="1"/>
    <w:rsid w:val="00504D6C"/>
    <w:rPr>
      <w:color w:val="800080" w:themeColor="followedHyperlink"/>
      <w:u w:val="single"/>
    </w:rPr>
  </w:style>
  <w:style w:type="table" w:styleId="Tablaconcuadrcula">
    <w:name w:val="Table Grid"/>
    <w:basedOn w:val="Tablanormal"/>
    <w:uiPriority w:val="39"/>
    <w:rsid w:val="00134AD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3" w:customStyle="1">
    <w:basedOn w:val="TableNormal8"/>
    <w:tblPr>
      <w:tblStyleRowBandSize w:val="1"/>
      <w:tblStyleColBandSize w:val="1"/>
      <w:tblCellMar>
        <w:left w:w="115.0" w:type="dxa"/>
        <w:right w:w="115.0" w:type="dxa"/>
      </w:tblCellMar>
    </w:tblPr>
  </w:style>
  <w:style w:type="table" w:styleId="a4" w:customStyle="1">
    <w:basedOn w:val="TableNormal8"/>
    <w:tblPr>
      <w:tblStyleRowBandSize w:val="1"/>
      <w:tblStyleColBandSize w:val="1"/>
      <w:tblCellMar>
        <w:left w:w="115.0" w:type="dxa"/>
        <w:right w:w="115.0" w:type="dxa"/>
      </w:tblCellMar>
    </w:tblPr>
  </w:style>
  <w:style w:type="paragraph" w:styleId="Listaconvietas3">
    <w:name w:val="List Bullet 3"/>
    <w:basedOn w:val="Normal"/>
    <w:uiPriority w:val="99"/>
    <w:unhideWhenUsed w:val="1"/>
    <w:rsid w:val="005E017B"/>
    <w:pPr>
      <w:numPr>
        <w:numId w:val="2"/>
      </w:numPr>
      <w:contextualSpacing w:val="1"/>
    </w:pPr>
  </w:style>
  <w:style w:type="character" w:styleId="yt-core-attributed-string--link-inherit-color" w:customStyle="1">
    <w:name w:val="yt-core-attributed-string--link-inherit-color"/>
    <w:basedOn w:val="Fuentedeprrafopredeter"/>
    <w:rsid w:val="00EA0BEF"/>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val="1"/>
    <w:locked w:val="1"/>
    <w:rsid w:val="00452086"/>
  </w:style>
  <w:style w:type="character" w:styleId="Mencinsinresolver1" w:customStyle="1">
    <w:name w:val="Mención sin resolver1"/>
    <w:basedOn w:val="Fuentedeprrafopredeter"/>
    <w:uiPriority w:val="99"/>
    <w:semiHidden w:val="1"/>
    <w:unhideWhenUsed w:val="1"/>
    <w:rsid w:val="00C64B15"/>
    <w:rPr>
      <w:color w:val="605e5c"/>
      <w:shd w:color="auto" w:fill="e1dfdd" w:val="clear"/>
    </w:rPr>
  </w:style>
  <w:style w:type="paragraph" w:styleId="Default" w:customStyle="1">
    <w:name w:val="Default"/>
    <w:rsid w:val="00B92077"/>
    <w:pPr>
      <w:autoSpaceDE w:val="0"/>
      <w:autoSpaceDN w:val="0"/>
      <w:adjustRightInd w:val="0"/>
    </w:pPr>
    <w:rPr>
      <w:rFonts w:ascii="Arial" w:cs="Arial" w:hAnsi="Arial"/>
      <w:color w:val="000000"/>
    </w:rPr>
  </w:style>
  <w:style w:type="character" w:styleId="Mencinsinresolver2" w:customStyle="1">
    <w:name w:val="Mención sin resolver2"/>
    <w:basedOn w:val="Fuentedeprrafopredeter"/>
    <w:uiPriority w:val="99"/>
    <w:semiHidden w:val="1"/>
    <w:unhideWhenUsed w:val="1"/>
    <w:rsid w:val="00251B93"/>
    <w:rPr>
      <w:color w:val="605e5c"/>
      <w:shd w:color="auto" w:fill="e1dfdd" w:val="clear"/>
    </w:rPr>
  </w:style>
  <w:style w:type="paragraph" w:styleId="Textodeglobo">
    <w:name w:val="Balloon Text"/>
    <w:basedOn w:val="Normal"/>
    <w:link w:val="TextodegloboCar"/>
    <w:uiPriority w:val="99"/>
    <w:semiHidden w:val="1"/>
    <w:unhideWhenUsed w:val="1"/>
    <w:rsid w:val="00DD0D64"/>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D0D64"/>
    <w:rPr>
      <w:rFonts w:ascii="Segoe UI" w:cs="Segoe UI" w:hAnsi="Segoe UI"/>
      <w:sz w:val="18"/>
      <w:szCs w:val="18"/>
    </w:rPr>
  </w:style>
  <w:style w:type="paragraph" w:styleId="Sinespaciado">
    <w:name w:val="No Spacing"/>
    <w:aliases w:val="Francesa"/>
    <w:link w:val="SinespaciadoCar"/>
    <w:uiPriority w:val="1"/>
    <w:qFormat w:val="1"/>
    <w:rsid w:val="000D0148"/>
    <w:rPr>
      <w:rFonts w:asciiTheme="minorHAnsi" w:cstheme="minorBidi" w:eastAsiaTheme="minorHAnsi" w:hAnsiTheme="minorHAnsi"/>
      <w:sz w:val="22"/>
      <w:szCs w:val="22"/>
      <w:lang w:eastAsia="en-US"/>
    </w:rPr>
  </w:style>
  <w:style w:type="character" w:styleId="SinespaciadoCar" w:customStyle="1">
    <w:name w:val="Sin espaciado Car"/>
    <w:aliases w:val="Francesa Car"/>
    <w:link w:val="Sinespaciado"/>
    <w:uiPriority w:val="1"/>
    <w:locked w:val="1"/>
    <w:rsid w:val="000D0148"/>
    <w:rPr>
      <w:rFonts w:asciiTheme="minorHAnsi" w:cstheme="minorBidi" w:eastAsiaTheme="minorHAnsi" w:hAnsiTheme="minorHAnsi"/>
      <w:sz w:val="22"/>
      <w:szCs w:val="22"/>
      <w:lang w:eastAsia="en-US"/>
    </w:rPr>
  </w:style>
  <w:style w:type="paragraph" w:styleId="rtejustify" w:customStyle="1">
    <w:name w:val="rtejustify"/>
    <w:basedOn w:val="Normal"/>
    <w:rsid w:val="00876EB7"/>
    <w:pPr>
      <w:spacing w:after="100" w:afterAutospacing="1" w:before="100" w:beforeAutospacing="1"/>
    </w:pPr>
  </w:style>
  <w:style w:type="table" w:styleId="a5" w:customStyle="1">
    <w:basedOn w:val="TableNormal7"/>
    <w:tblPr>
      <w:tblStyleRowBandSize w:val="1"/>
      <w:tblStyleColBandSize w:val="1"/>
      <w:tblCellMar>
        <w:left w:w="108.0" w:type="dxa"/>
        <w:right w:w="108.0" w:type="dxa"/>
      </w:tblCellMar>
    </w:tblPr>
  </w:style>
  <w:style w:type="table" w:styleId="a6" w:customStyle="1">
    <w:basedOn w:val="TableNormal7"/>
    <w:tblPr>
      <w:tblStyleRowBandSize w:val="1"/>
      <w:tblStyleColBandSize w:val="1"/>
      <w:tblCellMar>
        <w:left w:w="108.0" w:type="dxa"/>
        <w:right w:w="108.0" w:type="dxa"/>
      </w:tblCellMar>
    </w:tblPr>
  </w:style>
  <w:style w:type="table" w:styleId="a7" w:customStyle="1">
    <w:basedOn w:val="TableNormal7"/>
    <w:tblPr>
      <w:tblStyleRowBandSize w:val="1"/>
      <w:tblStyleColBandSize w:val="1"/>
      <w:tblCellMar>
        <w:left w:w="108.0" w:type="dxa"/>
        <w:right w:w="108.0" w:type="dxa"/>
      </w:tblCellMar>
    </w:tblPr>
  </w:style>
  <w:style w:type="table" w:styleId="a8" w:customStyle="1">
    <w:basedOn w:val="TableNormal7"/>
    <w:tblPr>
      <w:tblStyleRowBandSize w:val="1"/>
      <w:tblStyleColBandSize w:val="1"/>
      <w:tblCellMar>
        <w:left w:w="108.0" w:type="dxa"/>
        <w:right w:w="108.0" w:type="dxa"/>
      </w:tblCellMar>
    </w:tblPr>
  </w:style>
  <w:style w:type="table" w:styleId="a9" w:customStyle="1">
    <w:basedOn w:val="TableNormal7"/>
    <w:tblPr>
      <w:tblStyleRowBandSize w:val="1"/>
      <w:tblStyleColBandSize w:val="1"/>
      <w:tblCellMar>
        <w:left w:w="108.0" w:type="dxa"/>
        <w:right w:w="108.0" w:type="dxa"/>
      </w:tblCellMar>
    </w:tblPr>
  </w:style>
  <w:style w:type="table" w:styleId="aa" w:customStyle="1">
    <w:basedOn w:val="TableNormal7"/>
    <w:tblPr>
      <w:tblStyleRowBandSize w:val="1"/>
      <w:tblStyleColBandSize w:val="1"/>
      <w:tblCellMar>
        <w:left w:w="115.0" w:type="dxa"/>
        <w:right w:w="115.0" w:type="dxa"/>
      </w:tblCellMar>
    </w:tblPr>
  </w:style>
  <w:style w:type="table" w:styleId="ab" w:customStyle="1">
    <w:basedOn w:val="TableNormal7"/>
    <w:tblPr>
      <w:tblStyleRowBandSize w:val="1"/>
      <w:tblStyleColBandSize w:val="1"/>
      <w:tblCellMar>
        <w:left w:w="115.0" w:type="dxa"/>
        <w:right w:w="115.0" w:type="dxa"/>
      </w:tblCellMar>
    </w:tblPr>
  </w:style>
  <w:style w:type="table" w:styleId="ac" w:customStyle="1">
    <w:basedOn w:val="TableNormal6"/>
    <w:tblPr>
      <w:tblStyleRowBandSize w:val="1"/>
      <w:tblStyleColBandSize w:val="1"/>
      <w:tblCellMar>
        <w:left w:w="108.0" w:type="dxa"/>
        <w:right w:w="108.0" w:type="dxa"/>
      </w:tblCellMar>
    </w:tblPr>
  </w:style>
  <w:style w:type="table" w:styleId="ad" w:customStyle="1">
    <w:basedOn w:val="TableNormal6"/>
    <w:tblPr>
      <w:tblStyleRowBandSize w:val="1"/>
      <w:tblStyleColBandSize w:val="1"/>
      <w:tblCellMar>
        <w:left w:w="115.0" w:type="dxa"/>
        <w:right w:w="115.0" w:type="dxa"/>
      </w:tblCellMar>
    </w:tblPr>
  </w:style>
  <w:style w:type="table" w:styleId="ae" w:customStyle="1">
    <w:basedOn w:val="TableNormal6"/>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left w:w="115.0" w:type="dxa"/>
        <w:right w:w="115.0" w:type="dxa"/>
      </w:tblCellMar>
    </w:tblPr>
  </w:style>
  <w:style w:type="table" w:styleId="af1" w:customStyle="1">
    <w:basedOn w:val="TableNormal5"/>
    <w:tblPr>
      <w:tblStyleRowBandSize w:val="1"/>
      <w:tblStyleColBandSize w:val="1"/>
      <w:tblCellMar>
        <w:left w:w="115.0" w:type="dxa"/>
        <w:right w:w="115.0" w:type="dxa"/>
      </w:tblCellMar>
    </w:tblPr>
  </w:style>
  <w:style w:type="table" w:styleId="af2" w:customStyle="1">
    <w:basedOn w:val="TableNormal4"/>
    <w:tblPr>
      <w:tblStyleRowBandSize w:val="1"/>
      <w:tblStyleColBandSize w:val="1"/>
      <w:tblCellMar>
        <w:left w:w="115.0" w:type="dxa"/>
        <w:right w:w="115.0" w:type="dxa"/>
      </w:tblCellMar>
    </w:tblPr>
  </w:style>
  <w:style w:type="table" w:styleId="af3" w:customStyle="1">
    <w:basedOn w:val="TableNormal4"/>
    <w:tblPr>
      <w:tblStyleRowBandSize w:val="1"/>
      <w:tblStyleColBandSize w:val="1"/>
      <w:tblCellMar>
        <w:left w:w="115.0" w:type="dxa"/>
        <w:right w:w="115.0" w:type="dxa"/>
      </w:tblCellMar>
    </w:tblPr>
  </w:style>
  <w:style w:type="table" w:styleId="af4" w:customStyle="1">
    <w:basedOn w:val="TableNormal3"/>
    <w:tblPr>
      <w:tblStyleRowBandSize w:val="1"/>
      <w:tblStyleColBandSize w:val="1"/>
      <w:tblCellMar>
        <w:left w:w="115.0" w:type="dxa"/>
        <w:right w:w="115.0" w:type="dxa"/>
      </w:tblCellMar>
    </w:tblPr>
  </w:style>
  <w:style w:type="table" w:styleId="af5" w:customStyle="1">
    <w:basedOn w:val="TableNormal3"/>
    <w:tblPr>
      <w:tblStyleRowBandSize w:val="1"/>
      <w:tblStyleColBandSize w:val="1"/>
      <w:tblCellMar>
        <w:left w:w="115.0" w:type="dxa"/>
        <w:right w:w="115.0" w:type="dxa"/>
      </w:tblCellMar>
    </w:tblPr>
  </w:style>
  <w:style w:type="paragraph" w:styleId="Listaconvietas">
    <w:name w:val="List Bullet"/>
    <w:basedOn w:val="Normal"/>
    <w:uiPriority w:val="99"/>
    <w:unhideWhenUsed w:val="1"/>
    <w:rsid w:val="00CA1155"/>
    <w:pPr>
      <w:numPr>
        <w:numId w:val="7"/>
      </w:numPr>
      <w:contextualSpacing w:val="1"/>
    </w:pPr>
    <w:rPr>
      <w:lang w:eastAsia="es-ES"/>
    </w:rPr>
  </w:style>
  <w:style w:type="table" w:styleId="af6" w:customStyle="1">
    <w:basedOn w:val="TableNormal2"/>
    <w:tblPr>
      <w:tblStyleRowBandSize w:val="1"/>
      <w:tblStyleColBandSize w:val="1"/>
      <w:tblCellMar>
        <w:left w:w="115.0" w:type="dxa"/>
        <w:right w:w="115.0" w:type="dxa"/>
      </w:tblCellMar>
    </w:tblPr>
  </w:style>
  <w:style w:type="table" w:styleId="af7" w:customStyle="1">
    <w:basedOn w:val="TableNormal2"/>
    <w:tblPr>
      <w:tblStyleRowBandSize w:val="1"/>
      <w:tblStyleColBandSize w:val="1"/>
      <w:tblCellMar>
        <w:left w:w="115.0" w:type="dxa"/>
        <w:right w:w="115.0" w:type="dxa"/>
      </w:tblCellMar>
    </w:tblPr>
  </w:style>
  <w:style w:type="table" w:styleId="af8" w:customStyle="1">
    <w:basedOn w:val="TableNormal2"/>
    <w:tblPr>
      <w:tblStyleRowBandSize w:val="1"/>
      <w:tblStyleColBandSize w:val="1"/>
      <w:tblCellMar>
        <w:left w:w="115.0" w:type="dxa"/>
        <w:right w:w="115.0" w:type="dxa"/>
      </w:tblCellMar>
    </w:tblPr>
  </w:style>
  <w:style w:type="table" w:styleId="af9" w:customStyle="1">
    <w:basedOn w:val="TableNormal1"/>
    <w:tblPr>
      <w:tblStyleRowBandSize w:val="1"/>
      <w:tblStyleColBandSize w:val="1"/>
      <w:tblCellMar>
        <w:left w:w="115.0" w:type="dxa"/>
        <w:right w:w="115.0" w:type="dxa"/>
      </w:tblCellMar>
    </w:tblPr>
  </w:style>
  <w:style w:type="table" w:styleId="afa" w:customStyle="1">
    <w:basedOn w:val="TableNormal1"/>
    <w:tblPr>
      <w:tblStyleRowBandSize w:val="1"/>
      <w:tblStyleColBandSize w:val="1"/>
      <w:tblCellMar>
        <w:left w:w="115.0" w:type="dxa"/>
        <w:right w:w="115.0" w:type="dxa"/>
      </w:tblCellMar>
    </w:tblPr>
  </w:style>
  <w:style w:type="table" w:styleId="afb" w:customStyle="1">
    <w:basedOn w:val="TableNormal1"/>
    <w:tblPr>
      <w:tblStyleRowBandSize w:val="1"/>
      <w:tblStyleColBandSize w:val="1"/>
      <w:tblCellMar>
        <w:left w:w="115.0" w:type="dxa"/>
        <w:right w:w="115.0" w:type="dxa"/>
      </w:tblCellMar>
    </w:tblPr>
  </w:style>
  <w:style w:type="table" w:styleId="afc" w:customStyle="1">
    <w:basedOn w:val="TableNormal0"/>
    <w:tblPr>
      <w:tblStyleRowBandSize w:val="1"/>
      <w:tblStyleColBandSize w:val="1"/>
      <w:tblCellMar>
        <w:left w:w="115.0" w:type="dxa"/>
        <w:right w:w="115.0" w:type="dxa"/>
      </w:tblCellMar>
    </w:tblPr>
  </w:style>
  <w:style w:type="table" w:styleId="afd"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9.png"/><Relationship Id="rId10" Type="http://schemas.openxmlformats.org/officeDocument/2006/relationships/image" Target="media/image10.png"/><Relationship Id="rId21" Type="http://schemas.openxmlformats.org/officeDocument/2006/relationships/footer" Target="footer2.xml"/><Relationship Id="rId13" Type="http://schemas.openxmlformats.org/officeDocument/2006/relationships/image" Target="media/image13.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6.png"/><Relationship Id="rId14" Type="http://schemas.openxmlformats.org/officeDocument/2006/relationships/image" Target="media/image4.png"/><Relationship Id="rId17" Type="http://schemas.openxmlformats.org/officeDocument/2006/relationships/image" Target="media/image11.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7.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iDistdOn8vadbLKz7JqZiF1T9Q==">CgMxLjAyCWguNGQzNG9nODIIaC5namRneHMyCWguM2R5NnZrbTINaC5vbmppZWNxY3dxaDIOaC5hNGVzbTZ2NHJwZmIyCWguMzBqMHpsbDIJaC4yczhleW8xMghoLnR5amN3dDIJaC4zem55c2g3MgloLjJldDkycDAyDmgucWxhenA0eGpoZ2YwMg5oLmRkYzRwNjMwZGtlZDIOaC5sbDd6bmVxMHp4NDQyDmguaWp2OThwbnRjZDVzOAByITE5eXVpMERFMk5MdFhlX2RFc3ZWcHBfT0ZJYzluc2V4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2025-05-29T18:39:00Z</dcterms:created>
  <dc:creator>USUARIO</dc:creator>
</cp:coreProperties>
</file>