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B510A6">
        <w:rPr>
          <w:rFonts w:ascii="Palatino Linotype" w:eastAsia="Palatino Linotype" w:hAnsi="Palatino Linotype" w:cs="Palatino Linotype"/>
          <w:b/>
          <w:bCs/>
        </w:rPr>
        <w:t>doce de noviembre de dos mil veinticinco</w:t>
      </w:r>
      <w:r w:rsidRPr="00B510A6">
        <w:rPr>
          <w:rFonts w:ascii="Palatino Linotype" w:eastAsia="Palatino Linotype" w:hAnsi="Palatino Linotype" w:cs="Palatino Linotype"/>
        </w:rPr>
        <w:t>.</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ind w:right="-112"/>
        <w:jc w:val="both"/>
        <w:rPr>
          <w:rFonts w:ascii="Palatino Linotype" w:eastAsia="Palatino Linotype" w:hAnsi="Palatino Linotype" w:cs="Palatino Linotype"/>
        </w:rPr>
      </w:pPr>
      <w:bookmarkStart w:id="0" w:name="_heading=h.30j0zll" w:colFirst="0" w:colLast="0"/>
      <w:bookmarkEnd w:id="0"/>
      <w:r w:rsidRPr="00B510A6">
        <w:rPr>
          <w:rFonts w:ascii="Palatino Linotype" w:eastAsia="Palatino Linotype" w:hAnsi="Palatino Linotype" w:cs="Palatino Linotype"/>
          <w:b/>
          <w:bCs/>
        </w:rPr>
        <w:t xml:space="preserve">VISTOS </w:t>
      </w:r>
      <w:r w:rsidRPr="00B510A6">
        <w:rPr>
          <w:rFonts w:ascii="Palatino Linotype" w:eastAsia="Palatino Linotype" w:hAnsi="Palatino Linotype" w:cs="Palatino Linotype"/>
        </w:rPr>
        <w:t xml:space="preserve">los expedientes relativos a los recursos de revisión </w:t>
      </w:r>
      <w:r w:rsidRPr="00B510A6">
        <w:rPr>
          <w:rFonts w:ascii="Palatino Linotype" w:eastAsia="Palatino Linotype" w:hAnsi="Palatino Linotype" w:cs="Palatino Linotype"/>
          <w:b/>
          <w:bCs/>
        </w:rPr>
        <w:t>11959/INFOEM/IP/RR/2025, 11960/INFOEM/IP/RR/2025, 11961/INFOEM/IP/RR/2025, 11962/INFOEM/IP/RR/2025, 11963/INFOEM/IP/RR/2025, 11964/INFOEM/IP/RR/2025, 11965/INFOEM/IP/RR/2025, 11966/INFOEM/IP/RR/2025, 11967/INFOEM/IP/RR/2025 y 11968/INFOEM/IP/RR/2025 acumulados,</w:t>
      </w:r>
      <w:r w:rsidRPr="00B510A6">
        <w:rPr>
          <w:rFonts w:ascii="Palatino Linotype" w:eastAsia="Palatino Linotype" w:hAnsi="Palatino Linotype" w:cs="Palatino Linotype"/>
        </w:rPr>
        <w:t xml:space="preserve"> interpuestos por</w:t>
      </w:r>
      <w:r w:rsidRPr="00B510A6">
        <w:rPr>
          <w:rFonts w:ascii="Palatino Linotype" w:eastAsia="Palatino Linotype" w:hAnsi="Palatino Linotype" w:cs="Palatino Linotype"/>
          <w:b/>
          <w:bCs/>
        </w:rPr>
        <w:t xml:space="preserve"> “</w:t>
      </w:r>
      <w:r w:rsidR="00406C32">
        <w:rPr>
          <w:rFonts w:ascii="Palatino Linotype" w:eastAsia="Palatino Linotype" w:hAnsi="Palatino Linotype" w:cs="Palatino Linotype"/>
          <w:b/>
          <w:bCs/>
        </w:rPr>
        <w:t>XX X</w:t>
      </w:r>
      <w:bookmarkStart w:id="1" w:name="_GoBack"/>
      <w:bookmarkEnd w:id="1"/>
      <w:r w:rsidRPr="00B510A6">
        <w:rPr>
          <w:rFonts w:ascii="Palatino Linotype" w:eastAsia="Palatino Linotype" w:hAnsi="Palatino Linotype" w:cs="Palatino Linotype"/>
          <w:b/>
          <w:bCs/>
        </w:rPr>
        <w:t xml:space="preserve">”, </w:t>
      </w:r>
      <w:r w:rsidRPr="00B510A6">
        <w:rPr>
          <w:rFonts w:ascii="Palatino Linotype" w:eastAsia="Palatino Linotype" w:hAnsi="Palatino Linotype" w:cs="Palatino Linotype"/>
        </w:rPr>
        <w:t xml:space="preserve">en lo sucesivo la parte </w:t>
      </w:r>
      <w:r w:rsidRPr="00B510A6">
        <w:rPr>
          <w:rFonts w:ascii="Palatino Linotype" w:eastAsia="Palatino Linotype" w:hAnsi="Palatino Linotype" w:cs="Palatino Linotype"/>
          <w:b/>
          <w:bCs/>
        </w:rPr>
        <w:t>Recurrente</w:t>
      </w:r>
      <w:r w:rsidRPr="00B510A6">
        <w:rPr>
          <w:rFonts w:ascii="Palatino Linotype" w:eastAsia="Palatino Linotype" w:hAnsi="Palatino Linotype" w:cs="Palatino Linotype"/>
        </w:rPr>
        <w:t>, en contra de las respuestas a sus solicitudes de información, por parte del</w:t>
      </w:r>
      <w:r w:rsidRPr="00B510A6">
        <w:rPr>
          <w:rFonts w:ascii="Verdana" w:eastAsia="Verdana" w:hAnsi="Verdana" w:cs="Verdana"/>
          <w:b/>
          <w:bCs/>
          <w:color w:val="000000"/>
          <w:sz w:val="14"/>
          <w:szCs w:val="14"/>
        </w:rPr>
        <w:t xml:space="preserve"> </w:t>
      </w:r>
      <w:r w:rsidRPr="00B510A6">
        <w:rPr>
          <w:rFonts w:ascii="Palatino Linotype" w:eastAsia="Palatino Linotype" w:hAnsi="Palatino Linotype" w:cs="Palatino Linotype"/>
          <w:b/>
          <w:bCs/>
        </w:rPr>
        <w:t xml:space="preserve">Ayuntamiento de Nextlalpan, </w:t>
      </w:r>
      <w:r w:rsidRPr="00B510A6">
        <w:rPr>
          <w:rFonts w:ascii="Palatino Linotype" w:eastAsia="Palatino Linotype" w:hAnsi="Palatino Linotype" w:cs="Palatino Linotype"/>
        </w:rPr>
        <w:t xml:space="preserve">en lo sucesivo el </w:t>
      </w:r>
      <w:r w:rsidRPr="00B510A6">
        <w:rPr>
          <w:rFonts w:ascii="Palatino Linotype" w:eastAsia="Palatino Linotype" w:hAnsi="Palatino Linotype" w:cs="Palatino Linotype"/>
          <w:b/>
          <w:bCs/>
        </w:rPr>
        <w:t xml:space="preserve">Sujeto Obligado; </w:t>
      </w:r>
      <w:r w:rsidRPr="00B510A6">
        <w:rPr>
          <w:rFonts w:ascii="Palatino Linotype" w:eastAsia="Palatino Linotype" w:hAnsi="Palatino Linotype" w:cs="Palatino Linotype"/>
        </w:rPr>
        <w:t xml:space="preserve">se procede a dictar la presente resolución, con base en lo siguiente. </w:t>
      </w:r>
    </w:p>
    <w:p w:rsidR="00AB2DD5" w:rsidRPr="00B510A6" w:rsidRDefault="00AB2DD5">
      <w:pPr>
        <w:spacing w:after="0" w:line="360" w:lineRule="auto"/>
        <w:ind w:right="-112"/>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spacing w:after="0" w:line="360" w:lineRule="auto"/>
        <w:jc w:val="center"/>
        <w:rPr>
          <w:rFonts w:ascii="Palatino Linotype" w:eastAsia="Palatino Linotype" w:hAnsi="Palatino Linotype" w:cs="Palatino Linotype"/>
          <w:b/>
          <w:bCs/>
        </w:rPr>
      </w:pPr>
      <w:r w:rsidRPr="00B510A6">
        <w:rPr>
          <w:rFonts w:ascii="Palatino Linotype" w:eastAsia="Palatino Linotype" w:hAnsi="Palatino Linotype" w:cs="Palatino Linotype"/>
          <w:b/>
          <w:bCs/>
        </w:rPr>
        <w:t>I. A N T E C E D E N T E S:</w:t>
      </w:r>
    </w:p>
    <w:p w:rsidR="00AB2DD5" w:rsidRPr="00B510A6" w:rsidRDefault="00AB2DD5">
      <w:pPr>
        <w:pBdr>
          <w:top w:val="nil"/>
          <w:left w:val="nil"/>
          <w:bottom w:val="nil"/>
          <w:right w:val="nil"/>
          <w:between w:val="nil"/>
        </w:pBdr>
        <w:spacing w:after="0" w:line="360" w:lineRule="auto"/>
        <w:jc w:val="center"/>
        <w:rPr>
          <w:rFonts w:ascii="Palatino Linotype" w:eastAsia="Palatino Linotype" w:hAnsi="Palatino Linotype" w:cs="Palatino Linotype"/>
          <w:b/>
          <w:bCs/>
        </w:rPr>
      </w:pPr>
    </w:p>
    <w:p w:rsidR="00AB2DD5" w:rsidRPr="00B510A6" w:rsidRDefault="004924E2">
      <w:pPr>
        <w:numPr>
          <w:ilvl w:val="0"/>
          <w:numId w:val="1"/>
        </w:numPr>
        <w:pBdr>
          <w:top w:val="nil"/>
          <w:left w:val="nil"/>
          <w:bottom w:val="nil"/>
          <w:right w:val="nil"/>
          <w:between w:val="nil"/>
        </w:pBdr>
        <w:tabs>
          <w:tab w:val="left" w:pos="284"/>
          <w:tab w:val="left" w:pos="567"/>
        </w:tabs>
        <w:spacing w:after="0" w:line="360" w:lineRule="auto"/>
        <w:ind w:left="0" w:firstLine="0"/>
        <w:jc w:val="both"/>
        <w:rPr>
          <w:rFonts w:ascii="Palatino Linotype" w:eastAsia="Palatino Linotype" w:hAnsi="Palatino Linotype" w:cs="Palatino Linotype"/>
        </w:rPr>
      </w:pPr>
      <w:r w:rsidRPr="00B510A6">
        <w:rPr>
          <w:rFonts w:ascii="Palatino Linotype" w:eastAsia="Palatino Linotype" w:hAnsi="Palatino Linotype" w:cs="Palatino Linotype"/>
          <w:b/>
          <w:bCs/>
        </w:rPr>
        <w:t>Solicitudes de acceso a la información.</w:t>
      </w:r>
      <w:r w:rsidRPr="00B510A6">
        <w:rPr>
          <w:rFonts w:ascii="Palatino Linotype" w:eastAsia="Palatino Linotype" w:hAnsi="Palatino Linotype" w:cs="Palatino Linotype"/>
        </w:rPr>
        <w:t xml:space="preserve"> Con fechas </w:t>
      </w:r>
      <w:r w:rsidRPr="00B510A6">
        <w:rPr>
          <w:rFonts w:ascii="Palatino Linotype" w:eastAsia="Palatino Linotype" w:hAnsi="Palatino Linotype" w:cs="Palatino Linotype"/>
          <w:b/>
          <w:bCs/>
        </w:rPr>
        <w:t xml:space="preserve">veinticinco de septiembre de dos mil veinticinco, </w:t>
      </w:r>
      <w:r w:rsidRPr="00B510A6">
        <w:rPr>
          <w:rFonts w:ascii="Palatino Linotype" w:eastAsia="Palatino Linotype" w:hAnsi="Palatino Linotype" w:cs="Palatino Linotype"/>
        </w:rPr>
        <w:t>la persona solicitante</w:t>
      </w:r>
      <w:r w:rsidRPr="00B510A6">
        <w:rPr>
          <w:rFonts w:ascii="Palatino Linotype" w:eastAsia="Palatino Linotype" w:hAnsi="Palatino Linotype" w:cs="Palatino Linotype"/>
          <w:b/>
          <w:bCs/>
        </w:rPr>
        <w:t xml:space="preserve"> </w:t>
      </w:r>
      <w:r w:rsidRPr="00B510A6">
        <w:rPr>
          <w:rFonts w:ascii="Palatino Linotype" w:eastAsia="Palatino Linotype" w:hAnsi="Palatino Linotype" w:cs="Palatino Linotype"/>
        </w:rPr>
        <w:t xml:space="preserve">presentó, a través del Sistema de Acceso a la Información Mexiquense, en lo subsecuente </w:t>
      </w:r>
      <w:r w:rsidRPr="00B510A6">
        <w:rPr>
          <w:rFonts w:ascii="Palatino Linotype" w:eastAsia="Palatino Linotype" w:hAnsi="Palatino Linotype" w:cs="Palatino Linotype"/>
          <w:b/>
          <w:bCs/>
        </w:rPr>
        <w:t xml:space="preserve">SAIMEX, </w:t>
      </w:r>
      <w:r w:rsidRPr="00B510A6">
        <w:rPr>
          <w:rFonts w:ascii="Palatino Linotype" w:eastAsia="Palatino Linotype" w:hAnsi="Palatino Linotype" w:cs="Palatino Linotype"/>
        </w:rPr>
        <w:t xml:space="preserve">ante el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las solicitudes de acceso a la información pública, mediante las cuales requirió la información siguiente:</w:t>
      </w:r>
    </w:p>
    <w:p w:rsidR="00AB2DD5" w:rsidRPr="00B510A6" w:rsidRDefault="00AB2DD5">
      <w:pPr>
        <w:spacing w:after="0" w:line="360" w:lineRule="auto"/>
        <w:jc w:val="both"/>
        <w:rPr>
          <w:rFonts w:ascii="Palatino Linotype" w:eastAsia="Palatino Linotype" w:hAnsi="Palatino Linotype" w:cs="Palatino Linotype"/>
        </w:rPr>
      </w:pPr>
    </w:p>
    <w:tbl>
      <w:tblPr>
        <w:tblStyle w:val="af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438"/>
      </w:tblGrid>
      <w:tr w:rsidR="00AB2DD5" w:rsidRPr="00B510A6">
        <w:trPr>
          <w:jc w:val="center"/>
        </w:trPr>
        <w:tc>
          <w:tcPr>
            <w:tcW w:w="4390" w:type="dxa"/>
            <w:shd w:val="clear" w:color="auto" w:fill="A6A6A6"/>
          </w:tcPr>
          <w:p w:rsidR="00AB2DD5" w:rsidRPr="00B510A6" w:rsidRDefault="004924E2">
            <w:pPr>
              <w:spacing w:after="0" w:line="240" w:lineRule="auto"/>
              <w:jc w:val="center"/>
              <w:rPr>
                <w:rFonts w:ascii="Palatino Linotype" w:eastAsia="Palatino Linotype" w:hAnsi="Palatino Linotype" w:cs="Palatino Linotype"/>
                <w:b/>
                <w:bCs/>
                <w:sz w:val="20"/>
                <w:szCs w:val="20"/>
              </w:rPr>
            </w:pPr>
            <w:r w:rsidRPr="00B510A6">
              <w:rPr>
                <w:rFonts w:ascii="Palatino Linotype" w:eastAsia="Palatino Linotype" w:hAnsi="Palatino Linotype" w:cs="Palatino Linotype"/>
                <w:b/>
                <w:bCs/>
                <w:sz w:val="20"/>
                <w:szCs w:val="20"/>
              </w:rPr>
              <w:t>Solicitud</w:t>
            </w:r>
          </w:p>
        </w:tc>
        <w:tc>
          <w:tcPr>
            <w:tcW w:w="4438" w:type="dxa"/>
            <w:shd w:val="clear" w:color="auto" w:fill="A6A6A6"/>
          </w:tcPr>
          <w:p w:rsidR="00AB2DD5" w:rsidRPr="00B510A6" w:rsidRDefault="004924E2">
            <w:pPr>
              <w:spacing w:after="0" w:line="240" w:lineRule="auto"/>
              <w:jc w:val="center"/>
              <w:rPr>
                <w:rFonts w:ascii="Palatino Linotype" w:eastAsia="Palatino Linotype" w:hAnsi="Palatino Linotype" w:cs="Palatino Linotype"/>
                <w:b/>
                <w:bCs/>
                <w:sz w:val="20"/>
                <w:szCs w:val="20"/>
              </w:rPr>
            </w:pPr>
            <w:r w:rsidRPr="00B510A6">
              <w:rPr>
                <w:rFonts w:ascii="Palatino Linotype" w:eastAsia="Palatino Linotype" w:hAnsi="Palatino Linotype" w:cs="Palatino Linotype"/>
                <w:b/>
                <w:bCs/>
                <w:sz w:val="20"/>
                <w:szCs w:val="20"/>
              </w:rPr>
              <w:t>Información solicitada</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00134/NEXTLAL/IP/2025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11959/INFOEM/IP/RR/2025</w:t>
            </w:r>
          </w:p>
          <w:p w:rsidR="00AB2DD5" w:rsidRPr="00B510A6" w:rsidRDefault="00AB2DD5">
            <w:pPr>
              <w:spacing w:after="0" w:line="240" w:lineRule="auto"/>
              <w:rPr>
                <w:rFonts w:ascii="Palatino Linotype" w:eastAsia="Palatino Linotype" w:hAnsi="Palatino Linotype" w:cs="Palatino Linotype"/>
                <w:b/>
                <w:bCs/>
                <w:sz w:val="20"/>
                <w:szCs w:val="20"/>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 31 de agosto de 2025”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00133/NEXTLAL/IP/2025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11960/INFOEM/IP/RR/2025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 31 de julio de 2025”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lastRenderedPageBreak/>
              <w:t>00132/NEXTLAL/IP/2025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11961/INFOEM/IP/RR/2025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DIGITALIZADAS VIA SAIMEX, del Ayuntamiento de Nextlalpan, Estado de México, Administración2022- 2024,celebradas entre las fechas del 1 al 31 de diciembre de 2024”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00131/NEXTLAL/IP/2025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11962/INFOEM/IP/RR/2025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de enero al 31 enero de 2025”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00130/NEXTLAL/IP/2025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11963/INFOEM/IP/RR/2025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lasfechas del 1 ero al28 de febrero de 2025”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00129/NEXTLAL/IP/2025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11964/INFOEM/IP/RR/2025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DIGITALIZADAS VIA SAIMEX, del Ayuntamiento de Nextlalpan, Estado de México, Administración2022- 2024,celebradas entre las fechas del 1 ero de enero al 30 junio de 2023”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00128/NEXTLAL/IP/2025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11965/INFOEM/IP/RR/2025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 31 marzo de 2025”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00127/NEXTLAL/IP/2025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11966/INFOEM/IP/RR/2025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al30 de abril de 2025”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00126/NEXTLAL/IP/2025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11967/INFOEM/IP/RR/2025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al31 mayo de 2025” (Sic)</w:t>
            </w:r>
          </w:p>
        </w:tc>
      </w:tr>
      <w:tr w:rsidR="00AB2DD5" w:rsidRPr="00B510A6">
        <w:trPr>
          <w:jc w:val="center"/>
        </w:trPr>
        <w:tc>
          <w:tcPr>
            <w:tcW w:w="4390"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00125/NEXTLAL/IP/2025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11968/INFOEM/IP/RR/2025</w:t>
            </w:r>
          </w:p>
          <w:p w:rsidR="00AB2DD5" w:rsidRPr="00B510A6" w:rsidRDefault="00AB2DD5">
            <w:pPr>
              <w:spacing w:after="0" w:line="240" w:lineRule="auto"/>
              <w:jc w:val="center"/>
              <w:rPr>
                <w:rFonts w:ascii="Palatino Linotype" w:eastAsia="Palatino Linotype" w:hAnsi="Palatino Linotype" w:cs="Palatino Linotype"/>
                <w:b/>
                <w:bCs/>
                <w:sz w:val="20"/>
                <w:szCs w:val="20"/>
              </w:rPr>
            </w:pPr>
          </w:p>
        </w:tc>
        <w:tc>
          <w:tcPr>
            <w:tcW w:w="4438" w:type="dxa"/>
          </w:tcPr>
          <w:p w:rsidR="00AB2DD5" w:rsidRPr="00B510A6" w:rsidRDefault="004924E2">
            <w:pPr>
              <w:spacing w:after="0" w:line="240" w:lineRule="auto"/>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al30 de junio de 2025” (Sic)</w:t>
            </w:r>
          </w:p>
        </w:tc>
      </w:tr>
    </w:tbl>
    <w:p w:rsidR="00AB2DD5" w:rsidRPr="00B510A6" w:rsidRDefault="004924E2">
      <w:pPr>
        <w:spacing w:after="0" w:line="360" w:lineRule="auto"/>
        <w:jc w:val="both"/>
        <w:rPr>
          <w:rFonts w:ascii="Palatino Linotype" w:eastAsia="Palatino Linotype" w:hAnsi="Palatino Linotype" w:cs="Palatino Linotype"/>
          <w:b/>
          <w:bCs/>
        </w:rPr>
      </w:pPr>
      <w:bookmarkStart w:id="2" w:name="_heading=h.2et92p0" w:colFirst="0" w:colLast="0"/>
      <w:bookmarkEnd w:id="2"/>
      <w:r w:rsidRPr="00B510A6">
        <w:rPr>
          <w:rFonts w:ascii="Palatino Linotype" w:eastAsia="Palatino Linotype" w:hAnsi="Palatino Linotype" w:cs="Palatino Linotype"/>
          <w:b/>
          <w:bCs/>
        </w:rPr>
        <w:t xml:space="preserve">    </w:t>
      </w:r>
    </w:p>
    <w:p w:rsidR="00AB2DD5" w:rsidRPr="00B510A6" w:rsidRDefault="004924E2">
      <w:pPr>
        <w:spacing w:after="0" w:line="360" w:lineRule="auto"/>
        <w:ind w:right="49"/>
        <w:jc w:val="both"/>
        <w:rPr>
          <w:rFonts w:ascii="Palatino Linotype" w:eastAsia="Palatino Linotype" w:hAnsi="Palatino Linotype" w:cs="Palatino Linotype"/>
        </w:rPr>
      </w:pPr>
      <w:r w:rsidRPr="00B510A6">
        <w:rPr>
          <w:rFonts w:ascii="Palatino Linotype" w:eastAsia="Palatino Linotype" w:hAnsi="Palatino Linotype" w:cs="Palatino Linotype"/>
          <w:b/>
          <w:bCs/>
        </w:rPr>
        <w:t>Modalidad elegida para la entrega de la información:</w:t>
      </w:r>
      <w:r w:rsidRPr="00B510A6">
        <w:rPr>
          <w:rFonts w:ascii="Palatino Linotype" w:eastAsia="Palatino Linotype" w:hAnsi="Palatino Linotype" w:cs="Palatino Linotype"/>
        </w:rPr>
        <w:t xml:space="preserve"> a través del Sistema de Acceso a la Información Mexiquense (SAIMEX). </w:t>
      </w:r>
    </w:p>
    <w:p w:rsidR="00AB2DD5" w:rsidRPr="00B510A6" w:rsidRDefault="00AB2DD5">
      <w:pPr>
        <w:spacing w:after="0" w:line="360" w:lineRule="auto"/>
        <w:jc w:val="both"/>
      </w:pPr>
    </w:p>
    <w:p w:rsidR="00AB2DD5" w:rsidRPr="00B510A6" w:rsidRDefault="004924E2">
      <w:pPr>
        <w:spacing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b/>
          <w:bCs/>
        </w:rPr>
        <w:lastRenderedPageBreak/>
        <w:t xml:space="preserve">2. Respuestas. </w:t>
      </w:r>
      <w:r w:rsidRPr="00B510A6">
        <w:rPr>
          <w:rFonts w:ascii="Palatino Linotype" w:eastAsia="Palatino Linotype" w:hAnsi="Palatino Linotype" w:cs="Palatino Linotype"/>
        </w:rPr>
        <w:t xml:space="preserve">Con fecha </w:t>
      </w:r>
      <w:r w:rsidRPr="00B510A6">
        <w:rPr>
          <w:rFonts w:ascii="Palatino Linotype" w:eastAsia="Palatino Linotype" w:hAnsi="Palatino Linotype" w:cs="Palatino Linotype"/>
          <w:b/>
          <w:bCs/>
        </w:rPr>
        <w:t>trece de octubre de dos mil veinticinco</w:t>
      </w:r>
      <w:r w:rsidRPr="00B510A6">
        <w:rPr>
          <w:rFonts w:ascii="Palatino Linotype" w:eastAsia="Palatino Linotype" w:hAnsi="Palatino Linotype" w:cs="Palatino Linotype"/>
        </w:rPr>
        <w:t xml:space="preserve">, el </w:t>
      </w:r>
      <w:r w:rsidRPr="00B510A6">
        <w:rPr>
          <w:rFonts w:ascii="Palatino Linotype" w:eastAsia="Palatino Linotype" w:hAnsi="Palatino Linotype" w:cs="Palatino Linotype"/>
          <w:b/>
          <w:bCs/>
        </w:rPr>
        <w:t xml:space="preserve">Sujeto Obligado </w:t>
      </w:r>
      <w:r w:rsidRPr="00B510A6">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AB2DD5" w:rsidRPr="00B510A6">
        <w:trPr>
          <w:jc w:val="center"/>
        </w:trPr>
        <w:tc>
          <w:tcPr>
            <w:tcW w:w="2972" w:type="dxa"/>
            <w:shd w:val="clear" w:color="auto" w:fill="A6A6A6"/>
          </w:tcPr>
          <w:p w:rsidR="00AB2DD5" w:rsidRPr="00B510A6" w:rsidRDefault="004924E2">
            <w:pPr>
              <w:spacing w:after="0" w:line="240" w:lineRule="auto"/>
              <w:jc w:val="center"/>
              <w:rPr>
                <w:rFonts w:ascii="Palatino Linotype" w:eastAsia="Palatino Linotype" w:hAnsi="Palatino Linotype" w:cs="Palatino Linotype"/>
                <w:b/>
                <w:bCs/>
                <w:sz w:val="20"/>
                <w:szCs w:val="20"/>
              </w:rPr>
            </w:pPr>
            <w:r w:rsidRPr="00B510A6">
              <w:rPr>
                <w:rFonts w:ascii="Palatino Linotype" w:eastAsia="Palatino Linotype" w:hAnsi="Palatino Linotype" w:cs="Palatino Linotype"/>
                <w:b/>
                <w:bCs/>
                <w:sz w:val="20"/>
                <w:szCs w:val="20"/>
              </w:rPr>
              <w:t>Solicitud</w:t>
            </w:r>
          </w:p>
        </w:tc>
        <w:tc>
          <w:tcPr>
            <w:tcW w:w="5856" w:type="dxa"/>
            <w:shd w:val="clear" w:color="auto" w:fill="A6A6A6"/>
          </w:tcPr>
          <w:p w:rsidR="00AB2DD5" w:rsidRPr="00B510A6" w:rsidRDefault="004924E2">
            <w:pPr>
              <w:spacing w:after="0" w:line="240" w:lineRule="auto"/>
              <w:jc w:val="center"/>
              <w:rPr>
                <w:rFonts w:ascii="Palatino Linotype" w:eastAsia="Palatino Linotype" w:hAnsi="Palatino Linotype" w:cs="Palatino Linotype"/>
                <w:b/>
                <w:bCs/>
                <w:sz w:val="20"/>
                <w:szCs w:val="20"/>
              </w:rPr>
            </w:pPr>
            <w:r w:rsidRPr="00B510A6">
              <w:rPr>
                <w:rFonts w:ascii="Palatino Linotype" w:eastAsia="Palatino Linotype" w:hAnsi="Palatino Linotype" w:cs="Palatino Linotype"/>
                <w:b/>
                <w:bCs/>
                <w:sz w:val="20"/>
                <w:szCs w:val="20"/>
              </w:rPr>
              <w:t>Respuesta</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00134/NEXTLAL/IP/2025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11959/INFOEM/IP/RR/2025</w:t>
            </w:r>
          </w:p>
          <w:p w:rsidR="00AB2DD5" w:rsidRPr="00B510A6" w:rsidRDefault="00AB2DD5">
            <w:pPr>
              <w:spacing w:after="0" w:line="240" w:lineRule="auto"/>
              <w:rPr>
                <w:rFonts w:ascii="Palatino Linotype" w:eastAsia="Palatino Linotype" w:hAnsi="Palatino Linotype" w:cs="Palatino Linotype"/>
                <w:b/>
                <w:bCs/>
                <w:sz w:val="20"/>
                <w:szCs w:val="20"/>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$1,545.03 al tratarse 1707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00133/NEXTLAL/IP/2025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11960/INFOEM/IP/RR/2025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$1,403.84 al tratarse 1551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00132/NEXTLAL/IP/2025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11961/INFOEM/IP/RR/2025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$227.18 al tratarse 251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00131/NEXTLAL/IP/2025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11962/INFOEM/IP/RR/2025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$256.14 al tratarse 283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00130/NEXTLAL/IP/2025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11963/INFOEM/IP/RR/2025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$494.19 al tratarse 546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00129/NEXTLAL/IP/2025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11964/INFOEM/IP/RR/2025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$609.14 al tratarse 673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00128/NEXTLAL/IP/2025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11965/INFOEM/IP/RR/2025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$828.18 al tratarse 915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00127/NEXTLAL/IP/2025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11966/INFOEM/IP/RR/2025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$1025.50 al tratarse 1133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00126/NEXTLAL/IP/2025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11967/INFOEM/IP/RR/2025</w:t>
            </w:r>
          </w:p>
          <w:p w:rsidR="00AB2DD5" w:rsidRPr="00B510A6" w:rsidRDefault="00AB2DD5">
            <w:pPr>
              <w:spacing w:after="0" w:line="240" w:lineRule="auto"/>
              <w:jc w:val="center"/>
              <w:rPr>
                <w:rFonts w:ascii="Palatino Linotype" w:eastAsia="Palatino Linotype" w:hAnsi="Palatino Linotype" w:cs="Palatino Linotype"/>
                <w:b/>
                <w:bCs/>
                <w:sz w:val="19"/>
                <w:szCs w:val="19"/>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 xml:space="preserve">Oficio del 13 de octubre de 2025, a través del cual el Responsable de la Unidad de Transparencia indicó que proporciona la respuesta de la Secretaría del Ayuntamiento. </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$1104.24 al tratarse 1220 fojas, señalando el procedimiento para realizar el pago en la Tesorería Municipal.</w:t>
            </w:r>
          </w:p>
        </w:tc>
      </w:tr>
      <w:tr w:rsidR="00AB2DD5" w:rsidRPr="00B510A6">
        <w:trPr>
          <w:jc w:val="center"/>
        </w:trPr>
        <w:tc>
          <w:tcPr>
            <w:tcW w:w="2972" w:type="dxa"/>
            <w:vAlign w:val="center"/>
          </w:tcPr>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00125/NEXTLAL/IP/2025</w:t>
            </w:r>
          </w:p>
          <w:p w:rsidR="00AB2DD5" w:rsidRPr="00B510A6" w:rsidRDefault="004924E2">
            <w:pPr>
              <w:spacing w:after="0" w:line="240" w:lineRule="auto"/>
              <w:jc w:val="center"/>
              <w:rPr>
                <w:rFonts w:ascii="Palatino Linotype" w:eastAsia="Palatino Linotype" w:hAnsi="Palatino Linotype" w:cs="Palatino Linotype"/>
                <w:b/>
                <w:bCs/>
                <w:sz w:val="19"/>
                <w:szCs w:val="19"/>
              </w:rPr>
            </w:pPr>
            <w:r w:rsidRPr="00B510A6">
              <w:rPr>
                <w:rFonts w:ascii="Palatino Linotype" w:eastAsia="Palatino Linotype" w:hAnsi="Palatino Linotype" w:cs="Palatino Linotype"/>
                <w:b/>
                <w:bCs/>
                <w:sz w:val="19"/>
                <w:szCs w:val="19"/>
              </w:rPr>
              <w:t>Recurso de revisión 11968/INFOEM/IP/RR/2025</w:t>
            </w:r>
          </w:p>
          <w:p w:rsidR="00AB2DD5" w:rsidRPr="00B510A6" w:rsidRDefault="00AB2DD5">
            <w:pPr>
              <w:spacing w:after="0" w:line="240" w:lineRule="auto"/>
              <w:jc w:val="center"/>
              <w:rPr>
                <w:rFonts w:ascii="Palatino Linotype" w:eastAsia="Palatino Linotype" w:hAnsi="Palatino Linotype" w:cs="Palatino Linotype"/>
                <w:b/>
                <w:bCs/>
                <w:sz w:val="20"/>
                <w:szCs w:val="20"/>
              </w:rPr>
            </w:pPr>
          </w:p>
        </w:tc>
        <w:tc>
          <w:tcPr>
            <w:tcW w:w="5856" w:type="dxa"/>
          </w:tcPr>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13 de octubre de 2025, a través del cual el Responsable de la Unidad de Transparencia indicó que proporciona la respuesta de la Secretaría del Ayuntamiento.</w:t>
            </w:r>
          </w:p>
          <w:p w:rsidR="00AB2DD5" w:rsidRPr="00B510A6" w:rsidRDefault="004924E2">
            <w:pPr>
              <w:numPr>
                <w:ilvl w:val="0"/>
                <w:numId w:val="2"/>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B510A6">
              <w:rPr>
                <w:rFonts w:ascii="Palatino Linotype" w:eastAsia="Palatino Linotype" w:hAnsi="Palatino Linotype" w:cs="Palatino Linotype"/>
                <w:color w:val="000000"/>
                <w:sz w:val="20"/>
                <w:szCs w:val="20"/>
              </w:rPr>
              <w:t>Oficio del 06 de octubre de 2025, a través del cual el Secretario del Ayuntamiento indicó que respecto las sesiones celebradas en la temporalidad requerida, para la obtención de las actas de cabildo peticionadas, se debía cubrir previamente el pago por el escaneo por la cantidad de $1182.08 al tratarse 1306 fojas, señalando el procedimiento para realizar el pago en la Tesorería Municipal.</w:t>
            </w:r>
          </w:p>
        </w:tc>
      </w:tr>
    </w:tbl>
    <w:p w:rsidR="00AB2DD5" w:rsidRPr="00B510A6" w:rsidRDefault="00AB2DD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bookmarkStart w:id="3" w:name="_heading=h.gjdgxs" w:colFirst="0" w:colLast="0"/>
      <w:bookmarkEnd w:id="3"/>
      <w:r w:rsidRPr="00B510A6">
        <w:rPr>
          <w:rFonts w:ascii="Palatino Linotype" w:eastAsia="Palatino Linotype" w:hAnsi="Palatino Linotype" w:cs="Palatino Linotype"/>
          <w:b/>
          <w:bCs/>
          <w:color w:val="000000"/>
        </w:rPr>
        <w:t xml:space="preserve">3. Interposición de los recursos de revisión. </w:t>
      </w:r>
      <w:r w:rsidRPr="00B510A6">
        <w:rPr>
          <w:rFonts w:ascii="Palatino Linotype" w:eastAsia="Palatino Linotype" w:hAnsi="Palatino Linotype" w:cs="Palatino Linotype"/>
          <w:color w:val="000000"/>
        </w:rPr>
        <w:t xml:space="preserve">Inconforme la persona solicitante con las respuestas emitidas por el </w:t>
      </w:r>
      <w:r w:rsidRPr="00B510A6">
        <w:rPr>
          <w:rFonts w:ascii="Palatino Linotype" w:eastAsia="Palatino Linotype" w:hAnsi="Palatino Linotype" w:cs="Palatino Linotype"/>
          <w:b/>
          <w:bCs/>
          <w:color w:val="000000"/>
        </w:rPr>
        <w:t xml:space="preserve">Sujeto Obligado </w:t>
      </w:r>
      <w:r w:rsidRPr="00B510A6">
        <w:rPr>
          <w:rFonts w:ascii="Palatino Linotype" w:eastAsia="Palatino Linotype" w:hAnsi="Palatino Linotype" w:cs="Palatino Linotype"/>
          <w:color w:val="000000"/>
        </w:rPr>
        <w:t xml:space="preserve">a sus solicitudes, en fecha </w:t>
      </w:r>
      <w:r w:rsidRPr="00B510A6">
        <w:rPr>
          <w:rFonts w:ascii="Palatino Linotype" w:eastAsia="Palatino Linotype" w:hAnsi="Palatino Linotype" w:cs="Palatino Linotype"/>
          <w:b/>
          <w:bCs/>
          <w:color w:val="000000"/>
        </w:rPr>
        <w:t>catorce de octubre de</w:t>
      </w:r>
      <w:r w:rsidRPr="00B510A6">
        <w:rPr>
          <w:rFonts w:ascii="Palatino Linotype" w:eastAsia="Palatino Linotype" w:hAnsi="Palatino Linotype" w:cs="Palatino Linotype"/>
          <w:b/>
          <w:bCs/>
          <w:color w:val="000000"/>
          <w:sz w:val="24"/>
          <w:szCs w:val="24"/>
        </w:rPr>
        <w:t xml:space="preserve"> </w:t>
      </w:r>
      <w:r w:rsidRPr="00B510A6">
        <w:rPr>
          <w:rFonts w:ascii="Palatino Linotype" w:eastAsia="Palatino Linotype" w:hAnsi="Palatino Linotype" w:cs="Palatino Linotype"/>
          <w:b/>
          <w:bCs/>
          <w:color w:val="000000"/>
        </w:rPr>
        <w:t>dos mil veinticinco</w:t>
      </w:r>
      <w:r w:rsidRPr="00B510A6">
        <w:rPr>
          <w:rFonts w:ascii="Palatino Linotype" w:eastAsia="Palatino Linotype" w:hAnsi="Palatino Linotype" w:cs="Palatino Linotype"/>
          <w:color w:val="000000"/>
        </w:rPr>
        <w:t>, interpuso los recursos de revisión a través del SAIMEX</w:t>
      </w:r>
      <w:r w:rsidRPr="00B510A6">
        <w:rPr>
          <w:rFonts w:ascii="Palatino Linotype" w:eastAsia="Palatino Linotype" w:hAnsi="Palatino Linotype" w:cs="Palatino Linotype"/>
          <w:b/>
          <w:bCs/>
          <w:color w:val="000000"/>
        </w:rPr>
        <w:t xml:space="preserve">, </w:t>
      </w:r>
      <w:r w:rsidRPr="00B510A6">
        <w:rPr>
          <w:rFonts w:ascii="Palatino Linotype" w:eastAsia="Palatino Linotype" w:hAnsi="Palatino Linotype" w:cs="Palatino Linotype"/>
          <w:color w:val="000000"/>
        </w:rPr>
        <w:t>expresando lo siguiente en todos los casos:</w:t>
      </w:r>
    </w:p>
    <w:p w:rsidR="00AB2DD5" w:rsidRPr="00B510A6" w:rsidRDefault="00AB2DD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afe"/>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3149"/>
        <w:gridCol w:w="2977"/>
      </w:tblGrid>
      <w:tr w:rsidR="00AB2DD5" w:rsidRPr="00B510A6">
        <w:tc>
          <w:tcPr>
            <w:tcW w:w="2929" w:type="dxa"/>
            <w:shd w:val="clear" w:color="auto" w:fill="D9D9D9"/>
          </w:tcPr>
          <w:p w:rsidR="00AB2DD5" w:rsidRPr="00B510A6" w:rsidRDefault="004924E2">
            <w:pPr>
              <w:tabs>
                <w:tab w:val="left" w:pos="284"/>
              </w:tabs>
              <w:spacing w:line="360" w:lineRule="auto"/>
              <w:jc w:val="center"/>
              <w:rPr>
                <w:rFonts w:ascii="Palatino Linotype" w:eastAsia="Palatino Linotype" w:hAnsi="Palatino Linotype" w:cs="Palatino Linotype"/>
                <w:b/>
                <w:bCs/>
              </w:rPr>
            </w:pPr>
            <w:r w:rsidRPr="00B510A6">
              <w:rPr>
                <w:rFonts w:ascii="Palatino Linotype" w:eastAsia="Palatino Linotype" w:hAnsi="Palatino Linotype" w:cs="Palatino Linotype"/>
                <w:b/>
                <w:bCs/>
              </w:rPr>
              <w:t>Recurso de Revisión</w:t>
            </w:r>
          </w:p>
        </w:tc>
        <w:tc>
          <w:tcPr>
            <w:tcW w:w="3149" w:type="dxa"/>
            <w:shd w:val="clear" w:color="auto" w:fill="D9D9D9"/>
          </w:tcPr>
          <w:p w:rsidR="00AB2DD5" w:rsidRPr="00B510A6" w:rsidRDefault="004924E2">
            <w:pPr>
              <w:tabs>
                <w:tab w:val="left" w:pos="284"/>
              </w:tabs>
              <w:spacing w:line="360" w:lineRule="auto"/>
              <w:jc w:val="center"/>
              <w:rPr>
                <w:rFonts w:ascii="Palatino Linotype" w:eastAsia="Palatino Linotype" w:hAnsi="Palatino Linotype" w:cs="Palatino Linotype"/>
                <w:b/>
                <w:bCs/>
              </w:rPr>
            </w:pPr>
            <w:r w:rsidRPr="00B510A6">
              <w:rPr>
                <w:rFonts w:ascii="Palatino Linotype" w:eastAsia="Palatino Linotype" w:hAnsi="Palatino Linotype" w:cs="Palatino Linotype"/>
                <w:b/>
                <w:bCs/>
              </w:rPr>
              <w:t>Acto Impugnado</w:t>
            </w:r>
          </w:p>
        </w:tc>
        <w:tc>
          <w:tcPr>
            <w:tcW w:w="2977" w:type="dxa"/>
            <w:shd w:val="clear" w:color="auto" w:fill="D9D9D9"/>
          </w:tcPr>
          <w:p w:rsidR="00AB2DD5" w:rsidRPr="00B510A6" w:rsidRDefault="004924E2">
            <w:pPr>
              <w:tabs>
                <w:tab w:val="left" w:pos="284"/>
              </w:tabs>
              <w:spacing w:line="360" w:lineRule="auto"/>
              <w:jc w:val="both"/>
              <w:rPr>
                <w:rFonts w:ascii="Palatino Linotype" w:eastAsia="Palatino Linotype" w:hAnsi="Palatino Linotype" w:cs="Palatino Linotype"/>
                <w:b/>
                <w:bCs/>
              </w:rPr>
            </w:pPr>
            <w:r w:rsidRPr="00B510A6">
              <w:rPr>
                <w:rFonts w:ascii="Palatino Linotype" w:eastAsia="Palatino Linotype" w:hAnsi="Palatino Linotype" w:cs="Palatino Linotype"/>
                <w:b/>
                <w:bCs/>
              </w:rPr>
              <w:t>Motivos de Inconformidad</w:t>
            </w:r>
          </w:p>
        </w:tc>
      </w:tr>
      <w:tr w:rsidR="00AB2DD5" w:rsidRPr="00B510A6">
        <w:tc>
          <w:tcPr>
            <w:tcW w:w="2929" w:type="dxa"/>
          </w:tcPr>
          <w:p w:rsidR="00AB2DD5" w:rsidRPr="00B510A6" w:rsidRDefault="004924E2">
            <w:pPr>
              <w:tabs>
                <w:tab w:val="left" w:pos="284"/>
              </w:tabs>
              <w:spacing w:line="360" w:lineRule="auto"/>
              <w:jc w:val="both"/>
              <w:rPr>
                <w:rFonts w:ascii="Palatino Linotype" w:eastAsia="Palatino Linotype" w:hAnsi="Palatino Linotype" w:cs="Palatino Linotype"/>
                <w:b/>
                <w:bCs/>
              </w:rPr>
            </w:pPr>
            <w:r w:rsidRPr="00B510A6">
              <w:rPr>
                <w:rFonts w:ascii="Palatino Linotype" w:eastAsia="Palatino Linotype" w:hAnsi="Palatino Linotype" w:cs="Palatino Linotype"/>
                <w:b/>
                <w:bCs/>
              </w:rPr>
              <w:t>11959/INFOEM/IP/RR/2025</w:t>
            </w:r>
          </w:p>
        </w:tc>
        <w:tc>
          <w:tcPr>
            <w:tcW w:w="3149" w:type="dxa"/>
          </w:tcPr>
          <w:p w:rsidR="00AB2DD5" w:rsidRPr="00B510A6" w:rsidRDefault="004924E2">
            <w:pPr>
              <w:tabs>
                <w:tab w:val="left" w:pos="284"/>
              </w:tabs>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“ACTAS DE CABILDO COMPLETAS del Ayuntamiento de Nextlalpan, Estado de México, Administración 2025- 2027,celebradas entre las fechas del 1 ero al31 de agosto de 2025” (Sic)</w:t>
            </w:r>
          </w:p>
        </w:tc>
        <w:tc>
          <w:tcPr>
            <w:tcW w:w="2977" w:type="dxa"/>
          </w:tcPr>
          <w:p w:rsidR="00AB2DD5" w:rsidRPr="00B510A6" w:rsidRDefault="004924E2">
            <w:pPr>
              <w:tabs>
                <w:tab w:val="left" w:pos="284"/>
              </w:tabs>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pPr>
              <w:tabs>
                <w:tab w:val="left" w:pos="284"/>
              </w:tabs>
              <w:spacing w:line="360" w:lineRule="auto"/>
              <w:jc w:val="both"/>
              <w:rPr>
                <w:rFonts w:ascii="Palatino Linotype" w:eastAsia="Palatino Linotype" w:hAnsi="Palatino Linotype" w:cs="Palatino Linotype"/>
                <w:b/>
                <w:bCs/>
              </w:rPr>
            </w:pPr>
            <w:r w:rsidRPr="00B510A6">
              <w:rPr>
                <w:rFonts w:ascii="Palatino Linotype" w:eastAsia="Palatino Linotype" w:hAnsi="Palatino Linotype" w:cs="Palatino Linotype"/>
                <w:b/>
                <w:bCs/>
              </w:rPr>
              <w:t>11960/INFOEM/IP/RR/2025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 31 de julio de 2025”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r w:rsidRPr="00B510A6">
              <w:rPr>
                <w:rFonts w:ascii="Palatino Linotype" w:eastAsia="Palatino Linotype" w:hAnsi="Palatino Linotype" w:cs="Palatino Linotype"/>
                <w:b/>
                <w:bCs/>
              </w:rPr>
              <w:t>11961/INFOEM/IP/RR/2025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DIGITALIZADAS VIA SAIMEX, del Ayuntamiento de Nextlalpan, Estado de México, Administración2022- 2024,celebradas entre las fechas del 1 al 31 de diciembre de 2024”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r w:rsidRPr="00B510A6">
              <w:rPr>
                <w:rFonts w:ascii="Palatino Linotype" w:eastAsia="Palatino Linotype" w:hAnsi="Palatino Linotype" w:cs="Palatino Linotype"/>
                <w:b/>
                <w:bCs/>
              </w:rPr>
              <w:t>11962/INFOEM/IP/RR/2025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de enero al 31 enero de 2025”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r w:rsidRPr="00B510A6">
              <w:rPr>
                <w:rFonts w:ascii="Palatino Linotype" w:eastAsia="Palatino Linotype" w:hAnsi="Palatino Linotype" w:cs="Palatino Linotype"/>
                <w:b/>
                <w:bCs/>
              </w:rPr>
              <w:t>11963/INFOEM/IP/RR/2025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lasfechas del 1 ero al28 de febrero de 2025”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r w:rsidRPr="00B510A6">
              <w:rPr>
                <w:rFonts w:ascii="Palatino Linotype" w:eastAsia="Palatino Linotype" w:hAnsi="Palatino Linotype" w:cs="Palatino Linotype"/>
                <w:b/>
                <w:bCs/>
              </w:rPr>
              <w:t>11964/INFOEM/IP/RR/2025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DIGITALIZADAS VIA SAIMEX, del Ayuntamiento de Nextlalpan, Estado de México, Administración2022- 2024,celebradas entre las fechas del 1 ero de enero al 30 junio de 2023”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r w:rsidRPr="00B510A6">
              <w:rPr>
                <w:rFonts w:ascii="Palatino Linotype" w:eastAsia="Palatino Linotype" w:hAnsi="Palatino Linotype" w:cs="Palatino Linotype"/>
                <w:b/>
                <w:bCs/>
              </w:rPr>
              <w:t>11965/INFOEM/IP/RR/2025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 31 marzo de 2025”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r w:rsidRPr="00B510A6">
              <w:rPr>
                <w:rFonts w:ascii="Palatino Linotype" w:eastAsia="Palatino Linotype" w:hAnsi="Palatino Linotype" w:cs="Palatino Linotype"/>
                <w:b/>
                <w:bCs/>
              </w:rPr>
              <w:t>11966/INFOEM/IP/RR/2025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al30 de abril de 2025”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r w:rsidRPr="00B510A6">
              <w:rPr>
                <w:rFonts w:ascii="Palatino Linotype" w:eastAsia="Palatino Linotype" w:hAnsi="Palatino Linotype" w:cs="Palatino Linotype"/>
                <w:b/>
                <w:bCs/>
              </w:rPr>
              <w:t>11967/INFOEM/IP/RR/2025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al31 mayo de 2025”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r w:rsidR="00AB2DD5" w:rsidRPr="00B510A6">
        <w:tc>
          <w:tcPr>
            <w:tcW w:w="2929" w:type="dxa"/>
          </w:tcPr>
          <w:p w:rsidR="00AB2DD5" w:rsidRPr="00B510A6" w:rsidRDefault="004924E2">
            <w:r w:rsidRPr="00B510A6">
              <w:rPr>
                <w:rFonts w:ascii="Palatino Linotype" w:eastAsia="Palatino Linotype" w:hAnsi="Palatino Linotype" w:cs="Palatino Linotype"/>
                <w:b/>
                <w:bCs/>
              </w:rPr>
              <w:t>11968/INFOEM/IP/RR/2025</w:t>
            </w:r>
          </w:p>
        </w:tc>
        <w:tc>
          <w:tcPr>
            <w:tcW w:w="3149" w:type="dxa"/>
          </w:tcPr>
          <w:p w:rsidR="00AB2DD5" w:rsidRPr="00B510A6" w:rsidRDefault="004924E2">
            <w:pPr>
              <w:jc w:val="both"/>
              <w:rPr>
                <w:rFonts w:ascii="Palatino Linotype" w:eastAsia="Palatino Linotype" w:hAnsi="Palatino Linotype" w:cs="Palatino Linotype"/>
                <w:i/>
                <w:iCs/>
                <w:sz w:val="20"/>
                <w:szCs w:val="20"/>
              </w:rPr>
            </w:pPr>
            <w:r w:rsidRPr="00B510A6">
              <w:rPr>
                <w:rFonts w:ascii="Palatino Linotype" w:eastAsia="Palatino Linotype" w:hAnsi="Palatino Linotype" w:cs="Palatino Linotype"/>
                <w:i/>
                <w:iCs/>
                <w:sz w:val="20"/>
                <w:szCs w:val="20"/>
              </w:rPr>
              <w:t>“ACTAS DE CABILDO COMPLETAS del Ayuntamiento de Nextlalpan, Estado de México, Administración 2025- 2027,celebradas entre las fechas del 1 ero al30 de junio de 2025” (Sic)</w:t>
            </w:r>
          </w:p>
        </w:tc>
        <w:tc>
          <w:tcPr>
            <w:tcW w:w="2977" w:type="dxa"/>
          </w:tcPr>
          <w:p w:rsidR="00AB2DD5" w:rsidRPr="00B510A6" w:rsidRDefault="004924E2">
            <w:pPr>
              <w:jc w:val="both"/>
            </w:pPr>
            <w:r w:rsidRPr="00B510A6">
              <w:rPr>
                <w:rFonts w:ascii="Palatino Linotype" w:eastAsia="Palatino Linotype" w:hAnsi="Palatino Linotype" w:cs="Palatino Linotype"/>
                <w:i/>
                <w:iCs/>
              </w:rPr>
              <w:t>“El sujeto obligado pretende realizar un cambio de modalidad para la entrega de información” (Sic)</w:t>
            </w:r>
          </w:p>
        </w:tc>
      </w:tr>
    </w:tbl>
    <w:p w:rsidR="00AB2DD5" w:rsidRPr="00B510A6" w:rsidRDefault="00AB2DD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i/>
          <w:iCs/>
        </w:rPr>
      </w:pPr>
    </w:p>
    <w:p w:rsidR="00AB2DD5" w:rsidRPr="00B510A6" w:rsidRDefault="004924E2">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b/>
          <w:bCs/>
        </w:rPr>
        <w:t>5. Turno.</w:t>
      </w:r>
      <w:r w:rsidRPr="00B510A6">
        <w:rPr>
          <w:rFonts w:ascii="Palatino Linotype" w:eastAsia="Palatino Linotype" w:hAnsi="Palatino Linotype" w:cs="Palatino Linotype"/>
        </w:rPr>
        <w:t xml:space="preserve"> De conformidad con el artículo 185 fracción I de la Ley Transparencia y Acceso a la Información Pública, los Recursos de Revisión </w:t>
      </w:r>
      <w:r w:rsidRPr="00B510A6">
        <w:rPr>
          <w:rFonts w:ascii="Palatino Linotype" w:eastAsia="Palatino Linotype" w:hAnsi="Palatino Linotype" w:cs="Palatino Linotype"/>
          <w:b/>
          <w:bCs/>
        </w:rPr>
        <w:t xml:space="preserve">11959/INFOEM/IP/RR/2025, 11960/INFOEM/IP/RR/2025, 11961/INFOEM/IP/RR/2025, 11962/INFOEM/IP/RR/2025, 11963/INFOEM/IP/RR/2025, 11964/INFOEM/IP/RR/2025, 11965/INFOEM/IP/RR/2025, 11966/INFOEM/IP/RR/2025, 11967/INFOEM/IP/RR/2025 y 11968/INFOEM/IP/RR/2025, </w:t>
      </w:r>
      <w:r w:rsidRPr="00B510A6">
        <w:rPr>
          <w:rFonts w:ascii="Palatino Linotype" w:eastAsia="Palatino Linotype" w:hAnsi="Palatino Linotype" w:cs="Palatino Linotype"/>
        </w:rPr>
        <w:t xml:space="preserve">fueron turnados a los Comisionados Guadalupe Ramírez Peña, José Martínez Vilchis, Luis Gustavo Parra Noriega, Sharon Cristina Morales Martínez y María del Rosario Mejía Ayala, respectivamente. </w:t>
      </w:r>
    </w:p>
    <w:p w:rsidR="00AB2DD5" w:rsidRPr="00B510A6" w:rsidRDefault="00AB2DD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b/>
          <w:bCs/>
        </w:rPr>
        <w:t xml:space="preserve">6. Admisión de los Recursos de Revisión. </w:t>
      </w:r>
      <w:r w:rsidRPr="00B510A6">
        <w:rPr>
          <w:rFonts w:ascii="Palatino Linotype" w:eastAsia="Palatino Linotype" w:hAnsi="Palatino Linotype" w:cs="Palatino Linotype"/>
        </w:rPr>
        <w:t xml:space="preserve">En </w:t>
      </w:r>
      <w:r w:rsidRPr="00B510A6">
        <w:rPr>
          <w:rFonts w:ascii="Palatino Linotype" w:eastAsia="Palatino Linotype" w:hAnsi="Palatino Linotype" w:cs="Palatino Linotype"/>
          <w:color w:val="000000"/>
        </w:rPr>
        <w:t xml:space="preserve">fechas </w:t>
      </w:r>
      <w:r w:rsidRPr="00B510A6">
        <w:rPr>
          <w:rFonts w:ascii="Palatino Linotype" w:eastAsia="Palatino Linotype" w:hAnsi="Palatino Linotype" w:cs="Palatino Linotype"/>
          <w:b/>
          <w:bCs/>
          <w:color w:val="000000"/>
        </w:rPr>
        <w:t xml:space="preserve">dieciséis, diecisiete y veinte de </w:t>
      </w:r>
      <w:r w:rsidRPr="00B510A6">
        <w:rPr>
          <w:rFonts w:ascii="Palatino Linotype" w:eastAsia="Palatino Linotype" w:hAnsi="Palatino Linotype" w:cs="Palatino Linotype"/>
          <w:b/>
          <w:bCs/>
        </w:rPr>
        <w:t xml:space="preserve">octubre de dos mil veinticinco, respectivamente, </w:t>
      </w:r>
      <w:r w:rsidRPr="00B510A6">
        <w:rPr>
          <w:rFonts w:ascii="Palatino Linotype" w:eastAsia="Palatino Linotype" w:hAnsi="Palatino Linotype" w:cs="Palatino Linotype"/>
        </w:rPr>
        <w:t>en términos de lo dispuesto en el artículo 185 fracciones I, II y IV de la Ley de Transparencia y Acceso a la Información Pública del Estado de México y Municipios, se admitieron a trámite los recursos de revisión.</w:t>
      </w:r>
    </w:p>
    <w:p w:rsidR="00AB2DD5" w:rsidRPr="00B510A6" w:rsidRDefault="00AB2DD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b/>
          <w:bCs/>
        </w:rPr>
        <w:t xml:space="preserve">7. Manifestaciones. </w:t>
      </w:r>
      <w:r w:rsidRPr="00B510A6">
        <w:rPr>
          <w:rFonts w:ascii="Palatino Linotype" w:eastAsia="Palatino Linotype" w:hAnsi="Palatino Linotype" w:cs="Palatino Linotype"/>
        </w:rPr>
        <w:t xml:space="preserve">De las constancias que obran en los expedientes electrónicos en que se actúan, se advierte que el </w:t>
      </w:r>
      <w:r w:rsidRPr="00B510A6">
        <w:rPr>
          <w:rFonts w:ascii="Palatino Linotype" w:eastAsia="Palatino Linotype" w:hAnsi="Palatino Linotype" w:cs="Palatino Linotype"/>
          <w:b/>
          <w:bCs/>
        </w:rPr>
        <w:t xml:space="preserve">Sujeto Obligado </w:t>
      </w:r>
      <w:r w:rsidRPr="00B510A6">
        <w:rPr>
          <w:rFonts w:ascii="Palatino Linotype" w:eastAsia="Palatino Linotype" w:hAnsi="Palatino Linotype" w:cs="Palatino Linotype"/>
        </w:rPr>
        <w:t>en fecha veintitrés de octubre de dos mil veinticinco rindió sus informes justificados en los siguientes términos:</w:t>
      </w:r>
    </w:p>
    <w:p w:rsidR="00AB2DD5" w:rsidRPr="00B510A6" w:rsidRDefault="00AB2DD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aff"/>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99"/>
      </w:tblGrid>
      <w:tr w:rsidR="00AB2DD5" w:rsidRPr="00B510A6">
        <w:tc>
          <w:tcPr>
            <w:tcW w:w="3256" w:type="dxa"/>
            <w:shd w:val="clear" w:color="auto" w:fill="D9D9D9"/>
          </w:tcPr>
          <w:p w:rsidR="00AB2DD5" w:rsidRPr="00B510A6" w:rsidRDefault="004924E2">
            <w:pPr>
              <w:tabs>
                <w:tab w:val="left" w:pos="284"/>
              </w:tabs>
              <w:spacing w:line="360" w:lineRule="auto"/>
              <w:jc w:val="center"/>
              <w:rPr>
                <w:rFonts w:ascii="Palatino Linotype" w:eastAsia="Palatino Linotype" w:hAnsi="Palatino Linotype" w:cs="Palatino Linotype"/>
                <w:b/>
                <w:bCs/>
              </w:rPr>
            </w:pPr>
            <w:r w:rsidRPr="00B510A6">
              <w:rPr>
                <w:rFonts w:ascii="Palatino Linotype" w:eastAsia="Palatino Linotype" w:hAnsi="Palatino Linotype" w:cs="Palatino Linotype"/>
                <w:b/>
                <w:bCs/>
              </w:rPr>
              <w:t>Recurso de Revisión</w:t>
            </w:r>
          </w:p>
        </w:tc>
        <w:tc>
          <w:tcPr>
            <w:tcW w:w="5799" w:type="dxa"/>
            <w:shd w:val="clear" w:color="auto" w:fill="D9D9D9"/>
          </w:tcPr>
          <w:p w:rsidR="00AB2DD5" w:rsidRPr="00B510A6" w:rsidRDefault="004924E2">
            <w:pPr>
              <w:tabs>
                <w:tab w:val="left" w:pos="284"/>
              </w:tabs>
              <w:spacing w:line="360" w:lineRule="auto"/>
              <w:jc w:val="center"/>
              <w:rPr>
                <w:rFonts w:ascii="Palatino Linotype" w:eastAsia="Palatino Linotype" w:hAnsi="Palatino Linotype" w:cs="Palatino Linotype"/>
                <w:b/>
                <w:bCs/>
              </w:rPr>
            </w:pPr>
            <w:r w:rsidRPr="00B510A6">
              <w:rPr>
                <w:rFonts w:ascii="Palatino Linotype" w:eastAsia="Palatino Linotype" w:hAnsi="Palatino Linotype" w:cs="Palatino Linotype"/>
                <w:b/>
                <w:bCs/>
              </w:rPr>
              <w:t>Informe Justificado</w:t>
            </w:r>
          </w:p>
        </w:tc>
      </w:tr>
      <w:tr w:rsidR="00AB2DD5" w:rsidRPr="00B510A6">
        <w:tc>
          <w:tcPr>
            <w:tcW w:w="3256" w:type="dxa"/>
          </w:tcPr>
          <w:p w:rsidR="00AB2DD5" w:rsidRPr="00B510A6" w:rsidRDefault="004924E2">
            <w:pPr>
              <w:tabs>
                <w:tab w:val="left" w:pos="284"/>
              </w:tabs>
              <w:spacing w:line="360" w:lineRule="auto"/>
              <w:jc w:val="both"/>
              <w:rPr>
                <w:rFonts w:ascii="Palatino Linotype" w:eastAsia="Palatino Linotype" w:hAnsi="Palatino Linotype" w:cs="Palatino Linotype"/>
                <w:b/>
                <w:bCs/>
              </w:rPr>
            </w:pPr>
            <w:r w:rsidRPr="00B510A6">
              <w:rPr>
                <w:rFonts w:ascii="Palatino Linotype" w:eastAsia="Palatino Linotype" w:hAnsi="Palatino Linotype" w:cs="Palatino Linotype"/>
                <w:b/>
                <w:bCs/>
              </w:rPr>
              <w:t>11959/INFOEM/IP/RR/2025</w:t>
            </w:r>
          </w:p>
        </w:tc>
        <w:tc>
          <w:tcPr>
            <w:tcW w:w="5799" w:type="dxa"/>
          </w:tcPr>
          <w:p w:rsidR="00AB2DD5" w:rsidRPr="00B510A6" w:rsidRDefault="004924E2">
            <w:pPr>
              <w:pBdr>
                <w:top w:val="nil"/>
                <w:left w:val="nil"/>
                <w:bottom w:val="nil"/>
                <w:right w:val="nil"/>
                <w:between w:val="nil"/>
              </w:pBdr>
              <w:tabs>
                <w:tab w:val="left" w:pos="284"/>
              </w:tabs>
              <w:spacing w:after="160" w:line="259"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221.pdf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pPr>
              <w:tabs>
                <w:tab w:val="left" w:pos="284"/>
              </w:tabs>
              <w:spacing w:line="360" w:lineRule="auto"/>
              <w:jc w:val="both"/>
              <w:rPr>
                <w:rFonts w:ascii="Palatino Linotype" w:eastAsia="Palatino Linotype" w:hAnsi="Palatino Linotype" w:cs="Palatino Linotype"/>
                <w:b/>
                <w:bCs/>
              </w:rPr>
            </w:pPr>
            <w:r w:rsidRPr="00B510A6">
              <w:rPr>
                <w:rFonts w:ascii="Palatino Linotype" w:eastAsia="Palatino Linotype" w:hAnsi="Palatino Linotype" w:cs="Palatino Linotype"/>
                <w:b/>
                <w:bCs/>
              </w:rPr>
              <w:t>11960/INFOEM/IP/RR/2025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220.pdf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r w:rsidRPr="00B510A6">
              <w:rPr>
                <w:rFonts w:ascii="Palatino Linotype" w:eastAsia="Palatino Linotype" w:hAnsi="Palatino Linotype" w:cs="Palatino Linotype"/>
                <w:b/>
                <w:bCs/>
              </w:rPr>
              <w:t>11961/INFOEM/IP/RR/2025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219.pdf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r w:rsidRPr="00B510A6">
              <w:rPr>
                <w:rFonts w:ascii="Palatino Linotype" w:eastAsia="Palatino Linotype" w:hAnsi="Palatino Linotype" w:cs="Palatino Linotype"/>
                <w:b/>
                <w:bCs/>
              </w:rPr>
              <w:t>11962/INFOEM/IP/RR/2025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218.pdf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r w:rsidRPr="00B510A6">
              <w:rPr>
                <w:rFonts w:ascii="Palatino Linotype" w:eastAsia="Palatino Linotype" w:hAnsi="Palatino Linotype" w:cs="Palatino Linotype"/>
                <w:b/>
                <w:bCs/>
              </w:rPr>
              <w:t>11963/INFOEM/IP/RR/2025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217.pdf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r w:rsidRPr="00B510A6">
              <w:rPr>
                <w:rFonts w:ascii="Palatino Linotype" w:eastAsia="Palatino Linotype" w:hAnsi="Palatino Linotype" w:cs="Palatino Linotype"/>
                <w:b/>
                <w:bCs/>
              </w:rPr>
              <w:t>11964/INFOEM/IP/RR/2025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216.pdf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r w:rsidRPr="00B510A6">
              <w:rPr>
                <w:rFonts w:ascii="Palatino Linotype" w:eastAsia="Palatino Linotype" w:hAnsi="Palatino Linotype" w:cs="Palatino Linotype"/>
                <w:b/>
                <w:bCs/>
              </w:rPr>
              <w:t>11965/INFOEM/IP/RR/2025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215.pdf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r w:rsidRPr="00B510A6">
              <w:rPr>
                <w:rFonts w:ascii="Palatino Linotype" w:eastAsia="Palatino Linotype" w:hAnsi="Palatino Linotype" w:cs="Palatino Linotype"/>
                <w:b/>
                <w:bCs/>
              </w:rPr>
              <w:t>11966/INFOEM/IP/RR/2025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214.pdf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r w:rsidRPr="00B510A6">
              <w:rPr>
                <w:rFonts w:ascii="Palatino Linotype" w:eastAsia="Palatino Linotype" w:hAnsi="Palatino Linotype" w:cs="Palatino Linotype"/>
                <w:b/>
                <w:bCs/>
              </w:rPr>
              <w:t>11967/INFOEM/IP/RR/2025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213.pdf</w:t>
            </w:r>
            <w:r w:rsidRPr="00B510A6">
              <w:rPr>
                <w:rFonts w:ascii="Palatino Linotype" w:eastAsia="Palatino Linotype" w:hAnsi="Palatino Linotype" w:cs="Palatino Linotype"/>
                <w:color w:val="000000"/>
              </w:rPr>
              <w:t>”, a través del cual se ratificó la respuesta inicial.</w:t>
            </w:r>
          </w:p>
        </w:tc>
      </w:tr>
      <w:tr w:rsidR="00AB2DD5" w:rsidRPr="00B510A6">
        <w:tc>
          <w:tcPr>
            <w:tcW w:w="3256" w:type="dxa"/>
          </w:tcPr>
          <w:p w:rsidR="00AB2DD5" w:rsidRPr="00B510A6" w:rsidRDefault="004924E2">
            <w:r w:rsidRPr="00B510A6">
              <w:rPr>
                <w:rFonts w:ascii="Palatino Linotype" w:eastAsia="Palatino Linotype" w:hAnsi="Palatino Linotype" w:cs="Palatino Linotype"/>
                <w:b/>
                <w:bCs/>
              </w:rPr>
              <w:t>11968/INFOEM/IP/RR/2025</w:t>
            </w:r>
          </w:p>
        </w:tc>
        <w:tc>
          <w:tcPr>
            <w:tcW w:w="5799" w:type="dxa"/>
          </w:tcPr>
          <w:p w:rsidR="00AB2DD5" w:rsidRPr="00B510A6" w:rsidRDefault="004924E2">
            <w:pPr>
              <w:jc w:val="both"/>
            </w:pP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b/>
                <w:bCs/>
                <w:i/>
                <w:iCs/>
                <w:color w:val="000000"/>
              </w:rPr>
              <w:t>oficio ext 212.pdf</w:t>
            </w:r>
            <w:r w:rsidRPr="00B510A6">
              <w:rPr>
                <w:rFonts w:ascii="Palatino Linotype" w:eastAsia="Palatino Linotype" w:hAnsi="Palatino Linotype" w:cs="Palatino Linotype"/>
                <w:color w:val="000000"/>
              </w:rPr>
              <w:t>”, a través del cual se ratificó la respuesta inicial.</w:t>
            </w:r>
          </w:p>
        </w:tc>
      </w:tr>
    </w:tbl>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spacing w:after="0" w:line="360" w:lineRule="auto"/>
        <w:jc w:val="both"/>
        <w:rPr>
          <w:rFonts w:ascii="Palatino Linotype" w:eastAsia="Palatino Linotype" w:hAnsi="Palatino Linotype" w:cs="Palatino Linotype"/>
          <w:color w:val="FF0000"/>
        </w:rPr>
      </w:pPr>
      <w:r w:rsidRPr="00B510A6">
        <w:rPr>
          <w:rFonts w:ascii="Palatino Linotype" w:eastAsia="Palatino Linotype" w:hAnsi="Palatino Linotype" w:cs="Palatino Linotype"/>
        </w:rPr>
        <w:t xml:space="preserve">Documentos los anteriores que fueron puestos a la vista de la parte </w:t>
      </w:r>
      <w:r w:rsidRPr="00B510A6">
        <w:rPr>
          <w:rFonts w:ascii="Palatino Linotype" w:eastAsia="Palatino Linotype" w:hAnsi="Palatino Linotype" w:cs="Palatino Linotype"/>
          <w:b/>
          <w:bCs/>
        </w:rPr>
        <w:t xml:space="preserve">Recurrente </w:t>
      </w:r>
      <w:r w:rsidRPr="00B510A6">
        <w:rPr>
          <w:rFonts w:ascii="Palatino Linotype" w:eastAsia="Palatino Linotype" w:hAnsi="Palatino Linotype" w:cs="Palatino Linotype"/>
        </w:rPr>
        <w:t xml:space="preserve">a fin de que hiciera valer sus manifestaciones o rindiera alegatos que conforme a derecho resultaran procedentes; no obstante, </w:t>
      </w:r>
      <w:r w:rsidRPr="00B510A6">
        <w:rPr>
          <w:rFonts w:ascii="Palatino Linotype" w:eastAsia="Palatino Linotype" w:hAnsi="Palatino Linotype" w:cs="Palatino Linotype"/>
          <w:color w:val="000000"/>
        </w:rPr>
        <w:t xml:space="preserve">sólo en algunos medios de impugnación como lo es los recursos de revisión </w:t>
      </w:r>
      <w:r w:rsidRPr="00B510A6">
        <w:rPr>
          <w:rFonts w:ascii="Palatino Linotype" w:eastAsia="Palatino Linotype" w:hAnsi="Palatino Linotype" w:cs="Palatino Linotype"/>
          <w:b/>
          <w:bCs/>
          <w:color w:val="000000"/>
        </w:rPr>
        <w:t xml:space="preserve">11960/INFOEM/IP/RR/2025 y 11961/INFOEM/IP/RR/2025 </w:t>
      </w:r>
      <w:r w:rsidRPr="00B510A6">
        <w:rPr>
          <w:rFonts w:ascii="Palatino Linotype" w:eastAsia="Palatino Linotype" w:hAnsi="Palatino Linotype" w:cs="Palatino Linotype"/>
          <w:color w:val="000000"/>
        </w:rPr>
        <w:t>el particular rindió manifestaciones señalando que su inconformidad radicaba en que se le pretendía hacer un cambio de modalidad a través de costos de la información.</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b/>
          <w:bCs/>
        </w:rPr>
        <w:t xml:space="preserve">8. Acumulación de los recursos de revisión. </w:t>
      </w:r>
      <w:r w:rsidRPr="00B510A6">
        <w:rPr>
          <w:rFonts w:ascii="Palatino Linotype" w:eastAsia="Palatino Linotype" w:hAnsi="Palatino Linotype" w:cs="Palatino Linotype"/>
        </w:rPr>
        <w:t xml:space="preserve">Al respecto cabe señalar, que el Pleno de este Instituto, </w:t>
      </w:r>
      <w:r w:rsidRPr="00B510A6">
        <w:rPr>
          <w:rFonts w:ascii="Palatino Linotype" w:eastAsia="Palatino Linotype" w:hAnsi="Palatino Linotype" w:cs="Palatino Linotype"/>
          <w:b/>
          <w:bCs/>
        </w:rPr>
        <w:t>mediante acuerdo aprobado en fecha veintinueve de octubre de dos mil veinticinco</w:t>
      </w:r>
      <w:r w:rsidRPr="00B510A6">
        <w:rPr>
          <w:rFonts w:ascii="Palatino Linotype" w:eastAsia="Palatino Linotype" w:hAnsi="Palatino Linotype" w:cs="Palatino Linotype"/>
        </w:rPr>
        <w:t xml:space="preserve">, ordenó la acumulación de los expedientes citados, a efecto de que la </w:t>
      </w:r>
      <w:r w:rsidRPr="00B510A6">
        <w:rPr>
          <w:rFonts w:ascii="Palatino Linotype" w:eastAsia="Palatino Linotype" w:hAnsi="Palatino Linotype" w:cs="Palatino Linotype"/>
          <w:b/>
          <w:bCs/>
        </w:rPr>
        <w:t xml:space="preserve">Comisionada Guadalupe Ramírez Peña </w:t>
      </w:r>
      <w:r w:rsidRPr="00B510A6">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AB2DD5" w:rsidRPr="00B510A6" w:rsidRDefault="00AB2DD5">
      <w:pPr>
        <w:spacing w:after="0" w:line="360" w:lineRule="auto"/>
        <w:jc w:val="both"/>
      </w:pPr>
    </w:p>
    <w:p w:rsidR="00AB2DD5" w:rsidRPr="00B510A6" w:rsidRDefault="004924E2">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B510A6">
        <w:rPr>
          <w:rFonts w:ascii="Palatino Linotype" w:eastAsia="Palatino Linotype" w:hAnsi="Palatino Linotype" w:cs="Palatino Linotype"/>
          <w:b/>
          <w:bCs/>
          <w:i/>
          <w:iCs/>
        </w:rPr>
        <w:t>Código de Procedimientos Administrativos del Estado de México</w:t>
      </w:r>
    </w:p>
    <w:p w:rsidR="00AB2DD5" w:rsidRPr="00B510A6" w:rsidRDefault="004924E2">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B510A6">
        <w:rPr>
          <w:rFonts w:ascii="Palatino Linotype" w:eastAsia="Palatino Linotype" w:hAnsi="Palatino Linotype" w:cs="Palatino Linotype"/>
          <w:b/>
          <w:bCs/>
          <w:i/>
          <w:iCs/>
        </w:rPr>
        <w:t>“Artículo 18.-</w:t>
      </w:r>
      <w:r w:rsidRPr="00B510A6">
        <w:rPr>
          <w:rFonts w:ascii="Palatino Linotype" w:eastAsia="Palatino Linotype" w:hAnsi="Palatino Linotype" w:cs="Palatino Linotype"/>
          <w:i/>
          <w:iCs/>
        </w:rPr>
        <w:t xml:space="preserve"> </w:t>
      </w:r>
      <w:r w:rsidRPr="00B510A6">
        <w:rPr>
          <w:rFonts w:ascii="Palatino Linotype" w:eastAsia="Palatino Linotype" w:hAnsi="Palatino Linotype" w:cs="Palatino Linotype"/>
          <w:b/>
          <w:bCs/>
          <w:i/>
          <w:iCs/>
        </w:rPr>
        <w:t>La autoridad administrativa o el Tribunal acordarán la acumulación de los expedientes del procedimiento y proceso administrativo que ante ellos se sigan, de oficio</w:t>
      </w:r>
      <w:r w:rsidRPr="00B510A6">
        <w:rPr>
          <w:rFonts w:ascii="Palatino Linotype" w:eastAsia="Palatino Linotype" w:hAnsi="Palatino Linotype" w:cs="Palatino Linotype"/>
          <w:i/>
          <w:iCs/>
        </w:rPr>
        <w:t xml:space="preserve"> o a petición de parte, </w:t>
      </w:r>
      <w:r w:rsidRPr="00B510A6">
        <w:rPr>
          <w:rFonts w:ascii="Palatino Linotype" w:eastAsia="Palatino Linotype" w:hAnsi="Palatino Linotype" w:cs="Palatino Linotype"/>
          <w:b/>
          <w:bCs/>
          <w:i/>
          <w:iCs/>
        </w:rPr>
        <w:t>cuando las partes</w:t>
      </w:r>
      <w:r w:rsidRPr="00B510A6">
        <w:rPr>
          <w:rFonts w:ascii="Palatino Linotype" w:eastAsia="Palatino Linotype" w:hAnsi="Palatino Linotype" w:cs="Palatino Linotype"/>
          <w:i/>
          <w:iCs/>
        </w:rPr>
        <w:t xml:space="preserve"> o los actos administrativos sean iguales, se trate de actos conexos o </w:t>
      </w:r>
      <w:r w:rsidRPr="00B510A6">
        <w:rPr>
          <w:rFonts w:ascii="Palatino Linotype" w:eastAsia="Palatino Linotype" w:hAnsi="Palatino Linotype" w:cs="Palatino Linotype"/>
          <w:b/>
          <w:bCs/>
          <w:i/>
          <w:iCs/>
        </w:rPr>
        <w:t>resulte conveniente el trámite unificado de los asuntos, para evitar la emisión de resoluciones contradictorias</w:t>
      </w:r>
      <w:r w:rsidRPr="00B510A6">
        <w:rPr>
          <w:rFonts w:ascii="Palatino Linotype" w:eastAsia="Palatino Linotype" w:hAnsi="Palatino Linotype" w:cs="Palatino Linotype"/>
          <w:i/>
          <w:iCs/>
        </w:rPr>
        <w:t>. La misma regla se aplicará, en lo conducente, para la separación de los expedientes.”</w:t>
      </w:r>
    </w:p>
    <w:p w:rsidR="00AB2DD5" w:rsidRPr="00B510A6" w:rsidRDefault="004924E2">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B510A6">
        <w:rPr>
          <w:rFonts w:ascii="Palatino Linotype" w:eastAsia="Palatino Linotype" w:hAnsi="Palatino Linotype" w:cs="Palatino Linotype"/>
          <w:b/>
          <w:bCs/>
          <w:i/>
          <w:iCs/>
        </w:rPr>
        <w:t>Ley de Transparencia y Acceso a la Información Pública del Estado de México y Municipios</w:t>
      </w:r>
    </w:p>
    <w:p w:rsidR="00AB2DD5" w:rsidRPr="00B510A6" w:rsidRDefault="004924E2">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B510A6">
        <w:rPr>
          <w:rFonts w:ascii="Palatino Linotype" w:eastAsia="Palatino Linotype" w:hAnsi="Palatino Linotype" w:cs="Palatino Linotype"/>
          <w:b/>
          <w:bCs/>
          <w:i/>
          <w:iCs/>
        </w:rPr>
        <w:t>“Artículo 195.-</w:t>
      </w:r>
      <w:r w:rsidRPr="00B510A6">
        <w:rPr>
          <w:rFonts w:ascii="Palatino Linotype" w:eastAsia="Palatino Linotype" w:hAnsi="Palatino Linotype" w:cs="Palatino Linotype"/>
          <w:i/>
          <w:iCs/>
        </w:rPr>
        <w:t xml:space="preserve"> En la tramitación del recurso de revisión se aplicará supletoriamente las disposiciones contenidas en el Código de Procedimientos Administrativos del Estado de México.”</w:t>
      </w:r>
    </w:p>
    <w:p w:rsidR="00AB2DD5" w:rsidRPr="00B510A6" w:rsidRDefault="00AB2DD5">
      <w:pPr>
        <w:spacing w:after="0" w:line="360" w:lineRule="auto"/>
        <w:ind w:right="49"/>
        <w:jc w:val="both"/>
        <w:rPr>
          <w:rFonts w:ascii="Palatino Linotype" w:eastAsia="Palatino Linotype" w:hAnsi="Palatino Linotype" w:cs="Palatino Linotype"/>
        </w:rPr>
      </w:pPr>
    </w:p>
    <w:p w:rsidR="00AB2DD5" w:rsidRPr="00B510A6" w:rsidRDefault="004924E2">
      <w:pPr>
        <w:spacing w:after="0" w:line="360" w:lineRule="auto"/>
        <w:ind w:right="49"/>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B510A6">
        <w:rPr>
          <w:rFonts w:ascii="Palatino Linotype" w:eastAsia="Palatino Linotype" w:hAnsi="Palatino Linotype" w:cs="Palatino Linotype"/>
          <w:b/>
          <w:bCs/>
        </w:rPr>
        <w:t>Recurrente</w:t>
      </w:r>
      <w:r w:rsidRPr="00B510A6">
        <w:rPr>
          <w:rFonts w:ascii="Palatino Linotype" w:eastAsia="Palatino Linotype" w:hAnsi="Palatino Linotype" w:cs="Palatino Linotype"/>
        </w:rPr>
        <w:t xml:space="preserve"> ante el mismo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rsidR="00AB2DD5" w:rsidRPr="00B510A6" w:rsidRDefault="00AB2DD5">
      <w:pPr>
        <w:spacing w:after="0" w:line="360" w:lineRule="auto"/>
        <w:ind w:right="49"/>
        <w:jc w:val="both"/>
        <w:rPr>
          <w:rFonts w:ascii="Palatino Linotype" w:eastAsia="Palatino Linotype" w:hAnsi="Palatino Linotype" w:cs="Palatino Linotype"/>
        </w:rPr>
      </w:pPr>
    </w:p>
    <w:p w:rsidR="00AB2DD5" w:rsidRPr="00B510A6" w:rsidRDefault="004924E2">
      <w:pPr>
        <w:spacing w:after="0" w:line="360" w:lineRule="auto"/>
        <w:ind w:right="49"/>
        <w:jc w:val="both"/>
        <w:rPr>
          <w:rFonts w:ascii="Palatino Linotype" w:eastAsia="Palatino Linotype" w:hAnsi="Palatino Linotype" w:cs="Palatino Linotype"/>
        </w:rPr>
      </w:pPr>
      <w:bookmarkStart w:id="4" w:name="_heading=h.noicn410y39v" w:colFirst="0" w:colLast="0"/>
      <w:bookmarkEnd w:id="4"/>
      <w:r w:rsidRPr="00B510A6">
        <w:rPr>
          <w:rFonts w:ascii="Palatino Linotype" w:eastAsia="Palatino Linotype" w:hAnsi="Palatino Linotype" w:cs="Palatino Linotype"/>
          <w:b/>
          <w:bCs/>
        </w:rPr>
        <w:t xml:space="preserve">9. </w:t>
      </w:r>
      <w:r w:rsidRPr="00B510A6">
        <w:rPr>
          <w:rFonts w:ascii="Palatino Linotype" w:eastAsia="Palatino Linotype" w:hAnsi="Palatino Linotype" w:cs="Palatino Linotype"/>
          <w:b/>
          <w:bCs/>
          <w:color w:val="000000"/>
        </w:rPr>
        <w:t xml:space="preserve">Cierre de Instrucción. </w:t>
      </w:r>
      <w:r w:rsidRPr="00B510A6">
        <w:rPr>
          <w:rFonts w:ascii="Palatino Linotype" w:eastAsia="Palatino Linotype" w:hAnsi="Palatino Linotype" w:cs="Palatino Linotype"/>
          <w:color w:val="000000"/>
        </w:rPr>
        <w:t xml:space="preserve">En </w:t>
      </w:r>
      <w:r w:rsidRPr="00B510A6">
        <w:rPr>
          <w:rFonts w:ascii="Palatino Linotype" w:eastAsia="Palatino Linotype" w:hAnsi="Palatino Linotype" w:cs="Palatino Linotype"/>
        </w:rPr>
        <w:t xml:space="preserve">fecha </w:t>
      </w:r>
      <w:r w:rsidRPr="00B510A6">
        <w:rPr>
          <w:rFonts w:ascii="Palatino Linotype" w:eastAsia="Palatino Linotype" w:hAnsi="Palatino Linotype" w:cs="Palatino Linotype"/>
          <w:b/>
          <w:bCs/>
          <w:color w:val="000000"/>
        </w:rPr>
        <w:t xml:space="preserve">once de noviembre </w:t>
      </w:r>
      <w:r w:rsidRPr="00B510A6">
        <w:rPr>
          <w:rFonts w:ascii="Palatino Linotype" w:eastAsia="Palatino Linotype" w:hAnsi="Palatino Linotype" w:cs="Palatino Linotype"/>
          <w:b/>
          <w:bCs/>
        </w:rPr>
        <w:t xml:space="preserve">de dos mil veinticinco, </w:t>
      </w:r>
      <w:r w:rsidRPr="00B510A6">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 </w:t>
      </w: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AB2DD5" w:rsidRPr="00B510A6" w:rsidRDefault="004924E2">
      <w:pPr>
        <w:widowControl w:val="0"/>
        <w:spacing w:after="200" w:line="360" w:lineRule="auto"/>
        <w:jc w:val="center"/>
        <w:rPr>
          <w:rFonts w:ascii="Palatino Linotype" w:eastAsia="Palatino Linotype" w:hAnsi="Palatino Linotype" w:cs="Palatino Linotype"/>
          <w:b/>
          <w:bCs/>
        </w:rPr>
      </w:pPr>
      <w:r w:rsidRPr="00B510A6">
        <w:rPr>
          <w:rFonts w:ascii="Palatino Linotype" w:eastAsia="Palatino Linotype" w:hAnsi="Palatino Linotype" w:cs="Palatino Linotype"/>
          <w:b/>
          <w:bCs/>
        </w:rPr>
        <w:t>II. C O N S I D E R A N D O S</w:t>
      </w: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b/>
          <w:bCs/>
        </w:rPr>
        <w:t>Primero. Competencia.</w:t>
      </w:r>
      <w:r w:rsidRPr="00B510A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w:t>
      </w:r>
      <w:r w:rsidRPr="00B510A6">
        <w:rPr>
          <w:rFonts w:ascii="Palatino Linotype" w:eastAsia="Palatino Linotype" w:hAnsi="Palatino Linotype" w:cs="Palatino Linotype"/>
          <w:color w:val="000000"/>
        </w:rPr>
        <w:t>;</w:t>
      </w:r>
      <w:r w:rsidRPr="00B510A6">
        <w:rPr>
          <w:rFonts w:ascii="Palatino Linotype" w:eastAsia="Palatino Linotype" w:hAnsi="Palatino Linotype" w:cs="Palatino Linotype"/>
          <w:color w:val="FF0000"/>
        </w:rPr>
        <w:t xml:space="preserve"> </w:t>
      </w:r>
      <w:r w:rsidRPr="00B510A6">
        <w:rPr>
          <w:rFonts w:ascii="Palatino Linotype" w:eastAsia="Palatino Linotype" w:hAnsi="Palatino Linotype" w:cs="Palatino Linotype"/>
        </w:rPr>
        <w:t xml:space="preserve">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13,  29, 36, fracciones I y II; 176, 178, 179, 181 párrafo tercero y 185 de la Ley Transparencia y Acceso a la Información Pública del Estado de México y Municipios; </w:t>
      </w:r>
      <w:r w:rsidRPr="00B510A6">
        <w:rPr>
          <w:rFonts w:ascii="Palatino Linotype" w:eastAsia="Palatino Linotype" w:hAnsi="Palatino Linotype" w:cs="Palatino Linotype"/>
          <w:color w:val="000000"/>
        </w:rPr>
        <w:t>9, fracciones I, XXIII y XXIV</w:t>
      </w:r>
      <w:r w:rsidRPr="00B510A6">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bookmarkStart w:id="5" w:name="_heading=h.q9a5pqst6so" w:colFirst="0" w:colLast="0"/>
      <w:bookmarkEnd w:id="5"/>
      <w:r w:rsidRPr="00B510A6">
        <w:rPr>
          <w:rFonts w:ascii="Palatino Linotype" w:eastAsia="Palatino Linotype" w:hAnsi="Palatino Linotype" w:cs="Palatino Linotype"/>
          <w:b/>
          <w:bCs/>
        </w:rPr>
        <w:t>Segundo. Oportunidad y Procedibilidad de los Recursos de Revisión</w:t>
      </w:r>
      <w:r w:rsidRPr="00B510A6">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color w:val="000000"/>
        </w:rPr>
        <w:t xml:space="preserve">Los recursos de revisión fueron </w:t>
      </w:r>
      <w:r w:rsidRPr="00B510A6">
        <w:rPr>
          <w:rFonts w:ascii="Palatino Linotype" w:eastAsia="Palatino Linotype" w:hAnsi="Palatino Linotype" w:cs="Palatino Linotype"/>
        </w:rPr>
        <w:t xml:space="preserve">interpuestos dentro del plazo de quince días hábiles, previsto en el artículo 178 de la Ley de Transparencia y Acceso a la Información Pública del Estado de México y Municipios, toda vez que el </w:t>
      </w:r>
      <w:r w:rsidRPr="00B510A6">
        <w:rPr>
          <w:rFonts w:ascii="Palatino Linotype" w:eastAsia="Palatino Linotype" w:hAnsi="Palatino Linotype" w:cs="Palatino Linotype"/>
          <w:b/>
          <w:bCs/>
        </w:rPr>
        <w:t xml:space="preserve">Sujeto Obligado </w:t>
      </w:r>
      <w:r w:rsidRPr="00B510A6">
        <w:rPr>
          <w:rFonts w:ascii="Palatino Linotype" w:eastAsia="Palatino Linotype" w:hAnsi="Palatino Linotype" w:cs="Palatino Linotype"/>
        </w:rPr>
        <w:t xml:space="preserve">remitió las respuestas a la solicitudes de información en fecha </w:t>
      </w:r>
      <w:r w:rsidRPr="00B510A6">
        <w:rPr>
          <w:rFonts w:ascii="Palatino Linotype" w:eastAsia="Palatino Linotype" w:hAnsi="Palatino Linotype" w:cs="Palatino Linotype"/>
          <w:b/>
          <w:bCs/>
        </w:rPr>
        <w:t xml:space="preserve">trece de octubre de dos mil veinticinco, </w:t>
      </w:r>
      <w:r w:rsidRPr="00B510A6">
        <w:rPr>
          <w:rFonts w:ascii="Palatino Linotype" w:eastAsia="Palatino Linotype" w:hAnsi="Palatino Linotype" w:cs="Palatino Linotype"/>
        </w:rPr>
        <w:t xml:space="preserve">mientras que los </w:t>
      </w:r>
      <w:r w:rsidRPr="00B510A6">
        <w:rPr>
          <w:rFonts w:ascii="Palatino Linotype" w:eastAsia="Palatino Linotype" w:hAnsi="Palatino Linotype" w:cs="Palatino Linotype"/>
          <w:color w:val="000000"/>
        </w:rPr>
        <w:t xml:space="preserve">recursos de revisión </w:t>
      </w:r>
      <w:r w:rsidRPr="00B510A6">
        <w:rPr>
          <w:rFonts w:ascii="Palatino Linotype" w:eastAsia="Palatino Linotype" w:hAnsi="Palatino Linotype" w:cs="Palatino Linotype"/>
        </w:rPr>
        <w:t xml:space="preserve">interpuestos por la parte </w:t>
      </w:r>
      <w:r w:rsidRPr="00B510A6">
        <w:rPr>
          <w:rFonts w:ascii="Palatino Linotype" w:eastAsia="Palatino Linotype" w:hAnsi="Palatino Linotype" w:cs="Palatino Linotype"/>
          <w:b/>
          <w:bCs/>
        </w:rPr>
        <w:t>Recurrente</w:t>
      </w:r>
      <w:r w:rsidRPr="00B510A6">
        <w:rPr>
          <w:rFonts w:ascii="Palatino Linotype" w:eastAsia="Palatino Linotype" w:hAnsi="Palatino Linotype" w:cs="Palatino Linotype"/>
        </w:rPr>
        <w:t xml:space="preserve">, se tuvieron por presentados en fecha </w:t>
      </w:r>
      <w:r w:rsidRPr="00B510A6">
        <w:rPr>
          <w:rFonts w:ascii="Palatino Linotype" w:eastAsia="Palatino Linotype" w:hAnsi="Palatino Linotype" w:cs="Palatino Linotype"/>
          <w:b/>
          <w:bCs/>
          <w:color w:val="000000"/>
        </w:rPr>
        <w:t>catorce de octubre de</w:t>
      </w:r>
      <w:r w:rsidRPr="00B510A6">
        <w:rPr>
          <w:rFonts w:ascii="Palatino Linotype" w:eastAsia="Palatino Linotype" w:hAnsi="Palatino Linotype" w:cs="Palatino Linotype"/>
          <w:b/>
          <w:bCs/>
          <w:color w:val="000000"/>
          <w:sz w:val="24"/>
          <w:szCs w:val="24"/>
        </w:rPr>
        <w:t xml:space="preserve"> </w:t>
      </w:r>
      <w:r w:rsidRPr="00B510A6">
        <w:rPr>
          <w:rFonts w:ascii="Palatino Linotype" w:eastAsia="Palatino Linotype" w:hAnsi="Palatino Linotype" w:cs="Palatino Linotype"/>
          <w:b/>
          <w:bCs/>
          <w:color w:val="000000"/>
        </w:rPr>
        <w:t>dos mil veinticinco</w:t>
      </w:r>
      <w:r w:rsidRPr="00B510A6">
        <w:rPr>
          <w:rFonts w:ascii="Palatino Linotype" w:eastAsia="Palatino Linotype" w:hAnsi="Palatino Linotype" w:cs="Palatino Linotype"/>
        </w:rPr>
        <w:t xml:space="preserve">, esto es, </w:t>
      </w:r>
      <w:r w:rsidRPr="00B510A6">
        <w:rPr>
          <w:rFonts w:ascii="Palatino Linotype" w:eastAsia="Palatino Linotype" w:hAnsi="Palatino Linotype" w:cs="Palatino Linotype"/>
          <w:b/>
          <w:bCs/>
        </w:rPr>
        <w:t>al día hábil</w:t>
      </w:r>
      <w:r w:rsidRPr="00B510A6">
        <w:rPr>
          <w:rFonts w:ascii="Palatino Linotype" w:eastAsia="Palatino Linotype" w:hAnsi="Palatino Linotype" w:cs="Palatino Linotype"/>
        </w:rPr>
        <w:t xml:space="preserve"> siguiente a aquel en que se tuvo conocimiento de las respuestas impugnadas. </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En este sentido, se concluye que los presentes recursos de revisión se encuentran dentro de los márgenes temporales previstos en las disposiciones legales referidas.</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A efecto de sustentar lo anterior, es de suma importancia mencionar que si bien la persona solicitante </w:t>
      </w:r>
      <w:r w:rsidRPr="00B510A6">
        <w:rPr>
          <w:rFonts w:ascii="Palatino Linotype" w:eastAsia="Palatino Linotype" w:hAnsi="Palatino Linotype" w:cs="Palatino Linotype"/>
          <w:b/>
          <w:bCs/>
        </w:rPr>
        <w:t xml:space="preserve">proporcionó un seudónimo, </w:t>
      </w:r>
      <w:r w:rsidRPr="00B510A6">
        <w:rPr>
          <w:rFonts w:ascii="Palatino Linotype" w:eastAsia="Palatino Linotype" w:hAnsi="Palatino Linotype" w:cs="Palatino Linotype"/>
        </w:rPr>
        <w:t xml:space="preserve">como se advierte en el detalle de seguimiento del SAIMEX; sin embargo, el no proporcionar </w:t>
      </w:r>
      <w:r w:rsidRPr="00B510A6">
        <w:rPr>
          <w:rFonts w:ascii="Palatino Linotype" w:eastAsia="Palatino Linotype" w:hAnsi="Palatino Linotype" w:cs="Palatino Linotype"/>
          <w:color w:val="000000"/>
        </w:rPr>
        <w:t xml:space="preserve">un nombre completo </w:t>
      </w:r>
      <w:r w:rsidRPr="00B510A6">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276" w:lineRule="auto"/>
        <w:ind w:left="851" w:right="902"/>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r w:rsidRPr="00B510A6">
        <w:rPr>
          <w:rFonts w:ascii="Palatino Linotype" w:eastAsia="Palatino Linotype" w:hAnsi="Palatino Linotype" w:cs="Palatino Linotype"/>
          <w:b/>
          <w:bCs/>
          <w:i/>
          <w:iCs/>
        </w:rPr>
        <w:t>Las solicitudes anónimas,</w:t>
      </w:r>
      <w:r w:rsidRPr="00B510A6">
        <w:rPr>
          <w:rFonts w:ascii="Palatino Linotype" w:eastAsia="Palatino Linotype" w:hAnsi="Palatino Linotype" w:cs="Palatino Linotype"/>
          <w:i/>
          <w:iCs/>
        </w:rPr>
        <w:t xml:space="preserve"> con nombre incompleto o seudónimo</w:t>
      </w:r>
      <w:r w:rsidRPr="00B510A6">
        <w:rPr>
          <w:rFonts w:ascii="Palatino Linotype" w:eastAsia="Palatino Linotype" w:hAnsi="Palatino Linotype" w:cs="Palatino Linotype"/>
          <w:b/>
          <w:bCs/>
          <w:i/>
          <w:iCs/>
        </w:rPr>
        <w:t xml:space="preserve"> serán procedentes para su trámite por parte del sujeto obligado ante quien se presente</w:t>
      </w:r>
      <w:r w:rsidRPr="00B510A6">
        <w:rPr>
          <w:rFonts w:ascii="Palatino Linotype" w:eastAsia="Palatino Linotype" w:hAnsi="Palatino Linotype" w:cs="Palatino Linotype"/>
          <w:i/>
          <w:iCs/>
        </w:rPr>
        <w:t>. No podrá requerirse información adicional con motivo del nombre proporcionado por el solicitante."</w:t>
      </w:r>
    </w:p>
    <w:p w:rsidR="00AB2DD5" w:rsidRPr="00B510A6" w:rsidRDefault="00AB2DD5">
      <w:pPr>
        <w:spacing w:after="0" w:line="276" w:lineRule="auto"/>
        <w:ind w:left="851" w:right="902"/>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Finalmente, se advierte que resulta procedente la interposición de los recursos, según lo manifestado por la parte </w:t>
      </w:r>
      <w:r w:rsidRPr="00B510A6">
        <w:rPr>
          <w:rFonts w:ascii="Palatino Linotype" w:eastAsia="Palatino Linotype" w:hAnsi="Palatino Linotype" w:cs="Palatino Linotype"/>
          <w:b/>
          <w:bCs/>
        </w:rPr>
        <w:t>Recurrente</w:t>
      </w:r>
      <w:r w:rsidRPr="00B510A6">
        <w:rPr>
          <w:rFonts w:ascii="Palatino Linotype" w:eastAsia="Palatino Linotype" w:hAnsi="Palatino Linotype" w:cs="Palatino Linotype"/>
        </w:rPr>
        <w:t xml:space="preserve"> en sus motivos de inconformidad, de acuerdo con el artículo 179, fracción VIII del ordenamiento legal citado, que a la letra dice: </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276" w:lineRule="auto"/>
        <w:ind w:left="567" w:right="902"/>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r w:rsidRPr="00B510A6">
        <w:rPr>
          <w:rFonts w:ascii="Palatino Linotype" w:eastAsia="Palatino Linotype" w:hAnsi="Palatino Linotype" w:cs="Palatino Linotype"/>
          <w:b/>
          <w:bCs/>
          <w:i/>
          <w:iCs/>
        </w:rPr>
        <w:t>Artículo 179.</w:t>
      </w:r>
      <w:r w:rsidRPr="00B510A6">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rsidR="00AB2DD5" w:rsidRPr="00B510A6" w:rsidRDefault="004924E2">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bCs/>
          <w:i/>
          <w:iCs/>
        </w:rPr>
      </w:pPr>
      <w:r w:rsidRPr="00B510A6">
        <w:rPr>
          <w:rFonts w:ascii="Palatino Linotype" w:eastAsia="Palatino Linotype" w:hAnsi="Palatino Linotype" w:cs="Palatino Linotype"/>
          <w:b/>
          <w:bCs/>
          <w:i/>
          <w:iCs/>
        </w:rPr>
        <w:t>[…]</w:t>
      </w:r>
    </w:p>
    <w:p w:rsidR="00AB2DD5" w:rsidRPr="00B510A6" w:rsidRDefault="004924E2">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VIII. La notificación, entrega o puesta a disposición de información en una modalidad o formato distinto al solicitado;</w:t>
      </w:r>
      <w:r w:rsidRPr="00B510A6">
        <w:rPr>
          <w:rFonts w:ascii="Palatino Linotype" w:eastAsia="Palatino Linotype" w:hAnsi="Palatino Linotype" w:cs="Palatino Linotype"/>
          <w:b/>
          <w:bCs/>
          <w:i/>
          <w:iCs/>
        </w:rPr>
        <w:br/>
      </w:r>
      <w:r w:rsidRPr="00B510A6">
        <w:rPr>
          <w:rFonts w:ascii="Palatino Linotype" w:eastAsia="Palatino Linotype" w:hAnsi="Palatino Linotype" w:cs="Palatino Linotype"/>
          <w:i/>
          <w:iCs/>
        </w:rPr>
        <w:t>[…]”</w:t>
      </w:r>
    </w:p>
    <w:p w:rsidR="00AB2DD5" w:rsidRPr="00B510A6" w:rsidRDefault="004924E2">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iCs/>
        </w:rPr>
      </w:pPr>
      <w:r w:rsidRPr="00B510A6">
        <w:rPr>
          <w:rFonts w:ascii="Palatino Linotype" w:eastAsia="Palatino Linotype" w:hAnsi="Palatino Linotype" w:cs="Palatino Linotype"/>
          <w:i/>
          <w:iCs/>
        </w:rPr>
        <w:t>(Énfasis añadido)</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sidRPr="00B510A6">
        <w:rPr>
          <w:rFonts w:ascii="Palatino Linotype" w:eastAsia="Palatino Linotype" w:hAnsi="Palatino Linotype" w:cs="Palatino Linotype"/>
          <w:b/>
          <w:bCs/>
        </w:rPr>
        <w:t>Tercero. Materia de la revisión.</w:t>
      </w:r>
      <w:r w:rsidRPr="00B510A6">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B510A6">
        <w:rPr>
          <w:rFonts w:ascii="Palatino Linotype" w:eastAsia="Palatino Linotype" w:hAnsi="Palatino Linotype" w:cs="Palatino Linotype"/>
          <w:b/>
          <w:bCs/>
        </w:rPr>
        <w:t>verificar si la información otorgada por el Sujeto Obligado, es adecuada y suficiente para satisfacer el derecho de acceso a la información pública de la parte Recurrente, o en su defecto, en caso de ser procedente, ordenar la entrega de información oportuna.</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p>
    <w:p w:rsidR="00AB2DD5" w:rsidRPr="00B510A6" w:rsidRDefault="004924E2">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color w:val="000000"/>
        </w:rPr>
        <w:t xml:space="preserve">Cuarto. Estudio de los recursos de revisión. </w:t>
      </w:r>
      <w:r w:rsidRPr="00B510A6">
        <w:rPr>
          <w:rFonts w:ascii="Palatino Linotype" w:eastAsia="Palatino Linotype" w:hAnsi="Palatino Linotype" w:cs="Palatino Linotype"/>
          <w:color w:val="000000"/>
        </w:rPr>
        <w:t xml:space="preserve">Antes de entrar al análisis de los pronunciamientos del </w:t>
      </w:r>
      <w:r w:rsidRPr="00B510A6">
        <w:rPr>
          <w:rFonts w:ascii="Palatino Linotype" w:eastAsia="Palatino Linotype" w:hAnsi="Palatino Linotype" w:cs="Palatino Linotype"/>
          <w:b/>
          <w:bCs/>
          <w:color w:val="000000"/>
        </w:rPr>
        <w:t>Sujeto Obligado</w:t>
      </w:r>
      <w:r w:rsidRPr="00B510A6">
        <w:rPr>
          <w:rFonts w:ascii="Palatino Linotype" w:eastAsia="Palatino Linotype" w:hAnsi="Palatino Linotype" w:cs="Palatino Linotype"/>
          <w:color w:val="000000"/>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B2DD5" w:rsidRPr="00B510A6" w:rsidRDefault="00AB2DD5">
      <w:pPr>
        <w:pBdr>
          <w:top w:val="nil"/>
          <w:left w:val="nil"/>
          <w:bottom w:val="nil"/>
          <w:right w:val="nil"/>
          <w:between w:val="nil"/>
        </w:pBdr>
        <w:spacing w:after="0" w:line="360" w:lineRule="auto"/>
        <w:jc w:val="both"/>
        <w:rPr>
          <w:color w:val="000000"/>
        </w:rPr>
      </w:pPr>
    </w:p>
    <w:p w:rsidR="00AB2DD5" w:rsidRPr="00B510A6" w:rsidRDefault="004924E2">
      <w:pPr>
        <w:spacing w:after="0" w:line="276" w:lineRule="auto"/>
        <w:ind w:left="851" w:right="850"/>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u w:val="single"/>
        </w:rPr>
        <w:t>“Artículo 1o. En los Estados Unidos Mexicanos todas las personas gozarán de los derechos humanos reconocidos en esta Constitución y en los tratados internacionales de los que el Estado Mexicano sea parte</w:t>
      </w:r>
      <w:r w:rsidRPr="00B510A6">
        <w:rPr>
          <w:rFonts w:ascii="Palatino Linotype" w:eastAsia="Palatino Linotype" w:hAnsi="Palatino Linotype" w:cs="Palatino Linotype"/>
          <w:i/>
          <w:iCs/>
          <w:color w:val="000000"/>
        </w:rPr>
        <w:t>, así como de las garantías para su protección, cuyo ejercicio no podrá restringirse ni suspenderse, salvo en los casos y bajo las condiciones que esta Constitución establece.</w:t>
      </w:r>
    </w:p>
    <w:p w:rsidR="00AB2DD5" w:rsidRPr="00B510A6" w:rsidRDefault="004924E2">
      <w:pPr>
        <w:spacing w:after="0" w:line="276" w:lineRule="auto"/>
        <w:ind w:left="851" w:right="850"/>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Las normas relativas a los derechos humanos se interpretarán de conformidad con esta Constitución y con los tratados internacionales de la materia favoreciendo en todo tiempo a las personas la protección más amplia.</w:t>
      </w:r>
    </w:p>
    <w:p w:rsidR="00AB2DD5" w:rsidRPr="00B510A6" w:rsidRDefault="004924E2">
      <w:pPr>
        <w:spacing w:after="0" w:line="276" w:lineRule="auto"/>
        <w:ind w:left="851" w:right="850"/>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510A6">
        <w:rPr>
          <w:rFonts w:ascii="Palatino Linotype" w:eastAsia="Palatino Linotype" w:hAnsi="Palatino Linotype" w:cs="Palatino Linotype"/>
          <w:i/>
          <w:iCs/>
          <w:color w:val="000000"/>
        </w:rPr>
        <w:t xml:space="preserve"> En consecuencia, el Estado deberá prevenir, investigar, sancionar y reparar las violaciones a los derechos humanos, en los términos que establezca la ley</w:t>
      </w:r>
    </w:p>
    <w:p w:rsidR="00AB2DD5" w:rsidRPr="00B510A6" w:rsidRDefault="004924E2">
      <w:pPr>
        <w:spacing w:after="0" w:line="276" w:lineRule="auto"/>
        <w:ind w:left="851" w:right="850"/>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w:t>
      </w:r>
    </w:p>
    <w:p w:rsidR="00AB2DD5" w:rsidRPr="00B510A6" w:rsidRDefault="004924E2">
      <w:pPr>
        <w:spacing w:after="0" w:line="276" w:lineRule="auto"/>
        <w:ind w:left="851" w:right="90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“Artículo 6o.</w:t>
      </w:r>
    </w:p>
    <w:p w:rsidR="00AB2DD5" w:rsidRPr="00B510A6" w:rsidRDefault="004924E2">
      <w:pPr>
        <w:spacing w:after="0" w:line="276" w:lineRule="auto"/>
        <w:ind w:left="851" w:right="90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w:t>
      </w:r>
    </w:p>
    <w:p w:rsidR="00AB2DD5" w:rsidRPr="00B510A6" w:rsidRDefault="004924E2">
      <w:pPr>
        <w:spacing w:after="0" w:line="276" w:lineRule="auto"/>
        <w:ind w:left="851" w:right="8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 xml:space="preserve">A. Para el ejercicio del derecho de acceso a la información, la Federación y </w:t>
      </w:r>
      <w:r w:rsidRPr="00B510A6">
        <w:rPr>
          <w:rFonts w:ascii="Palatino Linotype" w:eastAsia="Palatino Linotype" w:hAnsi="Palatino Linotype" w:cs="Palatino Linotype"/>
          <w:b/>
          <w:bCs/>
          <w:i/>
          <w:iCs/>
          <w:color w:val="000000"/>
          <w:u w:val="single"/>
        </w:rPr>
        <w:t>las entidades federativas</w:t>
      </w:r>
      <w:r w:rsidRPr="00B510A6">
        <w:rPr>
          <w:rFonts w:ascii="Palatino Linotype" w:eastAsia="Palatino Linotype" w:hAnsi="Palatino Linotype" w:cs="Palatino Linotype"/>
          <w:b/>
          <w:bCs/>
          <w:i/>
          <w:iCs/>
          <w:color w:val="000000"/>
        </w:rPr>
        <w:t>,</w:t>
      </w:r>
      <w:r w:rsidRPr="00B510A6">
        <w:rPr>
          <w:rFonts w:ascii="Palatino Linotype" w:eastAsia="Palatino Linotype" w:hAnsi="Palatino Linotype" w:cs="Palatino Linotype"/>
          <w:i/>
          <w:iCs/>
          <w:color w:val="000000"/>
        </w:rPr>
        <w:t xml:space="preserve"> en el ámbito de sus respectivas competencias, se regirán por los siguientes principios y bases:</w:t>
      </w:r>
    </w:p>
    <w:p w:rsidR="00AB2DD5" w:rsidRPr="00B510A6" w:rsidRDefault="004924E2">
      <w:pPr>
        <w:spacing w:after="0" w:line="276" w:lineRule="auto"/>
        <w:ind w:left="851" w:right="8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 </w:t>
      </w:r>
      <w:r w:rsidRPr="00B510A6">
        <w:rPr>
          <w:rFonts w:ascii="Palatino Linotype" w:eastAsia="Palatino Linotype" w:hAnsi="Palatino Linotype" w:cs="Palatino Linotype"/>
          <w:b/>
          <w:bCs/>
          <w:i/>
          <w:iCs/>
          <w:color w:val="000000"/>
        </w:rPr>
        <w:t xml:space="preserve">I. </w:t>
      </w:r>
      <w:r w:rsidRPr="00B510A6">
        <w:rPr>
          <w:rFonts w:ascii="Palatino Linotype" w:eastAsia="Palatino Linotype" w:hAnsi="Palatino Linotype" w:cs="Palatino Linotype"/>
          <w:b/>
          <w:bCs/>
          <w:i/>
          <w:iCs/>
          <w:color w:val="000000"/>
          <w:u w:val="single"/>
        </w:rPr>
        <w:t xml:space="preserve">Toda la información en posesión de cualquier autoridad, entidad, órgano y organismo de los Poderes Ejecutivo, Legislativo y Judicial, órganos autónomos, </w:t>
      </w:r>
      <w:r w:rsidRPr="00B510A6">
        <w:rPr>
          <w:rFonts w:ascii="Palatino Linotype" w:eastAsia="Palatino Linotype" w:hAnsi="Palatino Linotype" w:cs="Palatino Linotype"/>
          <w:i/>
          <w:iCs/>
          <w:color w:val="000000"/>
        </w:rPr>
        <w:t xml:space="preserve">partidos políticos, fideicomisos y fondos públicos, así como de cualquier persona física, moral o sindicato que reciba y ejerza recursos públicos o realice actos de autoridad en el ámbito federal, estatal y municipal, </w:t>
      </w:r>
      <w:r w:rsidRPr="00B510A6">
        <w:rPr>
          <w:rFonts w:ascii="Palatino Linotype" w:eastAsia="Palatino Linotype" w:hAnsi="Palatino Linotype" w:cs="Palatino Linotype"/>
          <w:b/>
          <w:bCs/>
          <w:i/>
          <w:iCs/>
          <w:color w:val="000000"/>
        </w:rPr>
        <w:t>es pública y sólo podrá ser reservada temporalmente por razones de interés público y seguridad nacional,</w:t>
      </w:r>
      <w:r w:rsidRPr="00B510A6">
        <w:rPr>
          <w:rFonts w:ascii="Palatino Linotype" w:eastAsia="Palatino Linotype" w:hAnsi="Palatino Linotype" w:cs="Palatino Linotype"/>
          <w:i/>
          <w:iCs/>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B2DD5" w:rsidRPr="00B510A6" w:rsidRDefault="004924E2">
      <w:pPr>
        <w:spacing w:after="0" w:line="276" w:lineRule="auto"/>
        <w:ind w:left="851" w:right="851"/>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color w:val="000000"/>
        </w:rPr>
        <w:t xml:space="preserve">II. La información que se refiere a la vida privada y los datos personales será protegida en los términos y con las excepciones que fijen las leyes. </w:t>
      </w:r>
      <w:r w:rsidRPr="00B510A6">
        <w:rPr>
          <w:rFonts w:ascii="Palatino Linotype" w:eastAsia="Palatino Linotype" w:hAnsi="Palatino Linotype" w:cs="Palatino Linotype"/>
          <w:b/>
          <w:bCs/>
          <w:i/>
          <w:iCs/>
        </w:rPr>
        <w:t>Para tal efecto, los sujetos obligados contarán con las facultades suficientes para su atención.</w:t>
      </w:r>
    </w:p>
    <w:p w:rsidR="00AB2DD5" w:rsidRPr="00B510A6" w:rsidRDefault="004924E2">
      <w:pPr>
        <w:spacing w:after="0" w:line="276" w:lineRule="auto"/>
        <w:ind w:left="851" w:right="851"/>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851" w:right="8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 xml:space="preserve">III. </w:t>
      </w:r>
      <w:r w:rsidRPr="00B510A6">
        <w:rPr>
          <w:rFonts w:ascii="Palatino Linotype" w:eastAsia="Palatino Linotype" w:hAnsi="Palatino Linotype" w:cs="Palatino Linotype"/>
          <w:b/>
          <w:bCs/>
          <w:i/>
          <w:iCs/>
          <w:color w:val="000000"/>
          <w:u w:val="single"/>
        </w:rPr>
        <w:t>Toda persona, sin necesidad de acreditar interés alguno o justificar su utilización, tendrá acceso gratuito a la información pública,</w:t>
      </w:r>
      <w:r w:rsidRPr="00B510A6">
        <w:rPr>
          <w:rFonts w:ascii="Palatino Linotype" w:eastAsia="Palatino Linotype" w:hAnsi="Palatino Linotype" w:cs="Palatino Linotype"/>
          <w:i/>
          <w:iCs/>
          <w:color w:val="000000"/>
        </w:rPr>
        <w:t xml:space="preserve"> a sus datos personales o a la rectificación de éstos.</w:t>
      </w:r>
    </w:p>
    <w:p w:rsidR="00AB2DD5" w:rsidRPr="00B510A6" w:rsidRDefault="004924E2">
      <w:pPr>
        <w:spacing w:after="0" w:line="276" w:lineRule="auto"/>
        <w:ind w:left="851" w:right="851"/>
        <w:jc w:val="both"/>
        <w:rPr>
          <w:rFonts w:ascii="Palatino Linotype" w:eastAsia="Palatino Linotype" w:hAnsi="Palatino Linotype" w:cs="Palatino Linotype"/>
          <w:b/>
          <w:bCs/>
          <w:color w:val="000000"/>
        </w:rPr>
      </w:pPr>
      <w:r w:rsidRPr="00B510A6">
        <w:rPr>
          <w:rFonts w:ascii="Palatino Linotype" w:eastAsia="Palatino Linotype" w:hAnsi="Palatino Linotype" w:cs="Palatino Linotype"/>
          <w:b/>
          <w:bCs/>
          <w:i/>
          <w:iCs/>
          <w:color w:val="000000"/>
        </w:rPr>
        <w:t>IV. Se establecerán mecanismos de acceso a la información y procedimientos de revisión expeditos que se sustanciarán ante las instancias competentes en los términos que fija esta Constitución y las leyes.</w:t>
      </w:r>
    </w:p>
    <w:p w:rsidR="00AB2DD5" w:rsidRPr="00B510A6" w:rsidRDefault="004924E2">
      <w:pPr>
        <w:spacing w:after="0" w:line="276" w:lineRule="auto"/>
        <w:ind w:left="851" w:right="8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 xml:space="preserve">V. </w:t>
      </w:r>
      <w:r w:rsidRPr="00B510A6">
        <w:rPr>
          <w:rFonts w:ascii="Palatino Linotype" w:eastAsia="Palatino Linotype" w:hAnsi="Palatino Linotype" w:cs="Palatino Linotype"/>
          <w:i/>
          <w:iCs/>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B2DD5" w:rsidRPr="00B510A6" w:rsidRDefault="004924E2">
      <w:pPr>
        <w:spacing w:after="0" w:line="276" w:lineRule="auto"/>
        <w:ind w:left="851" w:right="8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 </w:t>
      </w:r>
      <w:r w:rsidRPr="00B510A6">
        <w:rPr>
          <w:rFonts w:ascii="Palatino Linotype" w:eastAsia="Palatino Linotype" w:hAnsi="Palatino Linotype" w:cs="Palatino Linotype"/>
          <w:b/>
          <w:bCs/>
          <w:i/>
          <w:iCs/>
          <w:color w:val="000000"/>
        </w:rPr>
        <w:t xml:space="preserve">VI. </w:t>
      </w:r>
      <w:r w:rsidRPr="00B510A6">
        <w:rPr>
          <w:rFonts w:ascii="Palatino Linotype" w:eastAsia="Palatino Linotype" w:hAnsi="Palatino Linotype" w:cs="Palatino Linotype"/>
          <w:i/>
          <w:iCs/>
          <w:color w:val="000000"/>
        </w:rPr>
        <w:t>Las leyes determinarán la manera en que los sujetos obligados deberán hacer pública la información relativa a los recursos públicos que entreguen a personas físicas o morales.</w:t>
      </w:r>
    </w:p>
    <w:p w:rsidR="00AB2DD5" w:rsidRPr="00B510A6" w:rsidRDefault="004924E2">
      <w:pPr>
        <w:pBdr>
          <w:top w:val="nil"/>
          <w:left w:val="nil"/>
          <w:bottom w:val="nil"/>
          <w:right w:val="nil"/>
          <w:between w:val="nil"/>
        </w:pBdr>
        <w:spacing w:after="0" w:line="276" w:lineRule="auto"/>
        <w:ind w:left="851" w:right="851"/>
        <w:jc w:val="both"/>
        <w:rPr>
          <w:color w:val="000000"/>
        </w:rPr>
      </w:pPr>
      <w:r w:rsidRPr="00B510A6">
        <w:rPr>
          <w:rFonts w:ascii="Palatino Linotype" w:eastAsia="Palatino Linotype" w:hAnsi="Palatino Linotype" w:cs="Palatino Linotype"/>
          <w:i/>
          <w:iCs/>
          <w:color w:val="000000"/>
        </w:rPr>
        <w:t> </w:t>
      </w:r>
      <w:r w:rsidRPr="00B510A6">
        <w:rPr>
          <w:rFonts w:ascii="Palatino Linotype" w:eastAsia="Palatino Linotype" w:hAnsi="Palatino Linotype" w:cs="Palatino Linotype"/>
          <w:b/>
          <w:bCs/>
          <w:i/>
          <w:iCs/>
          <w:color w:val="000000"/>
        </w:rPr>
        <w:t xml:space="preserve">VII. </w:t>
      </w:r>
      <w:r w:rsidRPr="00B510A6">
        <w:rPr>
          <w:rFonts w:ascii="Palatino Linotype" w:eastAsia="Palatino Linotype" w:hAnsi="Palatino Linotype" w:cs="Palatino Linotype"/>
          <w:i/>
          <w:iCs/>
          <w:color w:val="000000"/>
        </w:rPr>
        <w:t>La inobservancia a las disposiciones en materia de acceso a la información pública será sancionada en los términos que dispongan las leyes. [...]”</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AB2DD5" w:rsidRPr="00B510A6" w:rsidRDefault="004924E2">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AB2DD5" w:rsidRPr="00B510A6" w:rsidRDefault="00AB2DD5">
      <w:pPr>
        <w:pBdr>
          <w:top w:val="nil"/>
          <w:left w:val="nil"/>
          <w:bottom w:val="nil"/>
          <w:right w:val="nil"/>
          <w:between w:val="nil"/>
        </w:pBdr>
        <w:spacing w:after="0" w:line="360" w:lineRule="auto"/>
        <w:jc w:val="both"/>
        <w:rPr>
          <w:color w:val="000000"/>
        </w:rPr>
      </w:pPr>
    </w:p>
    <w:p w:rsidR="00AB2DD5" w:rsidRPr="00B510A6" w:rsidRDefault="004924E2">
      <w:pPr>
        <w:spacing w:after="0" w:line="276"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r w:rsidRPr="00B510A6">
        <w:rPr>
          <w:rFonts w:ascii="Palatino Linotype" w:eastAsia="Palatino Linotype" w:hAnsi="Palatino Linotype" w:cs="Palatino Linotype"/>
          <w:b/>
          <w:bCs/>
          <w:i/>
          <w:iCs/>
        </w:rPr>
        <w:t>Artículo 4</w:t>
      </w:r>
      <w:r w:rsidRPr="00B510A6">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B2DD5" w:rsidRPr="00B510A6" w:rsidRDefault="00AB2DD5">
      <w:pPr>
        <w:spacing w:after="0" w:line="276" w:lineRule="auto"/>
        <w:ind w:left="567" w:right="616"/>
        <w:jc w:val="both"/>
        <w:rPr>
          <w:rFonts w:ascii="Palatino Linotype" w:eastAsia="Palatino Linotype" w:hAnsi="Palatino Linotype" w:cs="Palatino Linotype"/>
          <w:i/>
          <w:iCs/>
        </w:rPr>
      </w:pPr>
    </w:p>
    <w:p w:rsidR="00AB2DD5" w:rsidRPr="00B510A6" w:rsidRDefault="004924E2">
      <w:pPr>
        <w:spacing w:after="0" w:line="276"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B510A6">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B2DD5" w:rsidRPr="00B510A6" w:rsidRDefault="00AB2DD5">
      <w:pPr>
        <w:spacing w:after="0" w:line="276" w:lineRule="auto"/>
        <w:ind w:left="567" w:right="616"/>
        <w:jc w:val="both"/>
        <w:rPr>
          <w:rFonts w:ascii="Palatino Linotype" w:eastAsia="Palatino Linotype" w:hAnsi="Palatino Linotype" w:cs="Palatino Linotype"/>
          <w:i/>
          <w:iCs/>
        </w:rPr>
      </w:pPr>
    </w:p>
    <w:p w:rsidR="00AB2DD5" w:rsidRPr="00B510A6" w:rsidRDefault="004924E2">
      <w:pPr>
        <w:spacing w:after="0" w:line="276"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B510A6">
        <w:rPr>
          <w:rFonts w:ascii="Palatino Linotype" w:eastAsia="Palatino Linotype" w:hAnsi="Palatino Linotype" w:cs="Palatino Linotype"/>
          <w:i/>
          <w:iCs/>
        </w:rPr>
        <w:t>.”</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276"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“Artículo 12.-</w:t>
      </w:r>
      <w:r w:rsidRPr="00B510A6">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rsidR="00AB2DD5" w:rsidRPr="00B510A6" w:rsidRDefault="00AB2DD5">
      <w:pPr>
        <w:spacing w:after="0" w:line="276" w:lineRule="auto"/>
        <w:ind w:left="567" w:right="616"/>
        <w:jc w:val="both"/>
        <w:rPr>
          <w:rFonts w:ascii="Palatino Linotype" w:eastAsia="Palatino Linotype" w:hAnsi="Palatino Linotype" w:cs="Palatino Linotype"/>
          <w:i/>
          <w:iCs/>
        </w:rPr>
      </w:pPr>
    </w:p>
    <w:p w:rsidR="00AB2DD5" w:rsidRPr="00B510A6" w:rsidRDefault="004924E2">
      <w:pPr>
        <w:spacing w:after="0" w:line="276" w:lineRule="auto"/>
        <w:ind w:left="567" w:right="616"/>
        <w:jc w:val="both"/>
        <w:rPr>
          <w:rFonts w:ascii="Palatino Linotype" w:eastAsia="Palatino Linotype" w:hAnsi="Palatino Linotype" w:cs="Palatino Linotype"/>
          <w:b/>
          <w:bCs/>
          <w:i/>
          <w:iCs/>
        </w:rPr>
      </w:pPr>
      <w:r w:rsidRPr="00B510A6">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B510A6">
        <w:rPr>
          <w:rFonts w:ascii="Palatino Linotype" w:eastAsia="Palatino Linotype" w:hAnsi="Palatino Linotype" w:cs="Palatino Linotype"/>
          <w:i/>
          <w:iCs/>
        </w:rPr>
        <w:t xml:space="preserve">. </w:t>
      </w:r>
      <w:r w:rsidRPr="00B510A6">
        <w:rPr>
          <w:rFonts w:ascii="Palatino Linotype" w:eastAsia="Palatino Linotype" w:hAnsi="Palatino Linotype" w:cs="Palatino Linotype"/>
          <w:b/>
          <w:bCs/>
          <w:i/>
          <w:iCs/>
        </w:rPr>
        <w:t xml:space="preserve">La obligación de proporcionar información no comprende el procesamiento de la misma, ni el presentarla conforme al interés del solicitante; no estarán obligados a generarla, resumirla, efectuar cálculos o practicar investigaciones”. </w:t>
      </w:r>
    </w:p>
    <w:p w:rsidR="00AB2DD5" w:rsidRPr="00B510A6" w:rsidRDefault="00AB2DD5">
      <w:pPr>
        <w:spacing w:after="0" w:line="360" w:lineRule="auto"/>
        <w:ind w:left="567" w:right="616"/>
        <w:jc w:val="both"/>
        <w:rPr>
          <w:rFonts w:ascii="Palatino Linotype" w:eastAsia="Palatino Linotype" w:hAnsi="Palatino Linotype" w:cs="Palatino Linotype"/>
          <w:i/>
          <w:iCs/>
        </w:rPr>
      </w:pPr>
    </w:p>
    <w:p w:rsidR="00AB2DD5" w:rsidRPr="00B510A6" w:rsidRDefault="004924E2">
      <w:pPr>
        <w:spacing w:after="0" w:line="360" w:lineRule="auto"/>
        <w:ind w:right="-93"/>
        <w:jc w:val="both"/>
        <w:rPr>
          <w:rFonts w:ascii="Palatino Linotype" w:eastAsia="Palatino Linotype" w:hAnsi="Palatino Linotype" w:cs="Palatino Linotype"/>
        </w:rPr>
      </w:pPr>
      <w:r w:rsidRPr="00B510A6">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AB2DD5" w:rsidRPr="00B510A6" w:rsidRDefault="00AB2DD5">
      <w:pPr>
        <w:spacing w:after="0" w:line="360" w:lineRule="auto"/>
        <w:ind w:right="-93"/>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b/>
          <w:bCs/>
        </w:rPr>
      </w:pPr>
      <w:r w:rsidRPr="00B510A6">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B510A6">
        <w:rPr>
          <w:rFonts w:ascii="Palatino Linotype" w:eastAsia="Palatino Linotype" w:hAnsi="Palatino Linotype" w:cs="Palatino Linotype"/>
          <w:b/>
          <w:bCs/>
        </w:rPr>
        <w:t xml:space="preserve"> </w:t>
      </w:r>
    </w:p>
    <w:p w:rsidR="00AB2DD5" w:rsidRPr="00B510A6" w:rsidRDefault="00AB2DD5">
      <w:pPr>
        <w:spacing w:after="0" w:line="360" w:lineRule="auto"/>
        <w:jc w:val="both"/>
        <w:rPr>
          <w:rFonts w:ascii="Palatino Linotype" w:eastAsia="Palatino Linotype" w:hAnsi="Palatino Linotype" w:cs="Palatino Linotype"/>
          <w:b/>
          <w:bCs/>
        </w:rPr>
      </w:pPr>
    </w:p>
    <w:p w:rsidR="00AB2DD5" w:rsidRPr="00B510A6" w:rsidRDefault="004924E2">
      <w:pPr>
        <w:spacing w:after="0" w:line="276"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r w:rsidRPr="00B510A6">
        <w:rPr>
          <w:rFonts w:ascii="Palatino Linotype" w:eastAsia="Palatino Linotype" w:hAnsi="Palatino Linotype" w:cs="Palatino Linotype"/>
          <w:b/>
          <w:bCs/>
          <w:i/>
          <w:iCs/>
        </w:rPr>
        <w:t>No existe obligación de elaborar documentos ad hoc para atender las solicitudes de acceso a la información.</w:t>
      </w:r>
      <w:r w:rsidRPr="00B510A6">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AB2DD5" w:rsidRPr="00B510A6" w:rsidRDefault="00AB2DD5">
      <w:pPr>
        <w:spacing w:after="0" w:line="360" w:lineRule="auto"/>
        <w:ind w:right="-93"/>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ind w:right="49"/>
        <w:jc w:val="both"/>
        <w:rPr>
          <w:rFonts w:ascii="Palatino Linotype" w:eastAsia="Palatino Linotype" w:hAnsi="Palatino Linotype" w:cs="Palatino Linotype"/>
        </w:rPr>
      </w:pPr>
      <w:r w:rsidRPr="00B510A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B2DD5" w:rsidRPr="00B510A6" w:rsidRDefault="00AB2DD5">
      <w:pPr>
        <w:spacing w:after="0" w:line="360" w:lineRule="auto"/>
        <w:ind w:right="49"/>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276" w:lineRule="auto"/>
        <w:ind w:left="567" w:right="616"/>
        <w:jc w:val="both"/>
        <w:rPr>
          <w:rFonts w:ascii="Palatino Linotype" w:eastAsia="Palatino Linotype" w:hAnsi="Palatino Linotype" w:cs="Palatino Linotype"/>
          <w:b/>
          <w:bCs/>
          <w:i/>
          <w:iCs/>
        </w:rPr>
      </w:pPr>
      <w:r w:rsidRPr="00B510A6">
        <w:rPr>
          <w:rFonts w:ascii="Palatino Linotype" w:eastAsia="Palatino Linotype" w:hAnsi="Palatino Linotype" w:cs="Palatino Linotype"/>
          <w:b/>
          <w:bCs/>
        </w:rPr>
        <w:t>“</w:t>
      </w:r>
      <w:r w:rsidRPr="00B510A6">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B510A6">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B2DD5" w:rsidRPr="00B510A6" w:rsidRDefault="004924E2">
      <w:pPr>
        <w:spacing w:after="0" w:line="276"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En consecuencia el acceso a la información se refiere a que se cumplan cualquiera de los siguientes tres supuestos:</w:t>
      </w:r>
    </w:p>
    <w:p w:rsidR="00AB2DD5" w:rsidRPr="00B510A6" w:rsidRDefault="004924E2">
      <w:pPr>
        <w:spacing w:after="0" w:line="276"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rsidR="00AB2DD5" w:rsidRPr="00B510A6" w:rsidRDefault="004924E2">
      <w:pPr>
        <w:spacing w:after="0" w:line="276" w:lineRule="auto"/>
        <w:ind w:left="567" w:right="616"/>
        <w:jc w:val="both"/>
        <w:rPr>
          <w:rFonts w:ascii="Palatino Linotype" w:eastAsia="Palatino Linotype" w:hAnsi="Palatino Linotype" w:cs="Palatino Linotype"/>
          <w:b/>
          <w:bCs/>
          <w:i/>
          <w:iCs/>
        </w:rPr>
      </w:pPr>
      <w:r w:rsidRPr="00B510A6">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rsidR="00AB2DD5" w:rsidRPr="00B510A6" w:rsidRDefault="004924E2">
      <w:pPr>
        <w:spacing w:after="0" w:line="276" w:lineRule="auto"/>
        <w:ind w:left="567" w:right="616"/>
        <w:jc w:val="both"/>
        <w:rPr>
          <w:rFonts w:ascii="Palatino Linotype" w:eastAsia="Palatino Linotype" w:hAnsi="Palatino Linotype" w:cs="Palatino Linotype"/>
          <w:b/>
          <w:bCs/>
          <w:i/>
          <w:iCs/>
        </w:rPr>
      </w:pPr>
      <w:r w:rsidRPr="00B510A6">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De ahí que el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510A6">
        <w:rPr>
          <w:rFonts w:ascii="Palatino Linotype" w:eastAsia="Palatino Linotype" w:hAnsi="Palatino Linotype" w:cs="Palatino Linotype"/>
          <w:vertAlign w:val="superscript"/>
        </w:rPr>
        <w:footnoteReference w:id="1"/>
      </w:r>
      <w:r w:rsidRPr="00B510A6">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510A6">
        <w:rPr>
          <w:rFonts w:ascii="Palatino Linotype" w:eastAsia="Palatino Linotype" w:hAnsi="Palatino Linotype" w:cs="Palatino Linotype"/>
          <w:vertAlign w:val="superscript"/>
        </w:rPr>
        <w:footnoteReference w:id="2"/>
      </w:r>
      <w:r w:rsidRPr="00B510A6">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AB2DD5" w:rsidRPr="00B510A6" w:rsidRDefault="00AB2DD5">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b/>
          <w:bCs/>
        </w:rPr>
      </w:pPr>
      <w:r w:rsidRPr="00B510A6">
        <w:rPr>
          <w:rFonts w:ascii="Palatino Linotype" w:eastAsia="Palatino Linotype" w:hAnsi="Palatino Linotype" w:cs="Palatino Linotype"/>
        </w:rPr>
        <w:t xml:space="preserve">Conviene iniciar el presente estudio señalando que del análisis a las solicitudes de información, se advierte que la persona solicitante requirió al </w:t>
      </w:r>
      <w:r w:rsidRPr="00B510A6">
        <w:rPr>
          <w:rFonts w:ascii="Palatino Linotype" w:eastAsia="Palatino Linotype" w:hAnsi="Palatino Linotype" w:cs="Palatino Linotype"/>
          <w:b/>
          <w:bCs/>
        </w:rPr>
        <w:t>Sujeto Obligado las Actas de Cabildo de las sesiones celebradas del periodo comprendido del 01 de enero al 30 de junio de 2023, del 01 al 31 de diciembre de 2024, y del 01 de enero al 31 de agosto de 2025.</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ind w:right="49"/>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En respuesta, el </w:t>
      </w:r>
      <w:r w:rsidRPr="00B510A6">
        <w:rPr>
          <w:rFonts w:ascii="Palatino Linotype" w:eastAsia="Palatino Linotype" w:hAnsi="Palatino Linotype" w:cs="Palatino Linotype"/>
          <w:b/>
          <w:bCs/>
        </w:rPr>
        <w:t xml:space="preserve">Sujeto Obligado </w:t>
      </w:r>
      <w:r w:rsidRPr="00B510A6">
        <w:rPr>
          <w:rFonts w:ascii="Palatino Linotype" w:eastAsia="Palatino Linotype" w:hAnsi="Palatino Linotype" w:cs="Palatino Linotype"/>
        </w:rPr>
        <w:t xml:space="preserve">por conducto </w:t>
      </w:r>
      <w:r w:rsidRPr="00B510A6">
        <w:rPr>
          <w:rFonts w:ascii="Palatino Linotype" w:eastAsia="Palatino Linotype" w:hAnsi="Palatino Linotype" w:cs="Palatino Linotype"/>
          <w:b/>
          <w:bCs/>
        </w:rPr>
        <w:t xml:space="preserve">del Secretario del Ayuntamiento </w:t>
      </w:r>
      <w:r w:rsidRPr="00B510A6">
        <w:rPr>
          <w:rFonts w:ascii="Palatino Linotype" w:eastAsia="Palatino Linotype" w:hAnsi="Palatino Linotype" w:cs="Palatino Linotype"/>
        </w:rPr>
        <w:t>indicó que respecto las sesiones celebradas en la temporalidad requerida, para la obtención de las actas de cabildo peticionadas, se debía cubrir previamente el pago por el escaneo indicando el costo y fojas en cada caso, señalando el procedimiento para realizar el pago en la Tesorería Municipal.</w:t>
      </w:r>
    </w:p>
    <w:p w:rsidR="00AB2DD5" w:rsidRPr="00B510A6" w:rsidRDefault="00AB2DD5">
      <w:pPr>
        <w:spacing w:after="0" w:line="360" w:lineRule="auto"/>
        <w:ind w:right="49"/>
        <w:jc w:val="both"/>
        <w:rPr>
          <w:rFonts w:ascii="Palatino Linotype" w:eastAsia="Palatino Linotype" w:hAnsi="Palatino Linotype" w:cs="Palatino Linotype"/>
        </w:rPr>
      </w:pPr>
    </w:p>
    <w:p w:rsidR="00AB2DD5" w:rsidRPr="00B510A6" w:rsidRDefault="004924E2">
      <w:pPr>
        <w:spacing w:after="0" w:line="360" w:lineRule="auto"/>
        <w:ind w:right="49"/>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Inconforme con las respuestas, la parte </w:t>
      </w:r>
      <w:r w:rsidRPr="00B510A6">
        <w:rPr>
          <w:rFonts w:ascii="Palatino Linotype" w:eastAsia="Palatino Linotype" w:hAnsi="Palatino Linotype" w:cs="Palatino Linotype"/>
          <w:b/>
          <w:bCs/>
        </w:rPr>
        <w:t xml:space="preserve">Recurrente </w:t>
      </w:r>
      <w:r w:rsidRPr="00B510A6">
        <w:rPr>
          <w:rFonts w:ascii="Palatino Linotype" w:eastAsia="Palatino Linotype" w:hAnsi="Palatino Linotype" w:cs="Palatino Linotype"/>
        </w:rPr>
        <w:t xml:space="preserve">promovió los presentes recursos de revisión en los que a manera de motivos de inconformidad </w:t>
      </w:r>
      <w:r w:rsidRPr="00B510A6">
        <w:rPr>
          <w:rFonts w:ascii="Palatino Linotype" w:eastAsia="Palatino Linotype" w:hAnsi="Palatino Linotype" w:cs="Palatino Linotype"/>
          <w:b/>
          <w:bCs/>
        </w:rPr>
        <w:t xml:space="preserve">se adolece medularmente del cambio en la modalidad de entrega de la información. </w:t>
      </w:r>
    </w:p>
    <w:p w:rsidR="00AB2DD5" w:rsidRPr="00B510A6" w:rsidRDefault="00AB2DD5">
      <w:pPr>
        <w:spacing w:after="0" w:line="360" w:lineRule="auto"/>
        <w:ind w:right="49"/>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Admitidos los medios de impugnación que nos ocupa, en términos del artículo 185 fracción II</w:t>
      </w:r>
      <w:r w:rsidRPr="00B510A6">
        <w:rPr>
          <w:rFonts w:ascii="Palatino Linotype" w:eastAsia="Palatino Linotype" w:hAnsi="Palatino Linotype" w:cs="Palatino Linotype"/>
          <w:color w:val="000000"/>
          <w:vertAlign w:val="superscript"/>
        </w:rPr>
        <w:footnoteReference w:id="3"/>
      </w:r>
      <w:r w:rsidRPr="00B510A6">
        <w:rPr>
          <w:rFonts w:ascii="Palatino Linotype" w:eastAsia="Palatino Linotype" w:hAnsi="Palatino Linotype" w:cs="Palatino Linotype"/>
          <w:color w:val="00000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AB2DD5" w:rsidRPr="00B510A6" w:rsidRDefault="00AB2DD5">
      <w:pPr>
        <w:spacing w:after="0" w:line="360" w:lineRule="auto"/>
        <w:jc w:val="both"/>
        <w:rPr>
          <w:rFonts w:ascii="Palatino Linotype" w:eastAsia="Palatino Linotype" w:hAnsi="Palatino Linotype" w:cs="Palatino Linotype"/>
          <w:color w:val="000000"/>
        </w:rPr>
      </w:pPr>
    </w:p>
    <w:p w:rsidR="00AB2DD5" w:rsidRPr="00B510A6" w:rsidRDefault="004924E2">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 xml:space="preserve">Cabe resaltar que, de las constancias que obran en los expedientes electrónicos en que se actúa, se advierte que el </w:t>
      </w:r>
      <w:r w:rsidRPr="00B510A6">
        <w:rPr>
          <w:rFonts w:ascii="Palatino Linotype" w:eastAsia="Palatino Linotype" w:hAnsi="Palatino Linotype" w:cs="Palatino Linotype"/>
          <w:b/>
          <w:bCs/>
          <w:color w:val="000000"/>
        </w:rPr>
        <w:t>Sujeto Obligado</w:t>
      </w:r>
      <w:r w:rsidRPr="00B510A6">
        <w:rPr>
          <w:rFonts w:ascii="Palatino Linotype" w:eastAsia="Palatino Linotype" w:hAnsi="Palatino Linotype" w:cs="Palatino Linotype"/>
          <w:color w:val="000000"/>
        </w:rPr>
        <w:t xml:space="preserve"> rindió sus informes justificados en los que medularmente ratificó sus respuestas iniciales.</w:t>
      </w:r>
    </w:p>
    <w:p w:rsidR="00AB2DD5" w:rsidRPr="00B510A6" w:rsidRDefault="00AB2DD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rsidR="00AB2DD5" w:rsidRPr="00B510A6" w:rsidRDefault="004924E2">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Por su lado, en determinados medios de impugnación la persona solicitante realizó manifestaciones reiterando que el ente obligado le pretendía realizar indebidamente el cambio de modalidad en la entrega de la información previo pago de determinados costos.</w:t>
      </w:r>
    </w:p>
    <w:p w:rsidR="00AB2DD5" w:rsidRPr="00B510A6" w:rsidRDefault="00AB2DD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rsidR="00AB2DD5" w:rsidRPr="00B510A6" w:rsidRDefault="004924E2">
      <w:pPr>
        <w:spacing w:after="0" w:line="360" w:lineRule="auto"/>
        <w:ind w:right="49"/>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Expuestas las posturas de las partes, en el caso, atendiendo la naturaleza de la información requerida, resulta conveniente traer a contexto el contenido de los artículos 28, 29, 30, 48 y 91 de la Ley Orgánica Municipal del Estado de México, en su parte conducente, a saber:</w:t>
      </w:r>
    </w:p>
    <w:p w:rsidR="00AB2DD5" w:rsidRPr="00B510A6" w:rsidRDefault="00AB2DD5">
      <w:pPr>
        <w:spacing w:after="0" w:line="360" w:lineRule="auto"/>
        <w:ind w:right="49"/>
        <w:jc w:val="both"/>
        <w:rPr>
          <w:rFonts w:ascii="Palatino Linotype" w:eastAsia="Palatino Linotype" w:hAnsi="Palatino Linotype" w:cs="Palatino Linotype"/>
          <w:color w:val="000000"/>
        </w:rPr>
      </w:pPr>
    </w:p>
    <w:p w:rsidR="00AB2DD5" w:rsidRPr="00B510A6" w:rsidRDefault="00AB2DD5">
      <w:pPr>
        <w:spacing w:after="0" w:line="360" w:lineRule="auto"/>
        <w:ind w:right="49"/>
        <w:jc w:val="both"/>
        <w:rPr>
          <w:rFonts w:ascii="Palatino Linotype" w:eastAsia="Palatino Linotype" w:hAnsi="Palatino Linotype" w:cs="Palatino Linotype"/>
          <w:color w:val="000000"/>
        </w:rPr>
      </w:pP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r w:rsidRPr="00B510A6">
        <w:rPr>
          <w:rFonts w:ascii="Palatino Linotype" w:eastAsia="Palatino Linotype" w:hAnsi="Palatino Linotype" w:cs="Palatino Linotype"/>
          <w:b/>
          <w:bCs/>
          <w:i/>
          <w:iCs/>
        </w:rPr>
        <w:t>Artículo 28</w:t>
      </w:r>
      <w:r w:rsidRPr="00B510A6">
        <w:rPr>
          <w:rFonts w:ascii="Palatino Linotype" w:eastAsia="Palatino Linotype" w:hAnsi="Palatino Linotype" w:cs="Palatino Linotype"/>
          <w:i/>
          <w:iCs/>
        </w:rPr>
        <w:t xml:space="preserve">.- Los ayuntamientos sesionarán cuando menos una vez cada ocho días en sesión ordinaria </w:t>
      </w:r>
      <w:r w:rsidRPr="00B510A6">
        <w:rPr>
          <w:rFonts w:ascii="Palatino Linotype" w:eastAsia="Palatino Linotype" w:hAnsi="Palatino Linotype" w:cs="Palatino Linotype"/>
          <w:b/>
          <w:bCs/>
          <w:i/>
          <w:iCs/>
        </w:rPr>
        <w:t>o cuantas veces sea necesario en asuntos de urgente resolución por medio de sesiones extraordinarias</w:t>
      </w:r>
      <w:r w:rsidRPr="00B510A6">
        <w:rPr>
          <w:rFonts w:ascii="Palatino Linotype" w:eastAsia="Palatino Linotype" w:hAnsi="Palatino Linotype" w:cs="Palatino Linotype"/>
          <w:i/>
          <w:iCs/>
        </w:rPr>
        <w:t>, a petición de la mayoría de sus miembros y podrán declararse en sesión permanente cuando la importancia del asunto lo requiera.</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Artículo 29.</w:t>
      </w:r>
      <w:r w:rsidRPr="00B510A6">
        <w:rPr>
          <w:rFonts w:ascii="Palatino Linotype" w:eastAsia="Palatino Linotype" w:hAnsi="Palatino Linotype" w:cs="Palatino Linotype"/>
          <w:i/>
          <w:iCs/>
        </w:rPr>
        <w:t>- Los ayuntamientos podrán sesionar con la asistencia de la mayoría de sus integrantes y sus acuerdos se tomarán por mayoría de votos de sus miembros presentes. Quien presida la sesión, tendrá voto de calidad.</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Artículo 30.</w:t>
      </w:r>
      <w:r w:rsidRPr="00B510A6">
        <w:rPr>
          <w:rFonts w:ascii="Palatino Linotype" w:eastAsia="Palatino Linotype" w:hAnsi="Palatino Linotype" w:cs="Palatino Linotype"/>
          <w:i/>
          <w:iCs/>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Artículo 48.-</w:t>
      </w:r>
      <w:r w:rsidRPr="00B510A6">
        <w:rPr>
          <w:rFonts w:ascii="Palatino Linotype" w:eastAsia="Palatino Linotype" w:hAnsi="Palatino Linotype" w:cs="Palatino Linotype"/>
          <w:i/>
          <w:iCs/>
        </w:rPr>
        <w:t xml:space="preserve"> La persona titular de la presidencia municipal tiene las siguientes atribuciones:</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V.</w:t>
      </w:r>
      <w:r w:rsidRPr="00B510A6">
        <w:rPr>
          <w:rFonts w:ascii="Palatino Linotype" w:eastAsia="Palatino Linotype" w:hAnsi="Palatino Linotype" w:cs="Palatino Linotype"/>
          <w:i/>
          <w:iCs/>
        </w:rPr>
        <w:t xml:space="preserve"> Convocar a </w:t>
      </w:r>
      <w:r w:rsidRPr="00B510A6">
        <w:rPr>
          <w:rFonts w:ascii="Palatino Linotype" w:eastAsia="Palatino Linotype" w:hAnsi="Palatino Linotype" w:cs="Palatino Linotype"/>
          <w:b/>
          <w:bCs/>
          <w:i/>
          <w:iCs/>
        </w:rPr>
        <w:t>sesiones ordinarias y extraordinarias</w:t>
      </w:r>
      <w:r w:rsidRPr="00B510A6">
        <w:rPr>
          <w:rFonts w:ascii="Palatino Linotype" w:eastAsia="Palatino Linotype" w:hAnsi="Palatino Linotype" w:cs="Palatino Linotype"/>
          <w:i/>
          <w:iCs/>
        </w:rPr>
        <w:t xml:space="preserve"> a los integrantes del ayuntamiento;</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t>[…]</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Artículo 91.-</w:t>
      </w:r>
      <w:r w:rsidRPr="00B510A6">
        <w:rPr>
          <w:rFonts w:ascii="Palatino Linotype" w:eastAsia="Palatino Linotype" w:hAnsi="Palatino Linotype" w:cs="Palatino Linotype"/>
          <w:i/>
          <w:iCs/>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I.</w:t>
      </w:r>
      <w:r w:rsidRPr="00B510A6">
        <w:rPr>
          <w:rFonts w:ascii="Palatino Linotype" w:eastAsia="Palatino Linotype" w:hAnsi="Palatino Linotype" w:cs="Palatino Linotype"/>
          <w:i/>
          <w:iCs/>
        </w:rPr>
        <w:t xml:space="preserve"> Asistir a las sesiones del ayuntamiento y levantar las actas correspondientes; </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567" w:right="843"/>
        <w:jc w:val="both"/>
        <w:rPr>
          <w:rFonts w:ascii="Palatino Linotype" w:eastAsia="Palatino Linotype" w:hAnsi="Palatino Linotype" w:cs="Palatino Linotype"/>
          <w:b/>
          <w:bCs/>
          <w:i/>
          <w:iCs/>
          <w:u w:val="single"/>
        </w:rPr>
      </w:pPr>
      <w:r w:rsidRPr="00B510A6">
        <w:rPr>
          <w:rFonts w:ascii="Palatino Linotype" w:eastAsia="Palatino Linotype" w:hAnsi="Palatino Linotype" w:cs="Palatino Linotype"/>
          <w:b/>
          <w:bCs/>
          <w:i/>
          <w:iCs/>
          <w:u w:val="single"/>
        </w:rPr>
        <w:t>IV. Llevar y conservar los libros de actas de cabildo, obteniendo las firmas de los asistentes a las sesiones;”</w:t>
      </w:r>
    </w:p>
    <w:p w:rsidR="00AB2DD5" w:rsidRPr="00B510A6" w:rsidRDefault="00AB2DD5">
      <w:pPr>
        <w:spacing w:after="0" w:line="276" w:lineRule="auto"/>
        <w:ind w:left="567" w:right="843"/>
        <w:jc w:val="both"/>
        <w:rPr>
          <w:rFonts w:ascii="Palatino Linotype" w:eastAsia="Palatino Linotype" w:hAnsi="Palatino Linotype" w:cs="Palatino Linotype"/>
          <w:i/>
          <w:iCs/>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De lo anterior se desprende que, los ayuntamientos sesionarán, cuando menos una vez cada ocho días en </w:t>
      </w:r>
      <w:r w:rsidRPr="00B510A6">
        <w:rPr>
          <w:rFonts w:ascii="Palatino Linotype" w:eastAsia="Palatino Linotype" w:hAnsi="Palatino Linotype" w:cs="Palatino Linotype"/>
          <w:b/>
          <w:bCs/>
          <w:u w:val="single"/>
        </w:rPr>
        <w:t>sesión ordinaria</w:t>
      </w:r>
      <w:r w:rsidRPr="00B510A6">
        <w:rPr>
          <w:rFonts w:ascii="Palatino Linotype" w:eastAsia="Palatino Linotype" w:hAnsi="Palatino Linotype" w:cs="Palatino Linotype"/>
        </w:rPr>
        <w:t xml:space="preserve">, o cuantas veces sea necesario en asuntos de urgente resolución por medio de </w:t>
      </w:r>
      <w:r w:rsidRPr="00B510A6">
        <w:rPr>
          <w:rFonts w:ascii="Palatino Linotype" w:eastAsia="Palatino Linotype" w:hAnsi="Palatino Linotype" w:cs="Palatino Linotype"/>
          <w:b/>
          <w:bCs/>
          <w:u w:val="single"/>
        </w:rPr>
        <w:t>sesiones extraordinarias</w:t>
      </w:r>
      <w:r w:rsidRPr="00B510A6">
        <w:rPr>
          <w:rFonts w:ascii="Palatino Linotype" w:eastAsia="Palatino Linotype" w:hAnsi="Palatino Linotype" w:cs="Palatino Linotype"/>
        </w:rPr>
        <w:t>.</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Asimismo, se dispone que cada sesión del ayuntamiento, ya sea </w:t>
      </w:r>
      <w:r w:rsidRPr="00B510A6">
        <w:rPr>
          <w:rFonts w:ascii="Palatino Linotype" w:eastAsia="Palatino Linotype" w:hAnsi="Palatino Linotype" w:cs="Palatino Linotype"/>
          <w:b/>
          <w:bCs/>
          <w:u w:val="single"/>
        </w:rPr>
        <w:t>ordinaria o extraordinaria</w:t>
      </w:r>
      <w:r w:rsidRPr="00B510A6">
        <w:rPr>
          <w:rFonts w:ascii="Palatino Linotype" w:eastAsia="Palatino Linotype" w:hAnsi="Palatino Linotype" w:cs="Palatino Linotype"/>
        </w:rPr>
        <w:t>, debe levantarse el acta correspondiente, misma que debe contener los acuerdos, asuntos tratados y el resultado de la votación, función que le corresponde al Secretario del Ayuntamiento, quien además deberá llevar y conservar el libro de las actas de cabildo con un extracto de las mismas.</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ind w:right="49"/>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 xml:space="preserve">A lo anterior, debe precisarse que por cuanto hace a las sesiones de cabildo extraordinarias, las mismas, </w:t>
      </w:r>
      <w:r w:rsidRPr="00B510A6">
        <w:rPr>
          <w:rFonts w:ascii="Palatino Linotype" w:eastAsia="Palatino Linotype" w:hAnsi="Palatino Linotype" w:cs="Palatino Linotype"/>
          <w:b/>
          <w:bCs/>
          <w:color w:val="000000"/>
          <w:u w:val="single"/>
        </w:rPr>
        <w:t>no es obligatoria su celebración</w:t>
      </w:r>
      <w:r w:rsidRPr="00B510A6">
        <w:rPr>
          <w:rFonts w:ascii="Palatino Linotype" w:eastAsia="Palatino Linotype" w:hAnsi="Palatino Linotype" w:cs="Palatino Linotype"/>
          <w:color w:val="000000"/>
        </w:rPr>
        <w:t>, dado que las mismas se llevan a cabo siempre y cuando haya asuntos de urgente resolución.</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Por otro lado, no debe perderse de vista el contenido de los artículos 92 fracción L y 94 fracción II inciso b) de la Ley de Transparencia y Acceso a la Información Pública del Estado de México y Municipios</w:t>
      </w:r>
      <w:r w:rsidRPr="00B510A6">
        <w:rPr>
          <w:rFonts w:ascii="Palatino Linotype" w:eastAsia="Palatino Linotype" w:hAnsi="Palatino Linotype" w:cs="Palatino Linotype"/>
          <w:i/>
          <w:iCs/>
        </w:rPr>
        <w:t>,</w:t>
      </w:r>
      <w:r w:rsidRPr="00B510A6">
        <w:rPr>
          <w:rFonts w:ascii="Palatino Linotype" w:eastAsia="Palatino Linotype" w:hAnsi="Palatino Linotype" w:cs="Palatino Linotype"/>
        </w:rPr>
        <w:t xml:space="preserve"> a saber:</w:t>
      </w:r>
    </w:p>
    <w:p w:rsidR="00AB2DD5" w:rsidRPr="00B510A6" w:rsidRDefault="00AB2DD5">
      <w:pPr>
        <w:spacing w:after="0" w:line="360" w:lineRule="auto"/>
        <w:jc w:val="both"/>
        <w:rPr>
          <w:rFonts w:ascii="Palatino Linotype" w:eastAsia="Palatino Linotype" w:hAnsi="Palatino Linotype" w:cs="Palatino Linotype"/>
          <w:sz w:val="24"/>
          <w:szCs w:val="24"/>
        </w:rPr>
      </w:pP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“Artículo 92.</w:t>
      </w:r>
      <w:r w:rsidRPr="00B510A6">
        <w:rPr>
          <w:rFonts w:ascii="Palatino Linotype" w:eastAsia="Palatino Linotype" w:hAnsi="Palatino Linotype" w:cs="Palatino Linotype"/>
          <w:i/>
          <w:iCs/>
        </w:rPr>
        <w:t xml:space="preserve"> Los </w:t>
      </w:r>
      <w:r w:rsidRPr="00B510A6">
        <w:rPr>
          <w:rFonts w:ascii="Palatino Linotype" w:eastAsia="Palatino Linotype" w:hAnsi="Palatino Linotype" w:cs="Palatino Linotype"/>
          <w:b/>
          <w:bCs/>
          <w:i/>
          <w:iCs/>
        </w:rPr>
        <w:t>sujetos obligados</w:t>
      </w:r>
      <w:r w:rsidRPr="00B510A6">
        <w:rPr>
          <w:rFonts w:ascii="Palatino Linotype" w:eastAsia="Palatino Linotype" w:hAnsi="Palatino Linotype" w:cs="Palatino Linotype"/>
          <w:i/>
          <w:iCs/>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L</w:t>
      </w:r>
      <w:r w:rsidRPr="00B510A6">
        <w:rPr>
          <w:rFonts w:ascii="Palatino Linotype" w:eastAsia="Palatino Linotype" w:hAnsi="Palatino Linotype" w:cs="Palatino Linotype"/>
          <w:i/>
          <w:iCs/>
        </w:rPr>
        <w:t xml:space="preserve">. </w:t>
      </w:r>
      <w:r w:rsidRPr="00B510A6">
        <w:rPr>
          <w:rFonts w:ascii="Palatino Linotype" w:eastAsia="Palatino Linotype" w:hAnsi="Palatino Linotype" w:cs="Palatino Linotype"/>
          <w:b/>
          <w:bCs/>
          <w:i/>
          <w:iCs/>
        </w:rPr>
        <w:t>Las actas de sesiones ordinarias y extraordinarias</w:t>
      </w:r>
      <w:r w:rsidRPr="00B510A6">
        <w:rPr>
          <w:rFonts w:ascii="Palatino Linotype" w:eastAsia="Palatino Linotype" w:hAnsi="Palatino Linotype" w:cs="Palatino Linotype"/>
          <w:i/>
          <w:iCs/>
        </w:rPr>
        <w:t>, así como las opiniones y recomendaciones de los consejos consultivos;</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 xml:space="preserve"> […]</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Artículo 94.</w:t>
      </w:r>
      <w:r w:rsidRPr="00B510A6">
        <w:rPr>
          <w:rFonts w:ascii="Palatino Linotype" w:eastAsia="Palatino Linotype" w:hAnsi="Palatino Linotype" w:cs="Palatino Linotype"/>
          <w:i/>
          <w:iCs/>
        </w:rPr>
        <w:t xml:space="preserve"> </w:t>
      </w:r>
      <w:r w:rsidRPr="00B510A6">
        <w:rPr>
          <w:rFonts w:ascii="Palatino Linotype" w:eastAsia="Palatino Linotype" w:hAnsi="Palatino Linotype" w:cs="Palatino Linotype"/>
          <w:b/>
          <w:bCs/>
          <w:i/>
          <w:iCs/>
        </w:rPr>
        <w:t>Además de las obligaciones de transparencia común</w:t>
      </w:r>
      <w:r w:rsidRPr="00B510A6">
        <w:rPr>
          <w:rFonts w:ascii="Palatino Linotype" w:eastAsia="Palatino Linotype" w:hAnsi="Palatino Linotype" w:cs="Palatino Linotype"/>
          <w:i/>
          <w:iCs/>
        </w:rPr>
        <w:t xml:space="preserve"> a que se refiere el Capítulo II de este Título, </w:t>
      </w:r>
      <w:r w:rsidRPr="00B510A6">
        <w:rPr>
          <w:rFonts w:ascii="Palatino Linotype" w:eastAsia="Palatino Linotype" w:hAnsi="Palatino Linotype" w:cs="Palatino Linotype"/>
          <w:b/>
          <w:bCs/>
          <w:i/>
          <w:iCs/>
        </w:rPr>
        <w:t>los sujetos obligados</w:t>
      </w:r>
      <w:r w:rsidRPr="00B510A6">
        <w:rPr>
          <w:rFonts w:ascii="Palatino Linotype" w:eastAsia="Palatino Linotype" w:hAnsi="Palatino Linotype" w:cs="Palatino Linotype"/>
          <w:i/>
          <w:iCs/>
        </w:rPr>
        <w:t xml:space="preserve"> del Poder Ejecutivo Local y </w:t>
      </w:r>
      <w:r w:rsidRPr="00B510A6">
        <w:rPr>
          <w:rFonts w:ascii="Palatino Linotype" w:eastAsia="Palatino Linotype" w:hAnsi="Palatino Linotype" w:cs="Palatino Linotype"/>
          <w:b/>
          <w:bCs/>
          <w:i/>
          <w:iCs/>
        </w:rPr>
        <w:t>municipale</w:t>
      </w:r>
      <w:r w:rsidRPr="00B510A6">
        <w:rPr>
          <w:rFonts w:ascii="Palatino Linotype" w:eastAsia="Palatino Linotype" w:hAnsi="Palatino Linotype" w:cs="Palatino Linotype"/>
          <w:i/>
          <w:iCs/>
        </w:rPr>
        <w:t>s, deberán poner a disposición del público y actualizar la siguiente información:</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II.</w:t>
      </w:r>
      <w:r w:rsidRPr="00B510A6">
        <w:rPr>
          <w:rFonts w:ascii="Palatino Linotype" w:eastAsia="Palatino Linotype" w:hAnsi="Palatino Linotype" w:cs="Palatino Linotype"/>
          <w:i/>
          <w:iCs/>
        </w:rPr>
        <w:t xml:space="preserve"> </w:t>
      </w:r>
      <w:r w:rsidRPr="00B510A6">
        <w:rPr>
          <w:rFonts w:ascii="Palatino Linotype" w:eastAsia="Palatino Linotype" w:hAnsi="Palatino Linotype" w:cs="Palatino Linotype"/>
          <w:b/>
          <w:bCs/>
          <w:i/>
          <w:iCs/>
        </w:rPr>
        <w:t>Adicionalmente en el caso de los municipios</w:t>
      </w:r>
      <w:r w:rsidRPr="00B510A6">
        <w:rPr>
          <w:rFonts w:ascii="Palatino Linotype" w:eastAsia="Palatino Linotype" w:hAnsi="Palatino Linotype" w:cs="Palatino Linotype"/>
          <w:i/>
          <w:iCs/>
        </w:rPr>
        <w:t xml:space="preserve">: </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76" w:lineRule="auto"/>
        <w:ind w:left="567" w:right="843"/>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b)</w:t>
      </w:r>
      <w:r w:rsidRPr="00B510A6">
        <w:rPr>
          <w:rFonts w:ascii="Palatino Linotype" w:eastAsia="Palatino Linotype" w:hAnsi="Palatino Linotype" w:cs="Palatino Linotype"/>
          <w:i/>
          <w:iCs/>
        </w:rPr>
        <w:t xml:space="preserve"> </w:t>
      </w:r>
      <w:r w:rsidRPr="00B510A6">
        <w:rPr>
          <w:rFonts w:ascii="Palatino Linotype" w:eastAsia="Palatino Linotype" w:hAnsi="Palatino Linotype" w:cs="Palatino Linotype"/>
          <w:b/>
          <w:bCs/>
          <w:i/>
          <w:iCs/>
        </w:rPr>
        <w:t>Las actas de sesiones de cabildo</w:t>
      </w:r>
      <w:r w:rsidRPr="00B510A6">
        <w:rPr>
          <w:rFonts w:ascii="Palatino Linotype" w:eastAsia="Palatino Linotype" w:hAnsi="Palatino Linotype" w:cs="Palatino Linotype"/>
          <w:i/>
          <w:iCs/>
        </w:rPr>
        <w:t>, los controles de asistencia de los integrantes del Ayuntamiento a las sesiones de cabildo y el sentido de votación de los miembros del cabildo sobre las iniciativas o acuerdos;”</w:t>
      </w:r>
    </w:p>
    <w:p w:rsidR="00AB2DD5" w:rsidRPr="00B510A6" w:rsidRDefault="00AB2DD5">
      <w:pPr>
        <w:spacing w:after="0" w:line="360" w:lineRule="auto"/>
        <w:jc w:val="both"/>
        <w:rPr>
          <w:rFonts w:ascii="Palatino Linotype" w:eastAsia="Palatino Linotype" w:hAnsi="Palatino Linotype" w:cs="Palatino Linotype"/>
          <w:sz w:val="20"/>
          <w:szCs w:val="20"/>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De lo anterior se advierte que los municipios deben hacer pública como parte de sus obligaciones de transparencia comunes y específicas, de manera actualizada, además de los controles de asistencia y el sentido de la votación de los miembros del cabildo sobre las iniciativas o acuerdos, las actas de las sesiones de cabildo </w:t>
      </w:r>
      <w:r w:rsidRPr="00B510A6">
        <w:rPr>
          <w:rFonts w:ascii="Palatino Linotype" w:eastAsia="Palatino Linotype" w:hAnsi="Palatino Linotype" w:cs="Palatino Linotype"/>
          <w:b/>
          <w:bCs/>
        </w:rPr>
        <w:t>ordinarias y extraordinarias</w:t>
      </w:r>
      <w:r w:rsidRPr="00B510A6">
        <w:rPr>
          <w:rFonts w:ascii="Palatino Linotype" w:eastAsia="Palatino Linotype" w:hAnsi="Palatino Linotype" w:cs="Palatino Linotype"/>
        </w:rPr>
        <w:t xml:space="preserve">, información que se traduce en lo requerido por la parte </w:t>
      </w:r>
      <w:r w:rsidRPr="00B510A6">
        <w:rPr>
          <w:rFonts w:ascii="Palatino Linotype" w:eastAsia="Palatino Linotype" w:hAnsi="Palatino Linotype" w:cs="Palatino Linotype"/>
          <w:b/>
          <w:bCs/>
        </w:rPr>
        <w:t>Recurrente</w:t>
      </w:r>
      <w:r w:rsidRPr="00B510A6">
        <w:rPr>
          <w:rFonts w:ascii="Palatino Linotype" w:eastAsia="Palatino Linotype" w:hAnsi="Palatino Linotype" w:cs="Palatino Linotype"/>
        </w:rPr>
        <w:t>.</w:t>
      </w:r>
    </w:p>
    <w:p w:rsidR="00AB2DD5" w:rsidRPr="00B510A6" w:rsidRDefault="00AB2DD5">
      <w:pPr>
        <w:spacing w:after="0" w:line="360" w:lineRule="auto"/>
        <w:ind w:right="49"/>
        <w:jc w:val="both"/>
        <w:rPr>
          <w:rFonts w:ascii="Palatino Linotype" w:eastAsia="Palatino Linotype" w:hAnsi="Palatino Linotype" w:cs="Palatino Linotype"/>
          <w:color w:val="000000"/>
        </w:rPr>
      </w:pPr>
    </w:p>
    <w:p w:rsidR="00AB2DD5" w:rsidRPr="00B510A6" w:rsidRDefault="004924E2">
      <w:pPr>
        <w:spacing w:after="0" w:line="360" w:lineRule="auto"/>
        <w:ind w:right="49"/>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 xml:space="preserve">Asimismo, en el caso es de recordar que en el caso se pronunció la </w:t>
      </w:r>
      <w:r w:rsidRPr="00B510A6">
        <w:rPr>
          <w:rFonts w:ascii="Palatino Linotype" w:eastAsia="Palatino Linotype" w:hAnsi="Palatino Linotype" w:cs="Palatino Linotype"/>
          <w:b/>
          <w:bCs/>
          <w:color w:val="000000"/>
        </w:rPr>
        <w:t>Secretaría del Ayuntamiento;</w:t>
      </w:r>
      <w:r w:rsidRPr="00B510A6">
        <w:rPr>
          <w:rFonts w:ascii="Palatino Linotype" w:eastAsia="Palatino Linotype" w:hAnsi="Palatino Linotype" w:cs="Palatino Linotype"/>
          <w:color w:val="000000"/>
        </w:rPr>
        <w:t xml:space="preserve"> por lo que, se colige que se pronunció la unidad administrativa que tiene competencia para conocer de lo solicitado, cumpliéndose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rsidR="00AB2DD5" w:rsidRPr="00B510A6" w:rsidRDefault="00AB2DD5">
      <w:pPr>
        <w:spacing w:after="0"/>
        <w:rPr>
          <w:color w:val="000000"/>
        </w:rPr>
      </w:pPr>
    </w:p>
    <w:p w:rsidR="00AB2DD5" w:rsidRPr="00B510A6" w:rsidRDefault="004924E2">
      <w:pPr>
        <w:pBdr>
          <w:top w:val="nil"/>
          <w:left w:val="nil"/>
          <w:bottom w:val="nil"/>
          <w:right w:val="nil"/>
          <w:between w:val="nil"/>
        </w:pBdr>
        <w:spacing w:after="0"/>
        <w:ind w:left="864" w:right="864"/>
        <w:jc w:val="both"/>
        <w:rPr>
          <w:color w:val="000000"/>
        </w:rPr>
      </w:pPr>
      <w:r w:rsidRPr="00B510A6">
        <w:rPr>
          <w:rFonts w:ascii="Palatino Linotype" w:eastAsia="Palatino Linotype" w:hAnsi="Palatino Linotype" w:cs="Palatino Linotype"/>
          <w:i/>
          <w:iCs/>
          <w:color w:val="00000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AB2DD5" w:rsidRPr="00B510A6" w:rsidRDefault="00AB2DD5">
      <w:pPr>
        <w:spacing w:after="0"/>
        <w:rPr>
          <w:color w:val="000000"/>
        </w:rPr>
      </w:pPr>
    </w:p>
    <w:p w:rsidR="00AB2DD5" w:rsidRPr="00B510A6" w:rsidRDefault="004924E2">
      <w:pPr>
        <w:pBdr>
          <w:top w:val="nil"/>
          <w:left w:val="nil"/>
          <w:bottom w:val="nil"/>
          <w:right w:val="nil"/>
          <w:between w:val="nil"/>
        </w:pBdr>
        <w:shd w:val="clear" w:color="auto" w:fill="FFFFFF"/>
        <w:spacing w:after="0" w:line="360" w:lineRule="auto"/>
        <w:jc w:val="both"/>
        <w:rPr>
          <w:color w:val="000000"/>
        </w:rPr>
      </w:pPr>
      <w:r w:rsidRPr="00B510A6">
        <w:rPr>
          <w:rFonts w:ascii="Palatino Linotype" w:eastAsia="Palatino Linotype" w:hAnsi="Palatino Linotype" w:cs="Palatino Linotype"/>
          <w:color w:val="000000"/>
        </w:rPr>
        <w:t>En este orden de ideas, se advierte que la Unidad de Transparencia cumplió con lo expresado en el artículo 162 de la Ley de Transparencia y Acceso a la Información Pública del Estado de México y Municipios, el cual menciona lo siguiente:</w:t>
      </w:r>
    </w:p>
    <w:p w:rsidR="00AB2DD5" w:rsidRPr="00B510A6" w:rsidRDefault="00AB2DD5">
      <w:pPr>
        <w:spacing w:after="0"/>
        <w:rPr>
          <w:color w:val="000000"/>
        </w:rPr>
      </w:pPr>
    </w:p>
    <w:p w:rsidR="00AB2DD5" w:rsidRPr="00B510A6" w:rsidRDefault="004924E2">
      <w:pPr>
        <w:pBdr>
          <w:top w:val="nil"/>
          <w:left w:val="nil"/>
          <w:bottom w:val="nil"/>
          <w:right w:val="nil"/>
          <w:between w:val="nil"/>
        </w:pBdr>
        <w:spacing w:after="0"/>
        <w:ind w:left="864" w:right="864"/>
        <w:jc w:val="both"/>
        <w:rPr>
          <w:color w:val="000000"/>
        </w:rPr>
      </w:pPr>
      <w:r w:rsidRPr="00B510A6">
        <w:rPr>
          <w:rFonts w:ascii="Palatino Linotype" w:eastAsia="Palatino Linotype" w:hAnsi="Palatino Linotype" w:cs="Palatino Linotype"/>
          <w:i/>
          <w:iCs/>
          <w:color w:val="000000"/>
        </w:rPr>
        <w:t xml:space="preserve">“Artículo 162. Las unidades de transparencia deberán garantizar que las solicitudes </w:t>
      </w:r>
      <w:r w:rsidRPr="00B510A6">
        <w:rPr>
          <w:rFonts w:ascii="Palatino Linotype" w:eastAsia="Palatino Linotype" w:hAnsi="Palatino Linotype" w:cs="Palatino Linotype"/>
          <w:b/>
          <w:bCs/>
          <w:i/>
          <w:iCs/>
          <w:color w:val="000000"/>
        </w:rPr>
        <w:t xml:space="preserve">se turnen a todas las Áreas competentes </w:t>
      </w:r>
      <w:r w:rsidRPr="00B510A6">
        <w:rPr>
          <w:rFonts w:ascii="Palatino Linotype" w:eastAsia="Palatino Linotype" w:hAnsi="Palatino Linotype" w:cs="Palatino Linotype"/>
          <w:i/>
          <w:iCs/>
          <w:color w:val="000000"/>
        </w:rPr>
        <w:t>que cuenten con la información o deban tenerla de acuerdo a sus facultades, competencias y funciones, con el objeto de que realicen una búsqueda exhaustiva y razonable de la información solicitada.”</w:t>
      </w:r>
    </w:p>
    <w:p w:rsidR="00AB2DD5" w:rsidRPr="00B510A6" w:rsidRDefault="00AB2DD5">
      <w:pPr>
        <w:spacing w:after="0" w:line="360" w:lineRule="auto"/>
        <w:ind w:right="49"/>
        <w:jc w:val="both"/>
        <w:rPr>
          <w:rFonts w:ascii="Palatino Linotype" w:eastAsia="Palatino Linotype" w:hAnsi="Palatino Linotype" w:cs="Palatino Linotype"/>
          <w:color w:val="0D0D0D"/>
          <w:u w:val="singl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Es así que, de la normatividad previamente transcrita, se desprende que el Titular de la Unidad de Turnó la solicitud al área con atribuciones para generar, administrar y poseer la información pública solicitada, quien no niega la existencia de la información solicitada, sino por el contrario, se encuentra encaminado a atender el requerimiento de información, y en ese sentido, manifestó la cantidad total de fojas que conformaban la información que atendía el requerimiento de información; </w:t>
      </w:r>
      <w:r w:rsidRPr="00B510A6">
        <w:rPr>
          <w:rFonts w:ascii="Palatino Linotype" w:eastAsia="Palatino Linotype" w:hAnsi="Palatino Linotype" w:cs="Palatino Linotype"/>
          <w:b/>
          <w:bCs/>
          <w:u w:val="single"/>
        </w:rPr>
        <w:t>sin embargo, manifestó que previo a su entrega, la persona solicitante debería hacer el pago correspondiente por el escaneo de la misma.</w:t>
      </w:r>
      <w:r w:rsidRPr="00B510A6">
        <w:rPr>
          <w:rFonts w:ascii="Palatino Linotype" w:eastAsia="Palatino Linotype" w:hAnsi="Palatino Linotype" w:cs="Palatino Linotype"/>
        </w:rPr>
        <w:t xml:space="preserve"> </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En tal contexto </w:t>
      </w:r>
      <w:r w:rsidRPr="00B510A6">
        <w:rPr>
          <w:rFonts w:ascii="Palatino Linotype" w:eastAsia="Palatino Linotype" w:hAnsi="Palatino Linotype" w:cs="Palatino Linotype"/>
          <w:b/>
          <w:bCs/>
          <w:u w:val="single"/>
        </w:rPr>
        <w:t>respecto al pago requerido</w:t>
      </w:r>
      <w:r w:rsidRPr="00B510A6">
        <w:rPr>
          <w:rFonts w:ascii="Palatino Linotype" w:eastAsia="Palatino Linotype" w:hAnsi="Palatino Linotype" w:cs="Palatino Linotype"/>
        </w:rPr>
        <w:t xml:space="preserve">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B510A6">
        <w:rPr>
          <w:rFonts w:ascii="Palatino Linotype" w:eastAsia="Palatino Linotype" w:hAnsi="Palatino Linotype" w:cs="Palatino Linotype"/>
          <w:b/>
          <w:bCs/>
        </w:rPr>
        <w:t>gratuidad</w:t>
      </w:r>
      <w:r w:rsidRPr="00B510A6">
        <w:rPr>
          <w:rFonts w:ascii="Palatino Linotype" w:eastAsia="Palatino Linotype" w:hAnsi="Palatino Linotype" w:cs="Palatino Linotype"/>
        </w:rPr>
        <w:t>, de certeza, de celeridad, de objetividad, entre otros.</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Así, a través del </w:t>
      </w:r>
      <w:r w:rsidRPr="00B510A6">
        <w:rPr>
          <w:rFonts w:ascii="Palatino Linotype" w:eastAsia="Palatino Linotype" w:hAnsi="Palatino Linotype" w:cs="Palatino Linotype"/>
          <w:b/>
          <w:bCs/>
        </w:rPr>
        <w:t>principio de gratuidad</w:t>
      </w:r>
      <w:r w:rsidRPr="00B510A6">
        <w:rPr>
          <w:rFonts w:ascii="Palatino Linotype" w:eastAsia="Palatino Linotype" w:hAnsi="Palatino Linotype" w:cs="Palatino Linotype"/>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B510A6">
        <w:rPr>
          <w:rFonts w:ascii="Palatino Linotype" w:eastAsia="Palatino Linotype" w:hAnsi="Palatino Linotype" w:cs="Palatino Linotype"/>
          <w:b/>
          <w:bCs/>
        </w:rPr>
        <w:t>reproducción</w:t>
      </w:r>
      <w:r w:rsidRPr="00B510A6">
        <w:rPr>
          <w:rFonts w:ascii="Palatino Linotype" w:eastAsia="Palatino Linotype" w:hAnsi="Palatino Linotype" w:cs="Palatino Linotype"/>
        </w:rPr>
        <w:t xml:space="preserve"> de la información, y en su caso del costo de </w:t>
      </w:r>
      <w:r w:rsidRPr="00B510A6">
        <w:rPr>
          <w:rFonts w:ascii="Palatino Linotype" w:eastAsia="Palatino Linotype" w:hAnsi="Palatino Linotype" w:cs="Palatino Linotype"/>
          <w:b/>
          <w:bCs/>
        </w:rPr>
        <w:t>envío</w:t>
      </w:r>
      <w:r w:rsidRPr="00B510A6">
        <w:rPr>
          <w:rFonts w:ascii="Palatino Linotype" w:eastAsia="Palatino Linotype" w:hAnsi="Palatino Linotype" w:cs="Palatino Linotype"/>
        </w:rPr>
        <w:t>, finalmente, conlleva implícitamente un esfuerzo por parte de los Sujetos Obligados para reducir los costos de entrega de la información.</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B510A6">
        <w:rPr>
          <w:rFonts w:ascii="Palatino Linotype" w:eastAsia="Palatino Linotype" w:hAnsi="Palatino Linotype" w:cs="Palatino Linotype"/>
          <w:b/>
          <w:bCs/>
          <w:i/>
          <w:iCs/>
        </w:rPr>
        <w:t>gratuitos</w:t>
      </w:r>
      <w:r w:rsidRPr="00B510A6">
        <w:rPr>
          <w:rFonts w:ascii="Palatino Linotype" w:eastAsia="Palatino Linotype" w:hAnsi="Palatino Linotype" w:cs="Palatino Linotype"/>
        </w:rPr>
        <w:t xml:space="preserve">, refiere en los artículos 17 y 150, que la búsqueda y acceso a la información es gratuita y </w:t>
      </w:r>
      <w:r w:rsidRPr="00B510A6">
        <w:rPr>
          <w:rFonts w:ascii="Palatino Linotype" w:eastAsia="Palatino Linotype" w:hAnsi="Palatino Linotype" w:cs="Palatino Linotype"/>
          <w:b/>
          <w:bCs/>
          <w:i/>
          <w:iCs/>
        </w:rPr>
        <w:t xml:space="preserve">sólo se cubrirá en su caso, los gastos de reproducción, </w:t>
      </w:r>
      <w:r w:rsidRPr="00B510A6">
        <w:rPr>
          <w:rFonts w:ascii="Palatino Linotype" w:eastAsia="Palatino Linotype" w:hAnsi="Palatino Linotype" w:cs="Palatino Linotype"/>
          <w:b/>
          <w:bCs/>
          <w:i/>
          <w:iCs/>
          <w:u w:val="single"/>
        </w:rPr>
        <w:t>por la modalidad de entrega solicitada, o por el envió</w:t>
      </w:r>
      <w:r w:rsidRPr="00B510A6">
        <w:rPr>
          <w:rFonts w:ascii="Palatino Linotype" w:eastAsia="Palatino Linotype" w:hAnsi="Palatino Linotype" w:cs="Palatino Linotype"/>
          <w:u w:val="single"/>
        </w:rPr>
        <w:t xml:space="preserve"> </w:t>
      </w:r>
      <w:r w:rsidRPr="00B510A6">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B510A6">
        <w:rPr>
          <w:rFonts w:ascii="Palatino Linotype" w:eastAsia="Palatino Linotype" w:hAnsi="Palatino Linotype" w:cs="Palatino Linotype"/>
          <w:i/>
          <w:iCs/>
        </w:rPr>
        <w:t xml:space="preserve">se rige por los principios de </w:t>
      </w:r>
      <w:r w:rsidRPr="00B510A6">
        <w:rPr>
          <w:rFonts w:ascii="Palatino Linotype" w:eastAsia="Palatino Linotype" w:hAnsi="Palatino Linotype" w:cs="Palatino Linotype"/>
        </w:rPr>
        <w:t xml:space="preserve">simplicidad, rapidez, </w:t>
      </w:r>
      <w:r w:rsidRPr="00B510A6">
        <w:rPr>
          <w:rFonts w:ascii="Palatino Linotype" w:eastAsia="Palatino Linotype" w:hAnsi="Palatino Linotype" w:cs="Palatino Linotype"/>
          <w:b/>
          <w:bCs/>
          <w:i/>
          <w:iCs/>
        </w:rPr>
        <w:t>gratuidad</w:t>
      </w:r>
      <w:r w:rsidRPr="00B510A6">
        <w:rPr>
          <w:rFonts w:ascii="Palatino Linotype" w:eastAsia="Palatino Linotype" w:hAnsi="Palatino Linotype" w:cs="Palatino Linotype"/>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B510A6">
        <w:rPr>
          <w:rFonts w:ascii="Palatino Linotype" w:eastAsia="Palatino Linotype" w:hAnsi="Palatino Linotype" w:cs="Palatino Linotype"/>
          <w:b/>
          <w:bCs/>
          <w:i/>
          <w:iCs/>
        </w:rPr>
        <w:t>en caso de que se tenga que generar un gasto por la reproducción, por el envío, o por la modalidad de entrega solicitada</w:t>
      </w:r>
      <w:r w:rsidRPr="00B510A6">
        <w:rPr>
          <w:rFonts w:ascii="Palatino Linotype" w:eastAsia="Palatino Linotype" w:hAnsi="Palatino Linotype" w:cs="Palatino Linotype"/>
        </w:rPr>
        <w:t>, supuestos que encuadran con lo establecido en los artículos 9 fracción III, 17, 165, 174, 175 de la Ley de Acceso a la Información Pública del Estado de México y Municipios, así como el artículo 4.22 de su Reglamento.</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No obstante, en el caso concreto, dichos preceptos son interpretados en perjuicio de la solicitante, como se explica enseguida, para lo cual es necesario hacer referencia a los mismos en su parte conducente: </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rPr>
        <w:t xml:space="preserve"> “</w:t>
      </w:r>
      <w:r w:rsidRPr="00B510A6">
        <w:rPr>
          <w:rFonts w:ascii="Palatino Linotype" w:eastAsia="Palatino Linotype" w:hAnsi="Palatino Linotype" w:cs="Palatino Linotype"/>
          <w:b/>
          <w:bCs/>
          <w:i/>
          <w:iCs/>
        </w:rPr>
        <w:t xml:space="preserve">Artículo 9. </w:t>
      </w:r>
      <w:r w:rsidRPr="00B510A6">
        <w:rPr>
          <w:rFonts w:ascii="Palatino Linotype" w:eastAsia="Palatino Linotype" w:hAnsi="Palatino Linotype" w:cs="Palatino Linotype"/>
          <w:i/>
          <w:iCs/>
        </w:rPr>
        <w:t>El Instituto deberá regir su funcionamiento de acuerdo a los siguientes principios:</w:t>
      </w:r>
    </w:p>
    <w:p w:rsidR="00AB2DD5" w:rsidRPr="00B510A6" w:rsidRDefault="004924E2">
      <w:pPr>
        <w:spacing w:after="0" w:line="240" w:lineRule="auto"/>
        <w:ind w:left="567" w:right="616"/>
        <w:jc w:val="both"/>
        <w:rPr>
          <w:rFonts w:ascii="Palatino Linotype" w:eastAsia="Palatino Linotype" w:hAnsi="Palatino Linotype" w:cs="Palatino Linotype"/>
        </w:rPr>
      </w:pPr>
      <w:r w:rsidRPr="00B510A6">
        <w:rPr>
          <w:rFonts w:ascii="Palatino Linotype" w:eastAsia="Palatino Linotype" w:hAnsi="Palatino Linotype" w:cs="Palatino Linotype"/>
        </w:rPr>
        <w:t>...</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III. Gratuidad:</w:t>
      </w:r>
      <w:r w:rsidRPr="00B510A6">
        <w:rPr>
          <w:rFonts w:ascii="Palatino Linotype" w:eastAsia="Palatino Linotype" w:hAnsi="Palatino Linotype" w:cs="Palatino Linotype"/>
          <w:i/>
          <w:iCs/>
        </w:rPr>
        <w:t xml:space="preserve"> Consiste en que el acceso a la información pública no genera costo alguno para los solicitantes, </w:t>
      </w:r>
      <w:r w:rsidRPr="00B510A6">
        <w:rPr>
          <w:rFonts w:ascii="Palatino Linotype" w:eastAsia="Palatino Linotype" w:hAnsi="Palatino Linotype" w:cs="Palatino Linotype"/>
          <w:b/>
          <w:bCs/>
          <w:i/>
          <w:iCs/>
        </w:rPr>
        <w:t>sólo podrá requerirse el cobro correspondiente a la modalidad de reproducción y</w:t>
      </w:r>
      <w:r w:rsidRPr="00B510A6">
        <w:rPr>
          <w:rFonts w:ascii="Palatino Linotype" w:eastAsia="Palatino Linotype" w:hAnsi="Palatino Linotype" w:cs="Palatino Linotype"/>
          <w:i/>
          <w:iCs/>
        </w:rPr>
        <w:t xml:space="preserve"> </w:t>
      </w:r>
      <w:r w:rsidRPr="00B510A6">
        <w:rPr>
          <w:rFonts w:ascii="Palatino Linotype" w:eastAsia="Palatino Linotype" w:hAnsi="Palatino Linotype" w:cs="Palatino Linotype"/>
          <w:b/>
          <w:bCs/>
          <w:i/>
          <w:iCs/>
        </w:rPr>
        <w:t>entrega solicitada</w:t>
      </w:r>
      <w:r w:rsidRPr="00B510A6">
        <w:rPr>
          <w:rFonts w:ascii="Palatino Linotype" w:eastAsia="Palatino Linotype" w:hAnsi="Palatino Linotype" w:cs="Palatino Linotype"/>
          <w:i/>
          <w:iCs/>
        </w:rPr>
        <w:t xml:space="preserve"> conforme a lo establecido en la presente Ley y demás disposiciones jurídicas aplicables;</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Artículo 17.</w:t>
      </w:r>
      <w:r w:rsidRPr="00B510A6">
        <w:rPr>
          <w:rFonts w:ascii="Palatino Linotype" w:eastAsia="Palatino Linotype" w:hAnsi="Palatino Linotype" w:cs="Palatino Linotype"/>
          <w:i/>
          <w:iCs/>
        </w:rPr>
        <w:t xml:space="preserve"> La búsqueda y acceso a la información es gratuita y </w:t>
      </w:r>
      <w:r w:rsidRPr="00B510A6">
        <w:rPr>
          <w:rFonts w:ascii="Palatino Linotype" w:eastAsia="Palatino Linotype" w:hAnsi="Palatino Linotype" w:cs="Palatino Linotype"/>
          <w:b/>
          <w:bCs/>
          <w:i/>
          <w:iCs/>
        </w:rPr>
        <w:t>solo se cubrirán los gastos de reproducción, o por la modalidad de entrega solicitada, así como por el envío,</w:t>
      </w:r>
      <w:r w:rsidRPr="00B510A6">
        <w:rPr>
          <w:rFonts w:ascii="Palatino Linotype" w:eastAsia="Palatino Linotype" w:hAnsi="Palatino Linotype" w:cs="Palatino Linotype"/>
          <w:i/>
          <w:iCs/>
        </w:rPr>
        <w:t xml:space="preserve"> que en su caso se genere, de conformidad con los derechos, productos y aprovechamientos establecidos en la legislación aplicable, sin que exceda de los límites establecidos en la presente Ley.</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40" w:lineRule="auto"/>
        <w:ind w:left="567" w:right="616"/>
        <w:jc w:val="both"/>
        <w:rPr>
          <w:rFonts w:ascii="Palatino Linotype" w:eastAsia="Palatino Linotype" w:hAnsi="Palatino Linotype" w:cs="Palatino Linotype"/>
          <w:b/>
          <w:bCs/>
          <w:i/>
          <w:iCs/>
        </w:rPr>
      </w:pPr>
      <w:r w:rsidRPr="00B510A6">
        <w:rPr>
          <w:rFonts w:ascii="Palatino Linotype" w:eastAsia="Palatino Linotype" w:hAnsi="Palatino Linotype" w:cs="Palatino Linotype"/>
          <w:b/>
          <w:bCs/>
          <w:i/>
          <w:iCs/>
        </w:rPr>
        <w:t>Artículo 165. …</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 xml:space="preserve">La información que se entregue en versión pública, </w:t>
      </w:r>
      <w:r w:rsidRPr="00B510A6">
        <w:rPr>
          <w:rFonts w:ascii="Palatino Linotype" w:eastAsia="Palatino Linotype" w:hAnsi="Palatino Linotype" w:cs="Palatino Linotype"/>
          <w:b/>
          <w:bCs/>
          <w:i/>
          <w:iCs/>
        </w:rPr>
        <w:t>cuya modalidad de reproducción o envío tenga un costo,</w:t>
      </w:r>
      <w:r w:rsidRPr="00B510A6">
        <w:rPr>
          <w:rFonts w:ascii="Palatino Linotype" w:eastAsia="Palatino Linotype" w:hAnsi="Palatino Linotype" w:cs="Palatino Linotype"/>
          <w:i/>
          <w:iCs/>
        </w:rPr>
        <w:t xml:space="preserve"> procederá una vez que se acredite el pago respectivo. No puede entenderse como reproducción la elaboración de la misma.</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40" w:lineRule="auto"/>
        <w:ind w:left="567" w:right="616"/>
        <w:jc w:val="both"/>
        <w:rPr>
          <w:rFonts w:ascii="Palatino Linotype" w:eastAsia="Palatino Linotype" w:hAnsi="Palatino Linotype" w:cs="Palatino Linotype"/>
          <w:b/>
          <w:bCs/>
          <w:i/>
          <w:iCs/>
        </w:rPr>
      </w:pPr>
      <w:r w:rsidRPr="00B510A6">
        <w:rPr>
          <w:rFonts w:ascii="Palatino Linotype" w:eastAsia="Palatino Linotype" w:hAnsi="Palatino Linotype" w:cs="Palatino Linotype"/>
          <w:b/>
          <w:bCs/>
          <w:i/>
          <w:iCs/>
        </w:rPr>
        <w:t xml:space="preserve">Artículo 174. En caso de existir costos para obtener la información </w:t>
      </w:r>
      <w:r w:rsidRPr="00B510A6">
        <w:rPr>
          <w:rFonts w:ascii="Palatino Linotype" w:eastAsia="Palatino Linotype" w:hAnsi="Palatino Linotype" w:cs="Palatino Linotype"/>
          <w:i/>
          <w:iCs/>
        </w:rPr>
        <w:t xml:space="preserve">deberán cubrirse de manera previa a la entrega y </w:t>
      </w:r>
      <w:r w:rsidRPr="00B510A6">
        <w:rPr>
          <w:rFonts w:ascii="Palatino Linotype" w:eastAsia="Palatino Linotype" w:hAnsi="Palatino Linotype" w:cs="Palatino Linotype"/>
          <w:b/>
          <w:bCs/>
          <w:i/>
          <w:iCs/>
        </w:rPr>
        <w:t xml:space="preserve">no podrán ser superiores a la suma de: </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I. El costo de los materiales utilizados en la reproducción</w:t>
      </w:r>
      <w:r w:rsidRPr="00B510A6">
        <w:rPr>
          <w:rFonts w:ascii="Palatino Linotype" w:eastAsia="Palatino Linotype" w:hAnsi="Palatino Linotype" w:cs="Palatino Linotype"/>
          <w:i/>
          <w:iCs/>
        </w:rPr>
        <w:t xml:space="preserve"> de la información;</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II. El costo de envío,</w:t>
      </w:r>
      <w:r w:rsidRPr="00B510A6">
        <w:rPr>
          <w:rFonts w:ascii="Palatino Linotype" w:eastAsia="Palatino Linotype" w:hAnsi="Palatino Linotype" w:cs="Palatino Linotype"/>
          <w:i/>
          <w:iCs/>
        </w:rPr>
        <w:t xml:space="preserve"> en su caso; y</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b/>
          <w:bCs/>
          <w:i/>
          <w:iCs/>
        </w:rPr>
        <w:t>III. El pago de la certificación de los documentos,</w:t>
      </w:r>
      <w:r w:rsidRPr="00B510A6">
        <w:rPr>
          <w:rFonts w:ascii="Palatino Linotype" w:eastAsia="Palatino Linotype" w:hAnsi="Palatino Linotype" w:cs="Palatino Linotype"/>
          <w:i/>
          <w:iCs/>
        </w:rPr>
        <w:t xml:space="preserve"> cuando proceda.</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 xml:space="preserve">Las cuotas de los derechos aplicables deberán establecerse, en su caso, en el </w:t>
      </w:r>
      <w:r w:rsidRPr="00B510A6">
        <w:rPr>
          <w:rFonts w:ascii="Palatino Linotype" w:eastAsia="Palatino Linotype" w:hAnsi="Palatino Linotype" w:cs="Palatino Linotype"/>
          <w:b/>
          <w:bCs/>
          <w:i/>
          <w:iCs/>
        </w:rPr>
        <w:t xml:space="preserve">Código Financiero del Estado de México y Municipios </w:t>
      </w:r>
      <w:r w:rsidRPr="00B510A6">
        <w:rPr>
          <w:rFonts w:ascii="Palatino Linotype" w:eastAsia="Palatino Linotype" w:hAnsi="Palatino Linotype" w:cs="Palatino Linotype"/>
          <w:i/>
          <w:iCs/>
        </w:rPr>
        <w:t>y demás disposiciones jurídicas aplicables, las cuales se publicarán en los sitios de internet de los sujetos obligados…”</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p>
    <w:p w:rsidR="00AB2DD5" w:rsidRPr="00B510A6" w:rsidRDefault="004924E2">
      <w:pPr>
        <w:spacing w:after="0" w:line="240" w:lineRule="auto"/>
        <w:ind w:left="567" w:right="616"/>
        <w:jc w:val="both"/>
        <w:rPr>
          <w:rFonts w:ascii="Palatino Linotype" w:eastAsia="Palatino Linotype" w:hAnsi="Palatino Linotype" w:cs="Palatino Linotype"/>
          <w:b/>
          <w:bCs/>
          <w:i/>
          <w:iCs/>
        </w:rPr>
      </w:pPr>
      <w:r w:rsidRPr="00B510A6">
        <w:rPr>
          <w:rFonts w:ascii="Palatino Linotype" w:eastAsia="Palatino Linotype" w:hAnsi="Palatino Linotype" w:cs="Palatino Linotype"/>
          <w:b/>
          <w:bCs/>
          <w:i/>
          <w:iCs/>
        </w:rPr>
        <w:t>Artículo 175. …</w:t>
      </w:r>
    </w:p>
    <w:p w:rsidR="00AB2DD5" w:rsidRPr="00B510A6" w:rsidRDefault="004924E2">
      <w:pPr>
        <w:spacing w:after="0" w:line="240" w:lineRule="auto"/>
        <w:ind w:left="567" w:right="616"/>
        <w:jc w:val="both"/>
        <w:rPr>
          <w:rFonts w:ascii="Palatino Linotype" w:eastAsia="Palatino Linotype" w:hAnsi="Palatino Linotype" w:cs="Palatino Linotype"/>
          <w:b/>
          <w:bCs/>
          <w:i/>
          <w:iCs/>
        </w:rPr>
      </w:pPr>
      <w:r w:rsidRPr="00B510A6">
        <w:rPr>
          <w:rFonts w:ascii="Palatino Linotype" w:eastAsia="Palatino Linotype" w:hAnsi="Palatino Linotype" w:cs="Palatino Linotype"/>
          <w:i/>
          <w:iCs/>
        </w:rPr>
        <w:t xml:space="preserve">En ningún caso, el pago de derechos deberá exceder el </w:t>
      </w:r>
      <w:r w:rsidRPr="00B510A6">
        <w:rPr>
          <w:rFonts w:ascii="Palatino Linotype" w:eastAsia="Palatino Linotype" w:hAnsi="Palatino Linotype" w:cs="Palatino Linotype"/>
          <w:b/>
          <w:bCs/>
          <w:i/>
          <w:iCs/>
        </w:rPr>
        <w:t>costo de reproducción de la información en el material solicitado.”</w:t>
      </w:r>
    </w:p>
    <w:p w:rsidR="00AB2DD5" w:rsidRPr="00B510A6" w:rsidRDefault="004924E2">
      <w:pPr>
        <w:spacing w:after="0" w:line="240" w:lineRule="auto"/>
        <w:ind w:left="567" w:right="616"/>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w:t>
      </w:r>
      <w:r w:rsidRPr="00B510A6">
        <w:rPr>
          <w:rFonts w:ascii="Palatino Linotype" w:eastAsia="Palatino Linotype" w:hAnsi="Palatino Linotype" w:cs="Palatino Linotype"/>
          <w:b/>
          <w:bCs/>
          <w:i/>
          <w:iCs/>
        </w:rPr>
        <w:t xml:space="preserve">Artículo 4.22.- </w:t>
      </w:r>
      <w:r w:rsidRPr="00B510A6">
        <w:rPr>
          <w:rFonts w:ascii="Palatino Linotype" w:eastAsia="Palatino Linotype" w:hAnsi="Palatino Linotype" w:cs="Palatino Linotype"/>
          <w:i/>
          <w:iCs/>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rsidR="00AB2DD5" w:rsidRPr="00B510A6" w:rsidRDefault="00AB2DD5">
      <w:pPr>
        <w:spacing w:after="0" w:line="240" w:lineRule="auto"/>
        <w:ind w:left="567" w:right="616"/>
        <w:jc w:val="both"/>
        <w:rPr>
          <w:rFonts w:ascii="Palatino Linotype" w:eastAsia="Palatino Linotype" w:hAnsi="Palatino Linotype" w:cs="Palatino Linotype"/>
          <w:i/>
          <w:iCs/>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el envió de la misma o el pago por la certificación; sin embargo, en el caso que nos ocupa, no se estima que se actualice alguno de los supuestos previstos en la norma, toda vez que la parte solicitante requirió la información a través del sistema SAIMEX, por lo tanto no se le está requiriendo al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B510A6">
        <w:rPr>
          <w:rFonts w:ascii="Palatino Linotype" w:eastAsia="Palatino Linotype" w:hAnsi="Palatino Linotype" w:cs="Palatino Linotype"/>
          <w:b/>
          <w:bCs/>
        </w:rPr>
        <w:t>no es necesario que el Sujeto Obligado realice una reproducción física de la información que conserva en sus archivos,</w:t>
      </w:r>
      <w:r w:rsidRPr="00B510A6">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Siendo necesario precisar que la digitalización o escaneo de la información, </w:t>
      </w:r>
      <w:r w:rsidRPr="00B510A6">
        <w:rPr>
          <w:rFonts w:ascii="Palatino Linotype" w:eastAsia="Palatino Linotype" w:hAnsi="Palatino Linotype" w:cs="Palatino Linotype"/>
          <w:b/>
          <w:bCs/>
        </w:rPr>
        <w:t>no conlleva la utilización de materiales que le generen un costo</w:t>
      </w:r>
      <w:r w:rsidRPr="00B510A6">
        <w:rPr>
          <w:rFonts w:ascii="Palatino Linotype" w:eastAsia="Palatino Linotype" w:hAnsi="Palatino Linotype" w:cs="Palatino Linotype"/>
        </w:rPr>
        <w:t>, como podría serlo por ejemplo hojas de papel para la emisión de copias; de igual manera, tampoco se actualiza el cobro por certificación, ya que la parte solicitante no requirió la entrega en dicha modalidad, así tampoco se genera un gasto por el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B510A6">
        <w:rPr>
          <w:rFonts w:ascii="Palatino Linotype" w:eastAsia="Palatino Linotype" w:hAnsi="Palatino Linotype" w:cs="Palatino Linotype"/>
          <w:b/>
          <w:bCs/>
          <w:i/>
          <w:iCs/>
        </w:rPr>
        <w:t>ningún costo</w:t>
      </w:r>
      <w:r w:rsidRPr="00B510A6">
        <w:rPr>
          <w:rFonts w:ascii="Palatino Linotype" w:eastAsia="Palatino Linotype" w:hAnsi="Palatino Linotype" w:cs="Palatino Linotype"/>
          <w:i/>
          <w:iCs/>
        </w:rPr>
        <w:t>,</w:t>
      </w:r>
      <w:r w:rsidRPr="00B510A6">
        <w:rPr>
          <w:rFonts w:ascii="Palatino Linotype" w:eastAsia="Palatino Linotype" w:hAnsi="Palatino Linotype" w:cs="Palatino Linotype"/>
        </w:rPr>
        <w:t xml:space="preserve"> incluyendo aquella que se hubiera digitalizado previamente por cualquier motivo, y aún menos en aquellos casos en que la modalidad de entrega sea por medio de la plataforma o vía electrónica.</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Por lo que no existe presupuesto jurídico que autorice al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Máxime que en el caso, como se indicó, la información solicitada corresponde a una obligación de transparencia especifica a la que los sujetos obligados, como lo es el caso del Ayuntamiento de Nextlalpan, se encuentra constreñido en difundir en la plataforma IPOMEX, por lo que incluso existe la obligación de tenerla digitalizada y en su caso en versión pública, a fin de publicarla en dicho portal.</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 xml:space="preserve">Bajo los argumentos expuestos, el Pleno de este Instituto determina que resulta procedente revocar las respuestas y ordenar al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xml:space="preserve"> hacer entrega a través del Sistema de Acceso a la Información Mexiquense, </w:t>
      </w:r>
      <w:r w:rsidRPr="00B510A6">
        <w:rPr>
          <w:rFonts w:ascii="Palatino Linotype" w:eastAsia="Palatino Linotype" w:hAnsi="Palatino Linotype" w:cs="Palatino Linotype"/>
          <w:b/>
          <w:bCs/>
        </w:rPr>
        <w:t xml:space="preserve">las Actas de Cabildo de las sesiones ordinarias y extraordinarias celebradas en el periodo comprendido del 01 de enero al 30 de junio de 2023, del 01 al 31 de diciembre de 2024, y del 01 de enero al 31 de agosto de 2025, </w:t>
      </w:r>
      <w:r w:rsidRPr="00B510A6">
        <w:rPr>
          <w:rFonts w:ascii="Palatino Linotype" w:eastAsia="Palatino Linotype" w:hAnsi="Palatino Linotype" w:cs="Palatino Linotype"/>
        </w:rPr>
        <w:t xml:space="preserve">conforme lo señalado en el Considerando Quinto de la presente resolución. </w:t>
      </w:r>
    </w:p>
    <w:p w:rsidR="00AB2DD5" w:rsidRPr="00B510A6" w:rsidRDefault="00AB2DD5">
      <w:pPr>
        <w:spacing w:after="0" w:line="360" w:lineRule="auto"/>
        <w:jc w:val="both"/>
        <w:rPr>
          <w:rFonts w:ascii="Palatino Linotype" w:eastAsia="Palatino Linotype" w:hAnsi="Palatino Linotype" w:cs="Palatino Linotype"/>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Sin embargo, en el supuesto que no se llegara a localizar la información que se ordena, la relativa a las actas de las sesiones de cabildo extraordinarias, en razón de que no se hayan llevado a cabo ese tipo de sesiones,</w:t>
      </w:r>
      <w:r w:rsidRPr="00B510A6">
        <w:rPr>
          <w:rFonts w:ascii="Palatino Linotype" w:eastAsia="Palatino Linotype" w:hAnsi="Palatino Linotype" w:cs="Palatino Linotype"/>
          <w:b/>
          <w:bCs/>
        </w:rPr>
        <w:t xml:space="preserve"> </w:t>
      </w:r>
      <w:r w:rsidRPr="00B510A6">
        <w:rPr>
          <w:rFonts w:ascii="Palatino Linotype" w:eastAsia="Palatino Linotype" w:hAnsi="Palatino Linotype" w:cs="Palatino Linotype"/>
        </w:rPr>
        <w:t>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rsidR="00AB2DD5" w:rsidRPr="00B510A6" w:rsidRDefault="00AB2DD5">
      <w:pPr>
        <w:spacing w:after="0" w:line="360" w:lineRule="auto"/>
        <w:jc w:val="both"/>
        <w:rPr>
          <w:rFonts w:ascii="Palatino Linotype" w:eastAsia="Palatino Linotype" w:hAnsi="Palatino Linotype" w:cs="Palatino Linotype"/>
          <w:sz w:val="20"/>
          <w:szCs w:val="20"/>
        </w:rPr>
      </w:pPr>
    </w:p>
    <w:p w:rsidR="00AB2DD5" w:rsidRPr="00B510A6" w:rsidRDefault="004924E2">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color w:val="000000"/>
        </w:rPr>
        <w:t xml:space="preserve">Quinto. Versión Pública. </w:t>
      </w:r>
      <w:r w:rsidRPr="00B510A6">
        <w:rPr>
          <w:rFonts w:ascii="Palatino Linotype" w:eastAsia="Palatino Linotype" w:hAnsi="Palatino Linotype" w:cs="Palatino Linotype"/>
          <w:color w:val="00000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B510A6">
        <w:rPr>
          <w:rFonts w:ascii="Palatino Linotype" w:eastAsia="Palatino Linotype" w:hAnsi="Palatino Linotype" w:cs="Palatino Linotype"/>
          <w:b/>
          <w:bCs/>
          <w:color w:val="000000"/>
        </w:rPr>
        <w:t>Recurrente</w:t>
      </w:r>
      <w:r w:rsidRPr="00B510A6">
        <w:rPr>
          <w:rFonts w:ascii="Palatino Linotype" w:eastAsia="Palatino Linotype" w:hAnsi="Palatino Linotype" w:cs="Palatino Linotype"/>
          <w:color w:val="000000"/>
        </w:rPr>
        <w:t xml:space="preserve"> sin menoscabar el derecho a la protección de los datos personales de terceros.</w:t>
      </w:r>
    </w:p>
    <w:p w:rsidR="00AB2DD5" w:rsidRPr="00B510A6" w:rsidRDefault="004924E2">
      <w:pPr>
        <w:spacing w:before="240" w:after="240" w:line="360" w:lineRule="auto"/>
        <w:ind w:right="50"/>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Lo anterior, de conformidad a lo que señalan los artículos 3, fracciones IX, XX, XXXII, XLV; 6, 137 y 143 fracción I, de la Ley de Transparencia y Acceso a la Información Pública del Estado de México y Municipios vigente, que se leen como sigue:</w:t>
      </w:r>
    </w:p>
    <w:p w:rsidR="00AB2DD5" w:rsidRPr="00B510A6" w:rsidRDefault="004924E2">
      <w:pPr>
        <w:spacing w:after="0" w:line="240" w:lineRule="auto"/>
        <w:ind w:left="851" w:right="616"/>
        <w:jc w:val="both"/>
        <w:rPr>
          <w:rFonts w:ascii="Palatino Linotype" w:eastAsia="Palatino Linotype" w:hAnsi="Palatino Linotype" w:cs="Palatino Linotype"/>
          <w:b/>
          <w:bCs/>
          <w:i/>
          <w:iCs/>
          <w:color w:val="000000"/>
        </w:rPr>
      </w:pPr>
      <w:r w:rsidRPr="00B510A6">
        <w:rPr>
          <w:rFonts w:ascii="Palatino Linotype" w:eastAsia="Palatino Linotype" w:hAnsi="Palatino Linotype" w:cs="Palatino Linotype"/>
          <w:b/>
          <w:bCs/>
          <w:i/>
          <w:iCs/>
          <w:color w:val="000000"/>
        </w:rPr>
        <w:t xml:space="preserve"> “Artículo 3. Para los efectos de la presente Ley se entenderá por:</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IX. Datos personales:</w:t>
      </w:r>
      <w:r w:rsidRPr="00B510A6">
        <w:rPr>
          <w:rFonts w:ascii="Palatino Linotype" w:eastAsia="Palatino Linotype" w:hAnsi="Palatino Linotype" w:cs="Palatino Linotype"/>
          <w:i/>
          <w:iCs/>
          <w:color w:val="000000"/>
        </w:rPr>
        <w:t xml:space="preserve"> </w:t>
      </w:r>
      <w:r w:rsidRPr="00B510A6">
        <w:rPr>
          <w:rFonts w:ascii="Palatino Linotype" w:eastAsia="Palatino Linotype" w:hAnsi="Palatino Linotype" w:cs="Palatino Linotype"/>
          <w:b/>
          <w:bCs/>
          <w:i/>
          <w:iCs/>
          <w:color w:val="000000"/>
        </w:rPr>
        <w:t>La información concerniente a una persona, identificada o identificable</w:t>
      </w:r>
      <w:r w:rsidRPr="00B510A6">
        <w:rPr>
          <w:rFonts w:ascii="Palatino Linotype" w:eastAsia="Palatino Linotype" w:hAnsi="Palatino Linotype" w:cs="Palatino Linotype"/>
          <w:i/>
          <w:iCs/>
          <w:color w:val="000000"/>
        </w:rPr>
        <w:t xml:space="preserve"> según lo dispuesto por la Ley de Protección de Datos Personales del Estado de México;</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XX. Información clasificada:</w:t>
      </w:r>
      <w:r w:rsidRPr="00B510A6">
        <w:rPr>
          <w:rFonts w:ascii="Palatino Linotype" w:eastAsia="Palatino Linotype" w:hAnsi="Palatino Linotype" w:cs="Palatino Linotype"/>
          <w:i/>
          <w:iCs/>
          <w:color w:val="000000"/>
        </w:rPr>
        <w:t xml:space="preserve"> Aquella considerada por la presente Ley como reservada o confidencial;</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XXXII. Protección de Datos Personales:</w:t>
      </w:r>
      <w:r w:rsidRPr="00B510A6">
        <w:rPr>
          <w:rFonts w:ascii="Palatino Linotype" w:eastAsia="Palatino Linotype" w:hAnsi="Palatino Linotype" w:cs="Palatino Linotype"/>
          <w:i/>
          <w:iCs/>
          <w:color w:val="000000"/>
        </w:rPr>
        <w:t xml:space="preserve"> Derecho humano que tutela la privacidad de datos personales en poder de los sujetos obligados y sujetos particulares;</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XLV. Versión pública</w:t>
      </w:r>
      <w:r w:rsidRPr="00B510A6">
        <w:rPr>
          <w:rFonts w:ascii="Palatino Linotype" w:eastAsia="Palatino Linotype" w:hAnsi="Palatino Linotype" w:cs="Palatino Linotype"/>
          <w:i/>
          <w:iCs/>
          <w:color w:val="000000"/>
        </w:rPr>
        <w:t>: Documento en el que se elimine, suprime o borra la información clasificada como reservada o confidencial para permitir su acceso.”</w:t>
      </w:r>
    </w:p>
    <w:p w:rsidR="00AB2DD5" w:rsidRPr="00B510A6" w:rsidRDefault="00AB2DD5">
      <w:pPr>
        <w:spacing w:after="0" w:line="240" w:lineRule="auto"/>
        <w:ind w:left="851" w:right="616"/>
        <w:jc w:val="both"/>
        <w:rPr>
          <w:rFonts w:ascii="Palatino Linotype" w:eastAsia="Palatino Linotype" w:hAnsi="Palatino Linotype" w:cs="Palatino Linotype"/>
          <w:i/>
          <w:iCs/>
          <w:color w:val="000000"/>
        </w:rPr>
      </w:pP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“Artículo 6.</w:t>
      </w:r>
      <w:r w:rsidRPr="00B510A6">
        <w:rPr>
          <w:rFonts w:ascii="Palatino Linotype" w:eastAsia="Palatino Linotype" w:hAnsi="Palatino Linotype" w:cs="Palatino Linotype"/>
          <w:i/>
          <w:iCs/>
          <w:color w:val="00000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AB2DD5" w:rsidRPr="00B510A6" w:rsidRDefault="00AB2DD5">
      <w:pPr>
        <w:spacing w:after="0" w:line="240" w:lineRule="auto"/>
        <w:ind w:left="851" w:right="616"/>
        <w:jc w:val="both"/>
        <w:rPr>
          <w:rFonts w:ascii="Palatino Linotype" w:eastAsia="Palatino Linotype" w:hAnsi="Palatino Linotype" w:cs="Palatino Linotype"/>
          <w:i/>
          <w:iCs/>
          <w:color w:val="000000"/>
        </w:rPr>
      </w:pPr>
    </w:p>
    <w:p w:rsidR="00AB2DD5" w:rsidRPr="00B510A6" w:rsidRDefault="004924E2">
      <w:pPr>
        <w:spacing w:after="0" w:line="240" w:lineRule="auto"/>
        <w:ind w:left="851" w:right="616"/>
        <w:jc w:val="both"/>
        <w:rPr>
          <w:rFonts w:ascii="Palatino Linotype" w:eastAsia="Palatino Linotype" w:hAnsi="Palatino Linotype" w:cs="Palatino Linotype"/>
          <w:b/>
          <w:bCs/>
          <w:i/>
          <w:iCs/>
          <w:color w:val="000000"/>
        </w:rPr>
      </w:pPr>
      <w:r w:rsidRPr="00B510A6">
        <w:rPr>
          <w:rFonts w:ascii="Palatino Linotype" w:eastAsia="Palatino Linotype" w:hAnsi="Palatino Linotype" w:cs="Palatino Linotype"/>
          <w:b/>
          <w:bCs/>
          <w:i/>
          <w:iCs/>
          <w:color w:val="000000"/>
        </w:rPr>
        <w:t>“Artículo 137.</w:t>
      </w:r>
      <w:r w:rsidRPr="00B510A6">
        <w:rPr>
          <w:rFonts w:ascii="Palatino Linotype" w:eastAsia="Palatino Linotype" w:hAnsi="Palatino Linotype" w:cs="Palatino Linotype"/>
          <w:i/>
          <w:iCs/>
          <w:color w:val="00000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B2DD5" w:rsidRPr="00B510A6" w:rsidRDefault="00AB2DD5">
      <w:pPr>
        <w:spacing w:after="0" w:line="240" w:lineRule="auto"/>
        <w:ind w:left="851" w:right="616"/>
        <w:jc w:val="both"/>
        <w:rPr>
          <w:rFonts w:ascii="Palatino Linotype" w:eastAsia="Palatino Linotype" w:hAnsi="Palatino Linotype" w:cs="Palatino Linotype"/>
          <w:b/>
          <w:bCs/>
          <w:i/>
          <w:iCs/>
          <w:color w:val="000000"/>
        </w:rPr>
      </w:pP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“Artículo 143</w:t>
      </w:r>
      <w:r w:rsidRPr="00B510A6">
        <w:rPr>
          <w:rFonts w:ascii="Palatino Linotype" w:eastAsia="Palatino Linotype" w:hAnsi="Palatino Linotype" w:cs="Palatino Linotype"/>
          <w:i/>
          <w:iCs/>
          <w:color w:val="000000"/>
        </w:rPr>
        <w:t>. Para los efectos de esta Ley se considera información confidencial, la clasificada como tal, de manera permanente, por su naturaleza, cuando:</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I.</w:t>
      </w:r>
      <w:r w:rsidRPr="00B510A6">
        <w:rPr>
          <w:rFonts w:ascii="Palatino Linotype" w:eastAsia="Palatino Linotype" w:hAnsi="Palatino Linotype" w:cs="Palatino Linotype"/>
          <w:i/>
          <w:iCs/>
          <w:color w:val="000000"/>
        </w:rPr>
        <w:t xml:space="preserve"> Se refiera a la información privada y los datos personales concernientes a una persona física o jurídica colectiva identificada o identificable;</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II. Los secretos bancario, fiduciario, industrial, comercial, fiscal, bursátil y postal, cuya titularidad corresponda a particulares, sujetos de derecho internacional o a sujetos obligados cuando no involucren el ejercicio de recursos públicos; y</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III. La que presenten los particulares a los sujetos obligados, de conformidad con lo dispuesto por las leyes o los tratados internacionales.” (Sic)</w:t>
      </w:r>
    </w:p>
    <w:p w:rsidR="00AB2DD5" w:rsidRPr="00B510A6" w:rsidRDefault="00AB2DD5">
      <w:pPr>
        <w:spacing w:after="0" w:line="240" w:lineRule="auto"/>
        <w:ind w:left="993" w:right="1041"/>
        <w:jc w:val="both"/>
        <w:rPr>
          <w:rFonts w:ascii="Palatino Linotype" w:eastAsia="Palatino Linotype" w:hAnsi="Palatino Linotype" w:cs="Palatino Linotype"/>
          <w:i/>
          <w:iCs/>
          <w:color w:val="000000"/>
        </w:rPr>
      </w:pPr>
    </w:p>
    <w:p w:rsidR="00AB2DD5" w:rsidRPr="00B510A6" w:rsidRDefault="004924E2">
      <w:pPr>
        <w:spacing w:after="0" w:line="360" w:lineRule="auto"/>
        <w:ind w:right="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B510A6">
        <w:rPr>
          <w:rFonts w:ascii="Palatino Linotype" w:eastAsia="Palatino Linotype" w:hAnsi="Palatino Linotype" w:cs="Palatino Linotype"/>
          <w:b/>
          <w:bCs/>
          <w:color w:val="000000"/>
        </w:rPr>
        <w:t>Sujeto Obligado</w:t>
      </w:r>
      <w:r w:rsidRPr="00B510A6">
        <w:rPr>
          <w:rFonts w:ascii="Palatino Linotype" w:eastAsia="Palatino Linotype" w:hAnsi="Palatino Linotype" w:cs="Palatino Linotype"/>
          <w:color w:val="000000"/>
        </w:rPr>
        <w:t xml:space="preserve"> para satisfacer el derecho de acceso a la información pública de la parte </w:t>
      </w:r>
      <w:r w:rsidRPr="00B510A6">
        <w:rPr>
          <w:rFonts w:ascii="Palatino Linotype" w:eastAsia="Palatino Linotype" w:hAnsi="Palatino Linotype" w:cs="Palatino Linotype"/>
          <w:b/>
          <w:bCs/>
          <w:color w:val="000000"/>
        </w:rPr>
        <w:t>Recurrente</w:t>
      </w:r>
      <w:r w:rsidRPr="00B510A6">
        <w:rPr>
          <w:rFonts w:ascii="Palatino Linotype" w:eastAsia="Palatino Linotype" w:hAnsi="Palatino Linotype" w:cs="Palatino Linotype"/>
          <w:color w:val="000000"/>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AB2DD5" w:rsidRPr="00B510A6" w:rsidRDefault="00AB2DD5">
      <w:pPr>
        <w:spacing w:after="0" w:line="360" w:lineRule="auto"/>
        <w:ind w:right="51"/>
        <w:jc w:val="both"/>
        <w:rPr>
          <w:rFonts w:ascii="Palatino Linotype" w:eastAsia="Palatino Linotype" w:hAnsi="Palatino Linotype" w:cs="Palatino Linotype"/>
          <w:color w:val="000000"/>
        </w:rPr>
      </w:pPr>
    </w:p>
    <w:p w:rsidR="00AB2DD5" w:rsidRPr="00B510A6" w:rsidRDefault="004924E2">
      <w:pPr>
        <w:spacing w:after="0" w:line="360" w:lineRule="auto"/>
        <w:ind w:right="50"/>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AB2DD5" w:rsidRPr="00B510A6" w:rsidRDefault="00AB2DD5">
      <w:pPr>
        <w:spacing w:after="0" w:line="360" w:lineRule="auto"/>
        <w:ind w:right="50"/>
        <w:jc w:val="both"/>
        <w:rPr>
          <w:rFonts w:ascii="Palatino Linotype" w:eastAsia="Palatino Linotype" w:hAnsi="Palatino Linotype" w:cs="Palatino Linotype"/>
          <w:color w:val="000000"/>
        </w:rPr>
      </w:pPr>
    </w:p>
    <w:p w:rsidR="00AB2DD5" w:rsidRPr="00B510A6" w:rsidRDefault="004924E2">
      <w:pPr>
        <w:spacing w:after="0" w:line="360" w:lineRule="auto"/>
        <w:ind w:right="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AB2DD5" w:rsidRPr="00B510A6" w:rsidRDefault="00AB2DD5">
      <w:pPr>
        <w:spacing w:after="0" w:line="360" w:lineRule="auto"/>
        <w:ind w:right="51"/>
        <w:jc w:val="both"/>
        <w:rPr>
          <w:rFonts w:ascii="Palatino Linotype" w:eastAsia="Palatino Linotype" w:hAnsi="Palatino Linotype" w:cs="Palatino Linotype"/>
          <w:color w:val="000000"/>
        </w:rPr>
      </w:pP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“Artículo 49.</w:t>
      </w:r>
      <w:r w:rsidRPr="00B510A6">
        <w:rPr>
          <w:rFonts w:ascii="Palatino Linotype" w:eastAsia="Palatino Linotype" w:hAnsi="Palatino Linotype" w:cs="Palatino Linotype"/>
          <w:i/>
          <w:iCs/>
          <w:color w:val="000000"/>
        </w:rPr>
        <w:t xml:space="preserve"> </w:t>
      </w:r>
      <w:r w:rsidRPr="00B510A6">
        <w:rPr>
          <w:rFonts w:ascii="Palatino Linotype" w:eastAsia="Palatino Linotype" w:hAnsi="Palatino Linotype" w:cs="Palatino Linotype"/>
          <w:b/>
          <w:bCs/>
          <w:i/>
          <w:iCs/>
          <w:color w:val="000000"/>
        </w:rPr>
        <w:t>Los Comités de Transparencia</w:t>
      </w:r>
      <w:r w:rsidRPr="00B510A6">
        <w:rPr>
          <w:rFonts w:ascii="Palatino Linotype" w:eastAsia="Palatino Linotype" w:hAnsi="Palatino Linotype" w:cs="Palatino Linotype"/>
          <w:i/>
          <w:iCs/>
          <w:color w:val="000000"/>
        </w:rPr>
        <w:t xml:space="preserve"> tendrán las siguientes atribuciones:</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VIII. Aprobar, modificar o revocar la clasificación de la información</w:t>
      </w:r>
      <w:r w:rsidRPr="00B510A6">
        <w:rPr>
          <w:rFonts w:ascii="Palatino Linotype" w:eastAsia="Palatino Linotype" w:hAnsi="Palatino Linotype" w:cs="Palatino Linotype"/>
          <w:i/>
          <w:iCs/>
          <w:color w:val="000000"/>
        </w:rPr>
        <w:t>…”</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w:t>
      </w:r>
      <w:r w:rsidRPr="00B510A6">
        <w:rPr>
          <w:rFonts w:ascii="Palatino Linotype" w:eastAsia="Palatino Linotype" w:hAnsi="Palatino Linotype" w:cs="Palatino Linotype"/>
          <w:b/>
          <w:bCs/>
          <w:i/>
          <w:iCs/>
          <w:color w:val="000000"/>
        </w:rPr>
        <w:t>Artículo 53.</w:t>
      </w:r>
      <w:r w:rsidRPr="00B510A6">
        <w:rPr>
          <w:rFonts w:ascii="Palatino Linotype" w:eastAsia="Palatino Linotype" w:hAnsi="Palatino Linotype" w:cs="Palatino Linotype"/>
          <w:i/>
          <w:iCs/>
          <w:color w:val="000000"/>
        </w:rPr>
        <w:t xml:space="preserve"> Las </w:t>
      </w:r>
      <w:r w:rsidRPr="00B510A6">
        <w:rPr>
          <w:rFonts w:ascii="Palatino Linotype" w:eastAsia="Palatino Linotype" w:hAnsi="Palatino Linotype" w:cs="Palatino Linotype"/>
          <w:b/>
          <w:bCs/>
          <w:i/>
          <w:iCs/>
          <w:color w:val="000000"/>
        </w:rPr>
        <w:t>Unidades de Transparencia</w:t>
      </w:r>
      <w:r w:rsidRPr="00B510A6">
        <w:rPr>
          <w:rFonts w:ascii="Palatino Linotype" w:eastAsia="Palatino Linotype" w:hAnsi="Palatino Linotype" w:cs="Palatino Linotype"/>
          <w:i/>
          <w:iCs/>
          <w:color w:val="000000"/>
        </w:rPr>
        <w:t xml:space="preserve"> tendrán las siguientes </w:t>
      </w:r>
      <w:r w:rsidRPr="00B510A6">
        <w:rPr>
          <w:rFonts w:ascii="Palatino Linotype" w:eastAsia="Palatino Linotype" w:hAnsi="Palatino Linotype" w:cs="Palatino Linotype"/>
          <w:b/>
          <w:bCs/>
          <w:i/>
          <w:iCs/>
          <w:color w:val="000000"/>
        </w:rPr>
        <w:t>funciones</w:t>
      </w:r>
      <w:r w:rsidRPr="00B510A6">
        <w:rPr>
          <w:rFonts w:ascii="Palatino Linotype" w:eastAsia="Palatino Linotype" w:hAnsi="Palatino Linotype" w:cs="Palatino Linotype"/>
          <w:i/>
          <w:iCs/>
          <w:color w:val="000000"/>
        </w:rPr>
        <w:t>:</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X. Presentar ante el Comité, el proyecto de clasificación de información</w:t>
      </w:r>
      <w:r w:rsidRPr="00B510A6">
        <w:rPr>
          <w:rFonts w:ascii="Palatino Linotype" w:eastAsia="Palatino Linotype" w:hAnsi="Palatino Linotype" w:cs="Palatino Linotype"/>
          <w:i/>
          <w:iCs/>
          <w:color w:val="000000"/>
        </w:rPr>
        <w:t xml:space="preserve">…” </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“Artículo 59.</w:t>
      </w:r>
      <w:r w:rsidRPr="00B510A6">
        <w:rPr>
          <w:rFonts w:ascii="Palatino Linotype" w:eastAsia="Palatino Linotype" w:hAnsi="Palatino Linotype" w:cs="Palatino Linotype"/>
          <w:i/>
          <w:iCs/>
          <w:color w:val="000000"/>
        </w:rPr>
        <w:t xml:space="preserve"> Los </w:t>
      </w:r>
      <w:r w:rsidRPr="00B510A6">
        <w:rPr>
          <w:rFonts w:ascii="Palatino Linotype" w:eastAsia="Palatino Linotype" w:hAnsi="Palatino Linotype" w:cs="Palatino Linotype"/>
          <w:b/>
          <w:bCs/>
          <w:i/>
          <w:iCs/>
          <w:color w:val="000000"/>
        </w:rPr>
        <w:t>servidores públicos habilitados</w:t>
      </w:r>
      <w:r w:rsidRPr="00B510A6">
        <w:rPr>
          <w:rFonts w:ascii="Palatino Linotype" w:eastAsia="Palatino Linotype" w:hAnsi="Palatino Linotype" w:cs="Palatino Linotype"/>
          <w:i/>
          <w:iCs/>
          <w:color w:val="000000"/>
        </w:rPr>
        <w:t xml:space="preserve"> tendrán las </w:t>
      </w:r>
      <w:r w:rsidRPr="00B510A6">
        <w:rPr>
          <w:rFonts w:ascii="Palatino Linotype" w:eastAsia="Palatino Linotype" w:hAnsi="Palatino Linotype" w:cs="Palatino Linotype"/>
          <w:b/>
          <w:bCs/>
          <w:i/>
          <w:iCs/>
          <w:color w:val="000000"/>
        </w:rPr>
        <w:t>funciones</w:t>
      </w:r>
      <w:r w:rsidRPr="00B510A6">
        <w:rPr>
          <w:rFonts w:ascii="Palatino Linotype" w:eastAsia="Palatino Linotype" w:hAnsi="Palatino Linotype" w:cs="Palatino Linotype"/>
          <w:i/>
          <w:iCs/>
          <w:color w:val="000000"/>
        </w:rPr>
        <w:t xml:space="preserve"> siguientes:</w:t>
      </w:r>
    </w:p>
    <w:p w:rsidR="00AB2DD5" w:rsidRPr="00B510A6" w:rsidRDefault="004924E2">
      <w:pP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V. Integrar y presentar al responsable de la Unidad de Transparencia la propuesta de clasificación de información</w:t>
      </w:r>
      <w:r w:rsidRPr="00B510A6">
        <w:rPr>
          <w:rFonts w:ascii="Palatino Linotype" w:eastAsia="Palatino Linotype" w:hAnsi="Palatino Linotype" w:cs="Palatino Linotype"/>
          <w:i/>
          <w:iCs/>
          <w:color w:val="000000"/>
        </w:rPr>
        <w:t>, la cual tendrá los fundamentos y argumentos en que se basa dicha propuesta…”(Sic)</w:t>
      </w:r>
    </w:p>
    <w:p w:rsidR="00AB2DD5" w:rsidRPr="00B510A6" w:rsidRDefault="00AB2DD5">
      <w:pPr>
        <w:spacing w:after="0" w:line="240" w:lineRule="auto"/>
        <w:ind w:left="992" w:right="1043"/>
        <w:jc w:val="both"/>
        <w:rPr>
          <w:rFonts w:ascii="Palatino Linotype" w:eastAsia="Palatino Linotype" w:hAnsi="Palatino Linotype" w:cs="Palatino Linotype"/>
          <w:i/>
          <w:iCs/>
          <w:color w:val="000000"/>
        </w:rPr>
      </w:pPr>
    </w:p>
    <w:p w:rsidR="00AB2DD5" w:rsidRPr="00B510A6" w:rsidRDefault="004924E2">
      <w:pPr>
        <w:spacing w:after="0" w:line="360"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AB2DD5" w:rsidRPr="00B510A6" w:rsidRDefault="00AB2DD5">
      <w:pPr>
        <w:spacing w:after="0" w:line="360" w:lineRule="auto"/>
        <w:jc w:val="both"/>
        <w:rPr>
          <w:rFonts w:ascii="Palatino Linotype" w:eastAsia="Palatino Linotype" w:hAnsi="Palatino Linotype" w:cs="Palatino Linotype"/>
          <w:color w:val="000000"/>
        </w:rPr>
      </w:pPr>
    </w:p>
    <w:p w:rsidR="00AB2DD5" w:rsidRPr="00B510A6" w:rsidRDefault="004924E2">
      <w:pPr>
        <w:spacing w:after="0" w:line="360"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rsidR="00AB2DD5" w:rsidRPr="00B510A6" w:rsidRDefault="00AB2DD5">
      <w:pPr>
        <w:spacing w:after="0" w:line="360" w:lineRule="auto"/>
        <w:jc w:val="both"/>
        <w:rPr>
          <w:rFonts w:ascii="Palatino Linotype" w:eastAsia="Palatino Linotype" w:hAnsi="Palatino Linotype" w:cs="Palatino Linotype"/>
          <w:color w:val="000000"/>
        </w:rPr>
      </w:pPr>
    </w:p>
    <w:p w:rsidR="00AB2DD5" w:rsidRPr="00B510A6" w:rsidRDefault="004924E2">
      <w:pPr>
        <w:spacing w:after="240" w:line="276"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w:t>
      </w:r>
      <w:r w:rsidRPr="00B510A6">
        <w:rPr>
          <w:rFonts w:ascii="Palatino Linotype" w:eastAsia="Palatino Linotype" w:hAnsi="Palatino Linotype" w:cs="Palatino Linotype"/>
          <w:b/>
          <w:bCs/>
          <w:i/>
          <w:iCs/>
          <w:color w:val="000000"/>
        </w:rPr>
        <w:t>Artículo 149.</w:t>
      </w:r>
      <w:r w:rsidRPr="00B510A6">
        <w:rPr>
          <w:rFonts w:ascii="Palatino Linotype" w:eastAsia="Palatino Linotype" w:hAnsi="Palatino Linotype" w:cs="Palatino Linotype"/>
          <w:i/>
          <w:iCs/>
          <w:color w:val="000000"/>
        </w:rPr>
        <w:t xml:space="preserve"> El </w:t>
      </w:r>
      <w:r w:rsidRPr="00B510A6">
        <w:rPr>
          <w:rFonts w:ascii="Palatino Linotype" w:eastAsia="Palatino Linotype" w:hAnsi="Palatino Linotype" w:cs="Palatino Linotype"/>
          <w:b/>
          <w:bCs/>
          <w:i/>
          <w:iCs/>
          <w:color w:val="000000"/>
        </w:rPr>
        <w:t>acuerdo que clasifique la información como confidencial</w:t>
      </w:r>
      <w:r w:rsidRPr="00B510A6">
        <w:rPr>
          <w:rFonts w:ascii="Palatino Linotype" w:eastAsia="Palatino Linotype" w:hAnsi="Palatino Linotype" w:cs="Palatino Linotype"/>
          <w:i/>
          <w:iCs/>
          <w:color w:val="000000"/>
        </w:rPr>
        <w:t xml:space="preserve"> deberá contener un razonamiento lógico en el que demuestre que la información se encuentra en alguna o algunas de las hipótesis previstas en la presente Ley.”(Sic)</w:t>
      </w:r>
    </w:p>
    <w:p w:rsidR="00AB2DD5" w:rsidRPr="00B510A6" w:rsidRDefault="00AB2DD5">
      <w:pPr>
        <w:spacing w:before="240" w:after="0" w:line="360" w:lineRule="auto"/>
        <w:ind w:right="51"/>
        <w:jc w:val="both"/>
        <w:rPr>
          <w:rFonts w:ascii="Palatino Linotype" w:eastAsia="Palatino Linotype" w:hAnsi="Palatino Linotype" w:cs="Palatino Linotype"/>
          <w:i/>
          <w:iCs/>
          <w:color w:val="000000"/>
        </w:rPr>
      </w:pPr>
    </w:p>
    <w:p w:rsidR="00AB2DD5" w:rsidRPr="00B510A6" w:rsidRDefault="004924E2">
      <w:pPr>
        <w:spacing w:after="0" w:line="360" w:lineRule="auto"/>
        <w:ind w:right="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 xml:space="preserve">Es decir, el </w:t>
      </w:r>
      <w:r w:rsidRPr="00B510A6">
        <w:rPr>
          <w:rFonts w:ascii="Palatino Linotype" w:eastAsia="Palatino Linotype" w:hAnsi="Palatino Linotype" w:cs="Palatino Linotype"/>
          <w:b/>
          <w:bCs/>
          <w:color w:val="000000"/>
        </w:rPr>
        <w:t>Sujeto Obligado</w:t>
      </w:r>
      <w:r w:rsidRPr="00B510A6">
        <w:rPr>
          <w:rFonts w:ascii="Palatino Linotype" w:eastAsia="Palatino Linotype" w:hAnsi="Palatino Linotype" w:cs="Palatino Linotype"/>
          <w:color w:val="00000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AB2DD5" w:rsidRPr="00B510A6" w:rsidRDefault="00AB2DD5">
      <w:pPr>
        <w:spacing w:after="0" w:line="360" w:lineRule="auto"/>
        <w:jc w:val="both"/>
        <w:rPr>
          <w:rFonts w:ascii="Palatino Linotype" w:eastAsia="Palatino Linotype" w:hAnsi="Palatino Linotype" w:cs="Palatino Linotype"/>
          <w:color w:val="000000"/>
        </w:rPr>
      </w:pPr>
    </w:p>
    <w:p w:rsidR="00AB2DD5" w:rsidRPr="00B510A6" w:rsidRDefault="004924E2">
      <w:pPr>
        <w:spacing w:after="0" w:line="360"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 xml:space="preserve">Al respecto, se destaca que la versión pública que elabore el </w:t>
      </w:r>
      <w:r w:rsidRPr="00B510A6">
        <w:rPr>
          <w:rFonts w:ascii="Palatino Linotype" w:eastAsia="Palatino Linotype" w:hAnsi="Palatino Linotype" w:cs="Palatino Linotype"/>
          <w:b/>
          <w:bCs/>
          <w:color w:val="000000"/>
        </w:rPr>
        <w:t>Sujeto Obligado</w:t>
      </w:r>
      <w:r w:rsidRPr="00B510A6">
        <w:rPr>
          <w:rFonts w:ascii="Palatino Linotype" w:eastAsia="Palatino Linotype" w:hAnsi="Palatino Linotype" w:cs="Palatino Linotype"/>
          <w:color w:val="00000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510A6">
        <w:rPr>
          <w:rFonts w:ascii="Palatino Linotype" w:eastAsia="Palatino Linotype" w:hAnsi="Palatino Linotype" w:cs="Palatino Linotype"/>
          <w:b/>
          <w:bCs/>
          <w:color w:val="000000"/>
        </w:rPr>
        <w:t>LINEAMIENTOS GENERALES EN MATERIA DE CLASIFICACIÓN Y DESCLASIFICACIÓN DE LA INFORMACIÓN, ASÍ COMO PARA LA ELABORACIÓN DE VERSIONES PÚBLICAS</w:t>
      </w:r>
      <w:r w:rsidRPr="00B510A6">
        <w:rPr>
          <w:rFonts w:ascii="Palatino Linotype" w:eastAsia="Palatino Linotype" w:hAnsi="Palatino Linotype" w:cs="Palatino Linotype"/>
          <w:color w:val="000000"/>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AB2DD5" w:rsidRPr="00B510A6" w:rsidRDefault="00AB2DD5">
      <w:pPr>
        <w:spacing w:after="0" w:line="240" w:lineRule="auto"/>
        <w:ind w:left="709" w:right="709"/>
        <w:jc w:val="both"/>
        <w:rPr>
          <w:rFonts w:ascii="Palatino Linotype" w:eastAsia="Palatino Linotype" w:hAnsi="Palatino Linotype" w:cs="Palatino Linotype"/>
          <w:b/>
          <w:bCs/>
          <w:i/>
          <w:iCs/>
          <w:color w:val="000000"/>
        </w:rPr>
      </w:pP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“Lineamientos Generales en materia de Clasificación y Desclasificación de la Información, así como para la elaboración de Versiones Públicas</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w:t>
      </w:r>
      <w:r w:rsidRPr="00B510A6">
        <w:rPr>
          <w:rFonts w:ascii="Palatino Linotype" w:eastAsia="Palatino Linotype" w:hAnsi="Palatino Linotype" w:cs="Palatino Linotype"/>
          <w:b/>
          <w:bCs/>
          <w:i/>
          <w:iCs/>
          <w:color w:val="000000"/>
        </w:rPr>
        <w:t>Segundo.-</w:t>
      </w:r>
      <w:r w:rsidRPr="00B510A6">
        <w:rPr>
          <w:rFonts w:ascii="Palatino Linotype" w:eastAsia="Palatino Linotype" w:hAnsi="Palatino Linotype" w:cs="Palatino Linotype"/>
          <w:i/>
          <w:iCs/>
          <w:color w:val="000000"/>
        </w:rPr>
        <w:t xml:space="preserve"> Para efectos de los presentes Lineamientos Generales, se entenderá por:</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XVIII.</w:t>
      </w:r>
      <w:r w:rsidRPr="00B510A6">
        <w:rPr>
          <w:rFonts w:ascii="Palatino Linotype" w:eastAsia="Palatino Linotype" w:hAnsi="Palatino Linotype" w:cs="Palatino Linotype"/>
          <w:i/>
          <w:iCs/>
          <w:color w:val="000000"/>
        </w:rPr>
        <w:t xml:space="preserve"> </w:t>
      </w:r>
      <w:r w:rsidRPr="00B510A6">
        <w:rPr>
          <w:rFonts w:ascii="Palatino Linotype" w:eastAsia="Palatino Linotype" w:hAnsi="Palatino Linotype" w:cs="Palatino Linotype"/>
          <w:b/>
          <w:bCs/>
          <w:i/>
          <w:iCs/>
          <w:color w:val="000000"/>
        </w:rPr>
        <w:t>Versión pública:</w:t>
      </w:r>
      <w:r w:rsidRPr="00B510A6">
        <w:rPr>
          <w:rFonts w:ascii="Palatino Linotype" w:eastAsia="Palatino Linotype" w:hAnsi="Palatino Linotype" w:cs="Palatino Linotype"/>
          <w:i/>
          <w:iCs/>
          <w:color w:val="000000"/>
        </w:rPr>
        <w:t xml:space="preserve"> El documento a partir del que se otorga acceso a la información, en el que se testan partes o secciones clasificadas, indicando el contenido de éstas de manera genérica, </w:t>
      </w:r>
      <w:r w:rsidRPr="00B510A6">
        <w:rPr>
          <w:rFonts w:ascii="Palatino Linotype" w:eastAsia="Palatino Linotype" w:hAnsi="Palatino Linotype" w:cs="Palatino Linotype"/>
          <w:b/>
          <w:bCs/>
          <w:i/>
          <w:iCs/>
          <w:color w:val="000000"/>
          <w:u w:val="single"/>
        </w:rPr>
        <w:t>fundando y motivando la</w:t>
      </w:r>
      <w:r w:rsidRPr="00B510A6">
        <w:rPr>
          <w:rFonts w:ascii="Palatino Linotype" w:eastAsia="Palatino Linotype" w:hAnsi="Palatino Linotype" w:cs="Palatino Linotype"/>
          <w:i/>
          <w:iCs/>
          <w:color w:val="000000"/>
        </w:rPr>
        <w:t xml:space="preserve"> reserva o </w:t>
      </w:r>
      <w:r w:rsidRPr="00B510A6">
        <w:rPr>
          <w:rFonts w:ascii="Palatino Linotype" w:eastAsia="Palatino Linotype" w:hAnsi="Palatino Linotype" w:cs="Palatino Linotype"/>
          <w:b/>
          <w:bCs/>
          <w:i/>
          <w:iCs/>
          <w:color w:val="000000"/>
          <w:u w:val="single"/>
        </w:rPr>
        <w:t>confidencialidad</w:t>
      </w:r>
      <w:r w:rsidRPr="00B510A6">
        <w:rPr>
          <w:rFonts w:ascii="Palatino Linotype" w:eastAsia="Palatino Linotype" w:hAnsi="Palatino Linotype" w:cs="Palatino Linotype"/>
          <w:i/>
          <w:iCs/>
          <w:color w:val="000000"/>
        </w:rPr>
        <w:t>, a través de la resolución que para tal efecto emita el Comité de Transparencia.</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Cuarto.</w:t>
      </w:r>
      <w:r w:rsidRPr="00B510A6">
        <w:rPr>
          <w:rFonts w:ascii="Palatino Linotype" w:eastAsia="Palatino Linotype" w:hAnsi="Palatino Linotype" w:cs="Palatino Linotype"/>
          <w:i/>
          <w:iCs/>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Los sujetos obligados deberán aplicar, de manera estricta, las excepciones al derecho de acceso a la información y sólo podrán invocarlas cuando acrediten su procedencia.</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Quinto.</w:t>
      </w:r>
      <w:r w:rsidRPr="00B510A6">
        <w:rPr>
          <w:rFonts w:ascii="Palatino Linotype" w:eastAsia="Palatino Linotype" w:hAnsi="Palatino Linotype" w:cs="Palatino Linotype"/>
          <w:i/>
          <w:iCs/>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Séptimo.</w:t>
      </w:r>
      <w:r w:rsidRPr="00B510A6">
        <w:rPr>
          <w:rFonts w:ascii="Palatino Linotype" w:eastAsia="Palatino Linotype" w:hAnsi="Palatino Linotype" w:cs="Palatino Linotype"/>
          <w:i/>
          <w:iCs/>
          <w:color w:val="000000"/>
        </w:rPr>
        <w:t xml:space="preserve"> La clasificación de la información se llevará a cabo en el momento en que:</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I.</w:t>
      </w:r>
      <w:r w:rsidRPr="00B510A6">
        <w:rPr>
          <w:rFonts w:ascii="Palatino Linotype" w:eastAsia="Palatino Linotype" w:hAnsi="Palatino Linotype" w:cs="Palatino Linotype"/>
          <w:i/>
          <w:iCs/>
          <w:color w:val="000000"/>
        </w:rPr>
        <w:t xml:space="preserve"> Se reciba una solicitud de acceso a la información;</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II.</w:t>
      </w:r>
      <w:r w:rsidRPr="00B510A6">
        <w:rPr>
          <w:rFonts w:ascii="Palatino Linotype" w:eastAsia="Palatino Linotype" w:hAnsi="Palatino Linotype" w:cs="Palatino Linotype"/>
          <w:i/>
          <w:iCs/>
          <w:color w:val="000000"/>
        </w:rPr>
        <w:t xml:space="preserve"> Se  determine mediante resolución del Comité de Transparencia, el órgano garante </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competente, o en cumplimiento a una sentencia del Poder Judicial; o</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III.</w:t>
      </w:r>
      <w:r w:rsidRPr="00B510A6">
        <w:rPr>
          <w:rFonts w:ascii="Palatino Linotype" w:eastAsia="Palatino Linotype" w:hAnsi="Palatino Linotype" w:cs="Palatino Linotype"/>
          <w:i/>
          <w:iCs/>
          <w:color w:val="000000"/>
        </w:rPr>
        <w:t xml:space="preserve"> Se generen versiones públicas para dar cumplimiento a las obligaciones de transparencia previstas en la Ley General, la Ley Federal y las correspondientes de las entidades federativas.</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Los titulares de las áreas deberán revisar la clasificación al momento de la recepción de una solicitud de acceso a la información, para verificar si encuadra en una causal de reserva o de confidencialidad.</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Octavo.</w:t>
      </w:r>
      <w:r w:rsidRPr="00B510A6">
        <w:rPr>
          <w:rFonts w:ascii="Palatino Linotype" w:eastAsia="Palatino Linotype" w:hAnsi="Palatino Linotype" w:cs="Palatino Linotype"/>
          <w:i/>
          <w:iCs/>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Para motivar la clasificación se deberán señalar las razones o circunstancias especiales que lo llevaron a concluir que el caso particular se ajusta al supuesto previsto por la norma legal invocada como fundamento.</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Noveno.</w:t>
      </w:r>
      <w:r w:rsidRPr="00B510A6">
        <w:rPr>
          <w:rFonts w:ascii="Palatino Linotype" w:eastAsia="Palatino Linotype" w:hAnsi="Palatino Linotype" w:cs="Palatino Linotype"/>
          <w:i/>
          <w:iCs/>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Décimo.</w:t>
      </w:r>
      <w:r w:rsidRPr="00B510A6">
        <w:rPr>
          <w:rFonts w:ascii="Palatino Linotype" w:eastAsia="Palatino Linotype" w:hAnsi="Palatino Linotype" w:cs="Palatino Linotype"/>
          <w:i/>
          <w:iCs/>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En ausencia de los titulares de las áreas, la información será clasificada o desclasificada por la persona que lo supla, en términos de la normativa que rija la actuación del sujeto obligado.</w:t>
      </w: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Décimo primero.</w:t>
      </w:r>
      <w:r w:rsidRPr="00B510A6">
        <w:rPr>
          <w:rFonts w:ascii="Palatino Linotype" w:eastAsia="Palatino Linotype" w:hAnsi="Palatino Linotype" w:cs="Palatino Linotype"/>
          <w:i/>
          <w:iCs/>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B2DD5" w:rsidRPr="00B510A6" w:rsidRDefault="00AB2DD5">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p>
    <w:p w:rsidR="00AB2DD5" w:rsidRPr="00B510A6" w:rsidRDefault="004924E2">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w:t>
      </w:r>
    </w:p>
    <w:p w:rsidR="00AB2DD5" w:rsidRPr="00B510A6" w:rsidRDefault="004924E2">
      <w:pPr>
        <w:pBdr>
          <w:top w:val="nil"/>
          <w:left w:val="nil"/>
          <w:bottom w:val="nil"/>
          <w:right w:val="nil"/>
          <w:between w:val="nil"/>
        </w:pBdr>
        <w:spacing w:after="0" w:line="240" w:lineRule="auto"/>
        <w:ind w:left="851" w:right="616"/>
        <w:jc w:val="center"/>
        <w:rPr>
          <w:rFonts w:ascii="Palatino Linotype" w:eastAsia="Palatino Linotype" w:hAnsi="Palatino Linotype" w:cs="Palatino Linotype"/>
          <w:color w:val="000000"/>
        </w:rPr>
      </w:pPr>
      <w:r w:rsidRPr="00B510A6">
        <w:rPr>
          <w:rFonts w:ascii="Palatino Linotype" w:eastAsia="Palatino Linotype" w:hAnsi="Palatino Linotype" w:cs="Palatino Linotype"/>
          <w:b/>
          <w:bCs/>
          <w:i/>
          <w:iCs/>
          <w:color w:val="000000"/>
        </w:rPr>
        <w:t>CAPÍTULO VIII</w:t>
      </w:r>
    </w:p>
    <w:p w:rsidR="00AB2DD5" w:rsidRPr="00B510A6" w:rsidRDefault="004924E2">
      <w:pPr>
        <w:pBdr>
          <w:top w:val="nil"/>
          <w:left w:val="nil"/>
          <w:bottom w:val="nil"/>
          <w:right w:val="nil"/>
          <w:between w:val="nil"/>
        </w:pBdr>
        <w:spacing w:line="240" w:lineRule="auto"/>
        <w:ind w:left="851" w:right="616"/>
        <w:jc w:val="center"/>
        <w:rPr>
          <w:rFonts w:ascii="Palatino Linotype" w:eastAsia="Palatino Linotype" w:hAnsi="Palatino Linotype" w:cs="Palatino Linotype"/>
          <w:b/>
          <w:bCs/>
          <w:i/>
          <w:iCs/>
          <w:color w:val="000000"/>
        </w:rPr>
      </w:pPr>
      <w:r w:rsidRPr="00B510A6">
        <w:rPr>
          <w:rFonts w:ascii="Palatino Linotype" w:eastAsia="Palatino Linotype" w:hAnsi="Palatino Linotype" w:cs="Palatino Linotype"/>
          <w:b/>
          <w:bCs/>
          <w:i/>
          <w:iCs/>
          <w:color w:val="000000"/>
        </w:rPr>
        <w:t>DE LOS ELEMENTOS PARA LA CLASIFICACIÓN</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Quincuagésimo</w:t>
      </w:r>
      <w:r w:rsidRPr="00B510A6">
        <w:rPr>
          <w:rFonts w:ascii="Palatino Linotype" w:eastAsia="Palatino Linotype" w:hAnsi="Palatino Linotype" w:cs="Palatino Linotype"/>
          <w:i/>
          <w:iCs/>
          <w:color w:val="000000"/>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Quincuagésimo primero</w:t>
      </w:r>
      <w:r w:rsidRPr="00B510A6">
        <w:rPr>
          <w:rFonts w:ascii="Palatino Linotype" w:eastAsia="Palatino Linotype" w:hAnsi="Palatino Linotype" w:cs="Palatino Linotype"/>
          <w:i/>
          <w:iCs/>
          <w:color w:val="000000"/>
        </w:rPr>
        <w:t>. Toda acta del Comité de Transparencia deberá contener:</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 xml:space="preserve">I. El número de sesión y fecha; </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II. El nombre del área que solicitó la clasificación de información;</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III. La fundamentación legal y motivación correspondiente;</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IV. La resolución o resoluciones aprobadas; y</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 xml:space="preserve">V. La rúbrica o firma digital de cada integrante del Comité de Transparencia. </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Las resoluciones del Comité en las que se haya determinado confirmar o modificar la clasificación de información pública como reservada, deberán incluir, cuando menos:</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 Los motivos y razonamientos que sustenten la confirmación o modificación de la prueba de daño;</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II. Descripción de las partes o secciones reservadas, en caso de clasificación parcial;</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III. El periodo por el que mantendrá su clasificación y fecha de expiración; y</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IV. El nombre del titular y área encargada de realizar la versión pública del documento, en su caso.</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 xml:space="preserve">En los casos en que se clasifique la información como reservada siempre se entregará o anexará la prueba de daño con la respuesta al solicitante. </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b/>
          <w:bCs/>
          <w:i/>
          <w:iCs/>
          <w:color w:val="000000"/>
        </w:rPr>
        <w:t>Quincuagésimo segundo</w:t>
      </w:r>
      <w:r w:rsidRPr="00B510A6">
        <w:rPr>
          <w:rFonts w:ascii="Palatino Linotype" w:eastAsia="Palatino Linotype" w:hAnsi="Palatino Linotype" w:cs="Palatino Linotype"/>
          <w:i/>
          <w:iCs/>
          <w:color w:val="000000"/>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En el caso específico de la clasificación y elaboración de versiones públicas de documentos que contengan información confidencial, las áreas de los sujetos obligados deberán:</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 Fijar la fecha en que se elaboró la versión pública y la fecha en la cual el Comité de Transparencia confirmó dicha versión;</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II. Señalar dentro del documento el tipo de información confidencial que fue testada en cada caso específico, de conformidad con el lineamiento trigésimo octavo; y</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III. Señalar las personas o instancias autorizadas a acceder a la información clasificada.</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En los documentos de difusión electrónica, señalar en la primera hoja y en el nombre del archivo, que la versión pública corresponde a un documento que contiene información confidencial.</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i/>
          <w:iCs/>
          <w:color w:val="000000"/>
        </w:rPr>
      </w:pPr>
      <w:r w:rsidRPr="00B510A6">
        <w:rPr>
          <w:rFonts w:ascii="Palatino Linotype" w:eastAsia="Palatino Linotype" w:hAnsi="Palatino Linotype" w:cs="Palatino Linotype"/>
          <w:i/>
          <w:iCs/>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AB2DD5" w:rsidRPr="00B510A6" w:rsidRDefault="004924E2">
      <w:pPr>
        <w:pBdr>
          <w:top w:val="nil"/>
          <w:left w:val="nil"/>
          <w:bottom w:val="nil"/>
          <w:right w:val="nil"/>
          <w:between w:val="nil"/>
        </w:pBdr>
        <w:spacing w:line="240" w:lineRule="auto"/>
        <w:ind w:left="851" w:right="616"/>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i/>
          <w:iCs/>
          <w:color w:val="000000"/>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B510A6">
        <w:rPr>
          <w:rFonts w:ascii="Palatino Linotype" w:eastAsia="Palatino Linotype" w:hAnsi="Palatino Linotype" w:cs="Palatino Linotype"/>
          <w:color w:val="000000"/>
        </w:rPr>
        <w:t>.</w:t>
      </w:r>
    </w:p>
    <w:p w:rsidR="00AB2DD5" w:rsidRPr="00B510A6" w:rsidRDefault="00AB2DD5">
      <w:pPr>
        <w:spacing w:after="0" w:line="240" w:lineRule="auto"/>
        <w:rPr>
          <w:rFonts w:ascii="Palatino Linotype" w:eastAsia="Palatino Linotype" w:hAnsi="Palatino Linotype" w:cs="Palatino Linotype"/>
          <w:color w:val="000000"/>
        </w:rPr>
      </w:pPr>
    </w:p>
    <w:p w:rsidR="00AB2DD5" w:rsidRPr="00B510A6" w:rsidRDefault="004924E2">
      <w:pPr>
        <w:spacing w:after="0" w:line="360" w:lineRule="auto"/>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Efectivamente, cuando se clasifica información como confidencial es importante someterlo al Comité de Transparencia, quien debe confirmar, modificar o revocar la clasificación.</w:t>
      </w:r>
    </w:p>
    <w:p w:rsidR="00AB2DD5" w:rsidRPr="00B510A6" w:rsidRDefault="00AB2DD5">
      <w:pPr>
        <w:spacing w:after="0" w:line="360" w:lineRule="auto"/>
        <w:jc w:val="both"/>
        <w:rPr>
          <w:rFonts w:ascii="Palatino Linotype" w:eastAsia="Palatino Linotype" w:hAnsi="Palatino Linotype" w:cs="Palatino Linotype"/>
          <w:color w:val="000000"/>
        </w:rPr>
      </w:pPr>
    </w:p>
    <w:p w:rsidR="00AB2DD5" w:rsidRPr="00B510A6" w:rsidRDefault="004924E2">
      <w:pPr>
        <w:shd w:val="clear" w:color="auto" w:fill="FFFFFF"/>
        <w:spacing w:after="0" w:line="360" w:lineRule="auto"/>
        <w:ind w:right="51"/>
        <w:jc w:val="both"/>
        <w:rPr>
          <w:rFonts w:ascii="Palatino Linotype" w:eastAsia="Palatino Linotype" w:hAnsi="Palatino Linotype" w:cs="Palatino Linotype"/>
          <w:color w:val="000000"/>
        </w:rPr>
      </w:pPr>
      <w:r w:rsidRPr="00B510A6">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510A6">
        <w:rPr>
          <w:rFonts w:ascii="Palatino Linotype" w:eastAsia="Palatino Linotype" w:hAnsi="Palatino Linotype" w:cs="Palatino Linotype"/>
          <w:b/>
          <w:bCs/>
          <w:color w:val="000000"/>
        </w:rPr>
        <w:t>Recurrente</w:t>
      </w:r>
      <w:r w:rsidRPr="00B510A6">
        <w:rPr>
          <w:rFonts w:ascii="Palatino Linotype" w:eastAsia="Palatino Linotype" w:hAnsi="Palatino Linotype" w:cs="Palatino Linotype"/>
          <w:color w:val="000000"/>
        </w:rPr>
        <w:t>.</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rPr>
      </w:pPr>
    </w:p>
    <w:p w:rsidR="00AB2DD5" w:rsidRPr="00B510A6" w:rsidRDefault="004924E2">
      <w:pPr>
        <w:pBdr>
          <w:top w:val="nil"/>
          <w:left w:val="nil"/>
          <w:bottom w:val="nil"/>
          <w:right w:val="nil"/>
          <w:between w:val="nil"/>
        </w:pBdr>
        <w:spacing w:after="0" w:line="360" w:lineRule="auto"/>
        <w:jc w:val="center"/>
        <w:rPr>
          <w:rFonts w:ascii="Palatino Linotype" w:eastAsia="Palatino Linotype" w:hAnsi="Palatino Linotype" w:cs="Palatino Linotype"/>
          <w:b/>
          <w:bCs/>
        </w:rPr>
      </w:pPr>
      <w:r w:rsidRPr="00B510A6">
        <w:rPr>
          <w:rFonts w:ascii="Palatino Linotype" w:eastAsia="Palatino Linotype" w:hAnsi="Palatino Linotype" w:cs="Palatino Linotype"/>
          <w:b/>
          <w:bCs/>
        </w:rPr>
        <w:t>III. R E S U E L V E:</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b/>
          <w:bCs/>
        </w:rPr>
      </w:pPr>
    </w:p>
    <w:p w:rsidR="00AB2DD5" w:rsidRPr="00B510A6" w:rsidRDefault="004924E2">
      <w:pPr>
        <w:spacing w:after="0" w:line="360" w:lineRule="auto"/>
        <w:jc w:val="both"/>
        <w:rPr>
          <w:rFonts w:ascii="Palatino Linotype" w:eastAsia="Palatino Linotype" w:hAnsi="Palatino Linotype" w:cs="Palatino Linotype"/>
          <w:b/>
          <w:bCs/>
        </w:rPr>
      </w:pPr>
      <w:r w:rsidRPr="00B510A6">
        <w:rPr>
          <w:rFonts w:ascii="Palatino Linotype" w:eastAsia="Palatino Linotype" w:hAnsi="Palatino Linotype" w:cs="Palatino Linotype"/>
          <w:b/>
          <w:bCs/>
        </w:rPr>
        <w:t xml:space="preserve">Primero. </w:t>
      </w:r>
      <w:r w:rsidRPr="00B510A6">
        <w:rPr>
          <w:rFonts w:ascii="Palatino Linotype" w:eastAsia="Palatino Linotype" w:hAnsi="Palatino Linotype" w:cs="Palatino Linotype"/>
        </w:rPr>
        <w:t>Resultan</w:t>
      </w:r>
      <w:r w:rsidRPr="00B510A6">
        <w:rPr>
          <w:rFonts w:ascii="Palatino Linotype" w:eastAsia="Palatino Linotype" w:hAnsi="Palatino Linotype" w:cs="Palatino Linotype"/>
          <w:b/>
          <w:bCs/>
        </w:rPr>
        <w:t xml:space="preserve"> fundados</w:t>
      </w:r>
      <w:r w:rsidRPr="00B510A6">
        <w:rPr>
          <w:rFonts w:ascii="Palatino Linotype" w:eastAsia="Palatino Linotype" w:hAnsi="Palatino Linotype" w:cs="Palatino Linotype"/>
        </w:rPr>
        <w:t xml:space="preserve"> los motivos de inconformidad hechos valer por la parte </w:t>
      </w:r>
      <w:r w:rsidRPr="00B510A6">
        <w:rPr>
          <w:rFonts w:ascii="Palatino Linotype" w:eastAsia="Palatino Linotype" w:hAnsi="Palatino Linotype" w:cs="Palatino Linotype"/>
          <w:b/>
          <w:bCs/>
        </w:rPr>
        <w:t xml:space="preserve">Recurrente </w:t>
      </w:r>
      <w:r w:rsidRPr="00B510A6">
        <w:rPr>
          <w:rFonts w:ascii="Palatino Linotype" w:eastAsia="Palatino Linotype" w:hAnsi="Palatino Linotype" w:cs="Palatino Linotype"/>
        </w:rPr>
        <w:t xml:space="preserve">en los recursos de revisión </w:t>
      </w:r>
      <w:r w:rsidRPr="00B510A6">
        <w:rPr>
          <w:rFonts w:ascii="Palatino Linotype" w:eastAsia="Palatino Linotype" w:hAnsi="Palatino Linotype" w:cs="Palatino Linotype"/>
          <w:b/>
          <w:bCs/>
        </w:rPr>
        <w:t xml:space="preserve">11959/INFOEM/IP/RR/2025, 11960/INFOEM/IP/RR/2025, 11961/INFOEM/IP/RR/2025, 11962/INFOEM/IP/RR/2025, 11963/INFOEM/IP/RR/2025, 11964/INFOEM/IP/RR/2025, 11965/INFOEM/IP/RR/2025, 11966/INFOEM/IP/RR/2025, 11967/INFOEM/IP/RR/2025 y 11968/INFOEM/IP/RR/2025 acumulados, </w:t>
      </w:r>
      <w:r w:rsidRPr="00B510A6">
        <w:rPr>
          <w:rFonts w:ascii="Palatino Linotype" w:eastAsia="Palatino Linotype" w:hAnsi="Palatino Linotype" w:cs="Palatino Linotype"/>
        </w:rPr>
        <w:t xml:space="preserve">por lo que, en términos del Considerando </w:t>
      </w:r>
      <w:r w:rsidRPr="00B510A6">
        <w:rPr>
          <w:rFonts w:ascii="Palatino Linotype" w:eastAsia="Palatino Linotype" w:hAnsi="Palatino Linotype" w:cs="Palatino Linotype"/>
          <w:b/>
          <w:bCs/>
        </w:rPr>
        <w:t>Cuarto</w:t>
      </w:r>
      <w:r w:rsidRPr="00B510A6">
        <w:rPr>
          <w:rFonts w:ascii="Palatino Linotype" w:eastAsia="Palatino Linotype" w:hAnsi="Palatino Linotype" w:cs="Palatino Linotype"/>
        </w:rPr>
        <w:t xml:space="preserve"> de la presente resolución, se</w:t>
      </w:r>
      <w:r w:rsidRPr="00B510A6">
        <w:rPr>
          <w:rFonts w:ascii="Palatino Linotype" w:eastAsia="Palatino Linotype" w:hAnsi="Palatino Linotype" w:cs="Palatino Linotype"/>
          <w:b/>
          <w:bCs/>
        </w:rPr>
        <w:t xml:space="preserve"> Revocan </w:t>
      </w:r>
      <w:r w:rsidRPr="00B510A6">
        <w:rPr>
          <w:rFonts w:ascii="Palatino Linotype" w:eastAsia="Palatino Linotype" w:hAnsi="Palatino Linotype" w:cs="Palatino Linotype"/>
        </w:rPr>
        <w:t>las respuestas</w:t>
      </w:r>
      <w:r w:rsidRPr="00B510A6">
        <w:rPr>
          <w:rFonts w:ascii="Palatino Linotype" w:eastAsia="Palatino Linotype" w:hAnsi="Palatino Linotype" w:cs="Palatino Linotype"/>
          <w:b/>
          <w:bCs/>
        </w:rPr>
        <w:t xml:space="preserve"> </w:t>
      </w:r>
      <w:r w:rsidRPr="00B510A6">
        <w:rPr>
          <w:rFonts w:ascii="Palatino Linotype" w:eastAsia="Palatino Linotype" w:hAnsi="Palatino Linotype" w:cs="Palatino Linotype"/>
        </w:rPr>
        <w:t xml:space="preserve">del </w:t>
      </w:r>
      <w:r w:rsidRPr="00B510A6">
        <w:rPr>
          <w:rFonts w:ascii="Palatino Linotype" w:eastAsia="Palatino Linotype" w:hAnsi="Palatino Linotype" w:cs="Palatino Linotype"/>
          <w:b/>
          <w:bCs/>
        </w:rPr>
        <w:t>Sujeto Obligado.</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b/>
          <w:bCs/>
        </w:rPr>
      </w:pPr>
    </w:p>
    <w:p w:rsidR="00AB2DD5" w:rsidRPr="00B510A6" w:rsidRDefault="004924E2">
      <w:pPr>
        <w:pBdr>
          <w:top w:val="nil"/>
          <w:left w:val="nil"/>
          <w:bottom w:val="nil"/>
          <w:right w:val="nil"/>
          <w:between w:val="nil"/>
        </w:pBd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b/>
          <w:bCs/>
        </w:rPr>
        <w:t xml:space="preserve">SEGUNDO. </w:t>
      </w:r>
      <w:r w:rsidRPr="00B510A6">
        <w:rPr>
          <w:rFonts w:ascii="Palatino Linotype" w:eastAsia="Palatino Linotype" w:hAnsi="Palatino Linotype" w:cs="Palatino Linotype"/>
        </w:rPr>
        <w:t>Se</w:t>
      </w:r>
      <w:r w:rsidRPr="00B510A6">
        <w:rPr>
          <w:rFonts w:ascii="Palatino Linotype" w:eastAsia="Palatino Linotype" w:hAnsi="Palatino Linotype" w:cs="Palatino Linotype"/>
          <w:b/>
          <w:bCs/>
        </w:rPr>
        <w:t xml:space="preserve"> Ordena </w:t>
      </w:r>
      <w:r w:rsidRPr="00B510A6">
        <w:rPr>
          <w:rFonts w:ascii="Palatino Linotype" w:eastAsia="Palatino Linotype" w:hAnsi="Palatino Linotype" w:cs="Palatino Linotype"/>
        </w:rPr>
        <w:t xml:space="preserve">al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xml:space="preserve"> en términos del Considerando </w:t>
      </w:r>
      <w:r w:rsidRPr="00B510A6">
        <w:rPr>
          <w:rFonts w:ascii="Palatino Linotype" w:eastAsia="Palatino Linotype" w:hAnsi="Palatino Linotype" w:cs="Palatino Linotype"/>
          <w:b/>
          <w:bCs/>
        </w:rPr>
        <w:t xml:space="preserve">Cuarto y Quinto de esta resolución, </w:t>
      </w:r>
      <w:r w:rsidRPr="00B510A6">
        <w:rPr>
          <w:rFonts w:ascii="Palatino Linotype" w:eastAsia="Palatino Linotype" w:hAnsi="Palatino Linotype" w:cs="Palatino Linotype"/>
        </w:rPr>
        <w:t xml:space="preserve">haga entrega vía </w:t>
      </w:r>
      <w:r w:rsidRPr="00B510A6">
        <w:rPr>
          <w:rFonts w:ascii="Palatino Linotype" w:eastAsia="Palatino Linotype" w:hAnsi="Palatino Linotype" w:cs="Palatino Linotype"/>
          <w:b/>
          <w:bCs/>
        </w:rPr>
        <w:t>SAIMEX</w:t>
      </w:r>
      <w:r w:rsidRPr="00B510A6">
        <w:rPr>
          <w:rFonts w:ascii="Palatino Linotype" w:eastAsia="Palatino Linotype" w:hAnsi="Palatino Linotype" w:cs="Palatino Linotype"/>
        </w:rPr>
        <w:t>, de ser procedente en versión pública, lo siguiente:</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rPr>
      </w:pPr>
    </w:p>
    <w:p w:rsidR="00AB2DD5" w:rsidRPr="00B510A6" w:rsidRDefault="004924E2">
      <w:pPr>
        <w:numPr>
          <w:ilvl w:val="0"/>
          <w:numId w:val="3"/>
        </w:numPr>
        <w:pBdr>
          <w:top w:val="nil"/>
          <w:left w:val="nil"/>
          <w:bottom w:val="nil"/>
          <w:right w:val="nil"/>
          <w:between w:val="nil"/>
        </w:pBdr>
        <w:spacing w:after="0" w:line="276" w:lineRule="auto"/>
        <w:ind w:right="-7"/>
        <w:jc w:val="both"/>
        <w:rPr>
          <w:rFonts w:ascii="Palatino Linotype" w:eastAsia="Palatino Linotype" w:hAnsi="Palatino Linotype" w:cs="Palatino Linotype"/>
          <w:b/>
          <w:bCs/>
          <w:color w:val="000000"/>
        </w:rPr>
      </w:pPr>
      <w:r w:rsidRPr="00B510A6">
        <w:rPr>
          <w:rFonts w:ascii="Palatino Linotype" w:eastAsia="Palatino Linotype" w:hAnsi="Palatino Linotype" w:cs="Palatino Linotype"/>
          <w:b/>
          <w:bCs/>
          <w:color w:val="000000"/>
        </w:rPr>
        <w:t>Las Actas de Cabildo de las sesiones ordinarias y extraordinarias celebradas del periodo comprendido del 01 de enero al 30 de junio de 2023, del 01 al 31 de diciembre de 2024, y del 01 de enero al 31 de agosto de 2025.</w:t>
      </w:r>
    </w:p>
    <w:p w:rsidR="00AB2DD5" w:rsidRPr="00B510A6" w:rsidRDefault="00AB2DD5">
      <w:pPr>
        <w:pBdr>
          <w:top w:val="nil"/>
          <w:left w:val="nil"/>
          <w:bottom w:val="nil"/>
          <w:right w:val="nil"/>
          <w:between w:val="nil"/>
        </w:pBdr>
        <w:spacing w:after="0" w:line="276" w:lineRule="auto"/>
        <w:ind w:right="-7"/>
        <w:jc w:val="both"/>
        <w:rPr>
          <w:rFonts w:ascii="Palatino Linotype" w:eastAsia="Palatino Linotype" w:hAnsi="Palatino Linotype" w:cs="Palatino Linotype"/>
          <w:i/>
          <w:iCs/>
        </w:rPr>
      </w:pPr>
    </w:p>
    <w:p w:rsidR="00AB2DD5" w:rsidRPr="00B510A6" w:rsidRDefault="004924E2">
      <w:pPr>
        <w:pBdr>
          <w:top w:val="nil"/>
          <w:left w:val="nil"/>
          <w:bottom w:val="nil"/>
          <w:right w:val="nil"/>
          <w:between w:val="nil"/>
        </w:pBdr>
        <w:spacing w:after="0" w:line="276" w:lineRule="auto"/>
        <w:ind w:right="-7"/>
        <w:jc w:val="both"/>
        <w:rPr>
          <w:rFonts w:ascii="Palatino Linotype" w:eastAsia="Palatino Linotype" w:hAnsi="Palatino Linotype" w:cs="Palatino Linotype"/>
          <w:i/>
          <w:iCs/>
        </w:rPr>
      </w:pPr>
      <w:r w:rsidRPr="00B510A6">
        <w:rPr>
          <w:rFonts w:ascii="Palatino Linotype" w:eastAsia="Palatino Linotype" w:hAnsi="Palatino Linotype" w:cs="Palatino Linotype"/>
          <w:i/>
          <w:iCs/>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w:t>
      </w:r>
      <w:r w:rsidRPr="00B510A6">
        <w:rPr>
          <w:rFonts w:ascii="Palatino Linotype" w:eastAsia="Palatino Linotype" w:hAnsi="Palatino Linotype" w:cs="Palatino Linotype"/>
          <w:b/>
          <w:bCs/>
          <w:i/>
          <w:iCs/>
        </w:rPr>
        <w:t xml:space="preserve"> Recurrente</w:t>
      </w:r>
      <w:r w:rsidRPr="00B510A6">
        <w:rPr>
          <w:rFonts w:ascii="Palatino Linotype" w:eastAsia="Palatino Linotype" w:hAnsi="Palatino Linotype" w:cs="Palatino Linotype"/>
          <w:i/>
          <w:iCs/>
        </w:rPr>
        <w:t>.</w:t>
      </w:r>
    </w:p>
    <w:p w:rsidR="00AB2DD5" w:rsidRPr="00B510A6" w:rsidRDefault="00AB2DD5">
      <w:pPr>
        <w:pBdr>
          <w:top w:val="nil"/>
          <w:left w:val="nil"/>
          <w:bottom w:val="nil"/>
          <w:right w:val="nil"/>
          <w:between w:val="nil"/>
        </w:pBdr>
        <w:spacing w:after="0" w:line="276" w:lineRule="auto"/>
        <w:ind w:right="-7"/>
        <w:jc w:val="both"/>
        <w:rPr>
          <w:rFonts w:ascii="Palatino Linotype" w:eastAsia="Palatino Linotype" w:hAnsi="Palatino Linotype" w:cs="Palatino Linotype"/>
          <w:i/>
          <w:iCs/>
        </w:rPr>
      </w:pPr>
    </w:p>
    <w:p w:rsidR="00AB2DD5" w:rsidRPr="00B510A6" w:rsidRDefault="004924E2">
      <w:pPr>
        <w:spacing w:after="0" w:line="240" w:lineRule="auto"/>
        <w:jc w:val="both"/>
        <w:rPr>
          <w:rFonts w:ascii="Palatino Linotype" w:eastAsia="Palatino Linotype" w:hAnsi="Palatino Linotype" w:cs="Palatino Linotype"/>
        </w:rPr>
      </w:pPr>
      <w:bookmarkStart w:id="6" w:name="_heading=h.s2kvvmq0dlm5" w:colFirst="0" w:colLast="0"/>
      <w:bookmarkEnd w:id="6"/>
      <w:r w:rsidRPr="00B510A6">
        <w:rPr>
          <w:rFonts w:ascii="Palatino Linotype" w:eastAsia="Palatino Linotype" w:hAnsi="Palatino Linotype" w:cs="Palatino Linotype"/>
          <w:i/>
          <w:iCs/>
        </w:rPr>
        <w:t xml:space="preserve">En el supuesto que no se llegara a localizar la información que se ordena, </w:t>
      </w:r>
      <w:r w:rsidRPr="00B510A6">
        <w:rPr>
          <w:rFonts w:ascii="Palatino Linotype" w:eastAsia="Palatino Linotype" w:hAnsi="Palatino Linotype" w:cs="Palatino Linotype"/>
          <w:b/>
          <w:bCs/>
          <w:i/>
          <w:iCs/>
        </w:rPr>
        <w:t>la relativa a las actas de las sesiones de cabildo extraordinarias,</w:t>
      </w:r>
      <w:r w:rsidRPr="00B510A6">
        <w:rPr>
          <w:rFonts w:ascii="Palatino Linotype" w:eastAsia="Palatino Linotype" w:hAnsi="Palatino Linotype" w:cs="Palatino Linotype"/>
          <w:i/>
          <w:iCs/>
        </w:rPr>
        <w:t xml:space="preserve"> </w:t>
      </w:r>
      <w:r w:rsidRPr="00B510A6">
        <w:rPr>
          <w:rFonts w:ascii="Palatino Linotype" w:eastAsia="Palatino Linotype" w:hAnsi="Palatino Linotype" w:cs="Palatino Linotype"/>
          <w:b/>
          <w:bCs/>
          <w:i/>
          <w:iCs/>
        </w:rPr>
        <w:t xml:space="preserve">en razón de que en los periodos ordenados no se  hayan  llevado a cabo ese tipo de sesiones, </w:t>
      </w:r>
      <w:r w:rsidRPr="00B510A6">
        <w:rPr>
          <w:rFonts w:ascii="Palatino Linotype" w:eastAsia="Palatino Linotype" w:hAnsi="Palatino Linotype" w:cs="Palatino Linotype"/>
          <w:i/>
          <w:iCs/>
        </w:rPr>
        <w:t>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r w:rsidRPr="00B510A6">
        <w:rPr>
          <w:rFonts w:ascii="Palatino Linotype" w:eastAsia="Palatino Linotype" w:hAnsi="Palatino Linotype" w:cs="Palatino Linotype"/>
        </w:rPr>
        <w:t>.</w:t>
      </w:r>
    </w:p>
    <w:p w:rsidR="00AB2DD5" w:rsidRPr="00B510A6" w:rsidRDefault="00AB2DD5">
      <w:pPr>
        <w:pBdr>
          <w:top w:val="nil"/>
          <w:left w:val="nil"/>
          <w:bottom w:val="nil"/>
          <w:right w:val="nil"/>
          <w:between w:val="nil"/>
        </w:pBdr>
        <w:spacing w:after="0" w:line="276" w:lineRule="auto"/>
        <w:ind w:right="-7"/>
        <w:jc w:val="both"/>
        <w:rPr>
          <w:rFonts w:ascii="Palatino Linotype" w:eastAsia="Palatino Linotype" w:hAnsi="Palatino Linotype" w:cs="Palatino Linotype"/>
          <w:i/>
          <w:iCs/>
        </w:rPr>
      </w:pPr>
    </w:p>
    <w:p w:rsidR="00AB2DD5" w:rsidRPr="00B510A6" w:rsidRDefault="004924E2">
      <w:pPr>
        <w:spacing w:after="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b/>
          <w:bCs/>
        </w:rPr>
        <w:t xml:space="preserve">TERCERO.  Notifíquese, </w:t>
      </w:r>
      <w:r w:rsidRPr="00B510A6">
        <w:rPr>
          <w:rFonts w:ascii="Palatino Linotype" w:eastAsia="Palatino Linotype" w:hAnsi="Palatino Linotype" w:cs="Palatino Linotype"/>
        </w:rPr>
        <w:t xml:space="preserve">vía </w:t>
      </w:r>
      <w:r w:rsidRPr="00B510A6">
        <w:rPr>
          <w:rFonts w:ascii="Palatino Linotype" w:eastAsia="Palatino Linotype" w:hAnsi="Palatino Linotype" w:cs="Palatino Linotype"/>
          <w:b/>
          <w:bCs/>
        </w:rPr>
        <w:t>SAIMEX</w:t>
      </w:r>
      <w:r w:rsidRPr="00B510A6">
        <w:rPr>
          <w:rFonts w:ascii="Palatino Linotype" w:eastAsia="Palatino Linotype" w:hAnsi="Palatino Linotype" w:cs="Palatino Linotype"/>
        </w:rPr>
        <w:t xml:space="preserve">, al Titular de la Unidad de Transparencia del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B2DD5" w:rsidRPr="00B510A6" w:rsidRDefault="00AB2DD5">
      <w:pPr>
        <w:pBdr>
          <w:top w:val="nil"/>
          <w:left w:val="nil"/>
          <w:bottom w:val="nil"/>
          <w:right w:val="nil"/>
          <w:between w:val="nil"/>
        </w:pBdr>
        <w:spacing w:after="0" w:line="360" w:lineRule="auto"/>
        <w:jc w:val="both"/>
        <w:rPr>
          <w:rFonts w:ascii="Palatino Linotype" w:eastAsia="Palatino Linotype" w:hAnsi="Palatino Linotype" w:cs="Palatino Linotype"/>
          <w:b/>
          <w:bCs/>
        </w:rPr>
      </w:pPr>
    </w:p>
    <w:p w:rsidR="00AB2DD5" w:rsidRPr="00B510A6" w:rsidRDefault="004924E2">
      <w:pPr>
        <w:spacing w:after="0" w:line="360" w:lineRule="auto"/>
        <w:ind w:right="49"/>
        <w:jc w:val="both"/>
        <w:rPr>
          <w:rFonts w:ascii="Palatino Linotype" w:eastAsia="Palatino Linotype" w:hAnsi="Palatino Linotype" w:cs="Palatino Linotype"/>
        </w:rPr>
      </w:pPr>
      <w:r w:rsidRPr="00B510A6">
        <w:rPr>
          <w:rFonts w:ascii="Palatino Linotype" w:eastAsia="Palatino Linotype" w:hAnsi="Palatino Linotype" w:cs="Palatino Linotype"/>
          <w:b/>
          <w:bCs/>
        </w:rPr>
        <w:t>Cuarto.</w:t>
      </w:r>
      <w:r w:rsidRPr="00B510A6">
        <w:rPr>
          <w:rFonts w:ascii="Palatino Linotype" w:eastAsia="Palatino Linotype" w:hAnsi="Palatino Linotype" w:cs="Palatino Linotype"/>
        </w:rPr>
        <w:t xml:space="preserve"> </w:t>
      </w:r>
      <w:r w:rsidRPr="00B510A6">
        <w:rPr>
          <w:rFonts w:ascii="Palatino Linotype" w:eastAsia="Palatino Linotype" w:hAnsi="Palatino Linotype" w:cs="Palatino Linotype"/>
          <w:b/>
          <w:bCs/>
        </w:rPr>
        <w:t xml:space="preserve">Notifíquese </w:t>
      </w:r>
      <w:r w:rsidRPr="00B510A6">
        <w:rPr>
          <w:rFonts w:ascii="Palatino Linotype" w:eastAsia="Palatino Linotype" w:hAnsi="Palatino Linotype" w:cs="Palatino Linotype"/>
        </w:rPr>
        <w:t>vía SAIMEX</w:t>
      </w:r>
      <w:r w:rsidRPr="00B510A6">
        <w:rPr>
          <w:rFonts w:ascii="Palatino Linotype" w:eastAsia="Palatino Linotype" w:hAnsi="Palatino Linotype" w:cs="Palatino Linotype"/>
          <w:b/>
          <w:bCs/>
        </w:rPr>
        <w:t xml:space="preserve">, </w:t>
      </w:r>
      <w:r w:rsidRPr="00B510A6">
        <w:rPr>
          <w:rFonts w:ascii="Palatino Linotype" w:eastAsia="Palatino Linotype" w:hAnsi="Palatino Linotype" w:cs="Palatino Linotype"/>
        </w:rPr>
        <w:t xml:space="preserve">que de conformidad con el artículo 198 de la Ley de Transparencia y Acceso a la Información Pública del Estado de México y Municipios, de considerarlo procedente, el </w:t>
      </w:r>
      <w:r w:rsidRPr="00B510A6">
        <w:rPr>
          <w:rFonts w:ascii="Palatino Linotype" w:eastAsia="Palatino Linotype" w:hAnsi="Palatino Linotype" w:cs="Palatino Linotype"/>
          <w:b/>
          <w:bCs/>
        </w:rPr>
        <w:t>Sujeto Obligado</w:t>
      </w:r>
      <w:r w:rsidRPr="00B510A6">
        <w:rPr>
          <w:rFonts w:ascii="Palatino Linotype" w:eastAsia="Palatino Linotype" w:hAnsi="Palatino Linotype" w:cs="Palatino Linotype"/>
        </w:rPr>
        <w:t xml:space="preserve"> de manera fundada y motivada, podrá solicitar una ampliación de plazo para el cumplimiento de la presente resolución.</w:t>
      </w:r>
    </w:p>
    <w:p w:rsidR="00AB2DD5" w:rsidRPr="00B510A6" w:rsidRDefault="00AB2DD5">
      <w:pPr>
        <w:spacing w:after="0" w:line="360" w:lineRule="auto"/>
        <w:ind w:right="49"/>
        <w:jc w:val="both"/>
        <w:rPr>
          <w:rFonts w:ascii="Palatino Linotype" w:eastAsia="Palatino Linotype" w:hAnsi="Palatino Linotype" w:cs="Palatino Linotype"/>
        </w:rPr>
      </w:pPr>
    </w:p>
    <w:p w:rsidR="00AB2DD5" w:rsidRPr="00B510A6" w:rsidRDefault="004924E2">
      <w:pPr>
        <w:spacing w:after="0" w:line="360" w:lineRule="auto"/>
        <w:ind w:right="49"/>
        <w:jc w:val="both"/>
        <w:rPr>
          <w:rFonts w:ascii="Palatino Linotype" w:eastAsia="Palatino Linotype" w:hAnsi="Palatino Linotype" w:cs="Palatino Linotype"/>
        </w:rPr>
      </w:pPr>
      <w:r w:rsidRPr="00B510A6">
        <w:rPr>
          <w:rFonts w:ascii="Palatino Linotype" w:eastAsia="Palatino Linotype" w:hAnsi="Palatino Linotype" w:cs="Palatino Linotype"/>
          <w:b/>
          <w:bCs/>
        </w:rPr>
        <w:t xml:space="preserve">Quinto. Notifíquese </w:t>
      </w:r>
      <w:r w:rsidRPr="00B510A6">
        <w:rPr>
          <w:rFonts w:ascii="Palatino Linotype" w:eastAsia="Palatino Linotype" w:hAnsi="Palatino Linotype" w:cs="Palatino Linotype"/>
        </w:rPr>
        <w:t>vía SAIMEX</w:t>
      </w:r>
      <w:r w:rsidRPr="00B510A6">
        <w:rPr>
          <w:rFonts w:ascii="Palatino Linotype" w:eastAsia="Palatino Linotype" w:hAnsi="Palatino Linotype" w:cs="Palatino Linotype"/>
          <w:b/>
          <w:bCs/>
        </w:rPr>
        <w:t xml:space="preserve">, </w:t>
      </w:r>
      <w:r w:rsidRPr="00B510A6">
        <w:rPr>
          <w:rFonts w:ascii="Palatino Linotype" w:eastAsia="Palatino Linotype" w:hAnsi="Palatino Linotype" w:cs="Palatino Linotype"/>
        </w:rPr>
        <w:t xml:space="preserve">la presente resolución a la parte </w:t>
      </w:r>
      <w:r w:rsidRPr="00B510A6">
        <w:rPr>
          <w:rFonts w:ascii="Palatino Linotype" w:eastAsia="Palatino Linotype" w:hAnsi="Palatino Linotype" w:cs="Palatino Linotype"/>
          <w:b/>
          <w:bCs/>
        </w:rPr>
        <w:t>Recurrente</w:t>
      </w:r>
      <w:r w:rsidRPr="00B510A6">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AB2DD5" w:rsidRPr="00B510A6" w:rsidRDefault="00AB2DD5">
      <w:pPr>
        <w:spacing w:after="0" w:line="360" w:lineRule="auto"/>
        <w:ind w:right="49"/>
        <w:jc w:val="both"/>
        <w:rPr>
          <w:rFonts w:ascii="Palatino Linotype" w:eastAsia="Palatino Linotype" w:hAnsi="Palatino Linotype" w:cs="Palatino Linotype"/>
        </w:rPr>
      </w:pPr>
    </w:p>
    <w:p w:rsidR="00AB2DD5" w:rsidRDefault="004924E2">
      <w:pPr>
        <w:spacing w:after="200" w:line="360" w:lineRule="auto"/>
        <w:jc w:val="both"/>
        <w:rPr>
          <w:rFonts w:ascii="Palatino Linotype" w:eastAsia="Palatino Linotype" w:hAnsi="Palatino Linotype" w:cs="Palatino Linotype"/>
        </w:rPr>
      </w:pPr>
      <w:r w:rsidRPr="00B510A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r>
        <w:rPr>
          <w:rFonts w:ascii="Palatino Linotype" w:eastAsia="Palatino Linotype" w:hAnsi="Palatino Linotype" w:cs="Palatino Linotype"/>
        </w:rPr>
        <w:t xml:space="preserve"> </w:t>
      </w:r>
    </w:p>
    <w:p w:rsidR="00AB2DD5" w:rsidRDefault="00AB2DD5">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p w:rsidR="00B510A6" w:rsidRDefault="00B510A6">
      <w:pPr>
        <w:spacing w:after="0" w:line="360" w:lineRule="auto"/>
        <w:ind w:right="49"/>
        <w:jc w:val="both"/>
        <w:rPr>
          <w:rFonts w:ascii="Palatino Linotype" w:eastAsia="Palatino Linotype" w:hAnsi="Palatino Linotype" w:cs="Palatino Linotype"/>
        </w:rPr>
      </w:pPr>
    </w:p>
    <w:sectPr w:rsidR="00B510A6">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4E2" w:rsidRDefault="004924E2">
      <w:pPr>
        <w:spacing w:after="0" w:line="240" w:lineRule="auto"/>
      </w:pPr>
      <w:r>
        <w:separator/>
      </w:r>
    </w:p>
  </w:endnote>
  <w:endnote w:type="continuationSeparator" w:id="0">
    <w:p w:rsidR="004924E2" w:rsidRDefault="00492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BE54661-6273-49B3-833E-E7E7CE0F5F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CF77B3-7A15-451F-9C1C-F17DF7D58074}"/>
    <w:embedBold r:id="rId3" w:fontKey="{1F82AE9F-4E18-41D3-82A0-367324433B63}"/>
    <w:embedItalic r:id="rId4" w:fontKey="{44B04543-01D8-48A4-B4B4-17C4C54E05BA}"/>
  </w:font>
  <w:font w:name="Georgia">
    <w:panose1 w:val="02040502050405020303"/>
    <w:charset w:val="00"/>
    <w:family w:val="roman"/>
    <w:pitch w:val="variable"/>
    <w:sig w:usb0="00000287" w:usb1="00000000" w:usb2="00000000" w:usb3="00000000" w:csb0="0000009F" w:csb1="00000000"/>
    <w:embedRegular r:id="rId5" w:fontKey="{01BDB0E2-D146-495D-868C-D591AB8EDFA6}"/>
    <w:embedItalic r:id="rId6" w:fontKey="{092AEA07-C025-4FD7-99BD-C8B0A0259E2A}"/>
  </w:font>
  <w:font w:name="Segoe UI">
    <w:panose1 w:val="020B0502040204020203"/>
    <w:charset w:val="00"/>
    <w:family w:val="swiss"/>
    <w:pitch w:val="variable"/>
    <w:sig w:usb0="E4002EFF" w:usb1="C000E47F" w:usb2="00000009" w:usb3="00000000" w:csb0="000001FF" w:csb1="00000000"/>
    <w:embedRegular r:id="rId7" w:fontKey="{4203FC21-D783-4A52-BFD7-E651778587AE}"/>
  </w:font>
  <w:font w:name="Palatino Linotype">
    <w:panose1 w:val="02040502050505030304"/>
    <w:charset w:val="00"/>
    <w:family w:val="roman"/>
    <w:pitch w:val="variable"/>
    <w:sig w:usb0="E0000287" w:usb1="40000013" w:usb2="00000000" w:usb3="00000000" w:csb0="0000019F" w:csb1="00000000"/>
    <w:embedRegular r:id="rId8" w:fontKey="{2BC0C294-5ADC-432E-9DF4-F8A2620EFD0F}"/>
    <w:embedBold r:id="rId9" w:fontKey="{A9B0151D-7407-4432-B962-15D7C17560B5}"/>
    <w:embedItalic r:id="rId10" w:fontKey="{B07CF8EF-F292-489B-A3F2-F1076F4A1C06}"/>
    <w:embedBoldItalic r:id="rId11" w:fontKey="{3DAFEB34-2554-4363-AD0A-E69358FC4B4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084DC0F8-F607-46DE-BD6E-2AF60471A230}"/>
  </w:font>
  <w:font w:name="Cambria">
    <w:panose1 w:val="02040503050406030204"/>
    <w:charset w:val="00"/>
    <w:family w:val="roman"/>
    <w:pitch w:val="variable"/>
    <w:sig w:usb0="E00006FF" w:usb1="420024FF" w:usb2="02000000" w:usb3="00000000" w:csb0="0000019F" w:csb1="00000000"/>
    <w:embedRegular r:id="rId13" w:fontKey="{0BCE8BE1-EAB8-4AE0-A188-6CAF6FDAC915}"/>
  </w:font>
  <w:font w:name="Calibri Light">
    <w:panose1 w:val="020F0302020204030204"/>
    <w:charset w:val="00"/>
    <w:family w:val="swiss"/>
    <w:pitch w:val="variable"/>
    <w:sig w:usb0="E4002EFF" w:usb1="C200247B" w:usb2="00000009" w:usb3="00000000" w:csb0="000001FF" w:csb1="00000000"/>
    <w:embedRegular r:id="rId14" w:fontKey="{5CBCD51A-629B-4F17-8BB8-7AEEA6A924F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DD5" w:rsidRDefault="004924E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06C32">
      <w:rPr>
        <w:b/>
        <w:bCs/>
        <w:noProof/>
        <w:color w:val="000000"/>
        <w:sz w:val="24"/>
        <w:szCs w:val="24"/>
      </w:rPr>
      <w:t>41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06C32">
      <w:rPr>
        <w:b/>
        <w:bCs/>
        <w:noProof/>
        <w:color w:val="000000"/>
        <w:sz w:val="24"/>
        <w:szCs w:val="24"/>
      </w:rPr>
      <w:t>42</w:t>
    </w:r>
    <w:r>
      <w:rPr>
        <w:b/>
        <w:bCs/>
        <w:color w:val="000000"/>
        <w:sz w:val="24"/>
        <w:szCs w:val="24"/>
      </w:rPr>
      <w:fldChar w:fldCharType="end"/>
    </w:r>
  </w:p>
  <w:p w:rsidR="00AB2DD5" w:rsidRDefault="00AB2DD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DD5" w:rsidRDefault="004924E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06C32">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06C32">
      <w:rPr>
        <w:b/>
        <w:bCs/>
        <w:noProof/>
        <w:color w:val="000000"/>
        <w:sz w:val="24"/>
        <w:szCs w:val="24"/>
      </w:rPr>
      <w:t>42</w:t>
    </w:r>
    <w:r>
      <w:rPr>
        <w:b/>
        <w:bCs/>
        <w:color w:val="000000"/>
        <w:sz w:val="24"/>
        <w:szCs w:val="24"/>
      </w:rPr>
      <w:fldChar w:fldCharType="end"/>
    </w:r>
  </w:p>
  <w:p w:rsidR="00AB2DD5" w:rsidRDefault="00AB2DD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4E2" w:rsidRDefault="004924E2">
      <w:pPr>
        <w:spacing w:after="0" w:line="240" w:lineRule="auto"/>
      </w:pPr>
      <w:r>
        <w:separator/>
      </w:r>
    </w:p>
  </w:footnote>
  <w:footnote w:type="continuationSeparator" w:id="0">
    <w:p w:rsidR="004924E2" w:rsidRDefault="004924E2">
      <w:pPr>
        <w:spacing w:after="0" w:line="240" w:lineRule="auto"/>
      </w:pPr>
      <w:r>
        <w:continuationSeparator/>
      </w:r>
    </w:p>
  </w:footnote>
  <w:footnote w:id="1">
    <w:p w:rsidR="00AB2DD5" w:rsidRDefault="004924E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AB2DD5" w:rsidRDefault="004924E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AB2DD5" w:rsidRDefault="004924E2">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AB2DD5" w:rsidRDefault="004924E2">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DD5" w:rsidRDefault="004924E2">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simplePos x="0" y="0"/>
          <wp:positionH relativeFrom="column">
            <wp:posOffset>-746117</wp:posOffset>
          </wp:positionH>
          <wp:positionV relativeFrom="paragraph">
            <wp:posOffset>-448302</wp:posOffset>
          </wp:positionV>
          <wp:extent cx="7809876" cy="10165823"/>
          <wp:effectExtent l="0" t="0" r="0" b="0"/>
          <wp:wrapNone/>
          <wp:docPr id="21431081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8" r="608"/>
                  <a:stretch>
                    <a:fillRect/>
                  </a:stretch>
                </pic:blipFill>
                <pic:spPr>
                  <a:xfrm>
                    <a:off x="0" y="0"/>
                    <a:ext cx="7809876" cy="10165823"/>
                  </a:xfrm>
                  <a:prstGeom prst="rect">
                    <a:avLst/>
                  </a:prstGeom>
                  <a:ln/>
                </pic:spPr>
              </pic:pic>
            </a:graphicData>
          </a:graphic>
        </wp:anchor>
      </w:drawing>
    </w:r>
  </w:p>
  <w:tbl>
    <w:tblPr>
      <w:tblStyle w:val="aff0"/>
      <w:tblW w:w="5603" w:type="dxa"/>
      <w:tblInd w:w="3611" w:type="dxa"/>
      <w:tblLayout w:type="fixed"/>
      <w:tblLook w:val="0400" w:firstRow="0" w:lastRow="0" w:firstColumn="0" w:lastColumn="0" w:noHBand="0" w:noVBand="1"/>
    </w:tblPr>
    <w:tblGrid>
      <w:gridCol w:w="2551"/>
      <w:gridCol w:w="3052"/>
    </w:tblGrid>
    <w:tr w:rsidR="00AB2DD5">
      <w:tc>
        <w:tcPr>
          <w:tcW w:w="2551"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p w:rsidR="00AB2DD5" w:rsidRDefault="00AB2D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11959/INFOEM/IP/RR/2025y acumulados</w:t>
          </w:r>
        </w:p>
      </w:tc>
    </w:tr>
    <w:tr w:rsidR="00AB2DD5">
      <w:trPr>
        <w:trHeight w:val="228"/>
      </w:trPr>
      <w:tc>
        <w:tcPr>
          <w:tcW w:w="2551"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rsidR="00AB2DD5" w:rsidRDefault="00AB2D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rsidR="00AB2DD5" w:rsidRDefault="004924E2">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Nextlalpan</w:t>
          </w:r>
        </w:p>
      </w:tc>
    </w:tr>
    <w:tr w:rsidR="00AB2DD5">
      <w:tc>
        <w:tcPr>
          <w:tcW w:w="2551"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rsidR="00AB2DD5" w:rsidRDefault="00AB2DD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DD5" w:rsidRDefault="004924E2">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simplePos x="0" y="0"/>
          <wp:positionH relativeFrom="column">
            <wp:posOffset>-683890</wp:posOffset>
          </wp:positionH>
          <wp:positionV relativeFrom="paragraph">
            <wp:posOffset>-249549</wp:posOffset>
          </wp:positionV>
          <wp:extent cx="7809876" cy="10165823"/>
          <wp:effectExtent l="0" t="0" r="0" b="0"/>
          <wp:wrapNone/>
          <wp:docPr id="2143108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1"/>
      <w:tblW w:w="5603" w:type="dxa"/>
      <w:tblInd w:w="3611" w:type="dxa"/>
      <w:tblLayout w:type="fixed"/>
      <w:tblLook w:val="0400" w:firstRow="0" w:lastRow="0" w:firstColumn="0" w:lastColumn="0" w:noHBand="0" w:noVBand="1"/>
    </w:tblPr>
    <w:tblGrid>
      <w:gridCol w:w="2551"/>
      <w:gridCol w:w="3052"/>
    </w:tblGrid>
    <w:tr w:rsidR="00AB2DD5">
      <w:tc>
        <w:tcPr>
          <w:tcW w:w="2551"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p w:rsidR="00AB2DD5" w:rsidRDefault="00AB2D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11959/INFOEM/IP/RR/2025 y acumulados</w:t>
          </w:r>
        </w:p>
      </w:tc>
    </w:tr>
    <w:tr w:rsidR="00AB2DD5">
      <w:tc>
        <w:tcPr>
          <w:tcW w:w="2551"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Recurrente:</w:t>
          </w:r>
        </w:p>
      </w:tc>
      <w:tc>
        <w:tcPr>
          <w:tcW w:w="3052" w:type="dxa"/>
          <w:vAlign w:val="center"/>
        </w:tcPr>
        <w:p w:rsidR="00AB2DD5" w:rsidRDefault="00406C32" w:rsidP="00406C32">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XX X</w:t>
          </w:r>
        </w:p>
      </w:tc>
    </w:tr>
    <w:tr w:rsidR="00AB2DD5">
      <w:trPr>
        <w:trHeight w:val="228"/>
      </w:trPr>
      <w:tc>
        <w:tcPr>
          <w:tcW w:w="2551"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rsidR="00AB2DD5" w:rsidRDefault="004924E2">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Nextlalpan</w:t>
          </w:r>
        </w:p>
      </w:tc>
    </w:tr>
    <w:tr w:rsidR="00AB2DD5">
      <w:tc>
        <w:tcPr>
          <w:tcW w:w="2551"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rsidR="00AB2DD5" w:rsidRDefault="004924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rsidR="00AB2DD5" w:rsidRDefault="004924E2">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F20F2"/>
    <w:multiLevelType w:val="multilevel"/>
    <w:tmpl w:val="36B08CB8"/>
    <w:lvl w:ilvl="0">
      <w:start w:val="3"/>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FB25A03"/>
    <w:multiLevelType w:val="multilevel"/>
    <w:tmpl w:val="C108D2F6"/>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4471FBE"/>
    <w:multiLevelType w:val="multilevel"/>
    <w:tmpl w:val="D2F45EDA"/>
    <w:lvl w:ilvl="0">
      <w:start w:val="1"/>
      <w:numFmt w:val="decimal"/>
      <w:pStyle w:val="Listaconvietas"/>
      <w:lvlText w:val="%1."/>
      <w:lvlJc w:val="left"/>
      <w:pPr>
        <w:ind w:left="4755"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DD5"/>
    <w:rsid w:val="00406C32"/>
    <w:rsid w:val="004924E2"/>
    <w:rsid w:val="00AB2DD5"/>
    <w:rsid w:val="00B510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FC729"/>
  <w15:docId w15:val="{419F95AA-ACCF-4AF0-A05D-1FC12464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rsid w:val="00FD48C3"/>
    <w:rPr>
      <w:b/>
      <w:sz w:val="48"/>
      <w:szCs w:val="48"/>
    </w:rPr>
  </w:style>
  <w:style w:type="character" w:customStyle="1" w:styleId="Ttulo2Car">
    <w:name w:val="Título 2 Car"/>
    <w:basedOn w:val="Fuentedeprrafopredeter"/>
    <w:rsid w:val="00FD48C3"/>
    <w:rPr>
      <w:b/>
      <w:sz w:val="36"/>
      <w:szCs w:val="36"/>
    </w:rPr>
  </w:style>
  <w:style w:type="character" w:customStyle="1" w:styleId="Ttulo3Car">
    <w:name w:val="Título 3 Car"/>
    <w:basedOn w:val="Fuentedeprrafopredeter"/>
    <w:rsid w:val="00FD48C3"/>
    <w:rPr>
      <w:b/>
      <w:sz w:val="28"/>
      <w:szCs w:val="28"/>
    </w:rPr>
  </w:style>
  <w:style w:type="character" w:customStyle="1" w:styleId="Ttulo4Car">
    <w:name w:val="Título 4 Car"/>
    <w:basedOn w:val="Fuentedeprrafopredeter"/>
    <w:rsid w:val="00FD48C3"/>
    <w:rPr>
      <w:b/>
      <w:sz w:val="24"/>
      <w:szCs w:val="24"/>
    </w:rPr>
  </w:style>
  <w:style w:type="character" w:customStyle="1" w:styleId="Ttulo5Car">
    <w:name w:val="Título 5 Car"/>
    <w:basedOn w:val="Fuentedeprrafopredeter"/>
    <w:rsid w:val="00FD48C3"/>
    <w:rPr>
      <w:b/>
    </w:rPr>
  </w:style>
  <w:style w:type="character" w:customStyle="1" w:styleId="Ttulo6Car">
    <w:name w:val="Título 6 Car"/>
    <w:basedOn w:val="Fuentedeprrafopredeter"/>
    <w:rsid w:val="00FD48C3"/>
    <w:rPr>
      <w:b/>
      <w:sz w:val="20"/>
      <w:szCs w:val="20"/>
    </w:rPr>
  </w:style>
  <w:style w:type="table" w:customStyle="1" w:styleId="TableNormal3">
    <w:name w:val="Table Normal"/>
    <w:tblPr>
      <w:tblCellMar>
        <w:top w:w="0" w:type="dxa"/>
        <w:left w:w="0" w:type="dxa"/>
        <w:bottom w:w="0" w:type="dxa"/>
        <w:right w:w="0" w:type="dxa"/>
      </w:tblCellMar>
    </w:tblPr>
  </w:style>
  <w:style w:type="character" w:customStyle="1" w:styleId="PuestoCar">
    <w:name w:val="Puesto Car"/>
    <w:basedOn w:val="Fuentedeprrafopredeter"/>
    <w:rsid w:val="00FD48C3"/>
    <w:rPr>
      <w:b/>
      <w:sz w:val="72"/>
      <w:szCs w:val="72"/>
    </w:r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tuloCar">
    <w:name w:val="Subtítulo Car"/>
    <w:basedOn w:val="Fuentedeprrafopredeter"/>
    <w:rsid w:val="00FD48C3"/>
    <w:rPr>
      <w:rFonts w:ascii="Georgia" w:eastAsia="Georgia" w:hAnsi="Georgia" w:cs="Georgia"/>
      <w:i/>
      <w:color w:val="666666"/>
      <w:sz w:val="48"/>
      <w:szCs w:val="48"/>
    </w:rPr>
  </w:style>
  <w:style w:type="table" w:customStyle="1" w:styleId="a">
    <w:basedOn w:val="TableNormal6"/>
    <w:tblPr>
      <w:tblStyleRowBandSize w:val="1"/>
      <w:tblStyleColBandSize w:val="1"/>
      <w:tblCellMar>
        <w:top w:w="15" w:type="dxa"/>
        <w:left w:w="15" w:type="dxa"/>
        <w:bottom w:w="15" w:type="dxa"/>
        <w:right w:w="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top w:w="15" w:type="dxa"/>
        <w:left w:w="115" w:type="dxa"/>
        <w:bottom w:w="15" w:type="dxa"/>
        <w:right w:w="115" w:type="dxa"/>
      </w:tblCellMar>
    </w:tblPr>
  </w:style>
  <w:style w:type="table" w:customStyle="1" w:styleId="a3">
    <w:basedOn w:val="TableNormal6"/>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5"/>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top w:w="15" w:type="dxa"/>
        <w:left w:w="115" w:type="dxa"/>
        <w:bottom w:w="15" w:type="dxa"/>
        <w:right w:w="115" w:type="dxa"/>
      </w:tblCellMar>
    </w:tblPr>
  </w:style>
  <w:style w:type="table" w:customStyle="1" w:styleId="a8">
    <w:basedOn w:val="TableNormal4"/>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a9ieq4Q4S25vRVdB8SUQLTsww==">CgMxLjAyCWguMzBqMHpsbDIJaC4yZXQ5MnAwMghoLmdqZGd4czIOaC5ub2ljbjQxMHkzOXYyDWgucTlhNXBxc3Q2c28yDmguczJrdnZtcTBkbG01OAByITFvZE94dlNhaGE2WnpHV0pGQ2xZdFZ1YXBoZGNYWjE0cg==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462B2D-5284-4654-9947-CF9B0A3C9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11994</Words>
  <Characters>65971</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2025-11-14T19:28:00Z</cp:lastPrinted>
  <dcterms:created xsi:type="dcterms:W3CDTF">2025-12-13T01:38:00Z</dcterms:created>
  <dcterms:modified xsi:type="dcterms:W3CDTF">2025-12-13T01:38:00Z</dcterms:modified>
</cp:coreProperties>
</file>