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CD8C" w14:textId="77777777" w:rsidR="00F87FA9" w:rsidRDefault="00F87FA9"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DA0134" w14:textId="3ABF81C6"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A3650">
        <w:rPr>
          <w:rFonts w:ascii="Palatino Linotype" w:eastAsia="Times New Roman" w:hAnsi="Palatino Linotype" w:cs="Arial"/>
          <w:color w:val="000000"/>
          <w:sz w:val="24"/>
          <w:szCs w:val="24"/>
          <w:lang w:eastAsia="es-MX"/>
        </w:rPr>
        <w:t>cuatro de junio de dos mil veinticinco</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3B1E1868"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CA3650" w:rsidRPr="00CA3650">
        <w:rPr>
          <w:rFonts w:ascii="Palatino Linotype" w:hAnsi="Palatino Linotype" w:cs="Arial"/>
          <w:b/>
          <w:bCs/>
          <w:sz w:val="24"/>
          <w:lang w:eastAsia="es-MX"/>
        </w:rPr>
        <w:t>02390/INFOEM/IP/RR/2025</w:t>
      </w:r>
      <w:r w:rsidRPr="00B81A2B">
        <w:rPr>
          <w:rFonts w:ascii="Palatino Linotype" w:hAnsi="Palatino Linotype" w:cs="Arial"/>
          <w:sz w:val="24"/>
        </w:rPr>
        <w:t xml:space="preserve">, </w:t>
      </w:r>
      <w:r w:rsidR="00AB4E54" w:rsidRPr="00AB4E54">
        <w:rPr>
          <w:rFonts w:ascii="Palatino Linotype" w:hAnsi="Palatino Linotype" w:cs="Arial"/>
          <w:sz w:val="24"/>
        </w:rPr>
        <w:t>interpuesto por</w:t>
      </w:r>
      <w:r w:rsidR="00CA3650">
        <w:rPr>
          <w:rFonts w:ascii="Palatino Linotype" w:hAnsi="Palatino Linotype" w:cs="Arial"/>
          <w:sz w:val="24"/>
        </w:rPr>
        <w:t xml:space="preserve"> el C.</w:t>
      </w:r>
      <w:r w:rsidR="00862A63">
        <w:rPr>
          <w:rFonts w:ascii="Palatino Linotype" w:hAnsi="Palatino Linotype" w:cs="Arial"/>
          <w:sz w:val="24"/>
        </w:rPr>
        <w:t xml:space="preserve"> </w:t>
      </w:r>
      <w:r w:rsidR="00BB750F">
        <w:rPr>
          <w:rFonts w:ascii="Palatino Linotype" w:hAnsi="Palatino Linotype" w:cs="Arial"/>
          <w:b/>
          <w:bCs/>
          <w:sz w:val="24"/>
        </w:rPr>
        <w:t>XXXXXXXXXXXXXXXXXXXXX</w:t>
      </w:r>
      <w:bookmarkStart w:id="0" w:name="_GoBack"/>
      <w:bookmarkEnd w:id="0"/>
      <w:r w:rsidR="00AB4E54" w:rsidRPr="00AB4E54">
        <w:rPr>
          <w:rFonts w:ascii="Palatino Linotype" w:hAnsi="Palatino Linotype" w:cs="Arial"/>
          <w:sz w:val="24"/>
        </w:rPr>
        <w:t>, en lo sucesivo</w:t>
      </w:r>
      <w:r w:rsidRPr="00B81A2B">
        <w:rPr>
          <w:rFonts w:ascii="Palatino Linotype" w:hAnsi="Palatino Linotype" w:cs="Arial"/>
          <w:sz w:val="24"/>
        </w:rPr>
        <w:t xml:space="preserve"> </w:t>
      </w:r>
      <w:r w:rsidR="00D1258C">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w:t>
      </w:r>
      <w:r w:rsidR="00E43C2B">
        <w:rPr>
          <w:rFonts w:ascii="Palatino Linotype" w:hAnsi="Palatino Linotype" w:cs="Arial"/>
          <w:sz w:val="24"/>
          <w:szCs w:val="24"/>
        </w:rPr>
        <w:t>l</w:t>
      </w:r>
      <w:r w:rsidRPr="00B81A2B">
        <w:rPr>
          <w:rFonts w:ascii="Palatino Linotype" w:hAnsi="Palatino Linotype" w:cs="Arial"/>
          <w:sz w:val="24"/>
          <w:szCs w:val="24"/>
        </w:rPr>
        <w:t xml:space="preserve"> </w:t>
      </w:r>
      <w:r w:rsidR="00CA3650" w:rsidRPr="00CA3650">
        <w:rPr>
          <w:rFonts w:ascii="Palatino Linotype" w:hAnsi="Palatino Linotype" w:cs="Arial"/>
          <w:b/>
          <w:sz w:val="24"/>
          <w:szCs w:val="24"/>
        </w:rPr>
        <w:t>Ayuntamiento de Tenancingo</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2722AA2F" w14:textId="030A6C53" w:rsidR="007007F9" w:rsidRDefault="00EE47DA" w:rsidP="007007F9">
      <w:pPr>
        <w:spacing w:after="0" w:line="360" w:lineRule="auto"/>
        <w:jc w:val="both"/>
        <w:rPr>
          <w:rFonts w:ascii="Palatino Linotype" w:eastAsia="Times New Roman" w:hAnsi="Palatino Linotype" w:cs="Times New Roman"/>
          <w:sz w:val="24"/>
          <w:szCs w:val="24"/>
          <w:lang w:eastAsia="es-ES"/>
        </w:rPr>
      </w:pPr>
      <w:r w:rsidRPr="00B81A2B">
        <w:rPr>
          <w:rFonts w:ascii="Palatino Linotype" w:hAnsi="Palatino Linotype" w:cs="Arial"/>
          <w:sz w:val="24"/>
        </w:rPr>
        <w:t xml:space="preserve">Con fecha </w:t>
      </w:r>
      <w:r w:rsidR="00CA3650">
        <w:rPr>
          <w:rFonts w:ascii="Palatino Linotype" w:hAnsi="Palatino Linotype" w:cs="Arial"/>
          <w:sz w:val="24"/>
        </w:rPr>
        <w:t>diecisiete de febrero de dos mil veinticinco</w:t>
      </w:r>
      <w:r w:rsidRPr="00B81A2B">
        <w:rPr>
          <w:rFonts w:ascii="Palatino Linotype" w:hAnsi="Palatino Linotype" w:cs="Arial"/>
          <w:sz w:val="24"/>
        </w:rPr>
        <w:t xml:space="preserve">, </w:t>
      </w:r>
      <w:r w:rsidR="00D1258C">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w:t>
      </w:r>
      <w:r w:rsidR="00D1258C" w:rsidRPr="00B81A2B">
        <w:rPr>
          <w:rFonts w:ascii="Palatino Linotype" w:hAnsi="Palatino Linotype" w:cs="Arial"/>
          <w:sz w:val="24"/>
        </w:rPr>
        <w:t>presentó a través del Sistema de Acceso a la Información Mexiquense (</w:t>
      </w:r>
      <w:r w:rsidR="00D1258C" w:rsidRPr="00B81A2B">
        <w:rPr>
          <w:rFonts w:ascii="Palatino Linotype" w:hAnsi="Palatino Linotype" w:cs="Arial"/>
          <w:b/>
          <w:sz w:val="24"/>
        </w:rPr>
        <w:t>SAIMEX</w:t>
      </w:r>
      <w:r w:rsidR="00D1258C" w:rsidRPr="00B81A2B">
        <w:rPr>
          <w:rFonts w:ascii="Palatino Linotype" w:hAnsi="Palatino Linotype" w:cs="Arial"/>
          <w:sz w:val="24"/>
        </w:rPr>
        <w:t xml:space="preserve">) ante </w:t>
      </w:r>
      <w:r w:rsidR="00D1258C" w:rsidRPr="00B81A2B">
        <w:rPr>
          <w:rFonts w:ascii="Palatino Linotype" w:hAnsi="Palatino Linotype" w:cs="Arial"/>
          <w:b/>
          <w:sz w:val="24"/>
        </w:rPr>
        <w:t>El Sujeto Obligado</w:t>
      </w:r>
      <w:r w:rsidR="00D1258C" w:rsidRPr="00B81A2B">
        <w:rPr>
          <w:rFonts w:ascii="Palatino Linotype" w:hAnsi="Palatino Linotype" w:cs="Arial"/>
          <w:sz w:val="24"/>
        </w:rPr>
        <w:t>, la solicitud de acceso a la información, registrada bajo el número de expediente</w:t>
      </w:r>
      <w:r w:rsidR="00D1258C" w:rsidRPr="00B81A2B">
        <w:rPr>
          <w:rFonts w:ascii="Palatino Linotype" w:hAnsi="Palatino Linotype" w:cs="Arial"/>
          <w:b/>
          <w:sz w:val="24"/>
        </w:rPr>
        <w:t xml:space="preserve"> </w:t>
      </w:r>
      <w:r w:rsidR="00CA3650" w:rsidRPr="00CA3650">
        <w:rPr>
          <w:rFonts w:ascii="Palatino Linotype" w:hAnsi="Palatino Linotype" w:cs="Arial"/>
          <w:b/>
          <w:sz w:val="24"/>
        </w:rPr>
        <w:t>00263/TENANCIN/IP/2025</w:t>
      </w:r>
      <w:r w:rsidR="00D1258C" w:rsidRPr="00B81A2B">
        <w:rPr>
          <w:rFonts w:ascii="Palatino Linotype" w:hAnsi="Palatino Linotype" w:cs="Arial"/>
          <w:sz w:val="24"/>
          <w:lang w:eastAsia="es-MX"/>
        </w:rPr>
        <w:t xml:space="preserve">, </w:t>
      </w:r>
      <w:r w:rsidR="00D1258C" w:rsidRPr="00B81A2B">
        <w:rPr>
          <w:rFonts w:ascii="Palatino Linotype" w:hAnsi="Palatino Linotype" w:cs="Arial"/>
          <w:sz w:val="24"/>
        </w:rPr>
        <w:t>mediante la cual solicitó lo siguiente</w:t>
      </w:r>
      <w:r w:rsidR="007007F9" w:rsidRPr="004C2166">
        <w:rPr>
          <w:rFonts w:ascii="Palatino Linotype" w:eastAsia="Times New Roman" w:hAnsi="Palatino Linotype" w:cs="Times New Roman"/>
          <w:sz w:val="24"/>
          <w:szCs w:val="24"/>
          <w:lang w:eastAsia="es-ES"/>
        </w:rPr>
        <w:t>:</w:t>
      </w:r>
    </w:p>
    <w:p w14:paraId="3FE15C54" w14:textId="77E7A3EA"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339F46B7"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CA3650" w:rsidRPr="00CA3650">
        <w:rPr>
          <w:rFonts w:ascii="Palatino Linotype" w:eastAsia="Calibri" w:hAnsi="Palatino Linotype" w:cs="Arial"/>
          <w:i/>
          <w:szCs w:val="24"/>
          <w:lang w:val="es-ES" w:eastAsia="es-ES"/>
        </w:rPr>
        <w:t>ME SEAN ENTREGADA DE MANERA ELECTRÓNICA COPIA DE LA PÓLIZA O FIANZA CONTRATADA POR EL TITULAR DE LA TESORERÍA MUNICIPAL DEL AYUNTAMIENTO DE TENANCINGO, MÉXICO 2025-2027, PARA CAUCIONAR EL MANEJO DE LOS FONDOS MUNICIPALES.</w:t>
      </w:r>
      <w:r w:rsidRPr="00B81A2B">
        <w:rPr>
          <w:rFonts w:ascii="Palatino Linotype" w:eastAsia="Calibri" w:hAnsi="Palatino Linotype" w:cs="Arial"/>
          <w:i/>
          <w:szCs w:val="24"/>
          <w:lang w:val="es-ES" w:eastAsia="es-ES"/>
        </w:rPr>
        <w:t>” (Sic.)</w:t>
      </w:r>
    </w:p>
    <w:p w14:paraId="59E1489B" w14:textId="77777777"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081B732" w14:textId="77777777" w:rsidR="00785523" w:rsidRPr="00B81A2B"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6287574" w14:textId="0068B06D" w:rsidR="00BB674A" w:rsidRDefault="00D1258C" w:rsidP="007007F9">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Pr="00B81A2B">
        <w:rPr>
          <w:rFonts w:ascii="Palatino Linotype" w:eastAsia="Times New Roman" w:hAnsi="Palatino Linotype" w:cs="Times New Roman"/>
          <w:sz w:val="24"/>
          <w:szCs w:val="24"/>
          <w:lang w:val="es-ES_tradnl" w:eastAsia="es-ES"/>
        </w:rPr>
        <w:t xml:space="preserve">: A través del </w:t>
      </w:r>
      <w:r w:rsidRPr="00B81A2B">
        <w:rPr>
          <w:rFonts w:ascii="Palatino Linotype" w:eastAsia="Times New Roman" w:hAnsi="Palatino Linotype" w:cs="Times New Roman"/>
          <w:b/>
          <w:sz w:val="24"/>
          <w:szCs w:val="24"/>
          <w:lang w:val="es-ES_tradnl" w:eastAsia="es-ES"/>
        </w:rPr>
        <w:t>SAIMEX</w:t>
      </w:r>
      <w:r w:rsidRPr="00B81A2B">
        <w:rPr>
          <w:rFonts w:ascii="Palatino Linotype" w:eastAsia="Times New Roman" w:hAnsi="Palatino Linotype" w:cs="Times New Roman"/>
          <w:sz w:val="24"/>
          <w:szCs w:val="24"/>
          <w:lang w:val="es-ES_tradnl" w:eastAsia="es-ES"/>
        </w:rPr>
        <w:t>.</w:t>
      </w:r>
    </w:p>
    <w:p w14:paraId="67D16D55" w14:textId="77777777" w:rsidR="00BB674A" w:rsidRPr="00547434"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SEGUNDO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20CF610" w14:textId="1C6ADD80" w:rsidR="004F61AC" w:rsidRPr="00B81A2B" w:rsidRDefault="004F61AC" w:rsidP="004F61AC">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en fecha </w:t>
      </w:r>
      <w:r w:rsidR="00CA3650">
        <w:rPr>
          <w:rFonts w:ascii="Palatino Linotype" w:hAnsi="Palatino Linotype" w:cs="Arial"/>
          <w:sz w:val="24"/>
        </w:rPr>
        <w:t>veintiocho de febrero de dos mil veinticinco</w:t>
      </w:r>
      <w:r w:rsidRPr="00B81A2B">
        <w:rPr>
          <w:rFonts w:ascii="Palatino Linotype" w:hAnsi="Palatino Linotype" w:cs="Arial"/>
          <w:sz w:val="24"/>
        </w:rPr>
        <w:t xml:space="preserve">, </w:t>
      </w:r>
      <w:r w:rsidRPr="00B81A2B">
        <w:rPr>
          <w:rFonts w:ascii="Palatino Linotype" w:hAnsi="Palatino Linotype" w:cs="Arial"/>
          <w:sz w:val="24"/>
          <w:szCs w:val="24"/>
        </w:rPr>
        <w:t>dio respuesta a la solicitud de información señalando lo siguiente:</w:t>
      </w:r>
    </w:p>
    <w:p w14:paraId="36489064" w14:textId="77777777" w:rsidR="004F61AC" w:rsidRPr="00B81A2B" w:rsidRDefault="004F61AC" w:rsidP="004F61AC">
      <w:pPr>
        <w:pStyle w:val="Sinespaciado"/>
        <w:rPr>
          <w:sz w:val="14"/>
        </w:rPr>
      </w:pPr>
    </w:p>
    <w:p w14:paraId="40992A91" w14:textId="77777777" w:rsidR="00CA3650" w:rsidRPr="00CA3650" w:rsidRDefault="004F61AC" w:rsidP="00CA3650">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CA3650" w:rsidRPr="00CA3650">
        <w:rPr>
          <w:rFonts w:ascii="Palatino Linotype" w:hAnsi="Palatino Linotype" w:cs="Arial"/>
          <w:i/>
        </w:rPr>
        <w:t xml:space="preserve">Folio de la solicitud: </w:t>
      </w:r>
      <w:r w:rsidR="00CA3650" w:rsidRPr="00CA3650">
        <w:rPr>
          <w:rFonts w:ascii="Palatino Linotype" w:hAnsi="Palatino Linotype" w:cs="Arial"/>
          <w:b/>
          <w:bCs/>
          <w:i/>
          <w:u w:val="single"/>
        </w:rPr>
        <w:t>00263/TENANCIN/IP/2025</w:t>
      </w:r>
    </w:p>
    <w:p w14:paraId="29E07B86" w14:textId="77777777" w:rsidR="00CA3650" w:rsidRDefault="00CA3650" w:rsidP="00CA3650">
      <w:pPr>
        <w:spacing w:after="0" w:line="240" w:lineRule="auto"/>
        <w:ind w:left="567" w:right="708"/>
        <w:jc w:val="right"/>
        <w:rPr>
          <w:rFonts w:ascii="Palatino Linotype" w:hAnsi="Palatino Linotype" w:cs="Arial"/>
          <w:i/>
        </w:rPr>
      </w:pPr>
    </w:p>
    <w:p w14:paraId="4F02C954" w14:textId="5327687E" w:rsidR="00CA3650" w:rsidRPr="00CA3650" w:rsidRDefault="00CA3650" w:rsidP="00CA3650">
      <w:pPr>
        <w:spacing w:after="0" w:line="240" w:lineRule="auto"/>
        <w:ind w:left="567" w:right="708"/>
        <w:jc w:val="both"/>
        <w:rPr>
          <w:rFonts w:ascii="Palatino Linotype" w:hAnsi="Palatino Linotype" w:cs="Arial"/>
          <w:i/>
        </w:rPr>
      </w:pPr>
      <w:r w:rsidRPr="00CA3650">
        <w:rPr>
          <w:rFonts w:ascii="Palatino Linotype" w:hAnsi="Palatino Linotype" w:cs="Arial"/>
          <w:i/>
        </w:rPr>
        <w:t xml:space="preserve">C. SOLICITANTE DE INFORMACIÓN. PRESENTE. En atención a su solicitud de información recibida a través del Sistema de Acceso a la Información Mexiquense (SAIMEX), identificada con el número 00263/TENANCIN/IP/2025; en la cual solicita información relacionada con lo siguiente: “ME SEAN ENTREGADA DE MANERA ELECTRÓNICA COPIA DE LA PÓLIZA O FIANZA CONTRATADA POR EL TITULAR DE LA TESORERÍA MUNICIPAL DEL AYUNTAMIENTO DE TENANCINGO, MÉXICO 2025-2027, PARA CAUCIONAR EL MANEJO DE LOS FONDOS MUNICIPALES.” (sic). Al respecto, me permito comentarle que de acuerdo con lo establecido por el articulo 4 primer párrafo de la Ley de Transparencia y Acceso a la Información Pública del Estado de México y Municipios, indica: "Artículo 4. El derecho humano de acceso a la información pública es la prerrogativa de las personas para buscar, difundir, investigar, recabar, recibir y solicitar información pública, sin necesidad de acreditar personalidad ni interés jurídico.” Subsecuentemente, el articulo 12 segundo párrafo de la Ley de Transparencia y Acceso a la Información Pública del Estado de México y Municipios, disponen lo siguiente: "Artículo 12. Los sujetos obligados solo proporcionaran la información pública que se les requiera y que obre en sus archivos y en el estado en que ésta se encuentre. La obligación de proporcionar información no comprende el procesamiento de la misma, ni el presentarla con forme al interés del solicitante; no estarán obligados a generarla, resumirla, efectuar cálculos o practicar investigaciones. Por lo anterior, los artículos 50 y 51 de la Ley de Transparencia y Acceso a la información Pública del Estado de México y Municipios, establecen que los sujetos obligados contarán con un área responsable para la atención de las solicitudes de información, a la que se le denominará Unidad de Transparencia; asimismo, que los sujetos obligados designaran a un responsable para atender la Unidad de Transparencia, quien fungirá coma enlace entre éstos y los solicitantes. Dicha Unidad será la encargada de tramitar internamente la solicitud de información y tendrá la responsabilidad de verificar en cada caso que la misma no sea confidencial o reservada. La Unidad de Transparencia contará con las facultades internas necesarias para gestionar la atención a las solicitudes de información en los términos de la Ley General de Transparencia y </w:t>
      </w:r>
      <w:r w:rsidRPr="00CA3650">
        <w:rPr>
          <w:rFonts w:ascii="Palatino Linotype" w:hAnsi="Palatino Linotype" w:cs="Arial"/>
          <w:i/>
        </w:rPr>
        <w:lastRenderedPageBreak/>
        <w:t xml:space="preserve">Acceso a la información Pública y la Ley de Transparencia y Acceso a la información Pública del Estado de México y Municipios. En virtud de lo anterior, </w:t>
      </w:r>
      <w:r w:rsidRPr="00CA3650">
        <w:rPr>
          <w:rFonts w:ascii="Palatino Linotype" w:hAnsi="Palatino Linotype" w:cs="Arial"/>
          <w:b/>
          <w:bCs/>
          <w:i/>
          <w:u w:val="single"/>
        </w:rPr>
        <w:t>adjunto al presente se servirá encontrar el oficio de respuesta que emite el Tesorero del Ayuntamiento de Tenancingo</w:t>
      </w:r>
      <w:r w:rsidRPr="00CA3650">
        <w:rPr>
          <w:rFonts w:ascii="Palatino Linotype" w:hAnsi="Palatino Linotype" w:cs="Arial"/>
          <w:i/>
        </w:rPr>
        <w:t>, Estado de México. Sin otro particular, reciba un cordial saludo.</w:t>
      </w:r>
    </w:p>
    <w:p w14:paraId="35B51FF4" w14:textId="77777777" w:rsidR="00CA3650" w:rsidRDefault="00CA3650" w:rsidP="00CA3650">
      <w:pPr>
        <w:spacing w:after="0" w:line="240" w:lineRule="auto"/>
        <w:ind w:left="567" w:right="708"/>
        <w:jc w:val="both"/>
        <w:rPr>
          <w:rFonts w:ascii="Palatino Linotype" w:hAnsi="Palatino Linotype" w:cs="Arial"/>
          <w:i/>
        </w:rPr>
      </w:pPr>
    </w:p>
    <w:p w14:paraId="38F26E63" w14:textId="23EF7DAD" w:rsidR="00CA3650" w:rsidRPr="00CA3650" w:rsidRDefault="00CA3650" w:rsidP="00CA3650">
      <w:pPr>
        <w:spacing w:after="0" w:line="240" w:lineRule="auto"/>
        <w:ind w:left="567" w:right="708"/>
        <w:jc w:val="both"/>
        <w:rPr>
          <w:rFonts w:ascii="Palatino Linotype" w:hAnsi="Palatino Linotype" w:cs="Arial"/>
          <w:i/>
        </w:rPr>
      </w:pPr>
      <w:r w:rsidRPr="00CA3650">
        <w:rPr>
          <w:rFonts w:ascii="Palatino Linotype" w:hAnsi="Palatino Linotype" w:cs="Arial"/>
          <w:i/>
        </w:rPr>
        <w:t>ATENTAMENTE</w:t>
      </w:r>
    </w:p>
    <w:p w14:paraId="5D527261" w14:textId="4781A1C2" w:rsidR="00824BD0" w:rsidRPr="00824BD0" w:rsidRDefault="00CA3650" w:rsidP="00CA3650">
      <w:pPr>
        <w:spacing w:after="0" w:line="240" w:lineRule="auto"/>
        <w:ind w:left="567" w:right="708"/>
        <w:jc w:val="both"/>
        <w:rPr>
          <w:rFonts w:ascii="Palatino Linotype" w:hAnsi="Palatino Linotype" w:cs="Arial"/>
          <w:i/>
        </w:rPr>
      </w:pPr>
      <w:r w:rsidRPr="00CA3650">
        <w:rPr>
          <w:rFonts w:ascii="Palatino Linotype" w:hAnsi="Palatino Linotype" w:cs="Arial"/>
          <w:i/>
        </w:rPr>
        <w:t>LIC. KAREN ALONDRA MEJÍA GUARDIAN</w:t>
      </w:r>
      <w:r w:rsidR="004F61AC" w:rsidRPr="00B81A2B">
        <w:rPr>
          <w:rFonts w:ascii="Palatino Linotype" w:hAnsi="Palatino Linotype" w:cs="Arial"/>
          <w:i/>
        </w:rPr>
        <w:t>” (Sic).</w:t>
      </w:r>
    </w:p>
    <w:p w14:paraId="47E599D2" w14:textId="77777777" w:rsidR="004F61AC" w:rsidRDefault="004F61AC" w:rsidP="007007F9">
      <w:pPr>
        <w:spacing w:after="0" w:line="360" w:lineRule="auto"/>
        <w:jc w:val="both"/>
        <w:rPr>
          <w:rFonts w:ascii="Palatino Linotype" w:eastAsia="Times New Roman" w:hAnsi="Palatino Linotype" w:cs="Times New Roman"/>
          <w:bCs/>
          <w:sz w:val="24"/>
          <w:szCs w:val="24"/>
          <w:lang w:val="es-ES_tradnl" w:eastAsia="es-ES"/>
        </w:rPr>
      </w:pPr>
    </w:p>
    <w:p w14:paraId="32306499" w14:textId="67FFBE70" w:rsidR="00FC0A96" w:rsidRPr="007007F9" w:rsidRDefault="007007F9" w:rsidP="007007F9">
      <w:pPr>
        <w:spacing w:after="0" w:line="360" w:lineRule="auto"/>
        <w:jc w:val="both"/>
        <w:rPr>
          <w:rFonts w:ascii="Palatino Linotype" w:eastAsia="Times New Roman" w:hAnsi="Palatino Linotype" w:cs="Times New Roman"/>
          <w:bCs/>
          <w:sz w:val="24"/>
          <w:szCs w:val="24"/>
          <w:lang w:val="es-ES_tradnl" w:eastAsia="es-ES"/>
        </w:rPr>
      </w:pPr>
      <w:r w:rsidRPr="00785523">
        <w:rPr>
          <w:rFonts w:ascii="Palatino Linotype" w:eastAsia="Times New Roman" w:hAnsi="Palatino Linotype" w:cs="Times New Roman"/>
          <w:bCs/>
          <w:sz w:val="24"/>
          <w:szCs w:val="24"/>
          <w:lang w:val="es-ES_tradnl" w:eastAsia="es-ES"/>
        </w:rPr>
        <w:t xml:space="preserve">El Sujeto Obligado anexó a la respuesta </w:t>
      </w:r>
      <w:r>
        <w:rPr>
          <w:rFonts w:ascii="Palatino Linotype" w:eastAsia="Times New Roman" w:hAnsi="Palatino Linotype" w:cs="Times New Roman"/>
          <w:bCs/>
          <w:sz w:val="24"/>
          <w:szCs w:val="24"/>
          <w:lang w:val="es-ES_tradnl" w:eastAsia="es-ES"/>
        </w:rPr>
        <w:t>el</w:t>
      </w:r>
      <w:r w:rsidRPr="00785523">
        <w:rPr>
          <w:rFonts w:ascii="Palatino Linotype" w:eastAsia="Times New Roman" w:hAnsi="Palatino Linotype" w:cs="Times New Roman"/>
          <w:bCs/>
          <w:sz w:val="24"/>
          <w:szCs w:val="24"/>
          <w:lang w:val="es-ES_tradnl" w:eastAsia="es-ES"/>
        </w:rPr>
        <w:t xml:space="preserve"> documento denominado “</w:t>
      </w:r>
      <w:r w:rsidR="00CA3650" w:rsidRPr="00CA3650">
        <w:rPr>
          <w:rFonts w:ascii="Palatino Linotype" w:eastAsia="Times New Roman" w:hAnsi="Palatino Linotype" w:cs="Times New Roman"/>
          <w:b/>
          <w:sz w:val="24"/>
          <w:szCs w:val="24"/>
          <w:lang w:val="es-ES_tradnl" w:eastAsia="es-ES"/>
        </w:rPr>
        <w:t>Contestación 00263 Tesorería.pdf</w:t>
      </w:r>
      <w:r w:rsidRPr="00785523">
        <w:rPr>
          <w:rFonts w:ascii="Palatino Linotype" w:eastAsia="Times New Roman" w:hAnsi="Palatino Linotype" w:cs="Times New Roman"/>
          <w:bCs/>
          <w:sz w:val="24"/>
          <w:szCs w:val="24"/>
          <w:lang w:val="es-ES_tradnl" w:eastAsia="es-ES"/>
        </w:rPr>
        <w:t xml:space="preserve">”, </w:t>
      </w:r>
      <w:r>
        <w:rPr>
          <w:rFonts w:ascii="Palatino Linotype" w:eastAsia="Times New Roman" w:hAnsi="Palatino Linotype" w:cs="Times New Roman"/>
          <w:bCs/>
          <w:sz w:val="24"/>
          <w:szCs w:val="24"/>
          <w:lang w:val="es-ES_tradnl" w:eastAsia="es-ES"/>
        </w:rPr>
        <w:t>el</w:t>
      </w:r>
      <w:r w:rsidRPr="00785523">
        <w:rPr>
          <w:rFonts w:ascii="Palatino Linotype" w:eastAsia="Times New Roman" w:hAnsi="Palatino Linotype" w:cs="Times New Roman"/>
          <w:bCs/>
          <w:sz w:val="24"/>
          <w:szCs w:val="24"/>
          <w:lang w:val="es-ES_tradnl" w:eastAsia="es-ES"/>
        </w:rPr>
        <w:t xml:space="preserve"> cual no se reproduce por ser del conocimiento de las partes; no obstante, se hará el análisis de su contenido en el estudio correspondiente.</w:t>
      </w:r>
    </w:p>
    <w:p w14:paraId="617C2372" w14:textId="77777777" w:rsidR="007007F9" w:rsidRDefault="007007F9" w:rsidP="00FC0A96">
      <w:pPr>
        <w:pStyle w:val="Sinespaciado"/>
      </w:pPr>
    </w:p>
    <w:p w14:paraId="340F59AA" w14:textId="77777777" w:rsidR="007007F9" w:rsidRPr="00B81A2B" w:rsidRDefault="007007F9" w:rsidP="00FC0A96">
      <w:pPr>
        <w:pStyle w:val="Sinespaciado"/>
      </w:pPr>
    </w:p>
    <w:p w14:paraId="058FFE5A" w14:textId="71487269"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2F462890"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4F61AC">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CA3650">
        <w:rPr>
          <w:rFonts w:ascii="Palatino Linotype" w:hAnsi="Palatino Linotype" w:cs="Arial"/>
          <w:sz w:val="24"/>
          <w:szCs w:val="24"/>
        </w:rPr>
        <w:t>tres de marzo de dos mil veinticinco</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CA3650" w:rsidRPr="00CA3650">
        <w:rPr>
          <w:rFonts w:ascii="Palatino Linotype" w:hAnsi="Palatino Linotype" w:cs="Arial"/>
          <w:b/>
          <w:bCs/>
          <w:sz w:val="24"/>
          <w:szCs w:val="24"/>
          <w:lang w:eastAsia="es-MX"/>
        </w:rPr>
        <w:t>02390/INFOEM/IP/RR/2025</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D37638">
      <w:pPr>
        <w:pStyle w:val="Prrafodelista"/>
        <w:numPr>
          <w:ilvl w:val="0"/>
          <w:numId w:val="2"/>
        </w:numPr>
        <w:jc w:val="both"/>
        <w:rPr>
          <w:rFonts w:ascii="Palatino Linotype" w:hAnsi="Palatino Linotype" w:cs="Arial"/>
          <w:b/>
        </w:rPr>
      </w:pPr>
      <w:r w:rsidRPr="00B81A2B">
        <w:rPr>
          <w:rFonts w:ascii="Palatino Linotype" w:hAnsi="Palatino Linotype" w:cs="Arial"/>
          <w:b/>
        </w:rPr>
        <w:t>Acto Impugnado:</w:t>
      </w:r>
    </w:p>
    <w:p w14:paraId="2E7ACB7D" w14:textId="12CD8DE5"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CA3650" w:rsidRPr="00CA3650">
        <w:rPr>
          <w:rFonts w:ascii="Palatino Linotype" w:hAnsi="Palatino Linotype"/>
          <w:i/>
          <w:color w:val="000000"/>
        </w:rPr>
        <w:t xml:space="preserve">La falta de entrega de la información solicitada, puesto que </w:t>
      </w:r>
      <w:r w:rsidR="00CA3650" w:rsidRPr="00CA3650">
        <w:rPr>
          <w:rFonts w:ascii="Palatino Linotype" w:hAnsi="Palatino Linotype"/>
          <w:i/>
          <w:color w:val="000000"/>
          <w:u w:val="single"/>
        </w:rPr>
        <w:t>la información entregada no fue la solicitada o bien fue entregada incompleta</w:t>
      </w:r>
      <w:r w:rsidR="00CA3650" w:rsidRPr="00CA3650">
        <w:rPr>
          <w:rFonts w:ascii="Palatino Linotype" w:hAnsi="Palatino Linotype"/>
          <w:i/>
          <w:color w:val="000000"/>
        </w:rPr>
        <w:t xml:space="preserve"> como se desprende de mi solicitud de información presentada a través de SAIMEX registrada con número de folio 00263/TENANCIN/IP/2025</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D37638">
      <w:pPr>
        <w:pStyle w:val="Prrafodelista"/>
        <w:numPr>
          <w:ilvl w:val="0"/>
          <w:numId w:val="2"/>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68C2ADD0" w14:textId="5E3FDFD0" w:rsidR="003811F8" w:rsidRPr="00123EF6" w:rsidRDefault="004F61AC" w:rsidP="00123EF6">
      <w:pPr>
        <w:pStyle w:val="Prrafodelista"/>
        <w:ind w:left="720" w:right="850"/>
        <w:jc w:val="both"/>
        <w:rPr>
          <w:rFonts w:ascii="Palatino Linotype" w:hAnsi="Palatino Linotype"/>
          <w:i/>
          <w:color w:val="000000"/>
        </w:rPr>
      </w:pPr>
      <w:r w:rsidRPr="004F61AC">
        <w:rPr>
          <w:rFonts w:ascii="Palatino Linotype" w:hAnsi="Palatino Linotype"/>
          <w:i/>
          <w:color w:val="000000"/>
        </w:rPr>
        <w:t>“</w:t>
      </w:r>
      <w:r w:rsidR="00CA3650" w:rsidRPr="00CA3650">
        <w:rPr>
          <w:rFonts w:ascii="Palatino Linotype" w:hAnsi="Palatino Linotype"/>
          <w:i/>
          <w:color w:val="000000"/>
        </w:rPr>
        <w:t xml:space="preserve">Tal parece que el Tesorero Municipal del Ayuntamiento de Tenancingo, México y la responsable de la unidad de información del Ayuntamiento de Tenancingo, México, pretenden burlarse de la ciudadanía que solicita información pública, ya que únicamente acompañan como respuesta a la solicitud de información presentada por el suscrito, unas hojas con cláusulas que al parecer corresponden a un contrato de fianza, sin embargo, </w:t>
      </w:r>
      <w:r w:rsidR="00CA3650" w:rsidRPr="00CA3650">
        <w:rPr>
          <w:rFonts w:ascii="Palatino Linotype" w:hAnsi="Palatino Linotype"/>
          <w:i/>
          <w:color w:val="000000"/>
          <w:u w:val="single"/>
        </w:rPr>
        <w:t xml:space="preserve">no existe la </w:t>
      </w:r>
      <w:r w:rsidR="00CA3650" w:rsidRPr="00CA3650">
        <w:rPr>
          <w:rFonts w:ascii="Palatino Linotype" w:hAnsi="Palatino Linotype"/>
          <w:i/>
          <w:color w:val="000000"/>
          <w:u w:val="single"/>
        </w:rPr>
        <w:lastRenderedPageBreak/>
        <w:t>certeza de que dicho clausulado corresponde a la póliza o fianza contratada por el titular de la tesorería municipal del Ayuntamiento 2025-2027</w:t>
      </w:r>
      <w:r w:rsidR="00CA3650" w:rsidRPr="00CA3650">
        <w:rPr>
          <w:rFonts w:ascii="Palatino Linotype" w:hAnsi="Palatino Linotype"/>
          <w:i/>
          <w:color w:val="000000"/>
        </w:rPr>
        <w:t xml:space="preserve"> del Tenancingo, México, ya que ni siquiera aparece la fecha de contratación de la póliza o fianza, a favor de quien está contratada, ni la temporalidad de la vigencia de la misma. </w:t>
      </w:r>
      <w:r w:rsidR="00CA3650" w:rsidRPr="00CA3650">
        <w:rPr>
          <w:rFonts w:ascii="Palatino Linotype" w:hAnsi="Palatino Linotype"/>
          <w:i/>
          <w:color w:val="000000"/>
          <w:u w:val="single"/>
        </w:rPr>
        <w:t>Bajo este contexto lo que el suscrito solicita o requiero es acceder al contrato por medio del cual el titular de la Tesorería Municipal del Ayuntamiento de Tenancingo, México 2025-2027 se compromete con un acreedor a pagar, es decir, se trata de un contrato en virtud del cual una institución de fianzas</w:t>
      </w:r>
      <w:r w:rsidR="00CA3650" w:rsidRPr="00CA3650">
        <w:rPr>
          <w:rFonts w:ascii="Palatino Linotype" w:hAnsi="Palatino Linotype"/>
          <w:i/>
          <w:color w:val="000000"/>
        </w:rPr>
        <w:t xml:space="preserve">, se compromete a garantizar el cumplimiento de obligaciones con contenido económico, contraídas por una persona física o moral ante otra persona física o moral privada o pública, en caso de que aquella no cumpla, con la obligación contraída. donde se pueda apreciar la Institución financiera en la que fue contratada la fianza o póliza, la fecha de contratación de la póliza o fianza, las obligaciones que se afianzan, a favor de quien está contratada,la temporalidad de la vigencia de la misma, para que exista la certeza de que efectivamente se esta cumpliendo con lo dispuesto en la ley. Lo anterior es relevante en virtud de que la tesorería municipal es el órgano encargado de la recaudación de los ingresos municipales y la responsable de realizar las erogaciones que haga el ayuntamiento, por lo que tendrá como titular un tesorero (a) municipal que al tomar posesión en su cargo recibirá la hacienda pública de acuerdo con las previsiones previstas en la Ley de referencia; dicho servidor público tendrá diversas facultades relacionadas con el ejercicio y custodia de los recursos públicos, por lo que para desempeñarse en el cargo deberá cumplimentar los requisitos previstos en el siguiente artículo: Artículo 96.- Para ser tesorero municipal se requiere, además de los requisitos del artículos 32 de esta Ley: 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 II. Caucionar el manejo de los fondos municipales, por un monto equivalente </w:t>
      </w:r>
      <w:r w:rsidR="00CA3650" w:rsidRPr="00CA3650">
        <w:rPr>
          <w:rFonts w:ascii="Palatino Linotype" w:hAnsi="Palatino Linotype"/>
          <w:i/>
          <w:color w:val="000000"/>
        </w:rPr>
        <w:lastRenderedPageBreak/>
        <w:t xml:space="preserve">al uno al millar del importe correspondiente a los ingresos propios del municipio y las participaciones que en ingresos federales y estatales le correspondieron en el ejercicio inmediato anterior; III. Derogada IV. Cumplir con otros requisitos que señalen las leyes, o acuerde el ayuntamiento. De la referencia jurídica anterior, se puede observar que para ser Tesorero Municipal entre otros requisitos se debe caucionar el manejo de los fondos Municipales, entendida la caución, de acuerdo con el Diccionario de la Lengua Española, como “la garantía que presta una persona u otra en su lugar para asegurar el cumplimiento de una obligación actual o eventual”, es decir que se trata de una garantía económica que deberá presentar la persona que se vaya a desempeñar como Tesorero Municipal. De tal suerte que NO EXISTE UNA DEBIDA FUNDAMENTACIÓN Y MOTIVACIÓN DEL PORQUE NO SE ENTREGA LA INFORMACIÓN TAL Y COMO FUE SOLICITADA. Sin que se pudiera alegar en su caso que contiene información reservada o confidencial, ya que para satisfacer el derecho de acceso a la información pública del particular, la Unidad de Transparencia en conjunto con el Servidor Público Habilitado que remitió la información, debieron realizar un análisis de la póliza o fianza contratada para verificar la procedencia de su entrega en una versión pública por contener datos personales, que de acuerdo con la Ley de Transparencia y Acceso a la Información Pública del Estado de México son información de carácter Por lo anterior, se puede advertir que el Titular de la Unidad de Transparencia del Sujeto Obligado desconoce las normas y procedimientos que se deben seguir para brindar atención a las solicitudes de información que le sean formuladas, ya que la Ley es clara al referir que cuando un mismo medio, impreso o electrónico, contenga información pública y reservada o confidencial, la Unidad de Transparencia para efectos de atender una solicitud de información, deberá elaborar una versión pública en la que se testen las partes.o secciones clasificadas, indicando su contenido de manera genérica y fundando y motivando su clasificación, misma que de acuerdo con el procedimiento de clasificación previsto en la norma especializada, se deberá llevar a cabo en el momento en que se generen las versiones públicas para dar cumplimiento a las obligaciones de transparencia por medio de una resolución del Comité de Transparencia del Sujeto Obligado en donde se justifique la supresión de los datos. </w:t>
      </w:r>
      <w:r w:rsidR="00CA3650" w:rsidRPr="003A2DCA">
        <w:rPr>
          <w:rFonts w:ascii="Palatino Linotype" w:hAnsi="Palatino Linotype"/>
          <w:i/>
          <w:color w:val="000000"/>
          <w:u w:val="single"/>
        </w:rPr>
        <w:t>Por lo que la información diferente o incompleta presentada por el sujeto obligado es una burla y una práctica o táctica dilatoria para evitar que el suscrito acceda a la información pública solicitada</w:t>
      </w:r>
      <w:r w:rsidR="00CA3650" w:rsidRPr="00CA3650">
        <w:rPr>
          <w:rFonts w:ascii="Palatino Linotype" w:hAnsi="Palatino Linotype"/>
          <w:i/>
          <w:color w:val="000000"/>
        </w:rPr>
        <w:t xml:space="preserve">. Por lo que </w:t>
      </w:r>
      <w:r w:rsidR="00CA3650" w:rsidRPr="00CA3650">
        <w:rPr>
          <w:rFonts w:ascii="Palatino Linotype" w:hAnsi="Palatino Linotype"/>
          <w:i/>
          <w:color w:val="000000"/>
        </w:rPr>
        <w:lastRenderedPageBreak/>
        <w:t xml:space="preserve">a consideración del suscrito el sujeto obligado a través de la coordinadora de transparencia LIC. KAREN ALONDRA MEJIA GUARDIAN, se está conduciendo con deslealtad, dolo y mala fe al negárseme la información solicitada o en el mejor de los casos al hacer uso de esta práctica dilatoria. </w:t>
      </w:r>
      <w:r w:rsidR="00CA3650" w:rsidRPr="003A2DCA">
        <w:rPr>
          <w:rFonts w:ascii="Palatino Linotype" w:hAnsi="Palatino Linotype"/>
          <w:i/>
          <w:color w:val="000000"/>
          <w:u w:val="single"/>
        </w:rPr>
        <w:t xml:space="preserve">Por lo que en su momento considero deberá hacerlo del conocimiento del órgano de control interno del Ayuntamiento de Tenancingo, México para que éste inicie el procedimiento de responsabilidad respectivo </w:t>
      </w:r>
      <w:r w:rsidR="00CA3650" w:rsidRPr="00CA3650">
        <w:rPr>
          <w:rFonts w:ascii="Palatino Linotype" w:hAnsi="Palatino Linotype"/>
          <w:i/>
          <w:color w:val="000000"/>
        </w:rPr>
        <w:t>Bajo este contexto se debe declarar procedente el recurso de revisión interpuesto y ordenar al sujeto obligado haga entrega de la información pública en los términos solicitados.</w:t>
      </w:r>
      <w:r w:rsidRPr="004F61AC">
        <w:rPr>
          <w:rFonts w:ascii="Palatino Linotype" w:hAnsi="Palatino Linotype"/>
          <w:i/>
          <w:color w:val="000000"/>
        </w:rPr>
        <w:t>" [Sic]</w:t>
      </w:r>
    </w:p>
    <w:p w14:paraId="02664F6E" w14:textId="77777777" w:rsidR="00404074" w:rsidRDefault="00404074" w:rsidP="00613213">
      <w:pPr>
        <w:spacing w:after="0" w:line="360" w:lineRule="auto"/>
        <w:jc w:val="both"/>
        <w:rPr>
          <w:rFonts w:ascii="Palatino Linotype" w:hAnsi="Palatino Linotype" w:cs="Arial"/>
          <w:sz w:val="24"/>
          <w:szCs w:val="24"/>
        </w:rPr>
      </w:pPr>
    </w:p>
    <w:p w14:paraId="2D9DE170" w14:textId="5D6B8F53"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1D17F1B9"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w:t>
      </w:r>
      <w:r w:rsidR="00D51F5D">
        <w:rPr>
          <w:rFonts w:ascii="Palatino Linotype" w:hAnsi="Palatino Linotype" w:cs="Arial"/>
          <w:sz w:val="24"/>
          <w:szCs w:val="24"/>
        </w:rPr>
        <w:t>l</w:t>
      </w:r>
      <w:r w:rsidR="008E64A8" w:rsidRPr="00B81A2B">
        <w:rPr>
          <w:rFonts w:ascii="Palatino Linotype" w:hAnsi="Palatino Linotype" w:cs="Arial"/>
          <w:sz w:val="24"/>
          <w:szCs w:val="24"/>
        </w:rPr>
        <w:t xml:space="preserve"> </w:t>
      </w:r>
      <w:r w:rsidR="008E64A8" w:rsidRPr="00824BD0">
        <w:rPr>
          <w:rFonts w:ascii="Palatino Linotype" w:hAnsi="Palatino Linotype" w:cs="Arial"/>
          <w:b/>
          <w:bCs/>
          <w:sz w:val="24"/>
          <w:szCs w:val="24"/>
        </w:rPr>
        <w:t>Comisionad</w:t>
      </w:r>
      <w:r w:rsidR="00D51F5D" w:rsidRPr="00824BD0">
        <w:rPr>
          <w:rFonts w:ascii="Palatino Linotype" w:hAnsi="Palatino Linotype" w:cs="Arial"/>
          <w:b/>
          <w:bCs/>
          <w:sz w:val="24"/>
          <w:szCs w:val="24"/>
        </w:rPr>
        <w:t>o</w:t>
      </w:r>
      <w:r w:rsidR="00824BD0" w:rsidRPr="00824BD0">
        <w:rPr>
          <w:rFonts w:ascii="Palatino Linotype" w:hAnsi="Palatino Linotype" w:cs="Arial"/>
          <w:b/>
          <w:bCs/>
          <w:sz w:val="24"/>
          <w:szCs w:val="24"/>
        </w:rPr>
        <w:t xml:space="preserve"> Presidente</w:t>
      </w:r>
      <w:r w:rsidRPr="00824BD0">
        <w:rPr>
          <w:rFonts w:ascii="Palatino Linotype" w:hAnsi="Palatino Linotype" w:cs="Arial"/>
          <w:b/>
          <w:bCs/>
          <w:sz w:val="24"/>
          <w:szCs w:val="24"/>
        </w:rPr>
        <w:t xml:space="preserve"> </w:t>
      </w:r>
      <w:r w:rsidR="00D51F5D" w:rsidRPr="00824BD0">
        <w:rPr>
          <w:rFonts w:ascii="Palatino Linotype" w:hAnsi="Palatino Linotype" w:cs="Arial"/>
          <w:b/>
          <w:bCs/>
          <w:sz w:val="24"/>
          <w:szCs w:val="24"/>
        </w:rPr>
        <w:t>José Martínez</w:t>
      </w:r>
      <w:r w:rsidR="00D51F5D">
        <w:rPr>
          <w:rFonts w:ascii="Palatino Linotype" w:hAnsi="Palatino Linotype" w:cs="Arial"/>
          <w:b/>
          <w:sz w:val="24"/>
          <w:szCs w:val="24"/>
        </w:rPr>
        <w:t xml:space="preserve"> Vilchis</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3A2DCA">
        <w:rPr>
          <w:rFonts w:ascii="Palatino Linotype" w:hAnsi="Palatino Linotype" w:cs="Arial"/>
          <w:sz w:val="24"/>
          <w:szCs w:val="24"/>
        </w:rPr>
        <w:t>siete de marzo de dos mil veinticinco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61B4119D"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41E9628A" w14:textId="6F489B50" w:rsidR="009F706A"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00336353">
        <w:rPr>
          <w:rFonts w:ascii="Palatino Linotype" w:hAnsi="Palatino Linotype" w:cs="Arial"/>
          <w:sz w:val="24"/>
          <w:szCs w:val="24"/>
        </w:rPr>
        <w:t xml:space="preserve"> </w:t>
      </w:r>
      <w:r w:rsidR="003A2DCA">
        <w:rPr>
          <w:rFonts w:ascii="Palatino Linotype" w:hAnsi="Palatino Linotype" w:cs="Arial"/>
          <w:sz w:val="24"/>
          <w:szCs w:val="24"/>
        </w:rPr>
        <w:t>dieciocho de marzo de dos mil veinticinco</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w:t>
      </w:r>
      <w:r w:rsidR="00404074">
        <w:rPr>
          <w:rFonts w:ascii="Palatino Linotype" w:hAnsi="Palatino Linotype" w:cs="Arial"/>
          <w:sz w:val="24"/>
          <w:szCs w:val="24"/>
        </w:rPr>
        <w:t>l</w:t>
      </w:r>
      <w:r w:rsidR="00347A1A">
        <w:rPr>
          <w:rFonts w:ascii="Palatino Linotype" w:hAnsi="Palatino Linotype" w:cs="Arial"/>
          <w:sz w:val="24"/>
          <w:szCs w:val="24"/>
        </w:rPr>
        <w:t xml:space="preserve"> </w:t>
      </w:r>
      <w:r w:rsidR="00347A1A" w:rsidRPr="003A2DCA">
        <w:rPr>
          <w:rFonts w:ascii="Palatino Linotype" w:hAnsi="Palatino Linotype" w:cs="Arial"/>
          <w:b/>
          <w:bCs/>
          <w:sz w:val="24"/>
          <w:szCs w:val="24"/>
        </w:rPr>
        <w:t>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3A2DCA">
        <w:rPr>
          <w:rFonts w:ascii="Palatino Linotype" w:hAnsi="Palatino Linotype" w:cs="Arial"/>
          <w:sz w:val="24"/>
          <w:szCs w:val="24"/>
        </w:rPr>
        <w:t>veintiuno de mayo de dos mil veinticinco</w:t>
      </w:r>
      <w:r w:rsidRPr="00B81A2B">
        <w:rPr>
          <w:rFonts w:ascii="Palatino Linotype" w:hAnsi="Palatino Linotype" w:cs="Arial"/>
          <w:sz w:val="24"/>
          <w:szCs w:val="24"/>
        </w:rPr>
        <w:t xml:space="preserve">, para que en un término de tres días </w:t>
      </w:r>
      <w:r w:rsidR="00404074">
        <w:rPr>
          <w:rFonts w:ascii="Palatino Linotype" w:hAnsi="Palatino Linotype" w:cs="Arial"/>
          <w:b/>
          <w:sz w:val="24"/>
          <w:szCs w:val="24"/>
        </w:rPr>
        <w:t>El</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404074">
        <w:rPr>
          <w:rFonts w:ascii="Palatino Linotype" w:hAnsi="Palatino Linotype"/>
          <w:b/>
          <w:sz w:val="24"/>
          <w:szCs w:val="24"/>
        </w:rPr>
        <w:t>El</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w:t>
      </w:r>
      <w:r w:rsidR="003A2DCA">
        <w:rPr>
          <w:rFonts w:ascii="Palatino Linotype" w:hAnsi="Palatino Linotype"/>
          <w:sz w:val="24"/>
          <w:szCs w:val="24"/>
        </w:rPr>
        <w:t xml:space="preserve"> no </w:t>
      </w:r>
      <w:r w:rsidR="00123EF6">
        <w:rPr>
          <w:rFonts w:ascii="Palatino Linotype" w:hAnsi="Palatino Linotype"/>
          <w:sz w:val="24"/>
          <w:szCs w:val="24"/>
        </w:rPr>
        <w:t>presentó</w:t>
      </w:r>
      <w:r w:rsidR="009F706A" w:rsidRPr="00B81A2B">
        <w:rPr>
          <w:rFonts w:ascii="Palatino Linotype" w:hAnsi="Palatino Linotype"/>
          <w:sz w:val="24"/>
          <w:szCs w:val="24"/>
        </w:rPr>
        <w:t xml:space="preserve"> sus manifestaciones respecto al informe justificado remitido por el </w:t>
      </w:r>
      <w:r w:rsidR="009F706A" w:rsidRPr="00B81A2B">
        <w:rPr>
          <w:rFonts w:ascii="Palatino Linotype" w:hAnsi="Palatino Linotype"/>
          <w:b/>
          <w:sz w:val="24"/>
          <w:szCs w:val="24"/>
        </w:rPr>
        <w:t>Sujeto Obligado</w:t>
      </w:r>
      <w:r w:rsidR="00D51F5D">
        <w:rPr>
          <w:rFonts w:ascii="Palatino Linotype" w:hAnsi="Palatino Linotype"/>
          <w:sz w:val="24"/>
          <w:szCs w:val="24"/>
        </w:rPr>
        <w:t xml:space="preserve">; </w:t>
      </w:r>
      <w:r w:rsidR="00D51F5D">
        <w:rPr>
          <w:rFonts w:ascii="Palatino Linotype" w:hAnsi="Palatino Linotype"/>
          <w:sz w:val="24"/>
          <w:szCs w:val="24"/>
        </w:rPr>
        <w:lastRenderedPageBreak/>
        <w:t>f</w:t>
      </w:r>
      <w:r w:rsidR="009F706A" w:rsidRPr="00B81A2B">
        <w:rPr>
          <w:rFonts w:ascii="Palatino Linotype" w:hAnsi="Palatino Linotype"/>
          <w:sz w:val="24"/>
          <w:szCs w:val="24"/>
        </w:rPr>
        <w:t>inalmente se advierte de las constancias que integran el presente expediente, que no existe prueba alguna que deba desahogarse</w:t>
      </w:r>
      <w:r w:rsidR="00D51F5D">
        <w:rPr>
          <w:rFonts w:ascii="Palatino Linotype" w:hAnsi="Palatino Linotype"/>
          <w:sz w:val="24"/>
          <w:szCs w:val="24"/>
        </w:rPr>
        <w:t>.</w:t>
      </w:r>
    </w:p>
    <w:p w14:paraId="633DDD8C" w14:textId="5769232B" w:rsidR="000F2312" w:rsidRDefault="000F2312" w:rsidP="00613213">
      <w:pPr>
        <w:spacing w:after="0" w:line="360" w:lineRule="auto"/>
        <w:jc w:val="both"/>
        <w:rPr>
          <w:rFonts w:ascii="Palatino Linotype" w:hAnsi="Palatino Linotype" w:cs="Arial"/>
          <w:sz w:val="24"/>
          <w:szCs w:val="24"/>
        </w:rPr>
      </w:pPr>
    </w:p>
    <w:p w14:paraId="2BEB3770" w14:textId="73C5F4B3" w:rsidR="000F2312" w:rsidRDefault="00757487" w:rsidP="000F2312">
      <w:pPr>
        <w:spacing w:line="360" w:lineRule="auto"/>
        <w:rPr>
          <w:rFonts w:ascii="Palatino Linotype" w:hAnsi="Palatino Linotype"/>
          <w:b/>
          <w:sz w:val="28"/>
          <w:szCs w:val="28"/>
          <w:lang w:val="es-ES_tradnl"/>
        </w:rPr>
      </w:pPr>
      <w:r>
        <w:rPr>
          <w:rFonts w:ascii="Palatino Linotype" w:hAnsi="Palatino Linotype"/>
          <w:b/>
          <w:sz w:val="28"/>
          <w:szCs w:val="28"/>
        </w:rPr>
        <w:t>SEXTO</w:t>
      </w:r>
      <w:r w:rsidR="000F2312">
        <w:rPr>
          <w:rFonts w:ascii="Palatino Linotype" w:hAnsi="Palatino Linotype"/>
          <w:b/>
          <w:sz w:val="28"/>
          <w:szCs w:val="28"/>
        </w:rPr>
        <w:t>. De la ampliación del término para resolver.</w:t>
      </w:r>
    </w:p>
    <w:p w14:paraId="79BA870B" w14:textId="795275C1" w:rsidR="000F2312" w:rsidRPr="00420DD5" w:rsidRDefault="000F2312" w:rsidP="000F2312">
      <w:pPr>
        <w:spacing w:after="0" w:line="360" w:lineRule="auto"/>
        <w:jc w:val="both"/>
        <w:rPr>
          <w:rFonts w:ascii="Palatino Linotype" w:hAnsi="Palatino Linotype"/>
          <w:sz w:val="24"/>
          <w:szCs w:val="24"/>
        </w:rPr>
      </w:pPr>
      <w:r w:rsidRPr="00420DD5">
        <w:rPr>
          <w:rFonts w:ascii="Palatino Linotype" w:hAnsi="Palatino Linotype"/>
          <w:sz w:val="24"/>
          <w:szCs w:val="24"/>
        </w:rPr>
        <w:t xml:space="preserve">En fecha </w:t>
      </w:r>
      <w:r w:rsidR="003A2DCA">
        <w:rPr>
          <w:rFonts w:ascii="Palatino Linotype" w:hAnsi="Palatino Linotype"/>
          <w:sz w:val="24"/>
          <w:szCs w:val="24"/>
        </w:rPr>
        <w:t>veintiuno de mayo de dos mil veinticinco</w:t>
      </w:r>
      <w:r w:rsidRPr="00420DD5">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7A5E7985" w14:textId="77777777" w:rsidR="00757487" w:rsidRDefault="00757487" w:rsidP="00613213">
      <w:pPr>
        <w:spacing w:after="0" w:line="360" w:lineRule="auto"/>
        <w:jc w:val="both"/>
        <w:rPr>
          <w:rFonts w:ascii="Palatino Linotype" w:hAnsi="Palatino Linotype" w:cstheme="majorHAnsi"/>
          <w:bCs/>
          <w:sz w:val="24"/>
          <w:szCs w:val="24"/>
        </w:rPr>
      </w:pPr>
    </w:p>
    <w:p w14:paraId="70EB96A3" w14:textId="288C6A38" w:rsidR="00757487" w:rsidRPr="00B81A2B" w:rsidRDefault="00757487" w:rsidP="00757487">
      <w:pPr>
        <w:spacing w:after="0" w:line="360" w:lineRule="auto"/>
        <w:jc w:val="both"/>
        <w:rPr>
          <w:rFonts w:ascii="Palatino Linotype" w:hAnsi="Palatino Linotype"/>
          <w:b/>
          <w:sz w:val="28"/>
          <w:szCs w:val="24"/>
        </w:rPr>
      </w:pPr>
      <w:r>
        <w:rPr>
          <w:rFonts w:ascii="Palatino Linotype" w:hAnsi="Palatino Linotype"/>
          <w:b/>
          <w:sz w:val="28"/>
          <w:szCs w:val="24"/>
        </w:rPr>
        <w:t>SÉPTIMO</w:t>
      </w:r>
      <w:r w:rsidRPr="00B81A2B">
        <w:rPr>
          <w:rFonts w:ascii="Palatino Linotype" w:hAnsi="Palatino Linotype"/>
          <w:b/>
          <w:sz w:val="28"/>
          <w:szCs w:val="24"/>
        </w:rPr>
        <w:t>. Del Cierre de Instrucción.</w:t>
      </w:r>
    </w:p>
    <w:p w14:paraId="18FEDE88" w14:textId="63E0855E" w:rsidR="00757487" w:rsidRPr="00404074" w:rsidRDefault="00404074" w:rsidP="00404074">
      <w:pPr>
        <w:spacing w:line="360" w:lineRule="auto"/>
        <w:jc w:val="both"/>
        <w:rPr>
          <w:rFonts w:ascii="Palatino Linotype" w:hAnsi="Palatino Linotype"/>
          <w:sz w:val="24"/>
          <w:szCs w:val="24"/>
        </w:rPr>
      </w:pPr>
      <w:r w:rsidRPr="00404074">
        <w:rPr>
          <w:rFonts w:ascii="Palatino Linotype" w:hAnsi="Palatino Linotype"/>
          <w:sz w:val="24"/>
          <w:szCs w:val="24"/>
        </w:rPr>
        <w:t xml:space="preserve">Así, una vez transcurrido el término legal, se decretó el cierre de instrucción en fecha </w:t>
      </w:r>
      <w:r w:rsidR="00FD270F">
        <w:rPr>
          <w:rFonts w:ascii="Palatino Linotype" w:hAnsi="Palatino Linotype"/>
          <w:sz w:val="24"/>
          <w:szCs w:val="24"/>
        </w:rPr>
        <w:t>veintiocho</w:t>
      </w:r>
      <w:r w:rsidR="003A2DCA">
        <w:rPr>
          <w:rFonts w:ascii="Palatino Linotype" w:hAnsi="Palatino Linotype"/>
          <w:sz w:val="24"/>
          <w:szCs w:val="24"/>
        </w:rPr>
        <w:t xml:space="preserve"> de mayo de dos mil veinticinco</w:t>
      </w:r>
      <w:r w:rsidRPr="00404074">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70AE7C83" w14:textId="77777777" w:rsidR="00757487" w:rsidRPr="000F2312" w:rsidRDefault="00757487" w:rsidP="00613213">
      <w:pPr>
        <w:spacing w:after="0" w:line="360" w:lineRule="auto"/>
        <w:jc w:val="both"/>
        <w:rPr>
          <w:rFonts w:ascii="Palatino Linotype" w:hAnsi="Palatino Linotype"/>
          <w:sz w:val="24"/>
          <w:szCs w:val="24"/>
        </w:rPr>
      </w:pP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6C6E854E" w14:textId="33051E8D" w:rsidR="00D51F5D" w:rsidRPr="00FD181C" w:rsidRDefault="009E7E52"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9E7E52">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9E7E52">
        <w:rPr>
          <w:rFonts w:ascii="Palatino Linotype" w:eastAsia="Times New Roman" w:hAnsi="Palatino Linotype" w:cs="Arial"/>
          <w:color w:val="222222"/>
          <w:sz w:val="24"/>
          <w:szCs w:val="24"/>
          <w:shd w:val="clear" w:color="auto" w:fill="FFFFFF"/>
          <w:lang w:eastAsia="es-MX"/>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FDA5DE" w14:textId="45BAE0FA" w:rsidR="004614A3" w:rsidRPr="00D51F5D"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1511EC" w14:textId="77777777" w:rsidR="007A0AD4" w:rsidRPr="00B81A2B" w:rsidRDefault="007A0AD4" w:rsidP="00613213">
      <w:pPr>
        <w:pStyle w:val="Prrafodelista"/>
        <w:autoSpaceDE w:val="0"/>
        <w:autoSpaceDN w:val="0"/>
        <w:adjustRightInd w:val="0"/>
        <w:spacing w:line="360" w:lineRule="auto"/>
        <w:ind w:left="0"/>
        <w:jc w:val="both"/>
        <w:rPr>
          <w:rFonts w:ascii="Palatino Linotype" w:hAnsi="Palatino Linotype" w:cs="Arial"/>
        </w:rPr>
      </w:pPr>
    </w:p>
    <w:p w14:paraId="1935CC58" w14:textId="7FFF8844" w:rsidR="0007610F" w:rsidRPr="00B81A2B" w:rsidRDefault="009E7E52" w:rsidP="0061321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0007610F" w:rsidRPr="00B81A2B">
        <w:rPr>
          <w:rFonts w:ascii="Palatino Linotype" w:hAnsi="Palatino Linotype" w:cs="Arial"/>
          <w:b/>
          <w:sz w:val="28"/>
        </w:rPr>
        <w:t>.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w:t>
      </w:r>
      <w:r w:rsidRPr="00B81A2B">
        <w:rPr>
          <w:rFonts w:ascii="Palatino Linotype" w:hAnsi="Palatino Linotype" w:cs="Arial"/>
        </w:rPr>
        <w:lastRenderedPageBreak/>
        <w:t>en correlación con la seguridad jurídica que debe generar lo actuado ante este Organismo garante.</w:t>
      </w:r>
    </w:p>
    <w:p w14:paraId="02B74297" w14:textId="77777777" w:rsidR="0007610F" w:rsidRPr="00B81A2B" w:rsidRDefault="0007610F" w:rsidP="00613213">
      <w:pPr>
        <w:pStyle w:val="Sinespaciado"/>
      </w:pPr>
    </w:p>
    <w:p w14:paraId="46E1999D" w14:textId="7777777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3627A1">
        <w:footnoteReference w:id="1"/>
      </w:r>
      <w:r w:rsidRPr="00B81A2B">
        <w:rPr>
          <w:rFonts w:ascii="Palatino Linotype" w:hAnsi="Palatino Linotype" w:cs="Arial"/>
        </w:rPr>
        <w:t>.</w:t>
      </w:r>
    </w:p>
    <w:p w14:paraId="0F141F7F" w14:textId="77777777" w:rsidR="001F5195" w:rsidRDefault="001F5195" w:rsidP="00FC0A96">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La Ley de Transparencia de la entidad, en su artículo 192</w:t>
      </w:r>
      <w:r w:rsidR="00E431FA" w:rsidRPr="00B81A2B">
        <w:rPr>
          <w:rFonts w:ascii="Palatino Linotype" w:hAnsi="Palatino Linotype" w:cs="Arial"/>
        </w:rPr>
        <w:t>,</w:t>
      </w:r>
      <w:r w:rsidRPr="00B81A2B">
        <w:rPr>
          <w:rFonts w:ascii="Palatino Linotype" w:hAnsi="Palatino Linotype" w:cs="Arial"/>
        </w:rPr>
        <w:t xml:space="preserve"> contempla la figura jurídica del sobreseimiento, y específicamente </w:t>
      </w:r>
      <w:r w:rsidR="00454A17" w:rsidRPr="00B81A2B">
        <w:rPr>
          <w:rFonts w:ascii="Palatino Linotype" w:hAnsi="Palatino Linotype" w:cs="Arial"/>
        </w:rPr>
        <w:t>en sus hipótesis inmersas en la fracción III</w:t>
      </w:r>
      <w:r w:rsidR="00E431FA" w:rsidRPr="00B81A2B">
        <w:rPr>
          <w:rFonts w:ascii="Palatino Linotype" w:hAnsi="Palatino Linotype" w:cs="Arial"/>
        </w:rPr>
        <w:t>,</w:t>
      </w:r>
      <w:r w:rsidRPr="00B81A2B">
        <w:rPr>
          <w:rFonts w:ascii="Palatino Linotype" w:hAnsi="Palatino Linotype" w:cs="Arial"/>
        </w:rPr>
        <w:t xml:space="preserve"> refieren que se sobreseerá el asunto cuando </w:t>
      </w:r>
      <w:r w:rsidRPr="00B81A2B">
        <w:rPr>
          <w:rFonts w:ascii="Palatino Linotype" w:hAnsi="Palatino Linotype" w:cs="Arial"/>
          <w:b/>
        </w:rPr>
        <w:t>El Sujeto Obligado</w:t>
      </w:r>
      <w:r w:rsidRPr="00B81A2B">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51070C46" w:rsidR="0007610F" w:rsidRPr="00B81A2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Bajo esa línea, con la finalidad de determinar si se modificó o revocó el acto u omisión del </w:t>
      </w:r>
      <w:r w:rsidRPr="00B81A2B">
        <w:rPr>
          <w:rFonts w:ascii="Palatino Linotype" w:hAnsi="Palatino Linotype" w:cs="Arial"/>
          <w:b/>
        </w:rPr>
        <w:t>Sujeto Obligado</w:t>
      </w:r>
      <w:r w:rsidRPr="00B81A2B">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rPr>
        <w:t>esto procesal que establece</w:t>
      </w:r>
      <w:r w:rsidR="00454A17" w:rsidRPr="00B81A2B">
        <w:rPr>
          <w:rFonts w:ascii="Palatino Linotype" w:hAnsi="Palatino Linotype" w:cs="Arial"/>
        </w:rPr>
        <w:t xml:space="preserve"> la fracción</w:t>
      </w:r>
      <w:r w:rsidRPr="00B81A2B">
        <w:rPr>
          <w:rFonts w:ascii="Palatino Linotype" w:hAnsi="Palatino Linotype" w:cs="Arial"/>
        </w:rPr>
        <w:t xml:space="preserve"> III</w:t>
      </w:r>
      <w:r w:rsidR="00454A17" w:rsidRPr="00B81A2B">
        <w:rPr>
          <w:rFonts w:ascii="Palatino Linotype" w:hAnsi="Palatino Linotype" w:cs="Arial"/>
        </w:rPr>
        <w:t>,</w:t>
      </w:r>
      <w:r w:rsidRPr="00B81A2B">
        <w:rPr>
          <w:rFonts w:ascii="Palatino Linotype" w:hAnsi="Palatino Linotype" w:cs="Arial"/>
        </w:rPr>
        <w:t xml:space="preserve"> del artículo 192</w:t>
      </w:r>
      <w:r w:rsidR="00E431FA" w:rsidRPr="00B81A2B">
        <w:rPr>
          <w:rFonts w:ascii="Palatino Linotype" w:hAnsi="Palatino Linotype" w:cs="Arial"/>
        </w:rPr>
        <w:t>,</w:t>
      </w:r>
      <w:r w:rsidRPr="00B81A2B">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w:t>
      </w:r>
      <w:r w:rsidR="001F5195">
        <w:rPr>
          <w:rFonts w:ascii="Palatino Linotype" w:hAnsi="Palatino Linotype" w:cs="Arial"/>
        </w:rPr>
        <w:t>el</w:t>
      </w:r>
      <w:r w:rsidRPr="00B81A2B">
        <w:rPr>
          <w:rFonts w:ascii="Palatino Linotype" w:hAnsi="Palatino Linotype" w:cs="Arial"/>
        </w:rPr>
        <w:t xml:space="preserve">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4153BF19" w14:textId="36136795" w:rsidR="00D76CA3" w:rsidRPr="002277FD"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B81A2B">
        <w:rPr>
          <w:rFonts w:ascii="Palatino Linotype" w:hAnsi="Palatino Linotype" w:cs="Arial"/>
        </w:rPr>
        <w:t xml:space="preserve">En primera instancia, es necesario hacer referencia a los motivos o razones de inconformidad que expresa </w:t>
      </w:r>
      <w:r w:rsidR="001F5195">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los </w:t>
      </w:r>
      <w:r w:rsidR="003627A1" w:rsidRPr="00B81A2B">
        <w:rPr>
          <w:rFonts w:ascii="Palatino Linotype" w:hAnsi="Palatino Linotype" w:cs="Arial"/>
        </w:rPr>
        <w:t>cuales,</w:t>
      </w:r>
      <w:r w:rsidRPr="00B81A2B">
        <w:rPr>
          <w:rFonts w:ascii="Palatino Linotype" w:hAnsi="Palatino Linotype" w:cs="Arial"/>
        </w:rPr>
        <w:t xml:space="preserve">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00CF6B65">
        <w:rPr>
          <w:rFonts w:ascii="Palatino Linotype" w:hAnsi="Palatino Linotype" w:cs="Arial"/>
        </w:rPr>
        <w:t xml:space="preserve">, la </w:t>
      </w:r>
      <w:r w:rsidR="001F5195">
        <w:rPr>
          <w:rFonts w:ascii="Palatino Linotype" w:hAnsi="Palatino Linotype" w:cs="Arial"/>
        </w:rPr>
        <w:t xml:space="preserve">entrega de información </w:t>
      </w:r>
      <w:r w:rsidR="00E039D6">
        <w:rPr>
          <w:rFonts w:ascii="Palatino Linotype" w:hAnsi="Palatino Linotype" w:cs="Arial"/>
        </w:rPr>
        <w:t>incompleta y/o que no corresponde con lo solicitado, actualizando con ello las causales de procedencia del recurso de revisión establecidas en las fracciones V y VI, del artículo 179 de la Ley de Transparencia local</w:t>
      </w:r>
      <w:r w:rsidR="000F2312">
        <w:rPr>
          <w:rFonts w:ascii="Palatino Linotype" w:hAnsi="Palatino Linotype" w:cs="Arial"/>
        </w:rPr>
        <w:t>.</w:t>
      </w:r>
    </w:p>
    <w:p w14:paraId="325BA928" w14:textId="77777777" w:rsidR="002277FD" w:rsidRPr="00B81A2B"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06A00401"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 xml:space="preserve">Resultando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sidR="001F5195">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06E35C10" w14:textId="1F54975A" w:rsidR="001F5195" w:rsidRPr="00E039D6" w:rsidRDefault="00DE7DE2" w:rsidP="00E039D6">
      <w:pPr>
        <w:pStyle w:val="Prrafodelista"/>
        <w:autoSpaceDE w:val="0"/>
        <w:autoSpaceDN w:val="0"/>
        <w:adjustRightInd w:val="0"/>
        <w:spacing w:after="120" w:line="360" w:lineRule="auto"/>
        <w:ind w:left="0"/>
        <w:jc w:val="both"/>
        <w:rPr>
          <w:rFonts w:ascii="Palatino Linotype" w:hAnsi="Palatino Linotype"/>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E039D6">
        <w:rPr>
          <w:rFonts w:ascii="Palatino Linotype" w:hAnsi="Palatino Linotype" w:cs="Arial"/>
        </w:rPr>
        <w:t>diecisiete de febrero de dos mil veinticinco</w:t>
      </w:r>
      <w:r w:rsidRPr="00B81A2B">
        <w:rPr>
          <w:rFonts w:ascii="Palatino Linotype" w:hAnsi="Palatino Linotype" w:cs="Arial"/>
        </w:rPr>
        <w:t xml:space="preserve">, </w:t>
      </w:r>
      <w:r w:rsidR="001F5195">
        <w:rPr>
          <w:rFonts w:ascii="Palatino Linotype" w:hAnsi="Palatino Linotype" w:cs="Arial"/>
          <w:b/>
        </w:rPr>
        <w:t>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E039D6" w:rsidRPr="00E039D6">
        <w:rPr>
          <w:rFonts w:ascii="Palatino Linotype" w:hAnsi="Palatino Linotype" w:cs="Arial"/>
          <w:b/>
        </w:rPr>
        <w:t>00263/TENANCIN/IP/2025</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w:t>
      </w:r>
      <w:r w:rsidR="00AD6FA5">
        <w:rPr>
          <w:rFonts w:ascii="Palatino Linotype" w:hAnsi="Palatino Linotype" w:cs="Arial"/>
        </w:rPr>
        <w:t xml:space="preserve"> se le proporcionara</w:t>
      </w:r>
      <w:r w:rsidR="00947F46">
        <w:rPr>
          <w:rFonts w:ascii="Palatino Linotype" w:hAnsi="Palatino Linotype" w:cs="Arial"/>
        </w:rPr>
        <w:t xml:space="preserve"> </w:t>
      </w:r>
      <w:r w:rsidR="00B338C5" w:rsidRPr="00B338C5">
        <w:rPr>
          <w:rFonts w:ascii="Palatino Linotype" w:hAnsi="Palatino Linotype"/>
        </w:rPr>
        <w:t>objetivamente</w:t>
      </w:r>
      <w:r w:rsidR="00947F46">
        <w:rPr>
          <w:rFonts w:ascii="Palatino Linotype" w:hAnsi="Palatino Linotype"/>
        </w:rPr>
        <w:t>,</w:t>
      </w:r>
      <w:r w:rsidR="001F5195">
        <w:rPr>
          <w:rFonts w:ascii="Palatino Linotype" w:hAnsi="Palatino Linotype"/>
        </w:rPr>
        <w:t xml:space="preserve"> </w:t>
      </w:r>
      <w:r w:rsidR="00947F46">
        <w:rPr>
          <w:rFonts w:ascii="Palatino Linotype" w:hAnsi="Palatino Linotype"/>
        </w:rPr>
        <w:t>lo</w:t>
      </w:r>
      <w:r w:rsidR="00B338C5">
        <w:rPr>
          <w:rFonts w:ascii="Palatino Linotype" w:hAnsi="Palatino Linotype"/>
        </w:rPr>
        <w:t xml:space="preserve"> siguiente</w:t>
      </w:r>
      <w:r w:rsidR="00B338C5" w:rsidRPr="00B338C5">
        <w:rPr>
          <w:rFonts w:ascii="Palatino Linotype" w:hAnsi="Palatino Linotype"/>
        </w:rPr>
        <w:t xml:space="preserve">: </w:t>
      </w:r>
    </w:p>
    <w:p w14:paraId="71D1C48D" w14:textId="628E438E" w:rsidR="001F5195" w:rsidRPr="001F5195" w:rsidRDefault="00E039D6" w:rsidP="001F5195">
      <w:pPr>
        <w:pStyle w:val="Prrafodelista"/>
        <w:numPr>
          <w:ilvl w:val="1"/>
          <w:numId w:val="10"/>
        </w:numPr>
        <w:autoSpaceDE w:val="0"/>
        <w:autoSpaceDN w:val="0"/>
        <w:adjustRightInd w:val="0"/>
        <w:spacing w:after="120" w:line="360" w:lineRule="auto"/>
        <w:jc w:val="both"/>
        <w:rPr>
          <w:rFonts w:ascii="Palatino Linotype" w:hAnsi="Palatino Linotype"/>
        </w:rPr>
      </w:pPr>
      <w:bookmarkStart w:id="1" w:name="_Hlk107524154"/>
      <w:r>
        <w:rPr>
          <w:rFonts w:ascii="Palatino Linotype" w:hAnsi="Palatino Linotype"/>
          <w:i/>
          <w:iCs/>
        </w:rPr>
        <w:t>P</w:t>
      </w:r>
      <w:r w:rsidRPr="00E039D6">
        <w:rPr>
          <w:rFonts w:ascii="Palatino Linotype" w:hAnsi="Palatino Linotype"/>
          <w:i/>
          <w:iCs/>
        </w:rPr>
        <w:t xml:space="preserve">óliza o fianza contratada por el </w:t>
      </w:r>
      <w:r>
        <w:rPr>
          <w:rFonts w:ascii="Palatino Linotype" w:hAnsi="Palatino Linotype"/>
          <w:i/>
          <w:iCs/>
        </w:rPr>
        <w:t>T</w:t>
      </w:r>
      <w:r w:rsidRPr="00E039D6">
        <w:rPr>
          <w:rFonts w:ascii="Palatino Linotype" w:hAnsi="Palatino Linotype"/>
          <w:i/>
          <w:iCs/>
        </w:rPr>
        <w:t xml:space="preserve">itular de la </w:t>
      </w:r>
      <w:r>
        <w:rPr>
          <w:rFonts w:ascii="Palatino Linotype" w:hAnsi="Palatino Linotype"/>
          <w:i/>
          <w:iCs/>
        </w:rPr>
        <w:t>T</w:t>
      </w:r>
      <w:r w:rsidRPr="00E039D6">
        <w:rPr>
          <w:rFonts w:ascii="Palatino Linotype" w:hAnsi="Palatino Linotype"/>
          <w:i/>
          <w:iCs/>
        </w:rPr>
        <w:t xml:space="preserve">esorería </w:t>
      </w:r>
      <w:r>
        <w:rPr>
          <w:rFonts w:ascii="Palatino Linotype" w:hAnsi="Palatino Linotype"/>
          <w:i/>
          <w:iCs/>
        </w:rPr>
        <w:t>M</w:t>
      </w:r>
      <w:r w:rsidRPr="00E039D6">
        <w:rPr>
          <w:rFonts w:ascii="Palatino Linotype" w:hAnsi="Palatino Linotype"/>
          <w:i/>
          <w:iCs/>
        </w:rPr>
        <w:t xml:space="preserve">unicipal del </w:t>
      </w:r>
      <w:r>
        <w:rPr>
          <w:rFonts w:ascii="Palatino Linotype" w:hAnsi="Palatino Linotype"/>
          <w:i/>
          <w:iCs/>
        </w:rPr>
        <w:t>A</w:t>
      </w:r>
      <w:r w:rsidRPr="00E039D6">
        <w:rPr>
          <w:rFonts w:ascii="Palatino Linotype" w:hAnsi="Palatino Linotype"/>
          <w:i/>
          <w:iCs/>
        </w:rPr>
        <w:t>yuntamiento de Tenancingo</w:t>
      </w:r>
      <w:r>
        <w:rPr>
          <w:rFonts w:ascii="Palatino Linotype" w:hAnsi="Palatino Linotype"/>
          <w:i/>
          <w:iCs/>
        </w:rPr>
        <w:t xml:space="preserve"> </w:t>
      </w:r>
      <w:r w:rsidRPr="00E039D6">
        <w:rPr>
          <w:rFonts w:ascii="Palatino Linotype" w:hAnsi="Palatino Linotype"/>
          <w:i/>
          <w:iCs/>
        </w:rPr>
        <w:t>2025-2027, para caucionar el manejo de los fondos municipales.</w:t>
      </w:r>
    </w:p>
    <w:bookmarkEnd w:id="1"/>
    <w:p w14:paraId="51C4821B" w14:textId="77777777" w:rsidR="00C04418" w:rsidRPr="000F2312" w:rsidRDefault="00C04418" w:rsidP="00C04418">
      <w:pPr>
        <w:pStyle w:val="Prrafodelista"/>
        <w:spacing w:after="120" w:line="360" w:lineRule="auto"/>
        <w:ind w:left="720"/>
        <w:jc w:val="both"/>
        <w:rPr>
          <w:rFonts w:ascii="Palatino Linotype" w:hAnsi="Palatino Linotype"/>
        </w:rPr>
      </w:pPr>
    </w:p>
    <w:p w14:paraId="224DE9B0" w14:textId="61DE5635" w:rsidR="00F5608A" w:rsidRDefault="00562181" w:rsidP="0061321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Consecuentemente, el</w:t>
      </w:r>
      <w:r w:rsidRPr="00B26FB2">
        <w:rPr>
          <w:rFonts w:ascii="Palatino Linotype" w:hAnsi="Palatino Linotype"/>
        </w:rPr>
        <w:t xml:space="preserve"> </w:t>
      </w:r>
      <w:r w:rsidRPr="00B26FB2">
        <w:rPr>
          <w:rFonts w:ascii="Palatino Linotype" w:hAnsi="Palatino Linotype"/>
          <w:b/>
        </w:rPr>
        <w:t>Sujeto Obligado</w:t>
      </w:r>
      <w:r w:rsidRPr="00B26FB2">
        <w:rPr>
          <w:rFonts w:ascii="Palatino Linotype" w:hAnsi="Palatino Linotype"/>
        </w:rPr>
        <w:t xml:space="preserve"> emitió respuesta a la solicitud de información</w:t>
      </w:r>
      <w:r w:rsidRPr="00B26FB2">
        <w:rPr>
          <w:rFonts w:ascii="Palatino Linotype" w:hAnsi="Palatino Linotype"/>
          <w:b/>
        </w:rPr>
        <w:t xml:space="preserve">, </w:t>
      </w:r>
      <w:r w:rsidRPr="00391FD9">
        <w:rPr>
          <w:rFonts w:ascii="Palatino Linotype" w:hAnsi="Palatino Linotype"/>
        </w:rPr>
        <w:t>remitiendo para tal efecto</w:t>
      </w:r>
      <w:r>
        <w:rPr>
          <w:rFonts w:ascii="Palatino Linotype" w:hAnsi="Palatino Linotype"/>
        </w:rPr>
        <w:t xml:space="preserve"> </w:t>
      </w:r>
      <w:r w:rsidR="006354E1">
        <w:rPr>
          <w:rFonts w:ascii="Palatino Linotype" w:hAnsi="Palatino Linotype"/>
        </w:rPr>
        <w:t>un</w:t>
      </w:r>
      <w:r w:rsidRPr="00391FD9">
        <w:rPr>
          <w:rFonts w:ascii="Palatino Linotype" w:hAnsi="Palatino Linotype"/>
        </w:rPr>
        <w:t xml:space="preserve"> archivo electrónico, </w:t>
      </w:r>
      <w:r w:rsidR="00E039D6">
        <w:rPr>
          <w:rFonts w:ascii="Palatino Linotype" w:hAnsi="Palatino Linotype"/>
        </w:rPr>
        <w:t>el</w:t>
      </w:r>
      <w:r w:rsidRPr="00391FD9">
        <w:rPr>
          <w:rFonts w:ascii="Palatino Linotype" w:hAnsi="Palatino Linotype"/>
        </w:rPr>
        <w:t xml:space="preserve"> cual</w:t>
      </w:r>
      <w:r w:rsidR="00C470A6">
        <w:rPr>
          <w:rFonts w:ascii="Palatino Linotype" w:hAnsi="Palatino Linotype"/>
        </w:rPr>
        <w:t xml:space="preserve"> se describe a continuación</w:t>
      </w:r>
      <w:r>
        <w:rPr>
          <w:rFonts w:ascii="Palatino Linotype" w:hAnsi="Palatino Linotype"/>
        </w:rPr>
        <w:t>:</w:t>
      </w:r>
    </w:p>
    <w:p w14:paraId="666860A5" w14:textId="77777777" w:rsidR="00562181" w:rsidRDefault="00562181" w:rsidP="00613213">
      <w:pPr>
        <w:pStyle w:val="Prrafodelista"/>
        <w:autoSpaceDE w:val="0"/>
        <w:autoSpaceDN w:val="0"/>
        <w:adjustRightInd w:val="0"/>
        <w:spacing w:line="360" w:lineRule="auto"/>
        <w:ind w:left="0"/>
        <w:jc w:val="both"/>
        <w:rPr>
          <w:rFonts w:ascii="Palatino Linotype" w:hAnsi="Palatino Linotype"/>
        </w:rPr>
      </w:pPr>
    </w:p>
    <w:p w14:paraId="0E9909E3" w14:textId="53826C86" w:rsidR="003E3A57" w:rsidRPr="00E039D6" w:rsidRDefault="006354E1" w:rsidP="005A7A01">
      <w:pPr>
        <w:pStyle w:val="Prrafodelista"/>
        <w:numPr>
          <w:ilvl w:val="0"/>
          <w:numId w:val="6"/>
        </w:numPr>
        <w:autoSpaceDE w:val="0"/>
        <w:autoSpaceDN w:val="0"/>
        <w:adjustRightInd w:val="0"/>
        <w:spacing w:line="360" w:lineRule="auto"/>
        <w:jc w:val="both"/>
        <w:rPr>
          <w:rFonts w:ascii="Palatino Linotype" w:hAnsi="Palatino Linotype"/>
          <w:b/>
        </w:rPr>
      </w:pPr>
      <w:r w:rsidRPr="00E039D6">
        <w:rPr>
          <w:rFonts w:ascii="Palatino Linotype" w:hAnsi="Palatino Linotype"/>
          <w:b/>
        </w:rPr>
        <w:t>“</w:t>
      </w:r>
      <w:r w:rsidR="00E039D6" w:rsidRPr="00E039D6">
        <w:rPr>
          <w:rFonts w:ascii="Palatino Linotype" w:hAnsi="Palatino Linotype"/>
          <w:b/>
        </w:rPr>
        <w:t>Contestación 00263 Tesorería.pdf”</w:t>
      </w:r>
      <w:r w:rsidR="00562181" w:rsidRPr="00E039D6">
        <w:rPr>
          <w:rFonts w:ascii="Palatino Linotype" w:hAnsi="Palatino Linotype"/>
          <w:b/>
        </w:rPr>
        <w:t>:</w:t>
      </w:r>
      <w:r w:rsidRPr="00E039D6">
        <w:rPr>
          <w:rFonts w:ascii="Palatino Linotype" w:hAnsi="Palatino Linotype"/>
        </w:rPr>
        <w:t xml:space="preserve"> </w:t>
      </w:r>
      <w:r w:rsidR="00E039D6" w:rsidRPr="00E039D6">
        <w:rPr>
          <w:rFonts w:ascii="Palatino Linotype" w:hAnsi="Palatino Linotype"/>
        </w:rPr>
        <w:t>Oficio número MTM058/TM118/2025,</w:t>
      </w:r>
      <w:r w:rsidRPr="00E039D6">
        <w:rPr>
          <w:rFonts w:ascii="Palatino Linotype" w:hAnsi="Palatino Linotype"/>
        </w:rPr>
        <w:t xml:space="preserve"> signado por el </w:t>
      </w:r>
      <w:r w:rsidR="00E039D6" w:rsidRPr="00E039D6">
        <w:rPr>
          <w:rFonts w:ascii="Palatino Linotype" w:hAnsi="Palatino Linotype"/>
        </w:rPr>
        <w:t>Tesorero Municipal</w:t>
      </w:r>
      <w:r w:rsidRPr="00E039D6">
        <w:rPr>
          <w:rFonts w:ascii="Palatino Linotype" w:hAnsi="Palatino Linotype"/>
        </w:rPr>
        <w:t xml:space="preserve">, a través del cual comunica </w:t>
      </w:r>
      <w:r w:rsidR="00E039D6" w:rsidRPr="00E039D6">
        <w:rPr>
          <w:rFonts w:ascii="Palatino Linotype" w:hAnsi="Palatino Linotype"/>
        </w:rPr>
        <w:t>a la Coordinadora de Transparencia del Ayuntamiento de Tenancingo</w:t>
      </w:r>
      <w:r w:rsidR="00E039D6">
        <w:rPr>
          <w:rFonts w:ascii="Palatino Linotype" w:hAnsi="Palatino Linotype"/>
        </w:rPr>
        <w:t>, que se remite la información solicitada.</w:t>
      </w:r>
    </w:p>
    <w:p w14:paraId="0FFF2052" w14:textId="77777777" w:rsidR="007F13F1" w:rsidRPr="007F13F1" w:rsidRDefault="007F13F1" w:rsidP="007F13F1">
      <w:pPr>
        <w:pStyle w:val="Prrafodelista"/>
        <w:rPr>
          <w:rFonts w:ascii="Palatino Linotype" w:hAnsi="Palatino Linotype"/>
          <w:bCs/>
        </w:rPr>
      </w:pPr>
    </w:p>
    <w:p w14:paraId="3AA74AE5" w14:textId="0335E474" w:rsidR="00C16E1F" w:rsidRDefault="007F13F1" w:rsidP="00904B0F">
      <w:pPr>
        <w:pStyle w:val="Prrafodelista"/>
        <w:autoSpaceDE w:val="0"/>
        <w:autoSpaceDN w:val="0"/>
        <w:adjustRightInd w:val="0"/>
        <w:spacing w:line="360" w:lineRule="auto"/>
        <w:ind w:left="720"/>
        <w:jc w:val="both"/>
        <w:rPr>
          <w:rFonts w:ascii="Palatino Linotype" w:hAnsi="Palatino Linotype"/>
          <w:bCs/>
        </w:rPr>
      </w:pPr>
      <w:r>
        <w:rPr>
          <w:rFonts w:ascii="Palatino Linotype" w:hAnsi="Palatino Linotype"/>
          <w:bCs/>
        </w:rPr>
        <w:t>Asimismo,</w:t>
      </w:r>
      <w:r w:rsidR="00C16E1F">
        <w:rPr>
          <w:rFonts w:ascii="Palatino Linotype" w:hAnsi="Palatino Linotype"/>
          <w:bCs/>
        </w:rPr>
        <w:t xml:space="preserve"> </w:t>
      </w:r>
      <w:r w:rsidR="001905AD">
        <w:rPr>
          <w:rFonts w:ascii="Palatino Linotype" w:hAnsi="Palatino Linotype"/>
          <w:bCs/>
        </w:rPr>
        <w:t>un documento que consiste en el C</w:t>
      </w:r>
      <w:r w:rsidR="001905AD" w:rsidRPr="001905AD">
        <w:rPr>
          <w:rFonts w:ascii="Palatino Linotype" w:hAnsi="Palatino Linotype"/>
          <w:b/>
          <w:u w:val="single"/>
        </w:rPr>
        <w:t xml:space="preserve">lausulado Único de Fianzas de Fidelidad, del contrato de Fianza de Fidelidad, que celebran por una parte </w:t>
      </w:r>
      <w:r w:rsidR="001905AD" w:rsidRPr="001905AD">
        <w:rPr>
          <w:rFonts w:ascii="Palatino Linotype" w:hAnsi="Palatino Linotype"/>
          <w:b/>
          <w:u w:val="single"/>
        </w:rPr>
        <w:lastRenderedPageBreak/>
        <w:t>SOFIMEX, INSTITUCIÓN DE GARANTIAS, S.A., como fiadora del beneficiario Ayuntamiento de Tenancingo</w:t>
      </w:r>
      <w:r w:rsidR="001905AD">
        <w:rPr>
          <w:rFonts w:ascii="Palatino Linotype" w:hAnsi="Palatino Linotype"/>
          <w:b/>
          <w:u w:val="single"/>
        </w:rPr>
        <w:t>.</w:t>
      </w:r>
    </w:p>
    <w:p w14:paraId="111529C3" w14:textId="21C5D577" w:rsidR="007F13F1" w:rsidRDefault="007F13F1" w:rsidP="0019696F">
      <w:pPr>
        <w:pStyle w:val="Prrafodelista"/>
        <w:autoSpaceDE w:val="0"/>
        <w:autoSpaceDN w:val="0"/>
        <w:adjustRightInd w:val="0"/>
        <w:spacing w:line="360" w:lineRule="auto"/>
        <w:ind w:left="0"/>
        <w:rPr>
          <w:rFonts w:ascii="Palatino Linotype" w:hAnsi="Palatino Linotype" w:cs="Arial"/>
        </w:rPr>
      </w:pPr>
    </w:p>
    <w:p w14:paraId="1F458C98" w14:textId="184E4464" w:rsidR="0027201B"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42799E">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w:t>
      </w:r>
      <w:r w:rsidR="00A73174">
        <w:rPr>
          <w:rFonts w:ascii="Palatino Linotype" w:hAnsi="Palatino Linotype" w:cs="Arial"/>
        </w:rPr>
        <w:t xml:space="preserve"> </w:t>
      </w:r>
      <w:r w:rsidR="00C04418">
        <w:rPr>
          <w:rFonts w:ascii="Palatino Linotype" w:hAnsi="Palatino Linotype" w:cs="Arial"/>
        </w:rPr>
        <w:t>c</w:t>
      </w:r>
      <w:r w:rsidR="000B2AA5" w:rsidRPr="00B81A2B">
        <w:rPr>
          <w:rFonts w:ascii="Palatino Linotype" w:hAnsi="Palatino Linotype" w:cs="Arial"/>
        </w:rPr>
        <w:t>omo</w:t>
      </w:r>
      <w:r w:rsidR="00370EF5">
        <w:rPr>
          <w:rFonts w:ascii="Palatino Linotype" w:hAnsi="Palatino Linotype" w:cs="Arial"/>
        </w:rPr>
        <w:t xml:space="preserve"> </w:t>
      </w:r>
      <w:r w:rsidR="00C84ED9">
        <w:rPr>
          <w:rFonts w:ascii="Palatino Linotype" w:hAnsi="Palatino Linotype" w:cs="Arial"/>
          <w:b/>
          <w:i/>
        </w:rPr>
        <w:t>Acto Impugnado</w:t>
      </w:r>
      <w:r w:rsidR="00370EF5" w:rsidRPr="00B81A2B">
        <w:rPr>
          <w:rFonts w:ascii="Palatino Linotype" w:hAnsi="Palatino Linotype" w:cs="Arial"/>
        </w:rPr>
        <w:t xml:space="preserve"> </w:t>
      </w:r>
      <w:r w:rsidR="0042799E">
        <w:rPr>
          <w:rFonts w:ascii="Palatino Linotype" w:hAnsi="Palatino Linotype" w:cs="Arial"/>
        </w:rPr>
        <w:t>que</w:t>
      </w:r>
      <w:r w:rsidR="000B2AA5" w:rsidRPr="00B81A2B">
        <w:rPr>
          <w:rFonts w:ascii="Palatino Linotype" w:hAnsi="Palatino Linotype" w:cs="Arial"/>
        </w:rPr>
        <w:t xml:space="preserve">: </w:t>
      </w:r>
      <w:r w:rsidR="000B2AA5" w:rsidRPr="00B81A2B">
        <w:rPr>
          <w:rFonts w:ascii="Palatino Linotype" w:hAnsi="Palatino Linotype" w:cs="Arial"/>
          <w:i/>
        </w:rPr>
        <w:t>“</w:t>
      </w:r>
      <w:r w:rsidR="001905AD" w:rsidRPr="001905AD">
        <w:rPr>
          <w:rFonts w:ascii="Palatino Linotype" w:hAnsi="Palatino Linotype" w:cs="Arial"/>
          <w:bCs/>
          <w:i/>
          <w:lang w:val="es-MX"/>
        </w:rPr>
        <w:t>La falta de entrega de la información solicitada, puesto que la información entregada no fue la solicitada o bien fue entregada incompleta como se desprende de mi solicitud de información presentada a través de SAIMEX registrada con número de folio 00263/TENANCIN/IP/2025</w:t>
      </w:r>
      <w:r w:rsidR="00C24C2F">
        <w:rPr>
          <w:rFonts w:ascii="Palatino Linotype" w:hAnsi="Palatino Linotype" w:cs="Arial"/>
          <w:i/>
        </w:rPr>
        <w:t xml:space="preserve">; </w:t>
      </w:r>
      <w:r w:rsidR="0042799E" w:rsidRPr="0042799E">
        <w:rPr>
          <w:rFonts w:ascii="Palatino Linotype" w:hAnsi="Palatino Linotype" w:cs="Arial"/>
          <w:iCs/>
        </w:rPr>
        <w:t xml:space="preserve">y como </w:t>
      </w:r>
      <w:r w:rsidR="0042799E" w:rsidRPr="0042799E">
        <w:rPr>
          <w:rFonts w:ascii="Palatino Linotype" w:hAnsi="Palatino Linotype" w:cs="Arial"/>
          <w:b/>
          <w:bCs/>
          <w:iCs/>
        </w:rPr>
        <w:t>Razones o Motivos de Inconformidad</w:t>
      </w:r>
      <w:r w:rsidR="0042799E" w:rsidRPr="0042799E">
        <w:rPr>
          <w:rFonts w:ascii="Palatino Linotype" w:hAnsi="Palatino Linotype" w:cs="Arial"/>
          <w:iCs/>
        </w:rPr>
        <w:t xml:space="preserve"> lo siguiente</w:t>
      </w:r>
      <w:r w:rsidR="0042799E">
        <w:rPr>
          <w:rFonts w:ascii="Palatino Linotype" w:hAnsi="Palatino Linotype" w:cs="Arial"/>
          <w:iCs/>
        </w:rPr>
        <w:t xml:space="preserve">: </w:t>
      </w:r>
    </w:p>
    <w:p w14:paraId="27A3614B" w14:textId="77777777" w:rsidR="0042799E" w:rsidRDefault="0042799E" w:rsidP="00613213">
      <w:pPr>
        <w:pStyle w:val="Prrafodelista"/>
        <w:autoSpaceDE w:val="0"/>
        <w:autoSpaceDN w:val="0"/>
        <w:adjustRightInd w:val="0"/>
        <w:spacing w:line="360" w:lineRule="auto"/>
        <w:ind w:left="0"/>
        <w:jc w:val="both"/>
        <w:rPr>
          <w:rFonts w:ascii="Palatino Linotype" w:hAnsi="Palatino Linotype" w:cs="Arial"/>
          <w:iCs/>
        </w:rPr>
      </w:pPr>
    </w:p>
    <w:p w14:paraId="20F6BA7F" w14:textId="44A140B1" w:rsidR="0042799E" w:rsidRPr="0042799E" w:rsidRDefault="001905AD" w:rsidP="0042799E">
      <w:pPr>
        <w:pStyle w:val="Prrafodelista"/>
        <w:autoSpaceDE w:val="0"/>
        <w:autoSpaceDN w:val="0"/>
        <w:adjustRightInd w:val="0"/>
        <w:ind w:left="567" w:right="567"/>
        <w:jc w:val="both"/>
        <w:rPr>
          <w:rFonts w:ascii="Palatino Linotype" w:hAnsi="Palatino Linotype" w:cs="Arial"/>
          <w:iCs/>
          <w:sz w:val="22"/>
          <w:szCs w:val="22"/>
        </w:rPr>
      </w:pPr>
      <w:r w:rsidRPr="004F61AC">
        <w:rPr>
          <w:rFonts w:ascii="Palatino Linotype" w:hAnsi="Palatino Linotype"/>
          <w:i/>
          <w:color w:val="000000"/>
        </w:rPr>
        <w:t>“</w:t>
      </w:r>
      <w:r w:rsidRPr="00CA3650">
        <w:rPr>
          <w:rFonts w:ascii="Palatino Linotype" w:hAnsi="Palatino Linotype"/>
          <w:i/>
          <w:color w:val="000000"/>
        </w:rPr>
        <w:t xml:space="preserve">Tal parece que el Tesorero Municipal del Ayuntamiento de Tenancingo, México y la responsable de la unidad de información del Ayuntamiento de Tenancingo, México, pretenden burlarse de la ciudadanía que solicita información pública, ya que únicamente acompañan como respuesta a la solicitud de información presentada por el suscrito, unas hojas con cláusulas que al parecer corresponden a un contrato de fianza, sin embargo, </w:t>
      </w:r>
      <w:r w:rsidRPr="00CA3650">
        <w:rPr>
          <w:rFonts w:ascii="Palatino Linotype" w:hAnsi="Palatino Linotype"/>
          <w:i/>
          <w:color w:val="000000"/>
          <w:u w:val="single"/>
        </w:rPr>
        <w:t>no existe la certeza de que dicho clausulado corresponde a la póliza o fianza contratada por el titular de la tesorería municipal del Ayuntamiento 2025-2027</w:t>
      </w:r>
      <w:r w:rsidRPr="00CA3650">
        <w:rPr>
          <w:rFonts w:ascii="Palatino Linotype" w:hAnsi="Palatino Linotype"/>
          <w:i/>
          <w:color w:val="000000"/>
        </w:rPr>
        <w:t xml:space="preserve"> del Tenancingo, México, ya que ni siquiera aparece la fecha de contratación de la póliza o fianza, a favor de quien está contratada, ni la temporalidad de la vigencia de la misma. </w:t>
      </w:r>
      <w:r w:rsidRPr="00CA3650">
        <w:rPr>
          <w:rFonts w:ascii="Palatino Linotype" w:hAnsi="Palatino Linotype"/>
          <w:i/>
          <w:color w:val="000000"/>
          <w:u w:val="single"/>
        </w:rPr>
        <w:t>Bajo este contexto lo que el suscrito solicita o requiero es acceder al contrato por medio del cual el titular de la Tesorería Municipal del Ayuntamiento de Tenancingo, México 2025-2027 se compromete con un acreedor a pagar, es decir, se trata de un contrato en virtud del cual una institución de fianzas</w:t>
      </w:r>
      <w:r w:rsidRPr="00CA3650">
        <w:rPr>
          <w:rFonts w:ascii="Palatino Linotype" w:hAnsi="Palatino Linotype"/>
          <w:i/>
          <w:color w:val="000000"/>
        </w:rPr>
        <w:t xml:space="preserve">, se compromete a garantizar el cumplimiento de obligaciones con contenido económico, contraídas por una persona física o moral ante otra persona física o moral privada o pública, en caso de que aquella no cumpla, con la obligación contraída. donde se pueda apreciar la Institución financiera en la que fue contratada la fianza o póliza, la fecha de contratación de la póliza o fianza, las obligaciones que se afianzan, a favor de quien está contratada,la temporalidad de la vigencia de la misma, para que exista la certeza de que efectivamente se esta cumpliendo con lo dispuesto en la ley. Lo anterior es relevante en virtud de que la </w:t>
      </w:r>
      <w:r w:rsidRPr="00CA3650">
        <w:rPr>
          <w:rFonts w:ascii="Palatino Linotype" w:hAnsi="Palatino Linotype"/>
          <w:i/>
          <w:color w:val="000000"/>
        </w:rPr>
        <w:lastRenderedPageBreak/>
        <w:t xml:space="preserve">tesorería municipal es el órgano encargado de la recaudación de los ingresos municipales y la responsable de realizar las erogaciones que haga el ayuntamiento, por lo que tendrá como titular un tesorero (a) municipal que al tomar posesión en su cargo recibirá la hacienda pública de acuerdo con las previsiones previstas en la Ley de referencia; dicho servidor público tendrá diversas facultades relacionadas con el ejercicio y custodia de los recursos públicos, por lo que para desempeñarse en el cargo deberá cumplimentar los requisitos previstos en el siguiente artículo: Artículo 96.- Para ser tesorero municipal se requiere, además de los requisitos del artículos 32 de esta Ley: 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 II. Caucionar el manejo de los fondos municipales, por un monto equivalente al uno al millar del importe correspondiente a los ingresos propios del municipio y las participaciones que en ingresos federales y estatales le correspondieron en el ejercicio inmediato anterior; III. Derogada IV. Cumplir con otros requisitos que señalen las leyes, o acuerde el ayuntamiento. De la referencia jurídica anterior, se puede observar que para ser Tesorero Municipal entre otros requisitos se debe caucionar el manejo de los fondos Municipales, entendida la caución, de acuerdo con el Diccionario de la Lengua Española, como “la garantía que presta una persona u otra en su lugar para asegurar el cumplimiento de una obligación actual o eventual”, es decir que se trata de una garantía económica que deberá presentar la persona que se vaya a desempeñar como Tesorero Municipal. De tal suerte que NO EXISTE UNA DEBIDA FUNDAMENTACIÓN Y MOTIVACIÓN DEL PORQUE NO SE ENTREGA LA INFORMACIÓN TAL Y COMO FUE SOLICITADA. Sin que se pudiera alegar en su caso que contiene información reservada o confidencial, ya que para satisfacer el derecho de acceso a la información pública del particular, la Unidad de Transparencia en conjunto con el Servidor Público Habilitado que remitió la información, debieron realizar un análisis de la póliza o fianza contratada para verificar la procedencia de su entrega en una versión pública por contener datos </w:t>
      </w:r>
      <w:r w:rsidRPr="00CA3650">
        <w:rPr>
          <w:rFonts w:ascii="Palatino Linotype" w:hAnsi="Palatino Linotype"/>
          <w:i/>
          <w:color w:val="000000"/>
        </w:rPr>
        <w:lastRenderedPageBreak/>
        <w:t xml:space="preserve">personales, que de acuerdo con la Ley de Transparencia y Acceso a la Información Pública del Estado de México son información de carácter Por lo anterior, se puede advertir que el Titular de la Unidad de Transparencia del Sujeto Obligado desconoce las normas y procedimientos que se deben seguir para brindar atención a las solicitudes de información que le sean formuladas, ya que la Ley es clara al referir que cuando un mismo medio, impreso o electrónico, contenga información pública y reservada o confidencial, la Unidad de Transparencia para efectos de atender una solicitud de información, deberá elaborar una versión pública en la que se testen las partes.o secciones clasificadas, indicando su contenido de manera genérica y fundando y motivando su clasificación, misma que de acuerdo con el procedimiento de clasificación previsto en la norma especializada, se deberá llevar a cabo en el momento en que se generen las versiones públicas para dar cumplimiento a las obligaciones de transparencia por medio de una resolución del Comité de Transparencia del Sujeto Obligado en donde se justifique la supresión de los datos. </w:t>
      </w:r>
      <w:r w:rsidRPr="003A2DCA">
        <w:rPr>
          <w:rFonts w:ascii="Palatino Linotype" w:hAnsi="Palatino Linotype"/>
          <w:i/>
          <w:color w:val="000000"/>
          <w:u w:val="single"/>
        </w:rPr>
        <w:t>Por lo que la información diferente o incompleta presentada por el sujeto obligado es una burla y una práctica o táctica dilatoria para evitar que el suscrito acceda a la información pública solicitada</w:t>
      </w:r>
      <w:r w:rsidRPr="00CA3650">
        <w:rPr>
          <w:rFonts w:ascii="Palatino Linotype" w:hAnsi="Palatino Linotype"/>
          <w:i/>
          <w:color w:val="000000"/>
        </w:rPr>
        <w:t xml:space="preserve">. Por lo que a consideración del suscrito el sujeto obligado a través de la coordinadora de transparencia LIC. KAREN ALONDRA MEJIA GUARDIAN, se está conduciendo con deslealtad, dolo y mala fe al negárseme la información solicitada o en el mejor de los casos al hacer uso de esta práctica dilatoria. </w:t>
      </w:r>
      <w:r w:rsidRPr="003A2DCA">
        <w:rPr>
          <w:rFonts w:ascii="Palatino Linotype" w:hAnsi="Palatino Linotype"/>
          <w:i/>
          <w:color w:val="000000"/>
          <w:u w:val="single"/>
        </w:rPr>
        <w:t xml:space="preserve">Por lo que en su momento considero deberá hacerlo del conocimiento del órgano de control interno del Ayuntamiento de Tenancingo, México para que éste inicie el procedimiento de responsabilidad respectivo </w:t>
      </w:r>
      <w:r w:rsidRPr="00CA3650">
        <w:rPr>
          <w:rFonts w:ascii="Palatino Linotype" w:hAnsi="Palatino Linotype"/>
          <w:i/>
          <w:color w:val="000000"/>
        </w:rPr>
        <w:t>Bajo este contexto se debe declarar procedente el recurso de revisión interpuesto y ordenar al sujeto obligado haga entrega de la información pública en los términos solicitados.</w:t>
      </w:r>
      <w:r w:rsidRPr="004F61AC">
        <w:rPr>
          <w:rFonts w:ascii="Palatino Linotype" w:hAnsi="Palatino Linotype"/>
          <w:i/>
          <w:color w:val="000000"/>
        </w:rPr>
        <w:t>" [Sic]</w:t>
      </w:r>
    </w:p>
    <w:p w14:paraId="78521BE3" w14:textId="77777777" w:rsidR="00C7579B" w:rsidRPr="00C7579B"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0BF77161" w14:textId="4557917B" w:rsidR="00267F29" w:rsidRDefault="00267F29" w:rsidP="00267F29">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Por lo anterior, este Órgano Garante </w:t>
      </w:r>
      <w:r w:rsidRPr="00267F29">
        <w:rPr>
          <w:rFonts w:ascii="Palatino Linotype" w:eastAsia="Times New Roman" w:hAnsi="Palatino Linotype" w:cs="Times New Roman"/>
          <w:sz w:val="24"/>
          <w:szCs w:val="24"/>
          <w:lang w:val="es-ES" w:eastAsia="es-ES"/>
        </w:rPr>
        <w:t xml:space="preserve">procedió a verificar </w:t>
      </w:r>
      <w:r w:rsidR="001905AD">
        <w:rPr>
          <w:rFonts w:ascii="Palatino Linotype" w:eastAsia="Times New Roman" w:hAnsi="Palatino Linotype" w:cs="Times New Roman"/>
          <w:sz w:val="24"/>
          <w:szCs w:val="24"/>
          <w:lang w:val="es-ES" w:eastAsia="es-ES"/>
        </w:rPr>
        <w:t>las documentales remitidas</w:t>
      </w:r>
      <w:r w:rsidRPr="00267F29">
        <w:rPr>
          <w:rFonts w:ascii="Palatino Linotype" w:eastAsia="Times New Roman" w:hAnsi="Palatino Linotype" w:cs="Times New Roman"/>
          <w:sz w:val="24"/>
          <w:szCs w:val="24"/>
          <w:lang w:val="es-ES" w:eastAsia="es-ES"/>
        </w:rPr>
        <w:t xml:space="preserve"> por el </w:t>
      </w:r>
      <w:r w:rsidRPr="001905AD">
        <w:rPr>
          <w:rFonts w:ascii="Palatino Linotype" w:eastAsia="Times New Roman" w:hAnsi="Palatino Linotype" w:cs="Times New Roman"/>
          <w:b/>
          <w:bCs/>
          <w:sz w:val="24"/>
          <w:szCs w:val="24"/>
          <w:lang w:val="es-ES" w:eastAsia="es-ES"/>
        </w:rPr>
        <w:t>Sujeto Obligado</w:t>
      </w:r>
      <w:r w:rsidR="002843BD">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sz w:val="24"/>
          <w:szCs w:val="24"/>
          <w:lang w:val="es-ES" w:eastAsia="es-ES"/>
        </w:rPr>
        <w:t xml:space="preserve"> encontrando</w:t>
      </w:r>
      <w:r w:rsidR="001905AD">
        <w:rPr>
          <w:rFonts w:ascii="Palatino Linotype" w:eastAsia="Times New Roman" w:hAnsi="Palatino Linotype" w:cs="Times New Roman"/>
          <w:sz w:val="24"/>
          <w:szCs w:val="24"/>
          <w:lang w:val="es-ES" w:eastAsia="es-ES"/>
        </w:rPr>
        <w:t xml:space="preserve"> que, si bien es cierto, se remitió el </w:t>
      </w:r>
      <w:r w:rsidR="001905AD" w:rsidRPr="001905AD">
        <w:rPr>
          <w:rFonts w:ascii="Palatino Linotype" w:eastAsia="Times New Roman" w:hAnsi="Palatino Linotype" w:cs="Times New Roman"/>
          <w:sz w:val="24"/>
          <w:szCs w:val="24"/>
          <w:lang w:val="es-ES" w:eastAsia="es-ES"/>
        </w:rPr>
        <w:t>Clausulado Único de Fianzas de Fidelidad del contrato de Fianza</w:t>
      </w:r>
      <w:r w:rsidR="001905AD">
        <w:rPr>
          <w:rFonts w:ascii="Palatino Linotype" w:eastAsia="Times New Roman" w:hAnsi="Palatino Linotype" w:cs="Times New Roman"/>
          <w:sz w:val="24"/>
          <w:szCs w:val="24"/>
          <w:lang w:val="es-ES" w:eastAsia="es-ES"/>
        </w:rPr>
        <w:t xml:space="preserve"> celebrado por una Institución Financiera y el Sujeto Obligado, no se entregó la </w:t>
      </w:r>
      <w:r w:rsidR="001905AD" w:rsidRPr="001905AD">
        <w:rPr>
          <w:rFonts w:ascii="Palatino Linotype" w:eastAsia="Times New Roman" w:hAnsi="Palatino Linotype" w:cs="Times New Roman"/>
          <w:sz w:val="24"/>
          <w:szCs w:val="24"/>
          <w:lang w:val="es-ES" w:eastAsia="es-ES"/>
        </w:rPr>
        <w:t>Póliza contratada po</w:t>
      </w:r>
      <w:r w:rsidR="001905AD">
        <w:rPr>
          <w:rFonts w:ascii="Palatino Linotype" w:eastAsia="Times New Roman" w:hAnsi="Palatino Linotype" w:cs="Times New Roman"/>
          <w:sz w:val="24"/>
          <w:szCs w:val="24"/>
          <w:lang w:val="es-ES" w:eastAsia="es-ES"/>
        </w:rPr>
        <w:t>r el</w:t>
      </w:r>
      <w:r w:rsidR="001905AD" w:rsidRPr="001905AD">
        <w:rPr>
          <w:rFonts w:ascii="Palatino Linotype" w:eastAsia="Times New Roman" w:hAnsi="Palatino Linotype" w:cs="Times New Roman"/>
          <w:sz w:val="24"/>
          <w:szCs w:val="24"/>
          <w:lang w:val="es-ES" w:eastAsia="es-ES"/>
        </w:rPr>
        <w:t xml:space="preserve"> Ayuntamiento de Tenancingo 2025-2027, para caucionar el manejo de los fondos municipales</w:t>
      </w:r>
      <w:r w:rsidR="00A94686">
        <w:rPr>
          <w:rFonts w:ascii="Palatino Linotype" w:eastAsia="Times New Roman" w:hAnsi="Palatino Linotype" w:cs="Times New Roman"/>
          <w:sz w:val="24"/>
          <w:szCs w:val="24"/>
          <w:lang w:val="es-ES" w:eastAsia="es-ES"/>
        </w:rPr>
        <w:t>.</w:t>
      </w:r>
    </w:p>
    <w:p w14:paraId="7FEEBFA6" w14:textId="70EB19EF" w:rsidR="00A94686" w:rsidRPr="00A94686" w:rsidRDefault="00A94686" w:rsidP="00A94686">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 xml:space="preserve">Atento a lo anterior, </w:t>
      </w:r>
      <w:r w:rsidRPr="00A94686">
        <w:rPr>
          <w:rFonts w:ascii="Palatino Linotype" w:eastAsia="Palatino Linotype" w:hAnsi="Palatino Linotype" w:cs="Palatino Linotype"/>
          <w:sz w:val="24"/>
          <w:szCs w:val="24"/>
          <w:lang w:val="es-ES_tradnl" w:eastAsia="es-MX"/>
        </w:rPr>
        <w:t xml:space="preserve">se advierte que </w:t>
      </w:r>
      <w:r>
        <w:rPr>
          <w:rFonts w:ascii="Palatino Linotype" w:eastAsia="Palatino Linotype" w:hAnsi="Palatino Linotype" w:cs="Palatino Linotype"/>
          <w:sz w:val="24"/>
          <w:szCs w:val="24"/>
          <w:lang w:val="es-ES_tradnl" w:eastAsia="es-MX"/>
        </w:rPr>
        <w:t>la información requerida por el ahora Recurrente, forma parte de los requisitos para ocupar el cargo de Tesorero Municipal, establecidos</w:t>
      </w:r>
      <w:r w:rsidRPr="00A94686">
        <w:rPr>
          <w:rFonts w:ascii="Palatino Linotype" w:eastAsia="Palatino Linotype" w:hAnsi="Palatino Linotype" w:cs="Palatino Linotype"/>
          <w:sz w:val="24"/>
          <w:szCs w:val="24"/>
          <w:lang w:val="es-ES_tradnl" w:eastAsia="es-MX"/>
        </w:rPr>
        <w:t xml:space="preserve"> en el artículo 96 de la Ley Orgánica Municipal del Estado de México, </w:t>
      </w:r>
      <w:r>
        <w:rPr>
          <w:rFonts w:ascii="Palatino Linotype" w:eastAsia="Palatino Linotype" w:hAnsi="Palatino Linotype" w:cs="Palatino Linotype"/>
          <w:sz w:val="24"/>
          <w:szCs w:val="24"/>
          <w:lang w:val="es-ES_tradnl" w:eastAsia="es-MX"/>
        </w:rPr>
        <w:t>como se puede apreciar</w:t>
      </w:r>
      <w:r w:rsidRPr="00A94686">
        <w:rPr>
          <w:rFonts w:ascii="Palatino Linotype" w:eastAsia="Times New Roman" w:hAnsi="Palatino Linotype" w:cs="Arial"/>
          <w:sz w:val="24"/>
          <w:szCs w:val="24"/>
          <w:lang w:val="es-ES" w:eastAsia="es-MX"/>
        </w:rPr>
        <w:t xml:space="preserve"> a continuación: </w:t>
      </w:r>
    </w:p>
    <w:p w14:paraId="053B44A3" w14:textId="77777777" w:rsidR="00A94686" w:rsidRPr="00A94686" w:rsidRDefault="00A94686" w:rsidP="00A94686">
      <w:pPr>
        <w:spacing w:after="0" w:line="240" w:lineRule="auto"/>
        <w:ind w:right="851"/>
        <w:jc w:val="both"/>
        <w:rPr>
          <w:rFonts w:ascii="Palatino Linotype" w:eastAsia="Times New Roman" w:hAnsi="Palatino Linotype" w:cs="Arial"/>
          <w:i/>
          <w:iCs/>
          <w:sz w:val="24"/>
          <w:szCs w:val="24"/>
          <w:lang w:val="es-ES" w:eastAsia="es-MX"/>
        </w:rPr>
      </w:pPr>
    </w:p>
    <w:p w14:paraId="4DC4C21C"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val="es-ES" w:eastAsia="es-MX"/>
        </w:rPr>
      </w:pPr>
    </w:p>
    <w:p w14:paraId="10577C0C"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val="es-ES_tradnl" w:eastAsia="es-MX"/>
        </w:rPr>
      </w:pPr>
      <w:r w:rsidRPr="00A94686">
        <w:rPr>
          <w:rFonts w:ascii="Palatino Linotype" w:eastAsia="Times New Roman" w:hAnsi="Palatino Linotype" w:cs="Arial"/>
          <w:b/>
          <w:bCs/>
          <w:i/>
          <w:iCs/>
          <w:sz w:val="24"/>
          <w:szCs w:val="24"/>
          <w:lang w:val="es-ES_tradnl" w:eastAsia="es-MX"/>
        </w:rPr>
        <w:t>Artículo 96</w:t>
      </w:r>
      <w:r w:rsidRPr="00A94686">
        <w:rPr>
          <w:rFonts w:ascii="Palatino Linotype" w:eastAsia="Times New Roman" w:hAnsi="Palatino Linotype" w:cs="Arial"/>
          <w:i/>
          <w:iCs/>
          <w:sz w:val="24"/>
          <w:szCs w:val="24"/>
          <w:lang w:val="es-ES_tradnl" w:eastAsia="es-MX"/>
        </w:rPr>
        <w:t xml:space="preserve">.- Para ser </w:t>
      </w:r>
      <w:r w:rsidRPr="00A94686">
        <w:rPr>
          <w:rFonts w:ascii="Palatino Linotype" w:eastAsia="Times New Roman" w:hAnsi="Palatino Linotype" w:cs="Arial"/>
          <w:b/>
          <w:bCs/>
          <w:i/>
          <w:iCs/>
          <w:sz w:val="24"/>
          <w:szCs w:val="24"/>
          <w:u w:val="single"/>
          <w:lang w:val="es-ES_tradnl" w:eastAsia="es-MX"/>
        </w:rPr>
        <w:t>tesorero municipal</w:t>
      </w:r>
      <w:r w:rsidRPr="00A94686">
        <w:rPr>
          <w:rFonts w:ascii="Palatino Linotype" w:eastAsia="Times New Roman" w:hAnsi="Palatino Linotype" w:cs="Arial"/>
          <w:i/>
          <w:iCs/>
          <w:sz w:val="24"/>
          <w:szCs w:val="24"/>
          <w:lang w:val="es-ES_tradnl" w:eastAsia="es-MX"/>
        </w:rPr>
        <w:t xml:space="preserve"> se requiere, además de los requisitos del artículos 32 de esta Ley: </w:t>
      </w:r>
    </w:p>
    <w:p w14:paraId="073EA3F7"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val="es-ES_tradnl" w:eastAsia="es-MX"/>
        </w:rPr>
      </w:pPr>
    </w:p>
    <w:p w14:paraId="0924F8C6"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val="es-ES_tradnl" w:eastAsia="es-MX"/>
        </w:rPr>
      </w:pPr>
      <w:r w:rsidRPr="00A94686">
        <w:rPr>
          <w:rFonts w:ascii="Palatino Linotype" w:eastAsia="Times New Roman" w:hAnsi="Palatino Linotype" w:cs="Arial"/>
          <w:i/>
          <w:iCs/>
          <w:sz w:val="24"/>
          <w:szCs w:val="24"/>
          <w:lang w:val="es-ES_tradnl" w:eastAsia="es-MX"/>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6A6886B0"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val="es-ES_tradnl" w:eastAsia="es-MX"/>
        </w:rPr>
      </w:pPr>
    </w:p>
    <w:p w14:paraId="47040812"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eastAsia="es-MX"/>
        </w:rPr>
      </w:pPr>
      <w:r w:rsidRPr="00A94686">
        <w:rPr>
          <w:rFonts w:ascii="Palatino Linotype" w:eastAsia="Times New Roman" w:hAnsi="Palatino Linotype" w:cs="Arial"/>
          <w:i/>
          <w:iCs/>
          <w:sz w:val="24"/>
          <w:szCs w:val="24"/>
          <w:lang w:eastAsia="es-MX"/>
        </w:rPr>
        <w:t>El requisito de la certificación de competencia laboral, deberá acreditarse dentro de los seis meses siguientes a la fecha en que inicie funciones.</w:t>
      </w:r>
    </w:p>
    <w:p w14:paraId="00B6773B"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eastAsia="es-MX"/>
        </w:rPr>
      </w:pPr>
    </w:p>
    <w:p w14:paraId="7308B9FE"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eastAsia="es-MX"/>
        </w:rPr>
      </w:pPr>
      <w:r w:rsidRPr="00A94686">
        <w:rPr>
          <w:rFonts w:ascii="Palatino Linotype" w:eastAsia="Times New Roman" w:hAnsi="Palatino Linotype" w:cs="Arial"/>
          <w:i/>
          <w:iCs/>
          <w:sz w:val="24"/>
          <w:szCs w:val="24"/>
          <w:lang w:eastAsia="es-MX"/>
        </w:rPr>
        <w:t>II.</w:t>
      </w:r>
      <w:r w:rsidRPr="00A94686">
        <w:rPr>
          <w:rFonts w:ascii="Palatino Linotype" w:eastAsia="Times New Roman" w:hAnsi="Palatino Linotype" w:cs="Arial"/>
          <w:b/>
          <w:bCs/>
          <w:i/>
          <w:iCs/>
          <w:sz w:val="24"/>
          <w:szCs w:val="24"/>
          <w:lang w:eastAsia="es-MX"/>
        </w:rPr>
        <w:t xml:space="preserve"> </w:t>
      </w:r>
      <w:r w:rsidRPr="00A94686">
        <w:rPr>
          <w:rFonts w:ascii="Palatino Linotype" w:eastAsia="Times New Roman" w:hAnsi="Palatino Linotype" w:cs="Arial"/>
          <w:i/>
          <w:iCs/>
          <w:sz w:val="24"/>
          <w:szCs w:val="24"/>
          <w:u w:val="single"/>
          <w:lang w:eastAsia="es-MX"/>
        </w:rPr>
        <w:t>Caucionar el manejo de los fondos municipales, por un monto equivalente al uno al millar del importe correspondiente a los ingresos propios del municipio y las participaciones que en ingresos federales y estatales le correspondieron en el ejercicio inmediato anterior</w:t>
      </w:r>
      <w:r w:rsidRPr="00A94686">
        <w:rPr>
          <w:rFonts w:ascii="Palatino Linotype" w:eastAsia="Times New Roman" w:hAnsi="Palatino Linotype" w:cs="Arial"/>
          <w:i/>
          <w:iCs/>
          <w:sz w:val="24"/>
          <w:szCs w:val="24"/>
          <w:lang w:eastAsia="es-MX"/>
        </w:rPr>
        <w:t>;</w:t>
      </w:r>
    </w:p>
    <w:p w14:paraId="30D441E2"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eastAsia="es-MX"/>
        </w:rPr>
      </w:pPr>
    </w:p>
    <w:p w14:paraId="59F03CD0"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eastAsia="es-MX"/>
        </w:rPr>
      </w:pPr>
      <w:r w:rsidRPr="00A94686">
        <w:rPr>
          <w:rFonts w:ascii="Palatino Linotype" w:eastAsia="Times New Roman" w:hAnsi="Palatino Linotype" w:cs="Arial"/>
          <w:i/>
          <w:iCs/>
          <w:sz w:val="24"/>
          <w:szCs w:val="24"/>
          <w:lang w:eastAsia="es-MX"/>
        </w:rPr>
        <w:t>III. Derogada</w:t>
      </w:r>
    </w:p>
    <w:p w14:paraId="7059DCDD"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eastAsia="es-MX"/>
        </w:rPr>
      </w:pPr>
    </w:p>
    <w:p w14:paraId="427AFA4E"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eastAsia="es-MX"/>
        </w:rPr>
      </w:pPr>
      <w:r w:rsidRPr="00A94686">
        <w:rPr>
          <w:rFonts w:ascii="Palatino Linotype" w:eastAsia="Times New Roman" w:hAnsi="Palatino Linotype" w:cs="Arial"/>
          <w:i/>
          <w:iCs/>
          <w:sz w:val="24"/>
          <w:szCs w:val="24"/>
          <w:lang w:eastAsia="es-MX"/>
        </w:rPr>
        <w:t>IV. Cumplir con otros requisitos que señalen las leyes, o acuerde el ayuntamiento.</w:t>
      </w:r>
    </w:p>
    <w:p w14:paraId="02E14B18"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val="es-ES_tradnl" w:eastAsia="es-MX"/>
        </w:rPr>
      </w:pPr>
    </w:p>
    <w:p w14:paraId="180A9982" w14:textId="77777777" w:rsidR="00A94686" w:rsidRPr="00A94686" w:rsidRDefault="00A94686" w:rsidP="00A94686">
      <w:pPr>
        <w:spacing w:after="0" w:line="240" w:lineRule="auto"/>
        <w:ind w:left="851" w:right="851"/>
        <w:jc w:val="both"/>
        <w:rPr>
          <w:rFonts w:ascii="Palatino Linotype" w:eastAsia="Times New Roman" w:hAnsi="Palatino Linotype" w:cs="Arial"/>
          <w:i/>
          <w:iCs/>
          <w:sz w:val="24"/>
          <w:szCs w:val="24"/>
          <w:lang w:val="es-ES" w:eastAsia="es-MX"/>
        </w:rPr>
      </w:pPr>
      <w:r w:rsidRPr="00A94686">
        <w:rPr>
          <w:rFonts w:ascii="Palatino Linotype" w:eastAsia="Times New Roman" w:hAnsi="Palatino Linotype" w:cs="Arial"/>
          <w:i/>
          <w:iCs/>
          <w:sz w:val="24"/>
          <w:szCs w:val="24"/>
          <w:lang w:val="es-ES" w:eastAsia="es-MX"/>
        </w:rPr>
        <w:t>(…)</w:t>
      </w:r>
    </w:p>
    <w:p w14:paraId="69AFD623" w14:textId="77777777" w:rsidR="00A94686" w:rsidRPr="00A94686" w:rsidRDefault="00A94686" w:rsidP="00A94686">
      <w:pPr>
        <w:tabs>
          <w:tab w:val="left" w:pos="709"/>
        </w:tabs>
        <w:spacing w:after="0" w:line="360" w:lineRule="auto"/>
        <w:jc w:val="both"/>
        <w:rPr>
          <w:rFonts w:ascii="Palatino Linotype" w:eastAsia="Palatino Linotype" w:hAnsi="Palatino Linotype" w:cs="Palatino Linotype"/>
          <w:sz w:val="24"/>
          <w:szCs w:val="24"/>
          <w:lang w:val="es-ES_tradnl" w:eastAsia="es-MX"/>
        </w:rPr>
      </w:pPr>
    </w:p>
    <w:p w14:paraId="19B6D941" w14:textId="3F297295" w:rsidR="00A94686" w:rsidRPr="00A94686" w:rsidRDefault="00A94686" w:rsidP="00A94686">
      <w:pPr>
        <w:spacing w:after="0" w:line="360" w:lineRule="auto"/>
        <w:jc w:val="both"/>
        <w:rPr>
          <w:rFonts w:ascii="Palatino Linotype" w:eastAsia="Calibri" w:hAnsi="Palatino Linotype" w:cs="Arial"/>
          <w:sz w:val="24"/>
          <w:szCs w:val="24"/>
          <w:lang w:val="es-ES" w:eastAsia="es-ES"/>
        </w:rPr>
      </w:pPr>
      <w:r w:rsidRPr="00A94686">
        <w:rPr>
          <w:rFonts w:ascii="Palatino Linotype" w:eastAsia="Calibri" w:hAnsi="Palatino Linotype" w:cs="Arial"/>
          <w:sz w:val="24"/>
          <w:szCs w:val="24"/>
          <w:lang w:val="es-ES" w:eastAsia="es-ES"/>
        </w:rPr>
        <w:lastRenderedPageBreak/>
        <w:t xml:space="preserve">Del anterior precepto legales, se acredita que el </w:t>
      </w:r>
      <w:r w:rsidRPr="00A94686">
        <w:rPr>
          <w:rFonts w:ascii="Palatino Linotype" w:eastAsia="Calibri" w:hAnsi="Palatino Linotype" w:cs="Arial"/>
          <w:b/>
          <w:sz w:val="24"/>
          <w:szCs w:val="24"/>
          <w:lang w:val="es-ES" w:eastAsia="es-ES"/>
        </w:rPr>
        <w:t>Sujeto Obligado</w:t>
      </w:r>
      <w:r w:rsidRPr="00A94686">
        <w:rPr>
          <w:rFonts w:ascii="Palatino Linotype" w:eastAsia="Calibri" w:hAnsi="Palatino Linotype" w:cs="Arial"/>
          <w:sz w:val="24"/>
          <w:szCs w:val="24"/>
          <w:lang w:val="es-ES" w:eastAsia="es-ES"/>
        </w:rPr>
        <w:t xml:space="preserve"> para contar dentro de su administración pública con</w:t>
      </w:r>
      <w:bookmarkStart w:id="2" w:name="_Hlk83206025"/>
      <w:r w:rsidRPr="00A94686">
        <w:rPr>
          <w:rFonts w:ascii="Palatino Linotype" w:eastAsia="Calibri" w:hAnsi="Palatino Linotype" w:cs="Arial"/>
          <w:sz w:val="24"/>
          <w:szCs w:val="24"/>
          <w:lang w:val="es-ES" w:eastAsia="es-ES"/>
        </w:rPr>
        <w:t xml:space="preserve"> un Tesorero Municipal</w:t>
      </w:r>
      <w:bookmarkEnd w:id="2"/>
      <w:r w:rsidRPr="00A94686">
        <w:rPr>
          <w:rFonts w:ascii="Palatino Linotype" w:eastAsia="Calibri" w:hAnsi="Palatino Linotype" w:cs="Arial"/>
          <w:sz w:val="24"/>
          <w:szCs w:val="24"/>
          <w:lang w:val="es-ES" w:eastAsia="es-ES"/>
        </w:rPr>
        <w:t>, éste previamente a su nombramiento, deberá obligatoriamente acreditar ciertos requisitos, entre ellos</w:t>
      </w:r>
      <w:bookmarkStart w:id="3" w:name="_Hlk83207936"/>
      <w:r w:rsidRPr="00A94686">
        <w:rPr>
          <w:rFonts w:ascii="Palatino Linotype" w:eastAsia="Calibri" w:hAnsi="Palatino Linotype" w:cs="Arial"/>
          <w:sz w:val="24"/>
          <w:szCs w:val="24"/>
          <w:lang w:val="es-ES" w:eastAsia="es-ES"/>
        </w:rPr>
        <w:t xml:space="preserve">, </w:t>
      </w:r>
      <w:r w:rsidRPr="00A94686">
        <w:rPr>
          <w:rFonts w:ascii="Palatino Linotype" w:eastAsia="Calibri" w:hAnsi="Palatino Linotype" w:cs="Arial"/>
          <w:b/>
          <w:bCs/>
          <w:sz w:val="24"/>
          <w:szCs w:val="24"/>
          <w:lang w:val="es-ES" w:eastAsia="es-ES"/>
        </w:rPr>
        <w:t>caucionar el manejo de los fondos municipales</w:t>
      </w:r>
      <w:r w:rsidRPr="00A94686">
        <w:rPr>
          <w:rFonts w:ascii="Palatino Linotype" w:eastAsia="Calibri" w:hAnsi="Palatino Linotype" w:cs="Arial"/>
          <w:sz w:val="24"/>
          <w:szCs w:val="24"/>
          <w:lang w:val="es-ES" w:eastAsia="es-ES"/>
        </w:rPr>
        <w:t>, por un monto equivalente al uno al millar del importe correspondiente a los ingresos propios del municipio y las participaciones que en ingresos federales y estatales le correspondieron en el ejercicio inmediato anterior;  de ahí que deba arribarse a la premisa de qu</w:t>
      </w:r>
      <w:bookmarkEnd w:id="3"/>
      <w:r w:rsidRPr="00A94686">
        <w:rPr>
          <w:rFonts w:ascii="Palatino Linotype" w:eastAsia="Calibri" w:hAnsi="Palatino Linotype" w:cs="Arial"/>
          <w:sz w:val="24"/>
          <w:szCs w:val="24"/>
          <w:lang w:val="es-ES" w:eastAsia="es-ES"/>
        </w:rPr>
        <w:t>e dichos documentos deben obrar en el expediente de</w:t>
      </w:r>
      <w:r>
        <w:rPr>
          <w:rFonts w:ascii="Palatino Linotype" w:eastAsia="Calibri" w:hAnsi="Palatino Linotype" w:cs="Arial"/>
          <w:sz w:val="24"/>
          <w:szCs w:val="24"/>
          <w:lang w:val="es-ES" w:eastAsia="es-ES"/>
        </w:rPr>
        <w:t>l</w:t>
      </w:r>
      <w:r w:rsidRPr="00A94686">
        <w:rPr>
          <w:rFonts w:ascii="Palatino Linotype" w:eastAsia="Calibri" w:hAnsi="Palatino Linotype" w:cs="Arial"/>
          <w:sz w:val="24"/>
          <w:szCs w:val="24"/>
          <w:lang w:val="es-ES" w:eastAsia="es-ES"/>
        </w:rPr>
        <w:t xml:space="preserve"> Tesorer</w:t>
      </w:r>
      <w:r>
        <w:rPr>
          <w:rFonts w:ascii="Palatino Linotype" w:eastAsia="Calibri" w:hAnsi="Palatino Linotype" w:cs="Arial"/>
          <w:sz w:val="24"/>
          <w:szCs w:val="24"/>
          <w:lang w:val="es-ES" w:eastAsia="es-ES"/>
        </w:rPr>
        <w:t>o</w:t>
      </w:r>
      <w:r w:rsidRPr="00A94686">
        <w:rPr>
          <w:rFonts w:ascii="Palatino Linotype" w:eastAsia="Calibri" w:hAnsi="Palatino Linotype" w:cs="Arial"/>
          <w:sz w:val="24"/>
          <w:szCs w:val="24"/>
          <w:lang w:val="es-ES" w:eastAsia="es-ES"/>
        </w:rPr>
        <w:t xml:space="preserve"> Municipal en posesión del </w:t>
      </w:r>
      <w:r w:rsidRPr="00A94686">
        <w:rPr>
          <w:rFonts w:ascii="Palatino Linotype" w:eastAsia="Calibri" w:hAnsi="Palatino Linotype" w:cs="Arial"/>
          <w:b/>
          <w:bCs/>
          <w:sz w:val="24"/>
          <w:szCs w:val="24"/>
          <w:lang w:val="es-ES" w:eastAsia="es-ES"/>
        </w:rPr>
        <w:t>Sujeto Obligado</w:t>
      </w:r>
      <w:r w:rsidRPr="00A94686">
        <w:rPr>
          <w:rFonts w:ascii="Palatino Linotype" w:eastAsia="Calibri" w:hAnsi="Palatino Linotype" w:cs="Arial"/>
          <w:sz w:val="24"/>
          <w:szCs w:val="24"/>
          <w:lang w:val="es-ES" w:eastAsia="es-ES"/>
        </w:rPr>
        <w:t xml:space="preserve">. </w:t>
      </w:r>
    </w:p>
    <w:p w14:paraId="636EF5D1" w14:textId="71CBA11E" w:rsidR="0019696F" w:rsidRDefault="0019696F" w:rsidP="00A94686">
      <w:pPr>
        <w:tabs>
          <w:tab w:val="left" w:pos="709"/>
        </w:tabs>
        <w:spacing w:line="360" w:lineRule="auto"/>
        <w:rPr>
          <w:rFonts w:ascii="Palatino Linotype" w:hAnsi="Palatino Linotype" w:cs="Arial"/>
          <w:sz w:val="24"/>
          <w:szCs w:val="24"/>
        </w:rPr>
      </w:pPr>
    </w:p>
    <w:p w14:paraId="4A2F714B" w14:textId="18E24D00" w:rsidR="0027201B"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otro lado</w:t>
      </w:r>
      <w:r w:rsidR="0064372C">
        <w:rPr>
          <w:rFonts w:ascii="Palatino Linotype" w:hAnsi="Palatino Linotype" w:cs="Arial"/>
          <w:sz w:val="24"/>
          <w:szCs w:val="24"/>
        </w:rPr>
        <w:t>,</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7025C4">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w:t>
      </w:r>
      <w:r w:rsidR="00A660D3">
        <w:rPr>
          <w:rFonts w:ascii="Palatino Linotype" w:hAnsi="Palatino Linotype" w:cs="Arial"/>
          <w:sz w:val="24"/>
          <w:szCs w:val="24"/>
        </w:rPr>
        <w:t xml:space="preserve">ación existente en sus archivos. </w:t>
      </w:r>
      <w:r w:rsidR="0064372C">
        <w:rPr>
          <w:rFonts w:ascii="Palatino Linotype" w:hAnsi="Palatino Linotype" w:cs="Arial"/>
          <w:sz w:val="24"/>
          <w:szCs w:val="24"/>
        </w:rPr>
        <w:t xml:space="preserve">Lo anterior es así, </w:t>
      </w:r>
      <w:r w:rsidR="00F91FB6">
        <w:rPr>
          <w:rFonts w:ascii="Palatino Linotype" w:hAnsi="Palatino Linotype" w:cs="Arial"/>
          <w:sz w:val="24"/>
          <w:szCs w:val="24"/>
        </w:rPr>
        <w:t>ya que,</w:t>
      </w:r>
      <w:r w:rsidR="0064372C">
        <w:rPr>
          <w:rFonts w:ascii="Palatino Linotype" w:hAnsi="Palatino Linotype" w:cs="Arial"/>
          <w:sz w:val="24"/>
          <w:szCs w:val="24"/>
        </w:rPr>
        <w:t xml:space="preserve"> </w:t>
      </w:r>
      <w:r w:rsidR="0027201B" w:rsidRPr="00D13260">
        <w:rPr>
          <w:rFonts w:ascii="Palatino Linotype" w:hAnsi="Palatino Linotype" w:cs="Arial"/>
          <w:sz w:val="24"/>
          <w:szCs w:val="24"/>
        </w:rPr>
        <w:t>en fecha</w:t>
      </w:r>
      <w:r w:rsidR="00DA6B5A">
        <w:rPr>
          <w:rFonts w:ascii="Palatino Linotype" w:hAnsi="Palatino Linotype" w:cs="Arial"/>
          <w:sz w:val="24"/>
          <w:szCs w:val="24"/>
        </w:rPr>
        <w:t xml:space="preserve"> </w:t>
      </w:r>
      <w:r w:rsidR="00A94686">
        <w:rPr>
          <w:rFonts w:ascii="Palatino Linotype" w:hAnsi="Palatino Linotype" w:cs="Arial"/>
          <w:sz w:val="24"/>
          <w:szCs w:val="24"/>
        </w:rPr>
        <w:t>dieciocho de marzo de dos mil veinticinco</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24C2F">
        <w:rPr>
          <w:rFonts w:ascii="Palatino Linotype" w:hAnsi="Palatino Linotype" w:cs="Arial"/>
          <w:b/>
          <w:sz w:val="24"/>
          <w:szCs w:val="24"/>
        </w:rPr>
        <w:t xml:space="preserve"> </w:t>
      </w:r>
      <w:r w:rsidR="000F0CBC">
        <w:rPr>
          <w:rFonts w:ascii="Palatino Linotype" w:hAnsi="Palatino Linotype" w:cs="Arial"/>
          <w:bCs/>
          <w:sz w:val="24"/>
          <w:szCs w:val="24"/>
        </w:rPr>
        <w:t>remitió</w:t>
      </w:r>
      <w:r w:rsidR="0027201B" w:rsidRPr="00D13260">
        <w:rPr>
          <w:rFonts w:ascii="Palatino Linotype" w:hAnsi="Palatino Linotype" w:cs="Arial"/>
          <w:sz w:val="24"/>
          <w:szCs w:val="24"/>
        </w:rPr>
        <w:t xml:space="preserve"> través del</w:t>
      </w:r>
      <w:r w:rsidR="00FE2E68">
        <w:rPr>
          <w:rFonts w:ascii="Palatino Linotype" w:hAnsi="Palatino Linotype" w:cs="Arial"/>
          <w:sz w:val="24"/>
          <w:szCs w:val="24"/>
        </w:rPr>
        <w:t xml:space="preserve"> Sistema de Acceso a la Información Mexiquense</w:t>
      </w:r>
      <w:r w:rsidR="0027201B" w:rsidRPr="00D13260">
        <w:rPr>
          <w:rFonts w:ascii="Palatino Linotype" w:hAnsi="Palatino Linotype" w:cs="Arial"/>
          <w:sz w:val="24"/>
          <w:szCs w:val="24"/>
        </w:rPr>
        <w:t xml:space="preserve"> </w:t>
      </w:r>
      <w:r w:rsidR="00FE2E68">
        <w:rPr>
          <w:rFonts w:ascii="Palatino Linotype" w:hAnsi="Palatino Linotype" w:cs="Arial"/>
          <w:sz w:val="24"/>
          <w:szCs w:val="24"/>
        </w:rPr>
        <w:t>(</w:t>
      </w:r>
      <w:r w:rsidR="0027201B" w:rsidRPr="00D13260">
        <w:rPr>
          <w:rFonts w:ascii="Palatino Linotype" w:hAnsi="Palatino Linotype" w:cs="Arial"/>
          <w:b/>
          <w:sz w:val="24"/>
          <w:szCs w:val="24"/>
        </w:rPr>
        <w:t>SAIMEX</w:t>
      </w:r>
      <w:r w:rsidR="00FE2E68">
        <w:rPr>
          <w:rFonts w:ascii="Palatino Linotype" w:hAnsi="Palatino Linotype" w:cs="Arial"/>
          <w:b/>
          <w:sz w:val="24"/>
          <w:szCs w:val="24"/>
        </w:rPr>
        <w:t>)</w:t>
      </w:r>
      <w:r w:rsidR="0027201B" w:rsidRPr="00D13260">
        <w:rPr>
          <w:rFonts w:ascii="Palatino Linotype" w:hAnsi="Palatino Linotype" w:cs="Arial"/>
          <w:b/>
          <w:sz w:val="24"/>
          <w:szCs w:val="24"/>
        </w:rPr>
        <w:t xml:space="preserve"> </w:t>
      </w:r>
      <w:r w:rsidR="00A94686">
        <w:rPr>
          <w:rFonts w:ascii="Palatino Linotype" w:hAnsi="Palatino Linotype" w:cs="Arial"/>
          <w:sz w:val="24"/>
          <w:szCs w:val="24"/>
        </w:rPr>
        <w:t>el</w:t>
      </w:r>
      <w:r w:rsidR="007025C4">
        <w:rPr>
          <w:rFonts w:ascii="Palatino Linotype" w:hAnsi="Palatino Linotype" w:cs="Arial"/>
          <w:sz w:val="24"/>
          <w:szCs w:val="24"/>
        </w:rPr>
        <w:t xml:space="preserve"> archivo electrónico </w:t>
      </w:r>
      <w:r w:rsidR="00A660D3">
        <w:rPr>
          <w:rFonts w:ascii="Palatino Linotype" w:hAnsi="Palatino Linotype" w:cs="Arial"/>
          <w:sz w:val="24"/>
          <w:szCs w:val="24"/>
        </w:rPr>
        <w:t>denominado</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A94686" w:rsidRPr="00A94686">
        <w:rPr>
          <w:rFonts w:ascii="Palatino Linotype" w:hAnsi="Palatino Linotype" w:cs="Arial"/>
          <w:b/>
          <w:bCs/>
          <w:i/>
          <w:sz w:val="24"/>
          <w:szCs w:val="24"/>
        </w:rPr>
        <w:t>Contestación RR 02390 INFOEM 2025 Tesorería.pdf</w:t>
      </w:r>
      <w:r w:rsidR="00E757DE">
        <w:rPr>
          <w:rFonts w:ascii="Palatino Linotype" w:hAnsi="Palatino Linotype" w:cs="Arial"/>
          <w:i/>
          <w:sz w:val="24"/>
          <w:szCs w:val="24"/>
        </w:rPr>
        <w:t>”</w:t>
      </w:r>
      <w:r w:rsidR="00C24C2F">
        <w:rPr>
          <w:rFonts w:ascii="Palatino Linotype" w:hAnsi="Palatino Linotype" w:cs="Arial"/>
          <w:i/>
          <w:sz w:val="24"/>
          <w:szCs w:val="24"/>
        </w:rPr>
        <w:t>,</w:t>
      </w:r>
      <w:r w:rsidR="00A94686">
        <w:rPr>
          <w:rFonts w:ascii="Palatino Linotype" w:hAnsi="Palatino Linotype" w:cs="Arial"/>
          <w:i/>
          <w:sz w:val="24"/>
          <w:szCs w:val="24"/>
        </w:rPr>
        <w:t xml:space="preserve"> </w:t>
      </w:r>
      <w:r w:rsidR="00A94686" w:rsidRPr="00A94686">
        <w:rPr>
          <w:rFonts w:ascii="Palatino Linotype" w:hAnsi="Palatino Linotype" w:cs="Arial"/>
          <w:iCs/>
          <w:sz w:val="24"/>
          <w:szCs w:val="24"/>
        </w:rPr>
        <w:t xml:space="preserve">mismo que contiene los documentos que </w:t>
      </w:r>
      <w:r w:rsidR="0027201B">
        <w:rPr>
          <w:rFonts w:ascii="Palatino Linotype" w:hAnsi="Palatino Linotype" w:cs="Arial"/>
          <w:sz w:val="24"/>
          <w:szCs w:val="24"/>
        </w:rPr>
        <w:t>colma</w:t>
      </w:r>
      <w:r w:rsidR="00F91FB6">
        <w:rPr>
          <w:rFonts w:ascii="Palatino Linotype" w:hAnsi="Palatino Linotype" w:cs="Arial"/>
          <w:sz w:val="24"/>
          <w:szCs w:val="24"/>
        </w:rPr>
        <w:t>n</w:t>
      </w:r>
      <w:r w:rsidR="00802800">
        <w:rPr>
          <w:rFonts w:ascii="Palatino Linotype" w:hAnsi="Palatino Linotype" w:cs="Arial"/>
          <w:sz w:val="24"/>
          <w:szCs w:val="24"/>
        </w:rPr>
        <w:t xml:space="preserve"> </w:t>
      </w:r>
      <w:r w:rsidR="0027201B">
        <w:rPr>
          <w:rFonts w:ascii="Palatino Linotype" w:hAnsi="Palatino Linotype" w:cs="Arial"/>
          <w:sz w:val="24"/>
          <w:szCs w:val="24"/>
        </w:rPr>
        <w:t xml:space="preserve">con lo solicitado </w:t>
      </w:r>
      <w:r w:rsidR="00524019">
        <w:rPr>
          <w:rFonts w:ascii="Palatino Linotype" w:hAnsi="Palatino Linotype" w:cs="Arial"/>
          <w:sz w:val="24"/>
          <w:szCs w:val="24"/>
        </w:rPr>
        <w:t xml:space="preserve">por </w:t>
      </w:r>
      <w:r w:rsidR="007025C4">
        <w:rPr>
          <w:rFonts w:ascii="Palatino Linotype" w:hAnsi="Palatino Linotype" w:cs="Arial"/>
          <w:sz w:val="24"/>
          <w:szCs w:val="24"/>
        </w:rPr>
        <w:t>el</w:t>
      </w:r>
      <w:r w:rsidR="00524019">
        <w:rPr>
          <w:rFonts w:ascii="Palatino Linotype" w:hAnsi="Palatino Linotype" w:cs="Arial"/>
          <w:sz w:val="24"/>
          <w:szCs w:val="24"/>
        </w:rPr>
        <w:t xml:space="preserve"> hoy quejo</w:t>
      </w:r>
      <w:r w:rsidR="0027201B">
        <w:rPr>
          <w:rFonts w:ascii="Palatino Linotype" w:hAnsi="Palatino Linotype" w:cs="Arial"/>
          <w:sz w:val="24"/>
          <w:szCs w:val="24"/>
        </w:rPr>
        <w:t xml:space="preserve"> y </w:t>
      </w:r>
      <w:r w:rsidR="00A94686">
        <w:rPr>
          <w:rFonts w:ascii="Palatino Linotype" w:hAnsi="Palatino Linotype" w:cs="Arial"/>
          <w:sz w:val="24"/>
          <w:szCs w:val="24"/>
        </w:rPr>
        <w:t>de los que se desprende</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30E9B2B1" w14:textId="3748AD6C" w:rsidR="00F91FB6" w:rsidRDefault="00F91FB6" w:rsidP="005E7CCE">
      <w:pPr>
        <w:pStyle w:val="Prrafodelista"/>
        <w:numPr>
          <w:ilvl w:val="0"/>
          <w:numId w:val="6"/>
        </w:numPr>
        <w:tabs>
          <w:tab w:val="left" w:pos="709"/>
        </w:tabs>
        <w:spacing w:line="360" w:lineRule="auto"/>
        <w:jc w:val="both"/>
        <w:rPr>
          <w:rFonts w:ascii="Palatino Linotype" w:hAnsi="Palatino Linotype" w:cs="Arial"/>
        </w:rPr>
      </w:pPr>
      <w:r w:rsidRPr="00A94686">
        <w:rPr>
          <w:rFonts w:ascii="Palatino Linotype" w:hAnsi="Palatino Linotype" w:cs="Arial"/>
        </w:rPr>
        <w:t xml:space="preserve">Oficio número </w:t>
      </w:r>
      <w:r w:rsidR="00E039D6" w:rsidRPr="00A94686">
        <w:rPr>
          <w:rFonts w:ascii="Palatino Linotype" w:hAnsi="Palatino Linotype" w:cs="Arial"/>
        </w:rPr>
        <w:t>MTM058/TM118/2025</w:t>
      </w:r>
      <w:r w:rsidRPr="00A94686">
        <w:rPr>
          <w:rFonts w:ascii="Palatino Linotype" w:hAnsi="Palatino Linotype" w:cs="Arial"/>
        </w:rPr>
        <w:t xml:space="preserve">, a través del cual </w:t>
      </w:r>
      <w:r w:rsidR="007025C4" w:rsidRPr="00A94686">
        <w:rPr>
          <w:rFonts w:ascii="Palatino Linotype" w:hAnsi="Palatino Linotype" w:cs="Arial"/>
        </w:rPr>
        <w:t xml:space="preserve">el </w:t>
      </w:r>
      <w:r w:rsidR="00A94686" w:rsidRPr="00A94686">
        <w:rPr>
          <w:rFonts w:ascii="Palatino Linotype" w:hAnsi="Palatino Linotype" w:cs="Arial"/>
        </w:rPr>
        <w:t>Tesorero Municipal,</w:t>
      </w:r>
      <w:r w:rsidRPr="00A94686">
        <w:rPr>
          <w:rFonts w:ascii="Palatino Linotype" w:hAnsi="Palatino Linotype" w:cs="Arial"/>
        </w:rPr>
        <w:t xml:space="preserve"> informa a </w:t>
      </w:r>
      <w:r w:rsidR="00A94686" w:rsidRPr="00A94686">
        <w:rPr>
          <w:rFonts w:ascii="Palatino Linotype" w:hAnsi="Palatino Linotype" w:cs="Arial"/>
        </w:rPr>
        <w:t xml:space="preserve">la Coordinadora de Transparencia que, </w:t>
      </w:r>
      <w:r w:rsidR="00483D45" w:rsidRPr="00483D45">
        <w:rPr>
          <w:rFonts w:ascii="Palatino Linotype" w:hAnsi="Palatino Linotype" w:cs="Arial"/>
        </w:rPr>
        <w:t xml:space="preserve">si bien </w:t>
      </w:r>
      <w:r w:rsidR="00483D45">
        <w:rPr>
          <w:rFonts w:ascii="Palatino Linotype" w:hAnsi="Palatino Linotype" w:cs="Arial"/>
        </w:rPr>
        <w:t>la</w:t>
      </w:r>
      <w:r w:rsidR="00483D45" w:rsidRPr="00483D45">
        <w:rPr>
          <w:rFonts w:ascii="Palatino Linotype" w:hAnsi="Palatino Linotype" w:cs="Arial"/>
        </w:rPr>
        <w:t xml:space="preserve"> solicitud es referente a la póliza o fianza contratada por el titular de la Tesorería Municipal del Ayuntamiento de Tenancingo</w:t>
      </w:r>
      <w:r w:rsidR="00483D45">
        <w:rPr>
          <w:rFonts w:ascii="Palatino Linotype" w:hAnsi="Palatino Linotype" w:cs="Arial"/>
        </w:rPr>
        <w:t>,</w:t>
      </w:r>
      <w:r w:rsidR="00483D45" w:rsidRPr="00483D45">
        <w:t xml:space="preserve"> </w:t>
      </w:r>
      <w:r w:rsidR="00483D45" w:rsidRPr="00483D45">
        <w:rPr>
          <w:rFonts w:ascii="Palatino Linotype" w:hAnsi="Palatino Linotype" w:cs="Arial"/>
        </w:rPr>
        <w:t xml:space="preserve">entendiéndose que una póliza es un documento que establece los derechos y obligaciones tanto del asegurado como de la </w:t>
      </w:r>
      <w:r w:rsidR="00483D45" w:rsidRPr="00483D45">
        <w:rPr>
          <w:rFonts w:ascii="Palatino Linotype" w:hAnsi="Palatino Linotype" w:cs="Arial"/>
        </w:rPr>
        <w:lastRenderedPageBreak/>
        <w:t xml:space="preserve">compañía aseguradora en un contrato de seguro y que este detalla las condiciones, coberturas, límites y exclusiones de la póliza de seguro, por lo que derivado de las razones o motivos de inconformidad expuestos, </w:t>
      </w:r>
      <w:r w:rsidR="00483D45" w:rsidRPr="00483D45">
        <w:rPr>
          <w:rFonts w:ascii="Palatino Linotype" w:hAnsi="Palatino Linotype" w:cs="Arial"/>
          <w:b/>
          <w:bCs/>
          <w:u w:val="single"/>
        </w:rPr>
        <w:t>envía a la caratula de dicha póliza, de la cual se desprenden y se detallan datos como el número de póliza, el plan contratado, las sumas aseguradas y la vigencia</w:t>
      </w:r>
      <w:r w:rsidR="00483D45" w:rsidRPr="00483D45">
        <w:rPr>
          <w:rFonts w:ascii="Palatino Linotype" w:hAnsi="Palatino Linotype" w:cs="Arial"/>
        </w:rPr>
        <w:t>, misma documentación que se remite como anexo al presente</w:t>
      </w:r>
    </w:p>
    <w:p w14:paraId="6FD6948D" w14:textId="77777777" w:rsidR="00A94686" w:rsidRPr="00A94686" w:rsidRDefault="00A94686" w:rsidP="00A94686">
      <w:pPr>
        <w:pStyle w:val="Prrafodelista"/>
        <w:tabs>
          <w:tab w:val="left" w:pos="709"/>
        </w:tabs>
        <w:spacing w:line="360" w:lineRule="auto"/>
        <w:ind w:left="720"/>
        <w:jc w:val="both"/>
        <w:rPr>
          <w:rFonts w:ascii="Palatino Linotype" w:hAnsi="Palatino Linotype" w:cs="Arial"/>
        </w:rPr>
      </w:pPr>
    </w:p>
    <w:p w14:paraId="78650668" w14:textId="505AE4A2" w:rsidR="00483D45" w:rsidRPr="00483D45" w:rsidRDefault="00483D45" w:rsidP="00483D45">
      <w:pPr>
        <w:pStyle w:val="Prrafodelista"/>
        <w:tabs>
          <w:tab w:val="left" w:pos="709"/>
        </w:tabs>
        <w:spacing w:after="240" w:line="360" w:lineRule="auto"/>
        <w:ind w:left="720"/>
        <w:jc w:val="both"/>
        <w:rPr>
          <w:rFonts w:ascii="Palatino Linotype" w:hAnsi="Palatino Linotype" w:cs="Arial"/>
        </w:rPr>
      </w:pPr>
      <w:r>
        <w:rPr>
          <w:rFonts w:ascii="Palatino Linotype" w:hAnsi="Palatino Linotype" w:cs="Arial"/>
          <w:bCs/>
          <w:noProof/>
          <w:lang w:val="es-MX" w:eastAsia="es-MX"/>
        </w:rPr>
        <mc:AlternateContent>
          <mc:Choice Requires="wps">
            <w:drawing>
              <wp:anchor distT="0" distB="0" distL="114300" distR="114300" simplePos="0" relativeHeight="251659264" behindDoc="0" locked="0" layoutInCell="1" allowOverlap="1" wp14:anchorId="4A01EB66" wp14:editId="1575DA2C">
                <wp:simplePos x="0" y="0"/>
                <wp:positionH relativeFrom="column">
                  <wp:posOffset>3176276</wp:posOffset>
                </wp:positionH>
                <wp:positionV relativeFrom="paragraph">
                  <wp:posOffset>2609850</wp:posOffset>
                </wp:positionV>
                <wp:extent cx="987228" cy="299405"/>
                <wp:effectExtent l="19050" t="19050" r="22860" b="24765"/>
                <wp:wrapNone/>
                <wp:docPr id="1241233443" name="Rectángulo 1"/>
                <wp:cNvGraphicFramePr/>
                <a:graphic xmlns:a="http://schemas.openxmlformats.org/drawingml/2006/main">
                  <a:graphicData uri="http://schemas.microsoft.com/office/word/2010/wordprocessingShape">
                    <wps:wsp>
                      <wps:cNvSpPr/>
                      <wps:spPr>
                        <a:xfrm>
                          <a:off x="0" y="0"/>
                          <a:ext cx="987228" cy="29940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779F227" id="Rectángulo 1" o:spid="_x0000_s1026" style="position:absolute;margin-left:250.1pt;margin-top:205.5pt;width:77.75pt;height:2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" filled="f" strokecolor="red" strokeweight="2.25pt"/>
            </w:pict>
          </mc:Fallback>
        </mc:AlternateContent>
      </w:r>
      <w:r w:rsidRPr="00483D45">
        <w:rPr>
          <w:rFonts w:ascii="Palatino Linotype" w:hAnsi="Palatino Linotype" w:cs="Arial"/>
          <w:bCs/>
        </w:rPr>
        <w:t>Al documento referido, anexó</w:t>
      </w:r>
      <w:r>
        <w:rPr>
          <w:rFonts w:ascii="Palatino Linotype" w:hAnsi="Palatino Linotype" w:cs="Arial"/>
        </w:rPr>
        <w:t xml:space="preserve"> a la carátula de la Póliza de Fianza del contrato</w:t>
      </w:r>
      <w:r w:rsidRPr="00483D45">
        <w:t xml:space="preserve"> </w:t>
      </w:r>
      <w:r w:rsidRPr="00483D45">
        <w:rPr>
          <w:rFonts w:ascii="Palatino Linotype" w:hAnsi="Palatino Linotype" w:cs="Arial"/>
        </w:rPr>
        <w:t>del contrato de Fianza de Fidelidad, que celebran por una parte SOFIMEX, INSTITUCIÓN DE GARANTIAS, S.A., como fiadora del beneficiario Ayuntamiento de Tenancingo</w:t>
      </w:r>
      <w:r>
        <w:rPr>
          <w:rFonts w:ascii="Palatino Linotype" w:hAnsi="Palatino Linotype" w:cs="Arial"/>
        </w:rPr>
        <w:t>, para garantizar las responsabilidades de servidores públicos contratados por el Sujeto Obligado, por los delitos de robo, fraude, abuso de confianza, peculado y administración fraudulenta, en los bienes propiedad o en posesión del Sujeto Obligado,</w:t>
      </w:r>
      <w:r w:rsidR="003E7FC4" w:rsidRPr="00E757DE">
        <w:rPr>
          <w:rFonts w:ascii="Palatino Linotype" w:hAnsi="Palatino Linotype" w:cs="Arial"/>
        </w:rPr>
        <w:t xml:space="preserve"> como se puede advertir de la </w:t>
      </w:r>
      <w:r w:rsidRPr="00E757DE">
        <w:rPr>
          <w:rFonts w:ascii="Palatino Linotype" w:hAnsi="Palatino Linotype" w:cs="Arial"/>
        </w:rPr>
        <w:t>imagen</w:t>
      </w:r>
      <w:r w:rsidR="003E7FC4" w:rsidRPr="00E757DE">
        <w:rPr>
          <w:rFonts w:ascii="Palatino Linotype" w:hAnsi="Palatino Linotype" w:cs="Arial"/>
        </w:rPr>
        <w:t xml:space="preserve"> que se insertan a modo de ejemplo a continuación: </w:t>
      </w:r>
    </w:p>
    <w:p w14:paraId="2121FF46" w14:textId="755D3B3D" w:rsidR="003E7FC4" w:rsidRPr="0053124F" w:rsidRDefault="00483D45" w:rsidP="00483D45">
      <w:pPr>
        <w:tabs>
          <w:tab w:val="left" w:pos="709"/>
        </w:tabs>
        <w:spacing w:line="360" w:lineRule="auto"/>
        <w:jc w:val="center"/>
        <w:rPr>
          <w:rFonts w:ascii="Palatino Linotype" w:hAnsi="Palatino Linotype" w:cs="Arial"/>
        </w:rPr>
      </w:pPr>
      <w:r>
        <w:rPr>
          <w:rFonts w:ascii="Palatino Linotype" w:hAnsi="Palatino Linotype" w:cs="Arial"/>
          <w:bCs/>
          <w:noProof/>
          <w:lang w:eastAsia="es-MX"/>
        </w:rPr>
        <mc:AlternateContent>
          <mc:Choice Requires="wps">
            <w:drawing>
              <wp:anchor distT="0" distB="0" distL="114300" distR="114300" simplePos="0" relativeHeight="251661312" behindDoc="0" locked="0" layoutInCell="1" allowOverlap="1" wp14:anchorId="5AE1067E" wp14:editId="7A8C2445">
                <wp:simplePos x="0" y="0"/>
                <wp:positionH relativeFrom="column">
                  <wp:posOffset>581598</wp:posOffset>
                </wp:positionH>
                <wp:positionV relativeFrom="paragraph">
                  <wp:posOffset>713532</wp:posOffset>
                </wp:positionV>
                <wp:extent cx="1801658" cy="223711"/>
                <wp:effectExtent l="19050" t="19050" r="27305" b="24130"/>
                <wp:wrapNone/>
                <wp:docPr id="1873098956" name="Rectángulo 1"/>
                <wp:cNvGraphicFramePr/>
                <a:graphic xmlns:a="http://schemas.openxmlformats.org/drawingml/2006/main">
                  <a:graphicData uri="http://schemas.microsoft.com/office/word/2010/wordprocessingShape">
                    <wps:wsp>
                      <wps:cNvSpPr/>
                      <wps:spPr>
                        <a:xfrm>
                          <a:off x="0" y="0"/>
                          <a:ext cx="1801658" cy="223711"/>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B99DF0E" id="Rectángulo 1" o:spid="_x0000_s1026" style="position:absolute;margin-left:45.8pt;margin-top:56.2pt;width:141.8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" filled="f" strokecolor="red" strokeweight="2.25pt"/>
            </w:pict>
          </mc:Fallback>
        </mc:AlternateContent>
      </w:r>
      <w:r w:rsidRPr="00483D45">
        <w:rPr>
          <w:rFonts w:ascii="Palatino Linotype" w:hAnsi="Palatino Linotype" w:cs="Arial"/>
          <w:noProof/>
          <w:lang w:eastAsia="es-MX"/>
        </w:rPr>
        <w:drawing>
          <wp:inline distT="0" distB="0" distL="0" distR="0" wp14:anchorId="70E6D37A" wp14:editId="55C4E68D">
            <wp:extent cx="5003593" cy="2710832"/>
            <wp:effectExtent l="0" t="0" r="6985" b="0"/>
            <wp:docPr id="1458753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5311" name=""/>
                    <pic:cNvPicPr/>
                  </pic:nvPicPr>
                  <pic:blipFill>
                    <a:blip r:embed="rId8"/>
                    <a:stretch>
                      <a:fillRect/>
                    </a:stretch>
                  </pic:blipFill>
                  <pic:spPr>
                    <a:xfrm>
                      <a:off x="0" y="0"/>
                      <a:ext cx="5059767" cy="2741266"/>
                    </a:xfrm>
                    <a:prstGeom prst="rect">
                      <a:avLst/>
                    </a:prstGeom>
                  </pic:spPr>
                </pic:pic>
              </a:graphicData>
            </a:graphic>
          </wp:inline>
        </w:drawing>
      </w:r>
    </w:p>
    <w:p w14:paraId="067FB3AA" w14:textId="77777777" w:rsidR="00635CC9" w:rsidRDefault="00635CC9" w:rsidP="005D5030">
      <w:pPr>
        <w:autoSpaceDE w:val="0"/>
        <w:autoSpaceDN w:val="0"/>
        <w:adjustRightInd w:val="0"/>
        <w:spacing w:after="0" w:line="360" w:lineRule="auto"/>
        <w:jc w:val="both"/>
        <w:rPr>
          <w:rFonts w:ascii="Palatino Linotype" w:hAnsi="Palatino Linotype" w:cs="Arial"/>
          <w:sz w:val="24"/>
          <w:szCs w:val="24"/>
        </w:rPr>
      </w:pPr>
    </w:p>
    <w:p w14:paraId="51465E04" w14:textId="7741F92E" w:rsidR="00C4280E" w:rsidRDefault="0082381B" w:rsidP="005D503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w:t>
      </w:r>
      <w:r w:rsidR="00483D45">
        <w:rPr>
          <w:rFonts w:ascii="Palatino Linotype" w:hAnsi="Palatino Linotype" w:cs="Arial"/>
          <w:sz w:val="24"/>
          <w:szCs w:val="24"/>
        </w:rPr>
        <w:t>lo anteriormente señalado</w:t>
      </w:r>
      <w:r w:rsidR="0009195E">
        <w:rPr>
          <w:rFonts w:ascii="Palatino Linotype" w:hAnsi="Palatino Linotype" w:cs="Arial"/>
          <w:sz w:val="24"/>
          <w:szCs w:val="24"/>
        </w:rPr>
        <w:t xml:space="preserve">, </w:t>
      </w:r>
      <w:r w:rsidR="00815533">
        <w:rPr>
          <w:rFonts w:ascii="Palatino Linotype" w:hAnsi="Palatino Linotype" w:cs="Arial"/>
          <w:sz w:val="24"/>
          <w:szCs w:val="24"/>
        </w:rPr>
        <w:t>una vez analizada</w:t>
      </w:r>
      <w:r w:rsidR="00C4280E" w:rsidRPr="00C4280E">
        <w:rPr>
          <w:rFonts w:ascii="Palatino Linotype" w:hAnsi="Palatino Linotype" w:cs="Arial"/>
          <w:sz w:val="24"/>
          <w:szCs w:val="24"/>
        </w:rPr>
        <w:t xml:space="preserve"> la información que proporcionó </w:t>
      </w:r>
      <w:r w:rsidR="00C4280E" w:rsidRPr="0009195E">
        <w:rPr>
          <w:rFonts w:ascii="Palatino Linotype" w:hAnsi="Palatino Linotype" w:cs="Arial"/>
          <w:b/>
          <w:bCs/>
          <w:sz w:val="24"/>
          <w:szCs w:val="24"/>
        </w:rPr>
        <w:t>El Sujeto Obligado</w:t>
      </w:r>
      <w:r w:rsidR="00C4280E" w:rsidRPr="00C4280E">
        <w:rPr>
          <w:rFonts w:ascii="Palatino Linotype" w:hAnsi="Palatino Linotype" w:cs="Arial"/>
          <w:sz w:val="24"/>
          <w:szCs w:val="24"/>
        </w:rPr>
        <w:t xml:space="preserve"> en Informe Justificado, se estima que esta colmó los requerimientos originales formulados por el solicitante,</w:t>
      </w:r>
      <w:r w:rsidR="00426618">
        <w:rPr>
          <w:rFonts w:ascii="Palatino Linotype" w:hAnsi="Palatino Linotype" w:cs="Arial"/>
          <w:sz w:val="24"/>
          <w:szCs w:val="24"/>
        </w:rPr>
        <w:t xml:space="preserve"> </w:t>
      </w:r>
      <w:r w:rsidR="0009195E">
        <w:rPr>
          <w:rFonts w:ascii="Palatino Linotype" w:hAnsi="Palatino Linotype" w:cs="Arial"/>
          <w:sz w:val="24"/>
          <w:szCs w:val="24"/>
        </w:rPr>
        <w:t xml:space="preserve">en donde proporcionó </w:t>
      </w:r>
      <w:r>
        <w:rPr>
          <w:rFonts w:ascii="Palatino Linotype" w:hAnsi="Palatino Linotype" w:cs="Arial"/>
          <w:sz w:val="24"/>
          <w:szCs w:val="24"/>
        </w:rPr>
        <w:t>los documentos</w:t>
      </w:r>
      <w:r w:rsidR="0009195E">
        <w:rPr>
          <w:rFonts w:ascii="Palatino Linotype" w:hAnsi="Palatino Linotype" w:cs="Arial"/>
          <w:sz w:val="24"/>
          <w:szCs w:val="24"/>
        </w:rPr>
        <w:t xml:space="preserve"> que colma</w:t>
      </w:r>
      <w:r>
        <w:rPr>
          <w:rFonts w:ascii="Palatino Linotype" w:hAnsi="Palatino Linotype" w:cs="Arial"/>
          <w:sz w:val="24"/>
          <w:szCs w:val="24"/>
        </w:rPr>
        <w:t>n</w:t>
      </w:r>
      <w:r w:rsidR="0009195E">
        <w:rPr>
          <w:rFonts w:ascii="Palatino Linotype" w:hAnsi="Palatino Linotype" w:cs="Arial"/>
          <w:sz w:val="24"/>
          <w:szCs w:val="24"/>
        </w:rPr>
        <w:t xml:space="preserve"> las </w:t>
      </w:r>
      <w:r w:rsidR="0082456F">
        <w:rPr>
          <w:rFonts w:ascii="Palatino Linotype" w:hAnsi="Palatino Linotype" w:cs="Arial"/>
          <w:sz w:val="24"/>
          <w:szCs w:val="24"/>
        </w:rPr>
        <w:t>pretensiones</w:t>
      </w:r>
      <w:r w:rsidR="0009195E">
        <w:rPr>
          <w:rFonts w:ascii="Palatino Linotype" w:hAnsi="Palatino Linotype" w:cs="Arial"/>
          <w:sz w:val="24"/>
          <w:szCs w:val="24"/>
        </w:rPr>
        <w:t xml:space="preserve"> del particular, consistente en </w:t>
      </w:r>
      <w:r w:rsidR="00483D45">
        <w:rPr>
          <w:rFonts w:ascii="Palatino Linotype" w:hAnsi="Palatino Linotype" w:cs="Arial"/>
          <w:sz w:val="24"/>
          <w:szCs w:val="24"/>
        </w:rPr>
        <w:t>la p</w:t>
      </w:r>
      <w:r w:rsidR="00483D45" w:rsidRPr="00483D45">
        <w:rPr>
          <w:rFonts w:ascii="Palatino Linotype" w:hAnsi="Palatino Linotype" w:cs="Arial"/>
          <w:sz w:val="24"/>
          <w:szCs w:val="24"/>
        </w:rPr>
        <w:t>óliza contratada para caucionar el manejo de los fondos municipales</w:t>
      </w:r>
      <w:r w:rsidR="005D5030">
        <w:rPr>
          <w:rFonts w:ascii="Palatino Linotype" w:hAnsi="Palatino Linotype" w:cs="Arial"/>
          <w:sz w:val="24"/>
          <w:szCs w:val="24"/>
        </w:rPr>
        <w:t>.</w:t>
      </w:r>
    </w:p>
    <w:p w14:paraId="79454773" w14:textId="77777777" w:rsidR="00426618" w:rsidRPr="007769B2" w:rsidRDefault="00426618" w:rsidP="00426618">
      <w:pPr>
        <w:spacing w:after="0" w:line="240" w:lineRule="auto"/>
        <w:rPr>
          <w:rFonts w:ascii="Times New Roman" w:eastAsia="Times New Roman" w:hAnsi="Times New Roman" w:cs="Times New Roman"/>
          <w:sz w:val="24"/>
          <w:szCs w:val="24"/>
          <w:lang w:eastAsia="es-ES"/>
        </w:rPr>
      </w:pPr>
    </w:p>
    <w:p w14:paraId="71D2F66B" w14:textId="77777777" w:rsidR="00426618" w:rsidRPr="007769B2"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5445996" w14:textId="77777777" w:rsidR="00426618" w:rsidRPr="007769B2" w:rsidRDefault="00426618" w:rsidP="00426618">
      <w:pPr>
        <w:spacing w:after="0" w:line="240" w:lineRule="auto"/>
        <w:rPr>
          <w:rFonts w:ascii="Times New Roman" w:eastAsia="Times New Roman" w:hAnsi="Times New Roman" w:cs="Times New Roman"/>
          <w:sz w:val="24"/>
          <w:szCs w:val="24"/>
          <w:lang w:eastAsia="es-ES"/>
        </w:rPr>
      </w:pPr>
    </w:p>
    <w:p w14:paraId="6A2DACED" w14:textId="77777777" w:rsidR="00426618" w:rsidRPr="007769B2" w:rsidRDefault="00426618" w:rsidP="00426618">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54FED57" w14:textId="77777777" w:rsidR="00426618" w:rsidRPr="007769B2" w:rsidRDefault="00426618" w:rsidP="00426618">
      <w:pPr>
        <w:spacing w:after="0" w:line="240" w:lineRule="auto"/>
        <w:ind w:left="851" w:right="850"/>
        <w:jc w:val="both"/>
        <w:rPr>
          <w:rFonts w:ascii="Palatino Linotype" w:eastAsia="Times New Roman" w:hAnsi="Palatino Linotype" w:cs="Times New Roman"/>
          <w:i/>
          <w:lang w:eastAsia="es-ES"/>
        </w:rPr>
      </w:pPr>
    </w:p>
    <w:p w14:paraId="16511C5E" w14:textId="77777777" w:rsidR="00426618" w:rsidRPr="007104AA" w:rsidRDefault="00426618" w:rsidP="00426618">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B9FC11" w14:textId="77777777" w:rsidR="00426618" w:rsidRDefault="00426618" w:rsidP="00426618">
      <w:pPr>
        <w:autoSpaceDE w:val="0"/>
        <w:autoSpaceDN w:val="0"/>
        <w:adjustRightInd w:val="0"/>
        <w:spacing w:after="0" w:line="360" w:lineRule="auto"/>
        <w:jc w:val="both"/>
        <w:rPr>
          <w:rFonts w:ascii="Palatino Linotype" w:hAnsi="Palatino Linotype" w:cs="Arial"/>
          <w:sz w:val="24"/>
          <w:szCs w:val="24"/>
        </w:rPr>
      </w:pPr>
    </w:p>
    <w:p w14:paraId="60351A18" w14:textId="077B4B8E" w:rsidR="00426618" w:rsidRDefault="00426618" w:rsidP="00426618">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B81A2B">
        <w:rPr>
          <w:rFonts w:ascii="Palatino Linotype" w:hAnsi="Palatino Linotype" w:cs="Arial"/>
          <w:sz w:val="24"/>
          <w:szCs w:val="24"/>
        </w:rPr>
        <w:lastRenderedPageBreak/>
        <w:t>el presentarla conforme al interés del solicitante, ni generarla, resumirla, efectuar cálculos o practicar investigaciones.</w:t>
      </w:r>
    </w:p>
    <w:p w14:paraId="302D8C8B" w14:textId="77777777" w:rsidR="00E94A49" w:rsidRPr="00B545F8" w:rsidRDefault="00E94A49" w:rsidP="00426618">
      <w:pPr>
        <w:autoSpaceDE w:val="0"/>
        <w:autoSpaceDN w:val="0"/>
        <w:adjustRightInd w:val="0"/>
        <w:spacing w:after="0" w:line="360" w:lineRule="auto"/>
        <w:jc w:val="both"/>
        <w:rPr>
          <w:rFonts w:ascii="Palatino Linotype" w:hAnsi="Palatino Linotype" w:cs="Arial"/>
          <w:sz w:val="24"/>
          <w:szCs w:val="24"/>
        </w:rPr>
      </w:pPr>
    </w:p>
    <w:p w14:paraId="7036F929" w14:textId="65AFB62E" w:rsidR="00426618" w:rsidRPr="00B81A2B" w:rsidRDefault="00426618" w:rsidP="00426618">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 lo solicitado por la particular, como se desarrolló en los párrafos anteriores.</w:t>
      </w:r>
    </w:p>
    <w:p w14:paraId="0801900F" w14:textId="77777777" w:rsidR="00426618" w:rsidRPr="00DB3D37" w:rsidRDefault="00426618" w:rsidP="00426618">
      <w:pPr>
        <w:autoSpaceDE w:val="0"/>
        <w:autoSpaceDN w:val="0"/>
        <w:adjustRightInd w:val="0"/>
        <w:spacing w:after="0" w:line="360" w:lineRule="auto"/>
        <w:jc w:val="both"/>
        <w:rPr>
          <w:rFonts w:ascii="Palatino Linotype" w:hAnsi="Palatino Linotype"/>
          <w:sz w:val="24"/>
        </w:rPr>
      </w:pPr>
    </w:p>
    <w:p w14:paraId="3F005429" w14:textId="77777777" w:rsidR="00426618" w:rsidRDefault="00426618" w:rsidP="00426618">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0AA97207" w14:textId="77777777" w:rsidR="00426618" w:rsidRDefault="00426618" w:rsidP="00426618">
      <w:pPr>
        <w:pStyle w:val="Sinespaciado"/>
      </w:pPr>
    </w:p>
    <w:p w14:paraId="218834D0" w14:textId="77777777" w:rsidR="00426618" w:rsidRPr="003F6F67" w:rsidRDefault="00426618" w:rsidP="00426618">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015EC0DF" w14:textId="77777777" w:rsidR="00426618" w:rsidRPr="00281AAA" w:rsidRDefault="00426618" w:rsidP="00426618">
      <w:pPr>
        <w:ind w:left="851" w:right="850"/>
        <w:jc w:val="both"/>
        <w:rPr>
          <w:rFonts w:ascii="Palatino Linotype" w:hAnsi="Palatino Linotype" w:cs="Arial"/>
          <w:color w:val="000000"/>
          <w:sz w:val="2"/>
        </w:rPr>
      </w:pPr>
    </w:p>
    <w:p w14:paraId="2B19CC0F" w14:textId="77777777" w:rsidR="00426618" w:rsidRPr="00281AAA" w:rsidRDefault="00426618" w:rsidP="00426618">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B612E6" w14:textId="77777777" w:rsidR="00426618" w:rsidRPr="00281AAA" w:rsidRDefault="00426618" w:rsidP="00426618">
      <w:pPr>
        <w:ind w:left="567" w:right="567"/>
        <w:jc w:val="both"/>
        <w:rPr>
          <w:rFonts w:ascii="Palatino Linotype" w:hAnsi="Palatino Linotype" w:cs="Arial"/>
          <w:i/>
          <w:color w:val="000000"/>
          <w:sz w:val="2"/>
        </w:rPr>
      </w:pPr>
    </w:p>
    <w:p w14:paraId="3EFFD06B" w14:textId="77777777" w:rsidR="00426618" w:rsidRPr="00281AAA" w:rsidRDefault="00426618" w:rsidP="00426618">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76EB664E" w14:textId="77777777" w:rsidR="00426618" w:rsidRPr="00281AAA" w:rsidRDefault="00426618" w:rsidP="00426618">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FC0C728" w14:textId="77777777" w:rsidR="00426618" w:rsidRPr="00281AAA" w:rsidRDefault="00426618" w:rsidP="00426618">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1A51715" w14:textId="77777777" w:rsidR="00426618" w:rsidRPr="00266073" w:rsidRDefault="00426618" w:rsidP="00426618">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15735A65" w14:textId="77777777" w:rsidR="00426618" w:rsidRDefault="00426618" w:rsidP="00426618">
      <w:pPr>
        <w:autoSpaceDE w:val="0"/>
        <w:autoSpaceDN w:val="0"/>
        <w:adjustRightInd w:val="0"/>
        <w:spacing w:after="0" w:line="360" w:lineRule="auto"/>
        <w:jc w:val="both"/>
        <w:rPr>
          <w:rFonts w:ascii="Palatino Linotype" w:hAnsi="Palatino Linotype" w:cs="Arial"/>
          <w:sz w:val="24"/>
          <w:szCs w:val="24"/>
        </w:rPr>
      </w:pPr>
    </w:p>
    <w:p w14:paraId="055F9F66" w14:textId="77777777" w:rsidR="00426618" w:rsidRPr="00652657" w:rsidRDefault="00426618" w:rsidP="0042661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072C334" w14:textId="77777777" w:rsidR="00426618" w:rsidRPr="003F6F67" w:rsidRDefault="00426618" w:rsidP="00426618">
      <w:pPr>
        <w:spacing w:after="0"/>
        <w:rPr>
          <w:rFonts w:ascii="Palatino Linotype" w:hAnsi="Palatino Linotype"/>
          <w:sz w:val="24"/>
        </w:rPr>
      </w:pPr>
    </w:p>
    <w:p w14:paraId="0DB76FBF" w14:textId="77777777" w:rsidR="00426618" w:rsidRDefault="00426618" w:rsidP="00426618">
      <w:pPr>
        <w:pStyle w:val="Sinespaciado"/>
        <w:spacing w:line="360" w:lineRule="auto"/>
        <w:jc w:val="both"/>
        <w:rPr>
          <w:rFonts w:ascii="Palatino Linotype" w:hAnsi="Palatino Linotype" w:cs="Arial"/>
          <w:bCs/>
          <w:sz w:val="24"/>
          <w:szCs w:val="24"/>
        </w:rPr>
      </w:pPr>
      <w:r w:rsidRPr="00B81A2B">
        <w:rPr>
          <w:rFonts w:ascii="Palatino Linotype" w:hAnsi="Palatino Linotype" w:cs="Arial"/>
          <w:bCs/>
          <w:sz w:val="24"/>
          <w:szCs w:val="24"/>
        </w:rPr>
        <w:t xml:space="preserve">Adicionalmente, es de destacar que este Órgano Garante no está facultado para manifestarse sobre la veracidad de lo afirmado por parte del </w:t>
      </w:r>
      <w:r w:rsidRPr="00B81A2B">
        <w:rPr>
          <w:rFonts w:ascii="Palatino Linotype" w:hAnsi="Palatino Linotype" w:cs="Arial"/>
          <w:b/>
          <w:bCs/>
          <w:sz w:val="24"/>
          <w:szCs w:val="24"/>
        </w:rPr>
        <w:t>Sujeto Obligado</w:t>
      </w:r>
      <w:r w:rsidRPr="00B81A2B">
        <w:rPr>
          <w:rFonts w:ascii="Palatino Linotype" w:hAnsi="Palatino Linotype" w:cs="Arial"/>
          <w:bCs/>
          <w:sz w:val="24"/>
          <w:szCs w:val="24"/>
        </w:rPr>
        <w:t xml:space="preserve"> pues no existe precepto legal alguno en la Ley de la materia que lo faculte para ello. </w:t>
      </w:r>
    </w:p>
    <w:p w14:paraId="3FBA4CCF" w14:textId="77777777" w:rsidR="008235A2" w:rsidRDefault="008235A2" w:rsidP="00426618">
      <w:pPr>
        <w:pStyle w:val="Sinespaciado"/>
        <w:spacing w:line="360" w:lineRule="auto"/>
        <w:jc w:val="both"/>
        <w:rPr>
          <w:rFonts w:ascii="Palatino Linotype" w:hAnsi="Palatino Linotype" w:cs="Arial"/>
          <w:bCs/>
          <w:sz w:val="24"/>
          <w:szCs w:val="24"/>
        </w:rPr>
      </w:pPr>
    </w:p>
    <w:p w14:paraId="427CA998" w14:textId="4C931D1F" w:rsidR="008235A2" w:rsidRPr="008235A2" w:rsidRDefault="008235A2" w:rsidP="008235A2">
      <w:pPr>
        <w:spacing w:after="0" w:line="360" w:lineRule="auto"/>
        <w:jc w:val="both"/>
        <w:rPr>
          <w:rFonts w:ascii="Palatino Linotype" w:eastAsia="Times New Roman" w:hAnsi="Palatino Linotype" w:cs="Times New Roman"/>
          <w:sz w:val="24"/>
          <w:szCs w:val="24"/>
          <w:lang w:eastAsia="es-ES"/>
        </w:rPr>
      </w:pPr>
      <w:r w:rsidRPr="008235A2">
        <w:rPr>
          <w:rFonts w:ascii="Palatino Linotype" w:eastAsia="Times New Roman" w:hAnsi="Palatino Linotype" w:cs="Times New Roman"/>
          <w:sz w:val="24"/>
          <w:szCs w:val="24"/>
          <w:lang w:eastAsia="es-ES"/>
        </w:rPr>
        <w:t xml:space="preserve">Por otra parte, respecto de las manifestaciones realizadas por </w:t>
      </w:r>
      <w:r>
        <w:rPr>
          <w:rFonts w:ascii="Palatino Linotype" w:eastAsia="Times New Roman" w:hAnsi="Palatino Linotype" w:cs="Times New Roman"/>
          <w:sz w:val="24"/>
          <w:szCs w:val="24"/>
          <w:lang w:eastAsia="es-ES"/>
        </w:rPr>
        <w:t>el</w:t>
      </w:r>
      <w:r w:rsidRPr="008235A2">
        <w:rPr>
          <w:rFonts w:ascii="Palatino Linotype" w:eastAsia="Times New Roman" w:hAnsi="Palatino Linotype" w:cs="Times New Roman"/>
          <w:sz w:val="24"/>
          <w:szCs w:val="24"/>
          <w:lang w:eastAsia="es-ES"/>
        </w:rPr>
        <w:t xml:space="preserve"> </w:t>
      </w:r>
      <w:r w:rsidRPr="008235A2">
        <w:rPr>
          <w:rFonts w:ascii="Palatino Linotype" w:eastAsia="Times New Roman" w:hAnsi="Palatino Linotype" w:cs="Times New Roman"/>
          <w:b/>
          <w:bCs/>
          <w:sz w:val="24"/>
          <w:szCs w:val="24"/>
          <w:lang w:eastAsia="es-ES"/>
        </w:rPr>
        <w:t>Recurrente</w:t>
      </w:r>
      <w:r w:rsidRPr="008235A2">
        <w:rPr>
          <w:rFonts w:ascii="Palatino Linotype" w:eastAsia="Times New Roman" w:hAnsi="Palatino Linotype" w:cs="Times New Roman"/>
          <w:sz w:val="24"/>
          <w:szCs w:val="24"/>
          <w:lang w:eastAsia="es-ES"/>
        </w:rPr>
        <w:t xml:space="preserve"> como razones o motivos de inconformidad, consistentes en “…</w:t>
      </w:r>
      <w:r w:rsidRPr="008235A2">
        <w:rPr>
          <w:rFonts w:ascii="Palatino Linotype" w:eastAsia="Times New Roman" w:hAnsi="Palatino Linotype" w:cs="Times New Roman"/>
          <w:i/>
          <w:iCs/>
          <w:sz w:val="24"/>
          <w:szCs w:val="24"/>
          <w:lang w:eastAsia="es-ES"/>
        </w:rPr>
        <w:t xml:space="preserve">Por lo que en su momento considero deberá hacerlo del conocimiento del órgano de control interno del Ayuntamiento de Tenancingo, México para que éste inicie el procedimiento de responsabilidad respectivo </w:t>
      </w:r>
      <w:r w:rsidRPr="008235A2">
        <w:rPr>
          <w:rFonts w:ascii="Palatino Linotype" w:eastAsia="Times New Roman" w:hAnsi="Palatino Linotype" w:cs="Times New Roman"/>
          <w:sz w:val="24"/>
          <w:szCs w:val="24"/>
          <w:lang w:eastAsia="es-ES"/>
        </w:rPr>
        <w:t>…”; y derivado que el Recurso de Revisión no es el medio para sancionar, este Órgano Garante sugiere al solicitante, interponer su queja o denuncia ante la autoridad competente.</w:t>
      </w:r>
    </w:p>
    <w:p w14:paraId="44ECFB22" w14:textId="77777777" w:rsidR="008235A2" w:rsidRPr="00B81A2B" w:rsidRDefault="008235A2" w:rsidP="00426618">
      <w:pPr>
        <w:pStyle w:val="Sinespaciado"/>
        <w:spacing w:line="360" w:lineRule="auto"/>
        <w:jc w:val="both"/>
        <w:rPr>
          <w:rFonts w:ascii="Palatino Linotype" w:hAnsi="Palatino Linotype" w:cs="Arial"/>
          <w:bCs/>
          <w:sz w:val="24"/>
          <w:szCs w:val="24"/>
        </w:rPr>
      </w:pPr>
    </w:p>
    <w:p w14:paraId="51469B4C" w14:textId="77777777" w:rsidR="00426618" w:rsidRPr="00B81A2B" w:rsidRDefault="00426618" w:rsidP="00426618">
      <w:pPr>
        <w:pStyle w:val="Sinespaciado"/>
        <w:rPr>
          <w:sz w:val="2"/>
        </w:rPr>
      </w:pPr>
    </w:p>
    <w:p w14:paraId="1CC09332" w14:textId="77777777" w:rsidR="00426618" w:rsidRPr="00B81A2B" w:rsidRDefault="00426618" w:rsidP="00426618">
      <w:pPr>
        <w:pStyle w:val="Sinespaciado"/>
        <w:rPr>
          <w:sz w:val="2"/>
        </w:rPr>
      </w:pPr>
    </w:p>
    <w:p w14:paraId="22DB9DD0" w14:textId="77777777" w:rsidR="00426618" w:rsidRPr="00B81A2B" w:rsidRDefault="00426618" w:rsidP="00426618">
      <w:pPr>
        <w:pStyle w:val="Sinespaciado"/>
        <w:rPr>
          <w:sz w:val="2"/>
        </w:rPr>
      </w:pPr>
    </w:p>
    <w:p w14:paraId="5E41F453" w14:textId="77777777" w:rsidR="00426618" w:rsidRPr="00B81A2B" w:rsidRDefault="00426618" w:rsidP="00426618">
      <w:pPr>
        <w:pStyle w:val="Sinespaciado"/>
        <w:rPr>
          <w:sz w:val="2"/>
        </w:rPr>
      </w:pPr>
    </w:p>
    <w:p w14:paraId="23470419" w14:textId="77777777" w:rsidR="00426618" w:rsidRPr="00B81A2B" w:rsidRDefault="00426618" w:rsidP="00426618">
      <w:pPr>
        <w:pStyle w:val="Sinespaciado"/>
        <w:rPr>
          <w:sz w:val="2"/>
        </w:rPr>
      </w:pPr>
    </w:p>
    <w:p w14:paraId="0F447D82" w14:textId="77777777" w:rsidR="00426618" w:rsidRPr="00B81A2B" w:rsidRDefault="00426618" w:rsidP="00426618">
      <w:pPr>
        <w:pStyle w:val="Sinespaciado"/>
      </w:pPr>
    </w:p>
    <w:p w14:paraId="0F7066E6" w14:textId="61D26AA2" w:rsidR="00426618" w:rsidRPr="00A11B58" w:rsidRDefault="00426618" w:rsidP="00B545F8">
      <w:pPr>
        <w:spacing w:after="0"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sidR="0009195E">
        <w:rPr>
          <w:rFonts w:ascii="Palatino Linotype" w:hAnsi="Palatino Linotype" w:cs="Arial"/>
          <w:sz w:val="24"/>
          <w:szCs w:val="24"/>
        </w:rPr>
        <w:t>remitiendo</w:t>
      </w:r>
      <w:r w:rsidR="000D65F5">
        <w:rPr>
          <w:rFonts w:ascii="Palatino Linotype" w:hAnsi="Palatino Linotype" w:cs="Arial"/>
          <w:sz w:val="24"/>
          <w:szCs w:val="24"/>
        </w:rPr>
        <w:t xml:space="preserve"> la p</w:t>
      </w:r>
      <w:r w:rsidR="000D65F5" w:rsidRPr="000D65F5">
        <w:rPr>
          <w:rFonts w:ascii="Palatino Linotype" w:hAnsi="Palatino Linotype" w:cs="Arial"/>
          <w:sz w:val="24"/>
          <w:szCs w:val="24"/>
        </w:rPr>
        <w:t>óliza contratada por el Ayuntamiento de Tenancingo 2025-2027, para caucionar el manejo de los fondos municipales</w:t>
      </w:r>
      <w:r w:rsidRPr="00B81A2B">
        <w:rPr>
          <w:rFonts w:ascii="Palatino Linotype" w:hAnsi="Palatino Linotype" w:cs="Arial"/>
          <w:sz w:val="24"/>
          <w:szCs w:val="24"/>
        </w:rPr>
        <w:t>, como ya ha sido demostrado en los párrafos que anteceden.</w:t>
      </w:r>
    </w:p>
    <w:p w14:paraId="3A6A381B" w14:textId="77777777" w:rsidR="00C4280E" w:rsidRDefault="00C4280E" w:rsidP="00B545F8">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68BEADCB" w:rsidR="00324E64" w:rsidRPr="00B81A2B" w:rsidRDefault="00324E64" w:rsidP="00D37638">
      <w:pPr>
        <w:pStyle w:val="Prrafodelista"/>
        <w:numPr>
          <w:ilvl w:val="0"/>
          <w:numId w:val="1"/>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003627A1">
        <w:rPr>
          <w:rFonts w:ascii="Palatino Linotype" w:hAnsi="Palatino Linotype" w:cs="Arial"/>
        </w:rPr>
        <w:t xml:space="preserve"> remitidas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00602DBC">
        <w:rPr>
          <w:rFonts w:ascii="Palatino Linotype" w:hAnsi="Palatino Linotype" w:cs="Arial"/>
        </w:rPr>
        <w:t xml:space="preserve"> </w:t>
      </w:r>
      <w:r w:rsidR="008235A2">
        <w:rPr>
          <w:rFonts w:ascii="Palatino Linotype" w:hAnsi="Palatino Linotype" w:cs="Arial"/>
          <w:b/>
        </w:rPr>
        <w:t>dieciocho de marzo de dos mil veinticinco</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2AB81279" w:rsidR="0053082A" w:rsidRPr="00A82E18" w:rsidRDefault="00324E64" w:rsidP="00602DBC">
      <w:pPr>
        <w:pStyle w:val="Prrafodelista"/>
        <w:numPr>
          <w:ilvl w:val="0"/>
          <w:numId w:val="1"/>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8235A2">
        <w:rPr>
          <w:rFonts w:ascii="Palatino Linotype" w:hAnsi="Palatino Linotype"/>
          <w:bCs/>
        </w:rPr>
        <w:t xml:space="preserve"> la</w:t>
      </w:r>
      <w:r w:rsidR="00B545F8">
        <w:rPr>
          <w:rFonts w:ascii="Palatino Linotype" w:hAnsi="Palatino Linotype"/>
          <w:bCs/>
        </w:rPr>
        <w:t xml:space="preserve"> </w:t>
      </w:r>
      <w:r w:rsidR="008235A2" w:rsidRPr="008235A2">
        <w:rPr>
          <w:rFonts w:ascii="Palatino Linotype" w:hAnsi="Palatino Linotype"/>
          <w:bCs/>
        </w:rPr>
        <w:t>póliza contratada por el Ayuntamiento de Tenancingo 2025-2027, para caucionar el manejo de los fondos municipales</w:t>
      </w:r>
      <w:r w:rsidR="008235A2">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 xml:space="preserve">lo que se vio superado con </w:t>
      </w:r>
      <w:r w:rsidR="003708EF">
        <w:rPr>
          <w:rFonts w:ascii="Palatino Linotype" w:hAnsi="Palatino Linotype" w:cs="Arial"/>
        </w:rPr>
        <w:t xml:space="preserve">los documentos </w:t>
      </w:r>
      <w:r w:rsidR="00A11B58">
        <w:rPr>
          <w:rFonts w:ascii="Palatino Linotype" w:hAnsi="Palatino Linotype" w:cs="Arial"/>
        </w:rPr>
        <w:t>electrónic</w:t>
      </w:r>
      <w:r w:rsidR="003708EF">
        <w:rPr>
          <w:rFonts w:ascii="Palatino Linotype" w:hAnsi="Palatino Linotype" w:cs="Arial"/>
        </w:rPr>
        <w:t>o</w:t>
      </w:r>
      <w:r w:rsidR="00A11B58">
        <w:rPr>
          <w:rFonts w:ascii="Palatino Linotype" w:hAnsi="Palatino Linotype" w:cs="Arial"/>
        </w:rPr>
        <w:t>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w:t>
      </w:r>
      <w:r w:rsidR="003708EF">
        <w:rPr>
          <w:rFonts w:ascii="Palatino Linotype" w:hAnsi="Palatino Linotype" w:cs="Arial"/>
        </w:rPr>
        <w:t>o</w:t>
      </w:r>
      <w:r w:rsidR="00A11B58">
        <w:rPr>
          <w:rFonts w:ascii="Palatino Linotype" w:hAnsi="Palatino Linotype" w:cs="Arial"/>
        </w:rPr>
        <w:t>s</w:t>
      </w:r>
      <w:r w:rsidRPr="00B81A2B">
        <w:rPr>
          <w:rFonts w:ascii="Palatino Linotype" w:hAnsi="Palatino Linotype" w:cs="Arial"/>
        </w:rPr>
        <w:t xml:space="preserve"> en el inciso anterior.</w:t>
      </w:r>
    </w:p>
    <w:p w14:paraId="34C7427F" w14:textId="77777777" w:rsidR="0099115F"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lastRenderedPageBreak/>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26E4211E" w:rsidR="00324E64" w:rsidRPr="00B81A2B"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8235A2">
        <w:rPr>
          <w:rFonts w:ascii="Palatino Linotype" w:eastAsia="Times New Roman" w:hAnsi="Palatino Linotype" w:cs="Arial"/>
          <w:b/>
          <w:sz w:val="24"/>
          <w:szCs w:val="24"/>
          <w:lang w:val="es-ES" w:eastAsia="es-ES"/>
        </w:rPr>
        <w:t>siete de marzo de dos mil veinticinco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sz w:val="24"/>
          <w:szCs w:val="24"/>
          <w:lang w:val="es-ES" w:eastAsia="es-ES"/>
        </w:rPr>
        <w:t>el</w:t>
      </w:r>
      <w:r w:rsidR="004A06FF" w:rsidRPr="00B81A2B">
        <w:rPr>
          <w:rFonts w:ascii="Palatino Linotype" w:eastAsia="Times New Roman" w:hAnsi="Palatino Linotype" w:cs="Arial"/>
          <w:sz w:val="24"/>
          <w:szCs w:val="24"/>
          <w:lang w:val="es-ES" w:eastAsia="es-ES"/>
        </w:rPr>
        <w:t xml:space="preserve"> Comisionad</w:t>
      </w:r>
      <w:r w:rsidR="00872FC7">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b/>
          <w:sz w:val="24"/>
          <w:szCs w:val="24"/>
          <w:lang w:val="es-ES" w:eastAsia="es-ES"/>
        </w:rPr>
        <w:t>José Martínez Vilchis</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7F89F6C8" w:rsidR="00324E64" w:rsidRDefault="00324E64" w:rsidP="00D37638">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82456F">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w:t>
      </w:r>
      <w:r w:rsidR="0082456F">
        <w:rPr>
          <w:rFonts w:ascii="Palatino Linotype" w:hAnsi="Palatino Linotype" w:cs="Arial"/>
        </w:rPr>
        <w:t>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w:t>
      </w:r>
      <w:r w:rsidR="003F33B6" w:rsidRPr="00B81A2B">
        <w:rPr>
          <w:rFonts w:ascii="Palatino Linotype" w:hAnsi="Palatino Linotype" w:cs="Arial"/>
        </w:rPr>
        <w:t xml:space="preserve">fecha </w:t>
      </w:r>
      <w:r w:rsidR="008235A2">
        <w:rPr>
          <w:rFonts w:ascii="Palatino Linotype" w:hAnsi="Palatino Linotype" w:cs="Arial"/>
          <w:b/>
        </w:rPr>
        <w:t>dieciocho de marzo de dos mil veinticinco</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689246C2" w:rsidR="00324E64" w:rsidRPr="00A82E18"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lastRenderedPageBreak/>
        <w:t xml:space="preserve">El recurso </w:t>
      </w:r>
      <w:r w:rsidR="00E94A49" w:rsidRPr="00E94A49">
        <w:rPr>
          <w:rFonts w:ascii="Palatino Linotype" w:eastAsia="Times New Roman" w:hAnsi="Palatino Linotype" w:cs="Arial"/>
          <w:b/>
          <w:bCs/>
          <w:sz w:val="24"/>
          <w:szCs w:val="24"/>
          <w:lang w:eastAsia="es-MX"/>
        </w:rPr>
        <w:tab/>
      </w:r>
      <w:r w:rsidR="008235A2" w:rsidRPr="008235A2">
        <w:rPr>
          <w:rFonts w:ascii="Palatino Linotype" w:eastAsia="Times New Roman" w:hAnsi="Palatino Linotype" w:cs="Arial"/>
          <w:b/>
          <w:bCs/>
          <w:sz w:val="24"/>
          <w:szCs w:val="24"/>
          <w:lang w:eastAsia="es-MX"/>
        </w:rPr>
        <w:t>02390/INFOEM/IP/RR/2025</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Default="00C77044" w:rsidP="00C77044">
      <w:pPr>
        <w:pStyle w:val="Sinespaciado"/>
      </w:pPr>
    </w:p>
    <w:p w14:paraId="4D79B5B3" w14:textId="77777777" w:rsidR="00A50743" w:rsidRDefault="00A50743" w:rsidP="00C77044">
      <w:pPr>
        <w:pStyle w:val="Sinespaciado"/>
      </w:pPr>
    </w:p>
    <w:p w14:paraId="46C62BE1" w14:textId="6573A77D"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8235A2" w:rsidRPr="008235A2">
        <w:rPr>
          <w:rFonts w:ascii="Palatino Linotype" w:eastAsia="Times New Roman" w:hAnsi="Palatino Linotype" w:cs="Arial"/>
          <w:b/>
          <w:bCs/>
          <w:sz w:val="24"/>
          <w:szCs w:val="24"/>
          <w:lang w:eastAsia="es-ES"/>
        </w:rPr>
        <w:t>02390/INFOEM/IP/RR/2025</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Default="00A50743" w:rsidP="00613213">
      <w:pPr>
        <w:pStyle w:val="Sinespaciado"/>
        <w:rPr>
          <w:rFonts w:ascii="Palatino Linotype" w:hAnsi="Palatino Linotype"/>
          <w:sz w:val="24"/>
          <w:lang w:eastAsia="es-MX"/>
        </w:rPr>
      </w:pPr>
    </w:p>
    <w:p w14:paraId="18A5946C" w14:textId="77777777" w:rsidR="00A50743" w:rsidRPr="00A82E18" w:rsidRDefault="00A50743" w:rsidP="00613213">
      <w:pPr>
        <w:pStyle w:val="Sinespaciado"/>
        <w:rPr>
          <w:rFonts w:ascii="Palatino Linotype" w:hAnsi="Palatino Linotype"/>
          <w:sz w:val="24"/>
          <w:lang w:eastAsia="es-MX"/>
        </w:rPr>
      </w:pPr>
    </w:p>
    <w:p w14:paraId="56E226D8" w14:textId="7B25F77B" w:rsidR="00324E64"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53F64FF4" w14:textId="4006C2D2" w:rsidR="00C77044" w:rsidRDefault="00C77044" w:rsidP="00613213">
      <w:pPr>
        <w:spacing w:after="0"/>
        <w:rPr>
          <w:rFonts w:ascii="Palatino Linotype" w:hAnsi="Palatino Linotype"/>
          <w:sz w:val="24"/>
          <w:szCs w:val="24"/>
        </w:rPr>
      </w:pPr>
    </w:p>
    <w:p w14:paraId="5E6CC83B" w14:textId="77777777" w:rsidR="00A50743" w:rsidRPr="00A82E18" w:rsidRDefault="00A50743" w:rsidP="00613213">
      <w:pPr>
        <w:spacing w:after="0"/>
        <w:rPr>
          <w:rFonts w:ascii="Palatino Linotype" w:hAnsi="Palatino Linotype"/>
          <w:sz w:val="24"/>
        </w:rPr>
      </w:pPr>
    </w:p>
    <w:p w14:paraId="0982A979" w14:textId="0E4A6663" w:rsidR="00CF6C67" w:rsidRPr="00A50743" w:rsidRDefault="00631932" w:rsidP="00A50743">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lastRenderedPageBreak/>
        <w:t>SE    RESUELVE</w:t>
      </w:r>
    </w:p>
    <w:p w14:paraId="462BFB1D" w14:textId="77777777" w:rsidR="00A50743" w:rsidRDefault="00A50743" w:rsidP="00A82E18">
      <w:pPr>
        <w:spacing w:after="0" w:line="360" w:lineRule="auto"/>
        <w:jc w:val="both"/>
        <w:rPr>
          <w:rFonts w:ascii="Palatino Linotype" w:eastAsia="Times New Roman" w:hAnsi="Palatino Linotype"/>
          <w:b/>
          <w:bCs/>
          <w:sz w:val="28"/>
          <w:lang w:eastAsia="es-MX"/>
        </w:rPr>
      </w:pPr>
    </w:p>
    <w:p w14:paraId="74AC3064" w14:textId="160E146A"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8235A2" w:rsidRPr="008235A2">
        <w:rPr>
          <w:rFonts w:ascii="Palatino Linotype" w:eastAsiaTheme="minorEastAsia" w:hAnsi="Palatino Linotype"/>
          <w:b/>
          <w:bCs/>
          <w:sz w:val="24"/>
          <w:szCs w:val="24"/>
        </w:rPr>
        <w:t>02390/INFOEM/IP/RR/2025</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A50743" w:rsidRPr="00A50743">
        <w:t xml:space="preserve"> </w:t>
      </w:r>
      <w:r w:rsidR="00A50743" w:rsidRPr="00A50743">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A50743">
        <w:rPr>
          <w:rFonts w:ascii="Palatino Linotype" w:eastAsiaTheme="minorEastAsia" w:hAnsi="Palatino Linotype"/>
          <w:sz w:val="24"/>
          <w:szCs w:val="24"/>
          <w:lang w:val="es-ES_tradnl"/>
        </w:rPr>
        <w:t>,</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8235A2">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w:t>
      </w:r>
      <w:r w:rsidR="00872FC7">
        <w:rPr>
          <w:rFonts w:ascii="Palatino Linotype" w:hAnsi="Palatino Linotype"/>
          <w:sz w:val="24"/>
          <w:szCs w:val="24"/>
        </w:rPr>
        <w:t xml:space="preserve"> Sistema de Acceso a la Información Mexiquense</w:t>
      </w:r>
      <w:r w:rsidR="004A06FF" w:rsidRPr="00B81A2B">
        <w:rPr>
          <w:rFonts w:ascii="Palatino Linotype" w:hAnsi="Palatino Linotype"/>
          <w:sz w:val="24"/>
          <w:szCs w:val="24"/>
        </w:rPr>
        <w:t xml:space="preserve"> </w:t>
      </w:r>
      <w:r w:rsidR="00872FC7">
        <w:rPr>
          <w:rFonts w:ascii="Palatino Linotype" w:hAnsi="Palatino Linotype"/>
          <w:sz w:val="24"/>
          <w:szCs w:val="24"/>
        </w:rPr>
        <w:t>(</w:t>
      </w:r>
      <w:r w:rsidR="004A06FF" w:rsidRPr="00B81A2B">
        <w:rPr>
          <w:rFonts w:ascii="Palatino Linotype" w:hAnsi="Palatino Linotype"/>
          <w:b/>
          <w:sz w:val="24"/>
          <w:szCs w:val="24"/>
        </w:rPr>
        <w:t>SAIMEX</w:t>
      </w:r>
      <w:r w:rsidR="00872FC7">
        <w:rPr>
          <w:rFonts w:ascii="Palatino Linotype" w:hAnsi="Palatino Linotype"/>
          <w:b/>
          <w:sz w:val="24"/>
          <w:szCs w:val="24"/>
        </w:rPr>
        <w:t>)</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5CA28C4D" w14:textId="2626B6A0" w:rsidR="003F6F67"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B545F8" w:rsidRPr="0014447C">
        <w:rPr>
          <w:rFonts w:ascii="Palatino Linotype" w:hAnsi="Palatino Linotype"/>
          <w:b/>
          <w:sz w:val="24"/>
          <w:szCs w:val="24"/>
        </w:rPr>
        <w:t>NOTIFÍQUESE</w:t>
      </w:r>
      <w:r w:rsidR="00B545F8" w:rsidRPr="0014447C">
        <w:rPr>
          <w:rFonts w:ascii="Palatino Linotype" w:hAnsi="Palatino Linotype"/>
          <w:sz w:val="24"/>
          <w:szCs w:val="24"/>
        </w:rPr>
        <w:t xml:space="preserve"> a</w:t>
      </w:r>
      <w:r w:rsidR="0082456F">
        <w:rPr>
          <w:rFonts w:ascii="Palatino Linotype" w:hAnsi="Palatino Linotype"/>
          <w:sz w:val="24"/>
          <w:szCs w:val="24"/>
        </w:rPr>
        <w:t>l</w:t>
      </w:r>
      <w:r w:rsidR="00B545F8" w:rsidRPr="00B545F8">
        <w:rPr>
          <w:rFonts w:ascii="Palatino Linotype" w:hAnsi="Palatino Linotype"/>
          <w:b/>
          <w:bCs/>
          <w:sz w:val="24"/>
          <w:szCs w:val="24"/>
        </w:rPr>
        <w:t xml:space="preserve"> Recurrente</w:t>
      </w:r>
      <w:r w:rsidR="00B545F8" w:rsidRPr="0014447C">
        <w:rPr>
          <w:rFonts w:ascii="Palatino Linotype" w:hAnsi="Palatino Linotype"/>
          <w:b/>
          <w:sz w:val="24"/>
          <w:szCs w:val="24"/>
        </w:rPr>
        <w:t xml:space="preserve"> </w:t>
      </w:r>
      <w:r w:rsidR="00B545F8" w:rsidRPr="0014447C">
        <w:rPr>
          <w:rFonts w:ascii="Palatino Linotype" w:hAnsi="Palatino Linotype"/>
          <w:sz w:val="24"/>
          <w:szCs w:val="24"/>
        </w:rPr>
        <w:t xml:space="preserve">la presente resolución </w:t>
      </w:r>
      <w:r w:rsidR="00B545F8" w:rsidRPr="00496475">
        <w:rPr>
          <w:rFonts w:ascii="Palatino Linotype" w:hAnsi="Palatino Linotype"/>
          <w:sz w:val="24"/>
          <w:szCs w:val="24"/>
        </w:rPr>
        <w:t>vía Sistema de Acceso a la Información Mexiquense (</w:t>
      </w:r>
      <w:r w:rsidR="00B545F8" w:rsidRPr="00496475">
        <w:rPr>
          <w:rFonts w:ascii="Palatino Linotype" w:hAnsi="Palatino Linotype"/>
          <w:b/>
          <w:bCs/>
          <w:sz w:val="24"/>
          <w:szCs w:val="24"/>
        </w:rPr>
        <w:t>SAIMEX</w:t>
      </w:r>
      <w:r w:rsidR="00B545F8" w:rsidRPr="00496475">
        <w:rPr>
          <w:rFonts w:ascii="Palatino Linotype" w:hAnsi="Palatino Linotype"/>
          <w:sz w:val="24"/>
          <w:szCs w:val="24"/>
        </w:rPr>
        <w:t>)</w:t>
      </w:r>
      <w:r w:rsidR="0082456F">
        <w:rPr>
          <w:rFonts w:ascii="Palatino Linotype" w:hAnsi="Palatino Linotype"/>
          <w:sz w:val="24"/>
          <w:szCs w:val="24"/>
        </w:rPr>
        <w:t xml:space="preserve"> y </w:t>
      </w:r>
      <w:r w:rsidR="00B545F8" w:rsidRPr="0014447C">
        <w:rPr>
          <w:rFonts w:ascii="Palatino Linotype" w:hAnsi="Palatino Linotype"/>
          <w:sz w:val="24"/>
          <w:szCs w:val="24"/>
        </w:rPr>
        <w:t>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5267FFB" w14:textId="77777777" w:rsidR="00872FC7" w:rsidRDefault="00872FC7" w:rsidP="00613213">
      <w:pPr>
        <w:spacing w:after="0" w:line="360" w:lineRule="auto"/>
        <w:jc w:val="both"/>
        <w:rPr>
          <w:rFonts w:ascii="Palatino Linotype" w:hAnsi="Palatino Linotype" w:cs="Arial"/>
          <w:sz w:val="24"/>
        </w:rPr>
      </w:pPr>
    </w:p>
    <w:p w14:paraId="51DC35F3" w14:textId="066A8F36" w:rsidR="00872FC7" w:rsidRPr="008A5D92" w:rsidRDefault="00872FC7" w:rsidP="00872FC7">
      <w:pPr>
        <w:spacing w:after="0" w:line="360" w:lineRule="auto"/>
        <w:jc w:val="both"/>
        <w:rPr>
          <w:rFonts w:ascii="Palatino Linotype" w:hAnsi="Palatino Linotype" w:cs="Arial"/>
          <w:sz w:val="16"/>
          <w:szCs w:val="20"/>
        </w:rPr>
      </w:pPr>
      <w:r w:rsidRPr="00DB5147">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w:t>
      </w:r>
      <w:r w:rsidRPr="00DB5147">
        <w:rPr>
          <w:rFonts w:ascii="Palatino Linotype" w:eastAsia="Times New Roman" w:hAnsi="Palatino Linotype" w:cs="Times New Roman"/>
          <w:sz w:val="24"/>
          <w:szCs w:val="24"/>
          <w:lang w:eastAsia="es-ES"/>
        </w:rPr>
        <w:lastRenderedPageBreak/>
        <w:t>MEJÍA AYALA, SHARON CRISTINA MORALES MARTÍNEZ, LUIS GUSTAVO PARRA NORIEGA</w:t>
      </w:r>
      <w:r>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Y GUADALUPE RAMÍREZ PEÑA; EN LA </w:t>
      </w:r>
      <w:r w:rsidR="008235A2">
        <w:rPr>
          <w:rFonts w:ascii="Palatino Linotype" w:eastAsia="Times New Roman" w:hAnsi="Palatino Linotype" w:cs="Times New Roman"/>
          <w:sz w:val="24"/>
          <w:szCs w:val="24"/>
          <w:lang w:eastAsia="es-ES"/>
        </w:rPr>
        <w:t>VIGÉSIMA</w:t>
      </w:r>
      <w:r w:rsidRPr="00DB5147">
        <w:rPr>
          <w:rFonts w:ascii="Palatino Linotype" w:eastAsia="Times New Roman" w:hAnsi="Palatino Linotype" w:cs="Times New Roman"/>
          <w:sz w:val="24"/>
          <w:szCs w:val="24"/>
          <w:lang w:eastAsia="es-ES"/>
        </w:rPr>
        <w:t xml:space="preserve"> SESIÓN ORDINARIA CELEBRADA EL </w:t>
      </w:r>
      <w:r w:rsidR="008235A2">
        <w:rPr>
          <w:rFonts w:ascii="Palatino Linotype" w:eastAsia="Times New Roman" w:hAnsi="Palatino Linotype" w:cs="Times New Roman"/>
          <w:sz w:val="24"/>
          <w:szCs w:val="24"/>
          <w:lang w:eastAsia="es-ES"/>
        </w:rPr>
        <w:t>CUATRO DE JUNIO DE DOS MIL VEINTICINCO</w:t>
      </w:r>
      <w:r w:rsidRPr="00DB5147">
        <w:rPr>
          <w:rFonts w:ascii="Palatino Linotype" w:eastAsia="Times New Roman" w:hAnsi="Palatino Linotype" w:cs="Times New Roman"/>
          <w:sz w:val="24"/>
          <w:szCs w:val="24"/>
          <w:lang w:eastAsia="es-ES"/>
        </w:rPr>
        <w:t>, ANTE EL SECRETARIO TÉCNICO DEL PLENO, ALEXIS TAPIA RAMÍREZ</w:t>
      </w:r>
      <w:r w:rsidRPr="006C6A05">
        <w:rPr>
          <w:rFonts w:ascii="Palatino Linotype" w:hAnsi="Palatino Linotype" w:cs="Arial"/>
          <w:sz w:val="24"/>
          <w:szCs w:val="24"/>
        </w:rPr>
        <w:t>.</w:t>
      </w:r>
      <w:r w:rsidRPr="008A5D92">
        <w:rPr>
          <w:rFonts w:ascii="Palatino Linotype" w:hAnsi="Palatino Linotype" w:cs="Arial"/>
          <w:sz w:val="24"/>
          <w:szCs w:val="24"/>
        </w:rPr>
        <w:t>------------------------------------------------------</w:t>
      </w:r>
      <w:r>
        <w:rPr>
          <w:rFonts w:ascii="Palatino Linotype" w:hAnsi="Palatino Linotype" w:cs="Arial"/>
          <w:sz w:val="24"/>
          <w:szCs w:val="24"/>
        </w:rPr>
        <w:t>-------------------------------------------------------------------------------------------------------------------------------------------------------------------</w:t>
      </w:r>
      <w:r w:rsidR="002A1793">
        <w:rPr>
          <w:rFonts w:ascii="Palatino Linotype" w:hAnsi="Palatino Linotype" w:cs="Arial"/>
          <w:sz w:val="24"/>
          <w:szCs w:val="24"/>
        </w:rPr>
        <w:t>---------------------------------------------------------------------------------------------------------------------------------------------------------------------------------------------------------------------------------------------------------</w:t>
      </w:r>
      <w:r w:rsidR="0082381B">
        <w:rPr>
          <w:rFonts w:ascii="Palatino Linotype" w:hAnsi="Palatino Linotype" w:cs="Arial"/>
          <w:sz w:val="24"/>
          <w:szCs w:val="24"/>
        </w:rPr>
        <w:t>--</w:t>
      </w:r>
      <w:r w:rsidR="00B545F8">
        <w:rPr>
          <w:rFonts w:ascii="Palatino Linotype" w:hAnsi="Palatino Linotype" w:cs="Arial"/>
          <w:sz w:val="24"/>
          <w:szCs w:val="24"/>
        </w:rPr>
        <w:t>-------------------------------------------------------------------------------------------------------------------------------------------------------------------------------------------------------------------------------------------------------------------------------------------------------------------</w:t>
      </w:r>
      <w:r w:rsidR="00E94A49">
        <w:rPr>
          <w:rFonts w:ascii="Palatino Linotype" w:hAnsi="Palatino Linotype" w:cs="Arial"/>
          <w:sz w:val="24"/>
          <w:szCs w:val="24"/>
        </w:rPr>
        <w:t>------------------------</w:t>
      </w:r>
      <w:r w:rsidR="00282BF9">
        <w:rPr>
          <w:rFonts w:ascii="Palatino Linotype" w:hAnsi="Palatino Linotype" w:cs="Arial"/>
          <w:sz w:val="24"/>
          <w:szCs w:val="24"/>
        </w:rPr>
        <w:t>--------------------------------------------------------------</w:t>
      </w:r>
      <w:r w:rsidR="00596A37">
        <w:rPr>
          <w:rFonts w:ascii="Palatino Linotype" w:hAnsi="Palatino Linotype" w:cs="Arial"/>
          <w:sz w:val="24"/>
          <w:szCs w:val="24"/>
        </w:rPr>
        <w:t>------------------------------------------------------</w:t>
      </w:r>
      <w:r w:rsidR="008235A2" w:rsidRPr="008235A2">
        <w:rPr>
          <w:rFonts w:ascii="Palatino Linotype" w:hAnsi="Palatino Linotype" w:cs="Arial"/>
          <w:sz w:val="24"/>
          <w:szCs w:val="24"/>
        </w:rPr>
        <w:t xml:space="preserve"> </w:t>
      </w:r>
      <w:r w:rsidR="008235A2">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Pr>
          <w:rFonts w:ascii="Palatino Linotype" w:hAnsi="Palatino Linotype"/>
          <w:sz w:val="14"/>
          <w:szCs w:val="20"/>
        </w:rPr>
        <w:t>JMV/CCR</w:t>
      </w:r>
      <w:r w:rsidRPr="008A5D92">
        <w:rPr>
          <w:rFonts w:ascii="Palatino Linotype" w:hAnsi="Palatino Linotype"/>
          <w:sz w:val="14"/>
          <w:szCs w:val="20"/>
        </w:rPr>
        <w:t>/</w:t>
      </w:r>
      <w:r>
        <w:rPr>
          <w:rFonts w:ascii="Palatino Linotype" w:hAnsi="Palatino Linotype"/>
          <w:sz w:val="14"/>
          <w:szCs w:val="20"/>
        </w:rPr>
        <w:t>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55131" w14:textId="77777777" w:rsidR="00544A50" w:rsidRDefault="00544A50" w:rsidP="00EE47DA">
      <w:pPr>
        <w:spacing w:after="0" w:line="240" w:lineRule="auto"/>
      </w:pPr>
      <w:r>
        <w:separator/>
      </w:r>
    </w:p>
  </w:endnote>
  <w:endnote w:type="continuationSeparator" w:id="0">
    <w:p w14:paraId="2F98488D" w14:textId="77777777" w:rsidR="00544A50" w:rsidRDefault="00544A50"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750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750F">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75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750F">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2F8CA" w14:textId="77777777" w:rsidR="00544A50" w:rsidRDefault="00544A50" w:rsidP="00EE47DA">
      <w:pPr>
        <w:spacing w:after="0" w:line="240" w:lineRule="auto"/>
      </w:pPr>
      <w:r>
        <w:separator/>
      </w:r>
    </w:p>
  </w:footnote>
  <w:footnote w:type="continuationSeparator" w:id="0">
    <w:p w14:paraId="46642FF3" w14:textId="77777777" w:rsidR="00544A50" w:rsidRDefault="00544A50"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6BF8E1C9" w:rsidR="00377AA3" w:rsidRPr="003416ED" w:rsidRDefault="00CA3650" w:rsidP="004952AC">
          <w:pPr>
            <w:spacing w:after="120" w:line="256" w:lineRule="auto"/>
            <w:ind w:left="-486" w:right="214" w:firstLine="1585"/>
            <w:jc w:val="right"/>
            <w:rPr>
              <w:rFonts w:ascii="Palatino Linotype" w:hAnsi="Palatino Linotype" w:cs="Arial"/>
            </w:rPr>
          </w:pPr>
          <w:r w:rsidRPr="00CA3650">
            <w:rPr>
              <w:rFonts w:ascii="Palatino Linotype" w:hAnsi="Palatino Linotype" w:cs="Arial"/>
              <w:bCs/>
              <w:lang w:eastAsia="es-MX"/>
            </w:rPr>
            <w:t>02390/INFOEM/IP/RR/2025</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433EA779" w:rsidR="00377AA3" w:rsidRPr="003416ED" w:rsidRDefault="00CA3650" w:rsidP="00613213">
          <w:pPr>
            <w:spacing w:after="120" w:line="256" w:lineRule="auto"/>
            <w:ind w:left="-486" w:right="214" w:firstLine="284"/>
            <w:jc w:val="right"/>
            <w:rPr>
              <w:rFonts w:ascii="Palatino Linotype" w:hAnsi="Palatino Linotype" w:cs="Arial"/>
            </w:rPr>
          </w:pPr>
          <w:r w:rsidRPr="00CA3650">
            <w:rPr>
              <w:rFonts w:ascii="Palatino Linotype" w:hAnsi="Palatino Linotype" w:cs="Arial"/>
              <w:bCs/>
              <w:lang w:eastAsia="es-MX"/>
            </w:rPr>
            <w:t>Ayuntamiento de Tenancingo</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2B0DBDD3" w:rsidR="00377AA3" w:rsidRPr="003416ED" w:rsidRDefault="00CA3650" w:rsidP="00613213">
          <w:pPr>
            <w:spacing w:after="120" w:line="256" w:lineRule="auto"/>
            <w:ind w:left="-486" w:right="214" w:firstLine="1408"/>
            <w:jc w:val="right"/>
            <w:rPr>
              <w:rFonts w:ascii="Palatino Linotype" w:hAnsi="Palatino Linotype" w:cs="Arial"/>
            </w:rPr>
          </w:pPr>
          <w:r w:rsidRPr="00CA3650">
            <w:rPr>
              <w:rFonts w:ascii="Palatino Linotype" w:hAnsi="Palatino Linotype" w:cs="Arial"/>
              <w:bCs/>
              <w:lang w:eastAsia="es-MX"/>
            </w:rPr>
            <w:t>02390/INFOEM/IP/RR/2025</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03DC0D30" w:rsidR="00377AA3" w:rsidRPr="00CA3650" w:rsidRDefault="00BB750F" w:rsidP="003416ED">
          <w:pPr>
            <w:spacing w:after="120" w:line="256" w:lineRule="auto"/>
            <w:ind w:left="-486" w:right="214" w:firstLine="1408"/>
            <w:jc w:val="right"/>
          </w:pPr>
          <w:r>
            <w:rPr>
              <w:rFonts w:ascii="Palatino Linotype" w:hAnsi="Palatino Linotype" w:cs="Arial"/>
            </w:rPr>
            <w:t>XXXXXXXXXXXXXXXXXXXX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559CAF0B" w:rsidR="00377AA3" w:rsidRPr="003416ED" w:rsidRDefault="00CA3650" w:rsidP="00634F14">
          <w:pPr>
            <w:spacing w:after="120" w:line="256" w:lineRule="auto"/>
            <w:ind w:left="-486" w:right="214" w:firstLine="276"/>
            <w:jc w:val="right"/>
          </w:pPr>
          <w:r w:rsidRPr="00CA3650">
            <w:rPr>
              <w:rFonts w:ascii="Palatino Linotype" w:hAnsi="Palatino Linotype" w:cs="Arial"/>
              <w:bCs/>
              <w:lang w:eastAsia="es-MX"/>
            </w:rPr>
            <w:t>Ayuntamiento de Tenancingo</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289A1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FB4FB5"/>
    <w:multiLevelType w:val="hybridMultilevel"/>
    <w:tmpl w:val="47FA95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3"/>
  </w:num>
  <w:num w:numId="5">
    <w:abstractNumId w:val="0"/>
  </w:num>
  <w:num w:numId="6">
    <w:abstractNumId w:val="1"/>
  </w:num>
  <w:num w:numId="7">
    <w:abstractNumId w:val="5"/>
  </w:num>
  <w:num w:numId="8">
    <w:abstractNumId w:val="8"/>
  </w:num>
  <w:num w:numId="9">
    <w:abstractNumId w:val="2"/>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53D02"/>
    <w:rsid w:val="00060C4E"/>
    <w:rsid w:val="000639C0"/>
    <w:rsid w:val="00071FDA"/>
    <w:rsid w:val="00072693"/>
    <w:rsid w:val="00074EF7"/>
    <w:rsid w:val="0007610F"/>
    <w:rsid w:val="0007637D"/>
    <w:rsid w:val="00086656"/>
    <w:rsid w:val="0009195E"/>
    <w:rsid w:val="00093DBB"/>
    <w:rsid w:val="000A695A"/>
    <w:rsid w:val="000A6EF4"/>
    <w:rsid w:val="000B2AA5"/>
    <w:rsid w:val="000C0689"/>
    <w:rsid w:val="000C16AF"/>
    <w:rsid w:val="000D20B6"/>
    <w:rsid w:val="000D42D4"/>
    <w:rsid w:val="000D45ED"/>
    <w:rsid w:val="000D5731"/>
    <w:rsid w:val="000D65F5"/>
    <w:rsid w:val="000E1D2A"/>
    <w:rsid w:val="000E278D"/>
    <w:rsid w:val="000E6376"/>
    <w:rsid w:val="000E780C"/>
    <w:rsid w:val="000F0CBC"/>
    <w:rsid w:val="000F2312"/>
    <w:rsid w:val="000F6AEB"/>
    <w:rsid w:val="00100A63"/>
    <w:rsid w:val="001025F3"/>
    <w:rsid w:val="00110D5D"/>
    <w:rsid w:val="00112BAF"/>
    <w:rsid w:val="001205B4"/>
    <w:rsid w:val="0012137C"/>
    <w:rsid w:val="00123EF6"/>
    <w:rsid w:val="00124567"/>
    <w:rsid w:val="0013132F"/>
    <w:rsid w:val="00132260"/>
    <w:rsid w:val="001363B8"/>
    <w:rsid w:val="00142989"/>
    <w:rsid w:val="001430E8"/>
    <w:rsid w:val="00155074"/>
    <w:rsid w:val="00160EE9"/>
    <w:rsid w:val="001619EA"/>
    <w:rsid w:val="00163F01"/>
    <w:rsid w:val="00170866"/>
    <w:rsid w:val="00172F09"/>
    <w:rsid w:val="001905AD"/>
    <w:rsid w:val="0019218C"/>
    <w:rsid w:val="001952D9"/>
    <w:rsid w:val="0019696F"/>
    <w:rsid w:val="001A0338"/>
    <w:rsid w:val="001A034D"/>
    <w:rsid w:val="001B0A86"/>
    <w:rsid w:val="001C251C"/>
    <w:rsid w:val="001C3CC9"/>
    <w:rsid w:val="001D2513"/>
    <w:rsid w:val="001D37EC"/>
    <w:rsid w:val="001D632E"/>
    <w:rsid w:val="001E5118"/>
    <w:rsid w:val="001F0285"/>
    <w:rsid w:val="001F519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67F29"/>
    <w:rsid w:val="0027093D"/>
    <w:rsid w:val="0027201B"/>
    <w:rsid w:val="002724D8"/>
    <w:rsid w:val="00276608"/>
    <w:rsid w:val="00282BF9"/>
    <w:rsid w:val="002843BD"/>
    <w:rsid w:val="00285B10"/>
    <w:rsid w:val="00286CEF"/>
    <w:rsid w:val="00287283"/>
    <w:rsid w:val="002926B9"/>
    <w:rsid w:val="00295EAA"/>
    <w:rsid w:val="002A16A4"/>
    <w:rsid w:val="002A1793"/>
    <w:rsid w:val="002A1F8E"/>
    <w:rsid w:val="002B152B"/>
    <w:rsid w:val="002B1EE7"/>
    <w:rsid w:val="002B2631"/>
    <w:rsid w:val="002B4EDF"/>
    <w:rsid w:val="002B519E"/>
    <w:rsid w:val="002B769A"/>
    <w:rsid w:val="002C3309"/>
    <w:rsid w:val="002D031D"/>
    <w:rsid w:val="002D6084"/>
    <w:rsid w:val="002E0BFD"/>
    <w:rsid w:val="002E0F27"/>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33BE4"/>
    <w:rsid w:val="00336353"/>
    <w:rsid w:val="00336CEB"/>
    <w:rsid w:val="003416ED"/>
    <w:rsid w:val="00341A63"/>
    <w:rsid w:val="003434AB"/>
    <w:rsid w:val="003439C4"/>
    <w:rsid w:val="0034579E"/>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2DCA"/>
    <w:rsid w:val="003A565E"/>
    <w:rsid w:val="003A61E5"/>
    <w:rsid w:val="003B708B"/>
    <w:rsid w:val="003C56AC"/>
    <w:rsid w:val="003C5A01"/>
    <w:rsid w:val="003C5C21"/>
    <w:rsid w:val="003D150C"/>
    <w:rsid w:val="003E1EB5"/>
    <w:rsid w:val="003E1F80"/>
    <w:rsid w:val="003E3A57"/>
    <w:rsid w:val="003E7FC4"/>
    <w:rsid w:val="003F33B6"/>
    <w:rsid w:val="003F6A27"/>
    <w:rsid w:val="003F6F67"/>
    <w:rsid w:val="00404074"/>
    <w:rsid w:val="00411640"/>
    <w:rsid w:val="004162FC"/>
    <w:rsid w:val="0042004D"/>
    <w:rsid w:val="00422E20"/>
    <w:rsid w:val="00423661"/>
    <w:rsid w:val="00426618"/>
    <w:rsid w:val="004272A2"/>
    <w:rsid w:val="0042799E"/>
    <w:rsid w:val="0043625C"/>
    <w:rsid w:val="00440620"/>
    <w:rsid w:val="004434F7"/>
    <w:rsid w:val="00443B2A"/>
    <w:rsid w:val="00446557"/>
    <w:rsid w:val="00451846"/>
    <w:rsid w:val="00454A17"/>
    <w:rsid w:val="00461236"/>
    <w:rsid w:val="004614A3"/>
    <w:rsid w:val="00463758"/>
    <w:rsid w:val="00465489"/>
    <w:rsid w:val="0046683C"/>
    <w:rsid w:val="00467487"/>
    <w:rsid w:val="00472720"/>
    <w:rsid w:val="00473B0B"/>
    <w:rsid w:val="00480581"/>
    <w:rsid w:val="00483D45"/>
    <w:rsid w:val="004904FD"/>
    <w:rsid w:val="00490645"/>
    <w:rsid w:val="00490AE4"/>
    <w:rsid w:val="004952AC"/>
    <w:rsid w:val="00496344"/>
    <w:rsid w:val="0049639C"/>
    <w:rsid w:val="004A06FF"/>
    <w:rsid w:val="004B3C09"/>
    <w:rsid w:val="004B534E"/>
    <w:rsid w:val="004C0B45"/>
    <w:rsid w:val="004C5331"/>
    <w:rsid w:val="004D21C7"/>
    <w:rsid w:val="004E1D10"/>
    <w:rsid w:val="004F61AC"/>
    <w:rsid w:val="004F7564"/>
    <w:rsid w:val="00500BD0"/>
    <w:rsid w:val="00502E92"/>
    <w:rsid w:val="00505107"/>
    <w:rsid w:val="005062D8"/>
    <w:rsid w:val="00510307"/>
    <w:rsid w:val="005123BB"/>
    <w:rsid w:val="0051417D"/>
    <w:rsid w:val="00517DF7"/>
    <w:rsid w:val="00520F54"/>
    <w:rsid w:val="00522515"/>
    <w:rsid w:val="00524019"/>
    <w:rsid w:val="0053082A"/>
    <w:rsid w:val="005311ED"/>
    <w:rsid w:val="0053124F"/>
    <w:rsid w:val="00542385"/>
    <w:rsid w:val="00542D79"/>
    <w:rsid w:val="005441FC"/>
    <w:rsid w:val="00544A50"/>
    <w:rsid w:val="00547434"/>
    <w:rsid w:val="00551543"/>
    <w:rsid w:val="00552339"/>
    <w:rsid w:val="00555C68"/>
    <w:rsid w:val="00556551"/>
    <w:rsid w:val="00562181"/>
    <w:rsid w:val="00565137"/>
    <w:rsid w:val="005733EB"/>
    <w:rsid w:val="005748FA"/>
    <w:rsid w:val="005930C8"/>
    <w:rsid w:val="005943FA"/>
    <w:rsid w:val="005953B8"/>
    <w:rsid w:val="00596A37"/>
    <w:rsid w:val="005B5871"/>
    <w:rsid w:val="005C03C5"/>
    <w:rsid w:val="005C2452"/>
    <w:rsid w:val="005C56E8"/>
    <w:rsid w:val="005C5ABF"/>
    <w:rsid w:val="005C7664"/>
    <w:rsid w:val="005D4845"/>
    <w:rsid w:val="005D5030"/>
    <w:rsid w:val="005D7035"/>
    <w:rsid w:val="005D79A1"/>
    <w:rsid w:val="005E23FE"/>
    <w:rsid w:val="005E44E0"/>
    <w:rsid w:val="005E4CD1"/>
    <w:rsid w:val="005E7C2F"/>
    <w:rsid w:val="005F6B9D"/>
    <w:rsid w:val="005F6F54"/>
    <w:rsid w:val="00600542"/>
    <w:rsid w:val="0060290A"/>
    <w:rsid w:val="00602DBC"/>
    <w:rsid w:val="00611F39"/>
    <w:rsid w:val="00613213"/>
    <w:rsid w:val="00613419"/>
    <w:rsid w:val="00617064"/>
    <w:rsid w:val="006229E5"/>
    <w:rsid w:val="00631932"/>
    <w:rsid w:val="00632371"/>
    <w:rsid w:val="00633A1C"/>
    <w:rsid w:val="00634F14"/>
    <w:rsid w:val="006354E1"/>
    <w:rsid w:val="00635CC9"/>
    <w:rsid w:val="006370F9"/>
    <w:rsid w:val="00640869"/>
    <w:rsid w:val="00641ABD"/>
    <w:rsid w:val="00643117"/>
    <w:rsid w:val="0064372C"/>
    <w:rsid w:val="006606EA"/>
    <w:rsid w:val="00670AE6"/>
    <w:rsid w:val="00670B92"/>
    <w:rsid w:val="00670FBE"/>
    <w:rsid w:val="00677952"/>
    <w:rsid w:val="00681980"/>
    <w:rsid w:val="00685C07"/>
    <w:rsid w:val="00692CF0"/>
    <w:rsid w:val="00694487"/>
    <w:rsid w:val="00694DCC"/>
    <w:rsid w:val="006A1DA8"/>
    <w:rsid w:val="006A300F"/>
    <w:rsid w:val="006A397F"/>
    <w:rsid w:val="006C01A4"/>
    <w:rsid w:val="006C3AE4"/>
    <w:rsid w:val="006C5B02"/>
    <w:rsid w:val="006C6746"/>
    <w:rsid w:val="006C7492"/>
    <w:rsid w:val="006D59EF"/>
    <w:rsid w:val="006D5B4C"/>
    <w:rsid w:val="006E0D7F"/>
    <w:rsid w:val="007007F9"/>
    <w:rsid w:val="00702452"/>
    <w:rsid w:val="0070252F"/>
    <w:rsid w:val="007025C4"/>
    <w:rsid w:val="007063B1"/>
    <w:rsid w:val="007162D9"/>
    <w:rsid w:val="00720E7A"/>
    <w:rsid w:val="007219A3"/>
    <w:rsid w:val="0072354D"/>
    <w:rsid w:val="00724501"/>
    <w:rsid w:val="007337A6"/>
    <w:rsid w:val="00735CAB"/>
    <w:rsid w:val="007362A4"/>
    <w:rsid w:val="00736A37"/>
    <w:rsid w:val="00736A90"/>
    <w:rsid w:val="00737813"/>
    <w:rsid w:val="00751833"/>
    <w:rsid w:val="0075307B"/>
    <w:rsid w:val="00753F39"/>
    <w:rsid w:val="00757487"/>
    <w:rsid w:val="007634D3"/>
    <w:rsid w:val="00770436"/>
    <w:rsid w:val="007739D9"/>
    <w:rsid w:val="007837D3"/>
    <w:rsid w:val="00785523"/>
    <w:rsid w:val="00785581"/>
    <w:rsid w:val="00785C58"/>
    <w:rsid w:val="007860CB"/>
    <w:rsid w:val="00792BF6"/>
    <w:rsid w:val="00793C6D"/>
    <w:rsid w:val="00797D08"/>
    <w:rsid w:val="007A0AD4"/>
    <w:rsid w:val="007A32F9"/>
    <w:rsid w:val="007B037B"/>
    <w:rsid w:val="007B1FEC"/>
    <w:rsid w:val="007B2A48"/>
    <w:rsid w:val="007B40D8"/>
    <w:rsid w:val="007C5589"/>
    <w:rsid w:val="007D6369"/>
    <w:rsid w:val="007E33C8"/>
    <w:rsid w:val="007F13F1"/>
    <w:rsid w:val="00802800"/>
    <w:rsid w:val="008044D1"/>
    <w:rsid w:val="00810356"/>
    <w:rsid w:val="00810DDC"/>
    <w:rsid w:val="00812F3C"/>
    <w:rsid w:val="00813103"/>
    <w:rsid w:val="00815533"/>
    <w:rsid w:val="00816091"/>
    <w:rsid w:val="008215C3"/>
    <w:rsid w:val="008235A2"/>
    <w:rsid w:val="0082381B"/>
    <w:rsid w:val="00823EBF"/>
    <w:rsid w:val="0082456F"/>
    <w:rsid w:val="00824616"/>
    <w:rsid w:val="00824BD0"/>
    <w:rsid w:val="00832F47"/>
    <w:rsid w:val="00834F6C"/>
    <w:rsid w:val="00835647"/>
    <w:rsid w:val="008421D4"/>
    <w:rsid w:val="0084300B"/>
    <w:rsid w:val="00843EF0"/>
    <w:rsid w:val="00852896"/>
    <w:rsid w:val="008535D5"/>
    <w:rsid w:val="00860AF5"/>
    <w:rsid w:val="00861676"/>
    <w:rsid w:val="00862A63"/>
    <w:rsid w:val="008638AB"/>
    <w:rsid w:val="00865DFA"/>
    <w:rsid w:val="008665C8"/>
    <w:rsid w:val="00872FC7"/>
    <w:rsid w:val="008765A0"/>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6214"/>
    <w:rsid w:val="008D6F18"/>
    <w:rsid w:val="008E173E"/>
    <w:rsid w:val="008E50ED"/>
    <w:rsid w:val="008E58A8"/>
    <w:rsid w:val="008E5EC1"/>
    <w:rsid w:val="008E64A8"/>
    <w:rsid w:val="008F0299"/>
    <w:rsid w:val="008F411C"/>
    <w:rsid w:val="009000C6"/>
    <w:rsid w:val="00904B0F"/>
    <w:rsid w:val="0090563C"/>
    <w:rsid w:val="00911EDF"/>
    <w:rsid w:val="009135AE"/>
    <w:rsid w:val="00917E5A"/>
    <w:rsid w:val="00917F7E"/>
    <w:rsid w:val="0093510F"/>
    <w:rsid w:val="00940883"/>
    <w:rsid w:val="00942557"/>
    <w:rsid w:val="00944567"/>
    <w:rsid w:val="00947F46"/>
    <w:rsid w:val="009502E9"/>
    <w:rsid w:val="009523C5"/>
    <w:rsid w:val="00956E21"/>
    <w:rsid w:val="0096124F"/>
    <w:rsid w:val="00975F56"/>
    <w:rsid w:val="00981343"/>
    <w:rsid w:val="00982E24"/>
    <w:rsid w:val="009841A8"/>
    <w:rsid w:val="0099115F"/>
    <w:rsid w:val="00991783"/>
    <w:rsid w:val="00992F89"/>
    <w:rsid w:val="009953B5"/>
    <w:rsid w:val="00995EC5"/>
    <w:rsid w:val="00997021"/>
    <w:rsid w:val="009A5361"/>
    <w:rsid w:val="009B0224"/>
    <w:rsid w:val="009B0875"/>
    <w:rsid w:val="009B1C66"/>
    <w:rsid w:val="009B3C15"/>
    <w:rsid w:val="009B713A"/>
    <w:rsid w:val="009C191F"/>
    <w:rsid w:val="009C2BAB"/>
    <w:rsid w:val="009D2B14"/>
    <w:rsid w:val="009D72F8"/>
    <w:rsid w:val="009D73FD"/>
    <w:rsid w:val="009E7E52"/>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2E18"/>
    <w:rsid w:val="00A83575"/>
    <w:rsid w:val="00A94686"/>
    <w:rsid w:val="00A96A9D"/>
    <w:rsid w:val="00AA320F"/>
    <w:rsid w:val="00AB4984"/>
    <w:rsid w:val="00AB4E54"/>
    <w:rsid w:val="00AB5B48"/>
    <w:rsid w:val="00AB6286"/>
    <w:rsid w:val="00AC2E47"/>
    <w:rsid w:val="00AC41B3"/>
    <w:rsid w:val="00AC471B"/>
    <w:rsid w:val="00AC5C3F"/>
    <w:rsid w:val="00AC5CD9"/>
    <w:rsid w:val="00AD6FA5"/>
    <w:rsid w:val="00AE4F87"/>
    <w:rsid w:val="00AE67A2"/>
    <w:rsid w:val="00AF3499"/>
    <w:rsid w:val="00B06E89"/>
    <w:rsid w:val="00B106E8"/>
    <w:rsid w:val="00B11ECD"/>
    <w:rsid w:val="00B170D3"/>
    <w:rsid w:val="00B20511"/>
    <w:rsid w:val="00B22745"/>
    <w:rsid w:val="00B248CA"/>
    <w:rsid w:val="00B26F38"/>
    <w:rsid w:val="00B27019"/>
    <w:rsid w:val="00B2738B"/>
    <w:rsid w:val="00B307F4"/>
    <w:rsid w:val="00B3166F"/>
    <w:rsid w:val="00B3388F"/>
    <w:rsid w:val="00B338C5"/>
    <w:rsid w:val="00B51805"/>
    <w:rsid w:val="00B52B98"/>
    <w:rsid w:val="00B545F8"/>
    <w:rsid w:val="00B54DFA"/>
    <w:rsid w:val="00B57322"/>
    <w:rsid w:val="00B57764"/>
    <w:rsid w:val="00B62A93"/>
    <w:rsid w:val="00B64929"/>
    <w:rsid w:val="00B73FBC"/>
    <w:rsid w:val="00B74D82"/>
    <w:rsid w:val="00B767F1"/>
    <w:rsid w:val="00B81A2B"/>
    <w:rsid w:val="00B8792A"/>
    <w:rsid w:val="00B93E62"/>
    <w:rsid w:val="00B975CC"/>
    <w:rsid w:val="00B9789C"/>
    <w:rsid w:val="00BA088B"/>
    <w:rsid w:val="00BA5FE2"/>
    <w:rsid w:val="00BA73BA"/>
    <w:rsid w:val="00BB0995"/>
    <w:rsid w:val="00BB249E"/>
    <w:rsid w:val="00BB4BC5"/>
    <w:rsid w:val="00BB674A"/>
    <w:rsid w:val="00BB750F"/>
    <w:rsid w:val="00BC7CFC"/>
    <w:rsid w:val="00BC7D64"/>
    <w:rsid w:val="00BD2519"/>
    <w:rsid w:val="00BD78FD"/>
    <w:rsid w:val="00BE3AE9"/>
    <w:rsid w:val="00BE6534"/>
    <w:rsid w:val="00BE6D11"/>
    <w:rsid w:val="00BE723C"/>
    <w:rsid w:val="00BF001D"/>
    <w:rsid w:val="00BF1A3D"/>
    <w:rsid w:val="00BF2956"/>
    <w:rsid w:val="00C04418"/>
    <w:rsid w:val="00C0480D"/>
    <w:rsid w:val="00C05C3E"/>
    <w:rsid w:val="00C05DD1"/>
    <w:rsid w:val="00C0663E"/>
    <w:rsid w:val="00C06E73"/>
    <w:rsid w:val="00C07CD9"/>
    <w:rsid w:val="00C144D1"/>
    <w:rsid w:val="00C16E1F"/>
    <w:rsid w:val="00C24298"/>
    <w:rsid w:val="00C24C2F"/>
    <w:rsid w:val="00C266F3"/>
    <w:rsid w:val="00C40551"/>
    <w:rsid w:val="00C415AC"/>
    <w:rsid w:val="00C4280E"/>
    <w:rsid w:val="00C470A6"/>
    <w:rsid w:val="00C57946"/>
    <w:rsid w:val="00C70D3B"/>
    <w:rsid w:val="00C733C9"/>
    <w:rsid w:val="00C741A1"/>
    <w:rsid w:val="00C7579B"/>
    <w:rsid w:val="00C77044"/>
    <w:rsid w:val="00C83E06"/>
    <w:rsid w:val="00C84ED9"/>
    <w:rsid w:val="00CA0299"/>
    <w:rsid w:val="00CA2AEC"/>
    <w:rsid w:val="00CA342C"/>
    <w:rsid w:val="00CA3650"/>
    <w:rsid w:val="00CB46B4"/>
    <w:rsid w:val="00CC2336"/>
    <w:rsid w:val="00CC4339"/>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258C"/>
    <w:rsid w:val="00D13260"/>
    <w:rsid w:val="00D14BFE"/>
    <w:rsid w:val="00D150EF"/>
    <w:rsid w:val="00D36A0D"/>
    <w:rsid w:val="00D37638"/>
    <w:rsid w:val="00D40F57"/>
    <w:rsid w:val="00D4794E"/>
    <w:rsid w:val="00D51F5D"/>
    <w:rsid w:val="00D547FB"/>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039D6"/>
    <w:rsid w:val="00E111F8"/>
    <w:rsid w:val="00E13249"/>
    <w:rsid w:val="00E143C6"/>
    <w:rsid w:val="00E162AB"/>
    <w:rsid w:val="00E2287F"/>
    <w:rsid w:val="00E274C8"/>
    <w:rsid w:val="00E32ED8"/>
    <w:rsid w:val="00E33B99"/>
    <w:rsid w:val="00E4125F"/>
    <w:rsid w:val="00E431FA"/>
    <w:rsid w:val="00E43C2B"/>
    <w:rsid w:val="00E539B9"/>
    <w:rsid w:val="00E62014"/>
    <w:rsid w:val="00E632C6"/>
    <w:rsid w:val="00E757DE"/>
    <w:rsid w:val="00E758AB"/>
    <w:rsid w:val="00E84C37"/>
    <w:rsid w:val="00E84F5D"/>
    <w:rsid w:val="00E94A49"/>
    <w:rsid w:val="00EA101D"/>
    <w:rsid w:val="00EA1E08"/>
    <w:rsid w:val="00EB48B7"/>
    <w:rsid w:val="00EB73DB"/>
    <w:rsid w:val="00EC1B65"/>
    <w:rsid w:val="00EC2665"/>
    <w:rsid w:val="00ED6BD3"/>
    <w:rsid w:val="00EE0ACA"/>
    <w:rsid w:val="00EE47DA"/>
    <w:rsid w:val="00EF0A9E"/>
    <w:rsid w:val="00EF1FD3"/>
    <w:rsid w:val="00EF27B5"/>
    <w:rsid w:val="00EF3497"/>
    <w:rsid w:val="00EF5335"/>
    <w:rsid w:val="00F0779C"/>
    <w:rsid w:val="00F1403B"/>
    <w:rsid w:val="00F148E4"/>
    <w:rsid w:val="00F34BD7"/>
    <w:rsid w:val="00F40714"/>
    <w:rsid w:val="00F44741"/>
    <w:rsid w:val="00F55174"/>
    <w:rsid w:val="00F5608A"/>
    <w:rsid w:val="00F61DA7"/>
    <w:rsid w:val="00F62590"/>
    <w:rsid w:val="00F67C0F"/>
    <w:rsid w:val="00F722E8"/>
    <w:rsid w:val="00F735C8"/>
    <w:rsid w:val="00F80493"/>
    <w:rsid w:val="00F821F3"/>
    <w:rsid w:val="00F85B25"/>
    <w:rsid w:val="00F87FA9"/>
    <w:rsid w:val="00F91063"/>
    <w:rsid w:val="00F91FB6"/>
    <w:rsid w:val="00F9265D"/>
    <w:rsid w:val="00F937E1"/>
    <w:rsid w:val="00FA1F4B"/>
    <w:rsid w:val="00FC0A96"/>
    <w:rsid w:val="00FC502C"/>
    <w:rsid w:val="00FD1C71"/>
    <w:rsid w:val="00FD270F"/>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 w:type="character" w:customStyle="1" w:styleId="UnresolvedMention">
    <w:name w:val="Unresolved Mention"/>
    <w:basedOn w:val="Fuentedeprrafopredeter"/>
    <w:uiPriority w:val="99"/>
    <w:semiHidden/>
    <w:unhideWhenUsed/>
    <w:rsid w:val="009A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93657443">
      <w:bodyDiv w:val="1"/>
      <w:marLeft w:val="0"/>
      <w:marRight w:val="0"/>
      <w:marTop w:val="0"/>
      <w:marBottom w:val="0"/>
      <w:divBdr>
        <w:top w:val="none" w:sz="0" w:space="0" w:color="auto"/>
        <w:left w:val="none" w:sz="0" w:space="0" w:color="auto"/>
        <w:bottom w:val="none" w:sz="0" w:space="0" w:color="auto"/>
        <w:right w:val="none" w:sz="0" w:space="0" w:color="auto"/>
      </w:divBdr>
    </w:div>
    <w:div w:id="115815340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09EA-23B2-4226-94F1-4C7EB321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26</Pages>
  <Words>6841</Words>
  <Characters>37627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2025-06-06T16:34:00Z</cp:lastPrinted>
  <dcterms:created xsi:type="dcterms:W3CDTF">2025-05-21T17:27:00Z</dcterms:created>
  <dcterms:modified xsi:type="dcterms:W3CDTF">2025-06-24T21:31:00Z</dcterms:modified>
</cp:coreProperties>
</file>