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3142"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bookmarkStart w:id="0" w:name="_heading=h.30j0zll" w:colFirst="0" w:colLast="0"/>
      <w:bookmarkEnd w:id="0"/>
      <w:r w:rsidRPr="005C20A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veintiséis de febrero de dos mil veinticinco. </w:t>
      </w:r>
    </w:p>
    <w:p w14:paraId="51247FF3" w14:textId="1C55DC00" w:rsidR="00175A70" w:rsidRPr="005C20AF" w:rsidRDefault="00FF431F">
      <w:pPr>
        <w:spacing w:before="240" w:after="240" w:line="360" w:lineRule="auto"/>
        <w:ind w:right="51"/>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b/>
          <w:sz w:val="24"/>
          <w:szCs w:val="24"/>
        </w:rPr>
        <w:t xml:space="preserve">Vistos </w:t>
      </w:r>
      <w:r w:rsidRPr="005C20AF">
        <w:rPr>
          <w:rFonts w:ascii="Palatino Linotype" w:eastAsia="Palatino Linotype" w:hAnsi="Palatino Linotype" w:cs="Palatino Linotype"/>
          <w:sz w:val="24"/>
          <w:szCs w:val="24"/>
        </w:rPr>
        <w:t xml:space="preserve">los expedientes relativos a los recursos de revisión </w:t>
      </w:r>
      <w:r w:rsidRPr="005C20AF">
        <w:rPr>
          <w:rFonts w:ascii="Palatino Linotype" w:eastAsia="Palatino Linotype" w:hAnsi="Palatino Linotype" w:cs="Palatino Linotype"/>
          <w:b/>
          <w:sz w:val="24"/>
          <w:szCs w:val="24"/>
        </w:rPr>
        <w:t xml:space="preserve">00209/INFOEM/IP/RR/2025, 00214/INFOEM/IP/RR/2025, 00219/INFOEM/IP/RR/2025, 00224/INFOEM/IP/RR/2025, 00229/INFOEM/IP/RR/2025, 00234/INFOEM/IP/RR/2025, 00239/INFOEM/IP/RR/2025 </w:t>
      </w:r>
      <w:r w:rsidRPr="005C20AF">
        <w:rPr>
          <w:rFonts w:ascii="Palatino Linotype" w:eastAsia="Palatino Linotype" w:hAnsi="Palatino Linotype" w:cs="Palatino Linotype"/>
          <w:sz w:val="24"/>
          <w:szCs w:val="24"/>
        </w:rPr>
        <w:t xml:space="preserve">y </w:t>
      </w:r>
      <w:r w:rsidRPr="005C20AF">
        <w:rPr>
          <w:rFonts w:ascii="Palatino Linotype" w:eastAsia="Palatino Linotype" w:hAnsi="Palatino Linotype" w:cs="Palatino Linotype"/>
          <w:b/>
          <w:sz w:val="24"/>
          <w:szCs w:val="24"/>
        </w:rPr>
        <w:t xml:space="preserve">00244/INFOEM/IP/RR/2025, acumulados, </w:t>
      </w:r>
      <w:r w:rsidRPr="005C20AF">
        <w:rPr>
          <w:rFonts w:ascii="Palatino Linotype" w:eastAsia="Palatino Linotype" w:hAnsi="Palatino Linotype" w:cs="Palatino Linotype"/>
          <w:sz w:val="24"/>
          <w:szCs w:val="24"/>
        </w:rPr>
        <w:t>interpuestos por</w:t>
      </w:r>
      <w:r w:rsidRPr="005C20AF">
        <w:rPr>
          <w:rFonts w:ascii="Palatino Linotype" w:eastAsia="Palatino Linotype" w:hAnsi="Palatino Linotype" w:cs="Palatino Linotype"/>
          <w:b/>
          <w:sz w:val="24"/>
          <w:szCs w:val="24"/>
        </w:rPr>
        <w:t xml:space="preserve"> </w:t>
      </w:r>
      <w:r w:rsidR="00CA4363" w:rsidRPr="00CA4363">
        <w:rPr>
          <w:rFonts w:ascii="Palatino Linotype" w:eastAsia="Palatino Linotype" w:hAnsi="Palatino Linotype" w:cs="Palatino Linotype"/>
          <w:b/>
          <w:sz w:val="24"/>
          <w:szCs w:val="24"/>
        </w:rPr>
        <w:t>XXXXXX XXXXXXX XXXXX</w:t>
      </w:r>
      <w:r w:rsidRPr="005C20AF">
        <w:rPr>
          <w:rFonts w:ascii="Palatino Linotype" w:eastAsia="Palatino Linotype" w:hAnsi="Palatino Linotype" w:cs="Palatino Linotype"/>
          <w:b/>
          <w:sz w:val="24"/>
          <w:szCs w:val="24"/>
        </w:rPr>
        <w:t>,</w:t>
      </w:r>
      <w:r w:rsidRPr="005C20AF">
        <w:rPr>
          <w:rFonts w:ascii="Palatino Linotype" w:eastAsia="Palatino Linotype" w:hAnsi="Palatino Linotype" w:cs="Palatino Linotype"/>
          <w:sz w:val="24"/>
          <w:szCs w:val="24"/>
        </w:rPr>
        <w:t xml:space="preserve"> en lo sucesivo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en contra de la respuesta a las solicitudes de información con números de folio </w:t>
      </w:r>
      <w:r w:rsidRPr="005C20AF">
        <w:rPr>
          <w:rFonts w:ascii="Palatino Linotype" w:eastAsia="Palatino Linotype" w:hAnsi="Palatino Linotype" w:cs="Palatino Linotype"/>
          <w:b/>
          <w:sz w:val="24"/>
          <w:szCs w:val="24"/>
        </w:rPr>
        <w:t xml:space="preserve">01076/SF/IP/2024, 01081/SF/IP/2024, 01086/SF/IP/2024, 01091/SF/IP/2024, 01096/SF/IP/2024, 01101/SF/IP/2024, 01106/SF/IP/2024 </w:t>
      </w:r>
      <w:r w:rsidRPr="005C20AF">
        <w:rPr>
          <w:rFonts w:ascii="Palatino Linotype" w:eastAsia="Palatino Linotype" w:hAnsi="Palatino Linotype" w:cs="Palatino Linotype"/>
          <w:sz w:val="24"/>
          <w:szCs w:val="24"/>
        </w:rPr>
        <w:t xml:space="preserve">y </w:t>
      </w:r>
      <w:r w:rsidRPr="005C20AF">
        <w:rPr>
          <w:rFonts w:ascii="Palatino Linotype" w:eastAsia="Palatino Linotype" w:hAnsi="Palatino Linotype" w:cs="Palatino Linotype"/>
          <w:b/>
          <w:sz w:val="24"/>
          <w:szCs w:val="24"/>
        </w:rPr>
        <w:t xml:space="preserve">01111/SF/IP/2024, </w:t>
      </w:r>
      <w:r w:rsidRPr="005C20AF">
        <w:rPr>
          <w:rFonts w:ascii="Palatino Linotype" w:eastAsia="Palatino Linotype" w:hAnsi="Palatino Linotype" w:cs="Palatino Linotype"/>
          <w:sz w:val="24"/>
          <w:szCs w:val="24"/>
        </w:rPr>
        <w:t xml:space="preserve">por parte de la </w:t>
      </w:r>
      <w:r w:rsidRPr="005C20AF">
        <w:rPr>
          <w:rFonts w:ascii="Palatino Linotype" w:eastAsia="Palatino Linotype" w:hAnsi="Palatino Linotype" w:cs="Palatino Linotype"/>
          <w:b/>
          <w:sz w:val="24"/>
          <w:szCs w:val="24"/>
        </w:rPr>
        <w:t>Secretaría de Finanzas</w:t>
      </w:r>
      <w:r w:rsidRPr="005C20AF">
        <w:rPr>
          <w:rFonts w:ascii="Palatino Linotype" w:eastAsia="Palatino Linotype" w:hAnsi="Palatino Linotype" w:cs="Palatino Linotype"/>
          <w:sz w:val="24"/>
          <w:szCs w:val="24"/>
        </w:rPr>
        <w:t xml:space="preserve">, en lo sucesivo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se procede a dictar la presente resolución, con base en lo siguiente.</w:t>
      </w:r>
    </w:p>
    <w:p w14:paraId="004D785B" w14:textId="77777777" w:rsidR="00175A70" w:rsidRPr="005C20AF" w:rsidRDefault="00FF431F">
      <w:pPr>
        <w:spacing w:before="240" w:after="240" w:line="360" w:lineRule="auto"/>
        <w:ind w:right="49"/>
        <w:jc w:val="center"/>
        <w:rPr>
          <w:rFonts w:ascii="Palatino Linotype" w:eastAsia="Palatino Linotype" w:hAnsi="Palatino Linotype" w:cs="Palatino Linotype"/>
          <w:b/>
        </w:rPr>
      </w:pPr>
      <w:r w:rsidRPr="005C20AF">
        <w:rPr>
          <w:rFonts w:ascii="Palatino Linotype" w:eastAsia="Palatino Linotype" w:hAnsi="Palatino Linotype" w:cs="Palatino Linotype"/>
          <w:b/>
        </w:rPr>
        <w:t>I. A N T E C E D E N T E S:</w:t>
      </w:r>
    </w:p>
    <w:p w14:paraId="370EDDD4"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rPr>
        <w:t>1.</w:t>
      </w:r>
      <w:r w:rsidRPr="005C20AF">
        <w:rPr>
          <w:rFonts w:ascii="Palatino Linotype" w:eastAsia="Palatino Linotype" w:hAnsi="Palatino Linotype" w:cs="Palatino Linotype"/>
        </w:rPr>
        <w:t xml:space="preserve"> </w:t>
      </w:r>
      <w:r w:rsidRPr="005C20AF">
        <w:rPr>
          <w:rFonts w:ascii="Palatino Linotype" w:eastAsia="Palatino Linotype" w:hAnsi="Palatino Linotype" w:cs="Palatino Linotype"/>
          <w:b/>
          <w:sz w:val="24"/>
          <w:szCs w:val="24"/>
        </w:rPr>
        <w:t xml:space="preserve">Solicitudes de Acceso a la Información.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diecisiete de diciembre de dos mil veinticuatro</w:t>
      </w:r>
      <w:r w:rsidRPr="005C20AF">
        <w:rPr>
          <w:rFonts w:ascii="Palatino Linotype" w:eastAsia="Palatino Linotype" w:hAnsi="Palatino Linotype" w:cs="Palatino Linotype"/>
          <w:sz w:val="24"/>
          <w:szCs w:val="24"/>
        </w:rPr>
        <w:t xml:space="preserve">, la persona solicitante presentó, través del Sistema de Acceso a la Información Mexiquense, en lo subsecuente el </w:t>
      </w:r>
      <w:r w:rsidRPr="005C20AF">
        <w:rPr>
          <w:rFonts w:ascii="Palatino Linotype" w:eastAsia="Palatino Linotype" w:hAnsi="Palatino Linotype" w:cs="Palatino Linotype"/>
          <w:b/>
          <w:sz w:val="24"/>
          <w:szCs w:val="24"/>
        </w:rPr>
        <w:t>SAIMEX</w:t>
      </w:r>
      <w:r w:rsidRPr="005C20AF">
        <w:rPr>
          <w:rFonts w:ascii="Palatino Linotype" w:eastAsia="Palatino Linotype" w:hAnsi="Palatino Linotype" w:cs="Palatino Linotype"/>
          <w:sz w:val="24"/>
          <w:szCs w:val="24"/>
        </w:rPr>
        <w:t xml:space="preserve">, ante 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las solicitudes de acceso a la información pública, mediante las cuales requirió la información siguiente:</w:t>
      </w:r>
    </w:p>
    <w:tbl>
      <w:tblPr>
        <w:tblStyle w:val="aff2"/>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171908" w:rsidRPr="005C20AF" w14:paraId="3D6BF63B" w14:textId="77777777">
        <w:tc>
          <w:tcPr>
            <w:tcW w:w="3256" w:type="dxa"/>
            <w:shd w:val="clear" w:color="auto" w:fill="D9D9D9"/>
            <w:vAlign w:val="center"/>
          </w:tcPr>
          <w:p w14:paraId="5060CC48" w14:textId="77777777" w:rsidR="00175A70" w:rsidRPr="005C20AF" w:rsidRDefault="00FF431F">
            <w:pPr>
              <w:spacing w:before="120" w:after="120"/>
              <w:jc w:val="center"/>
              <w:rPr>
                <w:rFonts w:ascii="Palatino Linotype" w:eastAsia="Palatino Linotype" w:hAnsi="Palatino Linotype" w:cs="Palatino Linotype"/>
                <w:b/>
                <w:sz w:val="20"/>
                <w:szCs w:val="20"/>
              </w:rPr>
            </w:pPr>
            <w:bookmarkStart w:id="1" w:name="_heading=h.1fob9te" w:colFirst="0" w:colLast="0"/>
            <w:bookmarkEnd w:id="1"/>
            <w:r w:rsidRPr="005C20AF">
              <w:rPr>
                <w:rFonts w:ascii="Palatino Linotype" w:eastAsia="Palatino Linotype" w:hAnsi="Palatino Linotype" w:cs="Palatino Linotype"/>
                <w:b/>
                <w:sz w:val="20"/>
                <w:szCs w:val="20"/>
              </w:rPr>
              <w:lastRenderedPageBreak/>
              <w:t>Número de solicitud</w:t>
            </w:r>
          </w:p>
        </w:tc>
        <w:tc>
          <w:tcPr>
            <w:tcW w:w="5670" w:type="dxa"/>
            <w:shd w:val="clear" w:color="auto" w:fill="D9D9D9"/>
            <w:vAlign w:val="center"/>
          </w:tcPr>
          <w:p w14:paraId="2C89CC36" w14:textId="77777777" w:rsidR="00175A70" w:rsidRPr="005C20AF" w:rsidRDefault="00FF431F">
            <w:pPr>
              <w:spacing w:before="120" w:after="120"/>
              <w:jc w:val="center"/>
              <w:rPr>
                <w:rFonts w:ascii="Palatino Linotype" w:eastAsia="Palatino Linotype" w:hAnsi="Palatino Linotype" w:cs="Palatino Linotype"/>
                <w:b/>
                <w:sz w:val="20"/>
                <w:szCs w:val="20"/>
              </w:rPr>
            </w:pPr>
            <w:r w:rsidRPr="005C20AF">
              <w:rPr>
                <w:rFonts w:ascii="Palatino Linotype" w:eastAsia="Palatino Linotype" w:hAnsi="Palatino Linotype" w:cs="Palatino Linotype"/>
                <w:b/>
                <w:sz w:val="20"/>
                <w:szCs w:val="20"/>
              </w:rPr>
              <w:t>Información requerida</w:t>
            </w:r>
          </w:p>
        </w:tc>
      </w:tr>
      <w:tr w:rsidR="00171908" w:rsidRPr="005C20AF" w14:paraId="361C46A2" w14:textId="77777777">
        <w:tc>
          <w:tcPr>
            <w:tcW w:w="3256" w:type="dxa"/>
            <w:tcBorders>
              <w:top w:val="single" w:sz="4" w:space="0" w:color="000000"/>
              <w:left w:val="single" w:sz="4" w:space="0" w:color="000000"/>
              <w:bottom w:val="single" w:sz="4" w:space="0" w:color="000000"/>
              <w:right w:val="single" w:sz="4" w:space="0" w:color="000000"/>
            </w:tcBorders>
          </w:tcPr>
          <w:p w14:paraId="71D1FB44"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bookmarkStart w:id="2" w:name="_heading=h.3znysh7" w:colFirst="0" w:colLast="0"/>
            <w:bookmarkEnd w:id="2"/>
            <w:r w:rsidRPr="005C20AF">
              <w:rPr>
                <w:rFonts w:ascii="Palatino Linotype" w:eastAsia="Palatino Linotype" w:hAnsi="Palatino Linotype" w:cs="Palatino Linotype"/>
                <w:b/>
                <w:sz w:val="20"/>
                <w:szCs w:val="20"/>
                <w:lang w:val="en-US"/>
              </w:rPr>
              <w:t>01076/SF/IP/2024;</w:t>
            </w:r>
          </w:p>
          <w:p w14:paraId="1FA144A2"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r w:rsidRPr="005C20AF">
              <w:rPr>
                <w:rFonts w:ascii="Palatino Linotype" w:eastAsia="Palatino Linotype" w:hAnsi="Palatino Linotype" w:cs="Palatino Linotype"/>
                <w:b/>
                <w:sz w:val="20"/>
                <w:szCs w:val="20"/>
                <w:lang w:val="en-US"/>
              </w:rPr>
              <w:t>01081/SF/IP/2024;</w:t>
            </w:r>
          </w:p>
          <w:p w14:paraId="08D2C81B"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r w:rsidRPr="005C20AF">
              <w:rPr>
                <w:rFonts w:ascii="Palatino Linotype" w:eastAsia="Palatino Linotype" w:hAnsi="Palatino Linotype" w:cs="Palatino Linotype"/>
                <w:b/>
                <w:sz w:val="20"/>
                <w:szCs w:val="20"/>
                <w:lang w:val="en-US"/>
              </w:rPr>
              <w:t>01086/SF/IP/2024;</w:t>
            </w:r>
          </w:p>
          <w:p w14:paraId="195371B4"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r w:rsidRPr="005C20AF">
              <w:rPr>
                <w:rFonts w:ascii="Palatino Linotype" w:eastAsia="Palatino Linotype" w:hAnsi="Palatino Linotype" w:cs="Palatino Linotype"/>
                <w:b/>
                <w:sz w:val="20"/>
                <w:szCs w:val="20"/>
                <w:lang w:val="en-US"/>
              </w:rPr>
              <w:t>01091/SF/IP/2024;</w:t>
            </w:r>
          </w:p>
          <w:p w14:paraId="313DBB37"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r w:rsidRPr="005C20AF">
              <w:rPr>
                <w:rFonts w:ascii="Palatino Linotype" w:eastAsia="Palatino Linotype" w:hAnsi="Palatino Linotype" w:cs="Palatino Linotype"/>
                <w:b/>
                <w:sz w:val="20"/>
                <w:szCs w:val="20"/>
                <w:lang w:val="en-US"/>
              </w:rPr>
              <w:t>01096/SF/IP/2024;</w:t>
            </w:r>
          </w:p>
          <w:p w14:paraId="284408FF" w14:textId="77777777" w:rsidR="00175A70" w:rsidRPr="005C20AF" w:rsidRDefault="00FF431F">
            <w:pPr>
              <w:spacing w:before="120" w:after="120"/>
              <w:jc w:val="center"/>
              <w:rPr>
                <w:rFonts w:ascii="Palatino Linotype" w:eastAsia="Palatino Linotype" w:hAnsi="Palatino Linotype" w:cs="Palatino Linotype"/>
                <w:b/>
                <w:sz w:val="20"/>
                <w:szCs w:val="20"/>
                <w:lang w:val="en-US"/>
              </w:rPr>
            </w:pPr>
            <w:r w:rsidRPr="005C20AF">
              <w:rPr>
                <w:rFonts w:ascii="Palatino Linotype" w:eastAsia="Palatino Linotype" w:hAnsi="Palatino Linotype" w:cs="Palatino Linotype"/>
                <w:b/>
                <w:sz w:val="20"/>
                <w:szCs w:val="20"/>
                <w:lang w:val="en-US"/>
              </w:rPr>
              <w:t>01101/SF/IP/2024;</w:t>
            </w:r>
          </w:p>
          <w:p w14:paraId="5519D436" w14:textId="77777777" w:rsidR="00175A70" w:rsidRPr="005C20AF" w:rsidRDefault="00FF431F">
            <w:pPr>
              <w:spacing w:before="120" w:after="120"/>
              <w:jc w:val="center"/>
              <w:rPr>
                <w:rFonts w:ascii="Palatino Linotype" w:eastAsia="Palatino Linotype" w:hAnsi="Palatino Linotype" w:cs="Palatino Linotype"/>
                <w:b/>
                <w:sz w:val="20"/>
                <w:szCs w:val="20"/>
              </w:rPr>
            </w:pPr>
            <w:r w:rsidRPr="005C20AF">
              <w:rPr>
                <w:rFonts w:ascii="Palatino Linotype" w:eastAsia="Palatino Linotype" w:hAnsi="Palatino Linotype" w:cs="Palatino Linotype"/>
                <w:b/>
                <w:sz w:val="20"/>
                <w:szCs w:val="20"/>
              </w:rPr>
              <w:t>01106/SF/IP/2024; y,</w:t>
            </w:r>
          </w:p>
          <w:p w14:paraId="5AEEF096" w14:textId="77777777" w:rsidR="00175A70" w:rsidRPr="005C20AF" w:rsidRDefault="00FF431F">
            <w:pPr>
              <w:spacing w:before="120" w:after="120"/>
              <w:jc w:val="center"/>
              <w:rPr>
                <w:rFonts w:ascii="Palatino Linotype" w:eastAsia="Palatino Linotype" w:hAnsi="Palatino Linotype" w:cs="Palatino Linotype"/>
                <w:b/>
                <w:sz w:val="20"/>
                <w:szCs w:val="20"/>
              </w:rPr>
            </w:pPr>
            <w:r w:rsidRPr="005C20AF">
              <w:rPr>
                <w:rFonts w:ascii="Palatino Linotype" w:eastAsia="Palatino Linotype" w:hAnsi="Palatino Linotype" w:cs="Palatino Linotype"/>
                <w:b/>
                <w:sz w:val="20"/>
                <w:szCs w:val="20"/>
              </w:rPr>
              <w:t>01111/SF/IP/2024</w:t>
            </w:r>
          </w:p>
        </w:tc>
        <w:tc>
          <w:tcPr>
            <w:tcW w:w="5670" w:type="dxa"/>
            <w:tcBorders>
              <w:top w:val="single" w:sz="4" w:space="0" w:color="000000"/>
              <w:left w:val="single" w:sz="4" w:space="0" w:color="000000"/>
              <w:bottom w:val="single" w:sz="4" w:space="0" w:color="000000"/>
              <w:right w:val="single" w:sz="4" w:space="0" w:color="000000"/>
            </w:tcBorders>
          </w:tcPr>
          <w:p w14:paraId="1B908396" w14:textId="77777777" w:rsidR="00175A70" w:rsidRPr="005C20AF" w:rsidRDefault="00FF431F">
            <w:pPr>
              <w:spacing w:before="120" w:after="120"/>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sz w:val="20"/>
                <w:szCs w:val="20"/>
              </w:rPr>
              <w:t xml:space="preserve">De los servidores públicos adscritos a planteles del Colegio de Bachilleres del Estado de México, cuyos nombres son </w:t>
            </w:r>
            <w:r w:rsidRPr="005C20AF">
              <w:rPr>
                <w:rFonts w:ascii="Palatino Linotype" w:eastAsia="Palatino Linotype" w:hAnsi="Palatino Linotype" w:cs="Palatino Linotype"/>
                <w:b/>
                <w:sz w:val="20"/>
                <w:szCs w:val="20"/>
              </w:rPr>
              <w:t xml:space="preserve">América Pichardo Sosa; José Luis Vences Tapia; Mónica Del Roció González Velázquez; Juan José </w:t>
            </w:r>
            <w:proofErr w:type="spellStart"/>
            <w:r w:rsidRPr="005C20AF">
              <w:rPr>
                <w:rFonts w:ascii="Palatino Linotype" w:eastAsia="Palatino Linotype" w:hAnsi="Palatino Linotype" w:cs="Palatino Linotype"/>
                <w:b/>
                <w:sz w:val="20"/>
                <w:szCs w:val="20"/>
              </w:rPr>
              <w:t>Gallardo</w:t>
            </w:r>
            <w:proofErr w:type="spellEnd"/>
            <w:r w:rsidRPr="005C20AF">
              <w:rPr>
                <w:rFonts w:ascii="Palatino Linotype" w:eastAsia="Palatino Linotype" w:hAnsi="Palatino Linotype" w:cs="Palatino Linotype"/>
                <w:b/>
                <w:sz w:val="20"/>
                <w:szCs w:val="20"/>
              </w:rPr>
              <w:t xml:space="preserve"> Villafaña, Eliseo Martínez Hernández Jesús Meraz Juárez; Jorge Emilio Gutiérrez Legorreta; y, Isaías Pérez </w:t>
            </w:r>
            <w:proofErr w:type="spellStart"/>
            <w:r w:rsidRPr="005C20AF">
              <w:rPr>
                <w:rFonts w:ascii="Palatino Linotype" w:eastAsia="Palatino Linotype" w:hAnsi="Palatino Linotype" w:cs="Palatino Linotype"/>
                <w:b/>
                <w:sz w:val="20"/>
                <w:szCs w:val="20"/>
              </w:rPr>
              <w:t>Guel</w:t>
            </w:r>
            <w:proofErr w:type="spellEnd"/>
            <w:r w:rsidRPr="005C20AF">
              <w:rPr>
                <w:rFonts w:ascii="Palatino Linotype" w:eastAsia="Palatino Linotype" w:hAnsi="Palatino Linotype" w:cs="Palatino Linotype"/>
                <w:b/>
                <w:sz w:val="20"/>
                <w:szCs w:val="20"/>
              </w:rPr>
              <w:t>,</w:t>
            </w:r>
            <w:r w:rsidRPr="005C20AF">
              <w:rPr>
                <w:rFonts w:ascii="Palatino Linotype" w:eastAsia="Palatino Linotype" w:hAnsi="Palatino Linotype" w:cs="Palatino Linotype"/>
                <w:sz w:val="20"/>
                <w:szCs w:val="20"/>
              </w:rPr>
              <w:t xml:space="preserve"> en relación con el Anexo de Ejecución 0236/2024 celebrado entre el Ejecutivo Federal, Gobierno del Estado de México y el Colegio de Bachilleres, el 10 de enero del dos mil veinticuatro, que incluye el Apartado Analítico de servicios personales 2024, plazas, horas y sueldos autorizados, la siguiente información: </w:t>
            </w:r>
          </w:p>
          <w:p w14:paraId="1214C3D9" w14:textId="77777777" w:rsidR="00175A70" w:rsidRPr="005C20AF" w:rsidRDefault="00FF431F">
            <w:pPr>
              <w:tabs>
                <w:tab w:val="left" w:pos="411"/>
              </w:tabs>
              <w:spacing w:before="120" w:after="120"/>
              <w:ind w:left="146"/>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r w:rsidRPr="005C20AF">
              <w:rPr>
                <w:rFonts w:ascii="Palatino Linotype" w:eastAsia="Palatino Linotype" w:hAnsi="Palatino Linotype" w:cs="Palatino Linotype"/>
                <w:i/>
                <w:sz w:val="20"/>
                <w:szCs w:val="20"/>
              </w:rPr>
              <w:tab/>
              <w:t>Monto total individualizado asignado a mi plaza como ingreso bruto, que debí y debo percibir, por este año 2024;</w:t>
            </w:r>
          </w:p>
          <w:p w14:paraId="41AA11B5" w14:textId="77777777" w:rsidR="00175A70" w:rsidRPr="005C20AF" w:rsidRDefault="00FF431F">
            <w:pPr>
              <w:tabs>
                <w:tab w:val="left" w:pos="411"/>
              </w:tabs>
              <w:spacing w:before="120" w:after="120"/>
              <w:ind w:left="146"/>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r w:rsidRPr="005C20AF">
              <w:rPr>
                <w:rFonts w:ascii="Palatino Linotype" w:eastAsia="Palatino Linotype" w:hAnsi="Palatino Linotype" w:cs="Palatino Linotype"/>
                <w:i/>
                <w:sz w:val="20"/>
                <w:szCs w:val="20"/>
              </w:rPr>
              <w:tab/>
              <w:t>Monto detallado anual que debió aplicarse por concepto tanto de percepciones como de deducciones -cuyos conceptos se precisaron en cada caso, respecto del ejercicio 2024-.</w:t>
            </w:r>
          </w:p>
          <w:p w14:paraId="3476173C" w14:textId="77777777" w:rsidR="00175A70" w:rsidRPr="005C20AF" w:rsidRDefault="00FF431F">
            <w:pPr>
              <w:tabs>
                <w:tab w:val="left" w:pos="411"/>
              </w:tabs>
              <w:spacing w:before="120" w:after="120"/>
              <w:ind w:left="146"/>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r w:rsidRPr="005C20AF">
              <w:rPr>
                <w:rFonts w:ascii="Palatino Linotype" w:eastAsia="Palatino Linotype" w:hAnsi="Palatino Linotype" w:cs="Palatino Linotype"/>
                <w:i/>
                <w:sz w:val="20"/>
                <w:szCs w:val="20"/>
              </w:rPr>
              <w:tab/>
              <w:t>En caso de que exista diferencia salarial entre lo autorizado en el Anexo de Ejecución y lo que realmente se ha pagado en 2024, se informe el monto que dejé de percibir y los conceptos, en los cuales se aplicó la deducción.</w:t>
            </w:r>
          </w:p>
          <w:p w14:paraId="31662167" w14:textId="77777777" w:rsidR="00175A70" w:rsidRPr="005C20AF" w:rsidRDefault="00FF431F">
            <w:pPr>
              <w:spacing w:before="120" w:after="120"/>
              <w:jc w:val="both"/>
              <w:rPr>
                <w:rFonts w:ascii="Palatino Linotype" w:eastAsia="Palatino Linotype" w:hAnsi="Palatino Linotype" w:cs="Palatino Linotype"/>
                <w:sz w:val="20"/>
                <w:szCs w:val="20"/>
              </w:rPr>
            </w:pPr>
            <w:r w:rsidRPr="005C20AF">
              <w:rPr>
                <w:rFonts w:ascii="Palatino Linotype" w:eastAsia="Palatino Linotype" w:hAnsi="Palatino Linotype" w:cs="Palatino Linotype"/>
                <w:sz w:val="20"/>
                <w:szCs w:val="20"/>
              </w:rPr>
              <w:t>La persona solicitante adjuntó el Anexo “B” del Anexo de Ejecución / Apoyo Financiero 2024 SEMS-EL COBAEM-MÉXICO 0236/24, relativo al Analítico de servicios personales 2024, plazas, horas y sueldos autorizados, a que se hace referencia en cada solicitud.</w:t>
            </w:r>
          </w:p>
        </w:tc>
      </w:tr>
    </w:tbl>
    <w:p w14:paraId="75CE8300" w14:textId="77777777" w:rsidR="00175A70" w:rsidRPr="005C20AF" w:rsidRDefault="00175A70">
      <w:pPr>
        <w:spacing w:after="0" w:line="360" w:lineRule="auto"/>
        <w:ind w:right="49"/>
        <w:jc w:val="both"/>
        <w:rPr>
          <w:rFonts w:ascii="Palatino Linotype" w:eastAsia="Palatino Linotype" w:hAnsi="Palatino Linotype" w:cs="Palatino Linotype"/>
          <w:b/>
        </w:rPr>
      </w:pPr>
    </w:p>
    <w:p w14:paraId="0E848227" w14:textId="77777777" w:rsidR="00175A70" w:rsidRPr="005C20AF" w:rsidRDefault="00FF431F">
      <w:pPr>
        <w:widowControl w:val="0"/>
        <w:spacing w:after="0" w:line="360" w:lineRule="auto"/>
        <w:jc w:val="both"/>
        <w:rPr>
          <w:rFonts w:ascii="Palatino Linotype" w:eastAsia="Palatino Linotype" w:hAnsi="Palatino Linotype" w:cs="Palatino Linotype"/>
          <w:b/>
        </w:rPr>
      </w:pPr>
      <w:r w:rsidRPr="005C20AF">
        <w:rPr>
          <w:rFonts w:ascii="Palatino Linotype" w:eastAsia="Palatino Linotype" w:hAnsi="Palatino Linotype" w:cs="Palatino Linotype"/>
          <w:b/>
          <w:sz w:val="24"/>
          <w:szCs w:val="24"/>
        </w:rPr>
        <w:t xml:space="preserve">Modalidad elegida para la entrega de la información: </w:t>
      </w:r>
      <w:r w:rsidRPr="005C20AF">
        <w:rPr>
          <w:rFonts w:ascii="Palatino Linotype" w:eastAsia="Palatino Linotype" w:hAnsi="Palatino Linotype" w:cs="Palatino Linotype"/>
          <w:sz w:val="24"/>
          <w:szCs w:val="24"/>
        </w:rPr>
        <w:t>a través del SAIMEX</w:t>
      </w:r>
      <w:r w:rsidR="009D18E7" w:rsidRPr="005C20AF">
        <w:rPr>
          <w:rFonts w:ascii="Palatino Linotype" w:eastAsia="Palatino Linotype" w:hAnsi="Palatino Linotype" w:cs="Palatino Linotype"/>
          <w:sz w:val="24"/>
          <w:szCs w:val="24"/>
        </w:rPr>
        <w:t xml:space="preserve"> y por correo electrónico,</w:t>
      </w:r>
      <w:r w:rsidRPr="005C20AF">
        <w:rPr>
          <w:rFonts w:ascii="Palatino Linotype" w:eastAsia="Palatino Linotype" w:hAnsi="Palatino Linotype" w:cs="Palatino Linotype"/>
          <w:sz w:val="24"/>
          <w:szCs w:val="24"/>
        </w:rPr>
        <w:t xml:space="preserve"> en todos los casos.</w:t>
      </w:r>
    </w:p>
    <w:p w14:paraId="0C81BC0E" w14:textId="77777777" w:rsidR="00175A70" w:rsidRPr="005C20AF" w:rsidRDefault="00FF431F">
      <w:pPr>
        <w:widowControl w:val="0"/>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2</w:t>
      </w: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rPr>
        <w:t xml:space="preserve">Respuesta.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diecinueve de diciembre de dos mil veinticuatro</w:t>
      </w:r>
      <w:r w:rsidRPr="005C20AF">
        <w:rPr>
          <w:rFonts w:ascii="Palatino Linotype" w:eastAsia="Palatino Linotype" w:hAnsi="Palatino Linotype" w:cs="Palatino Linotype"/>
          <w:sz w:val="24"/>
          <w:szCs w:val="24"/>
        </w:rPr>
        <w:t xml:space="preserve">,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envió su respuesta a las solicitudes de acceso a la información a través de SAIMEX, sustancialmente en los términos siguientes:  </w:t>
      </w:r>
    </w:p>
    <w:p w14:paraId="68182D2A" w14:textId="77777777" w:rsidR="00175A70" w:rsidRPr="005C20AF" w:rsidRDefault="00FF431F">
      <w:pPr>
        <w:spacing w:before="120" w:after="120" w:line="240" w:lineRule="auto"/>
        <w:ind w:left="851" w:right="845"/>
        <w:jc w:val="both"/>
        <w:rPr>
          <w:rFonts w:ascii="Palatino Linotype" w:eastAsia="Palatino Linotype" w:hAnsi="Palatino Linotype" w:cs="Palatino Linotype"/>
          <w:i/>
        </w:rPr>
      </w:pPr>
      <w:r w:rsidRPr="005C20AF">
        <w:rPr>
          <w:rFonts w:ascii="Palatino Linotype" w:eastAsia="Palatino Linotype" w:hAnsi="Palatino Linotype" w:cs="Palatino Linotype"/>
          <w:sz w:val="24"/>
          <w:szCs w:val="24"/>
        </w:rPr>
        <w:lastRenderedPageBreak/>
        <w:t>“</w:t>
      </w:r>
      <w:r w:rsidRPr="005C20AF">
        <w:rPr>
          <w:rFonts w:ascii="Palatino Linotype" w:eastAsia="Palatino Linotype" w:hAnsi="Palatino Linotype" w:cs="Palatino Linotype"/>
          <w:i/>
        </w:rPr>
        <w:t>Sobre el particular, sírvase encontrar en archivo adjunto copia del Acuerdo de Incompetencia de fecha 18 de diciembre de 2024, mediante el cual se detalla incompetencia de este Sujeto Obligado</w:t>
      </w:r>
      <w:r w:rsidRPr="005C20AF">
        <w:rPr>
          <w:rFonts w:ascii="Palatino Linotype" w:eastAsia="Palatino Linotype" w:hAnsi="Palatino Linotype" w:cs="Palatino Linotype"/>
          <w:sz w:val="24"/>
          <w:szCs w:val="24"/>
        </w:rPr>
        <w:t>” (</w:t>
      </w:r>
      <w:r w:rsidRPr="005C20AF">
        <w:rPr>
          <w:rFonts w:ascii="Palatino Linotype" w:eastAsia="Palatino Linotype" w:hAnsi="Palatino Linotype" w:cs="Palatino Linotype"/>
          <w:i/>
          <w:sz w:val="24"/>
          <w:szCs w:val="24"/>
        </w:rPr>
        <w:t>sic</w:t>
      </w:r>
      <w:r w:rsidRPr="005C20AF">
        <w:rPr>
          <w:rFonts w:ascii="Palatino Linotype" w:eastAsia="Palatino Linotype" w:hAnsi="Palatino Linotype" w:cs="Palatino Linotype"/>
          <w:sz w:val="24"/>
          <w:szCs w:val="24"/>
        </w:rPr>
        <w:t>)</w:t>
      </w:r>
    </w:p>
    <w:p w14:paraId="02899A6C" w14:textId="77777777" w:rsidR="00175A70" w:rsidRPr="005C20AF" w:rsidRDefault="00FF431F">
      <w:pPr>
        <w:widowControl w:val="0"/>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Asimismo, adjuntó en cada caso, el Acuerdo de incompetencia, mediante el cual refiere en lo medular, que la información requerida no es competencia de la Secretaría de Finanzas, al corresponder al Departamento de Recursos Humanos, del Colegio de Bachilleres del Estado de México, conforme a su Manual General de Organización, así como a la Dirección General de Personal de la Oficialía Mayor, conforme a su Reglamento Interior y su Manual de Organización, en consecuencia, se sugiere formular su solicitud ante dichos Sujetos Obligados.</w:t>
      </w:r>
    </w:p>
    <w:p w14:paraId="73F5E5DE" w14:textId="77777777" w:rsidR="00175A70" w:rsidRPr="005C20AF" w:rsidRDefault="00FF431F">
      <w:pPr>
        <w:widowControl w:val="0"/>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rPr>
        <w:t xml:space="preserve">3. </w:t>
      </w:r>
      <w:r w:rsidRPr="005C20AF">
        <w:rPr>
          <w:rFonts w:ascii="Palatino Linotype" w:eastAsia="Palatino Linotype" w:hAnsi="Palatino Linotype" w:cs="Palatino Linotype"/>
          <w:b/>
          <w:sz w:val="24"/>
          <w:szCs w:val="24"/>
        </w:rPr>
        <w:t xml:space="preserve">Interposición de los recursos de revisión. </w:t>
      </w:r>
      <w:r w:rsidRPr="005C20AF">
        <w:rPr>
          <w:rFonts w:ascii="Palatino Linotype" w:eastAsia="Palatino Linotype" w:hAnsi="Palatino Linotype" w:cs="Palatino Linotype"/>
          <w:sz w:val="24"/>
          <w:szCs w:val="24"/>
        </w:rPr>
        <w:t>Inconforme con las respuestas del</w:t>
      </w:r>
      <w:r w:rsidRPr="005C20AF">
        <w:rPr>
          <w:rFonts w:ascii="Palatino Linotype" w:eastAsia="Palatino Linotype" w:hAnsi="Palatino Linotype" w:cs="Palatino Linotype"/>
          <w:b/>
          <w:sz w:val="24"/>
          <w:szCs w:val="24"/>
        </w:rPr>
        <w:t xml:space="preserve"> Sujeto Obligado,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 xml:space="preserve">veintitrés de enero de dos mil veinticinco, </w:t>
      </w:r>
      <w:r w:rsidRPr="005C20AF">
        <w:rPr>
          <w:rFonts w:ascii="Palatino Linotype" w:eastAsia="Palatino Linotype" w:hAnsi="Palatino Linotype" w:cs="Palatino Linotype"/>
          <w:sz w:val="24"/>
          <w:szCs w:val="24"/>
        </w:rPr>
        <w:t>la parte</w:t>
      </w:r>
      <w:r w:rsidRPr="005C20AF">
        <w:rPr>
          <w:rFonts w:ascii="Palatino Linotype" w:eastAsia="Palatino Linotype" w:hAnsi="Palatino Linotype" w:cs="Palatino Linotype"/>
          <w:b/>
          <w:sz w:val="24"/>
          <w:szCs w:val="24"/>
        </w:rPr>
        <w:t xml:space="preserve"> Recurrente </w:t>
      </w:r>
      <w:r w:rsidRPr="005C20AF">
        <w:rPr>
          <w:rFonts w:ascii="Palatino Linotype" w:eastAsia="Palatino Linotype" w:hAnsi="Palatino Linotype" w:cs="Palatino Linotype"/>
          <w:sz w:val="24"/>
          <w:szCs w:val="24"/>
        </w:rPr>
        <w:t>interpuso los recursos de revisión, en los cuales manifestó lo siguiente:</w:t>
      </w:r>
    </w:p>
    <w:p w14:paraId="3B805E2D" w14:textId="77777777" w:rsidR="00175A70" w:rsidRPr="005C20AF" w:rsidRDefault="00FF431F">
      <w:pPr>
        <w:spacing w:line="360" w:lineRule="auto"/>
        <w:ind w:right="560"/>
        <w:jc w:val="both"/>
        <w:rPr>
          <w:rFonts w:ascii="Palatino Linotype" w:eastAsia="Palatino Linotype" w:hAnsi="Palatino Linotype" w:cs="Palatino Linotype"/>
          <w:b/>
          <w:i/>
        </w:rPr>
      </w:pPr>
      <w:r w:rsidRPr="005C20AF">
        <w:rPr>
          <w:rFonts w:ascii="Palatino Linotype" w:eastAsia="Palatino Linotype" w:hAnsi="Palatino Linotype" w:cs="Palatino Linotype"/>
          <w:b/>
          <w:sz w:val="24"/>
          <w:szCs w:val="24"/>
        </w:rPr>
        <w:t>Acto Impugnado</w:t>
      </w:r>
      <w:r w:rsidRPr="005C20AF">
        <w:rPr>
          <w:rFonts w:ascii="Palatino Linotype" w:eastAsia="Palatino Linotype" w:hAnsi="Palatino Linotype" w:cs="Palatino Linotype"/>
          <w:b/>
          <w:i/>
        </w:rPr>
        <w:t>:</w:t>
      </w:r>
    </w:p>
    <w:p w14:paraId="46A9BDBD"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 “Oficio de respuesta suscrito por Claudia Noguez González, Directora de Información de la Secretaría de Finanzas del Gobierno del Estado de México que recayó a esta solicitud y por el cual se está presentando el presente Recurso de Revisión EN TIEMPO Y FORMA.” (sic)</w:t>
      </w:r>
    </w:p>
    <w:p w14:paraId="78E0C9E2" w14:textId="77777777" w:rsidR="00175A70" w:rsidRPr="005C20AF" w:rsidRDefault="00FF431F">
      <w:pPr>
        <w:spacing w:line="360" w:lineRule="auto"/>
        <w:ind w:right="560"/>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Motivo de inconformidad:</w:t>
      </w:r>
      <w:r w:rsidRPr="005C20AF">
        <w:rPr>
          <w:rFonts w:ascii="Palatino Linotype" w:eastAsia="Palatino Linotype" w:hAnsi="Palatino Linotype" w:cs="Palatino Linotype"/>
          <w:sz w:val="24"/>
          <w:szCs w:val="24"/>
        </w:rPr>
        <w:t xml:space="preserve"> </w:t>
      </w:r>
    </w:p>
    <w:p w14:paraId="62ADD537"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u w:val="single"/>
        </w:rPr>
        <w:t>La declaración de incompetencia de la Secretaría de Finanzas</w:t>
      </w:r>
      <w:r w:rsidRPr="005C20AF">
        <w:rPr>
          <w:rFonts w:ascii="Palatino Linotype" w:eastAsia="Palatino Linotype" w:hAnsi="Palatino Linotype" w:cs="Palatino Linotype"/>
          <w:i/>
        </w:rPr>
        <w:t xml:space="preserve">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w:t>
      </w:r>
      <w:r w:rsidRPr="005C20AF">
        <w:rPr>
          <w:rFonts w:ascii="Palatino Linotype" w:eastAsia="Palatino Linotype" w:hAnsi="Palatino Linotype" w:cs="Palatino Linotype"/>
          <w:i/>
        </w:rPr>
        <w:lastRenderedPageBreak/>
        <w:t>Secretaría es la responsable, en términos del ANEXO DE EJECUCIÓN mencionado, de la captación y dispersión de los recursos Federales y Estatales asignados al Colegio de Bachilleres del Estado de México.” (sic)</w:t>
      </w:r>
    </w:p>
    <w:p w14:paraId="41D99165"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adjuntó el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52ABB78B"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4. Turno. </w:t>
      </w:r>
      <w:r w:rsidRPr="005C20AF">
        <w:rPr>
          <w:rFonts w:ascii="Palatino Linotype" w:eastAsia="Palatino Linotype" w:hAnsi="Palatino Linotype" w:cs="Palatino Linotype"/>
          <w:sz w:val="24"/>
          <w:szCs w:val="24"/>
        </w:rPr>
        <w:t>De conformidad con el artículo 185, fracción I de la Ley Transparencia y Acceso a la Información Pública, los recursos de revisión</w:t>
      </w:r>
      <w:r w:rsidRPr="005C20AF">
        <w:rPr>
          <w:rFonts w:ascii="Palatino Linotype" w:eastAsia="Palatino Linotype" w:hAnsi="Palatino Linotype" w:cs="Palatino Linotype"/>
          <w:b/>
          <w:sz w:val="24"/>
          <w:szCs w:val="24"/>
        </w:rPr>
        <w:t xml:space="preserve"> </w:t>
      </w:r>
      <w:r w:rsidRPr="005C20AF">
        <w:rPr>
          <w:rFonts w:ascii="Palatino Linotype" w:eastAsia="Palatino Linotype" w:hAnsi="Palatino Linotype" w:cs="Palatino Linotype"/>
          <w:sz w:val="24"/>
          <w:szCs w:val="24"/>
        </w:rPr>
        <w:t>fueron turnados a la Comisionada Guadalupe Ramírez Peña, a efecto de presentar al Pleno los proyectos de resolución correspondientes.</w:t>
      </w:r>
    </w:p>
    <w:p w14:paraId="20AD1FE5" w14:textId="77777777" w:rsidR="00175A70" w:rsidRPr="005C20AF" w:rsidRDefault="00FF431F">
      <w:pPr>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b/>
          <w:sz w:val="24"/>
          <w:szCs w:val="24"/>
        </w:rPr>
        <w:t xml:space="preserve">5. Admisión de los Recursos de Revisión.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veintiocho de enero de dos mil veinticinco</w:t>
      </w:r>
      <w:r w:rsidRPr="005C20AF">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recursos de revisión</w:t>
      </w:r>
      <w:r w:rsidRPr="005C20AF">
        <w:rPr>
          <w:rFonts w:ascii="Palatino Linotype" w:eastAsia="Palatino Linotype" w:hAnsi="Palatino Linotype" w:cs="Palatino Linotype"/>
          <w:b/>
          <w:sz w:val="24"/>
          <w:szCs w:val="24"/>
        </w:rPr>
        <w:t xml:space="preserve">. </w:t>
      </w:r>
    </w:p>
    <w:p w14:paraId="2CAD6A36" w14:textId="77777777" w:rsidR="00175A70" w:rsidRPr="005C20AF" w:rsidRDefault="00FF431F">
      <w:pPr>
        <w:spacing w:after="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6. Manifestaciones.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treinta y uno de enero y cuatro de febrero de dos mil veinticinco</w:t>
      </w:r>
      <w:r w:rsidRPr="005C20AF">
        <w:rPr>
          <w:rFonts w:ascii="Palatino Linotype" w:eastAsia="Palatino Linotype" w:hAnsi="Palatino Linotype" w:cs="Palatino Linotype"/>
          <w:sz w:val="24"/>
          <w:szCs w:val="24"/>
        </w:rPr>
        <w:t xml:space="preserve">, 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rindió sus informes justificados en cada uno de los recursos de revisión, mediante los cuales ratificó en lo sustancial las respuestas iniciales, respecto a la declaración de incompetencia, no obstante, se hicieron del conocimiento de la persona solicitante con la finalidad de que manifestara lo que a su derecho estimara conveniente.</w:t>
      </w:r>
    </w:p>
    <w:p w14:paraId="13D0612D" w14:textId="77777777" w:rsidR="00175A70" w:rsidRPr="005C20AF" w:rsidRDefault="00175A70">
      <w:pPr>
        <w:spacing w:after="0" w:line="360" w:lineRule="auto"/>
        <w:jc w:val="both"/>
        <w:rPr>
          <w:rFonts w:ascii="Palatino Linotype" w:eastAsia="Palatino Linotype" w:hAnsi="Palatino Linotype" w:cs="Palatino Linotype"/>
          <w:sz w:val="24"/>
          <w:szCs w:val="24"/>
        </w:rPr>
      </w:pPr>
    </w:p>
    <w:p w14:paraId="3C2CC0BB" w14:textId="77777777" w:rsidR="00175A70" w:rsidRPr="005C20AF" w:rsidRDefault="00FF431F">
      <w:pPr>
        <w:spacing w:after="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cuatro de febrero de dos mil veinticinco</w:t>
      </w:r>
      <w:r w:rsidRPr="005C20AF">
        <w:rPr>
          <w:rFonts w:ascii="Palatino Linotype" w:eastAsia="Palatino Linotype" w:hAnsi="Palatino Linotype" w:cs="Palatino Linotype"/>
          <w:sz w:val="24"/>
          <w:szCs w:val="24"/>
        </w:rPr>
        <w:t xml:space="preserve">,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manifestó, a través del SAIMEX, lo siguiente:</w:t>
      </w:r>
    </w:p>
    <w:p w14:paraId="1BEAA76B" w14:textId="77777777" w:rsidR="00175A70" w:rsidRPr="005C20AF" w:rsidRDefault="00FF431F">
      <w:pPr>
        <w:spacing w:after="0" w:line="240" w:lineRule="auto"/>
        <w:ind w:left="851" w:right="900"/>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“Que, estando en tiempo y forma, vengo a manifestar ante ese H. instituto en vía de alegato, que previo el análisis de la documental agregada consistente en el ANEXO DE EJECUCIÓN QUE CELEBRÓ EL EJECUTIVO FEDERAL CON EL GOBIERNO DEL ESTADO DE MÉXICO, ASISTIDO DE LA SECRETARÍA DE FINANZAS Y EL COLEGIO DE BACHILLERES DEL ESTADO DE MÉXICO EN FECHA 10 DE ENERO 2024, no es posible, que la autoridad secretaria de finanzas, manifieste incompetencia y señale que el responsable de la información solicitada sea el colegio de bachilleres del Estado de México, pues esta secretaria de finanzas del gobierno del estado de México es parte integrante del pacto que se firmó con el Gobierno federal para aportar el 50 por ciento </w:t>
      </w:r>
      <w:proofErr w:type="spellStart"/>
      <w:r w:rsidRPr="005C20AF">
        <w:rPr>
          <w:rFonts w:ascii="Palatino Linotype" w:eastAsia="Palatino Linotype" w:hAnsi="Palatino Linotype" w:cs="Palatino Linotype"/>
          <w:i/>
        </w:rPr>
        <w:t>departe</w:t>
      </w:r>
      <w:proofErr w:type="spellEnd"/>
      <w:r w:rsidRPr="005C20AF">
        <w:rPr>
          <w:rFonts w:ascii="Palatino Linotype" w:eastAsia="Palatino Linotype" w:hAnsi="Palatino Linotype" w:cs="Palatino Linotype"/>
          <w:i/>
        </w:rPr>
        <w:t xml:space="preserve"> de la federación y el 50 por ciento el gobierno del estado de México para mejorar los salarios de ciertas plazas descritas en el anexo de ejecución, y de la cual soy beneficiario, por lo que </w:t>
      </w:r>
      <w:r w:rsidRPr="005C20AF">
        <w:rPr>
          <w:rFonts w:ascii="Palatino Linotype" w:eastAsia="Palatino Linotype" w:hAnsi="Palatino Linotype" w:cs="Palatino Linotype"/>
          <w:b/>
          <w:i/>
        </w:rPr>
        <w:t xml:space="preserve">se insiste le asiste el derecho a contestar mi solicitud y </w:t>
      </w:r>
      <w:r w:rsidRPr="005C20AF">
        <w:rPr>
          <w:rFonts w:ascii="Palatino Linotype" w:eastAsia="Palatino Linotype" w:hAnsi="Palatino Linotype" w:cs="Palatino Linotype"/>
          <w:b/>
          <w:i/>
          <w:u w:val="single"/>
        </w:rPr>
        <w:t>manifestar categóricamente si recibió por parte de la federación el recurso y si también lo envió al colegio de bachilleres</w:t>
      </w:r>
      <w:r w:rsidRPr="005C20AF">
        <w:rPr>
          <w:rFonts w:ascii="Palatino Linotype" w:eastAsia="Palatino Linotype" w:hAnsi="Palatino Linotype" w:cs="Palatino Linotype"/>
          <w:i/>
        </w:rPr>
        <w:t xml:space="preserve"> para mejorar el salario de mi plaza, pues es la secretaria de recibir los recursos federales y dispersarlos para el cumplimiento de lo pactado” (sic)</w:t>
      </w:r>
    </w:p>
    <w:p w14:paraId="1425736A" w14:textId="77777777" w:rsidR="00175A70" w:rsidRPr="005C20AF" w:rsidRDefault="00FF431F">
      <w:pPr>
        <w:spacing w:before="240" w:after="240" w:line="360" w:lineRule="auto"/>
        <w:jc w:val="both"/>
        <w:rPr>
          <w:rFonts w:ascii="Palatino Linotype" w:eastAsia="Palatino Linotype" w:hAnsi="Palatino Linotype" w:cs="Palatino Linotype"/>
          <w:i/>
        </w:rPr>
      </w:pPr>
      <w:r w:rsidRPr="005C20AF">
        <w:rPr>
          <w:rFonts w:ascii="Palatino Linotype" w:eastAsia="Palatino Linotype" w:hAnsi="Palatino Linotype" w:cs="Palatino Linotype"/>
          <w:sz w:val="24"/>
          <w:szCs w:val="24"/>
        </w:rPr>
        <w:t xml:space="preserve">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adjuntó nuevamente el Anexo de Ejecución / Apoyo Financiero 2024 SEMS-EL COBAEM-MÉXICO 0236/24, referido con antelación.</w:t>
      </w:r>
    </w:p>
    <w:p w14:paraId="7BC95E2E"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7. Acumulación de los recursos de revisión.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 xml:space="preserve">doce de febrero de dos mil veinticinco, </w:t>
      </w:r>
      <w:r w:rsidRPr="005C20AF">
        <w:rPr>
          <w:rFonts w:ascii="Palatino Linotype" w:eastAsia="Palatino Linotype" w:hAnsi="Palatino Linotype" w:cs="Palatino Linotype"/>
          <w:sz w:val="24"/>
          <w:szCs w:val="24"/>
        </w:rPr>
        <w:t>al advertir la conexidad causa y con la finalidad de evitar que se dicten resoluciones contradictorias, la Comisionada Ponente acordó la acumulación de los recursos antes señalados, en términos del artículo 195 de la Ley de Transparencia y Acceso a la Información Pública del Estado de México y Municipios y artículo 18 del Código de Procedimientos Administrativos del Estado de México, a saber:</w:t>
      </w:r>
    </w:p>
    <w:p w14:paraId="772EFF25"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5C20AF">
        <w:rPr>
          <w:rFonts w:ascii="Palatino Linotype" w:eastAsia="Palatino Linotype" w:hAnsi="Palatino Linotype" w:cs="Palatino Linotype"/>
          <w:b/>
          <w:i/>
        </w:rPr>
        <w:t>Código de Procedimientos Administrativos del Estado de México</w:t>
      </w:r>
    </w:p>
    <w:p w14:paraId="60FF392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5C20AF">
        <w:rPr>
          <w:rFonts w:ascii="Palatino Linotype" w:eastAsia="Palatino Linotype" w:hAnsi="Palatino Linotype" w:cs="Palatino Linotype"/>
          <w:b/>
          <w:i/>
        </w:rPr>
        <w:lastRenderedPageBreak/>
        <w:t>“Artículo 18.-</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5C20AF">
        <w:rPr>
          <w:rFonts w:ascii="Palatino Linotype" w:eastAsia="Palatino Linotype" w:hAnsi="Palatino Linotype" w:cs="Palatino Linotype"/>
          <w:i/>
        </w:rPr>
        <w:t xml:space="preserve"> o a petición de parte, </w:t>
      </w:r>
      <w:r w:rsidRPr="005C20AF">
        <w:rPr>
          <w:rFonts w:ascii="Palatino Linotype" w:eastAsia="Palatino Linotype" w:hAnsi="Palatino Linotype" w:cs="Palatino Linotype"/>
          <w:b/>
          <w:i/>
        </w:rPr>
        <w:t>cuando las partes</w:t>
      </w:r>
      <w:r w:rsidRPr="005C20AF">
        <w:rPr>
          <w:rFonts w:ascii="Palatino Linotype" w:eastAsia="Palatino Linotype" w:hAnsi="Palatino Linotype" w:cs="Palatino Linotype"/>
          <w:i/>
        </w:rPr>
        <w:t xml:space="preserve"> o los actos administrativos sean iguales, se trate de actos conexos o </w:t>
      </w:r>
      <w:r w:rsidRPr="005C20AF">
        <w:rPr>
          <w:rFonts w:ascii="Palatino Linotype" w:eastAsia="Palatino Linotype" w:hAnsi="Palatino Linotype" w:cs="Palatino Linotype"/>
          <w:b/>
          <w:i/>
        </w:rPr>
        <w:t>resulte conveniente el trámite unificado de los asuntos, para evitar la emisión de resoluciones contradictorias</w:t>
      </w:r>
      <w:r w:rsidRPr="005C20AF">
        <w:rPr>
          <w:rFonts w:ascii="Palatino Linotype" w:eastAsia="Palatino Linotype" w:hAnsi="Palatino Linotype" w:cs="Palatino Linotype"/>
          <w:i/>
        </w:rPr>
        <w:t>. La misma regla se aplicará, en lo conducente, para la separación de los expedientes.”</w:t>
      </w:r>
    </w:p>
    <w:p w14:paraId="3A3FAF95"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5C20AF">
        <w:rPr>
          <w:rFonts w:ascii="Palatino Linotype" w:eastAsia="Palatino Linotype" w:hAnsi="Palatino Linotype" w:cs="Palatino Linotype"/>
          <w:b/>
          <w:i/>
        </w:rPr>
        <w:t>Ley de Transparencia y Acceso a la Información Pública del Estado de México y Municipios</w:t>
      </w:r>
    </w:p>
    <w:p w14:paraId="383FC5FD"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5C20AF">
        <w:rPr>
          <w:rFonts w:ascii="Palatino Linotype" w:eastAsia="Palatino Linotype" w:hAnsi="Palatino Linotype" w:cs="Palatino Linotype"/>
          <w:b/>
          <w:i/>
        </w:rPr>
        <w:t>“Artículo 195.-</w:t>
      </w:r>
      <w:r w:rsidRPr="005C20AF">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19B531B" w14:textId="77777777" w:rsidR="00175A70" w:rsidRPr="005C20AF" w:rsidRDefault="00FF431F">
      <w:pPr>
        <w:widowControl w:val="0"/>
        <w:spacing w:before="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8. Requerimiento de información adicional.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catorce de febrero de dos mil veinticinco</w:t>
      </w:r>
      <w:r w:rsidRPr="005C20AF">
        <w:rPr>
          <w:rFonts w:ascii="Palatino Linotype" w:eastAsia="Palatino Linotype" w:hAnsi="Palatino Linotype" w:cs="Palatino Linotype"/>
          <w:sz w:val="24"/>
          <w:szCs w:val="24"/>
        </w:rPr>
        <w:t xml:space="preserve">, para un mejor proveer, este Organismo Garante hizo un requerimiento de información adicional al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mediante correo electrónico, el cual consistió en lo siguiente: </w:t>
      </w:r>
    </w:p>
    <w:p w14:paraId="3ECFDE44"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bookmarkStart w:id="3" w:name="_heading=h.gjdgxs" w:colFirst="0" w:colLast="0"/>
      <w:bookmarkEnd w:id="3"/>
      <w:r w:rsidRPr="005C20AF">
        <w:rPr>
          <w:rFonts w:ascii="Palatino Linotype" w:eastAsia="Palatino Linotype" w:hAnsi="Palatino Linotype" w:cs="Palatino Linotype"/>
          <w:i/>
        </w:rPr>
        <w:t xml:space="preserve">“De las constancias que integran los expedientes de los recursos de revisión </w:t>
      </w:r>
      <w:r w:rsidRPr="005C20AF">
        <w:rPr>
          <w:rFonts w:ascii="Palatino Linotype" w:eastAsia="Palatino Linotype" w:hAnsi="Palatino Linotype" w:cs="Palatino Linotype"/>
          <w:b/>
          <w:i/>
        </w:rPr>
        <w:t>00209/INFOEM/IP/RR/2025, 00214/INFOEM/IP/RR/2025, 00219/INFOEM/IP/RR/2025, 00224/INFOEM/IP/RR/2025, 00229/INFOEM/IP/RR/2025, 00234/INFOEM/IP/RR/2025, 00239/INFOEM/IP/RR/2025</w:t>
      </w:r>
      <w:r w:rsidRPr="005C20AF">
        <w:rPr>
          <w:rFonts w:ascii="Palatino Linotype" w:eastAsia="Palatino Linotype" w:hAnsi="Palatino Linotype" w:cs="Palatino Linotype"/>
          <w:i/>
        </w:rPr>
        <w:t xml:space="preserve"> y </w:t>
      </w:r>
      <w:r w:rsidRPr="005C20AF">
        <w:rPr>
          <w:rFonts w:ascii="Palatino Linotype" w:eastAsia="Palatino Linotype" w:hAnsi="Palatino Linotype" w:cs="Palatino Linotype"/>
          <w:b/>
          <w:i/>
        </w:rPr>
        <w:t xml:space="preserve">00244/INFOEM/IP/RR/2025; </w:t>
      </w:r>
      <w:r w:rsidRPr="005C20AF">
        <w:rPr>
          <w:rFonts w:ascii="Palatino Linotype" w:eastAsia="Palatino Linotype" w:hAnsi="Palatino Linotype" w:cs="Palatino Linotype"/>
          <w:i/>
        </w:rPr>
        <w:t xml:space="preserve">se desprende que en respuesta a las solicitudes de información que les dieron origen, se declaró la incompetencia del </w:t>
      </w:r>
      <w:r w:rsidRPr="005C20AF">
        <w:rPr>
          <w:rFonts w:ascii="Palatino Linotype" w:eastAsia="Palatino Linotype" w:hAnsi="Palatino Linotype" w:cs="Palatino Linotype"/>
          <w:b/>
          <w:i/>
        </w:rPr>
        <w:t xml:space="preserve">Sujeto Obligado </w:t>
      </w:r>
      <w:r w:rsidRPr="005C20AF">
        <w:rPr>
          <w:rFonts w:ascii="Palatino Linotype" w:eastAsia="Palatino Linotype" w:hAnsi="Palatino Linotype" w:cs="Palatino Linotype"/>
          <w:i/>
        </w:rPr>
        <w:t>para dar atención a las mismas, en términos del artículo 167 de la Ley de Transparencia y Acceso a la Información Pública del Estado de México y Municipios.</w:t>
      </w:r>
    </w:p>
    <w:p w14:paraId="478EBE08"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Atento a lo anterior, en análisis de las actuaciones de las partes, se aprecia que la parte </w:t>
      </w:r>
      <w:r w:rsidRPr="005C20AF">
        <w:rPr>
          <w:rFonts w:ascii="Palatino Linotype" w:eastAsia="Palatino Linotype" w:hAnsi="Palatino Linotype" w:cs="Palatino Linotype"/>
          <w:b/>
          <w:i/>
        </w:rPr>
        <w:t>Recurrente</w:t>
      </w:r>
      <w:r w:rsidRPr="005C20AF">
        <w:rPr>
          <w:rFonts w:ascii="Palatino Linotype" w:eastAsia="Palatino Linotype" w:hAnsi="Palatino Linotype" w:cs="Palatino Linotype"/>
          <w:i/>
        </w:rPr>
        <w:t xml:space="preserve"> hace alusión al </w:t>
      </w:r>
      <w:r w:rsidRPr="005C20AF">
        <w:rPr>
          <w:rFonts w:ascii="Palatino Linotype" w:eastAsia="Palatino Linotype" w:hAnsi="Palatino Linotype" w:cs="Palatino Linotype"/>
          <w:b/>
          <w:i/>
        </w:rPr>
        <w:t>Anexo de Ejecución / Apoyo Financiero 2024 SEMS-EL COBAEM-MÉXICO 0236/24,</w:t>
      </w:r>
      <w:r w:rsidRPr="005C20AF">
        <w:rPr>
          <w:rFonts w:ascii="Palatino Linotype" w:eastAsia="Palatino Linotype" w:hAnsi="Palatino Linotype" w:cs="Palatino Linotype"/>
          <w:i/>
        </w:rPr>
        <w:t xml:space="preserve"> celebrado entre el Ejecutivo Federal, por conducto de la Secretaría de Educación Pública (SEP); el Gobierno del Estado de México, asistido por la </w:t>
      </w:r>
      <w:r w:rsidRPr="005C20AF">
        <w:rPr>
          <w:rFonts w:ascii="Palatino Linotype" w:eastAsia="Palatino Linotype" w:hAnsi="Palatino Linotype" w:cs="Palatino Linotype"/>
          <w:b/>
          <w:i/>
        </w:rPr>
        <w:t xml:space="preserve">Secretaría de Finanzas </w:t>
      </w:r>
      <w:r w:rsidRPr="005C20AF">
        <w:rPr>
          <w:rFonts w:ascii="Palatino Linotype" w:eastAsia="Palatino Linotype" w:hAnsi="Palatino Linotype" w:cs="Palatino Linotype"/>
          <w:i/>
        </w:rPr>
        <w:t xml:space="preserve">y la Secretaría de Educación, Ciencia, Tecnología e Innovación; y el Colegio de Bachilleres del Estado de México, (COBAEM), mediante el cual se establece el apoyo financiero para el ejercicio fiscal 2024, para que sea destinado al financiamiento de sus gastos </w:t>
      </w:r>
      <w:r w:rsidRPr="005C20AF">
        <w:rPr>
          <w:rFonts w:ascii="Palatino Linotype" w:eastAsia="Palatino Linotype" w:hAnsi="Palatino Linotype" w:cs="Palatino Linotype"/>
          <w:i/>
        </w:rPr>
        <w:lastRenderedPageBreak/>
        <w:t>de operación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suministros-capítulo 2000 -y servicios generales– capítulo 3000.</w:t>
      </w:r>
    </w:p>
    <w:p w14:paraId="4A1D0A5A"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En este tenor, tomando en consideración las obligaciones que se le confieren al Colegio de Bachilleres del Estado de México, en la </w:t>
      </w:r>
      <w:r w:rsidRPr="005C20AF">
        <w:rPr>
          <w:rFonts w:ascii="Palatino Linotype" w:eastAsia="Palatino Linotype" w:hAnsi="Palatino Linotype" w:cs="Palatino Linotype"/>
          <w:b/>
          <w:i/>
        </w:rPr>
        <w:t xml:space="preserve">Cláusula Quinta </w:t>
      </w:r>
      <w:r w:rsidRPr="005C20AF">
        <w:rPr>
          <w:rFonts w:ascii="Palatino Linotype" w:eastAsia="Palatino Linotype" w:hAnsi="Palatino Linotype" w:cs="Palatino Linotype"/>
          <w:i/>
        </w:rPr>
        <w:t>del</w:t>
      </w:r>
      <w:r w:rsidRPr="005C20AF">
        <w:rPr>
          <w:rFonts w:ascii="Palatino Linotype" w:eastAsia="Palatino Linotype" w:hAnsi="Palatino Linotype" w:cs="Palatino Linotype"/>
          <w:b/>
          <w:i/>
        </w:rPr>
        <w:t xml:space="preserve"> Anexo de Ejecución 0236/24</w:t>
      </w:r>
      <w:r w:rsidRPr="005C20AF">
        <w:rPr>
          <w:rFonts w:ascii="Palatino Linotype" w:eastAsia="Palatino Linotype" w:hAnsi="Palatino Linotype" w:cs="Palatino Linotype"/>
          <w:i/>
        </w:rPr>
        <w:t xml:space="preserve">, en específico en los </w:t>
      </w:r>
      <w:r w:rsidRPr="005C20AF">
        <w:rPr>
          <w:rFonts w:ascii="Palatino Linotype" w:eastAsia="Palatino Linotype" w:hAnsi="Palatino Linotype" w:cs="Palatino Linotype"/>
          <w:b/>
          <w:i/>
        </w:rPr>
        <w:t xml:space="preserve">incisos f) </w:t>
      </w:r>
      <w:r w:rsidRPr="005C20AF">
        <w:rPr>
          <w:rFonts w:ascii="Palatino Linotype" w:eastAsia="Palatino Linotype" w:hAnsi="Palatino Linotype" w:cs="Palatino Linotype"/>
          <w:i/>
        </w:rPr>
        <w:t xml:space="preserve">y </w:t>
      </w:r>
      <w:r w:rsidRPr="005C20AF">
        <w:rPr>
          <w:rFonts w:ascii="Palatino Linotype" w:eastAsia="Palatino Linotype" w:hAnsi="Palatino Linotype" w:cs="Palatino Linotype"/>
          <w:b/>
          <w:i/>
        </w:rPr>
        <w:t xml:space="preserve">h), </w:t>
      </w:r>
      <w:r w:rsidRPr="005C20AF">
        <w:rPr>
          <w:rFonts w:ascii="Palatino Linotype" w:eastAsia="Palatino Linotype" w:hAnsi="Palatino Linotype" w:cs="Palatino Linotype"/>
          <w:i/>
        </w:rPr>
        <w:t>del tenor literal siguiente:</w:t>
      </w:r>
    </w:p>
    <w:p w14:paraId="5723098B"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7631F415"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CLÁUSULAS</w:t>
      </w:r>
    </w:p>
    <w:p w14:paraId="756DBA9E"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w:t>
      </w:r>
    </w:p>
    <w:p w14:paraId="0D9D3C4F"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Quinta.- “EL COBAEM” </w:t>
      </w:r>
      <w:r w:rsidRPr="005C20AF">
        <w:rPr>
          <w:rFonts w:ascii="Palatino Linotype" w:eastAsia="Palatino Linotype" w:hAnsi="Palatino Linotype" w:cs="Palatino Linotype"/>
          <w:i/>
        </w:rPr>
        <w:t>se obliga a lo siguiente:</w:t>
      </w:r>
    </w:p>
    <w:p w14:paraId="641F4E61"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200EDB79"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b/>
          <w:i/>
        </w:rPr>
        <w:t>f).-</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u w:val="single"/>
        </w:rPr>
        <w:t>Informar trimestralmente</w:t>
      </w:r>
      <w:r w:rsidRPr="005C20AF">
        <w:rPr>
          <w:rFonts w:ascii="Palatino Linotype" w:eastAsia="Palatino Linotype" w:hAnsi="Palatino Linotype" w:cs="Palatino Linotype"/>
          <w:i/>
        </w:rPr>
        <w:t xml:space="preserve"> a “</w:t>
      </w:r>
      <w:r w:rsidRPr="005C20AF">
        <w:rPr>
          <w:rFonts w:ascii="Palatino Linotype" w:eastAsia="Palatino Linotype" w:hAnsi="Palatino Linotype" w:cs="Palatino Linotype"/>
          <w:b/>
          <w:i/>
        </w:rPr>
        <w:t>LA SEP</w:t>
      </w:r>
      <w:r w:rsidRPr="005C20AF">
        <w:rPr>
          <w:rFonts w:ascii="Palatino Linotype" w:eastAsia="Palatino Linotype" w:hAnsi="Palatino Linotype" w:cs="Palatino Linotype"/>
          <w:i/>
        </w:rPr>
        <w:t xml:space="preserve">” y </w:t>
      </w:r>
      <w:r w:rsidRPr="005C20AF">
        <w:rPr>
          <w:rFonts w:ascii="Palatino Linotype" w:eastAsia="Palatino Linotype" w:hAnsi="Palatino Linotype" w:cs="Palatino Linotype"/>
          <w:i/>
          <w:u w:val="single"/>
        </w:rPr>
        <w:t>a “</w:t>
      </w:r>
      <w:r w:rsidRPr="005C20AF">
        <w:rPr>
          <w:rFonts w:ascii="Palatino Linotype" w:eastAsia="Palatino Linotype" w:hAnsi="Palatino Linotype" w:cs="Palatino Linotype"/>
          <w:b/>
          <w:i/>
          <w:u w:val="single"/>
        </w:rPr>
        <w:t>EL GOBIERNO DEL ESTADO DE MÉXCO”</w:t>
      </w:r>
      <w:r w:rsidRPr="005C20AF">
        <w:rPr>
          <w:rFonts w:ascii="Palatino Linotype" w:eastAsia="Palatino Linotype" w:hAnsi="Palatino Linotype" w:cs="Palatino Linotype"/>
          <w:b/>
          <w:i/>
        </w:rPr>
        <w:t xml:space="preserve">, </w:t>
      </w:r>
      <w:r w:rsidRPr="005C20AF">
        <w:rPr>
          <w:rFonts w:ascii="Palatino Linotype" w:eastAsia="Palatino Linotype" w:hAnsi="Palatino Linotype" w:cs="Palatino Linotype"/>
          <w:b/>
          <w:i/>
          <w:u w:val="single"/>
        </w:rPr>
        <w:t>sobre el ejercicio de los recursos a que se refiere este Anexo de Ejecución</w:t>
      </w:r>
      <w:r w:rsidRPr="005C20AF">
        <w:rPr>
          <w:rFonts w:ascii="Palatino Linotype" w:eastAsia="Palatino Linotype" w:hAnsi="Palatino Linotype" w:cs="Palatino Linotype"/>
          <w:b/>
          <w:i/>
        </w:rPr>
        <w:t>,</w:t>
      </w:r>
      <w:r w:rsidRPr="005C20AF">
        <w:rPr>
          <w:rFonts w:ascii="Palatino Linotype" w:eastAsia="Palatino Linotype" w:hAnsi="Palatino Linotype" w:cs="Palatino Linotype"/>
          <w:i/>
        </w:rPr>
        <w:t xml:space="preserve"> así como a proporcionar la información en los términos y periodicidad establecidos en el artículo 37 del Presupuesto de Egresos de la Federación para el Ejercicio Fiscal 2024, y dar cumplimiento a las disposiciones relativas a la transparencia y difusión de la información financiera de dichos recursos, de conformidad con lo aplicable en el Título Quinto de la Ley General de Contabilidad Gubernamental.</w:t>
      </w:r>
    </w:p>
    <w:p w14:paraId="75066A93"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Complementariamente, </w:t>
      </w:r>
      <w:r w:rsidRPr="005C20AF">
        <w:rPr>
          <w:rFonts w:ascii="Palatino Linotype" w:eastAsia="Palatino Linotype" w:hAnsi="Palatino Linotype" w:cs="Palatino Linotype"/>
          <w:b/>
          <w:i/>
          <w:u w:val="single"/>
        </w:rPr>
        <w:t>remitir mensualmente los documentos de trabajo donde se identifiquen los recursos federales y estatales ejercidos para el pago de la nómina, conforme al Apartado "B” (sueldos, plazas, horas y prestaciones autorizados)</w:t>
      </w:r>
      <w:r w:rsidRPr="005C20AF">
        <w:rPr>
          <w:rFonts w:ascii="Palatino Linotype" w:eastAsia="Palatino Linotype" w:hAnsi="Palatino Linotype" w:cs="Palatino Linotype"/>
          <w:b/>
          <w:i/>
        </w:rPr>
        <w:t>.</w:t>
      </w:r>
    </w:p>
    <w:p w14:paraId="12337D65"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Asimismo, atenderá las solicitudes que </w:t>
      </w:r>
      <w:r w:rsidRPr="005C20AF">
        <w:rPr>
          <w:rFonts w:ascii="Palatino Linotype" w:eastAsia="Palatino Linotype" w:hAnsi="Palatino Linotype" w:cs="Palatino Linotype"/>
          <w:b/>
          <w:i/>
        </w:rPr>
        <w:t>"LA SEP</w:t>
      </w:r>
      <w:r w:rsidRPr="005C20AF">
        <w:rPr>
          <w:rFonts w:ascii="Palatino Linotype" w:eastAsia="Palatino Linotype" w:hAnsi="Palatino Linotype" w:cs="Palatino Linotype"/>
          <w:i/>
        </w:rPr>
        <w:t>" le realice respecto al envío de la información que permita la compulsa de las nóminas, así como para la instrumentación de herramientas orientadas a facilitar el seguimiento de la aplicación de los recursos federales aportados por "</w:t>
      </w:r>
      <w:r w:rsidRPr="005C20AF">
        <w:rPr>
          <w:rFonts w:ascii="Palatino Linotype" w:eastAsia="Palatino Linotype" w:hAnsi="Palatino Linotype" w:cs="Palatino Linotype"/>
          <w:b/>
          <w:i/>
        </w:rPr>
        <w:t>LA SEP</w:t>
      </w:r>
      <w:r w:rsidRPr="005C20AF">
        <w:rPr>
          <w:rFonts w:ascii="Palatino Linotype" w:eastAsia="Palatino Linotype" w:hAnsi="Palatino Linotype" w:cs="Palatino Linotype"/>
          <w:i/>
        </w:rPr>
        <w:t xml:space="preserve">" y la planeación anual de las plazas y horas docentes autorizadas para ejercicios posteriores, conforme a los </w:t>
      </w:r>
      <w:r w:rsidRPr="005C20AF">
        <w:rPr>
          <w:rFonts w:ascii="Palatino Linotype" w:eastAsia="Palatino Linotype" w:hAnsi="Palatino Linotype" w:cs="Palatino Linotype"/>
          <w:b/>
          <w:i/>
        </w:rPr>
        <w:t xml:space="preserve">Apartados "A" </w:t>
      </w:r>
      <w:r w:rsidRPr="005C20AF">
        <w:rPr>
          <w:rFonts w:ascii="Palatino Linotype" w:eastAsia="Palatino Linotype" w:hAnsi="Palatino Linotype" w:cs="Palatino Linotype"/>
          <w:i/>
        </w:rPr>
        <w:t>y</w:t>
      </w:r>
      <w:r w:rsidRPr="005C20AF">
        <w:rPr>
          <w:rFonts w:ascii="Palatino Linotype" w:eastAsia="Palatino Linotype" w:hAnsi="Palatino Linotype" w:cs="Palatino Linotype"/>
          <w:b/>
          <w:i/>
        </w:rPr>
        <w:t xml:space="preserve"> “B"</w:t>
      </w:r>
      <w:r w:rsidRPr="005C20AF">
        <w:rPr>
          <w:rFonts w:ascii="Palatino Linotype" w:eastAsia="Palatino Linotype" w:hAnsi="Palatino Linotype" w:cs="Palatino Linotype"/>
          <w:i/>
        </w:rPr>
        <w:t xml:space="preserve"> de este </w:t>
      </w:r>
      <w:r w:rsidRPr="005C20AF">
        <w:rPr>
          <w:rFonts w:ascii="Palatino Linotype" w:eastAsia="Palatino Linotype" w:hAnsi="Palatino Linotype" w:cs="Palatino Linotype"/>
          <w:i/>
        </w:rPr>
        <w:lastRenderedPageBreak/>
        <w:t>instrumento;</w:t>
      </w:r>
    </w:p>
    <w:p w14:paraId="5C5E460F"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27B29A66"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h).- </w:t>
      </w:r>
      <w:r w:rsidRPr="005C20AF">
        <w:rPr>
          <w:rFonts w:ascii="Palatino Linotype" w:eastAsia="Palatino Linotype" w:hAnsi="Palatino Linotype" w:cs="Palatino Linotype"/>
          <w:i/>
        </w:rPr>
        <w:t xml:space="preserve">Proporcionar las facilidades necesarias para que </w:t>
      </w:r>
      <w:r w:rsidRPr="005C20AF">
        <w:rPr>
          <w:rFonts w:ascii="Palatino Linotype" w:eastAsia="Palatino Linotype" w:hAnsi="Palatino Linotype" w:cs="Palatino Linotype"/>
          <w:b/>
          <w:i/>
          <w:u w:val="single"/>
        </w:rPr>
        <w:t>las instancias competentes de control, supervisión y fiscalización de “EL GOBIERNO DEL ESTADO DE MÉXCO</w:t>
      </w:r>
      <w:r w:rsidRPr="005C20AF">
        <w:rPr>
          <w:rFonts w:ascii="Palatino Linotype" w:eastAsia="Palatino Linotype" w:hAnsi="Palatino Linotype" w:cs="Palatino Linotype"/>
          <w:b/>
          <w:i/>
        </w:rPr>
        <w:t>”</w:t>
      </w:r>
      <w:r w:rsidRPr="005C20AF">
        <w:rPr>
          <w:rFonts w:ascii="Palatino Linotype" w:eastAsia="Palatino Linotype" w:hAnsi="Palatino Linotype" w:cs="Palatino Linotype"/>
          <w:i/>
        </w:rPr>
        <w:t>, ejerzan sus atribuciones en el ámbito de sus respectivas competencias, respecto a los recursos objeto de este instrumento.</w:t>
      </w:r>
    </w:p>
    <w:p w14:paraId="09D9F295" w14:textId="77777777" w:rsidR="00175A70" w:rsidRPr="005C20AF" w:rsidRDefault="00FF431F">
      <w:pPr>
        <w:widowControl w:val="0"/>
        <w:spacing w:before="120" w:after="120" w:line="240" w:lineRule="auto"/>
        <w:ind w:left="1134" w:right="1183"/>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w:t>
      </w:r>
    </w:p>
    <w:p w14:paraId="093BE219" w14:textId="77777777" w:rsidR="00175A70" w:rsidRPr="005C20AF" w:rsidRDefault="00FF431F">
      <w:pPr>
        <w:widowControl w:val="0"/>
        <w:spacing w:before="120" w:after="120" w:line="240" w:lineRule="auto"/>
        <w:ind w:left="851" w:right="1183"/>
        <w:jc w:val="right"/>
        <w:rPr>
          <w:rFonts w:ascii="Palatino Linotype" w:eastAsia="Palatino Linotype" w:hAnsi="Palatino Linotype" w:cs="Palatino Linotype"/>
          <w:i/>
        </w:rPr>
      </w:pPr>
      <w:r w:rsidRPr="005C20AF">
        <w:rPr>
          <w:rFonts w:ascii="Palatino Linotype" w:eastAsia="Palatino Linotype" w:hAnsi="Palatino Linotype" w:cs="Palatino Linotype"/>
          <w:i/>
        </w:rPr>
        <w:t>Énfasis añadido</w:t>
      </w:r>
    </w:p>
    <w:p w14:paraId="595D93C0"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No se tiene certeza si dentro del cumplimiento de estas obligaciones que fija el Anexo de Ejecución para el Colegio de Bachilleres del Estado de México, se contempla la individualización del pago realizado a cada servidor público. Lo anterior en el entendido que, si bien, la Secretaría de Finanzas no tiene la obligación de realizar los pagos y descuentos a los servidores públicos del COBAEM, en cumplimiento al Anexo de Ejecución, puede ser también que dentro de los informes mensuales y trimestrales a los que está obligado remitir el COBAEM al Gobierno del Estado de México, se contenga la información de interés para la persona solicitante.</w:t>
      </w:r>
    </w:p>
    <w:p w14:paraId="75FA0F34"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En tal contexto, la que suscribe, con fundamento en el artículo 14, fracciones I, II, V y XVI del Reglamento Interno del Instituto de Transparencia, Acceso a la Información Pública y Protección de Datos Personales del Estado de México y Municipios</w:t>
      </w:r>
      <w:r w:rsidRPr="005C20AF">
        <w:rPr>
          <w:rFonts w:ascii="Palatino Linotype" w:eastAsia="Palatino Linotype" w:hAnsi="Palatino Linotype" w:cs="Palatino Linotype"/>
          <w:b/>
          <w:i/>
        </w:rPr>
        <w:t>, con el objeto de contar con los elementos necesarios para la elaboración del proyecto de resolución correspondiente</w:t>
      </w:r>
      <w:r w:rsidRPr="005C20AF">
        <w:rPr>
          <w:rFonts w:ascii="Palatino Linotype" w:eastAsia="Palatino Linotype" w:hAnsi="Palatino Linotype" w:cs="Palatino Linotype"/>
          <w:i/>
        </w:rPr>
        <w:t xml:space="preserve">, requiere al </w:t>
      </w:r>
      <w:r w:rsidRPr="005C20AF">
        <w:rPr>
          <w:rFonts w:ascii="Palatino Linotype" w:eastAsia="Palatino Linotype" w:hAnsi="Palatino Linotype" w:cs="Palatino Linotype"/>
          <w:b/>
          <w:i/>
        </w:rPr>
        <w:t>Sujeto Obligado</w:t>
      </w:r>
      <w:r w:rsidRPr="005C20AF">
        <w:rPr>
          <w:rFonts w:ascii="Palatino Linotype" w:eastAsia="Palatino Linotype" w:hAnsi="Palatino Linotype" w:cs="Palatino Linotype"/>
          <w:i/>
        </w:rPr>
        <w:t xml:space="preserve"> para que precise lo siguiente: </w:t>
      </w:r>
    </w:p>
    <w:p w14:paraId="152631A8" w14:textId="77777777" w:rsidR="00175A70" w:rsidRPr="005C20AF" w:rsidRDefault="00FF431F">
      <w:pPr>
        <w:widowControl w:val="0"/>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1. Informe de manera precisa, si la Secretaria de Fianzas es responsable de recibir los informes trimestrales del COBAEM, sobre el ejercicio de los recursos a los que se refiere el Anexo de Ejecución, así como los documentos de trabajo mensuales en los que se identifican los recursos federales y estatales ejercidos para el pago de la nómina conforme al Apartado B del Anexo de Ejecución.</w:t>
      </w:r>
    </w:p>
    <w:p w14:paraId="754BC5EE" w14:textId="77777777" w:rsidR="00175A70" w:rsidRPr="005C20AF" w:rsidRDefault="00FF431F">
      <w:pPr>
        <w:widowControl w:val="0"/>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2. En caso afirmativo, informe cuáles son los documentos de trabajo que el COBAEM remitió de manera mensual, en los que se identifican los recursos federales y estatales ejercidos para el pago de la nómina conforme al Apartado B del Anexo de Ejecución, y si en estos se contiene la información al grado de detalle que permita identificar el recurso financiero otorgado a cada servidor </w:t>
      </w:r>
      <w:r w:rsidRPr="005C20AF">
        <w:rPr>
          <w:rFonts w:ascii="Palatino Linotype" w:eastAsia="Palatino Linotype" w:hAnsi="Palatino Linotype" w:cs="Palatino Linotype"/>
          <w:i/>
        </w:rPr>
        <w:lastRenderedPageBreak/>
        <w:t>público. Proporcione un ejemplo de dichos documentos.</w:t>
      </w:r>
    </w:p>
    <w:p w14:paraId="76F53BBC" w14:textId="77777777" w:rsidR="00175A70" w:rsidRPr="005C20AF" w:rsidRDefault="00FF431F">
      <w:pPr>
        <w:widowControl w:val="0"/>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3. Informe de manera precisa, si la Secretaría de Finanzas ejerce atribuciones de control, supervisión y fiscalización respecto de los recursos a los que se refiere el Anexo de Ejecución. </w:t>
      </w:r>
    </w:p>
    <w:p w14:paraId="39019A4D" w14:textId="77777777" w:rsidR="00175A70" w:rsidRPr="005C20AF" w:rsidRDefault="00FF431F">
      <w:pPr>
        <w:widowControl w:val="0"/>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La información de mérito deberá ser entregada a este Instituto en un lapso no mayor a tres días...”</w:t>
      </w:r>
    </w:p>
    <w:p w14:paraId="0D895152"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9. Desahogo del requerimiento de información adicional.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diecinueve de febrero</w:t>
      </w: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rPr>
        <w:t>de dos mil veinticinco</w:t>
      </w:r>
      <w:r w:rsidRPr="005C20AF">
        <w:rPr>
          <w:rFonts w:ascii="Palatino Linotype" w:eastAsia="Palatino Linotype" w:hAnsi="Palatino Linotype" w:cs="Palatino Linotype"/>
          <w:sz w:val="24"/>
          <w:szCs w:val="24"/>
        </w:rPr>
        <w:t xml:space="preserve">, en respuesta al requerimiento de información adicional,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remitió mediante correo electrónico los oficios con números de folio 20704002040000L/036/225, 20704000020000S/116/2025 y 20705000000000L/043/2025 emitidos por los servidores públicos habilitados de la Contaduría General Gubernamental, la Subsecretaría de Planeación y Presupuesto, y la Subsecretaría  de Tesorería, quienes remitieron la documentación que obra en sus archivos relacionados con el requerimiento de información adicional, así como el oficio número 20703000000200S/0331/2025, emitido por el servidor público habilitado de la Subsecretaría de Ingresos, quien refirió que en la unidad administrativa a su cargo no cuenta con la información solicitada en el requerimiento de información adicional.</w:t>
      </w:r>
    </w:p>
    <w:p w14:paraId="680165FE"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Anexos:</w:t>
      </w:r>
    </w:p>
    <w:p w14:paraId="18B2ABC0"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Oficio número 20704002040000L/036/225, del diecinueve de febrero de dos mil veinticinco, mediante el cual la servidora pública habilitada de la Contaduría General Gubernamental, manifestó lo siguiente:</w:t>
      </w:r>
    </w:p>
    <w:p w14:paraId="19739C80" w14:textId="77777777" w:rsidR="00175A70" w:rsidRPr="005C20AF" w:rsidRDefault="00FF431F">
      <w:pPr>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49508991" wp14:editId="31BA6BCC">
            <wp:extent cx="4860000" cy="1363747"/>
            <wp:effectExtent l="0" t="0" r="0" b="0"/>
            <wp:docPr id="21401318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60000" cy="1363747"/>
                    </a:xfrm>
                    <a:prstGeom prst="rect">
                      <a:avLst/>
                    </a:prstGeom>
                    <a:ln/>
                  </pic:spPr>
                </pic:pic>
              </a:graphicData>
            </a:graphic>
          </wp:inline>
        </w:drawing>
      </w:r>
      <w:r w:rsidRPr="005C20AF">
        <w:rPr>
          <w:rFonts w:ascii="Palatino Linotype" w:eastAsia="Palatino Linotype" w:hAnsi="Palatino Linotype" w:cs="Palatino Linotype"/>
          <w:noProof/>
          <w:sz w:val="24"/>
          <w:szCs w:val="24"/>
          <w:lang w:eastAsia="es-MX"/>
        </w:rPr>
        <w:drawing>
          <wp:inline distT="0" distB="0" distL="0" distR="0" wp14:anchorId="57C64F11" wp14:editId="6DD436D5">
            <wp:extent cx="4860000" cy="1474277"/>
            <wp:effectExtent l="0" t="0" r="0" b="0"/>
            <wp:docPr id="21401318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4860000" cy="1474277"/>
                    </a:xfrm>
                    <a:prstGeom prst="rect">
                      <a:avLst/>
                    </a:prstGeom>
                    <a:ln/>
                  </pic:spPr>
                </pic:pic>
              </a:graphicData>
            </a:graphic>
          </wp:inline>
        </w:drawing>
      </w:r>
    </w:p>
    <w:p w14:paraId="03479360" w14:textId="77777777" w:rsidR="00175A70" w:rsidRPr="005C20AF" w:rsidRDefault="00FF431F">
      <w:pPr>
        <w:spacing w:line="360" w:lineRule="auto"/>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Oficio número 20704000020000S/116/2025, del diecinueve de febrero de dos mil veinticinco, mediante el cual el servidor público habilitado de la Subsecretaría de Planeación y Presupuesto, manifestó lo siguiente:</w:t>
      </w:r>
    </w:p>
    <w:p w14:paraId="6BED782E" w14:textId="77777777" w:rsidR="00175A70" w:rsidRPr="005C20AF" w:rsidRDefault="00FF431F">
      <w:pPr>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01488CA8" wp14:editId="5748C57F">
            <wp:extent cx="4860000" cy="2776986"/>
            <wp:effectExtent l="0" t="0" r="0" b="0"/>
            <wp:docPr id="21401318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860000" cy="2776986"/>
                    </a:xfrm>
                    <a:prstGeom prst="rect">
                      <a:avLst/>
                    </a:prstGeom>
                    <a:ln/>
                  </pic:spPr>
                </pic:pic>
              </a:graphicData>
            </a:graphic>
          </wp:inline>
        </w:drawing>
      </w:r>
    </w:p>
    <w:p w14:paraId="1028604C" w14:textId="77777777" w:rsidR="00175A70" w:rsidRPr="005C20AF" w:rsidRDefault="00FF431F">
      <w:pPr>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1DCD8962" wp14:editId="711C3749">
            <wp:extent cx="4860000" cy="3759104"/>
            <wp:effectExtent l="0" t="0" r="0" b="0"/>
            <wp:docPr id="21401318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860000" cy="3759104"/>
                    </a:xfrm>
                    <a:prstGeom prst="rect">
                      <a:avLst/>
                    </a:prstGeom>
                    <a:ln/>
                  </pic:spPr>
                </pic:pic>
              </a:graphicData>
            </a:graphic>
          </wp:inline>
        </w:drawing>
      </w:r>
    </w:p>
    <w:p w14:paraId="7802F715"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Oficio número 20705000000000L/043/2025, del veinte de febrero de dos mil veinticinco, mediante el cual el servidor público habilitado de la Subsecretaría de Tesorería, manifestó lo siguiente:</w:t>
      </w:r>
    </w:p>
    <w:p w14:paraId="24CDD8AB" w14:textId="77777777" w:rsidR="00175A70" w:rsidRPr="005C20AF" w:rsidRDefault="00FF431F">
      <w:pPr>
        <w:spacing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6281DEAF" wp14:editId="2B48C075">
            <wp:extent cx="4860000" cy="1054155"/>
            <wp:effectExtent l="0" t="0" r="0" b="0"/>
            <wp:docPr id="2140131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60000" cy="1054155"/>
                    </a:xfrm>
                    <a:prstGeom prst="rect">
                      <a:avLst/>
                    </a:prstGeom>
                    <a:ln/>
                  </pic:spPr>
                </pic:pic>
              </a:graphicData>
            </a:graphic>
          </wp:inline>
        </w:drawing>
      </w:r>
    </w:p>
    <w:p w14:paraId="07FDCB4D" w14:textId="77777777" w:rsidR="00175A70" w:rsidRPr="005C20AF" w:rsidRDefault="00FF431F">
      <w:pPr>
        <w:spacing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210C1D06" wp14:editId="68C244D2">
            <wp:extent cx="4860000" cy="2555927"/>
            <wp:effectExtent l="0" t="0" r="0" b="0"/>
            <wp:docPr id="21401318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860000" cy="2555927"/>
                    </a:xfrm>
                    <a:prstGeom prst="rect">
                      <a:avLst/>
                    </a:prstGeom>
                    <a:ln/>
                  </pic:spPr>
                </pic:pic>
              </a:graphicData>
            </a:graphic>
          </wp:inline>
        </w:drawing>
      </w:r>
    </w:p>
    <w:p w14:paraId="2E6CFEC6"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Oficio número 20703000000200S/0331/2025, del veinte de febrero de dos mil veinticinco, mediante el cual Jefe de la Unidad de Apoyo Técnico Administrativo y servidor público habilitado de la Subsecretaría de Ingresos, manifestó lo siguiente:</w:t>
      </w:r>
    </w:p>
    <w:p w14:paraId="2676B571" w14:textId="77777777" w:rsidR="00175A70" w:rsidRPr="005C20AF" w:rsidRDefault="00FF431F">
      <w:pPr>
        <w:spacing w:before="240" w:after="240" w:line="360" w:lineRule="auto"/>
        <w:jc w:val="center"/>
      </w:pPr>
      <w:r w:rsidRPr="005C20AF">
        <w:rPr>
          <w:noProof/>
          <w:lang w:eastAsia="es-MX"/>
        </w:rPr>
        <w:drawing>
          <wp:inline distT="0" distB="0" distL="0" distR="0" wp14:anchorId="7FD71DBA" wp14:editId="7A9C68EB">
            <wp:extent cx="4860000" cy="1674990"/>
            <wp:effectExtent l="0" t="0" r="0" b="0"/>
            <wp:docPr id="21401318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860000" cy="1674990"/>
                    </a:xfrm>
                    <a:prstGeom prst="rect">
                      <a:avLst/>
                    </a:prstGeom>
                    <a:ln/>
                  </pic:spPr>
                </pic:pic>
              </a:graphicData>
            </a:graphic>
          </wp:inline>
        </w:drawing>
      </w:r>
    </w:p>
    <w:p w14:paraId="331B7CC7" w14:textId="77777777" w:rsidR="00175A70" w:rsidRPr="005C20AF" w:rsidRDefault="00FF431F">
      <w:pPr>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b/>
          <w:sz w:val="24"/>
          <w:szCs w:val="24"/>
        </w:rPr>
        <w:t xml:space="preserve">10. Cierre de Instrucción. </w:t>
      </w:r>
      <w:r w:rsidRPr="005C20AF">
        <w:rPr>
          <w:rFonts w:ascii="Palatino Linotype" w:eastAsia="Palatino Linotype" w:hAnsi="Palatino Linotype" w:cs="Palatino Linotype"/>
          <w:sz w:val="24"/>
          <w:szCs w:val="24"/>
        </w:rPr>
        <w:t xml:space="preserve">El </w:t>
      </w:r>
      <w:r w:rsidRPr="005C20AF">
        <w:rPr>
          <w:rFonts w:ascii="Palatino Linotype" w:eastAsia="Palatino Linotype" w:hAnsi="Palatino Linotype" w:cs="Palatino Linotype"/>
          <w:b/>
          <w:sz w:val="24"/>
          <w:szCs w:val="24"/>
        </w:rPr>
        <w:t xml:space="preserve">veinticuatro de febrero de dos mil veinticinco, </w:t>
      </w:r>
      <w:r w:rsidRPr="005C20AF">
        <w:rPr>
          <w:rFonts w:ascii="Palatino Linotype" w:eastAsia="Palatino Linotype" w:hAnsi="Palatino Linotype" w:cs="Palatino Linotype"/>
          <w:sz w:val="24"/>
          <w:szCs w:val="24"/>
        </w:rPr>
        <w:t xml:space="preserve">con fundamento en lo establecido en el artículo 185, fracción VI de la Ley de Transparencia y Acceso a la Información Pública del Estado de México y Municipios, al no existir trámite pendiente por realizar y haber sido sustanciados medios de </w:t>
      </w:r>
      <w:r w:rsidRPr="005C20AF">
        <w:rPr>
          <w:rFonts w:ascii="Palatino Linotype" w:eastAsia="Palatino Linotype" w:hAnsi="Palatino Linotype" w:cs="Palatino Linotype"/>
          <w:sz w:val="24"/>
          <w:szCs w:val="24"/>
        </w:rPr>
        <w:lastRenderedPageBreak/>
        <w:t>impugnación se acordó el cierre de instrucción y se procede a formular la resolución que en derecho corresponda.</w:t>
      </w:r>
    </w:p>
    <w:p w14:paraId="408EB822"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3E3AC206" w14:textId="77777777" w:rsidR="00175A70" w:rsidRPr="005C20AF" w:rsidRDefault="00FF431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5C20AF">
        <w:rPr>
          <w:rFonts w:ascii="Palatino Linotype" w:eastAsia="Palatino Linotype" w:hAnsi="Palatino Linotype" w:cs="Palatino Linotype"/>
          <w:b/>
          <w:sz w:val="24"/>
          <w:szCs w:val="24"/>
        </w:rPr>
        <w:t>II. C O N S I D E R A N D O S:</w:t>
      </w:r>
    </w:p>
    <w:p w14:paraId="6F323991"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Primero. Competencia.</w:t>
      </w:r>
      <w:r w:rsidRPr="005C20A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74D76443"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Segundo. Oportunidad y Procedibilidad del Recurso de Revisión</w:t>
      </w:r>
      <w:r w:rsidRPr="005C20AF">
        <w:rPr>
          <w:rFonts w:ascii="Palatino Linotype" w:eastAsia="Palatino Linotype" w:hAnsi="Palatino Linotype" w:cs="Palatino Linotype"/>
          <w:sz w:val="24"/>
          <w:szCs w:val="24"/>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62E5076"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 xml:space="preserve">Los recursos de revisión fueron interpuestos dentro del plazo de quince días hábiles, previsto en el artículo 178 de la Ley de Transparencia y Acceso a la Información Pública del Estado de México y Municipios, toda vez que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remitió la respuesta a las solicitudes de información el </w:t>
      </w:r>
      <w:r w:rsidRPr="005C20AF">
        <w:rPr>
          <w:rFonts w:ascii="Palatino Linotype" w:eastAsia="Palatino Linotype" w:hAnsi="Palatino Linotype" w:cs="Palatino Linotype"/>
          <w:b/>
          <w:sz w:val="24"/>
          <w:szCs w:val="24"/>
        </w:rPr>
        <w:t xml:space="preserve">diecinueve de diciembre de dos mil veinticuatro, </w:t>
      </w:r>
      <w:r w:rsidRPr="005C20AF">
        <w:rPr>
          <w:rFonts w:ascii="Palatino Linotype" w:eastAsia="Palatino Linotype" w:hAnsi="Palatino Linotype" w:cs="Palatino Linotype"/>
          <w:sz w:val="24"/>
          <w:szCs w:val="24"/>
        </w:rPr>
        <w:t xml:space="preserve">mientras que los recursos de revisión interpuestos por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se tuvieron por presentados el </w:t>
      </w:r>
      <w:r w:rsidRPr="005C20AF">
        <w:rPr>
          <w:rFonts w:ascii="Palatino Linotype" w:eastAsia="Palatino Linotype" w:hAnsi="Palatino Linotype" w:cs="Palatino Linotype"/>
          <w:b/>
          <w:sz w:val="24"/>
          <w:szCs w:val="24"/>
        </w:rPr>
        <w:t>veintitrés de enero de dos mil veinticinco,</w:t>
      </w:r>
      <w:r w:rsidRPr="005C20AF">
        <w:rPr>
          <w:rFonts w:ascii="Palatino Linotype" w:eastAsia="Palatino Linotype" w:hAnsi="Palatino Linotype" w:cs="Palatino Linotype"/>
          <w:sz w:val="24"/>
          <w:szCs w:val="24"/>
        </w:rPr>
        <w:t xml:space="preserve"> esto es al décimo día hábil posterior a aquel en el que tuvo conocimiento de las respuestas impugnadas. En este sentido, se concluye que los presentes recursos de revisión se encuentran dentro de los márgenes temporales previstos en las disposiciones legales referidas.</w:t>
      </w:r>
    </w:p>
    <w:p w14:paraId="39D1648F" w14:textId="77777777" w:rsidR="00175A70" w:rsidRPr="005C20AF" w:rsidRDefault="00FF431F">
      <w:pPr>
        <w:tabs>
          <w:tab w:val="left" w:pos="7938"/>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10B8370"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en sus motivos de inconformidad, de acuerdo al artículo 179, fracción IV del ordenamiento legal citado, que a la letra dice: </w:t>
      </w:r>
    </w:p>
    <w:p w14:paraId="21BE3016"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Artículo 179.</w:t>
      </w:r>
      <w:r w:rsidRPr="005C20A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8479203" w14:textId="77777777" w:rsidR="00175A70" w:rsidRPr="005C20AF" w:rsidRDefault="00FF431F">
      <w:pPr>
        <w:spacing w:before="120" w:after="120" w:line="240" w:lineRule="auto"/>
        <w:ind w:left="1134" w:right="900"/>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0CB944A6" w14:textId="77777777" w:rsidR="00175A70" w:rsidRPr="005C20AF" w:rsidRDefault="00FF431F">
      <w:pPr>
        <w:spacing w:before="120" w:after="120" w:line="240" w:lineRule="auto"/>
        <w:ind w:left="1134" w:right="900"/>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IV.</w:t>
      </w:r>
      <w:r w:rsidRPr="005C20AF">
        <w:rPr>
          <w:rFonts w:ascii="Palatino Linotype" w:eastAsia="Palatino Linotype" w:hAnsi="Palatino Linotype" w:cs="Palatino Linotype"/>
          <w:i/>
        </w:rPr>
        <w:t xml:space="preserve"> La declaración de incompetencia por el sujeto obligado;</w:t>
      </w:r>
    </w:p>
    <w:p w14:paraId="3A8B59B0" w14:textId="77777777" w:rsidR="00175A70" w:rsidRPr="005C20AF" w:rsidRDefault="00FF431F">
      <w:pPr>
        <w:spacing w:before="120" w:after="120" w:line="240" w:lineRule="auto"/>
        <w:ind w:left="1134" w:right="900"/>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0EFC966C"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Tercero. Materia de la revisión. </w:t>
      </w:r>
      <w:r w:rsidRPr="005C20AF">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w:t>
      </w:r>
      <w:r w:rsidRPr="005C20AF">
        <w:rPr>
          <w:rFonts w:ascii="Palatino Linotype" w:eastAsia="Palatino Linotype" w:hAnsi="Palatino Linotype" w:cs="Palatino Linotype"/>
          <w:b/>
          <w:sz w:val="24"/>
          <w:szCs w:val="24"/>
        </w:rPr>
        <w:t xml:space="preserve">verificar si la información proporcionada por el Sujeto Obligado es adecuada y suficiente para satisfacer el derecho de acceso a la información pública </w:t>
      </w:r>
      <w:r w:rsidRPr="005C20AF">
        <w:rPr>
          <w:rFonts w:ascii="Palatino Linotype" w:eastAsia="Palatino Linotype" w:hAnsi="Palatino Linotype" w:cs="Palatino Linotype"/>
          <w:sz w:val="24"/>
          <w:szCs w:val="24"/>
        </w:rPr>
        <w:t xml:space="preserve">de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o en su defecto, en caso de ser procedente, ordenar la entrega de información.</w:t>
      </w:r>
    </w:p>
    <w:p w14:paraId="0B236CC7"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t xml:space="preserve">Cuarto. Estudio del asunto. </w:t>
      </w:r>
      <w:r w:rsidRPr="005C20AF">
        <w:rPr>
          <w:rFonts w:ascii="Palatino Linotype" w:eastAsia="Palatino Linotype" w:hAnsi="Palatino Linotype" w:cs="Palatino Linotype"/>
          <w:sz w:val="24"/>
          <w:szCs w:val="24"/>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910C2F7"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Artículo 4</w:t>
      </w:r>
      <w:r w:rsidRPr="005C20A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14722B"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C20AF">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5C20AF">
        <w:rPr>
          <w:rFonts w:ascii="Palatino Linotype" w:eastAsia="Palatino Linotype" w:hAnsi="Palatino Linotype" w:cs="Palatino Linotype"/>
          <w:i/>
        </w:rPr>
        <w:lastRenderedPageBreak/>
        <w:t>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26CBFCE"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C20AF">
        <w:rPr>
          <w:rFonts w:ascii="Palatino Linotype" w:eastAsia="Palatino Linotype" w:hAnsi="Palatino Linotype" w:cs="Palatino Linotype"/>
          <w:i/>
        </w:rPr>
        <w:t>.”</w:t>
      </w:r>
    </w:p>
    <w:p w14:paraId="2106EFB2"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263970"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“Artículo 12.-</w:t>
      </w:r>
      <w:r w:rsidRPr="005C20A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F7649E4"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bookmarkStart w:id="4" w:name="_heading=h.4d34og8" w:colFirst="0" w:colLast="0"/>
      <w:bookmarkEnd w:id="4"/>
      <w:r w:rsidRPr="005C20A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7FD7F40" w14:textId="77777777" w:rsidR="00175A70" w:rsidRPr="005C20AF" w:rsidRDefault="00FF431F">
      <w:pPr>
        <w:spacing w:before="240" w:after="240" w:line="360" w:lineRule="auto"/>
        <w:ind w:right="-93"/>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5C20AF">
        <w:rPr>
          <w:rFonts w:ascii="Palatino Linotype" w:eastAsia="Palatino Linotype" w:hAnsi="Palatino Linotype" w:cs="Palatino Linotype"/>
          <w:sz w:val="24"/>
          <w:szCs w:val="24"/>
        </w:rPr>
        <w:lastRenderedPageBreak/>
        <w:t>que los Sujetos Obligados sólo se concretarán a proporcionar la información solicitada que tengan en su poder en el estado que se encuentran, sin necesidad de concretarse al interés o términos específicos del solicitante.</w:t>
      </w:r>
    </w:p>
    <w:p w14:paraId="0307A8C6" w14:textId="77777777" w:rsidR="00175A70" w:rsidRPr="005C20AF" w:rsidRDefault="00FF431F">
      <w:pPr>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sz w:val="24"/>
          <w:szCs w:val="24"/>
        </w:rPr>
        <w:t>Sirve de apoyo a lo anterior, el criterio 03/17, emitido por el Instituto Nacional de Transparencia, Acceso a la Información y Protección de Datos Personales, que por rubro y texto, dispone lo siguiente:</w:t>
      </w:r>
      <w:r w:rsidRPr="005C20AF">
        <w:rPr>
          <w:rFonts w:ascii="Palatino Linotype" w:eastAsia="Palatino Linotype" w:hAnsi="Palatino Linotype" w:cs="Palatino Linotype"/>
          <w:b/>
          <w:sz w:val="24"/>
          <w:szCs w:val="24"/>
        </w:rPr>
        <w:t xml:space="preserve"> </w:t>
      </w:r>
    </w:p>
    <w:p w14:paraId="57E26455"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No existe obligación de elaborar documentos ad hoc para atender las solicitudes de acceso a la información.</w:t>
      </w:r>
      <w:r w:rsidRPr="005C20A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2FF7C3"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240A705" w14:textId="77777777" w:rsidR="00175A70" w:rsidRPr="005C20AF" w:rsidRDefault="00FF431F">
      <w:pPr>
        <w:spacing w:before="240" w:after="240" w:line="360" w:lineRule="auto"/>
        <w:jc w:val="both"/>
        <w:rPr>
          <w:rFonts w:ascii="Palatino Linotype" w:eastAsia="Palatino Linotype" w:hAnsi="Palatino Linotype" w:cs="Palatino Linotype"/>
        </w:rPr>
      </w:pPr>
      <w:r w:rsidRPr="005C20A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5C20AF">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54209E"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 xml:space="preserve">Artículo 3. </w:t>
      </w:r>
      <w:r w:rsidRPr="005C20AF">
        <w:rPr>
          <w:rFonts w:ascii="Palatino Linotype" w:eastAsia="Palatino Linotype" w:hAnsi="Palatino Linotype" w:cs="Palatino Linotype"/>
          <w:i/>
        </w:rPr>
        <w:t>Para los efectos de la presente Ley se entenderá por:</w:t>
      </w:r>
    </w:p>
    <w:p w14:paraId="077410EA"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0AB99E5E"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 Documento:</w:t>
      </w:r>
      <w:r w:rsidRPr="005C20AF">
        <w:rPr>
          <w:rFonts w:ascii="Palatino Linotype" w:eastAsia="Palatino Linotype" w:hAnsi="Palatino Linotype" w:cs="Palatino Linotype"/>
          <w:i/>
        </w:rPr>
        <w:t xml:space="preserve"> Los expedientes, reportes, estudios, actas</w:t>
      </w:r>
      <w:r w:rsidRPr="005C20AF">
        <w:rPr>
          <w:rFonts w:ascii="Palatino Linotype" w:eastAsia="Palatino Linotype" w:hAnsi="Palatino Linotype" w:cs="Palatino Linotype"/>
          <w:b/>
          <w:i/>
        </w:rPr>
        <w:t>,</w:t>
      </w:r>
      <w:r w:rsidRPr="005C20A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DFD3DAB"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337A90"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rPr>
        <w:t>“</w:t>
      </w:r>
      <w:r w:rsidRPr="005C20A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C20A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5C20AF">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1CF1D2C6"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En consecuencia el acceso a la información se refiere a que se cumplan cualquiera de los siguientes tres supuestos:</w:t>
      </w:r>
    </w:p>
    <w:p w14:paraId="042FB9AB"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1)</w:t>
      </w:r>
      <w:r w:rsidRPr="005C20AF">
        <w:rPr>
          <w:rFonts w:ascii="Palatino Linotype" w:eastAsia="Palatino Linotype" w:hAnsi="Palatino Linotype" w:cs="Palatino Linotype"/>
          <w:i/>
        </w:rPr>
        <w:t xml:space="preserve"> Que se trate de información registrada en cualquier soporte documental, que en ejercicio de las atribuciones conferidas, sea generada por los Sujetos Obligados;</w:t>
      </w:r>
    </w:p>
    <w:p w14:paraId="35F29064"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2)</w:t>
      </w:r>
      <w:r w:rsidRPr="005C20AF">
        <w:rPr>
          <w:rFonts w:ascii="Palatino Linotype" w:eastAsia="Palatino Linotype" w:hAnsi="Palatino Linotype" w:cs="Palatino Linotype"/>
          <w:i/>
        </w:rPr>
        <w:t xml:space="preserve"> Que se trate de información registrada en cualquier soporte documental, que en ejercicio de las atribuciones conferidas, sea administrada por los Sujetos Obligados, y</w:t>
      </w:r>
    </w:p>
    <w:p w14:paraId="359A19CE"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3)</w:t>
      </w:r>
      <w:r w:rsidRPr="005C20AF">
        <w:rPr>
          <w:rFonts w:ascii="Palatino Linotype" w:eastAsia="Palatino Linotype" w:hAnsi="Palatino Linotype" w:cs="Palatino Linotype"/>
          <w:i/>
        </w:rPr>
        <w:t xml:space="preserve"> Que se trate de información registrada en cualquier soporte documental, que en ejercicio de las atribuciones conferidas, se encuentre en posesión de los Sujetos Obligados.” </w:t>
      </w:r>
    </w:p>
    <w:p w14:paraId="73DCC6A1"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BD03AC"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w:t>
      </w:r>
      <w:r w:rsidRPr="005C20AF">
        <w:rPr>
          <w:rFonts w:ascii="Palatino Linotype" w:eastAsia="Palatino Linotype" w:hAnsi="Palatino Linotype" w:cs="Palatino Linotype"/>
          <w:sz w:val="24"/>
          <w:szCs w:val="24"/>
        </w:rPr>
        <w:lastRenderedPageBreak/>
        <w:t>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942E0FC"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Ahora bien, del análisis de las solicitudes de información, motivo de los recursos de revisión que ahora se resuelven, se advierte que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requirió al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le proporcione lo siguiente:</w:t>
      </w:r>
    </w:p>
    <w:p w14:paraId="05BDF4F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Respecto de los servidores públicos adscritos al Colegio de Bachilleres del Estado de México, referidos en las solicitudes, tomando como referencia el Anexo “B” Analítico de servicios personales 2024, plazas, horas y sueldos autorizados, del del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636C9F1F" w14:textId="77777777" w:rsidR="00175A70" w:rsidRPr="005C20AF" w:rsidRDefault="00FF431F">
      <w:pP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1. Monto total individualizado asignado a mi plaza como ingreso bruto, que debí y debo percibir, por este año 2024;</w:t>
      </w:r>
    </w:p>
    <w:p w14:paraId="592142D9" w14:textId="77777777" w:rsidR="00175A70" w:rsidRPr="005C20AF" w:rsidRDefault="00FF431F">
      <w:pP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2. Monto detallado anual que debió aplicarse por concepto tanto de percepciones como de deducciones -cuyos conceptos se precisaron en cada caso, respecto del ejercicio 2024-.</w:t>
      </w:r>
    </w:p>
    <w:p w14:paraId="6C0E6FD2" w14:textId="77777777" w:rsidR="00175A70" w:rsidRPr="005C20AF" w:rsidRDefault="00FF431F">
      <w:pP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3. En caso de que exista diferencia salarial entre lo autorizado en el Anexo de Ejecución y lo que realmente se ha pagado en 2024, se informe el monto que dejé de percibir y los conceptos, en los cuales se aplicó la deducción.</w:t>
      </w:r>
    </w:p>
    <w:p w14:paraId="00E4C833" w14:textId="77777777" w:rsidR="00175A70" w:rsidRPr="005C20AF" w:rsidRDefault="00FF431F">
      <w:pPr>
        <w:tabs>
          <w:tab w:val="left" w:pos="709"/>
        </w:tabs>
        <w:spacing w:before="240" w:after="240" w:line="360" w:lineRule="auto"/>
        <w:jc w:val="both"/>
        <w:rPr>
          <w:rFonts w:ascii="Palatino Linotype" w:eastAsia="Palatino Linotype" w:hAnsi="Palatino Linotype" w:cs="Palatino Linotype"/>
          <w:sz w:val="24"/>
          <w:szCs w:val="24"/>
        </w:rPr>
      </w:pPr>
      <w:bookmarkStart w:id="5" w:name="_heading=h.2s8eyo1" w:colFirst="0" w:colLast="0"/>
      <w:bookmarkEnd w:id="5"/>
      <w:r w:rsidRPr="005C20AF">
        <w:rPr>
          <w:rFonts w:ascii="Palatino Linotype" w:eastAsia="Palatino Linotype" w:hAnsi="Palatino Linotype" w:cs="Palatino Linotype"/>
          <w:sz w:val="24"/>
          <w:szCs w:val="24"/>
        </w:rPr>
        <w:t xml:space="preserve">En respuesta, la Unidad de Transparencia hizo del conocimiento de la persona solicitante, en términos del artículo 167 de la Ley de Transparencia y Acceso a la Información Pública del Estado de México y Municipios,  que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es incompetente generar, administrar o poseer la información requerida por el particular, por corresponder a Sujeto Obligado diverso, como lo es el Colegio de Bachilleres del Estado de México o la Oficialía Mayor.</w:t>
      </w:r>
    </w:p>
    <w:p w14:paraId="63E0F835" w14:textId="77777777" w:rsidR="00175A70" w:rsidRPr="005C20AF" w:rsidRDefault="00FF431F">
      <w:pPr>
        <w:tabs>
          <w:tab w:val="left" w:pos="709"/>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Al no estar conforme con los términos de la respuesta emitida,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 xml:space="preserve">interpuso los recursos de revisión que nos ocupan, donde señaló como motivo de inconformidad, que la declaración de incompetencia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era improcedente y contraria a Derecho, así como a las facultades legales con las cuales se obligó y suscribió a través del Anexo de Ejecución celebrado por el Gobierno del Estado, el Gobierno Federal y el Colegio de Bachilleres del Estado de México, por lo que considera que SÍ es competente para emitir la respuesta solicitada, al ser responsable de la captación y dispersión de los recursos federales y estatales asignados al Colegio de Bachilleres del Estado de México.</w:t>
      </w:r>
    </w:p>
    <w:p w14:paraId="489F057C" w14:textId="77777777" w:rsidR="00175A70" w:rsidRPr="005C20AF" w:rsidRDefault="00FF431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Ahora bien, durante el periodo de manifestaciones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ratificó en lo sustancial las respuestas emitidas en primera instancia, mientras que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 xml:space="preserve">insistió en que le asiste el Derecho al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para contestar </w:t>
      </w:r>
      <w:r w:rsidRPr="005C20AF">
        <w:rPr>
          <w:rFonts w:ascii="Palatino Linotype" w:eastAsia="Palatino Linotype" w:hAnsi="Palatino Linotype" w:cs="Palatino Linotype"/>
          <w:sz w:val="24"/>
          <w:szCs w:val="24"/>
        </w:rPr>
        <w:lastRenderedPageBreak/>
        <w:t>las solicitudes y “</w:t>
      </w:r>
      <w:r w:rsidRPr="005C20AF">
        <w:rPr>
          <w:rFonts w:ascii="Palatino Linotype" w:eastAsia="Palatino Linotype" w:hAnsi="Palatino Linotype" w:cs="Palatino Linotype"/>
          <w:i/>
          <w:sz w:val="24"/>
          <w:szCs w:val="24"/>
        </w:rPr>
        <w:t>manifestar categóricamente si recibió por parte de la federación el recurso y si también lo envió al colegio de bachilleres</w:t>
      </w:r>
      <w:r w:rsidRPr="005C20AF">
        <w:rPr>
          <w:rFonts w:ascii="Palatino Linotype" w:eastAsia="Palatino Linotype" w:hAnsi="Palatino Linotype" w:cs="Palatino Linotype"/>
          <w:sz w:val="24"/>
          <w:szCs w:val="24"/>
        </w:rPr>
        <w:t>” (</w:t>
      </w:r>
      <w:r w:rsidRPr="005C20AF">
        <w:rPr>
          <w:rFonts w:ascii="Palatino Linotype" w:eastAsia="Palatino Linotype" w:hAnsi="Palatino Linotype" w:cs="Palatino Linotype"/>
          <w:i/>
          <w:sz w:val="24"/>
          <w:szCs w:val="24"/>
        </w:rPr>
        <w:t>sic</w:t>
      </w:r>
      <w:r w:rsidRPr="005C20AF">
        <w:rPr>
          <w:rFonts w:ascii="Palatino Linotype" w:eastAsia="Palatino Linotype" w:hAnsi="Palatino Linotype" w:cs="Palatino Linotype"/>
          <w:sz w:val="24"/>
          <w:szCs w:val="24"/>
        </w:rPr>
        <w:t>)</w:t>
      </w:r>
    </w:p>
    <w:p w14:paraId="17A2517F" w14:textId="77777777" w:rsidR="00175A70" w:rsidRPr="005C20AF" w:rsidRDefault="00FF431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Al respecto, debe mencionarse que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 xml:space="preserve">pretendió ampliar sus solicitudes, pues como se advierte, requirió que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manifestara si recibió los recursos provenientes de la federación, y si envió los recursos correspondientes al Colegio de Bachilleres del Estado de México, sin embargo, dicha información no fue requerida al momento de presentar las solicitudes de información, como se desprende de los antecedentes de la presente resolución, y de las constancias que obran en los expedientes electrónicos del SAIMEX. En este sentido, dichos pronunciamientos se traducen como una </w:t>
      </w:r>
      <w:r w:rsidRPr="005C20AF">
        <w:rPr>
          <w:rFonts w:ascii="Palatino Linotype" w:eastAsia="Palatino Linotype" w:hAnsi="Palatino Linotype" w:cs="Palatino Linotype"/>
          <w:i/>
          <w:sz w:val="24"/>
          <w:szCs w:val="24"/>
        </w:rPr>
        <w:t xml:space="preserve">plus </w:t>
      </w:r>
      <w:proofErr w:type="spellStart"/>
      <w:r w:rsidRPr="005C20AF">
        <w:rPr>
          <w:rFonts w:ascii="Palatino Linotype" w:eastAsia="Palatino Linotype" w:hAnsi="Palatino Linotype" w:cs="Palatino Linotype"/>
          <w:i/>
          <w:sz w:val="24"/>
          <w:szCs w:val="24"/>
        </w:rPr>
        <w:t>petitio</w:t>
      </w:r>
      <w:proofErr w:type="spellEnd"/>
      <w:r w:rsidRPr="005C20AF">
        <w:rPr>
          <w:rFonts w:ascii="Palatino Linotype" w:eastAsia="Palatino Linotype" w:hAnsi="Palatino Linotype" w:cs="Palatino Linotype"/>
          <w:b/>
          <w:i/>
          <w:sz w:val="24"/>
          <w:szCs w:val="24"/>
        </w:rPr>
        <w:t xml:space="preserve">, </w:t>
      </w:r>
      <w:r w:rsidRPr="005C20AF">
        <w:rPr>
          <w:rFonts w:ascii="Palatino Linotype" w:eastAsia="Palatino Linotype" w:hAnsi="Palatino Linotype" w:cs="Palatino Linotype"/>
          <w:sz w:val="24"/>
          <w:szCs w:val="24"/>
        </w:rPr>
        <w:t xml:space="preserve">y por tanto inatendibles a través del recurso de revisión.  </w:t>
      </w:r>
    </w:p>
    <w:p w14:paraId="491D3AB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este orden de ideas, una vez formulada su solicitud inicial,</w:t>
      </w:r>
      <w:r w:rsidRPr="005C20AF">
        <w:rPr>
          <w:rFonts w:ascii="Palatino Linotype" w:eastAsia="Palatino Linotype" w:hAnsi="Palatino Linotype" w:cs="Palatino Linotype"/>
          <w:i/>
          <w:sz w:val="24"/>
          <w:szCs w:val="24"/>
        </w:rPr>
        <w:t xml:space="preserve"> </w:t>
      </w:r>
      <w:r w:rsidRPr="005C20AF">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0163816A" w14:textId="77777777" w:rsidR="00175A70" w:rsidRPr="005C20AF" w:rsidRDefault="00FF431F">
      <w:pPr>
        <w:pBdr>
          <w:top w:val="nil"/>
          <w:left w:val="nil"/>
          <w:bottom w:val="nil"/>
          <w:right w:val="nil"/>
          <w:between w:val="nil"/>
        </w:pBdr>
        <w:spacing w:before="280" w:after="28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Robustece lo anterior lo plasmado en el Criterio de interpretación con clave de control SO/001/2017, emitido por el Instituto Nacional de Transparencia, Acceso a la Información y Protección de Datos Personales, INAI, que lleva por rubro y texto lo que a continuación se transcribe:</w:t>
      </w:r>
    </w:p>
    <w:p w14:paraId="616872AF" w14:textId="77777777" w:rsidR="00175A70" w:rsidRPr="005C20AF" w:rsidRDefault="00FF431F">
      <w:pPr>
        <w:spacing w:before="240" w:after="240"/>
        <w:ind w:left="851" w:right="900"/>
        <w:jc w:val="both"/>
        <w:rPr>
          <w:rFonts w:ascii="Palatino Linotype" w:eastAsia="Palatino Linotype" w:hAnsi="Palatino Linotype" w:cs="Palatino Linotype"/>
        </w:rPr>
      </w:pPr>
      <w:r w:rsidRPr="005C20AF">
        <w:rPr>
          <w:rFonts w:ascii="Palatino Linotype" w:eastAsia="Palatino Linotype" w:hAnsi="Palatino Linotype" w:cs="Palatino Linotype"/>
          <w:i/>
        </w:rPr>
        <w:lastRenderedPageBreak/>
        <w:t xml:space="preserve"> “</w:t>
      </w:r>
      <w:r w:rsidRPr="005C20AF">
        <w:rPr>
          <w:rFonts w:ascii="Palatino Linotype" w:eastAsia="Palatino Linotype" w:hAnsi="Palatino Linotype" w:cs="Palatino Linotype"/>
          <w:b/>
          <w:i/>
        </w:rPr>
        <w:t xml:space="preserve">Es improcedente ampliar las solicitudes de acceso a información, a través de la interposición del recurso de revisión. </w:t>
      </w:r>
      <w:r w:rsidRPr="005C20AF">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5C20AF">
        <w:rPr>
          <w:rFonts w:ascii="Palatino Linotype" w:eastAsia="Palatino Linotype" w:hAnsi="Palatino Linotype" w:cs="Palatino Linotype"/>
          <w:b/>
          <w:i/>
        </w:rPr>
        <w:t>.</w:t>
      </w:r>
      <w:r w:rsidRPr="005C20AF">
        <w:rPr>
          <w:rFonts w:ascii="Palatino Linotype" w:eastAsia="Palatino Linotype" w:hAnsi="Palatino Linotype" w:cs="Palatino Linotype"/>
          <w:i/>
        </w:rPr>
        <w:t>”</w:t>
      </w:r>
    </w:p>
    <w:p w14:paraId="7F047FBC"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No obstante, se dejan a salvo los derechos de la persona solicitante para que, en caso de considerar conveniente a sus intereses, el conocer la información que fue señalada, la solicite a través de una nueva solicitud de información.</w:t>
      </w:r>
    </w:p>
    <w:p w14:paraId="6AA544A2"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Una vez establecidas las posturas de las partes, se procede al análisis de los requerimientos de información, así como la información proporcionada por el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 xml:space="preserve">en contraposición con el motivo de inconformidad alegado por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con la finalidad de determinar si el Derecho de acceso de esta se satisfizo, o, en su defecto, ordenar el soporte documental correspondiente, en caso de ser procedente.</w:t>
      </w:r>
    </w:p>
    <w:p w14:paraId="6146E612"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En este tenor, toda vez que 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se declaró incompetente para dar atención a las solicitudes de información y que este es el motivo de inconformidad hecho valer por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se estima necesario abordar, en primera instancia, la competencia de la autoridad emisora del acto impugnado,  por ser una cuestión de orden público y de estudio preferente pues de ella deriva la validez de </w:t>
      </w:r>
      <w:r w:rsidRPr="005C20AF">
        <w:rPr>
          <w:rFonts w:ascii="Palatino Linotype" w:eastAsia="Palatino Linotype" w:hAnsi="Palatino Linotype" w:cs="Palatino Linotype"/>
          <w:sz w:val="24"/>
          <w:szCs w:val="24"/>
        </w:rPr>
        <w:lastRenderedPageBreak/>
        <w:t>los actos que se emiten, los cuales las autoridades solo pueden realizar en los términos que les ordena la ley.</w:t>
      </w:r>
    </w:p>
    <w:p w14:paraId="77F53DF7"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Sirve de sustento a lo anterior, por analogía, la Jurisprudencia con número de registro 170827, emitida por la Segunda Sala de la Suprema Corte de Justicia de la Nación, cuyo rubro y texto a continuación se transcriben:</w:t>
      </w:r>
    </w:p>
    <w:p w14:paraId="16572F7C" w14:textId="77777777" w:rsidR="00175A70" w:rsidRPr="005C20AF" w:rsidRDefault="00FF431F">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COMPETENCIA. SU ESTUDIO OFICIOSO RESPECTO DE LA AUTORIDAD DEMANDADA EN EL JUICIO CONTENCIOSO ADMINISTRATIVO, DEBE SER ANALIZADA POR LAS SALAS DEL TRIBUNAL FEDERAL DE JUSTICIA FISCAL Y ADMINISTRATIVA</w:t>
      </w:r>
      <w:r w:rsidRPr="005C20AF">
        <w:rPr>
          <w:rFonts w:ascii="Palatino Linotype" w:eastAsia="Palatino Linotype" w:hAnsi="Palatino Linotype" w:cs="Palatino Linotype"/>
          <w:i/>
        </w:rPr>
        <w:t xml:space="preserve">.- El artículo 238, penúltimo párrafo, del Código Fiscal de la Federación y su correlativo 51, penúltimo párrafo, de la Ley Federal de Procedimiento Contencioso Administrativo, </w:t>
      </w:r>
      <w:r w:rsidRPr="005C20AF">
        <w:rPr>
          <w:rFonts w:ascii="Palatino Linotype" w:eastAsia="Palatino Linotype" w:hAnsi="Palatino Linotype" w:cs="Palatino Linotype"/>
          <w:b/>
          <w:i/>
        </w:rPr>
        <w:t>establece que ese Tribunal podrá hacer valer de oficio, por ser de orden público, la incompetencia de la autoridad para dictar la resolución impugnada.</w:t>
      </w:r>
      <w:r w:rsidRPr="005C20AF">
        <w:rPr>
          <w:rFonts w:ascii="Palatino Linotype" w:eastAsia="Palatino Linotype" w:hAnsi="Palatino Linotype" w:cs="Palatino Linotype"/>
          <w:i/>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RPr="005C20AF">
        <w:rPr>
          <w:rFonts w:ascii="Palatino Linotype" w:eastAsia="Palatino Linotype" w:hAnsi="Palatino Linotype" w:cs="Palatino Linotype"/>
          <w:b/>
          <w:i/>
        </w:rPr>
        <w:t>en el caso de que las Salas fiscales estimen que la autoridad administrativa es incompetente, su pronunciamiento en ese sentido será indispensable, porque ello constituirá causa de nulidad de la resolución impugnada;</w:t>
      </w:r>
      <w:r w:rsidRPr="005C20AF">
        <w:rPr>
          <w:rFonts w:ascii="Palatino Linotype" w:eastAsia="Palatino Linotype" w:hAnsi="Palatino Linotype" w:cs="Palatino Linotype"/>
          <w:i/>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29C55A2D"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El estudio preferente del principio de competencia, entendido en su origen como la aptitud atribuida expresamente a una autoridad, por una norma jurídica, para llevar </w:t>
      </w:r>
      <w:r w:rsidRPr="005C20AF">
        <w:rPr>
          <w:rFonts w:ascii="Palatino Linotype" w:eastAsia="Palatino Linotype" w:hAnsi="Palatino Linotype" w:cs="Palatino Linotype"/>
          <w:sz w:val="24"/>
          <w:szCs w:val="24"/>
        </w:rPr>
        <w:lastRenderedPageBreak/>
        <w:t>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14:paraId="132137AF"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Una vez acotado lo anterior, respecto a la materia de las solicitudes es oportuno mencionar que el objeto del Anexo de Ejecución / Apoyo Financiero 2024 SEMS-EL COBAEM-MÉXICO 0236/24, celebrado entre el Ejecutivo Federal, por conducto de la Secretaría de Educación Pública (SEP); el Gobierno del Estado de México, asistido por la </w:t>
      </w:r>
      <w:r w:rsidRPr="005C20AF">
        <w:rPr>
          <w:rFonts w:ascii="Palatino Linotype" w:eastAsia="Palatino Linotype" w:hAnsi="Palatino Linotype" w:cs="Palatino Linotype"/>
          <w:b/>
          <w:sz w:val="24"/>
          <w:szCs w:val="24"/>
        </w:rPr>
        <w:t>Secretaría de Finanzas</w:t>
      </w:r>
      <w:r w:rsidRPr="005C20AF">
        <w:rPr>
          <w:rFonts w:ascii="Palatino Linotype" w:eastAsia="Palatino Linotype" w:hAnsi="Palatino Linotype" w:cs="Palatino Linotype"/>
          <w:sz w:val="24"/>
          <w:szCs w:val="24"/>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w:t>
      </w:r>
      <w:r w:rsidRPr="005C20AF">
        <w:rPr>
          <w:rFonts w:ascii="Palatino Linotype" w:eastAsia="Palatino Linotype" w:hAnsi="Palatino Linotype" w:cs="Palatino Linotype"/>
          <w:sz w:val="24"/>
          <w:szCs w:val="24"/>
        </w:rPr>
        <w:lastRenderedPageBreak/>
        <w:t>conformidad con lo establecido en los Apartados “A” y “B” firmados por las partes, que forman parte integrante del Acuerdo.</w:t>
      </w:r>
    </w:p>
    <w:p w14:paraId="7C61E50D"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operaran dicho instrumento a través de los oficios de autorización que expida la SEP, o bien mediante la suscripción de anexos de ejecución, anuales y específicos por cada uno de los organismos públicos descentralizados que operen en la entidad.</w:t>
      </w:r>
    </w:p>
    <w:p w14:paraId="529D1191"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este contexto, las solicitudes de información se presentaron tomando como referencia el Apartado “B” correspondiente al Analítico de servicios personales 2024, plazas, horas y sueldos autorizados, del Anexo de Ejecución / Apoyo Financiero 2024 SEMS-EL COBAEM-MÉXICO 0236/24:</w:t>
      </w:r>
    </w:p>
    <w:p w14:paraId="6EB7CC9A" w14:textId="77777777" w:rsidR="00175A70" w:rsidRPr="005C20AF" w:rsidRDefault="00FF431F">
      <w:pPr>
        <w:pBdr>
          <w:top w:val="nil"/>
          <w:left w:val="nil"/>
          <w:bottom w:val="nil"/>
          <w:right w:val="nil"/>
          <w:between w:val="nil"/>
        </w:pBdr>
        <w:spacing w:before="240" w:after="240"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5D72056B" wp14:editId="7A46B20F">
            <wp:extent cx="5400000" cy="5096814"/>
            <wp:effectExtent l="0" t="0" r="0" b="0"/>
            <wp:docPr id="21401318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409"/>
                    <a:stretch>
                      <a:fillRect/>
                    </a:stretch>
                  </pic:blipFill>
                  <pic:spPr>
                    <a:xfrm>
                      <a:off x="0" y="0"/>
                      <a:ext cx="5400000" cy="5096814"/>
                    </a:xfrm>
                    <a:prstGeom prst="rect">
                      <a:avLst/>
                    </a:prstGeom>
                    <a:ln/>
                  </pic:spPr>
                </pic:pic>
              </a:graphicData>
            </a:graphic>
          </wp:inline>
        </w:drawing>
      </w:r>
    </w:p>
    <w:p w14:paraId="1C31237D" w14:textId="77777777" w:rsidR="00175A70" w:rsidRPr="005C20AF" w:rsidRDefault="00FF431F">
      <w:pPr>
        <w:pBdr>
          <w:top w:val="nil"/>
          <w:left w:val="nil"/>
          <w:bottom w:val="nil"/>
          <w:right w:val="nil"/>
          <w:between w:val="nil"/>
        </w:pBdr>
        <w:spacing w:before="240" w:after="240"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0529E1A3" wp14:editId="32C1EB2E">
            <wp:extent cx="5400000" cy="4184725"/>
            <wp:effectExtent l="0" t="0" r="0" b="0"/>
            <wp:docPr id="21401318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00000" cy="4184725"/>
                    </a:xfrm>
                    <a:prstGeom prst="rect">
                      <a:avLst/>
                    </a:prstGeom>
                    <a:ln/>
                  </pic:spPr>
                </pic:pic>
              </a:graphicData>
            </a:graphic>
          </wp:inline>
        </w:drawing>
      </w:r>
    </w:p>
    <w:p w14:paraId="242B297C" w14:textId="77777777" w:rsidR="00175A70" w:rsidRPr="005C20AF" w:rsidRDefault="00FF431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Una vez precisado lo anterior, se procede al análisis del marco normativo aplicable al </w:t>
      </w:r>
      <w:r w:rsidRPr="005C20AF">
        <w:rPr>
          <w:rFonts w:ascii="Palatino Linotype" w:eastAsia="Palatino Linotype" w:hAnsi="Palatino Linotype" w:cs="Palatino Linotype"/>
          <w:b/>
          <w:sz w:val="24"/>
          <w:szCs w:val="24"/>
        </w:rPr>
        <w:t xml:space="preserve">Sujeto Obligado, </w:t>
      </w:r>
      <w:r w:rsidRPr="005C20AF">
        <w:rPr>
          <w:rFonts w:ascii="Palatino Linotype" w:eastAsia="Palatino Linotype" w:hAnsi="Palatino Linotype" w:cs="Palatino Linotype"/>
          <w:sz w:val="24"/>
          <w:szCs w:val="24"/>
        </w:rPr>
        <w:t>con la finalidad de determinar sus atribuciones, y si estas se vinculan con la materia de las solicitudes.</w:t>
      </w:r>
    </w:p>
    <w:p w14:paraId="26E340EE" w14:textId="77777777" w:rsidR="00175A70" w:rsidRPr="005C20AF" w:rsidRDefault="00175A7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p>
    <w:p w14:paraId="773EBDDA" w14:textId="77777777" w:rsidR="00175A70" w:rsidRPr="005C20AF" w:rsidRDefault="00175A7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p>
    <w:p w14:paraId="3D065AC4" w14:textId="77777777" w:rsidR="00175A70" w:rsidRPr="005C20AF" w:rsidRDefault="00175A7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p>
    <w:p w14:paraId="37D4F3BC" w14:textId="77777777" w:rsidR="00175A70" w:rsidRPr="005C20AF" w:rsidRDefault="00175A7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p>
    <w:p w14:paraId="7F9747AA" w14:textId="77777777" w:rsidR="00175A70" w:rsidRPr="005C20AF" w:rsidRDefault="00FF431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b/>
          <w:sz w:val="24"/>
          <w:szCs w:val="24"/>
          <w:u w:val="single"/>
        </w:rPr>
        <w:lastRenderedPageBreak/>
        <w:t>De las atribuciones del Sujeto Obligado</w:t>
      </w:r>
    </w:p>
    <w:p w14:paraId="69A532D3" w14:textId="77777777" w:rsidR="00175A70" w:rsidRPr="005C20AF" w:rsidRDefault="00FF431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019BC26A" w14:textId="77777777" w:rsidR="00175A70" w:rsidRPr="005C20AF" w:rsidRDefault="00FF431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Sus atribuciones se contemplan en el artículo 29 de la Ley Orgánica de la Administración Pública: </w:t>
      </w:r>
    </w:p>
    <w:p w14:paraId="4F7E165A"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Artículo 29</w:t>
      </w:r>
      <w:r w:rsidRPr="005C20AF">
        <w:rPr>
          <w:rFonts w:ascii="Palatino Linotype" w:eastAsia="Palatino Linotype" w:hAnsi="Palatino Linotype" w:cs="Palatino Linotype"/>
          <w:i/>
        </w:rPr>
        <w:t xml:space="preserve">. La Secretaría de Finanzas contará con las siguientes atribuciones: </w:t>
      </w:r>
    </w:p>
    <w:p w14:paraId="332C5D3A"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I. </w:t>
      </w:r>
      <w:r w:rsidRPr="005C20AF">
        <w:rPr>
          <w:rFonts w:ascii="Palatino Linotype" w:eastAsia="Palatino Linotype" w:hAnsi="Palatino Linotype" w:cs="Palatino Linotype"/>
          <w:i/>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480159E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II.</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 xml:space="preserve">Establecer políticas en materia hacendaria, así como </w:t>
      </w:r>
      <w:r w:rsidRPr="005C20AF">
        <w:rPr>
          <w:rFonts w:ascii="Palatino Linotype" w:eastAsia="Palatino Linotype" w:hAnsi="Palatino Linotype" w:cs="Palatino Linotype"/>
          <w:b/>
          <w:i/>
          <w:u w:val="single"/>
        </w:rPr>
        <w:t>recaudar</w:t>
      </w:r>
      <w:r w:rsidRPr="005C20AF">
        <w:rPr>
          <w:rFonts w:ascii="Palatino Linotype" w:eastAsia="Palatino Linotype" w:hAnsi="Palatino Linotype" w:cs="Palatino Linotype"/>
          <w:b/>
          <w:i/>
        </w:rPr>
        <w:t xml:space="preserve"> los impuestos, derechos, aportaciones de mejoras, productos y aprovechamientos, que correspondan al Estado</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 xml:space="preserve">y </w:t>
      </w:r>
      <w:r w:rsidRPr="005C20AF">
        <w:rPr>
          <w:rFonts w:ascii="Palatino Linotype" w:eastAsia="Palatino Linotype" w:hAnsi="Palatino Linotype" w:cs="Palatino Linotype"/>
          <w:b/>
          <w:i/>
          <w:u w:val="single"/>
        </w:rPr>
        <w:t>las contribuciones federales</w:t>
      </w:r>
      <w:r w:rsidRPr="005C20AF">
        <w:rPr>
          <w:rFonts w:ascii="Palatino Linotype" w:eastAsia="Palatino Linotype" w:hAnsi="Palatino Linotype" w:cs="Palatino Linotype"/>
          <w:b/>
          <w:i/>
        </w:rPr>
        <w:t xml:space="preserve"> y municipales en los términos de los convenios suscritos, conforme a las leyes estatales y generales aplicables</w:t>
      </w:r>
      <w:r w:rsidRPr="005C20AF">
        <w:rPr>
          <w:rFonts w:ascii="Palatino Linotype" w:eastAsia="Palatino Linotype" w:hAnsi="Palatino Linotype" w:cs="Palatino Linotype"/>
          <w:i/>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76E2D8F8"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III</w:t>
      </w:r>
      <w:r w:rsidRPr="005C20AF">
        <w:rPr>
          <w:rFonts w:ascii="Palatino Linotype" w:eastAsia="Palatino Linotype" w:hAnsi="Palatino Linotype" w:cs="Palatino Linotype"/>
          <w:i/>
        </w:rPr>
        <w:t xml:space="preserve">. Instrumentar, vigilar y buscar asegurar el cumplimiento de las disposiciones legales de carácter fiscal y las demás de su ramo, aplicables en el Estado; </w:t>
      </w:r>
    </w:p>
    <w:p w14:paraId="77AA8B1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IV</w:t>
      </w:r>
      <w:r w:rsidRPr="005C20AF">
        <w:rPr>
          <w:rFonts w:ascii="Palatino Linotype" w:eastAsia="Palatino Linotype" w:hAnsi="Palatino Linotype" w:cs="Palatino Linotype"/>
          <w:i/>
        </w:rPr>
        <w:t xml:space="preserve">. Ejercer en el ámbito de su competencia las atribuciones derivadas de los convenios fiscales que celebre el Gobierno del Estado con la Secretaría de </w:t>
      </w:r>
      <w:r w:rsidRPr="005C20AF">
        <w:rPr>
          <w:rFonts w:ascii="Palatino Linotype" w:eastAsia="Palatino Linotype" w:hAnsi="Palatino Linotype" w:cs="Palatino Linotype"/>
          <w:i/>
        </w:rPr>
        <w:lastRenderedPageBreak/>
        <w:t xml:space="preserve">Hacienda y Crédito Público del Gobierno Federal, con los gobiernos de otros estados de la República, con los gobiernos municipales y con organismos auxiliares; </w:t>
      </w:r>
    </w:p>
    <w:p w14:paraId="64A5F77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V</w:t>
      </w:r>
      <w:r w:rsidRPr="005C20AF">
        <w:rPr>
          <w:rFonts w:ascii="Palatino Linotype" w:eastAsia="Palatino Linotype" w:hAnsi="Palatino Linotype" w:cs="Palatino Linotype"/>
          <w:i/>
        </w:rPr>
        <w:t xml:space="preserve">. Formular y presentar a la persona titular del Poder Ejecutivo del Estado, los proyectos de Ley de Ingresos, del Presupuesto de Egresos y el programa general del gasto público; </w:t>
      </w:r>
    </w:p>
    <w:p w14:paraId="4E12BC63"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VI</w:t>
      </w:r>
      <w:r w:rsidRPr="005C20AF">
        <w:rPr>
          <w:rFonts w:ascii="Palatino Linotype" w:eastAsia="Palatino Linotype" w:hAnsi="Palatino Linotype" w:cs="Palatino Linotype"/>
          <w:i/>
        </w:rPr>
        <w:t>. Practicar revisiones y auditorías a los causantes para prevenir la evasión y elusión, y en su caso, determinar créditos fiscales y precisar las bases para su liquidación;</w:t>
      </w:r>
    </w:p>
    <w:p w14:paraId="3FD1F1FD"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VII</w:t>
      </w:r>
      <w:r w:rsidRPr="005C20AF">
        <w:rPr>
          <w:rFonts w:ascii="Palatino Linotype" w:eastAsia="Palatino Linotype" w:hAnsi="Palatino Linotype" w:cs="Palatino Linotype"/>
          <w:i/>
        </w:rPr>
        <w:t>. Formular mensualmente los estados financieros de la hacienda pública, presentando anualmente a la persona titular del Poder Ejecutivo del Estado, en la primera quincena del mes de enero, un informe pormenorizado del ejercicio fiscal anterior;</w:t>
      </w:r>
    </w:p>
    <w:p w14:paraId="743D507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VIII</w:t>
      </w:r>
      <w:r w:rsidRPr="005C20AF">
        <w:rPr>
          <w:rFonts w:ascii="Palatino Linotype" w:eastAsia="Palatino Linotype" w:hAnsi="Palatino Linotype" w:cs="Palatino Linotype"/>
          <w:i/>
        </w:rPr>
        <w:t>. Ejercer la facultad económico-coactiva conforme a las leyes relativas, para hacer efectivos los créditos fiscales a favor del Estado;</w:t>
      </w:r>
    </w:p>
    <w:p w14:paraId="6F4427F0"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IX.</w:t>
      </w:r>
      <w:r w:rsidRPr="005C20AF">
        <w:rPr>
          <w:rFonts w:ascii="Palatino Linotype" w:eastAsia="Palatino Linotype" w:hAnsi="Palatino Linotype" w:cs="Palatino Linotype"/>
          <w:i/>
        </w:rPr>
        <w:t xml:space="preserve"> Establecer, administrar, integrar, controlar, verificar y mantener actualizados, el padrón fiscal de contribuyentes y demás registros relacionados, conforme a las disposiciones legales aplicables; </w:t>
      </w:r>
    </w:p>
    <w:p w14:paraId="24BD0C3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w:t>
      </w:r>
      <w:r w:rsidRPr="005C20AF">
        <w:rPr>
          <w:rFonts w:ascii="Palatino Linotype" w:eastAsia="Palatino Linotype" w:hAnsi="Palatino Linotype" w:cs="Palatino Linotype"/>
          <w:i/>
        </w:rPr>
        <w:t xml:space="preserve">. Cuidar que las personas empleadas que manejen fondos del Estado otorguen fianza suficiente para garantizar su manejo en los términos que determine la ley; </w:t>
      </w:r>
    </w:p>
    <w:p w14:paraId="038A4E5C"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w:t>
      </w:r>
      <w:r w:rsidRPr="005C20AF">
        <w:rPr>
          <w:rFonts w:ascii="Palatino Linotype" w:eastAsia="Palatino Linotype" w:hAnsi="Palatino Linotype" w:cs="Palatino Linotype"/>
          <w:i/>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6BECD19F"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XII</w:t>
      </w:r>
      <w:r w:rsidRPr="005C20AF">
        <w:rPr>
          <w:rFonts w:ascii="Palatino Linotype" w:eastAsia="Palatino Linotype" w:hAnsi="Palatino Linotype" w:cs="Palatino Linotype"/>
          <w:i/>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7732B56C"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XIII</w:t>
      </w:r>
      <w:r w:rsidRPr="005C20AF">
        <w:rPr>
          <w:rFonts w:ascii="Palatino Linotype" w:eastAsia="Palatino Linotype" w:hAnsi="Palatino Linotype" w:cs="Palatino Linotype"/>
          <w:i/>
        </w:rPr>
        <w:t xml:space="preserve">. Dirigir, regular, controlar, supervisar y evaluar las actividades de las personas servidoras públicas en las oficinas recaudadoras físicas y virtuales, así como de orientación y asistencia a las personas contribuyentes en el Estado; </w:t>
      </w:r>
    </w:p>
    <w:p w14:paraId="6F66E964"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XIV</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Efectuar los pagos conforme a los programas y presupuestos aprobados, así como, formular mensualmente el estado de origen y aplicación de los recursos financieros y tributarios del Estado</w:t>
      </w:r>
      <w:r w:rsidRPr="005C20AF">
        <w:rPr>
          <w:rFonts w:ascii="Palatino Linotype" w:eastAsia="Palatino Linotype" w:hAnsi="Palatino Linotype" w:cs="Palatino Linotype"/>
          <w:i/>
        </w:rPr>
        <w:t xml:space="preserve">; </w:t>
      </w:r>
    </w:p>
    <w:p w14:paraId="5A14969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XV</w:t>
      </w:r>
      <w:r w:rsidRPr="005C20AF">
        <w:rPr>
          <w:rFonts w:ascii="Palatino Linotype" w:eastAsia="Palatino Linotype" w:hAnsi="Palatino Linotype" w:cs="Palatino Linotype"/>
          <w:i/>
        </w:rPr>
        <w:t xml:space="preserve">. Proponer a la persona titular del Poder Ejecutivo del Estado la cancelación de cuentas incobrables, así como el otorgamiento de subsidios fiscales en los casos en que proceda; </w:t>
      </w:r>
    </w:p>
    <w:p w14:paraId="62E20308"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XVI. </w:t>
      </w:r>
      <w:r w:rsidRPr="005C20AF">
        <w:rPr>
          <w:rFonts w:ascii="Palatino Linotype" w:eastAsia="Palatino Linotype" w:hAnsi="Palatino Linotype" w:cs="Palatino Linotype"/>
          <w:i/>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139B447E"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XVII</w:t>
      </w:r>
      <w:r w:rsidRPr="005C20AF">
        <w:rPr>
          <w:rFonts w:ascii="Palatino Linotype" w:eastAsia="Palatino Linotype" w:hAnsi="Palatino Linotype" w:cs="Palatino Linotype"/>
          <w:i/>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469F4F8B" w14:textId="77777777" w:rsidR="00175A70" w:rsidRPr="005C20AF" w:rsidRDefault="00FF431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a)</w:t>
      </w:r>
      <w:r w:rsidRPr="005C20AF">
        <w:rPr>
          <w:rFonts w:ascii="Palatino Linotype" w:eastAsia="Palatino Linotype" w:hAnsi="Palatino Linotype" w:cs="Palatino Linotype"/>
          <w:i/>
        </w:rPr>
        <w:t xml:space="preserve">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14:paraId="68BB630E" w14:textId="77777777" w:rsidR="00175A70" w:rsidRPr="005C20AF" w:rsidRDefault="00FF431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b)</w:t>
      </w:r>
      <w:r w:rsidRPr="005C20AF">
        <w:rPr>
          <w:rFonts w:ascii="Palatino Linotype" w:eastAsia="Palatino Linotype" w:hAnsi="Palatino Linotype" w:cs="Palatino Linotype"/>
          <w:i/>
        </w:rPr>
        <w:t xml:space="preserve"> Ejercer las acciones, oponer las excepciones y defensas que correspondan a los actos emitidos por la Entidad en los juicios; </w:t>
      </w:r>
    </w:p>
    <w:p w14:paraId="77D40EF0" w14:textId="77777777" w:rsidR="00175A70" w:rsidRPr="005C20AF" w:rsidRDefault="00FF431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c)</w:t>
      </w:r>
      <w:r w:rsidRPr="005C20AF">
        <w:rPr>
          <w:rFonts w:ascii="Palatino Linotype" w:eastAsia="Palatino Linotype" w:hAnsi="Palatino Linotype" w:cs="Palatino Linotype"/>
          <w:i/>
        </w:rPr>
        <w:t xml:space="preserve"> Intervenir en su carácter de autoridad ejecutora, en los juicios interpuestos contra requerimientos de pago a cargo de instituciones de fianzas con base en pólizas que se hayan expedido para asegurar el interés fiscal; </w:t>
      </w:r>
    </w:p>
    <w:p w14:paraId="1D4DFAE3" w14:textId="77777777" w:rsidR="00175A70" w:rsidRPr="005C20AF" w:rsidRDefault="00FF431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d)</w:t>
      </w:r>
      <w:r w:rsidRPr="005C20AF">
        <w:rPr>
          <w:rFonts w:ascii="Palatino Linotype" w:eastAsia="Palatino Linotype" w:hAnsi="Palatino Linotype" w:cs="Palatino Linotype"/>
          <w:i/>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539E86F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03ABB966"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XVIII.</w:t>
      </w:r>
      <w:r w:rsidRPr="005C20AF">
        <w:rPr>
          <w:rFonts w:ascii="Palatino Linotype" w:eastAsia="Palatino Linotype" w:hAnsi="Palatino Linotype" w:cs="Palatino Linotype"/>
          <w:i/>
        </w:rPr>
        <w:t xml:space="preserve"> Fijar las políticas, normas y lineamientos generales en materia de catastro, de acuerdo con las leyes respectivas; </w:t>
      </w:r>
    </w:p>
    <w:p w14:paraId="6DF43C78"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XIX.</w:t>
      </w:r>
      <w:r w:rsidRPr="005C20AF">
        <w:rPr>
          <w:rFonts w:ascii="Palatino Linotype" w:eastAsia="Palatino Linotype" w:hAnsi="Palatino Linotype" w:cs="Palatino Linotype"/>
          <w:i/>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4DC0AD3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w:t>
      </w:r>
      <w:r w:rsidRPr="005C20AF">
        <w:rPr>
          <w:rFonts w:ascii="Palatino Linotype" w:eastAsia="Palatino Linotype" w:hAnsi="Palatino Linotype" w:cs="Palatino Linotype"/>
          <w:i/>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73C13CB0"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w:t>
      </w:r>
      <w:r w:rsidRPr="005C20AF">
        <w:rPr>
          <w:rFonts w:ascii="Palatino Linotype" w:eastAsia="Palatino Linotype" w:hAnsi="Palatino Linotype" w:cs="Palatino Linotype"/>
          <w:i/>
        </w:rPr>
        <w:t xml:space="preserve">.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14:paraId="574230DC"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XXII</w:t>
      </w:r>
      <w:r w:rsidRPr="005C20AF">
        <w:rPr>
          <w:rFonts w:ascii="Palatino Linotype" w:eastAsia="Palatino Linotype" w:hAnsi="Palatino Linotype" w:cs="Palatino Linotype"/>
          <w:i/>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21594AC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XXIII.</w:t>
      </w:r>
      <w:r w:rsidRPr="005C20AF">
        <w:rPr>
          <w:rFonts w:ascii="Palatino Linotype" w:eastAsia="Palatino Linotype" w:hAnsi="Palatino Linotype" w:cs="Palatino Linotype"/>
          <w:i/>
        </w:rPr>
        <w:t xml:space="preserve"> Proyectar y calcular los egresos del Gobierno del Estado y los ingresos y egresos de sus organismos auxiliares; </w:t>
      </w:r>
    </w:p>
    <w:p w14:paraId="799597FD"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XXIV.</w:t>
      </w:r>
      <w:r w:rsidRPr="005C20AF">
        <w:rPr>
          <w:rFonts w:ascii="Palatino Linotype" w:eastAsia="Palatino Linotype" w:hAnsi="Palatino Linotype" w:cs="Palatino Linotype"/>
          <w:i/>
        </w:rPr>
        <w:t xml:space="preserve"> Garantizar, en el ámbito de su competencia, la aplicación de las reglas y criterios de disciplina financiera, equilibrio presupuestario y responsabilidad hacendaria, en términos de la legislación en la materia; </w:t>
      </w:r>
    </w:p>
    <w:p w14:paraId="7AF4C8DB"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XXV</w:t>
      </w:r>
      <w:r w:rsidRPr="005C20AF">
        <w:rPr>
          <w:rFonts w:ascii="Palatino Linotype" w:eastAsia="Palatino Linotype" w:hAnsi="Palatino Linotype" w:cs="Palatino Linotype"/>
          <w:i/>
        </w:rPr>
        <w:t xml:space="preserve">. Establecer y llevar los sistemas de contabilidad gubernamental, disciplina financiera y de estadística general del Gobierno del Estado; </w:t>
      </w:r>
    </w:p>
    <w:p w14:paraId="1BCA74D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XXVI.</w:t>
      </w:r>
      <w:r w:rsidRPr="005C20AF">
        <w:rPr>
          <w:rFonts w:ascii="Palatino Linotype" w:eastAsia="Palatino Linotype" w:hAnsi="Palatino Linotype" w:cs="Palatino Linotype"/>
          <w:i/>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40F0481F"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 xml:space="preserve">XXVII. </w:t>
      </w:r>
      <w:r w:rsidRPr="005C20AF">
        <w:rPr>
          <w:rFonts w:ascii="Palatino Linotype" w:eastAsia="Palatino Linotype" w:hAnsi="Palatino Linotype" w:cs="Palatino Linotype"/>
          <w:i/>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5D0BB11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XXVIII</w:t>
      </w:r>
      <w:r w:rsidRPr="005C20AF">
        <w:rPr>
          <w:rFonts w:ascii="Palatino Linotype" w:eastAsia="Palatino Linotype" w:hAnsi="Palatino Linotype" w:cs="Palatino Linotype"/>
          <w:i/>
        </w:rPr>
        <w:t xml:space="preserve">. Celebrar convenios con los entes públicos estatales que se ubiquen en un nivel de endeudamiento elevado, con el objeto de establecer obligaciones específicas de responsabilidad hacendaria; </w:t>
      </w:r>
    </w:p>
    <w:p w14:paraId="2494B0EB"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XXIX</w:t>
      </w:r>
      <w:r w:rsidRPr="005C20AF">
        <w:rPr>
          <w:rFonts w:ascii="Palatino Linotype" w:eastAsia="Palatino Linotype" w:hAnsi="Palatino Linotype" w:cs="Palatino Linotype"/>
          <w:i/>
        </w:rPr>
        <w:t xml:space="preserve">. Hacer la glosa preventiva de los ingresos y egresos del Gobierno del Estado, elaborar la cuenta pública y mantener las relaciones con el Órgano Superior de Fiscalización del Estado de México; </w:t>
      </w:r>
    </w:p>
    <w:p w14:paraId="7753F5BE"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w:t>
      </w:r>
      <w:r w:rsidRPr="005C20AF">
        <w:rPr>
          <w:rFonts w:ascii="Palatino Linotype" w:eastAsia="Palatino Linotype" w:hAnsi="Palatino Linotype" w:cs="Palatino Linotype"/>
          <w:i/>
        </w:rPr>
        <w:t xml:space="preserve"> Registrar y normar los actos y contratos de los que resulten derechos y obligaciones para el Gobierno del Estado; </w:t>
      </w:r>
    </w:p>
    <w:p w14:paraId="6B077A13"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XXXI.</w:t>
      </w:r>
      <w:r w:rsidRPr="005C20AF">
        <w:rPr>
          <w:rFonts w:ascii="Palatino Linotype" w:eastAsia="Palatino Linotype" w:hAnsi="Palatino Linotype" w:cs="Palatino Linotype"/>
          <w:i/>
        </w:rPr>
        <w:t xml:space="preserve"> Determinar el destino final tratándose de tráileres, autobuses y cualquier tipo de remolques, una vez declarados abandonados; </w:t>
      </w:r>
    </w:p>
    <w:p w14:paraId="18E31514"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XXXII</w:t>
      </w:r>
      <w:r w:rsidRPr="005C20AF">
        <w:rPr>
          <w:rFonts w:ascii="Palatino Linotype" w:eastAsia="Palatino Linotype" w:hAnsi="Palatino Linotype" w:cs="Palatino Linotype"/>
          <w:i/>
        </w:rPr>
        <w:t>.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w:t>
      </w:r>
    </w:p>
    <w:p w14:paraId="5AAC6293"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XXIII</w:t>
      </w:r>
      <w:r w:rsidRPr="005C20AF">
        <w:rPr>
          <w:rFonts w:ascii="Palatino Linotype" w:eastAsia="Palatino Linotype" w:hAnsi="Palatino Linotype" w:cs="Palatino Linotype"/>
          <w:i/>
        </w:rPr>
        <w:t xml:space="preserve">. Prestar a los municipios, cuando así lo soliciten, la asesoría y el apoyo técnico necesario para la elaboración de sus planes y programas de desarrollo económico y social; </w:t>
      </w:r>
    </w:p>
    <w:p w14:paraId="224E981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XXXIV</w:t>
      </w:r>
      <w:r w:rsidRPr="005C20AF">
        <w:rPr>
          <w:rFonts w:ascii="Palatino Linotype" w:eastAsia="Palatino Linotype" w:hAnsi="Palatino Linotype" w:cs="Palatino Linotype"/>
          <w:i/>
        </w:rPr>
        <w:t xml:space="preserve">. Integrar y mantener actualizada la información geográfica y estadística de la Entidad; </w:t>
      </w:r>
    </w:p>
    <w:p w14:paraId="3C2D7968"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XXXV. </w:t>
      </w:r>
      <w:r w:rsidRPr="005C20AF">
        <w:rPr>
          <w:rFonts w:ascii="Palatino Linotype" w:eastAsia="Palatino Linotype" w:hAnsi="Palatino Linotype" w:cs="Palatino Linotype"/>
          <w:i/>
        </w:rPr>
        <w:t xml:space="preserve">Asesorar a la persona titular del Poder Ejecutivo del Estado en la elaboración de los convenios que celebre el Gobierno del Estado en materia de planeación, programación, supervisión y evaluación del desarrollo de la Entidad; </w:t>
      </w:r>
    </w:p>
    <w:p w14:paraId="37975676"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XXXVI</w:t>
      </w:r>
      <w:r w:rsidRPr="005C20AF">
        <w:rPr>
          <w:rFonts w:ascii="Palatino Linotype" w:eastAsia="Palatino Linotype" w:hAnsi="Palatino Linotype" w:cs="Palatino Linotype"/>
          <w:i/>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43DCB1E0"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XXXVI</w:t>
      </w:r>
      <w:r w:rsidRPr="005C20AF">
        <w:rPr>
          <w:rFonts w:ascii="Palatino Linotype" w:eastAsia="Palatino Linotype" w:hAnsi="Palatino Linotype" w:cs="Palatino Linotype"/>
          <w:i/>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04A0C36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XXXVIII</w:t>
      </w:r>
      <w:r w:rsidRPr="005C20AF">
        <w:rPr>
          <w:rFonts w:ascii="Palatino Linotype" w:eastAsia="Palatino Linotype" w:hAnsi="Palatino Linotype" w:cs="Palatino Linotype"/>
          <w:i/>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2674346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XXXIX</w:t>
      </w:r>
      <w:r w:rsidRPr="005C20AF">
        <w:rPr>
          <w:rFonts w:ascii="Palatino Linotype" w:eastAsia="Palatino Linotype" w:hAnsi="Palatino Linotype" w:cs="Palatino Linotype"/>
          <w:i/>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530A6CC4"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w:t>
      </w:r>
      <w:r w:rsidRPr="005C20AF">
        <w:rPr>
          <w:rFonts w:ascii="Palatino Linotype" w:eastAsia="Palatino Linotype" w:hAnsi="Palatino Linotype" w:cs="Palatino Linotype"/>
          <w:i/>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51FB7AE3"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XLI</w:t>
      </w:r>
      <w:r w:rsidRPr="005C20AF">
        <w:rPr>
          <w:rFonts w:ascii="Palatino Linotype" w:eastAsia="Palatino Linotype" w:hAnsi="Palatino Linotype" w:cs="Palatino Linotype"/>
          <w:i/>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37A62E95"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XLII.</w:t>
      </w:r>
      <w:r w:rsidRPr="005C20AF">
        <w:rPr>
          <w:rFonts w:ascii="Palatino Linotype" w:eastAsia="Palatino Linotype" w:hAnsi="Palatino Linotype" w:cs="Palatino Linotype"/>
          <w:i/>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7D55D4FB"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XLIII</w:t>
      </w:r>
      <w:r w:rsidRPr="005C20AF">
        <w:rPr>
          <w:rFonts w:ascii="Palatino Linotype" w:eastAsia="Palatino Linotype" w:hAnsi="Palatino Linotype" w:cs="Palatino Linotype"/>
          <w:i/>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60D88CA1"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XLIV</w:t>
      </w:r>
      <w:r w:rsidRPr="005C20AF">
        <w:rPr>
          <w:rFonts w:ascii="Palatino Linotype" w:eastAsia="Palatino Linotype" w:hAnsi="Palatino Linotype" w:cs="Palatino Linotype"/>
          <w:i/>
        </w:rPr>
        <w:t xml:space="preserve">. Emitir, en conjunto con la Secretaría General de Gobierno, los lineamientos técnicos en materia de Gobierno Digital conforme a lo establecido en los ordenamientos jurídicos aplicables; </w:t>
      </w:r>
    </w:p>
    <w:p w14:paraId="6E97E89B"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XLV.</w:t>
      </w:r>
      <w:r w:rsidRPr="005C20AF">
        <w:rPr>
          <w:rFonts w:ascii="Palatino Linotype" w:eastAsia="Palatino Linotype" w:hAnsi="Palatino Linotype" w:cs="Palatino Linotype"/>
          <w:i/>
        </w:rPr>
        <w:t xml:space="preserve"> Dar asesoría en materia de Gobierno Digital a los sujetos de la Ley de Gobierno Digital, teniendo como base la normatividad aplicable en dicha materia; </w:t>
      </w:r>
    </w:p>
    <w:p w14:paraId="54C386A2"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XLVI</w:t>
      </w:r>
      <w:r w:rsidRPr="005C20AF">
        <w:rPr>
          <w:rFonts w:ascii="Palatino Linotype" w:eastAsia="Palatino Linotype" w:hAnsi="Palatino Linotype" w:cs="Palatino Linotype"/>
          <w:i/>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6C10C64C"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XLVII</w:t>
      </w:r>
      <w:r w:rsidRPr="005C20AF">
        <w:rPr>
          <w:rFonts w:ascii="Palatino Linotype" w:eastAsia="Palatino Linotype" w:hAnsi="Palatino Linotype" w:cs="Palatino Linotype"/>
          <w:i/>
        </w:rPr>
        <w:t xml:space="preserve">. Implementar y administrar el Sistema Estatal de Información, Trámites y Servicios, en coordinación con el Consejo Estatal de Gobierno Digital y la Secretaría General de Gobierno; </w:t>
      </w:r>
    </w:p>
    <w:p w14:paraId="5A943C75"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XLVIII.</w:t>
      </w:r>
      <w:r w:rsidRPr="005C20AF">
        <w:rPr>
          <w:rFonts w:ascii="Palatino Linotype" w:eastAsia="Palatino Linotype" w:hAnsi="Palatino Linotype" w:cs="Palatino Linotype"/>
          <w:i/>
        </w:rPr>
        <w:t xml:space="preserve"> Impulsar la igualdad entre mujeres y hombres a través de la incorporación de la perspectiva de género en la planeación, diseño, elaboración, ejecución, seguimiento y evaluación del presupuesto; </w:t>
      </w:r>
    </w:p>
    <w:p w14:paraId="03E02F3F"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XLIX.</w:t>
      </w:r>
      <w:r w:rsidRPr="005C20AF">
        <w:rPr>
          <w:rFonts w:ascii="Palatino Linotype" w:eastAsia="Palatino Linotype" w:hAnsi="Palatino Linotype" w:cs="Palatino Linotype"/>
          <w:i/>
        </w:rPr>
        <w:t xml:space="preserve"> Aplicar las políticas en materia de protección de datos personales respecto del almacenamiento y custodia de información que derive del ejercicio de sus atribuciones; y </w:t>
      </w:r>
    </w:p>
    <w:p w14:paraId="4A81361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L</w:t>
      </w:r>
      <w:r w:rsidRPr="005C20AF">
        <w:rPr>
          <w:rFonts w:ascii="Palatino Linotype" w:eastAsia="Palatino Linotype" w:hAnsi="Palatino Linotype" w:cs="Palatino Linotype"/>
          <w:i/>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5A04DEA7" w14:textId="77777777" w:rsidR="00175A70" w:rsidRPr="005C20AF" w:rsidRDefault="00FF431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sz w:val="24"/>
          <w:szCs w:val="24"/>
        </w:rPr>
      </w:pPr>
      <w:r w:rsidRPr="005C20AF">
        <w:rPr>
          <w:rFonts w:ascii="Palatino Linotype" w:eastAsia="Palatino Linotype" w:hAnsi="Palatino Linotype" w:cs="Palatino Linotype"/>
          <w:b/>
          <w:i/>
        </w:rPr>
        <w:lastRenderedPageBreak/>
        <w:t>LI.</w:t>
      </w:r>
      <w:r w:rsidRPr="005C20AF">
        <w:rPr>
          <w:rFonts w:ascii="Palatino Linotype" w:eastAsia="Palatino Linotype" w:hAnsi="Palatino Linotype" w:cs="Palatino Linotype"/>
          <w:i/>
        </w:rPr>
        <w:t xml:space="preserve"> Las demás que le señalen otras leyes, reglamentos y disposiciones jurídicas aplicables, así como las que le encomiende la persona titular del Poder Ejecutivo del Estado.”</w:t>
      </w:r>
    </w:p>
    <w:p w14:paraId="07DEA5C1"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0389A4F9"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Asimismo, es conveniente referir que, si bien, 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528A9F5A" w14:textId="77777777" w:rsidR="00175A70" w:rsidRPr="005C20AF" w:rsidRDefault="00FF431F">
      <w:pPr>
        <w:pBdr>
          <w:top w:val="nil"/>
          <w:left w:val="nil"/>
          <w:bottom w:val="nil"/>
          <w:right w:val="nil"/>
          <w:between w:val="nil"/>
        </w:pBdr>
        <w:spacing w:before="240" w:after="240"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546809B1" wp14:editId="3648BE2B">
            <wp:extent cx="5400000" cy="6825894"/>
            <wp:effectExtent l="0" t="0" r="0" b="0"/>
            <wp:docPr id="21401318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400000" cy="6825894"/>
                    </a:xfrm>
                    <a:prstGeom prst="rect">
                      <a:avLst/>
                    </a:prstGeom>
                    <a:ln/>
                  </pic:spPr>
                </pic:pic>
              </a:graphicData>
            </a:graphic>
          </wp:inline>
        </w:drawing>
      </w:r>
      <w:r w:rsidRPr="005C20AF">
        <w:rPr>
          <w:noProof/>
          <w:lang w:eastAsia="es-MX"/>
        </w:rPr>
        <mc:AlternateContent>
          <mc:Choice Requires="wpg">
            <w:drawing>
              <wp:anchor distT="0" distB="0" distL="114300" distR="114300" simplePos="0" relativeHeight="251658240" behindDoc="0" locked="0" layoutInCell="1" hidden="0" allowOverlap="1" wp14:anchorId="1FB43C8F" wp14:editId="6083F19F">
                <wp:simplePos x="0" y="0"/>
                <wp:positionH relativeFrom="column">
                  <wp:posOffset>-38099</wp:posOffset>
                </wp:positionH>
                <wp:positionV relativeFrom="paragraph">
                  <wp:posOffset>177800</wp:posOffset>
                </wp:positionV>
                <wp:extent cx="5629910" cy="3810000"/>
                <wp:effectExtent l="0" t="0" r="0" b="0"/>
                <wp:wrapNone/>
                <wp:docPr id="2140131877" name="Rectángulo 2140131877"/>
                <wp:cNvGraphicFramePr/>
                <a:graphic xmlns:a="http://schemas.openxmlformats.org/drawingml/2006/main">
                  <a:graphicData uri="http://schemas.microsoft.com/office/word/2010/wordprocessingShape">
                    <wps:wsp>
                      <wps:cNvSpPr/>
                      <wps:spPr>
                        <a:xfrm>
                          <a:off x="2550095" y="1894050"/>
                          <a:ext cx="5591810" cy="3771900"/>
                        </a:xfrm>
                        <a:prstGeom prst="rect">
                          <a:avLst/>
                        </a:prstGeom>
                        <a:noFill/>
                        <a:ln w="38100" cap="flat" cmpd="sng">
                          <a:solidFill>
                            <a:srgbClr val="C00000"/>
                          </a:solidFill>
                          <a:prstDash val="solid"/>
                          <a:miter lim="800000"/>
                          <a:headEnd type="none" w="sm" len="sm"/>
                          <a:tailEnd type="none" w="sm" len="sm"/>
                        </a:ln>
                      </wps:spPr>
                      <wps:txbx>
                        <w:txbxContent>
                          <w:p w14:paraId="7DDB432E" w14:textId="77777777" w:rsidR="00175A70" w:rsidRDefault="00175A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-38099</wp:posOffset>
                </wp:positionH>
                <wp:positionV relativeFrom="paragraph">
                  <wp:posOffset>177800</wp:posOffset>
                </wp:positionV>
                <wp:extent cx="5629910" cy="3810000"/>
                <wp:effectExtent b="0" l="0" r="0" t="0"/>
                <wp:wrapNone/>
                <wp:docPr id="214013187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5629910" cy="3810000"/>
                        </a:xfrm>
                        <a:prstGeom prst="rect"/>
                        <a:ln/>
                      </pic:spPr>
                    </pic:pic>
                  </a:graphicData>
                </a:graphic>
              </wp:anchor>
            </w:drawing>
          </mc:Fallback>
        </mc:AlternateContent>
      </w:r>
    </w:p>
    <w:p w14:paraId="2B1010B2"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225D3DB4"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La recepción de los recursos ministrados por la Secretaría de Educación Pública, a través de la apertura de una cuenta bancaria productiva específica en una institución bancaria autorizada.</w:t>
      </w:r>
    </w:p>
    <w:p w14:paraId="6E14EF57"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342ECB5A"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023C0128"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53051D9E"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 Reintegrar a la Tesorería de la Federación los recursos financieros que aporte la SEP, que no se transfieran al COBAEM, así como los rendimientos generados por los recursos federales.</w:t>
      </w:r>
    </w:p>
    <w:p w14:paraId="064E1830" w14:textId="77777777" w:rsidR="00175A70" w:rsidRPr="005C20AF" w:rsidRDefault="00FF431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Informar al COBAEM, al día siguiente en el que sean radicados los recursos financieros federales por parte de la SEP, de la disponibilidad presupuestaria correspondiente.</w:t>
      </w:r>
    </w:p>
    <w:p w14:paraId="7D028F1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Robustece el argumento anterior, el pronunciamiento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en desahogo al requerimiento de información adicional realizado por este Organismo Garante, donde en lo medular, manifestó a través de los servidores públicos habilitados de la Contaduría General Gubernamental, la Subsecretaría de Planeación y Presupuesto, la Subsecretaría  de Tesorería, y la Subsecretaría de Ingresos, lo siguiente:</w:t>
      </w:r>
    </w:p>
    <w:p w14:paraId="6639A679" w14:textId="77777777" w:rsidR="00175A70" w:rsidRPr="005C20AF" w:rsidRDefault="00FF431F">
      <w:pPr>
        <w:spacing w:before="240" w:after="240" w:line="360" w:lineRule="auto"/>
        <w:jc w:val="both"/>
        <w:rPr>
          <w:rFonts w:ascii="Palatino Linotype" w:eastAsia="Palatino Linotype" w:hAnsi="Palatino Linotype" w:cs="Palatino Linotype"/>
          <w:b/>
          <w:sz w:val="24"/>
          <w:szCs w:val="24"/>
          <w:u w:val="single"/>
        </w:rPr>
      </w:pPr>
      <w:r w:rsidRPr="005C20AF">
        <w:rPr>
          <w:rFonts w:ascii="Palatino Linotype" w:eastAsia="Palatino Linotype" w:hAnsi="Palatino Linotype" w:cs="Palatino Linotype"/>
          <w:sz w:val="24"/>
          <w:szCs w:val="24"/>
        </w:rPr>
        <w:t xml:space="preserve">- Que </w:t>
      </w:r>
      <w:r w:rsidRPr="005C20AF">
        <w:rPr>
          <w:rFonts w:ascii="Palatino Linotype" w:eastAsia="Palatino Linotype" w:hAnsi="Palatino Linotype" w:cs="Palatino Linotype"/>
          <w:b/>
          <w:sz w:val="24"/>
          <w:szCs w:val="24"/>
          <w:u w:val="single"/>
        </w:rPr>
        <w:t>NO es responsable de recibir los documentos de trabajo mensuales en los que se identifican los recursos federales y estatales ejercidos para el pago de la nómina, conforme al Apartado B, del Anexo de Ejecución.</w:t>
      </w:r>
    </w:p>
    <w:p w14:paraId="4CB466DE"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Que únicamente recibe la documentación que acredita la aportación Estatal correspondiente al mes inmediato anterior, esto es: recibos estatales, estados de cuenta bancarios, y, transferencia electrónica y formato mensual denominado peso a peso.</w:t>
      </w:r>
    </w:p>
    <w:p w14:paraId="3FDB369A" w14:textId="77777777" w:rsidR="00175A70" w:rsidRPr="005C20AF" w:rsidRDefault="00FF431F">
      <w:pPr>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sz w:val="24"/>
          <w:szCs w:val="24"/>
        </w:rPr>
        <w:t xml:space="preserve">- Que </w:t>
      </w:r>
      <w:r w:rsidRPr="005C20AF">
        <w:rPr>
          <w:rFonts w:ascii="Palatino Linotype" w:eastAsia="Palatino Linotype" w:hAnsi="Palatino Linotype" w:cs="Palatino Linotype"/>
          <w:b/>
          <w:sz w:val="24"/>
          <w:szCs w:val="24"/>
        </w:rPr>
        <w:t xml:space="preserve">si bien, recibe los resultados de avance del ejercicio presupuestario del COBAEM, a través de </w:t>
      </w:r>
      <w:r w:rsidRPr="005C20AF">
        <w:rPr>
          <w:rFonts w:ascii="Palatino Linotype" w:eastAsia="Palatino Linotype" w:hAnsi="Palatino Linotype" w:cs="Palatino Linotype"/>
          <w:b/>
          <w:sz w:val="24"/>
          <w:szCs w:val="24"/>
          <w:u w:val="single"/>
        </w:rPr>
        <w:t xml:space="preserve">los formatos del Avance financiero mensual por proyecto y </w:t>
      </w:r>
      <w:r w:rsidRPr="005C20AF">
        <w:rPr>
          <w:rFonts w:ascii="Palatino Linotype" w:eastAsia="Palatino Linotype" w:hAnsi="Palatino Linotype" w:cs="Palatino Linotype"/>
          <w:b/>
          <w:sz w:val="24"/>
          <w:szCs w:val="24"/>
          <w:u w:val="single"/>
        </w:rPr>
        <w:lastRenderedPageBreak/>
        <w:t>objeto de gasto</w:t>
      </w:r>
      <w:r w:rsidRPr="005C20AF">
        <w:rPr>
          <w:rFonts w:ascii="Palatino Linotype" w:eastAsia="Palatino Linotype" w:hAnsi="Palatino Linotype" w:cs="Palatino Linotype"/>
          <w:b/>
          <w:sz w:val="24"/>
          <w:szCs w:val="24"/>
        </w:rPr>
        <w:t xml:space="preserve">, en función de su calendario de gasto aprobado, estos </w:t>
      </w:r>
      <w:r w:rsidRPr="005C20AF">
        <w:rPr>
          <w:rFonts w:ascii="Palatino Linotype" w:eastAsia="Palatino Linotype" w:hAnsi="Palatino Linotype" w:cs="Palatino Linotype"/>
          <w:b/>
          <w:sz w:val="24"/>
          <w:szCs w:val="24"/>
          <w:u w:val="single"/>
        </w:rPr>
        <w:t>NO contienen la información al grado de detalle que permita identificar el recurso financiero otorgado a cada servidor público</w:t>
      </w:r>
      <w:r w:rsidRPr="005C20AF">
        <w:rPr>
          <w:rFonts w:ascii="Palatino Linotype" w:eastAsia="Palatino Linotype" w:hAnsi="Palatino Linotype" w:cs="Palatino Linotype"/>
          <w:b/>
          <w:sz w:val="24"/>
          <w:szCs w:val="24"/>
        </w:rPr>
        <w:t>.</w:t>
      </w:r>
    </w:p>
    <w:p w14:paraId="57CA979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 manera de ejemplo, anexó los formatos del Avance financiero mensual por proyecto y objeto de gasto del mes de noviembre de 2024, como se ilustra a continuación para mejor referencia:</w:t>
      </w:r>
    </w:p>
    <w:p w14:paraId="12279B43"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40D93907" wp14:editId="686D9A55">
            <wp:extent cx="5612130" cy="2453005"/>
            <wp:effectExtent l="0" t="0" r="0" b="0"/>
            <wp:docPr id="21401318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612130" cy="2453005"/>
                    </a:xfrm>
                    <a:prstGeom prst="rect">
                      <a:avLst/>
                    </a:prstGeom>
                    <a:ln/>
                  </pic:spPr>
                </pic:pic>
              </a:graphicData>
            </a:graphic>
          </wp:inline>
        </w:drawing>
      </w:r>
    </w:p>
    <w:p w14:paraId="147C0D6B"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Que</w:t>
      </w:r>
      <w:r w:rsidRPr="005C20AF">
        <w:rPr>
          <w:rFonts w:ascii="Palatino Linotype" w:eastAsia="Palatino Linotype" w:hAnsi="Palatino Linotype" w:cs="Palatino Linotype"/>
          <w:b/>
          <w:sz w:val="24"/>
          <w:szCs w:val="24"/>
        </w:rPr>
        <w:t xml:space="preserve"> </w:t>
      </w:r>
      <w:r w:rsidRPr="005C20AF">
        <w:rPr>
          <w:rFonts w:ascii="Palatino Linotype" w:eastAsia="Palatino Linotype" w:hAnsi="Palatino Linotype" w:cs="Palatino Linotype"/>
          <w:b/>
          <w:sz w:val="24"/>
          <w:szCs w:val="24"/>
          <w:u w:val="single"/>
        </w:rPr>
        <w:t>NO ejerce funciones de control, supervisión y fiscalización respecto de los recursos a los que se refiere el Anexo de Ejecución.</w:t>
      </w:r>
    </w:p>
    <w:p w14:paraId="761B7E8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Con base en lo previo, se colige que existe una evidente incompetencia por parte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para satisfacer lo solicitado, en términos del Criterio de Interpretación con Clave de control SO/013/2017 emitido por el Pleno del Instituto Nacional de Transparencia, Acceso a la Información y Protección de Datos Personales, el cual, para pronta referencia se reproduce a continuación:</w:t>
      </w:r>
    </w:p>
    <w:p w14:paraId="17D33919" w14:textId="77777777" w:rsidR="00175A70" w:rsidRPr="005C20AF" w:rsidRDefault="00FF431F">
      <w:pPr>
        <w:spacing w:before="120" w:after="120" w:line="240" w:lineRule="auto"/>
        <w:ind w:left="851" w:right="851"/>
        <w:jc w:val="both"/>
        <w:rPr>
          <w:rFonts w:ascii="Palatino Linotype" w:eastAsia="Palatino Linotype" w:hAnsi="Palatino Linotype" w:cs="Palatino Linotype"/>
          <w:i/>
        </w:rPr>
      </w:pPr>
      <w:r w:rsidRPr="005C20AF">
        <w:rPr>
          <w:rFonts w:ascii="Palatino Linotype" w:eastAsia="Palatino Linotype" w:hAnsi="Palatino Linotype" w:cs="Palatino Linotype"/>
          <w:b/>
          <w:i/>
        </w:rPr>
        <w:lastRenderedPageBreak/>
        <w:t>“Incompetencia. La incompetencia implica la ausencia de atribuciones del sujeto obligado para poseer la información solicitada</w:t>
      </w:r>
      <w:r w:rsidRPr="005C20AF">
        <w:rPr>
          <w:rFonts w:ascii="Palatino Linotype" w:eastAsia="Palatino Linotype" w:hAnsi="Palatino Linotype" w:cs="Palatino Linotype"/>
          <w:i/>
        </w:rPr>
        <w:t xml:space="preserve">; es decir, se trata de una cuestión de derecho, </w:t>
      </w:r>
      <w:r w:rsidRPr="005C20AF">
        <w:rPr>
          <w:rFonts w:ascii="Palatino Linotype" w:eastAsia="Palatino Linotype" w:hAnsi="Palatino Linotype" w:cs="Palatino Linotype"/>
          <w:b/>
          <w:i/>
        </w:rPr>
        <w:t>en tanto que no existan facultades para contar con lo requerido</w:t>
      </w:r>
      <w:r w:rsidRPr="005C20AF">
        <w:rPr>
          <w:rFonts w:ascii="Palatino Linotype" w:eastAsia="Palatino Linotype" w:hAnsi="Palatino Linotype" w:cs="Palatino Linotype"/>
          <w:i/>
        </w:rPr>
        <w:t>; por lo que la incompetencia es una cualidad atribuida al sujeto obligado que la declara.”</w:t>
      </w:r>
    </w:p>
    <w:p w14:paraId="1D424562" w14:textId="77777777" w:rsidR="00175A70" w:rsidRPr="005C20AF" w:rsidRDefault="00175A70">
      <w:pPr>
        <w:spacing w:before="120" w:after="120" w:line="240" w:lineRule="auto"/>
        <w:ind w:left="851" w:right="851"/>
        <w:jc w:val="both"/>
        <w:rPr>
          <w:rFonts w:ascii="Palatino Linotype" w:eastAsia="Palatino Linotype" w:hAnsi="Palatino Linotype" w:cs="Palatino Linotype"/>
          <w:i/>
        </w:rPr>
      </w:pPr>
    </w:p>
    <w:p w14:paraId="126C7727" w14:textId="77777777" w:rsidR="00175A70" w:rsidRPr="005C20AF" w:rsidRDefault="00FF431F">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4"/>
          <w:szCs w:val="24"/>
          <w:u w:val="single"/>
        </w:rPr>
      </w:pPr>
      <w:r w:rsidRPr="005C20AF">
        <w:rPr>
          <w:rFonts w:ascii="Palatino Linotype" w:eastAsia="Palatino Linotype" w:hAnsi="Palatino Linotype" w:cs="Palatino Linotype"/>
          <w:b/>
          <w:sz w:val="24"/>
          <w:szCs w:val="24"/>
          <w:u w:val="single"/>
        </w:rPr>
        <w:t xml:space="preserve"> Delimitación del ámbito competencial relativo a información solicitada</w:t>
      </w:r>
    </w:p>
    <w:p w14:paraId="6623CFA2"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primer término, toda vez que a través de las solicitudes se requirió entrega de servidores públicos adscritos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06E16A19"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10AFF84F"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49D59D28"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5C20AF">
        <w:rPr>
          <w:rFonts w:ascii="Palatino Linotype" w:eastAsia="Palatino Linotype" w:hAnsi="Palatino Linotype" w:cs="Palatino Linotype"/>
          <w:sz w:val="24"/>
          <w:szCs w:val="24"/>
          <w:vertAlign w:val="superscript"/>
        </w:rPr>
        <w:footnoteReference w:id="1"/>
      </w:r>
      <w:r w:rsidRPr="005C20AF">
        <w:rPr>
          <w:rFonts w:ascii="Palatino Linotype" w:eastAsia="Palatino Linotype" w:hAnsi="Palatino Linotype" w:cs="Palatino Linotype"/>
          <w:sz w:val="24"/>
          <w:szCs w:val="24"/>
        </w:rPr>
        <w:t>.</w:t>
      </w:r>
    </w:p>
    <w:p w14:paraId="22FAD2B0"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La descentralización administrativa implica la creación de personas jurídicas de derecho público, distintas al Estado y a la administración pública, y tiene diversas modalidades, como la territorial o regional, por servicio y por colaboración.</w:t>
      </w:r>
    </w:p>
    <w:p w14:paraId="0B716489"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182A90E5"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340572B7"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Gracias a la autonomía jurídica que implica la descentralización administrativa por servicio, el órgano descentralizado tiene personalidad jurídica propia; en virtud de </w:t>
      </w:r>
      <w:r w:rsidRPr="005C20AF">
        <w:rPr>
          <w:rFonts w:ascii="Palatino Linotype" w:eastAsia="Palatino Linotype" w:hAnsi="Palatino Linotype" w:cs="Palatino Linotype"/>
          <w:sz w:val="24"/>
          <w:szCs w:val="24"/>
        </w:rPr>
        <w:lastRenderedPageBreak/>
        <w:t>su autonomía financiera cuenta con patrimonio propio; y en razón de su autonomía técnica, goza de una reglamentación propia y especifica.</w:t>
      </w:r>
    </w:p>
    <w:p w14:paraId="500EA1EF" w14:textId="77777777" w:rsidR="00175A70" w:rsidRPr="005C20AF" w:rsidRDefault="00FF431F">
      <w:pPr>
        <w:spacing w:before="240" w:after="240" w:line="360" w:lineRule="auto"/>
        <w:ind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Así, pueden considerarse como las características más importantes de la descentralización administrativa por servicio las siguientes:</w:t>
      </w:r>
    </w:p>
    <w:p w14:paraId="5C67244A"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1. Su establecimiento mediante ley o decreto. </w:t>
      </w:r>
    </w:p>
    <w:p w14:paraId="7BE81C3F"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2. Personalidad jurídica propia.</w:t>
      </w:r>
    </w:p>
    <w:p w14:paraId="12909646"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3. Patrimonio propio.</w:t>
      </w:r>
    </w:p>
    <w:p w14:paraId="4FE1B8CC"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4. Estatuto y regulación propios.</w:t>
      </w:r>
    </w:p>
    <w:p w14:paraId="217B3AE2"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5. Realización de una actividad técnica.</w:t>
      </w:r>
    </w:p>
    <w:p w14:paraId="0F8EC29A" w14:textId="77777777" w:rsidR="00175A70" w:rsidRPr="005C20AF" w:rsidRDefault="00FF431F">
      <w:pPr>
        <w:spacing w:before="120" w:after="120"/>
        <w:ind w:left="284" w:right="51"/>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6. Tutela y vigilancia por parte de la administración central.</w:t>
      </w:r>
    </w:p>
    <w:p w14:paraId="72CC40E5"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u w:val="single"/>
        </w:rPr>
      </w:pPr>
      <w:r w:rsidRPr="005C20AF">
        <w:rPr>
          <w:rFonts w:ascii="Palatino Linotype" w:eastAsia="Palatino Linotype" w:hAnsi="Palatino Linotype" w:cs="Palatino Linotype"/>
          <w:sz w:val="24"/>
          <w:szCs w:val="24"/>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5C20AF">
        <w:rPr>
          <w:rFonts w:ascii="Palatino Linotype" w:eastAsia="Palatino Linotype" w:hAnsi="Palatino Linotype" w:cs="Palatino Linotype"/>
          <w:b/>
          <w:sz w:val="24"/>
          <w:szCs w:val="24"/>
          <w:u w:val="single"/>
        </w:rPr>
        <w:t>dicho organismo cuenta con personalidad jurídica y patrimonio propios.</w:t>
      </w:r>
    </w:p>
    <w:p w14:paraId="20E27ED0" w14:textId="77777777" w:rsidR="00175A70" w:rsidRPr="005C20AF" w:rsidRDefault="00FF4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Ahora bien, por cuanto hace a la materia de las solicitudes, es oportuno traer a contexto el Manual General de Organización del Colegio de Bachilleres del Estado de México, cuyo contenido en su parte conducente, es el siguiente:</w:t>
      </w:r>
    </w:p>
    <w:p w14:paraId="2C27C183"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 xml:space="preserve">210C0701040001L DEPARTAMENTO DE RECURSOS HUMANOS </w:t>
      </w:r>
    </w:p>
    <w:p w14:paraId="0C37912A"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b/>
          <w:i/>
        </w:rPr>
        <w:t>OBJETIVO:</w:t>
      </w:r>
      <w:r w:rsidRPr="005C20AF">
        <w:rPr>
          <w:rFonts w:ascii="Palatino Linotype" w:eastAsia="Palatino Linotype" w:hAnsi="Palatino Linotype" w:cs="Palatino Linotype"/>
          <w:i/>
        </w:rPr>
        <w:t xml:space="preserve"> Llevar a cabo las acciones de selección, contratación, registro, control, capacitación y desarrollo del personal adscrito al Colegio de Bachilleres, así como </w:t>
      </w:r>
      <w:r w:rsidRPr="005C20AF">
        <w:rPr>
          <w:rFonts w:ascii="Palatino Linotype" w:eastAsia="Palatino Linotype" w:hAnsi="Palatino Linotype" w:cs="Palatino Linotype"/>
          <w:b/>
          <w:i/>
        </w:rPr>
        <w:lastRenderedPageBreak/>
        <w:t>llevar a cabo las acciones necesarias para el pago oportuno de sus remuneraciones</w:t>
      </w:r>
      <w:r w:rsidRPr="005C20AF">
        <w:rPr>
          <w:rFonts w:ascii="Palatino Linotype" w:eastAsia="Palatino Linotype" w:hAnsi="Palatino Linotype" w:cs="Palatino Linotype"/>
          <w:i/>
        </w:rPr>
        <w:t>.</w:t>
      </w:r>
    </w:p>
    <w:p w14:paraId="4AC8B22D"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i/>
        </w:rPr>
        <w:t xml:space="preserve">- Llevar a cabo los trámites para la contratación de personal, previa selección y análisis de la Dirección de Administración y Finanzas y autorización de la Dirección General, y </w:t>
      </w:r>
      <w:r w:rsidRPr="005C20AF">
        <w:rPr>
          <w:rFonts w:ascii="Palatino Linotype" w:eastAsia="Palatino Linotype" w:hAnsi="Palatino Linotype" w:cs="Palatino Linotype"/>
          <w:b/>
          <w:i/>
        </w:rPr>
        <w:t>verificar que la asignación de puestos y de sueldos se ajusten a las plazas y a los tabuladores autorizados para el Estado</w:t>
      </w:r>
      <w:r w:rsidRPr="005C20AF">
        <w:rPr>
          <w:rFonts w:ascii="Palatino Linotype" w:eastAsia="Palatino Linotype" w:hAnsi="Palatino Linotype" w:cs="Palatino Linotype"/>
          <w:i/>
        </w:rPr>
        <w:t>, de acuerdo con la normatividad vigente en la materia.</w:t>
      </w:r>
    </w:p>
    <w:p w14:paraId="106851DA"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0D18C215"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b/>
          <w:i/>
          <w:u w:val="single"/>
        </w:rPr>
      </w:pP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09DA67B7"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1AC980EB"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i/>
        </w:rPr>
        <w:t>-  Informar detalladamente a la Subdirección de Planeación de Sueldos y Salarios del Sector Auxiliar de la Dirección de Política Salarial, de la plantilla y movimientos del personal adscrito al Colegio.</w:t>
      </w:r>
    </w:p>
    <w:p w14:paraId="3F637C01" w14:textId="77777777" w:rsidR="00175A70" w:rsidRPr="005C20AF" w:rsidRDefault="00FF431F">
      <w:pPr>
        <w:pBdr>
          <w:top w:val="nil"/>
          <w:left w:val="nil"/>
          <w:bottom w:val="nil"/>
          <w:right w:val="nil"/>
          <w:between w:val="nil"/>
        </w:pBdr>
        <w:spacing w:before="120" w:after="120" w:line="240" w:lineRule="auto"/>
        <w:ind w:left="567" w:right="845"/>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p>
    <w:p w14:paraId="66991AE3"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5C20AF">
        <w:rPr>
          <w:rFonts w:ascii="Palatino Linotype" w:eastAsia="Palatino Linotype" w:hAnsi="Palatino Linotype" w:cs="Palatino Linotype"/>
          <w:b/>
          <w:sz w:val="24"/>
          <w:szCs w:val="24"/>
          <w:u w:val="single"/>
        </w:rPr>
        <w:t>elaborar las nóminas y pagar oportunamente las remuneraciones al personal</w:t>
      </w: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u w:val="single"/>
        </w:rPr>
        <w:t>aplicar las sanciones y descuentos</w:t>
      </w: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u w:val="single"/>
        </w:rPr>
        <w:t>por concepto de retardos y faltas; Impuesto Sobre la Renta, sobre Sueldos y Salarios; cuotas al ISSEMyM, entre otros impuestos y derechos</w:t>
      </w:r>
      <w:r w:rsidRPr="005C20AF">
        <w:rPr>
          <w:rFonts w:ascii="Palatino Linotype" w:eastAsia="Palatino Linotype" w:hAnsi="Palatino Linotype" w:cs="Palatino Linotype"/>
          <w:sz w:val="24"/>
          <w:szCs w:val="24"/>
        </w:rPr>
        <w:t>.</w:t>
      </w:r>
    </w:p>
    <w:p w14:paraId="1AA95F38"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Por lo tanto, se colige que </w:t>
      </w:r>
      <w:r w:rsidRPr="005C20AF">
        <w:rPr>
          <w:rFonts w:ascii="Palatino Linotype" w:eastAsia="Palatino Linotype" w:hAnsi="Palatino Linotype" w:cs="Palatino Linotype"/>
          <w:b/>
          <w:sz w:val="24"/>
          <w:szCs w:val="24"/>
          <w:u w:val="single"/>
        </w:rPr>
        <w:t>el Colegio de Bachilleres del Estado de México es, en primera instancia, el Sujeto Obligado que pudiera dar atención a las solicitudes,</w:t>
      </w:r>
      <w:r w:rsidRPr="005C20AF">
        <w:rPr>
          <w:rFonts w:ascii="Palatino Linotype" w:eastAsia="Palatino Linotype" w:hAnsi="Palatino Linotype" w:cs="Palatino Linotype"/>
          <w:sz w:val="24"/>
          <w:szCs w:val="24"/>
        </w:rPr>
        <w:t xml:space="preserve"> ya que cuenta con facultades para generar, administrar y/o poseer la información </w:t>
      </w:r>
      <w:r w:rsidRPr="005C20AF">
        <w:rPr>
          <w:rFonts w:ascii="Palatino Linotype" w:eastAsia="Palatino Linotype" w:hAnsi="Palatino Linotype" w:cs="Palatino Linotype"/>
          <w:sz w:val="24"/>
          <w:szCs w:val="24"/>
        </w:rPr>
        <w:lastRenderedPageBreak/>
        <w:t>materia de las mismas, esto es, el pago de percepciones y la aplicación de descuentos de los servidores públicos bajo su adscripción.</w:t>
      </w:r>
    </w:p>
    <w:p w14:paraId="6EB69845"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Argumento que se robustece con el mismo Anexo de Ejecución / Apoyo Financiero 2024 SEMS-EL COBAEM-MÉXICO 0236/24, el cual en su Cláusula Quinta establece las obligaciones que se le confieren al COBAEM:</w:t>
      </w:r>
    </w:p>
    <w:p w14:paraId="6DFC805B" w14:textId="77777777" w:rsidR="00175A70" w:rsidRPr="005C20AF" w:rsidRDefault="00FF431F">
      <w:pPr>
        <w:spacing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4FC69215" wp14:editId="0FDF1C5A">
            <wp:extent cx="4680000" cy="5233894"/>
            <wp:effectExtent l="0" t="0" r="0" b="0"/>
            <wp:docPr id="21401318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680000" cy="5233894"/>
                    </a:xfrm>
                    <a:prstGeom prst="rect">
                      <a:avLst/>
                    </a:prstGeom>
                    <a:ln/>
                  </pic:spPr>
                </pic:pic>
              </a:graphicData>
            </a:graphic>
          </wp:inline>
        </w:drawing>
      </w:r>
    </w:p>
    <w:p w14:paraId="0AD5157A" w14:textId="77777777" w:rsidR="00175A70" w:rsidRPr="005C20AF" w:rsidRDefault="00FF431F">
      <w:pPr>
        <w:spacing w:line="360" w:lineRule="auto"/>
        <w:jc w:val="center"/>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lastRenderedPageBreak/>
        <w:drawing>
          <wp:inline distT="0" distB="0" distL="0" distR="0" wp14:anchorId="7D4F71AC" wp14:editId="6BC8D08A">
            <wp:extent cx="4525289" cy="1829169"/>
            <wp:effectExtent l="0" t="0" r="0" b="0"/>
            <wp:docPr id="21401318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525289" cy="1829169"/>
                    </a:xfrm>
                    <a:prstGeom prst="rect">
                      <a:avLst/>
                    </a:prstGeom>
                    <a:ln/>
                  </pic:spPr>
                </pic:pic>
              </a:graphicData>
            </a:graphic>
          </wp:inline>
        </w:drawing>
      </w:r>
    </w:p>
    <w:p w14:paraId="2BA5AAE2"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Como se advierte, en los incisos a), c), e) f) y h), el COBAEM está facultado, para administrar y ejercer los recursos provenientes del Anexo de Ejecución / Apoyo Financiero 2024 SEMS-EL COBAEM-MÉXICO 0236/24, al estar obligado medularmente a lo siguiente:</w:t>
      </w:r>
    </w:p>
    <w:p w14:paraId="0D997779" w14:textId="77777777" w:rsidR="00175A70" w:rsidRPr="005C20AF" w:rsidRDefault="00FF431F">
      <w:pPr>
        <w:spacing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 </w:t>
      </w:r>
      <w:proofErr w:type="spellStart"/>
      <w:r w:rsidRPr="005C20AF">
        <w:rPr>
          <w:rFonts w:ascii="Palatino Linotype" w:eastAsia="Palatino Linotype" w:hAnsi="Palatino Linotype" w:cs="Palatino Linotype"/>
          <w:sz w:val="24"/>
          <w:szCs w:val="24"/>
        </w:rPr>
        <w:t>Aperturar</w:t>
      </w:r>
      <w:proofErr w:type="spellEnd"/>
      <w:r w:rsidRPr="005C20AF">
        <w:rPr>
          <w:rFonts w:ascii="Palatino Linotype" w:eastAsia="Palatino Linotype" w:hAnsi="Palatino Linotype" w:cs="Palatino Linotype"/>
          <w:sz w:val="24"/>
          <w:szCs w:val="24"/>
        </w:rPr>
        <w:t xml:space="preserve"> dos cuentas bancarias productivas específicas en una institución bancaria autorizada para la recepción, administración y ejercicio de los recursos financieros que aporte la SEP, y el Gobierno del Estado.</w:t>
      </w:r>
    </w:p>
    <w:p w14:paraId="5389087D" w14:textId="77777777" w:rsidR="00175A70" w:rsidRPr="005C20AF" w:rsidRDefault="00FF431F">
      <w:pPr>
        <w:spacing w:line="360" w:lineRule="auto"/>
        <w:ind w:left="284"/>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rPr>
        <w:t xml:space="preserve">Destinar el subsidio financiero objeto del Anexo de Ejecución, únicamente a cubrir los gastos relacionados con su operación indispensables para la realización de sus actividades, </w:t>
      </w:r>
      <w:r w:rsidRPr="005C20AF">
        <w:rPr>
          <w:rFonts w:ascii="Palatino Linotype" w:eastAsia="Palatino Linotype" w:hAnsi="Palatino Linotype" w:cs="Palatino Linotype"/>
          <w:sz w:val="24"/>
          <w:szCs w:val="24"/>
        </w:rPr>
        <w:t xml:space="preserve">esto es, </w:t>
      </w:r>
      <w:r w:rsidRPr="005C20AF">
        <w:rPr>
          <w:rFonts w:ascii="Palatino Linotype" w:eastAsia="Palatino Linotype" w:hAnsi="Palatino Linotype" w:cs="Palatino Linotype"/>
          <w:b/>
          <w:sz w:val="24"/>
          <w:szCs w:val="24"/>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w:t>
      </w:r>
      <w:r w:rsidRPr="005C20AF">
        <w:rPr>
          <w:rFonts w:ascii="Palatino Linotype" w:eastAsia="Palatino Linotype" w:hAnsi="Palatino Linotype" w:cs="Palatino Linotype"/>
          <w:b/>
          <w:sz w:val="24"/>
          <w:szCs w:val="24"/>
        </w:rPr>
        <w:lastRenderedPageBreak/>
        <w:t xml:space="preserve">adquisición de materiales y suministros –capitulo 2000- y servicios generales –capitulo 3000-, </w:t>
      </w:r>
      <w:r w:rsidRPr="005C20AF">
        <w:rPr>
          <w:rFonts w:ascii="Palatino Linotype" w:eastAsia="Palatino Linotype" w:hAnsi="Palatino Linotype" w:cs="Palatino Linotype"/>
          <w:sz w:val="24"/>
          <w:szCs w:val="24"/>
        </w:rPr>
        <w:t xml:space="preserve">de conformidad con los </w:t>
      </w:r>
      <w:r w:rsidRPr="005C20AF">
        <w:rPr>
          <w:rFonts w:ascii="Palatino Linotype" w:eastAsia="Palatino Linotype" w:hAnsi="Palatino Linotype" w:cs="Palatino Linotype"/>
          <w:b/>
          <w:sz w:val="24"/>
          <w:szCs w:val="24"/>
        </w:rPr>
        <w:t>Apartados</w:t>
      </w:r>
      <w:r w:rsidRPr="005C20AF">
        <w:rPr>
          <w:rFonts w:ascii="Palatino Linotype" w:eastAsia="Palatino Linotype" w:hAnsi="Palatino Linotype" w:cs="Palatino Linotype"/>
          <w:sz w:val="24"/>
          <w:szCs w:val="24"/>
        </w:rPr>
        <w:t xml:space="preserve"> “A” y </w:t>
      </w:r>
      <w:r w:rsidRPr="005C20AF">
        <w:rPr>
          <w:rFonts w:ascii="Palatino Linotype" w:eastAsia="Palatino Linotype" w:hAnsi="Palatino Linotype" w:cs="Palatino Linotype"/>
          <w:b/>
          <w:sz w:val="24"/>
          <w:szCs w:val="24"/>
        </w:rPr>
        <w:t>“B”.</w:t>
      </w:r>
    </w:p>
    <w:p w14:paraId="4B1791B4" w14:textId="77777777" w:rsidR="00175A70" w:rsidRPr="005C20AF" w:rsidRDefault="00FF431F">
      <w:pPr>
        <w:spacing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Resguardar la documentación original justificativa y comprobatoria del ejercicio y aplicación de los recursos financieros materia del Anexo de Ejecución,  para efectos de rendición de cuentas y transparencia, así como mantener un registro específico de este Anexo de Ejecución debidamente actualizado, identificado y controlado.</w:t>
      </w:r>
    </w:p>
    <w:p w14:paraId="623D8E9D" w14:textId="77777777" w:rsidR="00175A70" w:rsidRPr="005C20AF" w:rsidRDefault="00FF431F">
      <w:pPr>
        <w:spacing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 Informar trimestralmente a la SEP y al Gobierno del Estado de México sobre el ejercicio de los recursos a los que se refiere el Anexo de Ejecución, y de manera complementaria, </w:t>
      </w:r>
      <w:r w:rsidRPr="005C20AF">
        <w:rPr>
          <w:rFonts w:ascii="Palatino Linotype" w:eastAsia="Palatino Linotype" w:hAnsi="Palatino Linotype" w:cs="Palatino Linotype"/>
          <w:b/>
          <w:sz w:val="24"/>
          <w:szCs w:val="24"/>
          <w:u w:val="single"/>
        </w:rPr>
        <w:t>remitir mensualmente los documentos de trabajo donde se identifiquen los recursos federales y estatales ejercidos para el pago de la nómina conforme al Apartado “B” (sueldos, plazas, horas y prestaciones autorizadas)</w:t>
      </w:r>
    </w:p>
    <w:p w14:paraId="6E951046" w14:textId="77777777" w:rsidR="00175A70" w:rsidRPr="005C20AF" w:rsidRDefault="00FF431F">
      <w:pPr>
        <w:spacing w:line="360" w:lineRule="auto"/>
        <w:ind w:left="284"/>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679E3534"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Corolario a lo anterior, es imprescindible mencionar que la obligación prevista en la Cláusula Quinta, inciso f), del Anexo,  guarda estrecha relación con las Clausulas Tercera, incisos c), d) y e), y Cuarta, incisos f), g), primer párrafo y h) del mismo anexo, que disponen lo siguiente:</w:t>
      </w:r>
    </w:p>
    <w:p w14:paraId="3B6BFBC2" w14:textId="77777777" w:rsidR="00175A70" w:rsidRPr="005C20AF" w:rsidRDefault="00175A70">
      <w:pPr>
        <w:spacing w:line="360" w:lineRule="auto"/>
        <w:jc w:val="both"/>
        <w:rPr>
          <w:rFonts w:ascii="Palatino Linotype" w:eastAsia="Palatino Linotype" w:hAnsi="Palatino Linotype" w:cs="Palatino Linotype"/>
          <w:sz w:val="24"/>
          <w:szCs w:val="24"/>
        </w:rPr>
      </w:pPr>
    </w:p>
    <w:p w14:paraId="38A62296" w14:textId="77777777" w:rsidR="00175A70" w:rsidRPr="005C20AF" w:rsidRDefault="00175A70">
      <w:pPr>
        <w:spacing w:line="360" w:lineRule="auto"/>
        <w:jc w:val="both"/>
        <w:rPr>
          <w:rFonts w:ascii="Palatino Linotype" w:eastAsia="Palatino Linotype" w:hAnsi="Palatino Linotype" w:cs="Palatino Linotype"/>
          <w:sz w:val="24"/>
          <w:szCs w:val="24"/>
        </w:rPr>
      </w:pPr>
    </w:p>
    <w:p w14:paraId="5889978D"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11F51E1E" wp14:editId="0391329A">
            <wp:extent cx="5612130" cy="182880"/>
            <wp:effectExtent l="0" t="0" r="0" b="0"/>
            <wp:docPr id="21401318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12130" cy="182880"/>
                    </a:xfrm>
                    <a:prstGeom prst="rect">
                      <a:avLst/>
                    </a:prstGeom>
                    <a:ln/>
                  </pic:spPr>
                </pic:pic>
              </a:graphicData>
            </a:graphic>
          </wp:inline>
        </w:drawing>
      </w:r>
    </w:p>
    <w:p w14:paraId="3187EBDE"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744EFF48" wp14:editId="15A455FC">
            <wp:extent cx="5612130" cy="843915"/>
            <wp:effectExtent l="0" t="0" r="0" b="0"/>
            <wp:docPr id="21401318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33683"/>
                    <a:stretch>
                      <a:fillRect/>
                    </a:stretch>
                  </pic:blipFill>
                  <pic:spPr>
                    <a:xfrm>
                      <a:off x="0" y="0"/>
                      <a:ext cx="5612130" cy="843915"/>
                    </a:xfrm>
                    <a:prstGeom prst="rect">
                      <a:avLst/>
                    </a:prstGeom>
                    <a:ln/>
                  </pic:spPr>
                </pic:pic>
              </a:graphicData>
            </a:graphic>
          </wp:inline>
        </w:drawing>
      </w:r>
      <w:r w:rsidRPr="005C20AF">
        <w:rPr>
          <w:rFonts w:ascii="Palatino Linotype" w:eastAsia="Palatino Linotype" w:hAnsi="Palatino Linotype" w:cs="Palatino Linotype"/>
          <w:sz w:val="24"/>
          <w:szCs w:val="24"/>
        </w:rPr>
        <w:t xml:space="preserve"> </w:t>
      </w:r>
    </w:p>
    <w:p w14:paraId="46706FDA"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noProof/>
          <w:sz w:val="24"/>
          <w:szCs w:val="24"/>
          <w:lang w:eastAsia="es-MX"/>
        </w:rPr>
        <w:drawing>
          <wp:inline distT="0" distB="0" distL="0" distR="0" wp14:anchorId="5C835C84" wp14:editId="36812818">
            <wp:extent cx="5612130" cy="237490"/>
            <wp:effectExtent l="0" t="0" r="0" b="0"/>
            <wp:docPr id="21401318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612130" cy="237490"/>
                    </a:xfrm>
                    <a:prstGeom prst="rect">
                      <a:avLst/>
                    </a:prstGeom>
                    <a:ln/>
                  </pic:spPr>
                </pic:pic>
              </a:graphicData>
            </a:graphic>
          </wp:inline>
        </w:drawing>
      </w:r>
      <w:r w:rsidRPr="005C20AF">
        <w:rPr>
          <w:rFonts w:ascii="Palatino Linotype" w:eastAsia="Palatino Linotype" w:hAnsi="Palatino Linotype" w:cs="Palatino Linotype"/>
          <w:noProof/>
          <w:sz w:val="24"/>
          <w:szCs w:val="24"/>
          <w:lang w:eastAsia="es-MX"/>
        </w:rPr>
        <w:drawing>
          <wp:inline distT="0" distB="0" distL="0" distR="0" wp14:anchorId="13EBE907" wp14:editId="5C576FE2">
            <wp:extent cx="5612130" cy="1732915"/>
            <wp:effectExtent l="0" t="0" r="0" b="0"/>
            <wp:docPr id="21401318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612130" cy="1732915"/>
                    </a:xfrm>
                    <a:prstGeom prst="rect">
                      <a:avLst/>
                    </a:prstGeom>
                    <a:ln/>
                  </pic:spPr>
                </pic:pic>
              </a:graphicData>
            </a:graphic>
          </wp:inline>
        </w:drawing>
      </w:r>
      <w:r w:rsidRPr="005C20AF">
        <w:rPr>
          <w:rFonts w:ascii="Palatino Linotype" w:eastAsia="Palatino Linotype" w:hAnsi="Palatino Linotype" w:cs="Palatino Linotype"/>
          <w:noProof/>
          <w:sz w:val="24"/>
          <w:szCs w:val="24"/>
          <w:lang w:eastAsia="es-MX"/>
        </w:rPr>
        <w:drawing>
          <wp:inline distT="0" distB="0" distL="0" distR="0" wp14:anchorId="216C0FBD" wp14:editId="49A488F2">
            <wp:extent cx="5612130" cy="371475"/>
            <wp:effectExtent l="0" t="0" r="0" b="0"/>
            <wp:docPr id="21401318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612130" cy="371475"/>
                    </a:xfrm>
                    <a:prstGeom prst="rect">
                      <a:avLst/>
                    </a:prstGeom>
                    <a:ln/>
                  </pic:spPr>
                </pic:pic>
              </a:graphicData>
            </a:graphic>
          </wp:inline>
        </w:drawing>
      </w:r>
    </w:p>
    <w:p w14:paraId="627FCD9E" w14:textId="77777777" w:rsidR="00175A70" w:rsidRPr="005C20AF" w:rsidRDefault="00FF431F">
      <w:pPr>
        <w:spacing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En este tenor, se colige que </w:t>
      </w:r>
      <w:r w:rsidRPr="005C20AF">
        <w:rPr>
          <w:rFonts w:ascii="Palatino Linotype" w:eastAsia="Palatino Linotype" w:hAnsi="Palatino Linotype" w:cs="Palatino Linotype"/>
          <w:b/>
          <w:sz w:val="24"/>
          <w:szCs w:val="24"/>
          <w:u w:val="single"/>
        </w:rPr>
        <w:t>la Secretaría de Educación Pública, y la Secretaría de Educación, Ciencia, Tecnología e Innovación, también cuentan con competencia para conocer sobre la materia de las solicitudes de información</w:t>
      </w:r>
      <w:r w:rsidRPr="005C20AF">
        <w:rPr>
          <w:rFonts w:ascii="Palatino Linotype" w:eastAsia="Palatino Linotype" w:hAnsi="Palatino Linotype" w:cs="Palatino Linotype"/>
          <w:sz w:val="24"/>
          <w:szCs w:val="24"/>
        </w:rPr>
        <w:t xml:space="preserve">, al ser las instancias responsables de </w:t>
      </w:r>
      <w:r w:rsidRPr="005C20AF">
        <w:rPr>
          <w:rFonts w:ascii="Palatino Linotype" w:eastAsia="Palatino Linotype" w:hAnsi="Palatino Linotype" w:cs="Palatino Linotype"/>
          <w:b/>
          <w:sz w:val="24"/>
          <w:szCs w:val="24"/>
        </w:rPr>
        <w:t>revisar los informes trimestrales sobre el ejercicio de los recursos financieros que elabore y remita el COBAEM, a fin de verificar la correcta aplicación de los mismos</w:t>
      </w:r>
      <w:r w:rsidRPr="005C20AF">
        <w:rPr>
          <w:rFonts w:ascii="Palatino Linotype" w:eastAsia="Palatino Linotype" w:hAnsi="Palatino Linotype" w:cs="Palatino Linotype"/>
          <w:sz w:val="24"/>
          <w:szCs w:val="24"/>
        </w:rPr>
        <w:t xml:space="preserve">, reiterando que </w:t>
      </w:r>
      <w:r w:rsidRPr="005C20AF">
        <w:rPr>
          <w:rFonts w:ascii="Palatino Linotype" w:eastAsia="Palatino Linotype" w:hAnsi="Palatino Linotype" w:cs="Palatino Linotype"/>
          <w:b/>
          <w:sz w:val="24"/>
          <w:szCs w:val="24"/>
          <w:u w:val="single"/>
        </w:rPr>
        <w:t xml:space="preserve">dichos informes deben contener los documentos de trabajo donde se identifiquen los recursos federales y estatales ejercidos para el pago de la nómina, conforme al Apartado "B” (sueldos, plazas, </w:t>
      </w:r>
      <w:r w:rsidRPr="005C20AF">
        <w:rPr>
          <w:rFonts w:ascii="Palatino Linotype" w:eastAsia="Palatino Linotype" w:hAnsi="Palatino Linotype" w:cs="Palatino Linotype"/>
          <w:b/>
          <w:sz w:val="24"/>
          <w:szCs w:val="24"/>
          <w:u w:val="single"/>
        </w:rPr>
        <w:lastRenderedPageBreak/>
        <w:t>horas y prestaciones autorizados)</w:t>
      </w:r>
      <w:r w:rsidRPr="005C20AF">
        <w:rPr>
          <w:rFonts w:ascii="Palatino Linotype" w:eastAsia="Palatino Linotype" w:hAnsi="Palatino Linotype" w:cs="Palatino Linotype"/>
          <w:sz w:val="24"/>
          <w:szCs w:val="24"/>
        </w:rPr>
        <w:t xml:space="preserve">, así como </w:t>
      </w:r>
      <w:r w:rsidRPr="005C20AF">
        <w:rPr>
          <w:rFonts w:ascii="Palatino Linotype" w:eastAsia="Palatino Linotype" w:hAnsi="Palatino Linotype" w:cs="Palatino Linotype"/>
          <w:b/>
          <w:sz w:val="24"/>
          <w:szCs w:val="24"/>
        </w:rPr>
        <w:t xml:space="preserve">verificar que los recursos aportados por la SEP y el Gobierno del Estado se apliquen específicamente para el objeto del Anexo de Ejecución, </w:t>
      </w:r>
      <w:r w:rsidRPr="005C20AF">
        <w:rPr>
          <w:rFonts w:ascii="Palatino Linotype" w:eastAsia="Palatino Linotype" w:hAnsi="Palatino Linotype" w:cs="Palatino Linotype"/>
          <w:sz w:val="24"/>
          <w:szCs w:val="24"/>
        </w:rPr>
        <w:t>debiendo comunicar a las autoridades competentes cualquier irregularidad de la que tengan conocimiento con motivo de la ejecución del Anexo, de conformidad con las disposiciones aplicables.</w:t>
      </w:r>
    </w:p>
    <w:p w14:paraId="5C0014EB"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Atento a las consideraciones expuestas, no es procedente la entrega de información alguna para atender las solicitudes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5C20AF">
        <w:rPr>
          <w:rFonts w:ascii="Palatino Linotype" w:eastAsia="Palatino Linotype" w:hAnsi="Palatino Linotype" w:cs="Palatino Linotype"/>
          <w:i/>
          <w:sz w:val="24"/>
          <w:szCs w:val="24"/>
        </w:rPr>
        <w:t xml:space="preserve"> contrario sensu</w:t>
      </w:r>
      <w:r w:rsidRPr="005C20AF">
        <w:rPr>
          <w:rFonts w:ascii="Palatino Linotype" w:eastAsia="Palatino Linotype" w:hAnsi="Palatino Linotype" w:cs="Palatino Linotype"/>
          <w:sz w:val="24"/>
          <w:szCs w:val="24"/>
        </w:rPr>
        <w:t xml:space="preserve"> significa que no se está obligado a proporcionar lo que no obre en sus archivos, en consecuencia,  el pronunciamiento vertido por la Unidad de Transparencia, es suficiente para tener por atendidos los requerimientos de información. </w:t>
      </w:r>
    </w:p>
    <w:p w14:paraId="0A2F5224" w14:textId="77777777" w:rsidR="00175A70" w:rsidRPr="005C20AF" w:rsidRDefault="00FF431F">
      <w:pPr>
        <w:spacing w:line="360" w:lineRule="auto"/>
        <w:ind w:right="49"/>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Dicho lo anterior, respecto a la Declaración de Incompetencia, la Ley de Transparencia y Acceso a la Información Pública del Estado de México, establece en los artículos 49, fracción II y 167, lo siguiente: </w:t>
      </w:r>
    </w:p>
    <w:p w14:paraId="546EEF97" w14:textId="77777777" w:rsidR="00175A70" w:rsidRPr="005C20AF" w:rsidRDefault="00FF431F">
      <w:pPr>
        <w:tabs>
          <w:tab w:val="left" w:pos="1134"/>
          <w:tab w:val="left" w:pos="1276"/>
        </w:tabs>
        <w:spacing w:before="120" w:after="120"/>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i/>
        </w:rPr>
        <w:t>“</w:t>
      </w:r>
      <w:r w:rsidRPr="005C20AF">
        <w:rPr>
          <w:rFonts w:ascii="Palatino Linotype" w:eastAsia="Palatino Linotype" w:hAnsi="Palatino Linotype" w:cs="Palatino Linotype"/>
          <w:b/>
          <w:i/>
        </w:rPr>
        <w:t>Artículo 49.</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Los Comités de Transparencia</w:t>
      </w:r>
      <w:r w:rsidRPr="005C20AF">
        <w:rPr>
          <w:rFonts w:ascii="Palatino Linotype" w:eastAsia="Palatino Linotype" w:hAnsi="Palatino Linotype" w:cs="Palatino Linotype"/>
          <w:i/>
        </w:rPr>
        <w:t xml:space="preserve"> tendrán las siguientes atribuciones:</w:t>
      </w:r>
    </w:p>
    <w:p w14:paraId="3EEA5CC1" w14:textId="77777777" w:rsidR="00175A70" w:rsidRPr="005C20AF" w:rsidRDefault="00FF431F">
      <w:pPr>
        <w:tabs>
          <w:tab w:val="left" w:pos="1134"/>
        </w:tabs>
        <w:spacing w:before="120" w:after="120"/>
        <w:ind w:left="1134" w:right="902"/>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w:t>
      </w:r>
    </w:p>
    <w:p w14:paraId="3FF53D57" w14:textId="77777777" w:rsidR="00175A70" w:rsidRPr="005C20AF" w:rsidRDefault="00FF431F">
      <w:pPr>
        <w:tabs>
          <w:tab w:val="left" w:pos="1134"/>
        </w:tabs>
        <w:spacing w:before="120" w:after="120"/>
        <w:ind w:left="1134" w:right="902"/>
        <w:jc w:val="both"/>
        <w:rPr>
          <w:rFonts w:ascii="Palatino Linotype" w:eastAsia="Palatino Linotype" w:hAnsi="Palatino Linotype" w:cs="Palatino Linotype"/>
          <w:b/>
          <w:i/>
          <w:u w:val="single"/>
        </w:rPr>
      </w:pPr>
      <w:r w:rsidRPr="005C20AF">
        <w:rPr>
          <w:rFonts w:ascii="Palatino Linotype" w:eastAsia="Palatino Linotype" w:hAnsi="Palatino Linotype" w:cs="Palatino Linotype"/>
          <w:b/>
          <w:i/>
        </w:rPr>
        <w:t>II.</w:t>
      </w:r>
      <w:r w:rsidRPr="005C20AF">
        <w:t xml:space="preserve"> </w:t>
      </w:r>
      <w:r w:rsidRPr="005C20AF">
        <w:rPr>
          <w:rFonts w:ascii="Palatino Linotype" w:eastAsia="Palatino Linotype" w:hAnsi="Palatino Linotype" w:cs="Palatino Linotype"/>
          <w:b/>
          <w:i/>
        </w:rPr>
        <w:t>Confirmar, modificar o revocar</w:t>
      </w:r>
      <w:r w:rsidRPr="005C20AF">
        <w:rPr>
          <w:rFonts w:ascii="Palatino Linotype" w:eastAsia="Palatino Linotype" w:hAnsi="Palatino Linotype" w:cs="Palatino Linotype"/>
          <w:i/>
        </w:rPr>
        <w:t xml:space="preserve"> las determinaciones que en materia de ampliación del plazo de respuesta, clasificación de la información </w:t>
      </w:r>
      <w:r w:rsidRPr="005C20AF">
        <w:rPr>
          <w:rFonts w:ascii="Palatino Linotype" w:eastAsia="Palatino Linotype" w:hAnsi="Palatino Linotype" w:cs="Palatino Linotype"/>
          <w:b/>
          <w:i/>
        </w:rPr>
        <w:t>y declaración</w:t>
      </w:r>
      <w:r w:rsidRPr="005C20AF">
        <w:rPr>
          <w:rFonts w:ascii="Palatino Linotype" w:eastAsia="Palatino Linotype" w:hAnsi="Palatino Linotype" w:cs="Palatino Linotype"/>
          <w:i/>
        </w:rPr>
        <w:t xml:space="preserve"> de inexistencia o </w:t>
      </w:r>
      <w:r w:rsidRPr="005C20AF">
        <w:rPr>
          <w:rFonts w:ascii="Palatino Linotype" w:eastAsia="Palatino Linotype" w:hAnsi="Palatino Linotype" w:cs="Palatino Linotype"/>
          <w:b/>
          <w:i/>
        </w:rPr>
        <w:t>de incompetencia realicen los titulares de las áreas de los sujetos obligados;</w:t>
      </w:r>
    </w:p>
    <w:p w14:paraId="3E3F1BA8" w14:textId="77777777" w:rsidR="00175A70" w:rsidRPr="005C20AF" w:rsidRDefault="00FF431F">
      <w:pPr>
        <w:tabs>
          <w:tab w:val="left" w:pos="1134"/>
        </w:tabs>
        <w:spacing w:before="120" w:after="120"/>
        <w:ind w:left="851" w:right="902"/>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lastRenderedPageBreak/>
        <w:t>...</w:t>
      </w:r>
    </w:p>
    <w:p w14:paraId="1614C8D6" w14:textId="77777777" w:rsidR="00175A70" w:rsidRPr="005C20AF" w:rsidRDefault="00FF431F">
      <w:pPr>
        <w:tabs>
          <w:tab w:val="left" w:pos="1134"/>
        </w:tabs>
        <w:spacing w:before="120" w:after="120"/>
        <w:ind w:left="851" w:right="902"/>
        <w:jc w:val="both"/>
        <w:rPr>
          <w:rFonts w:ascii="Palatino Linotype" w:eastAsia="Palatino Linotype" w:hAnsi="Palatino Linotype" w:cs="Palatino Linotype"/>
          <w:b/>
          <w:i/>
        </w:rPr>
      </w:pPr>
      <w:r w:rsidRPr="005C20AF">
        <w:rPr>
          <w:rFonts w:ascii="Palatino Linotype" w:eastAsia="Palatino Linotype" w:hAnsi="Palatino Linotype" w:cs="Palatino Linotype"/>
          <w:b/>
          <w:i/>
        </w:rPr>
        <w:t>Artículo 167</w:t>
      </w:r>
      <w:r w:rsidRPr="005C20AF">
        <w:rPr>
          <w:rFonts w:ascii="Palatino Linotype" w:eastAsia="Palatino Linotype" w:hAnsi="Palatino Linotype" w:cs="Palatino Linotype"/>
          <w:i/>
        </w:rPr>
        <w:t xml:space="preserve">. </w:t>
      </w:r>
      <w:r w:rsidRPr="005C20AF">
        <w:rPr>
          <w:rFonts w:ascii="Palatino Linotype" w:eastAsia="Palatino Linotype" w:hAnsi="Palatino Linotype" w:cs="Palatino Linotype"/>
          <w:b/>
          <w:i/>
        </w:rPr>
        <w:t>Cuando las unidades de transparencia determinen la notoria incompetencia</w:t>
      </w:r>
      <w:r w:rsidRPr="005C20AF">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5C20AF">
        <w:rPr>
          <w:rFonts w:ascii="Palatino Linotype" w:eastAsia="Palatino Linotype" w:hAnsi="Palatino Linotype" w:cs="Palatino Linotype"/>
          <w:b/>
          <w:i/>
        </w:rPr>
        <w:t>deberán comunicarlo al solicitante, dentro de los tres días hábiles posteriores a la recepción de la solicitud</w:t>
      </w:r>
      <w:r w:rsidRPr="005C20AF">
        <w:rPr>
          <w:rFonts w:ascii="Palatino Linotype" w:eastAsia="Palatino Linotype" w:hAnsi="Palatino Linotype" w:cs="Palatino Linotype"/>
          <w:i/>
        </w:rPr>
        <w:t xml:space="preserve"> y, </w:t>
      </w:r>
      <w:r w:rsidRPr="005C20AF">
        <w:rPr>
          <w:rFonts w:ascii="Palatino Linotype" w:eastAsia="Palatino Linotype" w:hAnsi="Palatino Linotype" w:cs="Palatino Linotype"/>
          <w:b/>
          <w:i/>
        </w:rPr>
        <w:t>en su caso orientar al solicitante, el o los sujetos obligados competentes.”</w:t>
      </w:r>
    </w:p>
    <w:p w14:paraId="36697430"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sz w:val="24"/>
          <w:szCs w:val="24"/>
        </w:rPr>
        <w:t>De los preceptos citados se desprende que es atribución del Comité de Transparencia confirmar, modificar o revocar, en su caso, la declaración de incompetencia,</w:t>
      </w:r>
      <w:r w:rsidRPr="005C20AF">
        <w:rPr>
          <w:rFonts w:ascii="Palatino Linotype" w:eastAsia="Palatino Linotype" w:hAnsi="Palatino Linotype" w:cs="Palatino Linotype"/>
          <w:b/>
          <w:sz w:val="24"/>
          <w:szCs w:val="24"/>
        </w:rPr>
        <w:t xml:space="preserve"> en aquellos casos en los que no se trate de una notoria incompetencia. </w:t>
      </w:r>
    </w:p>
    <w:p w14:paraId="069B22FE"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sz w:val="24"/>
          <w:szCs w:val="24"/>
          <w:u w:val="single"/>
        </w:rPr>
      </w:pPr>
      <w:r w:rsidRPr="005C20AF">
        <w:rPr>
          <w:rFonts w:ascii="Palatino Linotype" w:eastAsia="Palatino Linotype" w:hAnsi="Palatino Linotype" w:cs="Palatino Linotype"/>
          <w:sz w:val="24"/>
          <w:szCs w:val="24"/>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RPr="005C20AF">
        <w:rPr>
          <w:rFonts w:ascii="Palatino Linotype" w:eastAsia="Palatino Linotype" w:hAnsi="Palatino Linotype" w:cs="Palatino Linotype"/>
          <w:sz w:val="24"/>
          <w:szCs w:val="24"/>
          <w:u w:val="single"/>
        </w:rPr>
        <w:t xml:space="preserve">para su aprobación. </w:t>
      </w:r>
    </w:p>
    <w:p w14:paraId="089A1DAE"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Como sustento de lo anterior, resulta aplicable el Criterio 20/20, emitido por el Instituto Nacional de Transparencia, Acceso a la Información, y Protección de Datos Personales, INAI, que lleva por rubro y texto los siguientes:  </w:t>
      </w:r>
    </w:p>
    <w:p w14:paraId="1B71408E" w14:textId="77777777" w:rsidR="00175A70" w:rsidRPr="005C20AF" w:rsidRDefault="00FF431F">
      <w:pPr>
        <w:pBdr>
          <w:top w:val="nil"/>
          <w:left w:val="nil"/>
          <w:bottom w:val="nil"/>
          <w:right w:val="nil"/>
          <w:between w:val="nil"/>
        </w:pBdr>
        <w:spacing w:before="240" w:after="240"/>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“Declaración de incompetencia por parte del Comité, cuando no sea notoria o manifiesta.</w:t>
      </w:r>
      <w:r w:rsidRPr="005C20AF">
        <w:rPr>
          <w:rFonts w:ascii="Palatino Linotype" w:eastAsia="Palatino Linotype" w:hAnsi="Palatino Linotype" w:cs="Palatino Linotype"/>
          <w:i/>
        </w:rPr>
        <w:t xml:space="preserve"> Cuando la normatividad que prevé las atribuciones del sujeto obligado no sea clara en delimitar su competencia respecto a lo requerido </w:t>
      </w:r>
      <w:r w:rsidRPr="005C20AF">
        <w:rPr>
          <w:rFonts w:ascii="Palatino Linotype" w:eastAsia="Palatino Linotype" w:hAnsi="Palatino Linotype" w:cs="Palatino Linotype"/>
          <w:i/>
        </w:rPr>
        <w:lastRenderedPageBreak/>
        <w:t>por la persona solicitante y resulte necesario efectuar un análisis mayor para determinar la incompetencia, ésta debe ser declarada por el Comité de Transparencia.”</w:t>
      </w:r>
    </w:p>
    <w:p w14:paraId="62C63EBB"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5C20AF">
        <w:rPr>
          <w:rFonts w:ascii="Palatino Linotype" w:eastAsia="Palatino Linotype" w:hAnsi="Palatino Linotype" w:cs="Palatino Linotype"/>
          <w:b/>
          <w:sz w:val="24"/>
          <w:szCs w:val="24"/>
        </w:rPr>
        <w:t xml:space="preserve"> </w:t>
      </w:r>
      <w:r w:rsidRPr="005C20AF">
        <w:rPr>
          <w:rFonts w:ascii="Palatino Linotype" w:eastAsia="Palatino Linotype" w:hAnsi="Palatino Linotype" w:cs="Palatino Linotype"/>
          <w:b/>
          <w:sz w:val="24"/>
          <w:szCs w:val="24"/>
          <w:u w:val="single"/>
        </w:rPr>
        <w:t>duda razonable sobre la administración del documento materia de la solicitud de información</w:t>
      </w:r>
      <w:r w:rsidRPr="005C20AF">
        <w:rPr>
          <w:rFonts w:ascii="Palatino Linotype" w:eastAsia="Palatino Linotype" w:hAnsi="Palatino Linotype" w:cs="Palatino Linotype"/>
          <w:sz w:val="24"/>
          <w:szCs w:val="24"/>
        </w:rPr>
        <w:t>, como se lee enseguida:</w:t>
      </w:r>
    </w:p>
    <w:p w14:paraId="6A618025" w14:textId="77777777" w:rsidR="00175A70" w:rsidRPr="005C20AF" w:rsidRDefault="00FF431F">
      <w:pPr>
        <w:tabs>
          <w:tab w:val="left" w:pos="1418"/>
        </w:tabs>
        <w:spacing w:before="120" w:after="120"/>
        <w:ind w:left="851"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rPr>
        <w:t xml:space="preserve">“DECLARATORIA DE INCOMPETENCIA DEL SUJETO OBLIGADO. SUPUESTO PARA CONFIRMARLA POR ACUERDO DEL COMITÉ DE TRANSPARENCIA. </w:t>
      </w:r>
      <w:r w:rsidRPr="005C20AF">
        <w:rPr>
          <w:rFonts w:ascii="Palatino Linotype" w:eastAsia="Palatino Linotype" w:hAnsi="Palatino Linotype" w:cs="Palatino Linotype"/>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5C20AF">
        <w:rPr>
          <w:rFonts w:ascii="Palatino Linotype" w:eastAsia="Palatino Linotype" w:hAnsi="Palatino Linotype" w:cs="Palatino Linotype"/>
          <w:b/>
          <w:i/>
        </w:rPr>
        <w:t xml:space="preserve">al ejercer el derecho de acceso a la información pública cabe la posibilidad de que existan atribuciones concurrentes entre dos o más Sujetos Obligados que </w:t>
      </w:r>
      <w:r w:rsidRPr="005C20AF">
        <w:rPr>
          <w:rFonts w:ascii="Palatino Linotype" w:eastAsia="Palatino Linotype" w:hAnsi="Palatino Linotype" w:cs="Palatino Linotype"/>
          <w:b/>
          <w:i/>
          <w:u w:val="single"/>
        </w:rPr>
        <w:t>impiden determinar dentro del término legal de tres días hábiles</w:t>
      </w:r>
      <w:r w:rsidRPr="005C20AF">
        <w:rPr>
          <w:rFonts w:ascii="Palatino Linotype" w:eastAsia="Palatino Linotype" w:hAnsi="Palatino Linotype" w:cs="Palatino Linotype"/>
          <w:b/>
          <w:i/>
        </w:rPr>
        <w:t>, si se posee o no la información por el Sujeto Obligado requerid</w:t>
      </w:r>
      <w:r w:rsidRPr="005C20AF">
        <w:rPr>
          <w:rFonts w:ascii="Palatino Linotype" w:eastAsia="Palatino Linotype" w:hAnsi="Palatino Linotype" w:cs="Palatino Linotype"/>
          <w:i/>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w:t>
      </w:r>
      <w:r w:rsidRPr="005C20AF">
        <w:rPr>
          <w:rFonts w:ascii="Palatino Linotype" w:eastAsia="Palatino Linotype" w:hAnsi="Palatino Linotype" w:cs="Palatino Linotype"/>
          <w:i/>
        </w:rPr>
        <w:lastRenderedPageBreak/>
        <w:t>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97E0114"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En el caso particular, dado que se ha demostrado que la incompetencia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es notoria, por lo tanto resulta innecesaria la emisión de una declaratoria formal de incompetencia a través del Comité de Transparencia.</w:t>
      </w:r>
    </w:p>
    <w:p w14:paraId="31FC3CD9" w14:textId="77777777" w:rsidR="00175A70" w:rsidRPr="005C20AF" w:rsidRDefault="00FF431F">
      <w:pPr>
        <w:spacing w:before="240" w:after="240" w:line="360" w:lineRule="auto"/>
        <w:ind w:left="284"/>
        <w:jc w:val="both"/>
        <w:rPr>
          <w:rFonts w:ascii="Palatino Linotype" w:eastAsia="Palatino Linotype" w:hAnsi="Palatino Linotype" w:cs="Palatino Linotype"/>
          <w:b/>
          <w:sz w:val="24"/>
          <w:szCs w:val="24"/>
        </w:rPr>
      </w:pP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rPr>
        <w:t>Del ejercicio de los derechos ARCO.</w:t>
      </w:r>
    </w:p>
    <w:p w14:paraId="34B72FD8"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Por otro lado, es de suma importancia mencionar que asuntos que dieron origen a los recursos de revisión que ahora se resuelven, se tuvieron por admitidos en el marco de diversas solicitud de acceso a la información pública, a través del Sistema de Acceso a la Información Mexiquense, SAIMEX, no obstante, del análisis de los elementos que los conforman, se advirtió que </w:t>
      </w:r>
      <w:r w:rsidRPr="005C20AF">
        <w:rPr>
          <w:rFonts w:ascii="Palatino Linotype" w:eastAsia="Palatino Linotype" w:hAnsi="Palatino Linotype" w:cs="Palatino Linotype"/>
          <w:b/>
          <w:sz w:val="24"/>
          <w:szCs w:val="24"/>
          <w:u w:val="single"/>
        </w:rPr>
        <w:t>la parte Recurrente prende acceder a alguno datos que encuadran dentro del ejercicio del derecho de acceso a datos personales</w:t>
      </w:r>
      <w:r w:rsidRPr="005C20AF">
        <w:rPr>
          <w:rFonts w:ascii="Palatino Linotype" w:eastAsia="Palatino Linotype" w:hAnsi="Palatino Linotype" w:cs="Palatino Linotype"/>
          <w:sz w:val="24"/>
          <w:szCs w:val="24"/>
        </w:rPr>
        <w:t xml:space="preserve">, en términos de lo contemplado en el artículo 98 de la Ley de Protección de Datos Personales en Posesión de Sujetos Obligados del Estado de México y Municipios, posiblemente en representación de las personas Titulares de los datos personales a los cuales se desea acceder, ello en virtud de que se pretende obtener, además del monto de las percepciones y deducciones de Ley de los servidores públicos referidos en las solicitudes, que es información de carácter público; </w:t>
      </w:r>
      <w:r w:rsidRPr="005C20AF">
        <w:rPr>
          <w:rFonts w:ascii="Palatino Linotype" w:eastAsia="Palatino Linotype" w:hAnsi="Palatino Linotype" w:cs="Palatino Linotype"/>
          <w:b/>
          <w:sz w:val="24"/>
          <w:szCs w:val="24"/>
          <w:u w:val="single"/>
        </w:rPr>
        <w:t>el monto de las deducciones personales que les son aplicadas,</w:t>
      </w:r>
      <w:r w:rsidRPr="005C20AF">
        <w:rPr>
          <w:rFonts w:ascii="Palatino Linotype" w:eastAsia="Palatino Linotype" w:hAnsi="Palatino Linotype" w:cs="Palatino Linotype"/>
          <w:sz w:val="24"/>
          <w:szCs w:val="24"/>
        </w:rPr>
        <w:t xml:space="preserve"> </w:t>
      </w:r>
      <w:r w:rsidRPr="005C20AF">
        <w:rPr>
          <w:rFonts w:ascii="Palatino Linotype" w:eastAsia="Palatino Linotype" w:hAnsi="Palatino Linotype" w:cs="Palatino Linotype"/>
          <w:b/>
          <w:sz w:val="24"/>
          <w:szCs w:val="24"/>
          <w:u w:val="single"/>
        </w:rPr>
        <w:t>información que por su naturaleza incide en su vida privada</w:t>
      </w:r>
      <w:r w:rsidRPr="005C20AF">
        <w:rPr>
          <w:rFonts w:ascii="Palatino Linotype" w:eastAsia="Palatino Linotype" w:hAnsi="Palatino Linotype" w:cs="Palatino Linotype"/>
          <w:sz w:val="24"/>
          <w:szCs w:val="24"/>
        </w:rPr>
        <w:t xml:space="preserve">, al revelar parte de las decisiones que </w:t>
      </w:r>
      <w:r w:rsidRPr="005C20AF">
        <w:rPr>
          <w:rFonts w:ascii="Palatino Linotype" w:eastAsia="Palatino Linotype" w:hAnsi="Palatino Linotype" w:cs="Palatino Linotype"/>
          <w:sz w:val="24"/>
          <w:szCs w:val="24"/>
        </w:rPr>
        <w:lastRenderedPageBreak/>
        <w:t>adopta una persona respecto del uso y destino de su remuneración salarial, lo cual se relaciona intrínsecamente con la manera en que se integra su patrimonio, por lo tanto, es información que no es de carácter público, sino que concierne únicamente a su titular.</w:t>
      </w:r>
    </w:p>
    <w:p w14:paraId="72B3313B"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este sentido, es imprescindible mencionar que en términos del artículo 97 de la Ley de Protección de Datos Personales en Posesión de Sujetos Obligados del Estado de México y Municipios, la procedencia de los derechos de acceso, rectificación, cancelación y oposición de datos personales, ARCO, es efectiva una vez que el titular o su representante legal acrediten su identidad o representación, respectivamente.</w:t>
      </w:r>
    </w:p>
    <w:p w14:paraId="5F749460"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Lo cual, guarda relación con lo señalado en los artículos 106, párrafo tercero de la Ley de Protección de Datos Personales en Posesión de Sujetos Obligados del Estado de México y Municipios; y 73 de los Lineamientos Generales de Protección de Datos Personales para el Sector Público, para el ejercicio de los derechos ARCO es necesario acreditar la identidad de titular, y en su caso, la identidad y personalidad con la que actúe el representante.</w:t>
      </w:r>
    </w:p>
    <w:p w14:paraId="166D0F1A"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En este tenor, de conformidad con los artículos 120 de la Ley de Protección de Datos Personales en Posesión de Sujetos Obligados del Estado de México y Municipios; 76 de los Lineamientos Generales de Protección de Datos Personales para el Sector Público; y 2.5 Bis del Código Civil del Estado de México</w:t>
      </w:r>
      <w:r w:rsidRPr="005C20AF">
        <w:rPr>
          <w:rFonts w:ascii="Palatino Linotype" w:eastAsia="Palatino Linotype" w:hAnsi="Palatino Linotype" w:cs="Palatino Linotype"/>
          <w:b/>
          <w:sz w:val="24"/>
          <w:szCs w:val="24"/>
        </w:rPr>
        <w:t>, los medios para acreditar la identidad de personas físicas son los siguientes</w:t>
      </w:r>
      <w:r w:rsidRPr="005C20AF">
        <w:rPr>
          <w:rFonts w:ascii="Palatino Linotype" w:eastAsia="Palatino Linotype" w:hAnsi="Palatino Linotype" w:cs="Palatino Linotype"/>
          <w:sz w:val="24"/>
          <w:szCs w:val="24"/>
        </w:rPr>
        <w:t>:</w:t>
      </w:r>
    </w:p>
    <w:p w14:paraId="70E92552"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 Identificación oficial, como Credencial para votar, pasaporte, matrícula consular mexicana, carta de naturalización, cédula profesional o de pasante, etc.</w:t>
      </w:r>
    </w:p>
    <w:p w14:paraId="3B49A291"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lastRenderedPageBreak/>
        <w:t>b. Credenciales expedidas por autoridades educativas que cuenten con autorización o con reconocimiento de validez oficial o instituciones de seguridad social, licencia para conducir, cartilla del servicio militar nacional, etc.</w:t>
      </w:r>
    </w:p>
    <w:p w14:paraId="12EE5E2F"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c. Firma electrónica avanzada o del instrumento electrónico que lo sustituya</w:t>
      </w:r>
    </w:p>
    <w:p w14:paraId="5D9FEBD1"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d. Mecanismos de autenticación autorizados por el Instituto o el Instituto Nacional publicados por acuerdo general en el periódico oficial “Gaceta del Gobierno” o en el Diario Oficial de la Federación, siempre y cuando permitan de forma inequívoca la acreditación de la identidad del titular.</w:t>
      </w:r>
    </w:p>
    <w:p w14:paraId="5B269A59"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Mientras que los artículos 121 de la Ley de Protección de Datos Personales en Posesión de Sujetos Obligados del Estado de México y Municipios; y 77 de los Lineamientos Generales de Protección de Datos Personales para el Sector Público; el representante debe acreditar la identidad del titular de los datos, así como su identidad y personalidad, presentando ante el responsable lo siguiente:</w:t>
      </w:r>
    </w:p>
    <w:p w14:paraId="72FC37F9"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Copia simple de la identificación del titular.</w:t>
      </w:r>
    </w:p>
    <w:p w14:paraId="50FC3E06"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Identificación oficial del representante, e</w:t>
      </w:r>
    </w:p>
    <w:p w14:paraId="77E43BAD" w14:textId="77777777" w:rsidR="00175A70" w:rsidRPr="005C20AF" w:rsidRDefault="00FF431F">
      <w:pPr>
        <w:spacing w:before="120" w:after="120" w:line="360" w:lineRule="auto"/>
        <w:ind w:left="425"/>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Instrumento público, carta poder simple suscrita ante dos testigos anexado copia simple de las identificaciones oficiales de quienes intervengan en la suscripción de la misma, o declaración en comparecencia personal del titular y del representante ante el Instituto.</w:t>
      </w:r>
    </w:p>
    <w:p w14:paraId="09D25157"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Por su parte, los artículos 110, fracción II y 130, fracción VI, de la Ley de Protección de Datos Personales en Posesión de Sujetos Obligados del Estado de México y </w:t>
      </w:r>
      <w:r w:rsidRPr="005C20AF">
        <w:rPr>
          <w:rFonts w:ascii="Palatino Linotype" w:eastAsia="Palatino Linotype" w:hAnsi="Palatino Linotype" w:cs="Palatino Linotype"/>
          <w:sz w:val="24"/>
          <w:szCs w:val="24"/>
        </w:rPr>
        <w:lastRenderedPageBreak/>
        <w:t>Municipios, disponen que se deben presentar los documentos que acrediten la identidad de la persona titular de los datos personales sobre los cuales se pretende ejercer el acceso, así como su identidad y su personalidad, tanto en el escrito de su solicitud, como en el escrito de interposición del recurso de revisión, a saber:</w:t>
      </w:r>
    </w:p>
    <w:p w14:paraId="648722E3"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r w:rsidRPr="005C20AF">
        <w:rPr>
          <w:rFonts w:ascii="Palatino Linotype" w:eastAsia="Palatino Linotype" w:hAnsi="Palatino Linotype" w:cs="Palatino Linotype"/>
          <w:b/>
          <w:i/>
          <w:sz w:val="20"/>
          <w:szCs w:val="20"/>
        </w:rPr>
        <w:t>Artículo 110.</w:t>
      </w:r>
      <w:r w:rsidRPr="005C20AF">
        <w:rPr>
          <w:rFonts w:ascii="Palatino Linotype" w:eastAsia="Palatino Linotype" w:hAnsi="Palatino Linotype" w:cs="Palatino Linotype"/>
          <w:i/>
          <w:sz w:val="20"/>
          <w:szCs w:val="20"/>
        </w:rPr>
        <w:t xml:space="preserve"> La solicitud para el ejercicio de derechos ARCO, deberá contener:</w:t>
      </w:r>
    </w:p>
    <w:p w14:paraId="2F5245B8"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p>
    <w:p w14:paraId="024962DD"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b/>
          <w:i/>
          <w:sz w:val="20"/>
          <w:szCs w:val="20"/>
        </w:rPr>
        <w:t>II.</w:t>
      </w:r>
      <w:r w:rsidRPr="005C20AF">
        <w:rPr>
          <w:rFonts w:ascii="Palatino Linotype" w:eastAsia="Palatino Linotype" w:hAnsi="Palatino Linotype" w:cs="Palatino Linotype"/>
          <w:i/>
          <w:sz w:val="20"/>
          <w:szCs w:val="20"/>
        </w:rPr>
        <w:t xml:space="preserve"> Los documentos que acrediten la identidad del titular y en su caso, la personalidad e identidad de su representante.</w:t>
      </w:r>
    </w:p>
    <w:p w14:paraId="5462628B"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p>
    <w:p w14:paraId="5D6B596B" w14:textId="77777777" w:rsidR="00175A70" w:rsidRPr="005C20AF" w:rsidRDefault="00FF431F">
      <w:pPr>
        <w:spacing w:before="120" w:after="120" w:line="240" w:lineRule="auto"/>
        <w:ind w:left="851"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b/>
          <w:i/>
          <w:sz w:val="20"/>
          <w:szCs w:val="20"/>
        </w:rPr>
        <w:t>Artículo 130.</w:t>
      </w:r>
      <w:r w:rsidRPr="005C20AF">
        <w:rPr>
          <w:rFonts w:ascii="Palatino Linotype" w:eastAsia="Palatino Linotype" w:hAnsi="Palatino Linotype" w:cs="Palatino Linotype"/>
          <w:i/>
          <w:sz w:val="20"/>
          <w:szCs w:val="20"/>
        </w:rPr>
        <w:t xml:space="preserve"> Los únicos requisitos exigibles en el escrito de interposición del recurso de revisión serán los siguientes:</w:t>
      </w:r>
    </w:p>
    <w:p w14:paraId="7A52566D"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sz w:val="20"/>
          <w:szCs w:val="20"/>
        </w:rPr>
      </w:pPr>
      <w:r w:rsidRPr="005C20AF">
        <w:rPr>
          <w:rFonts w:ascii="Palatino Linotype" w:eastAsia="Palatino Linotype" w:hAnsi="Palatino Linotype" w:cs="Palatino Linotype"/>
          <w:i/>
          <w:sz w:val="20"/>
          <w:szCs w:val="20"/>
        </w:rPr>
        <w:t>…</w:t>
      </w:r>
    </w:p>
    <w:p w14:paraId="43CA9DC4" w14:textId="77777777" w:rsidR="00175A70" w:rsidRPr="005C20AF" w:rsidRDefault="00FF431F">
      <w:pPr>
        <w:spacing w:before="120" w:after="120" w:line="240" w:lineRule="auto"/>
        <w:ind w:left="1134" w:right="902"/>
        <w:jc w:val="both"/>
        <w:rPr>
          <w:rFonts w:ascii="Palatino Linotype" w:eastAsia="Palatino Linotype" w:hAnsi="Palatino Linotype" w:cs="Palatino Linotype"/>
          <w:i/>
        </w:rPr>
      </w:pPr>
      <w:r w:rsidRPr="005C20AF">
        <w:rPr>
          <w:rFonts w:ascii="Palatino Linotype" w:eastAsia="Palatino Linotype" w:hAnsi="Palatino Linotype" w:cs="Palatino Linotype"/>
          <w:b/>
          <w:i/>
          <w:sz w:val="20"/>
          <w:szCs w:val="20"/>
        </w:rPr>
        <w:t>VI</w:t>
      </w:r>
      <w:r w:rsidRPr="005C20AF">
        <w:rPr>
          <w:rFonts w:ascii="Palatino Linotype" w:eastAsia="Palatino Linotype" w:hAnsi="Palatino Linotype" w:cs="Palatino Linotype"/>
          <w:i/>
          <w:sz w:val="20"/>
          <w:szCs w:val="20"/>
        </w:rPr>
        <w:t>. Los documentos que acrediten la identidad del titular y en su caso, la personalidad e identidad de su representante.”</w:t>
      </w:r>
    </w:p>
    <w:p w14:paraId="4F133FF2"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Atento a lo anterior, se dejan a salvo los derechos de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3088F54A" w14:textId="77777777" w:rsidR="00175A70" w:rsidRPr="005C20AF" w:rsidRDefault="00FF431F">
      <w:pPr>
        <w:tabs>
          <w:tab w:val="left" w:pos="142"/>
          <w:tab w:val="left" w:pos="284"/>
        </w:tabs>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 xml:space="preserve">Derivado de lo expuesto, dado que 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importancia señalar que la facultad de orientación a las </w:t>
      </w:r>
      <w:r w:rsidRPr="005C20AF">
        <w:rPr>
          <w:rFonts w:ascii="Palatino Linotype" w:eastAsia="Palatino Linotype" w:hAnsi="Palatino Linotype" w:cs="Palatino Linotype"/>
          <w:sz w:val="24"/>
          <w:szCs w:val="24"/>
        </w:rPr>
        <w:lastRenderedPageBreak/>
        <w:t xml:space="preserve">personas solicitantes para que formulen su solicitud ante el Sujeto Obligado competente es potestativa; se concluye que motivos de inconformidad de la parte </w:t>
      </w:r>
      <w:r w:rsidRPr="005C20AF">
        <w:rPr>
          <w:rFonts w:ascii="Palatino Linotype" w:eastAsia="Palatino Linotype" w:hAnsi="Palatino Linotype" w:cs="Palatino Linotype"/>
          <w:b/>
          <w:sz w:val="24"/>
          <w:szCs w:val="24"/>
        </w:rPr>
        <w:t xml:space="preserve">Recurrente </w:t>
      </w:r>
      <w:r w:rsidRPr="005C20AF">
        <w:rPr>
          <w:rFonts w:ascii="Palatino Linotype" w:eastAsia="Palatino Linotype" w:hAnsi="Palatino Linotype" w:cs="Palatino Linotype"/>
          <w:sz w:val="24"/>
          <w:szCs w:val="24"/>
        </w:rPr>
        <w:t xml:space="preserve">son infundados, por lo que resulta procedente </w:t>
      </w:r>
      <w:r w:rsidRPr="005C20AF">
        <w:rPr>
          <w:rFonts w:ascii="Palatino Linotype" w:eastAsia="Palatino Linotype" w:hAnsi="Palatino Linotype" w:cs="Palatino Linotype"/>
          <w:i/>
          <w:sz w:val="24"/>
          <w:szCs w:val="24"/>
        </w:rPr>
        <w:t xml:space="preserve">confirmar </w:t>
      </w:r>
      <w:r w:rsidRPr="005C20AF">
        <w:rPr>
          <w:rFonts w:ascii="Palatino Linotype" w:eastAsia="Palatino Linotype" w:hAnsi="Palatino Linotype" w:cs="Palatino Linotype"/>
          <w:sz w:val="24"/>
          <w:szCs w:val="24"/>
        </w:rPr>
        <w:t xml:space="preserve">las respuestas proporcionadas a las solicitudes de información </w:t>
      </w:r>
      <w:r w:rsidRPr="005C20AF">
        <w:rPr>
          <w:rFonts w:ascii="Palatino Linotype" w:eastAsia="Palatino Linotype" w:hAnsi="Palatino Linotype" w:cs="Palatino Linotype"/>
          <w:b/>
          <w:sz w:val="24"/>
          <w:szCs w:val="24"/>
        </w:rPr>
        <w:t xml:space="preserve">01076/SF/IP/2024, 01081/SF/IP/2024, 01086/SF/IP/2024, 01091/SF/IP/2024, 01096/SF/IP/2024, 01101/SF/IP/2024, 01106/SF/IP/2024 </w:t>
      </w:r>
      <w:r w:rsidRPr="005C20AF">
        <w:rPr>
          <w:rFonts w:ascii="Palatino Linotype" w:eastAsia="Palatino Linotype" w:hAnsi="Palatino Linotype" w:cs="Palatino Linotype"/>
          <w:sz w:val="24"/>
          <w:szCs w:val="24"/>
        </w:rPr>
        <w:t xml:space="preserve">y </w:t>
      </w:r>
      <w:r w:rsidRPr="005C20AF">
        <w:rPr>
          <w:rFonts w:ascii="Palatino Linotype" w:eastAsia="Palatino Linotype" w:hAnsi="Palatino Linotype" w:cs="Palatino Linotype"/>
          <w:b/>
          <w:sz w:val="24"/>
          <w:szCs w:val="24"/>
        </w:rPr>
        <w:t>01111/SF/IP/2024</w:t>
      </w:r>
      <w:r w:rsidRPr="005C20AF">
        <w:rPr>
          <w:rFonts w:ascii="Palatino Linotype" w:eastAsia="Palatino Linotype" w:hAnsi="Palatino Linotype" w:cs="Palatino Linotype"/>
          <w:sz w:val="24"/>
          <w:szCs w:val="24"/>
        </w:rPr>
        <w:t xml:space="preserve"> en términos del artículo 186 fracción II de la Ley de Transparencia y Acceso a la Información Pública del Estado de México y Municipios.</w:t>
      </w:r>
    </w:p>
    <w:p w14:paraId="1136F193"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sz w:val="24"/>
          <w:szCs w:val="24"/>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03DE5824" w14:textId="77777777" w:rsidR="00175A70" w:rsidRPr="005C20AF" w:rsidRDefault="00FF431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C20AF">
        <w:rPr>
          <w:rFonts w:ascii="Palatino Linotype" w:eastAsia="Palatino Linotype" w:hAnsi="Palatino Linotype" w:cs="Palatino Linotype"/>
          <w:b/>
        </w:rPr>
        <w:t>III. R E S U E L V E</w:t>
      </w:r>
    </w:p>
    <w:p w14:paraId="03E8185A"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bookmarkStart w:id="6" w:name="_heading=h.17dp8vu" w:colFirst="0" w:colLast="0"/>
      <w:bookmarkEnd w:id="6"/>
      <w:r w:rsidRPr="005C20AF">
        <w:rPr>
          <w:rFonts w:ascii="Palatino Linotype" w:eastAsia="Palatino Linotype" w:hAnsi="Palatino Linotype" w:cs="Palatino Linotype"/>
          <w:b/>
        </w:rPr>
        <w:t xml:space="preserve">Primero. </w:t>
      </w:r>
      <w:r w:rsidRPr="005C20AF">
        <w:rPr>
          <w:rFonts w:ascii="Palatino Linotype" w:eastAsia="Palatino Linotype" w:hAnsi="Palatino Linotype" w:cs="Palatino Linotype"/>
          <w:sz w:val="24"/>
          <w:szCs w:val="24"/>
        </w:rPr>
        <w:t xml:space="preserve">Son </w:t>
      </w:r>
      <w:r w:rsidRPr="005C20AF">
        <w:rPr>
          <w:rFonts w:ascii="Palatino Linotype" w:eastAsia="Palatino Linotype" w:hAnsi="Palatino Linotype" w:cs="Palatino Linotype"/>
          <w:b/>
          <w:sz w:val="24"/>
          <w:szCs w:val="24"/>
        </w:rPr>
        <w:t>infundadas</w:t>
      </w:r>
      <w:r w:rsidRPr="005C20AF">
        <w:rPr>
          <w:rFonts w:ascii="Palatino Linotype" w:eastAsia="Palatino Linotype" w:hAnsi="Palatino Linotype" w:cs="Palatino Linotype"/>
          <w:sz w:val="24"/>
          <w:szCs w:val="24"/>
        </w:rPr>
        <w:t xml:space="preserve"> las razones o motivos de inconformidad hechos valer por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en los recursos de revisión </w:t>
      </w:r>
      <w:r w:rsidRPr="005C20AF">
        <w:rPr>
          <w:rFonts w:ascii="Palatino Linotype" w:eastAsia="Palatino Linotype" w:hAnsi="Palatino Linotype" w:cs="Palatino Linotype"/>
          <w:b/>
          <w:sz w:val="24"/>
          <w:szCs w:val="24"/>
        </w:rPr>
        <w:t xml:space="preserve">00209/INFOEM/IP/RR/2025, 00214/INFOEM/IP/RR/2025, 00219/INFOEM/IP/RR/2025, 00224/INFOEM/IP/RR/2025, 00229/INFOEM/IP/RR/2025, 00234/INFOEM/IP/RR/2025, 00239/INFOEM/IP/RR/2025 </w:t>
      </w:r>
      <w:r w:rsidRPr="005C20AF">
        <w:rPr>
          <w:rFonts w:ascii="Palatino Linotype" w:eastAsia="Palatino Linotype" w:hAnsi="Palatino Linotype" w:cs="Palatino Linotype"/>
          <w:sz w:val="24"/>
          <w:szCs w:val="24"/>
        </w:rPr>
        <w:t xml:space="preserve">y </w:t>
      </w:r>
      <w:r w:rsidRPr="005C20AF">
        <w:rPr>
          <w:rFonts w:ascii="Palatino Linotype" w:eastAsia="Palatino Linotype" w:hAnsi="Palatino Linotype" w:cs="Palatino Linotype"/>
          <w:b/>
          <w:sz w:val="24"/>
          <w:szCs w:val="24"/>
        </w:rPr>
        <w:t>00244/INFOEM/IP/RR/2025</w:t>
      </w:r>
      <w:r w:rsidRPr="005C20AF">
        <w:rPr>
          <w:rFonts w:ascii="Palatino Linotype" w:eastAsia="Palatino Linotype" w:hAnsi="Palatino Linotype" w:cs="Palatino Linotype"/>
          <w:sz w:val="24"/>
          <w:szCs w:val="24"/>
        </w:rPr>
        <w:t xml:space="preserve">, por lo que, en términos de los argumentos de derecho señalados en el considerando </w:t>
      </w:r>
      <w:r w:rsidRPr="005C20AF">
        <w:rPr>
          <w:rFonts w:ascii="Palatino Linotype" w:eastAsia="Palatino Linotype" w:hAnsi="Palatino Linotype" w:cs="Palatino Linotype"/>
          <w:b/>
          <w:sz w:val="24"/>
          <w:szCs w:val="24"/>
        </w:rPr>
        <w:t>Cuarto</w:t>
      </w:r>
      <w:r w:rsidRPr="005C20AF">
        <w:rPr>
          <w:rFonts w:ascii="Palatino Linotype" w:eastAsia="Palatino Linotype" w:hAnsi="Palatino Linotype" w:cs="Palatino Linotype"/>
          <w:sz w:val="24"/>
          <w:szCs w:val="24"/>
        </w:rPr>
        <w:t>, se</w:t>
      </w:r>
      <w:r w:rsidRPr="005C20AF">
        <w:rPr>
          <w:rFonts w:ascii="Palatino Linotype" w:eastAsia="Palatino Linotype" w:hAnsi="Palatino Linotype" w:cs="Palatino Linotype"/>
          <w:b/>
          <w:sz w:val="24"/>
          <w:szCs w:val="24"/>
        </w:rPr>
        <w:t xml:space="preserve"> Confirman </w:t>
      </w:r>
      <w:r w:rsidRPr="005C20AF">
        <w:rPr>
          <w:rFonts w:ascii="Palatino Linotype" w:eastAsia="Palatino Linotype" w:hAnsi="Palatino Linotype" w:cs="Palatino Linotype"/>
          <w:sz w:val="24"/>
          <w:szCs w:val="24"/>
        </w:rPr>
        <w:t xml:space="preserve">las respuestas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w:t>
      </w:r>
    </w:p>
    <w:p w14:paraId="79FADBCE"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r w:rsidRPr="005C20AF">
        <w:rPr>
          <w:rFonts w:ascii="Palatino Linotype" w:eastAsia="Palatino Linotype" w:hAnsi="Palatino Linotype" w:cs="Palatino Linotype"/>
          <w:b/>
          <w:sz w:val="24"/>
          <w:szCs w:val="24"/>
        </w:rPr>
        <w:lastRenderedPageBreak/>
        <w:t xml:space="preserve">Segundo. Notifíquese, </w:t>
      </w:r>
      <w:r w:rsidRPr="005C20AF">
        <w:rPr>
          <w:rFonts w:ascii="Palatino Linotype" w:eastAsia="Palatino Linotype" w:hAnsi="Palatino Linotype" w:cs="Palatino Linotype"/>
          <w:sz w:val="24"/>
          <w:szCs w:val="24"/>
        </w:rPr>
        <w:t xml:space="preserve">vía </w:t>
      </w:r>
      <w:r w:rsidRPr="005C20AF">
        <w:rPr>
          <w:rFonts w:ascii="Palatino Linotype" w:eastAsia="Palatino Linotype" w:hAnsi="Palatino Linotype" w:cs="Palatino Linotype"/>
          <w:b/>
          <w:sz w:val="24"/>
          <w:szCs w:val="24"/>
        </w:rPr>
        <w:t xml:space="preserve">SAIMEX, </w:t>
      </w:r>
      <w:r w:rsidRPr="005C20AF">
        <w:rPr>
          <w:rFonts w:ascii="Palatino Linotype" w:eastAsia="Palatino Linotype" w:hAnsi="Palatino Linotype" w:cs="Palatino Linotype"/>
          <w:sz w:val="24"/>
          <w:szCs w:val="24"/>
        </w:rPr>
        <w:t xml:space="preserve">al Titular de la Unidad de Transparencia del </w:t>
      </w:r>
      <w:r w:rsidRPr="005C20AF">
        <w:rPr>
          <w:rFonts w:ascii="Palatino Linotype" w:eastAsia="Palatino Linotype" w:hAnsi="Palatino Linotype" w:cs="Palatino Linotype"/>
          <w:b/>
          <w:sz w:val="24"/>
          <w:szCs w:val="24"/>
        </w:rPr>
        <w:t>Sujeto Obligado</w:t>
      </w:r>
      <w:r w:rsidRPr="005C20AF">
        <w:rPr>
          <w:rFonts w:ascii="Palatino Linotype" w:eastAsia="Palatino Linotype" w:hAnsi="Palatino Linotype" w:cs="Palatino Linotype"/>
          <w:sz w:val="24"/>
          <w:szCs w:val="24"/>
        </w:rPr>
        <w:t xml:space="preserve"> para su conocimiento, la presente resolución.</w:t>
      </w:r>
    </w:p>
    <w:p w14:paraId="27CF66FF" w14:textId="77777777" w:rsidR="00175A70" w:rsidRPr="005C20AF" w:rsidRDefault="00FF431F">
      <w:pPr>
        <w:spacing w:before="240" w:after="240" w:line="360" w:lineRule="auto"/>
        <w:jc w:val="both"/>
        <w:rPr>
          <w:rFonts w:ascii="Palatino Linotype" w:eastAsia="Palatino Linotype" w:hAnsi="Palatino Linotype" w:cs="Palatino Linotype"/>
          <w:sz w:val="24"/>
          <w:szCs w:val="24"/>
        </w:rPr>
      </w:pPr>
      <w:bookmarkStart w:id="7" w:name="_heading=h.3rdcrjn" w:colFirst="0" w:colLast="0"/>
      <w:bookmarkEnd w:id="7"/>
      <w:r w:rsidRPr="005C20AF">
        <w:rPr>
          <w:rFonts w:ascii="Palatino Linotype" w:eastAsia="Palatino Linotype" w:hAnsi="Palatino Linotype" w:cs="Palatino Linotype"/>
          <w:b/>
          <w:sz w:val="24"/>
          <w:szCs w:val="24"/>
        </w:rPr>
        <w:t xml:space="preserve">Tercero.  Notifíquese, </w:t>
      </w:r>
      <w:r w:rsidRPr="005C20AF">
        <w:rPr>
          <w:rFonts w:ascii="Palatino Linotype" w:eastAsia="Palatino Linotype" w:hAnsi="Palatino Linotype" w:cs="Palatino Linotype"/>
          <w:sz w:val="24"/>
          <w:szCs w:val="24"/>
        </w:rPr>
        <w:t xml:space="preserve">vía </w:t>
      </w:r>
      <w:r w:rsidRPr="005C20AF">
        <w:rPr>
          <w:rFonts w:ascii="Palatino Linotype" w:eastAsia="Palatino Linotype" w:hAnsi="Palatino Linotype" w:cs="Palatino Linotype"/>
          <w:b/>
          <w:sz w:val="24"/>
          <w:szCs w:val="24"/>
        </w:rPr>
        <w:t xml:space="preserve">SAIMEX </w:t>
      </w:r>
      <w:r w:rsidRPr="005C20AF">
        <w:rPr>
          <w:rFonts w:ascii="Palatino Linotype" w:eastAsia="Palatino Linotype" w:hAnsi="Palatino Linotype" w:cs="Palatino Linotype"/>
          <w:sz w:val="24"/>
          <w:szCs w:val="24"/>
        </w:rPr>
        <w:t xml:space="preserve">y por correo electrónico, a la parte </w:t>
      </w:r>
      <w:r w:rsidRPr="005C20AF">
        <w:rPr>
          <w:rFonts w:ascii="Palatino Linotype" w:eastAsia="Palatino Linotype" w:hAnsi="Palatino Linotype" w:cs="Palatino Linotype"/>
          <w:b/>
          <w:sz w:val="24"/>
          <w:szCs w:val="24"/>
        </w:rPr>
        <w:t>Recurrente</w:t>
      </w:r>
      <w:r w:rsidRPr="005C20A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AAF1389" w14:textId="77777777" w:rsidR="00175A70" w:rsidRPr="00171908" w:rsidRDefault="00FF431F">
      <w:pPr>
        <w:tabs>
          <w:tab w:val="left" w:pos="8647"/>
        </w:tabs>
        <w:spacing w:before="240" w:after="240" w:line="360" w:lineRule="auto"/>
        <w:ind w:right="51"/>
        <w:jc w:val="both"/>
        <w:rPr>
          <w:rFonts w:ascii="Palatino Linotype" w:eastAsia="Palatino Linotype" w:hAnsi="Palatino Linotype" w:cs="Palatino Linotype"/>
          <w:sz w:val="24"/>
          <w:szCs w:val="24"/>
        </w:rPr>
      </w:pPr>
      <w:bookmarkStart w:id="8" w:name="_heading=h.z337ya" w:colFirst="0" w:colLast="0"/>
      <w:bookmarkEnd w:id="8"/>
      <w:r w:rsidRPr="005C20AF">
        <w:rPr>
          <w:rFonts w:ascii="Palatino Linotype" w:eastAsia="Palatino Linotype" w:hAnsi="Palatino Linotype" w:cs="Palatino Linotype"/>
          <w:sz w:val="24"/>
          <w:szCs w:val="24"/>
        </w:rPr>
        <w:t xml:space="preserve">ASÍ LO RESUELVE, POR </w:t>
      </w:r>
      <w:r w:rsidR="009D18E7" w:rsidRPr="005C20AF">
        <w:rPr>
          <w:rFonts w:ascii="Palatino Linotype" w:eastAsia="Palatino Linotype" w:hAnsi="Palatino Linotype" w:cs="Palatino Linotype"/>
          <w:sz w:val="24"/>
          <w:szCs w:val="24"/>
        </w:rPr>
        <w:t>MAYORÍA DE</w:t>
      </w:r>
      <w:r w:rsidRPr="005C20AF">
        <w:rPr>
          <w:rFonts w:ascii="Palatino Linotype" w:eastAsia="Palatino Linotype" w:hAnsi="Palatino Linotype" w:cs="Palatino Linotype"/>
          <w:sz w:val="24"/>
          <w:szCs w:val="24"/>
        </w:rPr>
        <w:t xml:space="preserv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D18E7" w:rsidRPr="005C20AF">
        <w:rPr>
          <w:rFonts w:ascii="Palatino Linotype" w:eastAsia="Palatino Linotype" w:hAnsi="Palatino Linotype" w:cs="Palatino Linotype"/>
          <w:sz w:val="24"/>
          <w:szCs w:val="24"/>
        </w:rPr>
        <w:t>, EMITIENDO VOTO DISIDENTE;</w:t>
      </w:r>
      <w:r w:rsidRPr="005C20AF">
        <w:rPr>
          <w:rFonts w:ascii="Palatino Linotype" w:eastAsia="Palatino Linotype" w:hAnsi="Palatino Linotype" w:cs="Palatino Linotype"/>
          <w:sz w:val="24"/>
          <w:szCs w:val="24"/>
        </w:rPr>
        <w:t xml:space="preserve"> LUIS GUSTAVO PARRA NORIEGA</w:t>
      </w:r>
      <w:r w:rsidR="009D18E7" w:rsidRPr="005C20AF">
        <w:rPr>
          <w:rFonts w:ascii="Palatino Linotype" w:eastAsia="Palatino Linotype" w:hAnsi="Palatino Linotype" w:cs="Palatino Linotype"/>
          <w:sz w:val="24"/>
          <w:szCs w:val="24"/>
        </w:rPr>
        <w:t>, EMITIENDO VOTO DISIDENTE</w:t>
      </w:r>
      <w:r w:rsidRPr="005C20AF">
        <w:rPr>
          <w:rFonts w:ascii="Palatino Linotype" w:eastAsia="Palatino Linotype" w:hAnsi="Palatino Linotype" w:cs="Palatino Linotype"/>
          <w:sz w:val="24"/>
          <w:szCs w:val="24"/>
        </w:rPr>
        <w:t>; Y GUADALUPE RAMÍREZ PEÑA, EN LA SÉPTIMA SESIÓN ORDINARIA CELEBRADA EL VEINTISÉIS DE FEBRERO DE DOS MIL VEINTICINCO, ANTE EL SECRETARIO TÉCNICO DEL PLENO ALEXIS TAPIA RAMÍREZ.</w:t>
      </w:r>
    </w:p>
    <w:p w14:paraId="098D52E1" w14:textId="77777777" w:rsidR="00175A70" w:rsidRPr="00171908" w:rsidRDefault="00175A70">
      <w:pPr>
        <w:spacing w:line="360" w:lineRule="auto"/>
        <w:jc w:val="both"/>
        <w:rPr>
          <w:rFonts w:ascii="Palatino Linotype" w:eastAsia="Palatino Linotype" w:hAnsi="Palatino Linotype" w:cs="Palatino Linotype"/>
        </w:rPr>
      </w:pPr>
    </w:p>
    <w:p w14:paraId="0DB128A1" w14:textId="77777777" w:rsidR="00175A70" w:rsidRPr="00171908" w:rsidRDefault="00175A70">
      <w:pPr>
        <w:spacing w:line="360" w:lineRule="auto"/>
        <w:jc w:val="both"/>
        <w:rPr>
          <w:rFonts w:ascii="Palatino Linotype" w:eastAsia="Palatino Linotype" w:hAnsi="Palatino Linotype" w:cs="Palatino Linotype"/>
        </w:rPr>
      </w:pPr>
    </w:p>
    <w:p w14:paraId="60706661" w14:textId="77777777" w:rsidR="00175A70" w:rsidRPr="00171908" w:rsidRDefault="00175A70">
      <w:pPr>
        <w:spacing w:after="0" w:line="360" w:lineRule="auto"/>
        <w:ind w:right="49"/>
        <w:jc w:val="both"/>
        <w:rPr>
          <w:rFonts w:ascii="Palatino Linotype" w:eastAsia="Palatino Linotype" w:hAnsi="Palatino Linotype" w:cs="Palatino Linotype"/>
        </w:rPr>
      </w:pPr>
    </w:p>
    <w:p w14:paraId="5314726D" w14:textId="77777777" w:rsidR="00175A70" w:rsidRPr="00171908" w:rsidRDefault="00175A70">
      <w:pPr>
        <w:spacing w:after="0" w:line="360" w:lineRule="auto"/>
        <w:ind w:right="49"/>
        <w:jc w:val="both"/>
        <w:rPr>
          <w:rFonts w:ascii="Palatino Linotype" w:eastAsia="Palatino Linotype" w:hAnsi="Palatino Linotype" w:cs="Palatino Linotype"/>
        </w:rPr>
      </w:pPr>
    </w:p>
    <w:p w14:paraId="52769B9C" w14:textId="77777777" w:rsidR="00175A70" w:rsidRPr="00171908" w:rsidRDefault="00175A70">
      <w:pPr>
        <w:spacing w:after="0" w:line="360" w:lineRule="auto"/>
        <w:ind w:right="49"/>
        <w:jc w:val="both"/>
        <w:rPr>
          <w:rFonts w:ascii="Palatino Linotype" w:eastAsia="Palatino Linotype" w:hAnsi="Palatino Linotype" w:cs="Palatino Linotype"/>
        </w:rPr>
      </w:pPr>
    </w:p>
    <w:p w14:paraId="2B3C8B9C" w14:textId="77777777" w:rsidR="00175A70" w:rsidRPr="00171908" w:rsidRDefault="00175A70">
      <w:pPr>
        <w:spacing w:after="0" w:line="360" w:lineRule="auto"/>
        <w:ind w:right="49"/>
        <w:jc w:val="both"/>
        <w:rPr>
          <w:rFonts w:ascii="Palatino Linotype" w:eastAsia="Palatino Linotype" w:hAnsi="Palatino Linotype" w:cs="Palatino Linotype"/>
        </w:rPr>
      </w:pPr>
    </w:p>
    <w:p w14:paraId="4CC4B4A4" w14:textId="77777777" w:rsidR="00175A70" w:rsidRPr="00171908" w:rsidRDefault="00175A70">
      <w:pPr>
        <w:spacing w:after="0" w:line="360" w:lineRule="auto"/>
        <w:ind w:right="49"/>
        <w:jc w:val="both"/>
        <w:rPr>
          <w:rFonts w:ascii="Palatino Linotype" w:eastAsia="Palatino Linotype" w:hAnsi="Palatino Linotype" w:cs="Palatino Linotype"/>
        </w:rPr>
      </w:pPr>
    </w:p>
    <w:p w14:paraId="3152D0AB" w14:textId="77777777" w:rsidR="00175A70" w:rsidRPr="00171908" w:rsidRDefault="00175A70">
      <w:pPr>
        <w:spacing w:after="0" w:line="360" w:lineRule="auto"/>
        <w:ind w:right="49"/>
        <w:jc w:val="both"/>
        <w:rPr>
          <w:rFonts w:ascii="Palatino Linotype" w:eastAsia="Palatino Linotype" w:hAnsi="Palatino Linotype" w:cs="Palatino Linotype"/>
        </w:rPr>
      </w:pPr>
    </w:p>
    <w:p w14:paraId="511C08D6" w14:textId="77777777" w:rsidR="00175A70" w:rsidRPr="00171908" w:rsidRDefault="00175A70">
      <w:pPr>
        <w:spacing w:after="0" w:line="360" w:lineRule="auto"/>
        <w:ind w:right="49"/>
        <w:jc w:val="both"/>
        <w:rPr>
          <w:rFonts w:ascii="Palatino Linotype" w:eastAsia="Palatino Linotype" w:hAnsi="Palatino Linotype" w:cs="Palatino Linotype"/>
        </w:rPr>
      </w:pPr>
    </w:p>
    <w:p w14:paraId="3B8BD5FB" w14:textId="77777777" w:rsidR="00175A70" w:rsidRPr="00171908" w:rsidRDefault="00175A70">
      <w:pPr>
        <w:spacing w:after="0" w:line="360" w:lineRule="auto"/>
        <w:ind w:right="49"/>
        <w:jc w:val="both"/>
        <w:rPr>
          <w:rFonts w:ascii="Palatino Linotype" w:eastAsia="Palatino Linotype" w:hAnsi="Palatino Linotype" w:cs="Palatino Linotype"/>
        </w:rPr>
      </w:pPr>
    </w:p>
    <w:p w14:paraId="7E9CC8A9" w14:textId="77777777" w:rsidR="00175A70" w:rsidRPr="00171908" w:rsidRDefault="00175A70">
      <w:pPr>
        <w:spacing w:after="0" w:line="360" w:lineRule="auto"/>
        <w:ind w:right="49"/>
        <w:jc w:val="both"/>
        <w:rPr>
          <w:rFonts w:ascii="Palatino Linotype" w:eastAsia="Palatino Linotype" w:hAnsi="Palatino Linotype" w:cs="Palatino Linotype"/>
        </w:rPr>
      </w:pPr>
    </w:p>
    <w:p w14:paraId="5FCAEA5D" w14:textId="77777777" w:rsidR="00175A70" w:rsidRPr="00171908" w:rsidRDefault="00175A70">
      <w:pPr>
        <w:spacing w:after="0" w:line="360" w:lineRule="auto"/>
        <w:ind w:right="49"/>
        <w:jc w:val="both"/>
        <w:rPr>
          <w:rFonts w:ascii="Palatino Linotype" w:eastAsia="Palatino Linotype" w:hAnsi="Palatino Linotype" w:cs="Palatino Linotype"/>
        </w:rPr>
      </w:pPr>
    </w:p>
    <w:p w14:paraId="068DCC14" w14:textId="77777777" w:rsidR="00175A70" w:rsidRPr="00171908" w:rsidRDefault="00175A70">
      <w:pPr>
        <w:spacing w:after="0" w:line="360" w:lineRule="auto"/>
        <w:ind w:right="49"/>
        <w:jc w:val="both"/>
        <w:rPr>
          <w:rFonts w:ascii="Palatino Linotype" w:eastAsia="Palatino Linotype" w:hAnsi="Palatino Linotype" w:cs="Palatino Linotype"/>
        </w:rPr>
      </w:pPr>
    </w:p>
    <w:p w14:paraId="08DACA06" w14:textId="77777777" w:rsidR="00175A70" w:rsidRPr="00171908" w:rsidRDefault="00175A70">
      <w:pPr>
        <w:spacing w:after="0" w:line="360" w:lineRule="auto"/>
        <w:ind w:right="49"/>
        <w:jc w:val="both"/>
        <w:rPr>
          <w:rFonts w:ascii="Palatino Linotype" w:eastAsia="Palatino Linotype" w:hAnsi="Palatino Linotype" w:cs="Palatino Linotype"/>
        </w:rPr>
      </w:pPr>
    </w:p>
    <w:p w14:paraId="4C8508D8" w14:textId="77777777" w:rsidR="00175A70" w:rsidRPr="00171908" w:rsidRDefault="00175A70">
      <w:pPr>
        <w:spacing w:after="0" w:line="360" w:lineRule="auto"/>
        <w:ind w:right="49"/>
        <w:jc w:val="both"/>
        <w:rPr>
          <w:rFonts w:ascii="Palatino Linotype" w:eastAsia="Palatino Linotype" w:hAnsi="Palatino Linotype" w:cs="Palatino Linotype"/>
        </w:rPr>
      </w:pPr>
    </w:p>
    <w:p w14:paraId="26B116F2" w14:textId="77777777" w:rsidR="00175A70" w:rsidRPr="00171908" w:rsidRDefault="00175A70">
      <w:pPr>
        <w:spacing w:after="0" w:line="360" w:lineRule="auto"/>
        <w:ind w:right="49"/>
        <w:jc w:val="both"/>
        <w:rPr>
          <w:rFonts w:ascii="Palatino Linotype" w:eastAsia="Palatino Linotype" w:hAnsi="Palatino Linotype" w:cs="Palatino Linotype"/>
        </w:rPr>
      </w:pPr>
    </w:p>
    <w:p w14:paraId="72C9F889" w14:textId="77777777" w:rsidR="00175A70" w:rsidRPr="00171908" w:rsidRDefault="00175A70">
      <w:pPr>
        <w:spacing w:after="0" w:line="360" w:lineRule="auto"/>
        <w:ind w:right="49"/>
        <w:jc w:val="both"/>
        <w:rPr>
          <w:rFonts w:ascii="Palatino Linotype" w:eastAsia="Palatino Linotype" w:hAnsi="Palatino Linotype" w:cs="Palatino Linotype"/>
        </w:rPr>
      </w:pPr>
    </w:p>
    <w:sectPr w:rsidR="00175A70" w:rsidRPr="00171908">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2EFA" w14:textId="77777777" w:rsidR="0059193C" w:rsidRDefault="0059193C">
      <w:pPr>
        <w:spacing w:after="0" w:line="240" w:lineRule="auto"/>
      </w:pPr>
      <w:r>
        <w:separator/>
      </w:r>
    </w:p>
  </w:endnote>
  <w:endnote w:type="continuationSeparator" w:id="0">
    <w:p w14:paraId="0835E74D" w14:textId="77777777" w:rsidR="0059193C" w:rsidRDefault="0059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FB2C" w14:textId="77777777" w:rsidR="00175A70" w:rsidRDefault="00FF431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C20AF">
      <w:rPr>
        <w:b/>
        <w:noProof/>
        <w:color w:val="000000"/>
        <w:sz w:val="24"/>
        <w:szCs w:val="24"/>
      </w:rPr>
      <w:t>56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C20AF">
      <w:rPr>
        <w:b/>
        <w:noProof/>
        <w:color w:val="000000"/>
        <w:sz w:val="24"/>
        <w:szCs w:val="24"/>
      </w:rPr>
      <w:t>58</w:t>
    </w:r>
    <w:r>
      <w:rPr>
        <w:b/>
        <w:color w:val="000000"/>
        <w:sz w:val="24"/>
        <w:szCs w:val="24"/>
      </w:rPr>
      <w:fldChar w:fldCharType="end"/>
    </w:r>
  </w:p>
  <w:p w14:paraId="16DF8208" w14:textId="77777777" w:rsidR="00175A70" w:rsidRDefault="00175A7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C094" w14:textId="77777777" w:rsidR="00175A70" w:rsidRDefault="00FF431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C20A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C20AF">
      <w:rPr>
        <w:b/>
        <w:noProof/>
        <w:color w:val="000000"/>
        <w:sz w:val="24"/>
        <w:szCs w:val="24"/>
      </w:rPr>
      <w:t>58</w:t>
    </w:r>
    <w:r>
      <w:rPr>
        <w:b/>
        <w:color w:val="000000"/>
        <w:sz w:val="24"/>
        <w:szCs w:val="24"/>
      </w:rPr>
      <w:fldChar w:fldCharType="end"/>
    </w:r>
  </w:p>
  <w:p w14:paraId="40C0E32E" w14:textId="77777777" w:rsidR="00175A70" w:rsidRDefault="00175A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F23B6" w14:textId="77777777" w:rsidR="0059193C" w:rsidRDefault="0059193C">
      <w:pPr>
        <w:spacing w:after="0" w:line="240" w:lineRule="auto"/>
      </w:pPr>
      <w:r>
        <w:separator/>
      </w:r>
    </w:p>
  </w:footnote>
  <w:footnote w:type="continuationSeparator" w:id="0">
    <w:p w14:paraId="0273E11E" w14:textId="77777777" w:rsidR="0059193C" w:rsidRDefault="0059193C">
      <w:pPr>
        <w:spacing w:after="0" w:line="240" w:lineRule="auto"/>
      </w:pPr>
      <w:r>
        <w:continuationSeparator/>
      </w:r>
    </w:p>
  </w:footnote>
  <w:footnote w:id="1">
    <w:p w14:paraId="2CC3062F" w14:textId="77777777" w:rsidR="00175A70" w:rsidRDefault="00FF431F">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79D1" w14:textId="77777777" w:rsidR="00175A70" w:rsidRDefault="00FF431F">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2A9CEE23" wp14:editId="6168894F">
          <wp:simplePos x="0" y="0"/>
          <wp:positionH relativeFrom="column">
            <wp:posOffset>-716841</wp:posOffset>
          </wp:positionH>
          <wp:positionV relativeFrom="paragraph">
            <wp:posOffset>-421002</wp:posOffset>
          </wp:positionV>
          <wp:extent cx="7809876" cy="10165823"/>
          <wp:effectExtent l="0" t="0" r="0" b="0"/>
          <wp:wrapNone/>
          <wp:docPr id="2140131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3"/>
      <w:tblW w:w="5953" w:type="dxa"/>
      <w:tblInd w:w="3261" w:type="dxa"/>
      <w:tblLayout w:type="fixed"/>
      <w:tblLook w:val="0400" w:firstRow="0" w:lastRow="0" w:firstColumn="0" w:lastColumn="0" w:noHBand="0" w:noVBand="1"/>
    </w:tblPr>
    <w:tblGrid>
      <w:gridCol w:w="2551"/>
      <w:gridCol w:w="3402"/>
    </w:tblGrid>
    <w:tr w:rsidR="00175A70" w14:paraId="55681B63" w14:textId="77777777">
      <w:tc>
        <w:tcPr>
          <w:tcW w:w="2551" w:type="dxa"/>
          <w:vAlign w:val="center"/>
        </w:tcPr>
        <w:p w14:paraId="01FC1561"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402" w:type="dxa"/>
          <w:vAlign w:val="center"/>
        </w:tcPr>
        <w:p w14:paraId="3ECCE488"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00209/INFOEM/IP/RR/2025 y acumulados</w:t>
          </w:r>
        </w:p>
      </w:tc>
    </w:tr>
    <w:tr w:rsidR="00175A70" w14:paraId="26C77D1D" w14:textId="77777777">
      <w:trPr>
        <w:trHeight w:val="217"/>
      </w:trPr>
      <w:tc>
        <w:tcPr>
          <w:tcW w:w="2551" w:type="dxa"/>
          <w:vAlign w:val="center"/>
        </w:tcPr>
        <w:p w14:paraId="15EF779D"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402" w:type="dxa"/>
          <w:vAlign w:val="center"/>
        </w:tcPr>
        <w:p w14:paraId="1ECC82ED" w14:textId="77777777" w:rsidR="00175A70" w:rsidRDefault="00FF431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Finanzas</w:t>
          </w:r>
        </w:p>
      </w:tc>
    </w:tr>
    <w:tr w:rsidR="00175A70" w14:paraId="64DE8AB2" w14:textId="77777777">
      <w:tc>
        <w:tcPr>
          <w:tcW w:w="2551" w:type="dxa"/>
          <w:vAlign w:val="center"/>
        </w:tcPr>
        <w:p w14:paraId="4E179228"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402" w:type="dxa"/>
          <w:vAlign w:val="center"/>
        </w:tcPr>
        <w:p w14:paraId="794EF373"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87BBBAF" w14:textId="77777777" w:rsidR="00175A70" w:rsidRDefault="00175A7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987A" w14:textId="77777777" w:rsidR="00175A70" w:rsidRDefault="00FF431F">
    <w:pPr>
      <w:widowControl w:val="0"/>
      <w:pBdr>
        <w:top w:val="nil"/>
        <w:left w:val="nil"/>
        <w:bottom w:val="nil"/>
        <w:right w:val="nil"/>
        <w:between w:val="nil"/>
      </w:pBdr>
      <w:spacing w:after="0" w:line="240" w:lineRule="auto"/>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02687851" wp14:editId="7CDC5C04">
          <wp:simplePos x="0" y="0"/>
          <wp:positionH relativeFrom="column">
            <wp:posOffset>-725795</wp:posOffset>
          </wp:positionH>
          <wp:positionV relativeFrom="paragraph">
            <wp:posOffset>-29833</wp:posOffset>
          </wp:positionV>
          <wp:extent cx="7809865" cy="10165715"/>
          <wp:effectExtent l="0" t="0" r="0" b="0"/>
          <wp:wrapNone/>
          <wp:docPr id="21401318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6095" w:type="dxa"/>
      <w:tblInd w:w="3119" w:type="dxa"/>
      <w:tblLayout w:type="fixed"/>
      <w:tblLook w:val="0400" w:firstRow="0" w:lastRow="0" w:firstColumn="0" w:lastColumn="0" w:noHBand="0" w:noVBand="1"/>
    </w:tblPr>
    <w:tblGrid>
      <w:gridCol w:w="2693"/>
      <w:gridCol w:w="3402"/>
    </w:tblGrid>
    <w:tr w:rsidR="00175A70" w14:paraId="6ABE41AA" w14:textId="77777777">
      <w:tc>
        <w:tcPr>
          <w:tcW w:w="2693" w:type="dxa"/>
          <w:vAlign w:val="center"/>
        </w:tcPr>
        <w:p w14:paraId="24947463"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402" w:type="dxa"/>
          <w:vAlign w:val="center"/>
        </w:tcPr>
        <w:p w14:paraId="6E41BB60"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00209/INFOEM/IP/RR/2025 y acumulados</w:t>
          </w:r>
        </w:p>
      </w:tc>
    </w:tr>
    <w:tr w:rsidR="00175A70" w14:paraId="6037D995" w14:textId="77777777">
      <w:tc>
        <w:tcPr>
          <w:tcW w:w="2693" w:type="dxa"/>
          <w:vAlign w:val="center"/>
        </w:tcPr>
        <w:p w14:paraId="1FEA1743"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402" w:type="dxa"/>
          <w:vAlign w:val="center"/>
        </w:tcPr>
        <w:p w14:paraId="728B2C85" w14:textId="47D4B279" w:rsidR="00175A70" w:rsidRDefault="00CA43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 XXXXXXX XXXXX </w:t>
          </w:r>
        </w:p>
      </w:tc>
    </w:tr>
    <w:tr w:rsidR="00175A70" w14:paraId="73035443" w14:textId="77777777">
      <w:trPr>
        <w:trHeight w:val="152"/>
      </w:trPr>
      <w:tc>
        <w:tcPr>
          <w:tcW w:w="2693" w:type="dxa"/>
          <w:vAlign w:val="center"/>
        </w:tcPr>
        <w:p w14:paraId="59A31F4A" w14:textId="77777777" w:rsidR="00175A70" w:rsidRDefault="00FF431F">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402" w:type="dxa"/>
          <w:vAlign w:val="center"/>
        </w:tcPr>
        <w:p w14:paraId="61F444E1" w14:textId="77777777" w:rsidR="00175A70" w:rsidRDefault="00FF431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9" w:name="_heading=h.tyjcwt" w:colFirst="0" w:colLast="0"/>
          <w:bookmarkEnd w:id="9"/>
          <w:r>
            <w:rPr>
              <w:rFonts w:ascii="Palatino Linotype" w:eastAsia="Palatino Linotype" w:hAnsi="Palatino Linotype" w:cs="Palatino Linotype"/>
              <w:b/>
              <w:color w:val="000000"/>
            </w:rPr>
            <w:t>Secretaría de Finanzas</w:t>
          </w:r>
        </w:p>
      </w:tc>
    </w:tr>
    <w:tr w:rsidR="00175A70" w14:paraId="73085EF9" w14:textId="77777777">
      <w:tc>
        <w:tcPr>
          <w:tcW w:w="2693" w:type="dxa"/>
          <w:vAlign w:val="center"/>
        </w:tcPr>
        <w:p w14:paraId="61C47716"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402" w:type="dxa"/>
          <w:vAlign w:val="center"/>
        </w:tcPr>
        <w:p w14:paraId="491984CC" w14:textId="77777777" w:rsidR="00175A70" w:rsidRDefault="00FF43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33060A2" w14:textId="77777777" w:rsidR="00175A70" w:rsidRDefault="00FF431F">
    <w:pPr>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74D24"/>
    <w:multiLevelType w:val="multilevel"/>
    <w:tmpl w:val="21E0EA68"/>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A70"/>
    <w:rsid w:val="00171908"/>
    <w:rsid w:val="00175A70"/>
    <w:rsid w:val="002353B2"/>
    <w:rsid w:val="0059193C"/>
    <w:rsid w:val="005C20AF"/>
    <w:rsid w:val="009D18E7"/>
    <w:rsid w:val="00CA4363"/>
    <w:rsid w:val="00FF43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F3FCF"/>
  <w15:docId w15:val="{35999BC9-0F45-485E-978B-5A6BCBCE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top w:w="15" w:type="dxa"/>
        <w:left w:w="15" w:type="dxa"/>
        <w:bottom w:w="15" w:type="dxa"/>
        <w:right w:w="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top w:w="15" w:type="dxa"/>
        <w:left w:w="15" w:type="dxa"/>
        <w:bottom w:w="15" w:type="dxa"/>
        <w:right w:w="15" w:type="dxa"/>
      </w:tblCellMar>
    </w:tblPr>
  </w:style>
  <w:style w:type="table" w:customStyle="1" w:styleId="a4">
    <w:basedOn w:val="TableNormal6"/>
    <w:pPr>
      <w:spacing w:after="0" w:line="240" w:lineRule="auto"/>
    </w:pPr>
    <w:tblPr>
      <w:tblStyleRowBandSize w:val="1"/>
      <w:tblStyleColBandSize w:val="1"/>
      <w:tblCellMar>
        <w:left w:w="108" w:type="dxa"/>
        <w:right w:w="108" w:type="dxa"/>
      </w:tblCellMar>
    </w:tblPr>
  </w:style>
  <w:style w:type="table" w:customStyle="1" w:styleId="a5">
    <w:basedOn w:val="TableNormal6"/>
    <w:pPr>
      <w:spacing w:after="0" w:line="240" w:lineRule="auto"/>
    </w:pPr>
    <w:tblPr>
      <w:tblStyleRowBandSize w:val="1"/>
      <w:tblStyleColBandSize w:val="1"/>
      <w:tblCellMar>
        <w:left w:w="108" w:type="dxa"/>
        <w:right w:w="108" w:type="dxa"/>
      </w:tblCellMar>
    </w:tblPr>
  </w:style>
  <w:style w:type="table" w:customStyle="1" w:styleId="a6">
    <w:basedOn w:val="TableNormal6"/>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6"/>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4"/>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4"/>
    <w:pPr>
      <w:spacing w:after="0" w:line="240" w:lineRule="auto"/>
    </w:pPr>
    <w:tblPr>
      <w:tblStyleRowBandSize w:val="1"/>
      <w:tblStyleColBandSize w:val="1"/>
      <w:tblCellMar>
        <w:left w:w="108" w:type="dxa"/>
        <w:right w:w="108" w:type="dxa"/>
      </w:tblCellMar>
    </w:tblPr>
  </w:style>
  <w:style w:type="table" w:customStyle="1" w:styleId="af3">
    <w:basedOn w:val="TableNormal4"/>
    <w:pPr>
      <w:spacing w:after="0" w:line="240" w:lineRule="auto"/>
    </w:pPr>
    <w:tblPr>
      <w:tblStyleRowBandSize w:val="1"/>
      <w:tblStyleColBandSize w:val="1"/>
      <w:tblCellMar>
        <w:left w:w="108" w:type="dxa"/>
        <w:right w:w="108" w:type="dxa"/>
      </w:tblCellMar>
    </w:tblPr>
  </w:style>
  <w:style w:type="table" w:customStyle="1" w:styleId="af4">
    <w:basedOn w:val="TableNormal4"/>
    <w:pPr>
      <w:spacing w:after="0" w:line="240" w:lineRule="auto"/>
    </w:pPr>
    <w:tblPr>
      <w:tblStyleRowBandSize w:val="1"/>
      <w:tblStyleColBandSize w:val="1"/>
      <w:tblCellMar>
        <w:top w:w="15" w:type="dxa"/>
        <w:left w:w="115" w:type="dxa"/>
        <w:bottom w:w="15" w:type="dxa"/>
        <w:right w:w="115" w:type="dxa"/>
      </w:tblCellMar>
    </w:tblPr>
  </w:style>
  <w:style w:type="table" w:customStyle="1" w:styleId="af5">
    <w:basedOn w:val="TableNormal4"/>
    <w:pPr>
      <w:spacing w:after="0" w:line="240" w:lineRule="auto"/>
    </w:pPr>
    <w:tblPr>
      <w:tblStyleRowBandSize w:val="1"/>
      <w:tblStyleColBandSize w:val="1"/>
      <w:tblCellMar>
        <w:top w:w="15" w:type="dxa"/>
        <w:left w:w="115" w:type="dxa"/>
        <w:bottom w:w="15" w:type="dxa"/>
        <w:right w:w="115" w:type="dxa"/>
      </w:tblCellMar>
    </w:tblPr>
  </w:style>
  <w:style w:type="paragraph" w:styleId="Textodeglobo">
    <w:name w:val="Balloon Text"/>
    <w:basedOn w:val="Normal"/>
    <w:link w:val="TextodegloboCar"/>
    <w:uiPriority w:val="99"/>
    <w:semiHidden/>
    <w:unhideWhenUsed/>
    <w:rsid w:val="00C224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4FF"/>
    <w:rPr>
      <w:rFonts w:ascii="Segoe UI" w:eastAsia="Times New Roman" w:hAnsi="Segoe UI" w:cs="Segoe UI"/>
      <w:sz w:val="18"/>
      <w:szCs w:val="18"/>
      <w:lang w:eastAsia="en-US"/>
    </w:rPr>
  </w:style>
  <w:style w:type="character" w:customStyle="1" w:styleId="Mencinsinresolver4">
    <w:name w:val="Mención sin resolver4"/>
    <w:basedOn w:val="Fuentedeprrafopredeter"/>
    <w:uiPriority w:val="99"/>
    <w:semiHidden/>
    <w:unhideWhenUsed/>
    <w:rsid w:val="00572A3F"/>
    <w:rPr>
      <w:color w:val="605E5C"/>
      <w:shd w:val="clear" w:color="auto" w:fill="E1DFDD"/>
    </w:rPr>
  </w:style>
  <w:style w:type="character" w:styleId="Hipervnculovisitado">
    <w:name w:val="FollowedHyperlink"/>
    <w:basedOn w:val="Fuentedeprrafopredeter"/>
    <w:uiPriority w:val="99"/>
    <w:semiHidden/>
    <w:unhideWhenUsed/>
    <w:rsid w:val="00C215F7"/>
    <w:rPr>
      <w:color w:val="954F72" w:themeColor="followedHyperlink"/>
      <w:u w:val="single"/>
    </w:rPr>
  </w:style>
  <w:style w:type="table" w:customStyle="1" w:styleId="af6">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pPr>
      <w:spacing w:after="0" w:line="240" w:lineRule="auto"/>
    </w:pPr>
    <w:tblPr>
      <w:tblStyleRowBandSize w:val="1"/>
      <w:tblStyleColBandSize w:val="1"/>
      <w:tblCellMar>
        <w:left w:w="108" w:type="dxa"/>
        <w:right w:w="108"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fb">
    <w:basedOn w:val="TableNormal3"/>
    <w:pPr>
      <w:spacing w:after="0" w:line="240" w:lineRule="auto"/>
    </w:pPr>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9770C"/>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9770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99770C"/>
    <w:rPr>
      <w:vertAlign w:val="superscript"/>
    </w:rPr>
  </w:style>
  <w:style w:type="table" w:customStyle="1" w:styleId="afc">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d">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e">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1">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f3">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f4">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9.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s4EFNE4Gz/Sl1aoQC5S4TFwJQ==">CgMxLjAyCWguMzBqMHpsbDIJaC4xZm9iOXRlMgloLjN6bnlzaDcyCGguZ2pkZ3hzMgloLjRkMzRvZzgyCWguMnM4ZXlvMTIJaC4xN2RwOHZ1MgloLjNyZGNyam4yCGguejMzN3lhMghoLnR5amN3dDgAciExcTZaQ0J2X0tUSkVfRWV2UXRJMGkyMW5qWnZDOVphRHI=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58</Pages>
  <Words>13688</Words>
  <Characters>75288</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2025-02-28T15:56:00Z</cp:lastPrinted>
  <dcterms:created xsi:type="dcterms:W3CDTF">2025-03-05T23:48:00Z</dcterms:created>
  <dcterms:modified xsi:type="dcterms:W3CDTF">2025-03-05T23:48:00Z</dcterms:modified>
</cp:coreProperties>
</file>