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B65C2" w14:textId="5486A779" w:rsidR="00320E68" w:rsidRPr="00B1610D" w:rsidRDefault="00146250">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B1610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3F08CD" w:rsidRPr="00B1610D">
        <w:rPr>
          <w:rFonts w:ascii="Palatino Linotype" w:eastAsia="Palatino Linotype" w:hAnsi="Palatino Linotype" w:cs="Palatino Linotype"/>
          <w:sz w:val="22"/>
          <w:szCs w:val="22"/>
        </w:rPr>
        <w:t>veinte</w:t>
      </w:r>
      <w:r w:rsidR="00021569" w:rsidRPr="00B1610D">
        <w:rPr>
          <w:rFonts w:ascii="Palatino Linotype" w:eastAsia="Palatino Linotype" w:hAnsi="Palatino Linotype" w:cs="Palatino Linotype"/>
          <w:sz w:val="22"/>
          <w:szCs w:val="22"/>
        </w:rPr>
        <w:t xml:space="preserve"> de noviembre</w:t>
      </w:r>
      <w:r w:rsidRPr="00B1610D">
        <w:rPr>
          <w:rFonts w:ascii="Palatino Linotype" w:eastAsia="Palatino Linotype" w:hAnsi="Palatino Linotype" w:cs="Palatino Linotype"/>
          <w:sz w:val="22"/>
          <w:szCs w:val="22"/>
        </w:rPr>
        <w:t xml:space="preserve"> de dos mil veinticinco. </w:t>
      </w:r>
    </w:p>
    <w:p w14:paraId="33DB6F9C" w14:textId="1AC595BC" w:rsidR="00320E68" w:rsidRPr="00B1610D" w:rsidRDefault="00146250">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B1610D">
        <w:rPr>
          <w:rFonts w:ascii="Palatino Linotype" w:eastAsia="Palatino Linotype" w:hAnsi="Palatino Linotype" w:cs="Palatino Linotype"/>
          <w:b/>
          <w:sz w:val="22"/>
          <w:szCs w:val="22"/>
        </w:rPr>
        <w:t>VISTO</w:t>
      </w:r>
      <w:r w:rsidRPr="00B1610D">
        <w:rPr>
          <w:rFonts w:ascii="Palatino Linotype" w:eastAsia="Palatino Linotype" w:hAnsi="Palatino Linotype" w:cs="Palatino Linotype"/>
          <w:sz w:val="22"/>
          <w:szCs w:val="22"/>
        </w:rPr>
        <w:t xml:space="preserve"> el expediente formado con motivo del recurso de revisión </w:t>
      </w:r>
      <w:r w:rsidR="00CA74B5" w:rsidRPr="00B1610D">
        <w:rPr>
          <w:rFonts w:ascii="Palatino Linotype" w:eastAsia="Palatino Linotype" w:hAnsi="Palatino Linotype" w:cs="Palatino Linotype"/>
          <w:b/>
          <w:sz w:val="22"/>
          <w:szCs w:val="22"/>
        </w:rPr>
        <w:t>08729</w:t>
      </w:r>
      <w:r w:rsidRPr="00B1610D">
        <w:rPr>
          <w:rFonts w:ascii="Palatino Linotype" w:eastAsia="Palatino Linotype" w:hAnsi="Palatino Linotype" w:cs="Palatino Linotype"/>
          <w:b/>
          <w:sz w:val="22"/>
          <w:szCs w:val="22"/>
        </w:rPr>
        <w:t>/INFOEM/IP/RR/2025</w:t>
      </w:r>
      <w:r w:rsidRPr="00B1610D">
        <w:rPr>
          <w:rFonts w:ascii="Palatino Linotype" w:eastAsia="Palatino Linotype" w:hAnsi="Palatino Linotype" w:cs="Palatino Linotype"/>
          <w:sz w:val="22"/>
          <w:szCs w:val="22"/>
        </w:rPr>
        <w:t>, interpuesto por</w:t>
      </w:r>
      <w:r w:rsidR="00CA74B5" w:rsidRPr="00B1610D">
        <w:rPr>
          <w:rFonts w:ascii="Palatino Linotype" w:eastAsia="Palatino Linotype" w:hAnsi="Palatino Linotype" w:cs="Palatino Linotype"/>
          <w:sz w:val="22"/>
          <w:szCs w:val="22"/>
        </w:rPr>
        <w:t xml:space="preserve"> </w:t>
      </w:r>
      <w:r w:rsidR="00B429E7">
        <w:rPr>
          <w:rFonts w:ascii="Palatino Linotype" w:eastAsia="Palatino Linotype" w:hAnsi="Palatino Linotype" w:cs="Palatino Linotype"/>
          <w:b/>
          <w:sz w:val="22"/>
          <w:szCs w:val="22"/>
        </w:rPr>
        <w:t>XXXXXXXX XXXXXXX XXXXXXXX</w:t>
      </w:r>
      <w:r w:rsidR="00021569" w:rsidRPr="00B1610D">
        <w:rPr>
          <w:rFonts w:ascii="Palatino Linotype" w:eastAsia="Palatino Linotype" w:hAnsi="Palatino Linotype" w:cs="Palatino Linotype"/>
          <w:b/>
          <w:sz w:val="22"/>
          <w:szCs w:val="22"/>
        </w:rPr>
        <w:t>,</w:t>
      </w:r>
      <w:r w:rsidR="00021569"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en lo sucesivo</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la parte </w:t>
      </w:r>
      <w:r w:rsidRPr="00B1610D">
        <w:rPr>
          <w:rFonts w:ascii="Palatino Linotype" w:eastAsia="Palatino Linotype" w:hAnsi="Palatino Linotype" w:cs="Palatino Linotype"/>
          <w:b/>
          <w:sz w:val="22"/>
          <w:szCs w:val="22"/>
        </w:rPr>
        <w:t>Recurrente,</w:t>
      </w:r>
      <w:r w:rsidRPr="00B1610D">
        <w:rPr>
          <w:rFonts w:ascii="Palatino Linotype" w:eastAsia="Palatino Linotype" w:hAnsi="Palatino Linotype" w:cs="Palatino Linotype"/>
          <w:sz w:val="22"/>
          <w:szCs w:val="22"/>
        </w:rPr>
        <w:t xml:space="preserve"> en contra de la respuesta a la solicitud de información con número de folio</w:t>
      </w:r>
      <w:r w:rsidR="00021569" w:rsidRPr="00B1610D">
        <w:rPr>
          <w:rFonts w:ascii="Palatino Linotype" w:eastAsia="Palatino Linotype" w:hAnsi="Palatino Linotype" w:cs="Palatino Linotype"/>
          <w:b/>
          <w:sz w:val="22"/>
          <w:szCs w:val="22"/>
        </w:rPr>
        <w:t xml:space="preserve"> </w:t>
      </w:r>
      <w:r w:rsidR="00CA74B5" w:rsidRPr="00B1610D">
        <w:rPr>
          <w:rFonts w:ascii="Palatino Linotype" w:eastAsia="Palatino Linotype" w:hAnsi="Palatino Linotype" w:cs="Palatino Linotype"/>
          <w:b/>
          <w:sz w:val="22"/>
          <w:szCs w:val="22"/>
        </w:rPr>
        <w:t>00084/JOQUICIN/IP/2025</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por parte del </w:t>
      </w:r>
      <w:r w:rsidR="00CA74B5" w:rsidRPr="00B1610D">
        <w:rPr>
          <w:rFonts w:ascii="Palatino Linotype" w:eastAsia="Palatino Linotype" w:hAnsi="Palatino Linotype" w:cs="Palatino Linotype"/>
          <w:b/>
          <w:sz w:val="22"/>
          <w:szCs w:val="22"/>
        </w:rPr>
        <w:t>Ayuntamiento de Joquicingo</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en lo sucesivo 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 xml:space="preserve">se procede a dictar la presente resolución con base en los siguientes: </w:t>
      </w:r>
    </w:p>
    <w:p w14:paraId="04558CFE" w14:textId="77777777" w:rsidR="00320E68" w:rsidRPr="00B1610D" w:rsidRDefault="00146250">
      <w:pPr>
        <w:spacing w:before="240" w:after="240" w:line="360" w:lineRule="auto"/>
        <w:jc w:val="center"/>
        <w:rPr>
          <w:rFonts w:ascii="Palatino Linotype" w:eastAsia="Palatino Linotype" w:hAnsi="Palatino Linotype" w:cs="Palatino Linotype"/>
          <w:b/>
          <w:sz w:val="22"/>
          <w:szCs w:val="22"/>
        </w:rPr>
      </w:pPr>
      <w:r w:rsidRPr="00B1610D">
        <w:rPr>
          <w:rFonts w:ascii="Palatino Linotype" w:eastAsia="Palatino Linotype" w:hAnsi="Palatino Linotype" w:cs="Palatino Linotype"/>
          <w:b/>
          <w:sz w:val="22"/>
          <w:szCs w:val="22"/>
        </w:rPr>
        <w:t>I. A N T E C E D E N T E S</w:t>
      </w:r>
    </w:p>
    <w:p w14:paraId="610E8D2A" w14:textId="384AAB63" w:rsidR="00320E68" w:rsidRPr="00B1610D" w:rsidRDefault="00146250">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B1610D">
        <w:rPr>
          <w:rFonts w:ascii="Palatino Linotype" w:eastAsia="Palatino Linotype" w:hAnsi="Palatino Linotype" w:cs="Palatino Linotype"/>
          <w:b/>
          <w:sz w:val="22"/>
          <w:szCs w:val="22"/>
        </w:rPr>
        <w:t>1. Solicitud de acceso a la información.</w:t>
      </w:r>
      <w:r w:rsidRPr="00B1610D">
        <w:rPr>
          <w:rFonts w:ascii="Palatino Linotype" w:eastAsia="Palatino Linotype" w:hAnsi="Palatino Linotype" w:cs="Palatino Linotype"/>
          <w:sz w:val="22"/>
          <w:szCs w:val="22"/>
        </w:rPr>
        <w:t xml:space="preserve"> El </w:t>
      </w:r>
      <w:r w:rsidR="00CA74B5" w:rsidRPr="00B1610D">
        <w:rPr>
          <w:rFonts w:ascii="Palatino Linotype" w:eastAsia="Palatino Linotype" w:hAnsi="Palatino Linotype" w:cs="Palatino Linotype"/>
          <w:b/>
          <w:sz w:val="22"/>
          <w:szCs w:val="22"/>
        </w:rPr>
        <w:t>veinticinco de junio</w:t>
      </w:r>
      <w:r w:rsidRPr="00B1610D">
        <w:rPr>
          <w:rFonts w:ascii="Palatino Linotype" w:eastAsia="Palatino Linotype" w:hAnsi="Palatino Linotype" w:cs="Palatino Linotype"/>
          <w:b/>
          <w:sz w:val="22"/>
          <w:szCs w:val="22"/>
        </w:rPr>
        <w:t xml:space="preserve"> de dos mil veinticinco,</w:t>
      </w:r>
      <w:r w:rsidRPr="00B1610D">
        <w:rPr>
          <w:rFonts w:ascii="Palatino Linotype" w:eastAsia="Palatino Linotype" w:hAnsi="Palatino Linotype" w:cs="Palatino Linotype"/>
          <w:sz w:val="22"/>
          <w:szCs w:val="22"/>
        </w:rPr>
        <w:t xml:space="preserve"> la parte </w:t>
      </w:r>
      <w:r w:rsidRPr="00B1610D">
        <w:rPr>
          <w:rFonts w:ascii="Palatino Linotype" w:eastAsia="Palatino Linotype" w:hAnsi="Palatino Linotype" w:cs="Palatino Linotype"/>
          <w:b/>
          <w:sz w:val="22"/>
          <w:szCs w:val="22"/>
        </w:rPr>
        <w:t xml:space="preserve">Recurrente </w:t>
      </w:r>
      <w:r w:rsidRPr="00B1610D">
        <w:rPr>
          <w:rFonts w:ascii="Palatino Linotype" w:eastAsia="Palatino Linotype" w:hAnsi="Palatino Linotype" w:cs="Palatino Linotype"/>
          <w:sz w:val="22"/>
          <w:szCs w:val="22"/>
        </w:rPr>
        <w:t xml:space="preserve">presentó la solicitud de acceso a la información pública ante el </w:t>
      </w:r>
      <w:r w:rsidRPr="00B1610D">
        <w:rPr>
          <w:rFonts w:ascii="Palatino Linotype" w:eastAsia="Palatino Linotype" w:hAnsi="Palatino Linotype" w:cs="Palatino Linotype"/>
          <w:b/>
          <w:sz w:val="22"/>
          <w:szCs w:val="22"/>
        </w:rPr>
        <w:t>Sujeto Obligado</w:t>
      </w:r>
      <w:r w:rsidRPr="00B1610D">
        <w:rPr>
          <w:rFonts w:ascii="Palatino Linotype" w:eastAsia="Palatino Linotype" w:hAnsi="Palatino Linotype" w:cs="Palatino Linotype"/>
          <w:sz w:val="22"/>
          <w:szCs w:val="22"/>
        </w:rPr>
        <w:t xml:space="preserve">, a través del Sistema de Acceso a la Información Mexiquense, en lo subsecuente el </w:t>
      </w:r>
      <w:r w:rsidRPr="00B1610D">
        <w:rPr>
          <w:rFonts w:ascii="Palatino Linotype" w:eastAsia="Palatino Linotype" w:hAnsi="Palatino Linotype" w:cs="Palatino Linotype"/>
          <w:b/>
          <w:sz w:val="22"/>
          <w:szCs w:val="22"/>
        </w:rPr>
        <w:t>SAIMEX,</w:t>
      </w:r>
      <w:r w:rsidRPr="00B1610D">
        <w:rPr>
          <w:rFonts w:ascii="Palatino Linotype" w:eastAsia="Palatino Linotype" w:hAnsi="Palatino Linotype" w:cs="Palatino Linotype"/>
          <w:sz w:val="22"/>
          <w:szCs w:val="22"/>
        </w:rPr>
        <w:t xml:space="preserve"> mediante la cual requirió lo siguiente:</w:t>
      </w:r>
    </w:p>
    <w:p w14:paraId="064A7A80" w14:textId="541646C3" w:rsidR="00320E68" w:rsidRPr="00B1610D" w:rsidRDefault="00146250">
      <w:pPr>
        <w:spacing w:before="120" w:after="120"/>
        <w:ind w:left="851" w:right="902"/>
        <w:jc w:val="both"/>
        <w:rPr>
          <w:rFonts w:ascii="Palatino Linotype" w:eastAsia="Palatino Linotype" w:hAnsi="Palatino Linotype" w:cs="Palatino Linotype"/>
          <w:b/>
          <w:i/>
          <w:sz w:val="22"/>
          <w:szCs w:val="22"/>
        </w:rPr>
      </w:pPr>
      <w:r w:rsidRPr="00B1610D">
        <w:rPr>
          <w:rFonts w:ascii="Palatino Linotype" w:eastAsia="Palatino Linotype" w:hAnsi="Palatino Linotype" w:cs="Palatino Linotype"/>
          <w:i/>
          <w:sz w:val="22"/>
          <w:szCs w:val="22"/>
        </w:rPr>
        <w:t xml:space="preserve"> “</w:t>
      </w:r>
      <w:r w:rsidR="00CA74B5" w:rsidRPr="00B1610D">
        <w:rPr>
          <w:rFonts w:ascii="Palatino Linotype" w:eastAsia="Palatino Linotype" w:hAnsi="Palatino Linotype" w:cs="Palatino Linotype"/>
          <w:i/>
          <w:sz w:val="22"/>
          <w:szCs w:val="22"/>
        </w:rPr>
        <w:t>solicito saber cual fue la tasa de crecimiento real anual del año 2024 de la recaudacion del impuesto predial, por derechos de aguay de los ingresos propios del ayuntamiento, comparar el primer trimestre 2025 con el 2024, por separado.</w:t>
      </w:r>
      <w:r w:rsidRPr="00B1610D">
        <w:rPr>
          <w:rFonts w:ascii="Palatino Linotype" w:eastAsia="Palatino Linotype" w:hAnsi="Palatino Linotype" w:cs="Palatino Linotype"/>
          <w:b/>
          <w:i/>
          <w:sz w:val="22"/>
          <w:szCs w:val="22"/>
        </w:rPr>
        <w:t>”</w:t>
      </w:r>
      <w:r w:rsidRPr="00B1610D">
        <w:rPr>
          <w:rFonts w:ascii="Palatino Linotype" w:eastAsia="Palatino Linotype" w:hAnsi="Palatino Linotype" w:cs="Palatino Linotype"/>
          <w:i/>
          <w:sz w:val="22"/>
          <w:szCs w:val="22"/>
        </w:rPr>
        <w:t xml:space="preserve"> (sic) </w:t>
      </w:r>
    </w:p>
    <w:p w14:paraId="724A25BD" w14:textId="77777777" w:rsidR="00320E68" w:rsidRPr="00B1610D" w:rsidRDefault="00146250">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B1610D">
        <w:rPr>
          <w:rFonts w:ascii="Palatino Linotype" w:eastAsia="Palatino Linotype" w:hAnsi="Palatino Linotype" w:cs="Palatino Linotype"/>
          <w:b/>
          <w:sz w:val="22"/>
          <w:szCs w:val="22"/>
        </w:rPr>
        <w:t>Modalidad de Entrega:</w:t>
      </w:r>
      <w:r w:rsidRPr="00B1610D">
        <w:rPr>
          <w:rFonts w:ascii="Palatino Linotype" w:eastAsia="Palatino Linotype" w:hAnsi="Palatino Linotype" w:cs="Palatino Linotype"/>
          <w:sz w:val="22"/>
          <w:szCs w:val="22"/>
        </w:rPr>
        <w:t xml:space="preserve"> a través del</w:t>
      </w:r>
      <w:r w:rsidRPr="00B1610D">
        <w:rPr>
          <w:rFonts w:ascii="Palatino Linotype" w:eastAsia="Palatino Linotype" w:hAnsi="Palatino Linotype" w:cs="Palatino Linotype"/>
          <w:b/>
          <w:sz w:val="22"/>
          <w:szCs w:val="22"/>
        </w:rPr>
        <w:t xml:space="preserve"> SAIMEX.</w:t>
      </w:r>
    </w:p>
    <w:p w14:paraId="3C40033A" w14:textId="2535D714" w:rsidR="00320E68" w:rsidRPr="00B1610D" w:rsidRDefault="00146250" w:rsidP="00582D7E">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 xml:space="preserve">2. Respuesta. </w:t>
      </w:r>
      <w:r w:rsidRPr="00B1610D">
        <w:rPr>
          <w:rFonts w:ascii="Palatino Linotype" w:eastAsia="Palatino Linotype" w:hAnsi="Palatino Linotype" w:cs="Palatino Linotype"/>
          <w:sz w:val="22"/>
          <w:szCs w:val="22"/>
        </w:rPr>
        <w:t xml:space="preserve">El </w:t>
      </w:r>
      <w:r w:rsidR="00A96A19" w:rsidRPr="00B1610D">
        <w:rPr>
          <w:rFonts w:ascii="Palatino Linotype" w:eastAsia="Palatino Linotype" w:hAnsi="Palatino Linotype" w:cs="Palatino Linotype"/>
          <w:b/>
          <w:sz w:val="22"/>
          <w:szCs w:val="22"/>
        </w:rPr>
        <w:t>dieciséis de julio</w:t>
      </w:r>
      <w:r w:rsidR="00582D7E" w:rsidRPr="00B1610D">
        <w:rPr>
          <w:rFonts w:ascii="Palatino Linotype" w:eastAsia="Palatino Linotype" w:hAnsi="Palatino Linotype" w:cs="Palatino Linotype"/>
          <w:b/>
          <w:sz w:val="22"/>
          <w:szCs w:val="22"/>
        </w:rPr>
        <w:t xml:space="preserve"> de</w:t>
      </w:r>
      <w:r w:rsidRPr="00B1610D">
        <w:rPr>
          <w:rFonts w:ascii="Palatino Linotype" w:eastAsia="Palatino Linotype" w:hAnsi="Palatino Linotype" w:cs="Palatino Linotype"/>
          <w:b/>
          <w:sz w:val="22"/>
          <w:szCs w:val="22"/>
        </w:rPr>
        <w:t xml:space="preserve"> dos mil veinticinco,</w:t>
      </w:r>
      <w:r w:rsidRPr="00B1610D">
        <w:rPr>
          <w:rFonts w:ascii="Palatino Linotype" w:eastAsia="Palatino Linotype" w:hAnsi="Palatino Linotype" w:cs="Palatino Linotype"/>
          <w:sz w:val="22"/>
          <w:szCs w:val="22"/>
        </w:rPr>
        <w:t xml:space="preserve"> 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7EC89E4F" w14:textId="778E9719" w:rsidR="00320E68" w:rsidRPr="00B1610D" w:rsidRDefault="00146250">
      <w:pPr>
        <w:spacing w:before="240" w:after="240"/>
        <w:ind w:left="851" w:right="902"/>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lastRenderedPageBreak/>
        <w:t>“…</w:t>
      </w:r>
      <w:r w:rsidR="00A96A19" w:rsidRPr="00B1610D">
        <w:rPr>
          <w:rFonts w:ascii="Palatino Linotype" w:eastAsia="Palatino Linotype" w:hAnsi="Palatino Linotype" w:cs="Palatino Linotype"/>
          <w:i/>
          <w:sz w:val="22"/>
          <w:szCs w:val="22"/>
        </w:rPr>
        <w:t>NO SE NOS DIO RESPUESTA DE ESTA SOLICITUD POR LA DIRECCIÓN A QUIEN FUE ENTREGADA</w:t>
      </w:r>
      <w:r w:rsidR="00421D3C"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i/>
          <w:sz w:val="22"/>
          <w:szCs w:val="22"/>
        </w:rPr>
        <w:t>..” (sic)</w:t>
      </w:r>
    </w:p>
    <w:p w14:paraId="37D9F5EA" w14:textId="77777777" w:rsidR="006A603C" w:rsidRPr="00B1610D" w:rsidRDefault="00146250">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 xml:space="preserve">adjuntó </w:t>
      </w:r>
      <w:r w:rsidR="006A603C" w:rsidRPr="00B1610D">
        <w:rPr>
          <w:rFonts w:ascii="Palatino Linotype" w:eastAsia="Palatino Linotype" w:hAnsi="Palatino Linotype" w:cs="Palatino Linotype"/>
          <w:sz w:val="22"/>
          <w:szCs w:val="22"/>
        </w:rPr>
        <w:t>los siguientes documentos:</w:t>
      </w:r>
    </w:p>
    <w:p w14:paraId="31198A9F" w14:textId="2DE233E1" w:rsidR="00B11ABB" w:rsidRPr="00B1610D" w:rsidRDefault="006A603C">
      <w:pPr>
        <w:spacing w:before="240" w:after="240" w:line="360" w:lineRule="auto"/>
        <w:ind w:right="49"/>
        <w:jc w:val="both"/>
        <w:rPr>
          <w:rFonts w:ascii="Palatino Linotype" w:hAnsi="Palatino Linotype"/>
          <w:sz w:val="22"/>
          <w:szCs w:val="22"/>
        </w:rPr>
      </w:pPr>
      <w:r w:rsidRPr="00B1610D">
        <w:rPr>
          <w:rFonts w:ascii="Palatino Linotype" w:eastAsia="Palatino Linotype" w:hAnsi="Palatino Linotype" w:cs="Palatino Linotype"/>
          <w:sz w:val="22"/>
          <w:szCs w:val="22"/>
        </w:rPr>
        <w:t>- O</w:t>
      </w:r>
      <w:r w:rsidR="00582D7E" w:rsidRPr="00B1610D">
        <w:rPr>
          <w:rFonts w:ascii="Palatino Linotype" w:eastAsia="Palatino Linotype" w:hAnsi="Palatino Linotype" w:cs="Palatino Linotype"/>
          <w:sz w:val="22"/>
          <w:szCs w:val="22"/>
        </w:rPr>
        <w:t xml:space="preserve">ficio número </w:t>
      </w:r>
      <w:r w:rsidR="00B11ABB" w:rsidRPr="00B1610D">
        <w:rPr>
          <w:rFonts w:ascii="Palatino Linotype" w:eastAsia="Palatino Linotype" w:hAnsi="Palatino Linotype" w:cs="Palatino Linotype"/>
          <w:sz w:val="22"/>
          <w:szCs w:val="22"/>
        </w:rPr>
        <w:t xml:space="preserve">PMJ/TRANS/123/07/2025, mediante el cual la Directora General de la UIPPE y Transparencia refirió que el requerimiento fue debidamente turnado </w:t>
      </w:r>
      <w:r w:rsidR="00491370" w:rsidRPr="00B1610D">
        <w:rPr>
          <w:rFonts w:ascii="Palatino Linotype" w:hAnsi="Palatino Linotype"/>
          <w:sz w:val="22"/>
          <w:szCs w:val="22"/>
        </w:rPr>
        <w:t>a la Dirección de Tesorería para su análisis, búsqueda y remisión de la información solicitada, conforme a los plazos establecidos en la normatividad aplicable, sin embargo, el servidor público habilitado no ha emitido respuesta alguna ni ha sido proporcionada información a la Unidad de Transparencia, motivo por el cual manifestó que no nos es posible atender y responder la solicitud referida en tiempo y forma.</w:t>
      </w:r>
    </w:p>
    <w:p w14:paraId="6A73DA7B" w14:textId="26262705" w:rsidR="006A603C" w:rsidRPr="00B1610D" w:rsidRDefault="006A603C">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 Oficio número PMJ/TRANS/102/04/2025, mediante el cual </w:t>
      </w:r>
      <w:r w:rsidR="00F8149E" w:rsidRPr="00B1610D">
        <w:rPr>
          <w:rFonts w:ascii="Palatino Linotype" w:eastAsia="Palatino Linotype" w:hAnsi="Palatino Linotype" w:cs="Palatino Linotype"/>
          <w:sz w:val="22"/>
          <w:szCs w:val="22"/>
        </w:rPr>
        <w:t>la Directora General de la UIPPE y Transparencia turnó la solicitud, para su atención al Tesorero Municipal</w:t>
      </w:r>
      <w:r w:rsidR="008509ED" w:rsidRPr="00B1610D">
        <w:rPr>
          <w:rFonts w:ascii="Palatino Linotype" w:eastAsia="Palatino Linotype" w:hAnsi="Palatino Linotype" w:cs="Palatino Linotype"/>
          <w:sz w:val="22"/>
          <w:szCs w:val="22"/>
        </w:rPr>
        <w:t>.</w:t>
      </w:r>
    </w:p>
    <w:p w14:paraId="20B3C076" w14:textId="4C40499E" w:rsidR="008509ED" w:rsidRPr="00B1610D" w:rsidRDefault="008509ED">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Acuse de la solicitud de información.</w:t>
      </w:r>
    </w:p>
    <w:p w14:paraId="2B117480" w14:textId="03AC8471" w:rsidR="00320E68" w:rsidRPr="00B1610D" w:rsidRDefault="00495E44">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3</w:t>
      </w:r>
      <w:r w:rsidR="00421D3C" w:rsidRPr="00B1610D">
        <w:rPr>
          <w:rFonts w:ascii="Palatino Linotype" w:eastAsia="Palatino Linotype" w:hAnsi="Palatino Linotype" w:cs="Palatino Linotype"/>
          <w:b/>
          <w:sz w:val="22"/>
          <w:szCs w:val="22"/>
        </w:rPr>
        <w:t>.</w:t>
      </w:r>
      <w:r w:rsidR="00421D3C" w:rsidRPr="00B1610D">
        <w:rPr>
          <w:rFonts w:ascii="Palatino Linotype" w:eastAsia="Palatino Linotype" w:hAnsi="Palatino Linotype" w:cs="Palatino Linotype"/>
          <w:sz w:val="22"/>
          <w:szCs w:val="22"/>
        </w:rPr>
        <w:t xml:space="preserve"> </w:t>
      </w:r>
      <w:r w:rsidR="00146250" w:rsidRPr="00B1610D">
        <w:rPr>
          <w:rFonts w:ascii="Palatino Linotype" w:eastAsia="Palatino Linotype" w:hAnsi="Palatino Linotype" w:cs="Palatino Linotype"/>
          <w:b/>
          <w:sz w:val="22"/>
          <w:szCs w:val="22"/>
        </w:rPr>
        <w:t xml:space="preserve">Interposición del recurso de revisión. </w:t>
      </w:r>
      <w:r w:rsidR="00146250" w:rsidRPr="00B1610D">
        <w:rPr>
          <w:rFonts w:ascii="Palatino Linotype" w:eastAsia="Palatino Linotype" w:hAnsi="Palatino Linotype" w:cs="Palatino Linotype"/>
          <w:sz w:val="22"/>
          <w:szCs w:val="22"/>
        </w:rPr>
        <w:t xml:space="preserve">Inconforme con los términos de la respuesta emitida por parte del </w:t>
      </w:r>
      <w:r w:rsidR="00146250" w:rsidRPr="00B1610D">
        <w:rPr>
          <w:rFonts w:ascii="Palatino Linotype" w:eastAsia="Palatino Linotype" w:hAnsi="Palatino Linotype" w:cs="Palatino Linotype"/>
          <w:b/>
          <w:sz w:val="22"/>
          <w:szCs w:val="22"/>
        </w:rPr>
        <w:t>Sujeto Obligado</w:t>
      </w:r>
      <w:r w:rsidR="00146250" w:rsidRPr="00B1610D">
        <w:rPr>
          <w:rFonts w:ascii="Palatino Linotype" w:eastAsia="Palatino Linotype" w:hAnsi="Palatino Linotype" w:cs="Palatino Linotype"/>
          <w:sz w:val="22"/>
          <w:szCs w:val="22"/>
        </w:rPr>
        <w:t>, el</w:t>
      </w:r>
      <w:r w:rsidR="00421D3C" w:rsidRPr="00B1610D">
        <w:rPr>
          <w:rFonts w:ascii="Palatino Linotype" w:eastAsia="Palatino Linotype" w:hAnsi="Palatino Linotype" w:cs="Palatino Linotype"/>
          <w:sz w:val="22"/>
          <w:szCs w:val="22"/>
        </w:rPr>
        <w:t xml:space="preserve"> </w:t>
      </w:r>
      <w:r w:rsidR="006A603C" w:rsidRPr="00B1610D">
        <w:rPr>
          <w:rFonts w:ascii="Palatino Linotype" w:eastAsia="Palatino Linotype" w:hAnsi="Palatino Linotype" w:cs="Palatino Linotype"/>
          <w:b/>
          <w:bCs/>
          <w:sz w:val="22"/>
          <w:szCs w:val="22"/>
        </w:rPr>
        <w:t>diecisiete de julio</w:t>
      </w:r>
      <w:r w:rsidR="00146250" w:rsidRPr="00B1610D">
        <w:rPr>
          <w:rFonts w:ascii="Palatino Linotype" w:eastAsia="Palatino Linotype" w:hAnsi="Palatino Linotype" w:cs="Palatino Linotype"/>
          <w:b/>
          <w:sz w:val="22"/>
          <w:szCs w:val="22"/>
        </w:rPr>
        <w:t xml:space="preserve"> de dos mil veinticinco,</w:t>
      </w:r>
      <w:r w:rsidR="00146250" w:rsidRPr="00B1610D">
        <w:rPr>
          <w:rFonts w:ascii="Palatino Linotype" w:eastAsia="Palatino Linotype" w:hAnsi="Palatino Linotype" w:cs="Palatino Linotype"/>
          <w:sz w:val="22"/>
          <w:szCs w:val="22"/>
        </w:rPr>
        <w:t xml:space="preserve"> la parte </w:t>
      </w:r>
      <w:r w:rsidR="00146250" w:rsidRPr="00B1610D">
        <w:rPr>
          <w:rFonts w:ascii="Palatino Linotype" w:eastAsia="Palatino Linotype" w:hAnsi="Palatino Linotype" w:cs="Palatino Linotype"/>
          <w:b/>
          <w:sz w:val="22"/>
          <w:szCs w:val="22"/>
        </w:rPr>
        <w:t>Recurrente</w:t>
      </w:r>
      <w:r w:rsidR="00146250" w:rsidRPr="00B1610D">
        <w:rPr>
          <w:rFonts w:ascii="Palatino Linotype" w:eastAsia="Palatino Linotype" w:hAnsi="Palatino Linotype" w:cs="Palatino Linotype"/>
          <w:sz w:val="22"/>
          <w:szCs w:val="22"/>
        </w:rPr>
        <w:t xml:space="preserve"> interpuso el recurso de revisión a través de </w:t>
      </w:r>
      <w:r w:rsidR="00146250" w:rsidRPr="00B1610D">
        <w:rPr>
          <w:rFonts w:ascii="Palatino Linotype" w:eastAsia="Palatino Linotype" w:hAnsi="Palatino Linotype" w:cs="Palatino Linotype"/>
          <w:b/>
          <w:sz w:val="22"/>
          <w:szCs w:val="22"/>
        </w:rPr>
        <w:t xml:space="preserve">SAIMEX, </w:t>
      </w:r>
      <w:r w:rsidR="00146250" w:rsidRPr="00B1610D">
        <w:rPr>
          <w:rFonts w:ascii="Palatino Linotype" w:eastAsia="Palatino Linotype" w:hAnsi="Palatino Linotype" w:cs="Palatino Linotype"/>
          <w:sz w:val="22"/>
          <w:szCs w:val="22"/>
        </w:rPr>
        <w:t>en donde se manifestó de la siguiente manera:</w:t>
      </w:r>
    </w:p>
    <w:p w14:paraId="57AF1F87" w14:textId="48BE997C" w:rsidR="00320E68" w:rsidRPr="00B1610D" w:rsidRDefault="00146250">
      <w:pPr>
        <w:spacing w:before="240" w:after="240" w:line="360" w:lineRule="auto"/>
        <w:ind w:right="49"/>
        <w:jc w:val="both"/>
        <w:rPr>
          <w:rFonts w:ascii="Palatino Linotype" w:eastAsia="Palatino Linotype" w:hAnsi="Palatino Linotype" w:cs="Palatino Linotype"/>
          <w:b/>
          <w:sz w:val="22"/>
          <w:szCs w:val="22"/>
        </w:rPr>
      </w:pPr>
      <w:r w:rsidRPr="00B1610D">
        <w:rPr>
          <w:rFonts w:ascii="Palatino Linotype" w:eastAsia="Palatino Linotype" w:hAnsi="Palatino Linotype" w:cs="Palatino Linotype"/>
          <w:b/>
          <w:sz w:val="22"/>
          <w:szCs w:val="22"/>
        </w:rPr>
        <w:t xml:space="preserve">Acto impugnado: </w:t>
      </w:r>
    </w:p>
    <w:p w14:paraId="74596464" w14:textId="78AB529B" w:rsidR="00320E68" w:rsidRPr="00B1610D"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t>“</w:t>
      </w:r>
      <w:r w:rsidR="006A603C" w:rsidRPr="00B1610D">
        <w:rPr>
          <w:rFonts w:ascii="Palatino Linotype" w:eastAsia="Palatino Linotype" w:hAnsi="Palatino Linotype" w:cs="Palatino Linotype"/>
          <w:i/>
          <w:sz w:val="22"/>
          <w:szCs w:val="22"/>
        </w:rPr>
        <w:t>solicito saber cual fue la tasa de crecimiento real anual del año 2024 de la recaudacion del impuesto predial, por derechos de aguay de los ingresos propios del ayuntamiento, comparar el primer trimestre 2025 con el 2024, por separado.</w:t>
      </w:r>
      <w:r w:rsidRPr="00B1610D">
        <w:rPr>
          <w:rFonts w:ascii="Palatino Linotype" w:eastAsia="Palatino Linotype" w:hAnsi="Palatino Linotype" w:cs="Palatino Linotype"/>
          <w:i/>
          <w:sz w:val="22"/>
          <w:szCs w:val="22"/>
        </w:rPr>
        <w:t>” (sic)</w:t>
      </w:r>
    </w:p>
    <w:p w14:paraId="252E5A71" w14:textId="77777777" w:rsidR="0041778B" w:rsidRPr="00B1610D" w:rsidRDefault="0041778B">
      <w:pPr>
        <w:spacing w:line="360" w:lineRule="auto"/>
        <w:jc w:val="both"/>
        <w:rPr>
          <w:rFonts w:ascii="Palatino Linotype" w:eastAsia="Palatino Linotype" w:hAnsi="Palatino Linotype" w:cs="Palatino Linotype"/>
          <w:b/>
          <w:sz w:val="22"/>
          <w:szCs w:val="22"/>
        </w:rPr>
      </w:pPr>
      <w:bookmarkStart w:id="4" w:name="_heading=h.30j0zll" w:colFirst="0" w:colLast="0"/>
      <w:bookmarkEnd w:id="4"/>
    </w:p>
    <w:p w14:paraId="7E506442" w14:textId="77777777" w:rsidR="0041778B" w:rsidRPr="00B1610D" w:rsidRDefault="0041778B">
      <w:pPr>
        <w:spacing w:line="360" w:lineRule="auto"/>
        <w:jc w:val="both"/>
        <w:rPr>
          <w:rFonts w:ascii="Palatino Linotype" w:eastAsia="Palatino Linotype" w:hAnsi="Palatino Linotype" w:cs="Palatino Linotype"/>
          <w:b/>
          <w:sz w:val="22"/>
          <w:szCs w:val="22"/>
        </w:rPr>
      </w:pPr>
    </w:p>
    <w:p w14:paraId="246D552E" w14:textId="77777777" w:rsidR="00320E68" w:rsidRPr="00B1610D" w:rsidRDefault="00146250">
      <w:pPr>
        <w:spacing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lastRenderedPageBreak/>
        <w:t>Y, Razones o motivos de inconformidad</w:t>
      </w:r>
      <w:r w:rsidRPr="00B1610D">
        <w:rPr>
          <w:rFonts w:ascii="Palatino Linotype" w:eastAsia="Palatino Linotype" w:hAnsi="Palatino Linotype" w:cs="Palatino Linotype"/>
          <w:sz w:val="22"/>
          <w:szCs w:val="22"/>
        </w:rPr>
        <w:t>:</w:t>
      </w:r>
    </w:p>
    <w:p w14:paraId="11697B23" w14:textId="22C9A711" w:rsidR="00320E68" w:rsidRPr="00B1610D" w:rsidRDefault="00146250">
      <w:pPr>
        <w:tabs>
          <w:tab w:val="left" w:pos="2745"/>
        </w:tabs>
        <w:spacing w:before="240" w:after="240"/>
        <w:ind w:left="851" w:right="900"/>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t>“</w:t>
      </w:r>
      <w:r w:rsidR="006A603C" w:rsidRPr="00B1610D">
        <w:rPr>
          <w:rFonts w:ascii="Palatino Linotype" w:eastAsia="Palatino Linotype" w:hAnsi="Palatino Linotype" w:cs="Palatino Linotype"/>
          <w:i/>
          <w:sz w:val="22"/>
          <w:szCs w:val="22"/>
        </w:rPr>
        <w:t>En lo que respecta el sujeto obligado remite oficio donde especifica que le Tesoreria Municipal informa que no emitio respuesta alguna sobre esta solicitud, sin embargo y de acuerdo a la sus atribuciones no es justificacion el no generar dichos reportes por lo que nuevamente se solicita dicho informe en apego al articulo 95 de la LEY ORGÁNICA MUNICIPAL DEL ESTADO DE MÉXICO</w:t>
      </w:r>
      <w:r w:rsidRPr="00B1610D">
        <w:rPr>
          <w:rFonts w:ascii="Palatino Linotype" w:eastAsia="Palatino Linotype" w:hAnsi="Palatino Linotype" w:cs="Palatino Linotype"/>
          <w:i/>
          <w:sz w:val="22"/>
          <w:szCs w:val="22"/>
        </w:rPr>
        <w:t>” (sic)</w:t>
      </w:r>
    </w:p>
    <w:p w14:paraId="2CD7C7F3" w14:textId="1587C090" w:rsidR="008509ED" w:rsidRPr="00B1610D" w:rsidRDefault="008509ED">
      <w:pPr>
        <w:spacing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La parte </w:t>
      </w:r>
      <w:r w:rsidRPr="00B1610D">
        <w:rPr>
          <w:rFonts w:ascii="Palatino Linotype" w:eastAsia="Palatino Linotype" w:hAnsi="Palatino Linotype" w:cs="Palatino Linotype"/>
          <w:b/>
          <w:sz w:val="22"/>
          <w:szCs w:val="22"/>
        </w:rPr>
        <w:t xml:space="preserve">Recurrente </w:t>
      </w:r>
      <w:r w:rsidR="0054394E" w:rsidRPr="00B1610D">
        <w:rPr>
          <w:rFonts w:ascii="Palatino Linotype" w:eastAsia="Palatino Linotype" w:hAnsi="Palatino Linotype" w:cs="Palatino Linotype"/>
          <w:sz w:val="22"/>
          <w:szCs w:val="22"/>
        </w:rPr>
        <w:t xml:space="preserve">adjuntó a los documentos que fueron proporcionados por el </w:t>
      </w:r>
      <w:r w:rsidR="0054394E" w:rsidRPr="00B1610D">
        <w:rPr>
          <w:rFonts w:ascii="Palatino Linotype" w:eastAsia="Palatino Linotype" w:hAnsi="Palatino Linotype" w:cs="Palatino Linotype"/>
          <w:b/>
          <w:sz w:val="22"/>
          <w:szCs w:val="22"/>
        </w:rPr>
        <w:t xml:space="preserve">Sujeto Obligado </w:t>
      </w:r>
      <w:r w:rsidR="0054394E" w:rsidRPr="00B1610D">
        <w:rPr>
          <w:rFonts w:ascii="Palatino Linotype" w:eastAsia="Palatino Linotype" w:hAnsi="Palatino Linotype" w:cs="Palatino Linotype"/>
          <w:sz w:val="22"/>
          <w:szCs w:val="22"/>
        </w:rPr>
        <w:t>en respuesta a la solicitud.</w:t>
      </w:r>
    </w:p>
    <w:p w14:paraId="7F282437" w14:textId="77777777" w:rsidR="002F4A27" w:rsidRPr="00B1610D" w:rsidRDefault="002F4A27">
      <w:pPr>
        <w:spacing w:line="360" w:lineRule="auto"/>
        <w:jc w:val="both"/>
        <w:rPr>
          <w:rFonts w:ascii="Palatino Linotype" w:eastAsia="Palatino Linotype" w:hAnsi="Palatino Linotype" w:cs="Palatino Linotype"/>
          <w:b/>
          <w:sz w:val="22"/>
          <w:szCs w:val="22"/>
        </w:rPr>
      </w:pPr>
    </w:p>
    <w:p w14:paraId="16A5B4C0" w14:textId="6ECBA4F5" w:rsidR="00320E68" w:rsidRPr="00B1610D" w:rsidRDefault="00495E44">
      <w:pPr>
        <w:spacing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4</w:t>
      </w:r>
      <w:r w:rsidR="00146250" w:rsidRPr="00B1610D">
        <w:rPr>
          <w:rFonts w:ascii="Palatino Linotype" w:eastAsia="Palatino Linotype" w:hAnsi="Palatino Linotype" w:cs="Palatino Linotype"/>
          <w:b/>
          <w:sz w:val="22"/>
          <w:szCs w:val="22"/>
        </w:rPr>
        <w:t xml:space="preserve">. Turno. </w:t>
      </w:r>
      <w:r w:rsidR="00146250" w:rsidRPr="00B1610D">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146250" w:rsidRPr="00B1610D">
        <w:rPr>
          <w:rFonts w:ascii="Palatino Linotype" w:eastAsia="Palatino Linotype" w:hAnsi="Palatino Linotype" w:cs="Palatino Linotype"/>
          <w:b/>
          <w:sz w:val="22"/>
          <w:szCs w:val="22"/>
        </w:rPr>
        <w:t xml:space="preserve">Guadalupe Ramírez Peña, </w:t>
      </w:r>
      <w:r w:rsidR="00146250" w:rsidRPr="00B1610D">
        <w:rPr>
          <w:rFonts w:ascii="Palatino Linotype" w:eastAsia="Palatino Linotype" w:hAnsi="Palatino Linotype" w:cs="Palatino Linotype"/>
          <w:sz w:val="22"/>
          <w:szCs w:val="22"/>
        </w:rPr>
        <w:t>a efecto de que analizara sobre su admisión o su desechamiento.</w:t>
      </w:r>
    </w:p>
    <w:p w14:paraId="6E13E4B7" w14:textId="632BF4E6" w:rsidR="00320E68" w:rsidRPr="00B1610D" w:rsidRDefault="00495E44">
      <w:pPr>
        <w:spacing w:before="240" w:after="240" w:line="360" w:lineRule="auto"/>
        <w:jc w:val="both"/>
        <w:rPr>
          <w:rFonts w:ascii="Palatino Linotype" w:eastAsia="Palatino Linotype" w:hAnsi="Palatino Linotype" w:cs="Palatino Linotype"/>
          <w:b/>
          <w:sz w:val="22"/>
          <w:szCs w:val="22"/>
        </w:rPr>
      </w:pPr>
      <w:r w:rsidRPr="00B1610D">
        <w:rPr>
          <w:rFonts w:ascii="Palatino Linotype" w:eastAsia="Palatino Linotype" w:hAnsi="Palatino Linotype" w:cs="Palatino Linotype"/>
          <w:b/>
          <w:sz w:val="22"/>
          <w:szCs w:val="22"/>
        </w:rPr>
        <w:t>5.</w:t>
      </w:r>
      <w:r w:rsidR="00146250" w:rsidRPr="00B1610D">
        <w:rPr>
          <w:rFonts w:ascii="Palatino Linotype" w:eastAsia="Palatino Linotype" w:hAnsi="Palatino Linotype" w:cs="Palatino Linotype"/>
          <w:b/>
          <w:sz w:val="22"/>
          <w:szCs w:val="22"/>
        </w:rPr>
        <w:t xml:space="preserve"> Admisión del Recurso de revisión.</w:t>
      </w:r>
      <w:r w:rsidR="00146250" w:rsidRPr="00B1610D">
        <w:rPr>
          <w:rFonts w:ascii="Palatino Linotype" w:eastAsia="Palatino Linotype" w:hAnsi="Palatino Linotype" w:cs="Palatino Linotype"/>
          <w:sz w:val="22"/>
          <w:szCs w:val="22"/>
        </w:rPr>
        <w:t xml:space="preserve"> El</w:t>
      </w:r>
      <w:r w:rsidR="00421D3C" w:rsidRPr="00B1610D">
        <w:rPr>
          <w:rFonts w:ascii="Palatino Linotype" w:eastAsia="Palatino Linotype" w:hAnsi="Palatino Linotype" w:cs="Palatino Linotype"/>
          <w:b/>
          <w:sz w:val="22"/>
          <w:szCs w:val="22"/>
        </w:rPr>
        <w:t xml:space="preserve"> </w:t>
      </w:r>
      <w:r w:rsidR="0054394E" w:rsidRPr="00B1610D">
        <w:rPr>
          <w:rFonts w:ascii="Palatino Linotype" w:eastAsia="Palatino Linotype" w:hAnsi="Palatino Linotype" w:cs="Palatino Linotype"/>
          <w:b/>
          <w:sz w:val="22"/>
          <w:szCs w:val="22"/>
        </w:rPr>
        <w:t>cinco de agosto</w:t>
      </w:r>
      <w:r w:rsidR="00146250" w:rsidRPr="00B1610D">
        <w:rPr>
          <w:rFonts w:ascii="Palatino Linotype" w:eastAsia="Palatino Linotype" w:hAnsi="Palatino Linotype" w:cs="Palatino Linotype"/>
          <w:b/>
          <w:sz w:val="22"/>
          <w:szCs w:val="22"/>
        </w:rPr>
        <w:t xml:space="preserve"> de dos mil veinticinco, </w:t>
      </w:r>
      <w:r w:rsidR="00146250" w:rsidRPr="00B1610D">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146250" w:rsidRPr="00B1610D">
        <w:rPr>
          <w:rFonts w:ascii="Palatino Linotype" w:eastAsia="Palatino Linotype" w:hAnsi="Palatino Linotype" w:cs="Palatino Linotype"/>
          <w:b/>
          <w:sz w:val="22"/>
          <w:szCs w:val="22"/>
        </w:rPr>
        <w:t xml:space="preserve">Sujeto Obligado </w:t>
      </w:r>
      <w:r w:rsidR="00146250" w:rsidRPr="00B1610D">
        <w:rPr>
          <w:rFonts w:ascii="Palatino Linotype" w:eastAsia="Palatino Linotype" w:hAnsi="Palatino Linotype" w:cs="Palatino Linotype"/>
          <w:sz w:val="22"/>
          <w:szCs w:val="22"/>
        </w:rPr>
        <w:t>presentara su informe justificado.</w:t>
      </w:r>
    </w:p>
    <w:p w14:paraId="09729BE8" w14:textId="7182854E" w:rsidR="00E62C29" w:rsidRPr="00B1610D" w:rsidRDefault="00495E44" w:rsidP="00E62C29">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B1610D">
        <w:rPr>
          <w:rFonts w:ascii="Palatino Linotype" w:eastAsia="Palatino Linotype" w:hAnsi="Palatino Linotype" w:cs="Palatino Linotype"/>
          <w:b/>
          <w:sz w:val="22"/>
          <w:szCs w:val="22"/>
        </w:rPr>
        <w:t>6</w:t>
      </w:r>
      <w:r w:rsidR="00146250" w:rsidRPr="00B1610D">
        <w:rPr>
          <w:rFonts w:ascii="Palatino Linotype" w:eastAsia="Palatino Linotype" w:hAnsi="Palatino Linotype" w:cs="Palatino Linotype"/>
          <w:b/>
          <w:sz w:val="22"/>
          <w:szCs w:val="22"/>
        </w:rPr>
        <w:t>. Manifestaciones</w:t>
      </w:r>
      <w:r w:rsidR="00146250" w:rsidRPr="00B1610D">
        <w:rPr>
          <w:rFonts w:ascii="Palatino Linotype" w:eastAsia="Palatino Linotype" w:hAnsi="Palatino Linotype" w:cs="Palatino Linotype"/>
          <w:sz w:val="22"/>
          <w:szCs w:val="22"/>
        </w:rPr>
        <w:t xml:space="preserve">. </w:t>
      </w:r>
      <w:r w:rsidR="00E62C29" w:rsidRPr="00B1610D">
        <w:rPr>
          <w:rFonts w:ascii="Palatino Linotype" w:eastAsia="Palatino Linotype" w:hAnsi="Palatino Linotype" w:cs="Palatino Linotype"/>
          <w:sz w:val="22"/>
          <w:szCs w:val="22"/>
        </w:rPr>
        <w:t xml:space="preserve">El </w:t>
      </w:r>
      <w:r w:rsidR="00E62C29" w:rsidRPr="00B1610D">
        <w:rPr>
          <w:rFonts w:ascii="Palatino Linotype" w:eastAsia="Palatino Linotype" w:hAnsi="Palatino Linotype" w:cs="Palatino Linotype"/>
          <w:b/>
          <w:bCs/>
          <w:sz w:val="22"/>
          <w:szCs w:val="22"/>
        </w:rPr>
        <w:t xml:space="preserve">dieciocho de </w:t>
      </w:r>
      <w:r w:rsidR="006E07FC" w:rsidRPr="00B1610D">
        <w:rPr>
          <w:rFonts w:ascii="Palatino Linotype" w:eastAsia="Palatino Linotype" w:hAnsi="Palatino Linotype" w:cs="Palatino Linotype"/>
          <w:b/>
          <w:bCs/>
          <w:sz w:val="22"/>
          <w:szCs w:val="22"/>
        </w:rPr>
        <w:t xml:space="preserve">septiembre </w:t>
      </w:r>
      <w:r w:rsidR="00E62C29" w:rsidRPr="00B1610D">
        <w:rPr>
          <w:rFonts w:ascii="Palatino Linotype" w:eastAsia="Palatino Linotype" w:hAnsi="Palatino Linotype" w:cs="Palatino Linotype"/>
          <w:b/>
          <w:bCs/>
          <w:sz w:val="22"/>
          <w:szCs w:val="22"/>
        </w:rPr>
        <w:t>de</w:t>
      </w:r>
      <w:r w:rsidR="00E62C29" w:rsidRPr="00B1610D">
        <w:rPr>
          <w:rFonts w:ascii="Palatino Linotype" w:eastAsia="Palatino Linotype" w:hAnsi="Palatino Linotype" w:cs="Palatino Linotype"/>
          <w:sz w:val="22"/>
          <w:szCs w:val="22"/>
        </w:rPr>
        <w:t xml:space="preserve"> </w:t>
      </w:r>
      <w:r w:rsidR="00E62C29" w:rsidRPr="00B1610D">
        <w:rPr>
          <w:rFonts w:ascii="Palatino Linotype" w:eastAsia="Palatino Linotype" w:hAnsi="Palatino Linotype" w:cs="Palatino Linotype"/>
          <w:b/>
          <w:sz w:val="22"/>
          <w:szCs w:val="22"/>
        </w:rPr>
        <w:t>dos mil veinticinco</w:t>
      </w:r>
      <w:r w:rsidR="00E62C29" w:rsidRPr="00B1610D">
        <w:rPr>
          <w:rFonts w:ascii="Palatino Linotype" w:eastAsia="Palatino Linotype" w:hAnsi="Palatino Linotype" w:cs="Palatino Linotype"/>
          <w:sz w:val="22"/>
          <w:szCs w:val="22"/>
        </w:rPr>
        <w:t xml:space="preserve">, el </w:t>
      </w:r>
      <w:r w:rsidR="00E62C29" w:rsidRPr="00B1610D">
        <w:rPr>
          <w:rFonts w:ascii="Palatino Linotype" w:eastAsia="Palatino Linotype" w:hAnsi="Palatino Linotype" w:cs="Palatino Linotype"/>
          <w:b/>
          <w:sz w:val="22"/>
          <w:szCs w:val="22"/>
        </w:rPr>
        <w:t>Sujeto Obligado</w:t>
      </w:r>
      <w:r w:rsidR="00E62C29" w:rsidRPr="00B1610D">
        <w:rPr>
          <w:rFonts w:ascii="Palatino Linotype" w:eastAsia="Palatino Linotype" w:hAnsi="Palatino Linotype" w:cs="Palatino Linotype"/>
          <w:sz w:val="22"/>
          <w:szCs w:val="22"/>
        </w:rPr>
        <w:t xml:space="preserve"> remitió, a través del SAIMEX lo siguiente:</w:t>
      </w:r>
    </w:p>
    <w:p w14:paraId="21CDF6BF" w14:textId="2A64AA22" w:rsidR="00A27711" w:rsidRPr="00B1610D" w:rsidRDefault="00E62C29" w:rsidP="00E62C29">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 </w:t>
      </w:r>
      <w:r w:rsidR="006E07FC" w:rsidRPr="00B1610D">
        <w:rPr>
          <w:rFonts w:ascii="Palatino Linotype" w:eastAsia="Palatino Linotype" w:hAnsi="Palatino Linotype" w:cs="Palatino Linotype"/>
          <w:sz w:val="22"/>
          <w:szCs w:val="22"/>
        </w:rPr>
        <w:t xml:space="preserve">Escrito mediante el cual la Directora General de la UIPPE y Transparencia </w:t>
      </w:r>
      <w:r w:rsidR="00E60092" w:rsidRPr="00B1610D">
        <w:rPr>
          <w:rFonts w:ascii="Palatino Linotype" w:eastAsia="Palatino Linotype" w:hAnsi="Palatino Linotype" w:cs="Palatino Linotype"/>
          <w:sz w:val="22"/>
          <w:szCs w:val="22"/>
        </w:rPr>
        <w:t xml:space="preserve">refirió adjuntar la respuesta de la Tesorería </w:t>
      </w:r>
      <w:r w:rsidR="002140B6" w:rsidRPr="00B1610D">
        <w:rPr>
          <w:rFonts w:ascii="Palatino Linotype" w:eastAsia="Palatino Linotype" w:hAnsi="Palatino Linotype" w:cs="Palatino Linotype"/>
          <w:sz w:val="22"/>
          <w:szCs w:val="22"/>
        </w:rPr>
        <w:t>Municipal</w:t>
      </w:r>
      <w:r w:rsidR="00E60092" w:rsidRPr="00B1610D">
        <w:rPr>
          <w:rFonts w:ascii="Palatino Linotype" w:eastAsia="Palatino Linotype" w:hAnsi="Palatino Linotype" w:cs="Palatino Linotype"/>
          <w:sz w:val="22"/>
          <w:szCs w:val="22"/>
        </w:rPr>
        <w:t>.</w:t>
      </w:r>
    </w:p>
    <w:p w14:paraId="62C6AE74" w14:textId="48156A78" w:rsidR="00FB4AFC" w:rsidRPr="00B1610D" w:rsidRDefault="00FB4AFC" w:rsidP="00E62C29">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Oficio número PMJ/TM/049/2025, mediante el cual el Tesorero Municip</w:t>
      </w:r>
      <w:r w:rsidR="001E1E2F" w:rsidRPr="00B1610D">
        <w:rPr>
          <w:rFonts w:ascii="Palatino Linotype" w:eastAsia="Palatino Linotype" w:hAnsi="Palatino Linotype" w:cs="Palatino Linotype"/>
          <w:sz w:val="22"/>
          <w:szCs w:val="22"/>
        </w:rPr>
        <w:t>al</w:t>
      </w:r>
      <w:r w:rsidRPr="00B1610D">
        <w:rPr>
          <w:rFonts w:ascii="Palatino Linotype" w:eastAsia="Palatino Linotype" w:hAnsi="Palatino Linotype" w:cs="Palatino Linotype"/>
          <w:sz w:val="22"/>
          <w:szCs w:val="22"/>
        </w:rPr>
        <w:t xml:space="preserve"> </w:t>
      </w:r>
      <w:r w:rsidR="00A12880" w:rsidRPr="00B1610D">
        <w:rPr>
          <w:rFonts w:ascii="Palatino Linotype" w:eastAsia="Palatino Linotype" w:hAnsi="Palatino Linotype" w:cs="Palatino Linotype"/>
          <w:sz w:val="22"/>
          <w:szCs w:val="22"/>
        </w:rPr>
        <w:t>refirió adjuntar de manera física y magnética la información.</w:t>
      </w:r>
    </w:p>
    <w:p w14:paraId="49B40075" w14:textId="7E07BC6C" w:rsidR="003D5832" w:rsidRPr="00B1610D" w:rsidRDefault="003D5832" w:rsidP="00E62C29">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Formato PbRM 09b Estado Comparativo Presupuestal de Ingresos, del uno de enero al treinta y uno de marzo de 2025.</w:t>
      </w:r>
    </w:p>
    <w:p w14:paraId="4224AB4B" w14:textId="37C4071B" w:rsidR="003D5832" w:rsidRPr="00B1610D" w:rsidRDefault="003D5832" w:rsidP="003D5832">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Formato PbRM 09b Estado Comparativo Presupuestal de Ingresos, del uno de enero al treinta y uno de marzo de 2024.</w:t>
      </w:r>
    </w:p>
    <w:p w14:paraId="37DF8D84" w14:textId="3265FEB2" w:rsidR="00F21F92" w:rsidRPr="00B1610D" w:rsidRDefault="00E62C29" w:rsidP="00E62C29">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Una vez analizada la información, se hizo del conocimiento de la persona solicitante a efecto de que manifestara lo que a su derecho estimara conveniente, siendo omisa en ejercer dicha prerrogativa</w:t>
      </w:r>
    </w:p>
    <w:p w14:paraId="5A08F1C0" w14:textId="59EDB055" w:rsidR="00320E68" w:rsidRPr="00B1610D" w:rsidRDefault="00495E44">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7</w:t>
      </w:r>
      <w:r w:rsidR="00146250" w:rsidRPr="00B1610D">
        <w:rPr>
          <w:rFonts w:ascii="Palatino Linotype" w:eastAsia="Palatino Linotype" w:hAnsi="Palatino Linotype" w:cs="Palatino Linotype"/>
          <w:b/>
          <w:sz w:val="22"/>
          <w:szCs w:val="22"/>
        </w:rPr>
        <w:t xml:space="preserve">. Cierre de instrucción. </w:t>
      </w:r>
      <w:r w:rsidR="00146250" w:rsidRPr="00B1610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0054394E" w:rsidRPr="00B1610D">
        <w:rPr>
          <w:rFonts w:ascii="Palatino Linotype" w:eastAsia="Palatino Linotype" w:hAnsi="Palatino Linotype" w:cs="Palatino Linotype"/>
          <w:b/>
          <w:sz w:val="22"/>
          <w:szCs w:val="22"/>
        </w:rPr>
        <w:t>doce de noviembre d</w:t>
      </w:r>
      <w:r w:rsidR="00146250" w:rsidRPr="00B1610D">
        <w:rPr>
          <w:rFonts w:ascii="Palatino Linotype" w:eastAsia="Palatino Linotype" w:hAnsi="Palatino Linotype" w:cs="Palatino Linotype"/>
          <w:b/>
          <w:sz w:val="22"/>
          <w:szCs w:val="22"/>
        </w:rPr>
        <w:t>e dos mil veinticinco</w:t>
      </w:r>
      <w:r w:rsidR="00146250" w:rsidRPr="00B1610D">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42F35BB" w14:textId="0DB26A30" w:rsidR="00320E68" w:rsidRPr="00B1610D" w:rsidRDefault="00495E44">
      <w:pPr>
        <w:spacing w:before="240" w:after="240" w:line="360" w:lineRule="auto"/>
        <w:jc w:val="both"/>
        <w:rPr>
          <w:rFonts w:ascii="Palatino Linotype" w:eastAsia="Palatino Linotype" w:hAnsi="Palatino Linotype" w:cs="Palatino Linotype"/>
          <w:b/>
          <w:bCs/>
          <w:sz w:val="22"/>
          <w:szCs w:val="22"/>
        </w:rPr>
      </w:pPr>
      <w:r w:rsidRPr="00B1610D">
        <w:rPr>
          <w:rFonts w:ascii="Palatino Linotype" w:eastAsia="Palatino Linotype" w:hAnsi="Palatino Linotype" w:cs="Palatino Linotype"/>
          <w:b/>
          <w:sz w:val="22"/>
          <w:szCs w:val="22"/>
        </w:rPr>
        <w:t>8</w:t>
      </w:r>
      <w:r w:rsidR="00146250" w:rsidRPr="00B1610D">
        <w:rPr>
          <w:rFonts w:ascii="Palatino Linotype" w:eastAsia="Palatino Linotype" w:hAnsi="Palatino Linotype" w:cs="Palatino Linotype"/>
          <w:sz w:val="22"/>
          <w:szCs w:val="22"/>
        </w:rPr>
        <w:t xml:space="preserve">. </w:t>
      </w:r>
      <w:r w:rsidR="00146250" w:rsidRPr="00B1610D">
        <w:rPr>
          <w:rFonts w:ascii="Palatino Linotype" w:eastAsia="Palatino Linotype" w:hAnsi="Palatino Linotype" w:cs="Palatino Linotype"/>
          <w:b/>
          <w:sz w:val="22"/>
          <w:szCs w:val="22"/>
        </w:rPr>
        <w:t>Ampliación del término para resolver</w:t>
      </w:r>
      <w:r w:rsidR="00146250" w:rsidRPr="00B1610D">
        <w:rPr>
          <w:rFonts w:ascii="Palatino Linotype" w:eastAsia="Palatino Linotype" w:hAnsi="Palatino Linotype" w:cs="Palatino Linotype"/>
          <w:sz w:val="22"/>
          <w:szCs w:val="22"/>
        </w:rPr>
        <w:t xml:space="preserve">. El </w:t>
      </w:r>
      <w:r w:rsidR="0054394E" w:rsidRPr="00B1610D">
        <w:rPr>
          <w:rFonts w:ascii="Palatino Linotype" w:eastAsia="Palatino Linotype" w:hAnsi="Palatino Linotype" w:cs="Palatino Linotype"/>
          <w:bCs/>
          <w:sz w:val="22"/>
          <w:szCs w:val="22"/>
        </w:rPr>
        <w:t>doce de noviembre de dos mil veinticinco</w:t>
      </w:r>
      <w:r w:rsidR="00146250" w:rsidRPr="00B1610D">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0639D3" w:rsidRPr="00B1610D">
        <w:rPr>
          <w:rFonts w:ascii="Palatino Linotype" w:eastAsia="Palatino Linotype" w:hAnsi="Palatino Linotype" w:cs="Palatino Linotype"/>
          <w:sz w:val="22"/>
          <w:szCs w:val="22"/>
        </w:rPr>
        <w:t>, mediante acuerdo notificado</w:t>
      </w:r>
      <w:r w:rsidR="000639D3" w:rsidRPr="00B1610D">
        <w:rPr>
          <w:rFonts w:ascii="Palatino Linotype" w:eastAsia="Palatino Linotype" w:hAnsi="Palatino Linotype" w:cs="Palatino Linotype"/>
          <w:b/>
          <w:bCs/>
          <w:sz w:val="22"/>
          <w:szCs w:val="22"/>
        </w:rPr>
        <w:t xml:space="preserve"> el trece de noviembre de dos mil veinticinco. </w:t>
      </w:r>
    </w:p>
    <w:p w14:paraId="7456E55B"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4A9D9CE"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3159684"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3C2843"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4E151CE" w14:textId="77777777" w:rsidR="00357A96" w:rsidRPr="00B1610D" w:rsidRDefault="00357A96" w:rsidP="00357A96">
      <w:pPr>
        <w:spacing w:before="240" w:after="240" w:line="360" w:lineRule="auto"/>
        <w:jc w:val="both"/>
        <w:rPr>
          <w:rFonts w:ascii="Palatino Linotype" w:eastAsia="Palatino Linotype" w:hAnsi="Palatino Linotype" w:cs="Palatino Linotype"/>
          <w:strike/>
          <w:sz w:val="22"/>
          <w:szCs w:val="22"/>
        </w:rPr>
      </w:pPr>
      <w:r w:rsidRPr="00B1610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630C1FE7" w14:textId="77777777" w:rsidR="00357A96" w:rsidRPr="00B1610D" w:rsidRDefault="00357A96" w:rsidP="00357A96">
      <w:pPr>
        <w:numPr>
          <w:ilvl w:val="0"/>
          <w:numId w:val="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6330D97A" w14:textId="77777777" w:rsidR="00357A96" w:rsidRPr="00B1610D" w:rsidRDefault="00357A96" w:rsidP="00357A96">
      <w:pPr>
        <w:numPr>
          <w:ilvl w:val="0"/>
          <w:numId w:val="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Actividad Procesal del interesado. Acciones u omisiones del interesado.</w:t>
      </w:r>
    </w:p>
    <w:p w14:paraId="6414011F" w14:textId="77777777" w:rsidR="00357A96" w:rsidRPr="00B1610D" w:rsidRDefault="00357A96" w:rsidP="00357A96">
      <w:pPr>
        <w:numPr>
          <w:ilvl w:val="0"/>
          <w:numId w:val="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E7C005D" w14:textId="77777777" w:rsidR="00357A96" w:rsidRPr="00B1610D" w:rsidRDefault="00357A96" w:rsidP="00357A96">
      <w:pPr>
        <w:tabs>
          <w:tab w:val="left" w:pos="567"/>
        </w:tabs>
        <w:spacing w:before="240" w:after="240" w:line="360" w:lineRule="auto"/>
        <w:ind w:left="284"/>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2626E486"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19C285" w14:textId="77777777" w:rsidR="00357A96" w:rsidRPr="00B1610D" w:rsidRDefault="00357A96" w:rsidP="00357A96">
      <w:pPr>
        <w:spacing w:before="240" w:after="240" w:line="360" w:lineRule="auto"/>
        <w:jc w:val="both"/>
        <w:rPr>
          <w:rFonts w:ascii="Palatino Linotype" w:eastAsia="Palatino Linotype" w:hAnsi="Palatino Linotype" w:cs="Palatino Linotype"/>
          <w:b/>
          <w:sz w:val="22"/>
          <w:szCs w:val="22"/>
        </w:rPr>
      </w:pPr>
      <w:r w:rsidRPr="00B1610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1610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1610D">
        <w:rPr>
          <w:rFonts w:ascii="Palatino Linotype" w:eastAsia="Palatino Linotype" w:hAnsi="Palatino Linotype" w:cs="Palatino Linotype"/>
          <w:sz w:val="22"/>
          <w:szCs w:val="22"/>
        </w:rPr>
        <w:t>, visible en la Gaceta del Seminario Judicial de la Federación con el registro digital 205635.</w:t>
      </w:r>
    </w:p>
    <w:p w14:paraId="204839FE"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E5784E"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744F033" w14:textId="77777777" w:rsidR="00357A96" w:rsidRPr="00B1610D" w:rsidRDefault="00357A96" w:rsidP="00357A96">
      <w:pPr>
        <w:spacing w:before="120" w:after="120"/>
        <w:ind w:left="851" w:right="902"/>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 </w:t>
      </w: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b/>
          <w:i/>
          <w:sz w:val="22"/>
          <w:szCs w:val="22"/>
        </w:rPr>
        <w:t>PLAZO RAZONABLE PARA RESOLVER. DIMENSIÓN Y EFECTOS DE ESTE CONCEPTO CUANDO SE ADUCE EXCESIVA CARGA DE TRABAJO</w:t>
      </w: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sz w:val="22"/>
          <w:szCs w:val="22"/>
        </w:rPr>
        <w:t xml:space="preserve"> consultable en el Seminario Judicial de la Federación y su gaceta, con el registro digital 2002351.</w:t>
      </w:r>
    </w:p>
    <w:p w14:paraId="6ABFA047" w14:textId="77777777" w:rsidR="00357A96" w:rsidRPr="00B1610D" w:rsidRDefault="00357A96" w:rsidP="00357A96">
      <w:pPr>
        <w:spacing w:before="120" w:after="120"/>
        <w:ind w:left="851" w:right="902"/>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sz w:val="22"/>
          <w:szCs w:val="22"/>
        </w:rPr>
        <w:t>, visible en el Seminario Judicial de la Federación y su gaceta, con el registro digital 2002350.</w:t>
      </w:r>
    </w:p>
    <w:p w14:paraId="5474B622" w14:textId="77777777" w:rsidR="00357A96" w:rsidRPr="00B1610D" w:rsidRDefault="00357A96" w:rsidP="00357A96">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422D1EC0" w14:textId="77777777" w:rsidR="00320E68" w:rsidRPr="00B1610D" w:rsidRDefault="00146250">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8018118" w14:textId="77777777" w:rsidR="00320E68" w:rsidRPr="00B1610D" w:rsidRDefault="00146250">
      <w:pPr>
        <w:widowControl w:val="0"/>
        <w:spacing w:before="240" w:after="240" w:line="360" w:lineRule="auto"/>
        <w:jc w:val="center"/>
        <w:rPr>
          <w:rFonts w:ascii="Palatino Linotype" w:eastAsia="Palatino Linotype" w:hAnsi="Palatino Linotype" w:cs="Palatino Linotype"/>
          <w:b/>
          <w:sz w:val="22"/>
          <w:szCs w:val="22"/>
        </w:rPr>
      </w:pPr>
      <w:r w:rsidRPr="00B1610D">
        <w:rPr>
          <w:rFonts w:ascii="Palatino Linotype" w:eastAsia="Palatino Linotype" w:hAnsi="Palatino Linotype" w:cs="Palatino Linotype"/>
          <w:b/>
          <w:sz w:val="22"/>
          <w:szCs w:val="22"/>
        </w:rPr>
        <w:t>II. C O N S I D E R A N D O S</w:t>
      </w:r>
    </w:p>
    <w:p w14:paraId="4CC24B49" w14:textId="40B6804B" w:rsidR="00320E68" w:rsidRPr="00B1610D" w:rsidRDefault="00146250">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Primero. Competencia.</w:t>
      </w:r>
      <w:r w:rsidRPr="00B1610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w:t>
      </w:r>
      <w:r w:rsidR="003B582C" w:rsidRPr="00B1610D">
        <w:rPr>
          <w:rFonts w:ascii="Palatino Linotype" w:eastAsia="Palatino Linotype" w:hAnsi="Palatino Linotype" w:cs="Palatino Linotype"/>
          <w:sz w:val="22"/>
          <w:szCs w:val="22"/>
        </w:rPr>
        <w:t xml:space="preserve">párrafos cuadragésimo cuarto, cuadragésimo quinto cuadragésimo sexto, fracciones IV y V de la Constitución Política del Estado Libre y Soberano de México; Transitorio Cuarto, párrafo segundo del Decreto número 198 de la “LXII” Legislatura del Estado de México; </w:t>
      </w:r>
      <w:r w:rsidRPr="00B1610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CF19FE" w14:textId="77777777" w:rsidR="00320E68" w:rsidRPr="00B1610D" w:rsidRDefault="00146250">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B1610D">
        <w:rPr>
          <w:rFonts w:ascii="Palatino Linotype" w:eastAsia="Palatino Linotype" w:hAnsi="Palatino Linotype" w:cs="Palatino Linotype"/>
          <w:b/>
          <w:sz w:val="22"/>
          <w:szCs w:val="22"/>
        </w:rPr>
        <w:t>Segundo. Oportunidad y Procedibilidad del Recurso de Revisión</w:t>
      </w:r>
      <w:r w:rsidRPr="00B1610D">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8250363" w14:textId="0F191112" w:rsidR="00320E68" w:rsidRPr="00B1610D" w:rsidRDefault="00146250">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 xml:space="preserve">remitió la respuesta a la solicitud de información el día </w:t>
      </w:r>
      <w:r w:rsidR="002B7F11" w:rsidRPr="00B1610D">
        <w:rPr>
          <w:rFonts w:ascii="Palatino Linotype" w:eastAsia="Palatino Linotype" w:hAnsi="Palatino Linotype" w:cs="Palatino Linotype"/>
          <w:b/>
          <w:sz w:val="22"/>
          <w:szCs w:val="22"/>
        </w:rPr>
        <w:t xml:space="preserve">dieciséis de julio </w:t>
      </w:r>
      <w:r w:rsidR="00357A96" w:rsidRPr="00B1610D">
        <w:rPr>
          <w:rFonts w:ascii="Palatino Linotype" w:eastAsia="Palatino Linotype" w:hAnsi="Palatino Linotype" w:cs="Palatino Linotype"/>
          <w:b/>
          <w:sz w:val="22"/>
          <w:szCs w:val="22"/>
        </w:rPr>
        <w:t>de dos mil veinticinco</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mientras que el recurso de revisión interpuesto por la parte </w:t>
      </w:r>
      <w:r w:rsidRPr="00B1610D">
        <w:rPr>
          <w:rFonts w:ascii="Palatino Linotype" w:eastAsia="Palatino Linotype" w:hAnsi="Palatino Linotype" w:cs="Palatino Linotype"/>
          <w:b/>
          <w:sz w:val="22"/>
          <w:szCs w:val="22"/>
        </w:rPr>
        <w:t xml:space="preserve">Recurrente, </w:t>
      </w:r>
      <w:r w:rsidRPr="00B1610D">
        <w:rPr>
          <w:rFonts w:ascii="Palatino Linotype" w:eastAsia="Palatino Linotype" w:hAnsi="Palatino Linotype" w:cs="Palatino Linotype"/>
          <w:sz w:val="22"/>
          <w:szCs w:val="22"/>
        </w:rPr>
        <w:t>se tuvo por presentado el día</w:t>
      </w:r>
      <w:r w:rsidRPr="00B1610D">
        <w:rPr>
          <w:rFonts w:ascii="Palatino Linotype" w:eastAsia="Palatino Linotype" w:hAnsi="Palatino Linotype" w:cs="Palatino Linotype"/>
          <w:b/>
          <w:sz w:val="22"/>
          <w:szCs w:val="22"/>
        </w:rPr>
        <w:t xml:space="preserve"> </w:t>
      </w:r>
      <w:r w:rsidR="002B7F11" w:rsidRPr="00B1610D">
        <w:rPr>
          <w:rFonts w:ascii="Palatino Linotype" w:eastAsia="Palatino Linotype" w:hAnsi="Palatino Linotype" w:cs="Palatino Linotype"/>
          <w:b/>
          <w:sz w:val="22"/>
          <w:szCs w:val="22"/>
        </w:rPr>
        <w:t>diecisiete de julio de dos mil veinticinco</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esto es, </w:t>
      </w:r>
      <w:r w:rsidR="00357A96" w:rsidRPr="00B1610D">
        <w:rPr>
          <w:rFonts w:ascii="Palatino Linotype" w:eastAsia="Palatino Linotype" w:hAnsi="Palatino Linotype" w:cs="Palatino Linotype"/>
          <w:sz w:val="22"/>
          <w:szCs w:val="22"/>
        </w:rPr>
        <w:t>al siguiente día hábil posterior a aquel</w:t>
      </w:r>
      <w:r w:rsidR="00BF5C4F" w:rsidRPr="00B1610D">
        <w:rPr>
          <w:rFonts w:ascii="Palatino Linotype" w:eastAsia="Palatino Linotype" w:hAnsi="Palatino Linotype" w:cs="Palatino Linotype"/>
          <w:sz w:val="22"/>
          <w:szCs w:val="22"/>
        </w:rPr>
        <w:t xml:space="preserve"> </w:t>
      </w:r>
      <w:r w:rsidRPr="00B1610D">
        <w:rPr>
          <w:rFonts w:ascii="Palatino Linotype" w:eastAsia="Palatino Linotype" w:hAnsi="Palatino Linotype" w:cs="Palatino Linotype"/>
          <w:sz w:val="22"/>
          <w:szCs w:val="22"/>
        </w:rPr>
        <w:t>en el que tuvo conocimiento de la respuesta impugnada. En este sentido, se concluye que el presente recurso de revisión se encuentra dentro de los márgenes temporales previstos en las disposiciones legales referidas.</w:t>
      </w:r>
    </w:p>
    <w:p w14:paraId="14B66165" w14:textId="77777777" w:rsidR="00783073" w:rsidRPr="00B1610D" w:rsidRDefault="00783073" w:rsidP="00783073">
      <w:pPr>
        <w:tabs>
          <w:tab w:val="left" w:pos="7938"/>
        </w:tabs>
        <w:spacing w:before="240" w:after="240" w:line="360" w:lineRule="auto"/>
        <w:jc w:val="both"/>
        <w:rPr>
          <w:rFonts w:ascii="Palatino Linotype" w:eastAsia="Palatino Linotype" w:hAnsi="Palatino Linotype" w:cs="Palatino Linotype"/>
          <w:sz w:val="22"/>
          <w:szCs w:val="22"/>
        </w:rPr>
      </w:pPr>
      <w:bookmarkStart w:id="7" w:name="_heading=h.3znysh7" w:colFirst="0" w:colLast="0"/>
      <w:bookmarkEnd w:id="7"/>
      <w:r w:rsidRPr="00B1610D">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D1D3467" w14:textId="15F1C801" w:rsidR="00320E68" w:rsidRPr="00B1610D" w:rsidRDefault="00146250">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B1610D">
        <w:rPr>
          <w:rFonts w:ascii="Palatino Linotype" w:eastAsia="Palatino Linotype" w:hAnsi="Palatino Linotype" w:cs="Palatino Linotype"/>
          <w:b/>
          <w:sz w:val="22"/>
          <w:szCs w:val="22"/>
        </w:rPr>
        <w:t>Recurrente</w:t>
      </w:r>
      <w:r w:rsidRPr="00B1610D">
        <w:rPr>
          <w:rFonts w:ascii="Palatino Linotype" w:eastAsia="Palatino Linotype" w:hAnsi="Palatino Linotype" w:cs="Palatino Linotype"/>
          <w:sz w:val="22"/>
          <w:szCs w:val="22"/>
        </w:rPr>
        <w:t xml:space="preserve"> en sus motivos de inconformidad, de acuerdo al artículo 179, </w:t>
      </w:r>
      <w:r w:rsidR="00783073" w:rsidRPr="00B1610D">
        <w:rPr>
          <w:rFonts w:ascii="Palatino Linotype" w:eastAsia="Palatino Linotype" w:hAnsi="Palatino Linotype" w:cs="Palatino Linotype"/>
          <w:sz w:val="22"/>
          <w:szCs w:val="22"/>
        </w:rPr>
        <w:t>fracci</w:t>
      </w:r>
      <w:r w:rsidR="00D64214" w:rsidRPr="00B1610D">
        <w:rPr>
          <w:rFonts w:ascii="Palatino Linotype" w:eastAsia="Palatino Linotype" w:hAnsi="Palatino Linotype" w:cs="Palatino Linotype"/>
          <w:sz w:val="22"/>
          <w:szCs w:val="22"/>
        </w:rPr>
        <w:t>ón</w:t>
      </w:r>
      <w:r w:rsidR="00E25252" w:rsidRPr="00B1610D">
        <w:rPr>
          <w:rFonts w:ascii="Palatino Linotype" w:eastAsia="Palatino Linotype" w:hAnsi="Palatino Linotype" w:cs="Palatino Linotype"/>
          <w:sz w:val="22"/>
          <w:szCs w:val="22"/>
        </w:rPr>
        <w:t xml:space="preserve"> </w:t>
      </w:r>
      <w:r w:rsidRPr="00B1610D">
        <w:rPr>
          <w:rFonts w:ascii="Palatino Linotype" w:eastAsia="Palatino Linotype" w:hAnsi="Palatino Linotype" w:cs="Palatino Linotype"/>
          <w:sz w:val="22"/>
          <w:szCs w:val="22"/>
        </w:rPr>
        <w:t>I</w:t>
      </w:r>
      <w:r w:rsidR="00BF5C4F" w:rsidRPr="00B1610D">
        <w:rPr>
          <w:rFonts w:ascii="Palatino Linotype" w:eastAsia="Palatino Linotype" w:hAnsi="Palatino Linotype" w:cs="Palatino Linotype"/>
          <w:sz w:val="22"/>
          <w:szCs w:val="22"/>
        </w:rPr>
        <w:t xml:space="preserve"> </w:t>
      </w:r>
      <w:r w:rsidRPr="00B1610D">
        <w:rPr>
          <w:rFonts w:ascii="Palatino Linotype" w:eastAsia="Palatino Linotype" w:hAnsi="Palatino Linotype" w:cs="Palatino Linotype"/>
          <w:sz w:val="22"/>
          <w:szCs w:val="22"/>
        </w:rPr>
        <w:t>del ordenamiento legal citado, que a la letra dice</w:t>
      </w:r>
      <w:r w:rsidR="00E25252" w:rsidRPr="00B1610D">
        <w:rPr>
          <w:rFonts w:ascii="Palatino Linotype" w:eastAsia="Palatino Linotype" w:hAnsi="Palatino Linotype" w:cs="Palatino Linotype"/>
          <w:sz w:val="22"/>
          <w:szCs w:val="22"/>
        </w:rPr>
        <w:t>:</w:t>
      </w:r>
      <w:r w:rsidR="005F316E" w:rsidRPr="00B1610D">
        <w:rPr>
          <w:rFonts w:ascii="Palatino Linotype" w:eastAsia="Palatino Linotype" w:hAnsi="Palatino Linotype" w:cs="Palatino Linotype"/>
          <w:sz w:val="22"/>
          <w:szCs w:val="22"/>
        </w:rPr>
        <w:t xml:space="preserve"> </w:t>
      </w:r>
    </w:p>
    <w:p w14:paraId="14705486" w14:textId="77777777" w:rsidR="00320E68" w:rsidRPr="00B1610D" w:rsidRDefault="00146250" w:rsidP="00F615AC">
      <w:pPr>
        <w:tabs>
          <w:tab w:val="left" w:pos="7938"/>
        </w:tabs>
        <w:spacing w:before="120" w:after="120"/>
        <w:ind w:left="851" w:right="902"/>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b/>
          <w:i/>
          <w:sz w:val="22"/>
          <w:szCs w:val="22"/>
        </w:rPr>
        <w:t>Artículo 179.</w:t>
      </w:r>
      <w:r w:rsidRPr="00B1610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E473328" w14:textId="0A394702" w:rsidR="00BF5C4F" w:rsidRPr="00B1610D" w:rsidRDefault="00D64214" w:rsidP="00F615AC">
      <w:pPr>
        <w:tabs>
          <w:tab w:val="left" w:pos="7938"/>
        </w:tabs>
        <w:spacing w:before="120" w:after="120"/>
        <w:ind w:left="851" w:right="900"/>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b/>
          <w:i/>
          <w:sz w:val="22"/>
          <w:szCs w:val="22"/>
        </w:rPr>
        <w:t xml:space="preserve">I. </w:t>
      </w:r>
      <w:r w:rsidRPr="00B1610D">
        <w:rPr>
          <w:rFonts w:ascii="Palatino Linotype" w:eastAsia="Palatino Linotype" w:hAnsi="Palatino Linotype" w:cs="Palatino Linotype"/>
          <w:i/>
          <w:sz w:val="22"/>
          <w:szCs w:val="22"/>
        </w:rPr>
        <w:t>La negativa a la información solicitada</w:t>
      </w:r>
      <w:r w:rsidR="00B47B67" w:rsidRPr="00B1610D">
        <w:rPr>
          <w:rFonts w:ascii="Palatino Linotype" w:eastAsia="Palatino Linotype" w:hAnsi="Palatino Linotype" w:cs="Palatino Linotype"/>
          <w:i/>
          <w:sz w:val="22"/>
          <w:szCs w:val="22"/>
        </w:rPr>
        <w:t>;”</w:t>
      </w:r>
    </w:p>
    <w:p w14:paraId="75DAA232" w14:textId="77777777" w:rsidR="005E747A" w:rsidRPr="00B1610D" w:rsidRDefault="005E747A" w:rsidP="005E747A">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Tercero. Análisis de las causales de sobreseimiento de los recursos de revisión.</w:t>
      </w:r>
      <w:r w:rsidRPr="00B1610D">
        <w:rPr>
          <w:rFonts w:ascii="Palatino Linotype" w:eastAsia="Palatino Linotype" w:hAnsi="Palatino Linotype" w:cs="Palatino Linotype"/>
          <w:sz w:val="22"/>
          <w:szCs w:val="22"/>
        </w:rPr>
        <w:t xml:space="preserve"> 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F8D4149" w14:textId="77777777" w:rsidR="005E747A" w:rsidRPr="00B1610D" w:rsidRDefault="005E747A" w:rsidP="005E747A">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Es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este no se coarta por regular causas de improcedencia y sobreseimiento con tales fines.</w:t>
      </w:r>
    </w:p>
    <w:p w14:paraId="490E87BA" w14:textId="77777777" w:rsidR="005E747A" w:rsidRPr="00B1610D" w:rsidRDefault="005E747A" w:rsidP="005E747A">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14:paraId="4D79CE39" w14:textId="77777777" w:rsidR="005E747A" w:rsidRPr="00B1610D" w:rsidRDefault="005E747A" w:rsidP="005E747A">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En tal contexto, del análisis de la solicitud de información motivo del recurso de revisión que ahora se resuelve, se advierte que la parte </w:t>
      </w:r>
      <w:r w:rsidRPr="00B1610D">
        <w:rPr>
          <w:rFonts w:ascii="Palatino Linotype" w:eastAsia="Palatino Linotype" w:hAnsi="Palatino Linotype" w:cs="Palatino Linotype"/>
          <w:b/>
          <w:sz w:val="22"/>
          <w:szCs w:val="22"/>
        </w:rPr>
        <w:t>Recurrente</w:t>
      </w:r>
      <w:r w:rsidRPr="00B1610D">
        <w:rPr>
          <w:rFonts w:ascii="Palatino Linotype" w:eastAsia="Palatino Linotype" w:hAnsi="Palatino Linotype" w:cs="Palatino Linotype"/>
          <w:sz w:val="22"/>
          <w:szCs w:val="22"/>
        </w:rPr>
        <w:t xml:space="preserve"> requirió al </w:t>
      </w:r>
      <w:r w:rsidRPr="00B1610D">
        <w:rPr>
          <w:rFonts w:ascii="Palatino Linotype" w:eastAsia="Palatino Linotype" w:hAnsi="Palatino Linotype" w:cs="Palatino Linotype"/>
          <w:b/>
          <w:sz w:val="22"/>
          <w:szCs w:val="22"/>
        </w:rPr>
        <w:t>Sujeto Obligado</w:t>
      </w:r>
      <w:r w:rsidRPr="00B1610D">
        <w:rPr>
          <w:rFonts w:ascii="Palatino Linotype" w:eastAsia="Palatino Linotype" w:hAnsi="Palatino Linotype" w:cs="Palatino Linotype"/>
          <w:sz w:val="22"/>
          <w:szCs w:val="22"/>
        </w:rPr>
        <w:t xml:space="preserve"> le proporcione información que consiste en lo siguiente:</w:t>
      </w:r>
    </w:p>
    <w:p w14:paraId="54E950E0" w14:textId="414C10BE" w:rsidR="005E747A" w:rsidRPr="00B1610D" w:rsidRDefault="005E747A" w:rsidP="005E747A">
      <w:pPr>
        <w:spacing w:before="240" w:after="240" w:line="360" w:lineRule="auto"/>
        <w:ind w:left="284"/>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1. La tasa de crecimiento real anual del año 2024 de la recaudación del impuesto predial, por derechos de aguay de los ingresos propios del ayuntamiento, comparar el primer trimestre 2025 con el 2024, por separado.</w:t>
      </w:r>
    </w:p>
    <w:p w14:paraId="10D06138" w14:textId="77777777" w:rsidR="0041778B" w:rsidRPr="00B1610D" w:rsidRDefault="005E747A" w:rsidP="0041778B">
      <w:pPr>
        <w:spacing w:before="240" w:after="240" w:line="360" w:lineRule="auto"/>
        <w:ind w:right="49"/>
        <w:jc w:val="both"/>
        <w:rPr>
          <w:rFonts w:ascii="Palatino Linotype" w:hAnsi="Palatino Linotype"/>
          <w:sz w:val="22"/>
          <w:szCs w:val="22"/>
        </w:rPr>
      </w:pPr>
      <w:r w:rsidRPr="00B1610D">
        <w:rPr>
          <w:rFonts w:ascii="Palatino Linotype" w:eastAsia="Palatino Linotype" w:hAnsi="Palatino Linotype" w:cs="Palatino Linotype"/>
          <w:sz w:val="22"/>
          <w:szCs w:val="22"/>
        </w:rPr>
        <w:t xml:space="preserve">En respuesta, 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por conducto de</w:t>
      </w:r>
      <w:r w:rsidR="0041778B" w:rsidRPr="00B1610D">
        <w:rPr>
          <w:rFonts w:ascii="Palatino Linotype" w:eastAsia="Palatino Linotype" w:hAnsi="Palatino Linotype" w:cs="Palatino Linotype"/>
          <w:sz w:val="22"/>
          <w:szCs w:val="22"/>
        </w:rPr>
        <w:t xml:space="preserve"> la Directora General de la UIPPE y Transparencia refirió que el requerimiento fue debidamente turnado </w:t>
      </w:r>
      <w:r w:rsidR="0041778B" w:rsidRPr="00B1610D">
        <w:rPr>
          <w:rFonts w:ascii="Palatino Linotype" w:hAnsi="Palatino Linotype"/>
          <w:sz w:val="22"/>
          <w:szCs w:val="22"/>
        </w:rPr>
        <w:t>a la Dirección de Tesorería para su análisis, búsqueda y remisión de la información solicitada, conforme a los plazos establecidos en la normatividad aplicable, sin embargo, el servidor público habilitado no ha emitido respuesta alguna ni ha sido proporcionada información a la Unidad de Transparencia, motivo por el cual manifestó que no nos es posible atender y responder la solicitud referida en tiempo y forma.</w:t>
      </w:r>
    </w:p>
    <w:p w14:paraId="6D23358E" w14:textId="274AF6F5" w:rsidR="0041778B" w:rsidRPr="00B1610D" w:rsidRDefault="0041778B" w:rsidP="0041778B">
      <w:pPr>
        <w:spacing w:before="240" w:after="240" w:line="360" w:lineRule="auto"/>
        <w:ind w:right="49"/>
        <w:jc w:val="both"/>
        <w:rPr>
          <w:rFonts w:ascii="Palatino Linotype" w:hAnsi="Palatino Linotype"/>
          <w:sz w:val="22"/>
          <w:szCs w:val="22"/>
        </w:rPr>
      </w:pPr>
      <w:r w:rsidRPr="00B1610D">
        <w:rPr>
          <w:rFonts w:ascii="Palatino Linotype" w:hAnsi="Palatino Linotype"/>
          <w:sz w:val="22"/>
          <w:szCs w:val="22"/>
        </w:rPr>
        <w:t xml:space="preserve">En este contexto, al no estar conforme con la respuesta proporcionada </w:t>
      </w:r>
      <w:r w:rsidR="0043181F" w:rsidRPr="00B1610D">
        <w:rPr>
          <w:rFonts w:ascii="Palatino Linotype" w:hAnsi="Palatino Linotype"/>
          <w:sz w:val="22"/>
          <w:szCs w:val="22"/>
        </w:rPr>
        <w:t xml:space="preserve">la parte </w:t>
      </w:r>
      <w:r w:rsidR="0043181F" w:rsidRPr="00B1610D">
        <w:rPr>
          <w:rFonts w:ascii="Palatino Linotype" w:hAnsi="Palatino Linotype"/>
          <w:b/>
          <w:sz w:val="22"/>
          <w:szCs w:val="22"/>
        </w:rPr>
        <w:t xml:space="preserve">Recurrente </w:t>
      </w:r>
      <w:r w:rsidR="0043181F" w:rsidRPr="00B1610D">
        <w:rPr>
          <w:rFonts w:ascii="Palatino Linotype" w:hAnsi="Palatino Linotype"/>
          <w:sz w:val="22"/>
          <w:szCs w:val="22"/>
        </w:rPr>
        <w:t xml:space="preserve">interpuso el recurso de revisión que nos ocupa, en el cual señaló que </w:t>
      </w:r>
      <w:r w:rsidR="0043181F" w:rsidRPr="00B1610D">
        <w:rPr>
          <w:rFonts w:ascii="Palatino Linotype" w:eastAsia="Palatino Linotype" w:hAnsi="Palatino Linotype" w:cs="Palatino Linotype"/>
          <w:sz w:val="22"/>
          <w:szCs w:val="22"/>
        </w:rPr>
        <w:t xml:space="preserve">el </w:t>
      </w:r>
      <w:r w:rsidR="0043181F" w:rsidRPr="00B1610D">
        <w:rPr>
          <w:rFonts w:ascii="Palatino Linotype" w:eastAsia="Palatino Linotype" w:hAnsi="Palatino Linotype" w:cs="Palatino Linotype"/>
          <w:b/>
          <w:sz w:val="22"/>
          <w:szCs w:val="22"/>
        </w:rPr>
        <w:t xml:space="preserve">Sujeto Obligado </w:t>
      </w:r>
      <w:r w:rsidR="0043181F" w:rsidRPr="00B1610D">
        <w:rPr>
          <w:rFonts w:ascii="Palatino Linotype" w:eastAsia="Palatino Linotype" w:hAnsi="Palatino Linotype" w:cs="Palatino Linotype"/>
          <w:sz w:val="22"/>
          <w:szCs w:val="22"/>
        </w:rPr>
        <w:t xml:space="preserve">no emitió respuesta alguna sobre la solicitud, por lo que </w:t>
      </w:r>
      <w:r w:rsidR="009A3A95" w:rsidRPr="00B1610D">
        <w:rPr>
          <w:rFonts w:ascii="Palatino Linotype" w:eastAsia="Palatino Linotype" w:hAnsi="Palatino Linotype" w:cs="Palatino Linotype"/>
          <w:sz w:val="22"/>
          <w:szCs w:val="22"/>
        </w:rPr>
        <w:t>reiteró el requerimiento de información</w:t>
      </w:r>
      <w:r w:rsidR="001E1E2F" w:rsidRPr="00B1610D">
        <w:rPr>
          <w:rFonts w:ascii="Palatino Linotype" w:eastAsia="Palatino Linotype" w:hAnsi="Palatino Linotype" w:cs="Palatino Linotype"/>
          <w:sz w:val="22"/>
          <w:szCs w:val="22"/>
        </w:rPr>
        <w:t>.</w:t>
      </w:r>
    </w:p>
    <w:p w14:paraId="75177CCE" w14:textId="43627128" w:rsidR="0045198E" w:rsidRPr="00B1610D" w:rsidRDefault="001E1E2F" w:rsidP="0045198E">
      <w:pP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En la etapa de manifestaciones, por conducto del Tesorero Municipal, hizo entrega de los formatos PbRM 09b Estado Comparativo Presupuestal de Ingresos, del uno de enero al treinta y uno de marzo de 2025 y PbRM 09b Estado Comparativo Presupuestal de Ingresos, del uno de enero al treinta y uno de marzo de 2024</w:t>
      </w:r>
      <w:r w:rsidR="0045198E" w:rsidRPr="00B1610D">
        <w:rPr>
          <w:rFonts w:ascii="Palatino Linotype" w:eastAsia="Palatino Linotype" w:hAnsi="Palatino Linotype" w:cs="Palatino Linotype"/>
          <w:sz w:val="22"/>
          <w:szCs w:val="22"/>
        </w:rPr>
        <w:t>, el cual contiene el presupuesto del mes, el presupuesto acumulado al mes, y la variación, de los ingresos recaudados por el ayuntamiento en el primer trimestre de los ejercicios 2024 y 2025, entre ellos el impuesto predial, y los derechos de agua, como se ilustra en seguida.</w:t>
      </w:r>
    </w:p>
    <w:p w14:paraId="211BEEF0" w14:textId="77777777" w:rsidR="0045198E" w:rsidRPr="00B1610D" w:rsidRDefault="0045198E" w:rsidP="0045198E">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noProof/>
          <w:sz w:val="22"/>
          <w:szCs w:val="22"/>
        </w:rPr>
        <w:drawing>
          <wp:inline distT="0" distB="0" distL="0" distR="0" wp14:anchorId="165D573C" wp14:editId="15E84741">
            <wp:extent cx="5612130" cy="157289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72895"/>
                    </a:xfrm>
                    <a:prstGeom prst="rect">
                      <a:avLst/>
                    </a:prstGeom>
                  </pic:spPr>
                </pic:pic>
              </a:graphicData>
            </a:graphic>
          </wp:inline>
        </w:drawing>
      </w:r>
      <w:r w:rsidRPr="00B1610D">
        <w:rPr>
          <w:rFonts w:ascii="Palatino Linotype" w:eastAsia="Palatino Linotype" w:hAnsi="Palatino Linotype" w:cs="Palatino Linotype"/>
          <w:noProof/>
          <w:sz w:val="22"/>
          <w:szCs w:val="22"/>
        </w:rPr>
        <w:drawing>
          <wp:inline distT="0" distB="0" distL="0" distR="0" wp14:anchorId="0B0253C5" wp14:editId="73546728">
            <wp:extent cx="5612130" cy="1479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47955"/>
                    </a:xfrm>
                    <a:prstGeom prst="rect">
                      <a:avLst/>
                    </a:prstGeom>
                  </pic:spPr>
                </pic:pic>
              </a:graphicData>
            </a:graphic>
          </wp:inline>
        </w:drawing>
      </w:r>
    </w:p>
    <w:p w14:paraId="47AA29A8" w14:textId="77777777" w:rsidR="0045198E" w:rsidRPr="00B1610D" w:rsidRDefault="0045198E" w:rsidP="0045198E">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noProof/>
          <w:sz w:val="22"/>
          <w:szCs w:val="22"/>
        </w:rPr>
        <w:drawing>
          <wp:inline distT="0" distB="0" distL="0" distR="0" wp14:anchorId="08066B63" wp14:editId="79526032">
            <wp:extent cx="5612130" cy="134556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345565"/>
                    </a:xfrm>
                    <a:prstGeom prst="rect">
                      <a:avLst/>
                    </a:prstGeom>
                  </pic:spPr>
                </pic:pic>
              </a:graphicData>
            </a:graphic>
          </wp:inline>
        </w:drawing>
      </w:r>
    </w:p>
    <w:p w14:paraId="660CDBE9" w14:textId="77777777" w:rsidR="0045198E" w:rsidRPr="00B1610D" w:rsidRDefault="0045198E" w:rsidP="0045198E">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noProof/>
          <w:sz w:val="22"/>
          <w:szCs w:val="22"/>
        </w:rPr>
        <w:drawing>
          <wp:inline distT="0" distB="0" distL="0" distR="0" wp14:anchorId="684156F2" wp14:editId="2DB17AA0">
            <wp:extent cx="5612130" cy="16084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608455"/>
                    </a:xfrm>
                    <a:prstGeom prst="rect">
                      <a:avLst/>
                    </a:prstGeom>
                  </pic:spPr>
                </pic:pic>
              </a:graphicData>
            </a:graphic>
          </wp:inline>
        </w:drawing>
      </w:r>
      <w:r w:rsidRPr="00B1610D">
        <w:rPr>
          <w:rFonts w:ascii="Palatino Linotype" w:eastAsia="Palatino Linotype" w:hAnsi="Palatino Linotype" w:cs="Palatino Linotype"/>
          <w:noProof/>
          <w:sz w:val="22"/>
          <w:szCs w:val="22"/>
        </w:rPr>
        <w:drawing>
          <wp:inline distT="0" distB="0" distL="0" distR="0" wp14:anchorId="0CBA1782" wp14:editId="5A247F5C">
            <wp:extent cx="5612130" cy="130810"/>
            <wp:effectExtent l="0" t="0" r="762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130810"/>
                    </a:xfrm>
                    <a:prstGeom prst="rect">
                      <a:avLst/>
                    </a:prstGeom>
                  </pic:spPr>
                </pic:pic>
              </a:graphicData>
            </a:graphic>
          </wp:inline>
        </w:drawing>
      </w:r>
      <w:r w:rsidRPr="00B1610D">
        <w:rPr>
          <w:rFonts w:ascii="Palatino Linotype" w:eastAsia="Palatino Linotype" w:hAnsi="Palatino Linotype" w:cs="Palatino Linotype"/>
          <w:noProof/>
          <w:sz w:val="22"/>
          <w:szCs w:val="22"/>
        </w:rPr>
        <w:drawing>
          <wp:inline distT="0" distB="0" distL="0" distR="0" wp14:anchorId="4536E1E9" wp14:editId="65857A4A">
            <wp:extent cx="5612130" cy="76581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765810"/>
                    </a:xfrm>
                    <a:prstGeom prst="rect">
                      <a:avLst/>
                    </a:prstGeom>
                  </pic:spPr>
                </pic:pic>
              </a:graphicData>
            </a:graphic>
          </wp:inline>
        </w:drawing>
      </w:r>
    </w:p>
    <w:p w14:paraId="45CEAA41" w14:textId="03D26F0D" w:rsidR="005E747A" w:rsidRPr="00B1610D" w:rsidRDefault="005E747A" w:rsidP="005E747A">
      <w:pPr>
        <w:spacing w:before="240" w:after="240" w:line="360" w:lineRule="auto"/>
        <w:ind w:right="49"/>
        <w:jc w:val="both"/>
        <w:rPr>
          <w:rFonts w:ascii="Palatino Linotype" w:hAnsi="Palatino Linotype"/>
          <w:sz w:val="22"/>
          <w:szCs w:val="22"/>
        </w:rPr>
      </w:pPr>
      <w:r w:rsidRPr="00B1610D">
        <w:rPr>
          <w:rFonts w:ascii="Palatino Linotype" w:eastAsia="Palatino Linotype" w:hAnsi="Palatino Linotype" w:cs="Palatino Linotype"/>
          <w:sz w:val="22"/>
          <w:szCs w:val="22"/>
        </w:rPr>
        <w:t xml:space="preserve">Información que se hizo del conocimiento de la parte </w:t>
      </w:r>
      <w:r w:rsidRPr="00B1610D">
        <w:rPr>
          <w:rFonts w:ascii="Palatino Linotype" w:eastAsia="Palatino Linotype" w:hAnsi="Palatino Linotype" w:cs="Palatino Linotype"/>
          <w:b/>
          <w:sz w:val="22"/>
          <w:szCs w:val="22"/>
        </w:rPr>
        <w:t xml:space="preserve">Recurrente, </w:t>
      </w:r>
      <w:r w:rsidRPr="00B1610D">
        <w:rPr>
          <w:rFonts w:ascii="Palatino Linotype" w:eastAsia="Palatino Linotype" w:hAnsi="Palatino Linotype" w:cs="Palatino Linotype"/>
          <w:sz w:val="22"/>
          <w:szCs w:val="22"/>
        </w:rPr>
        <w:t>sin embargo, esta fue omisa en manifestar lo que a su derecho estimara conveniente, por lo que se tiene por precluido su derecho para tal efecto y se procede a emitir la resolución que conforme a derecho corresponda.</w:t>
      </w:r>
    </w:p>
    <w:p w14:paraId="07A4B03F"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Por ende, se considera que en el presente asunto se actualiza la hipótesis prevista en el artículo 192, fracción III de la Ley de Transparencia y Acceso a la Información Pública del Estado de México y Municipios vigente, a saber:</w:t>
      </w:r>
    </w:p>
    <w:p w14:paraId="540A042D" w14:textId="77777777" w:rsidR="005E747A" w:rsidRPr="00B1610D" w:rsidRDefault="005E747A" w:rsidP="005E747A">
      <w:pPr>
        <w:tabs>
          <w:tab w:val="left" w:pos="8080"/>
        </w:tabs>
        <w:spacing w:before="120" w:after="120"/>
        <w:ind w:left="851" w:right="902"/>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t>“</w:t>
      </w:r>
      <w:r w:rsidRPr="00B1610D">
        <w:rPr>
          <w:rFonts w:ascii="Palatino Linotype" w:eastAsia="Palatino Linotype" w:hAnsi="Palatino Linotype" w:cs="Palatino Linotype"/>
          <w:b/>
          <w:i/>
          <w:sz w:val="22"/>
          <w:szCs w:val="22"/>
        </w:rPr>
        <w:t>Artículo 192.</w:t>
      </w:r>
      <w:r w:rsidRPr="00B1610D">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 </w:t>
      </w:r>
    </w:p>
    <w:p w14:paraId="1F4F2165" w14:textId="77777777" w:rsidR="005E747A" w:rsidRPr="00B1610D" w:rsidRDefault="005E747A" w:rsidP="005E747A">
      <w:pPr>
        <w:tabs>
          <w:tab w:val="left" w:pos="8080"/>
        </w:tabs>
        <w:spacing w:before="120" w:after="120"/>
        <w:ind w:left="851" w:right="902"/>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i/>
          <w:sz w:val="22"/>
          <w:szCs w:val="22"/>
        </w:rPr>
        <w:t>…</w:t>
      </w:r>
    </w:p>
    <w:p w14:paraId="39C0DA83" w14:textId="77777777" w:rsidR="005E747A" w:rsidRPr="00B1610D" w:rsidRDefault="005E747A" w:rsidP="005E747A">
      <w:pPr>
        <w:tabs>
          <w:tab w:val="left" w:pos="8080"/>
        </w:tabs>
        <w:spacing w:before="120" w:after="120"/>
        <w:ind w:left="851" w:right="902"/>
        <w:jc w:val="both"/>
        <w:rPr>
          <w:rFonts w:ascii="Palatino Linotype" w:eastAsia="Palatino Linotype" w:hAnsi="Palatino Linotype" w:cs="Palatino Linotype"/>
          <w:i/>
          <w:sz w:val="22"/>
          <w:szCs w:val="22"/>
        </w:rPr>
      </w:pPr>
      <w:r w:rsidRPr="00B1610D">
        <w:rPr>
          <w:rFonts w:ascii="Palatino Linotype" w:eastAsia="Palatino Linotype" w:hAnsi="Palatino Linotype" w:cs="Palatino Linotype"/>
          <w:b/>
          <w:i/>
          <w:sz w:val="22"/>
          <w:szCs w:val="22"/>
        </w:rPr>
        <w:t>III</w:t>
      </w:r>
      <w:r w:rsidRPr="00B1610D">
        <w:rPr>
          <w:rFonts w:ascii="Palatino Linotype" w:eastAsia="Palatino Linotype" w:hAnsi="Palatino Linotype" w:cs="Palatino Linotype"/>
          <w:i/>
          <w:sz w:val="22"/>
          <w:szCs w:val="22"/>
        </w:rPr>
        <w:t>. El sujeto obligado responsable del acto, lo modifique o revoque de tal manera que el recurso de revisión quede sin materia...”</w:t>
      </w:r>
    </w:p>
    <w:p w14:paraId="368B9D9F"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252AA1EC"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a) Cuando el sujeto obligado modifique el acto impugnado. </w:t>
      </w:r>
    </w:p>
    <w:p w14:paraId="6F92A74F"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b) Cuando el sujeto obligado revoque el acto impugnado; </w:t>
      </w:r>
    </w:p>
    <w:p w14:paraId="682973F6"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Quedando en ambos casos el acto combatido sin materia o sin efectos.</w:t>
      </w:r>
    </w:p>
    <w:p w14:paraId="1952A4B9"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En otras palabras, un acto impugnado es modificado en aquellos casos en los que el Sujeto Obligado </w:t>
      </w:r>
      <w:r w:rsidRPr="00B1610D">
        <w:rPr>
          <w:rFonts w:ascii="Palatino Linotype" w:eastAsia="Palatino Linotype" w:hAnsi="Palatino Linotype" w:cs="Palatino Linotype"/>
          <w:b/>
          <w:sz w:val="22"/>
          <w:szCs w:val="22"/>
        </w:rPr>
        <w:t>después de haber otorgado una respuesta</w:t>
      </w:r>
      <w:r w:rsidRPr="00B1610D">
        <w:rPr>
          <w:rFonts w:ascii="Palatino Linotype" w:eastAsia="Palatino Linotype" w:hAnsi="Palatino Linotype" w:cs="Palatino Linotype"/>
          <w:sz w:val="22"/>
          <w:szCs w:val="22"/>
        </w:rPr>
        <w:t xml:space="preserve">, o haber omitido hacerlo (acto de no hacer), </w:t>
      </w:r>
      <w:r w:rsidRPr="00B1610D">
        <w:rPr>
          <w:rFonts w:ascii="Palatino Linotype" w:eastAsia="Palatino Linotype" w:hAnsi="Palatino Linotype" w:cs="Palatino Linotype"/>
          <w:b/>
          <w:sz w:val="22"/>
          <w:szCs w:val="22"/>
        </w:rPr>
        <w:t>emite una o una diversa de manera posterior y en ésta subsana las deficiencias que hubiera tenido</w:t>
      </w:r>
      <w:r w:rsidRPr="00B1610D">
        <w:rPr>
          <w:rFonts w:ascii="Palatino Linotype" w:eastAsia="Palatino Linotype" w:hAnsi="Palatino Linotype" w:cs="Palatino Linotype"/>
          <w:sz w:val="22"/>
          <w:szCs w:val="22"/>
        </w:rPr>
        <w:t>, quedando satisfecho el derecho subjetivo accionado por la parte Recurrente.</w:t>
      </w:r>
    </w:p>
    <w:p w14:paraId="12860675"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3AB2614A"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En este orden de ideas, un acto impugnado queda sin efectos, cuando aun existiendo jurídicamente (esto es, que no se ha modificado, ni revocado) ya no genera ninguna consecuencia legal.</w:t>
      </w:r>
    </w:p>
    <w:p w14:paraId="684B22DB"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En tanto que, un acto impugnado queda sin materia, cuando ha sido satisfecha la pretensión de la parte Recurrente de manera que el Sujeto Obligado entrega una respuesta aunque sea posterior a los términos previstos en la ley y mediante esta concede la información solicitada.</w:t>
      </w:r>
    </w:p>
    <w:p w14:paraId="343FC9E9" w14:textId="77777777" w:rsidR="00500340" w:rsidRPr="00B1610D" w:rsidRDefault="003B1BDC" w:rsidP="003B1BDC">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Cabe señalar que</w:t>
      </w:r>
      <w:r w:rsidR="00E6098B" w:rsidRPr="00B1610D">
        <w:rPr>
          <w:rFonts w:ascii="Palatino Linotype" w:eastAsia="Palatino Linotype" w:hAnsi="Palatino Linotype" w:cs="Palatino Linotype"/>
          <w:sz w:val="22"/>
          <w:szCs w:val="22"/>
        </w:rPr>
        <w:t xml:space="preserve"> </w:t>
      </w:r>
      <w:r w:rsidRPr="00B1610D">
        <w:rPr>
          <w:rFonts w:ascii="Palatino Linotype" w:eastAsia="Palatino Linotype" w:hAnsi="Palatino Linotype" w:cs="Palatino Linotype"/>
          <w:sz w:val="22"/>
          <w:szCs w:val="22"/>
        </w:rPr>
        <w:t xml:space="preserve">el formato PbRM-09b </w:t>
      </w:r>
      <w:r w:rsidR="007806DD" w:rsidRPr="00B1610D">
        <w:rPr>
          <w:rFonts w:ascii="Palatino Linotype" w:eastAsia="Palatino Linotype" w:hAnsi="Palatino Linotype" w:cs="Palatino Linotype"/>
          <w:sz w:val="22"/>
          <w:szCs w:val="22"/>
        </w:rPr>
        <w:t xml:space="preserve">Estado Comparativo Presupuestal de Ingresos, </w:t>
      </w:r>
      <w:r w:rsidR="00E6098B" w:rsidRPr="00B1610D">
        <w:rPr>
          <w:rFonts w:ascii="Palatino Linotype" w:eastAsia="Palatino Linotype" w:hAnsi="Palatino Linotype" w:cs="Palatino Linotype"/>
          <w:sz w:val="22"/>
          <w:szCs w:val="22"/>
        </w:rPr>
        <w:t xml:space="preserve">tiene como finalidad </w:t>
      </w:r>
      <w:r w:rsidR="00E6098B" w:rsidRPr="00B1610D">
        <w:rPr>
          <w:rFonts w:ascii="Palatino Linotype" w:hAnsi="Palatino Linotype"/>
          <w:sz w:val="22"/>
          <w:szCs w:val="22"/>
        </w:rPr>
        <w:t>la integración mensual por concepto de los ingresos, autorizados y recaudados, así como lo acumulado al mes autorizado y ejercido y su variación, de tal manera que per</w:t>
      </w:r>
      <w:r w:rsidR="00C5167A" w:rsidRPr="00B1610D">
        <w:rPr>
          <w:rFonts w:ascii="Palatino Linotype" w:hAnsi="Palatino Linotype"/>
          <w:sz w:val="22"/>
          <w:szCs w:val="22"/>
        </w:rPr>
        <w:t xml:space="preserve">mita analizar su comportamiento, como se advierte en el </w:t>
      </w:r>
      <w:r w:rsidR="00500340" w:rsidRPr="00B1610D">
        <w:rPr>
          <w:rFonts w:ascii="Palatino Linotype" w:hAnsi="Palatino Linotype"/>
          <w:sz w:val="22"/>
          <w:szCs w:val="22"/>
        </w:rPr>
        <w:t xml:space="preserve">instructivo de la </w:t>
      </w:r>
      <w:r w:rsidR="00500340" w:rsidRPr="00B1610D">
        <w:rPr>
          <w:rFonts w:ascii="Palatino Linotype" w:eastAsia="Palatino Linotype" w:hAnsi="Palatino Linotype" w:cs="Palatino Linotype"/>
          <w:sz w:val="22"/>
          <w:szCs w:val="22"/>
        </w:rPr>
        <w:t xml:space="preserve">Guía Metodológica para el Seguimiento y Evaluación del Plan de Desarrollo Municipal: </w:t>
      </w:r>
    </w:p>
    <w:p w14:paraId="2B7E3AD2" w14:textId="0E31BEFF" w:rsidR="00500340" w:rsidRPr="00B1610D" w:rsidRDefault="00500340" w:rsidP="003B1BDC">
      <w:pPr>
        <w:spacing w:before="240" w:after="240" w:line="360" w:lineRule="auto"/>
        <w:ind w:right="49"/>
        <w:jc w:val="both"/>
        <w:rPr>
          <w:rFonts w:ascii="Palatino Linotype" w:hAnsi="Palatino Linotype"/>
          <w:sz w:val="22"/>
          <w:szCs w:val="22"/>
        </w:rPr>
      </w:pPr>
      <w:r w:rsidRPr="00B1610D">
        <w:rPr>
          <w:rFonts w:ascii="Palatino Linotype" w:eastAsia="Palatino Linotype" w:hAnsi="Palatino Linotype" w:cs="Palatino Linotype"/>
          <w:noProof/>
          <w:sz w:val="22"/>
          <w:szCs w:val="22"/>
        </w:rPr>
        <w:drawing>
          <wp:inline distT="0" distB="0" distL="0" distR="0" wp14:anchorId="7960A92F" wp14:editId="364E7945">
            <wp:extent cx="5611815" cy="2821021"/>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52321"/>
                    <a:stretch/>
                  </pic:blipFill>
                  <pic:spPr bwMode="auto">
                    <a:xfrm>
                      <a:off x="0" y="0"/>
                      <a:ext cx="5612130" cy="2821179"/>
                    </a:xfrm>
                    <a:prstGeom prst="rect">
                      <a:avLst/>
                    </a:prstGeom>
                    <a:ln>
                      <a:noFill/>
                    </a:ln>
                    <a:extLst>
                      <a:ext uri="{53640926-AAD7-44D8-BBD7-CCE9431645EC}">
                        <a14:shadowObscured xmlns:a14="http://schemas.microsoft.com/office/drawing/2010/main"/>
                      </a:ext>
                    </a:extLst>
                  </pic:spPr>
                </pic:pic>
              </a:graphicData>
            </a:graphic>
          </wp:inline>
        </w:drawing>
      </w:r>
    </w:p>
    <w:p w14:paraId="7B8F2381" w14:textId="11E48115" w:rsidR="00500340" w:rsidRPr="00B1610D" w:rsidRDefault="00500340" w:rsidP="003B1BDC">
      <w:pPr>
        <w:spacing w:before="240" w:after="240" w:line="360" w:lineRule="auto"/>
        <w:ind w:right="49"/>
        <w:jc w:val="both"/>
        <w:rPr>
          <w:rFonts w:ascii="Palatino Linotype" w:hAnsi="Palatino Linotype"/>
          <w:sz w:val="22"/>
          <w:szCs w:val="22"/>
        </w:rPr>
      </w:pPr>
      <w:r w:rsidRPr="00B1610D">
        <w:rPr>
          <w:rFonts w:ascii="Palatino Linotype" w:eastAsia="Palatino Linotype" w:hAnsi="Palatino Linotype" w:cs="Palatino Linotype"/>
          <w:noProof/>
          <w:sz w:val="22"/>
          <w:szCs w:val="22"/>
        </w:rPr>
        <w:drawing>
          <wp:inline distT="0" distB="0" distL="0" distR="0" wp14:anchorId="0638B030" wp14:editId="335DDFE1">
            <wp:extent cx="5612130" cy="1870224"/>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8392"/>
                    <a:stretch/>
                  </pic:blipFill>
                  <pic:spPr bwMode="auto">
                    <a:xfrm>
                      <a:off x="0" y="0"/>
                      <a:ext cx="5612130" cy="1870224"/>
                    </a:xfrm>
                    <a:prstGeom prst="rect">
                      <a:avLst/>
                    </a:prstGeom>
                    <a:ln>
                      <a:noFill/>
                    </a:ln>
                    <a:extLst>
                      <a:ext uri="{53640926-AAD7-44D8-BBD7-CCE9431645EC}">
                        <a14:shadowObscured xmlns:a14="http://schemas.microsoft.com/office/drawing/2010/main"/>
                      </a:ext>
                    </a:extLst>
                  </pic:spPr>
                </pic:pic>
              </a:graphicData>
            </a:graphic>
          </wp:inline>
        </w:drawing>
      </w:r>
    </w:p>
    <w:p w14:paraId="0DE76966" w14:textId="77777777" w:rsidR="003B1BDC" w:rsidRPr="00B1610D" w:rsidRDefault="003B1BDC" w:rsidP="003B1BDC">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Bajo esta línea de pensamiento, se estima que la información remitida por el </w:t>
      </w:r>
      <w:r w:rsidRPr="00B1610D">
        <w:rPr>
          <w:rFonts w:ascii="Palatino Linotype" w:eastAsia="Palatino Linotype" w:hAnsi="Palatino Linotype" w:cs="Palatino Linotype"/>
          <w:b/>
          <w:sz w:val="22"/>
          <w:szCs w:val="22"/>
        </w:rPr>
        <w:t xml:space="preserve">Sujeto Obligado </w:t>
      </w:r>
      <w:r w:rsidRPr="00B1610D">
        <w:rPr>
          <w:rFonts w:ascii="Palatino Linotype" w:eastAsia="Palatino Linotype" w:hAnsi="Palatino Linotype" w:cs="Palatino Linotype"/>
          <w:sz w:val="22"/>
          <w:szCs w:val="22"/>
        </w:rPr>
        <w:t>en la etapa de manifestaciones</w:t>
      </w:r>
      <w:r w:rsidRPr="00B1610D">
        <w:rPr>
          <w:rFonts w:ascii="Palatino Linotype" w:eastAsia="Palatino Linotype" w:hAnsi="Palatino Linotype" w:cs="Palatino Linotype"/>
          <w:b/>
          <w:sz w:val="22"/>
          <w:szCs w:val="22"/>
        </w:rPr>
        <w:t xml:space="preserve"> </w:t>
      </w:r>
      <w:r w:rsidRPr="00B1610D">
        <w:rPr>
          <w:rFonts w:ascii="Palatino Linotype" w:eastAsia="Palatino Linotype" w:hAnsi="Palatino Linotype" w:cs="Palatino Linotype"/>
          <w:sz w:val="22"/>
          <w:szCs w:val="22"/>
        </w:rPr>
        <w:t xml:space="preserve">es suficiente para tener por atendido el derecho de acceso a la información de la parte </w:t>
      </w:r>
      <w:r w:rsidRPr="00B1610D">
        <w:rPr>
          <w:rFonts w:ascii="Palatino Linotype" w:eastAsia="Palatino Linotype" w:hAnsi="Palatino Linotype" w:cs="Palatino Linotype"/>
          <w:b/>
          <w:sz w:val="22"/>
          <w:szCs w:val="22"/>
        </w:rPr>
        <w:t>Recurrente</w:t>
      </w:r>
      <w:r w:rsidRPr="00B1610D">
        <w:rPr>
          <w:rFonts w:ascii="Palatino Linotype" w:eastAsia="Palatino Linotype" w:hAnsi="Palatino Linotype" w:cs="Palatino Linotype"/>
          <w:sz w:val="22"/>
          <w:szCs w:val="22"/>
        </w:rPr>
        <w:t>,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3AAF6BE1" w14:textId="6B24E55F" w:rsidR="0056606C" w:rsidRPr="00B1610D" w:rsidRDefault="0056606C" w:rsidP="003B1BDC">
      <w:pPr>
        <w:spacing w:before="240" w:after="240" w:line="360" w:lineRule="auto"/>
        <w:ind w:right="49"/>
        <w:jc w:val="both"/>
        <w:rPr>
          <w:rFonts w:ascii="Palatino Linotype" w:eastAsia="Palatino Linotype" w:hAnsi="Palatino Linotype"/>
          <w:sz w:val="22"/>
          <w:szCs w:val="22"/>
        </w:rPr>
      </w:pPr>
      <w:r w:rsidRPr="00B1610D">
        <w:rPr>
          <w:rFonts w:ascii="Palatino Linotype" w:eastAsia="Palatino Linotype" w:hAnsi="Palatino Linotype" w:cs="Palatino Linotype"/>
          <w:sz w:val="22"/>
          <w:szCs w:val="22"/>
        </w:rPr>
        <w:t xml:space="preserve">Asimismo, no obsta mencionar que </w:t>
      </w:r>
      <w:r w:rsidR="00DA20EC" w:rsidRPr="00B1610D">
        <w:rPr>
          <w:rFonts w:ascii="Palatino Linotype" w:eastAsia="Palatino Linotype" w:hAnsi="Palatino Linotype" w:cs="Palatino Linotype"/>
          <w:sz w:val="22"/>
          <w:szCs w:val="22"/>
        </w:rPr>
        <w:t xml:space="preserve">la persona solicitante podrá advertir la tasa de crecimiento de los ingresos recaudados por el </w:t>
      </w:r>
      <w:r w:rsidR="00DA20EC" w:rsidRPr="00B1610D">
        <w:rPr>
          <w:rFonts w:ascii="Palatino Linotype" w:eastAsia="Palatino Linotype" w:hAnsi="Palatino Linotype" w:cs="Palatino Linotype"/>
          <w:b/>
          <w:sz w:val="22"/>
          <w:szCs w:val="22"/>
        </w:rPr>
        <w:t xml:space="preserve">Sujeto Obligado </w:t>
      </w:r>
      <w:r w:rsidR="00DA20EC" w:rsidRPr="00B1610D">
        <w:rPr>
          <w:rFonts w:ascii="Palatino Linotype" w:eastAsia="Palatino Linotype" w:hAnsi="Palatino Linotype"/>
          <w:sz w:val="22"/>
          <w:szCs w:val="22"/>
        </w:rPr>
        <w:t xml:space="preserve">en el primer trimestre de los ejercicios 2024, 2025, previo análisis que realice de la información proporcionada, en el entendido de que la obligación de transparencia consiste en que los Sujetos Obligados hagan la entrega de la información que les es solicitada en el estado en el que esta se encuentre, sin que les constriña a generar documentos, realizar investigaciones, practicar cálculos </w:t>
      </w:r>
      <w:r w:rsidR="001469F1" w:rsidRPr="00B1610D">
        <w:rPr>
          <w:rFonts w:ascii="Palatino Linotype" w:eastAsia="Palatino Linotype" w:hAnsi="Palatino Linotype"/>
          <w:sz w:val="22"/>
          <w:szCs w:val="22"/>
        </w:rPr>
        <w:t xml:space="preserve">para satisfacer las solicitudes </w:t>
      </w:r>
      <w:r w:rsidR="005B7A7D" w:rsidRPr="00B1610D">
        <w:rPr>
          <w:rFonts w:ascii="Palatino Linotype" w:eastAsia="Palatino Linotype" w:hAnsi="Palatino Linotype"/>
          <w:sz w:val="22"/>
          <w:szCs w:val="22"/>
        </w:rPr>
        <w:t>conforme al interés de las personas solicitantes.</w:t>
      </w:r>
    </w:p>
    <w:p w14:paraId="258516A2" w14:textId="538954B1" w:rsidR="005E747A" w:rsidRPr="00B1610D" w:rsidRDefault="00E056E3"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P</w:t>
      </w:r>
      <w:r w:rsidR="005E747A" w:rsidRPr="00B1610D">
        <w:rPr>
          <w:rFonts w:ascii="Palatino Linotype" w:eastAsia="Palatino Linotype" w:hAnsi="Palatino Linotype" w:cs="Palatino Linotype"/>
          <w:sz w:val="22"/>
          <w:szCs w:val="22"/>
        </w:rPr>
        <w:t>or tal motivo, debe tenerse que con lo entregado</w:t>
      </w:r>
      <w:r w:rsidR="005E747A" w:rsidRPr="00B1610D">
        <w:rPr>
          <w:rFonts w:ascii="Palatino Linotype" w:eastAsia="Palatino Linotype" w:hAnsi="Palatino Linotype" w:cs="Palatino Linotype"/>
          <w:b/>
          <w:sz w:val="22"/>
          <w:szCs w:val="22"/>
        </w:rPr>
        <w:t>,</w:t>
      </w:r>
      <w:r w:rsidR="005E747A" w:rsidRPr="00B1610D">
        <w:rPr>
          <w:rFonts w:ascii="Palatino Linotype" w:eastAsia="Palatino Linotype" w:hAnsi="Palatino Linotype" w:cs="Palatino Linotype"/>
          <w:sz w:val="22"/>
          <w:szCs w:val="22"/>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7DC20DFA"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b/>
          <w:sz w:val="22"/>
          <w:szCs w:val="22"/>
        </w:rPr>
      </w:pPr>
      <w:r w:rsidRPr="00B1610D">
        <w:rPr>
          <w:rFonts w:ascii="Palatino Linotype" w:eastAsia="Palatino Linotype" w:hAnsi="Palatino Linotype" w:cs="Palatino Linotype"/>
          <w:sz w:val="22"/>
          <w:szCs w:val="22"/>
        </w:rPr>
        <w:t xml:space="preserve">Atento a los razonamientos lógico jurídicos que han quedado precisados y toda vez que el  </w:t>
      </w:r>
      <w:r w:rsidRPr="00B1610D">
        <w:rPr>
          <w:rFonts w:ascii="Palatino Linotype" w:eastAsia="Palatino Linotype" w:hAnsi="Palatino Linotype" w:cs="Palatino Linotype"/>
          <w:i/>
          <w:sz w:val="22"/>
          <w:szCs w:val="22"/>
        </w:rPr>
        <w:t xml:space="preserve">sobreseimiento </w:t>
      </w:r>
      <w:r w:rsidRPr="00B1610D">
        <w:rPr>
          <w:rFonts w:ascii="Palatino Linotype" w:eastAsia="Palatino Linotype" w:hAnsi="Palatino Linotype" w:cs="Palatino Linotype"/>
          <w:sz w:val="22"/>
          <w:szCs w:val="22"/>
        </w:rPr>
        <w:t xml:space="preserve">es un acto que da por terminado el procedimiento administrativo de impugnación por alguna causa que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B1610D">
        <w:rPr>
          <w:rFonts w:ascii="Palatino Linotype" w:eastAsia="Palatino Linotype" w:hAnsi="Palatino Linotype" w:cs="Palatino Linotype"/>
          <w:b/>
          <w:sz w:val="22"/>
          <w:szCs w:val="22"/>
        </w:rPr>
        <w:t>SOBRESEIMIENTO, NO PERMITE ENTRAR AL ESTUDIO DE LAS CUESTIONES DE FONDO</w:t>
      </w:r>
      <w:r w:rsidRPr="00B1610D">
        <w:rPr>
          <w:rFonts w:ascii="Palatino Linotype" w:eastAsia="Palatino Linotype" w:hAnsi="Palatino Linotype" w:cs="Palatino Linotype"/>
          <w:sz w:val="22"/>
          <w:szCs w:val="22"/>
          <w:vertAlign w:val="superscript"/>
        </w:rPr>
        <w:footnoteReference w:id="1"/>
      </w:r>
      <w:r w:rsidRPr="00B1610D">
        <w:rPr>
          <w:rFonts w:ascii="Palatino Linotype" w:eastAsia="Palatino Linotype" w:hAnsi="Palatino Linotype" w:cs="Palatino Linotype"/>
          <w:b/>
          <w:sz w:val="22"/>
          <w:szCs w:val="22"/>
        </w:rPr>
        <w:t>.</w:t>
      </w:r>
    </w:p>
    <w:p w14:paraId="189F3AD1"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 xml:space="preserve">Por lo tanto, en términos del artículo 186 fracción I este Pleno determina el </w:t>
      </w:r>
      <w:r w:rsidRPr="00B1610D">
        <w:rPr>
          <w:rFonts w:ascii="Palatino Linotype" w:eastAsia="Palatino Linotype" w:hAnsi="Palatino Linotype" w:cs="Palatino Linotype"/>
          <w:b/>
          <w:sz w:val="22"/>
          <w:szCs w:val="22"/>
        </w:rPr>
        <w:t xml:space="preserve">sobreseimiento </w:t>
      </w:r>
      <w:r w:rsidRPr="00B1610D">
        <w:rPr>
          <w:rFonts w:ascii="Palatino Linotype" w:eastAsia="Palatino Linotype" w:hAnsi="Palatino Linotype" w:cs="Palatino Linotype"/>
          <w:sz w:val="22"/>
          <w:szCs w:val="22"/>
        </w:rPr>
        <w:t xml:space="preserve">de los recursos de revisión toda vez que la afectación al derecho de acceso a la información pública establecido constitucionalmente a favor de la parte </w:t>
      </w:r>
      <w:r w:rsidRPr="00B1610D">
        <w:rPr>
          <w:rFonts w:ascii="Palatino Linotype" w:eastAsia="Palatino Linotype" w:hAnsi="Palatino Linotype" w:cs="Palatino Linotype"/>
          <w:b/>
          <w:sz w:val="22"/>
          <w:szCs w:val="22"/>
        </w:rPr>
        <w:t>Recurrente</w:t>
      </w:r>
      <w:r w:rsidRPr="00B1610D">
        <w:rPr>
          <w:rFonts w:ascii="Palatino Linotype" w:eastAsia="Palatino Linotype" w:hAnsi="Palatino Linotype" w:cs="Palatino Linotype"/>
          <w:sz w:val="22"/>
          <w:szCs w:val="22"/>
        </w:rPr>
        <w:t xml:space="preserve"> ha sido resarcida.</w:t>
      </w:r>
    </w:p>
    <w:p w14:paraId="2FA0154E" w14:textId="77777777" w:rsidR="005E747A" w:rsidRPr="00B1610D" w:rsidRDefault="005E747A" w:rsidP="005E747A">
      <w:pPr>
        <w:spacing w:before="240" w:after="240" w:line="360" w:lineRule="auto"/>
        <w:ind w:right="49"/>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Así, con fundamento en lo prescrito en los artículos 5 párrafos cuadragésimo cuarto y cuadragésimo quinto y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2B5E1FB6" w14:textId="77777777" w:rsidR="005E747A" w:rsidRPr="00B1610D" w:rsidRDefault="005E747A" w:rsidP="005E747A">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r w:rsidRPr="00B1610D">
        <w:rPr>
          <w:rFonts w:ascii="Palatino Linotype" w:eastAsia="Palatino Linotype" w:hAnsi="Palatino Linotype" w:cs="Palatino Linotype"/>
          <w:b/>
          <w:sz w:val="22"/>
          <w:szCs w:val="22"/>
        </w:rPr>
        <w:t>III. R E S U E L V E</w:t>
      </w:r>
    </w:p>
    <w:p w14:paraId="54F362CE" w14:textId="0AC71707" w:rsidR="005E747A" w:rsidRPr="00B1610D" w:rsidRDefault="005E747A" w:rsidP="005E747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 xml:space="preserve">Primero. </w:t>
      </w:r>
      <w:r w:rsidRPr="00B1610D">
        <w:rPr>
          <w:rFonts w:ascii="Palatino Linotype" w:eastAsia="Palatino Linotype" w:hAnsi="Palatino Linotype" w:cs="Palatino Linotype"/>
          <w:sz w:val="22"/>
          <w:szCs w:val="22"/>
        </w:rPr>
        <w:t>Se</w:t>
      </w:r>
      <w:r w:rsidRPr="00B1610D">
        <w:rPr>
          <w:rFonts w:ascii="Palatino Linotype" w:eastAsia="Palatino Linotype" w:hAnsi="Palatino Linotype" w:cs="Palatino Linotype"/>
          <w:b/>
          <w:sz w:val="22"/>
          <w:szCs w:val="22"/>
        </w:rPr>
        <w:t xml:space="preserve"> Sobresee </w:t>
      </w:r>
      <w:r w:rsidRPr="00B1610D">
        <w:rPr>
          <w:rFonts w:ascii="Palatino Linotype" w:eastAsia="Palatino Linotype" w:hAnsi="Palatino Linotype" w:cs="Palatino Linotype"/>
          <w:sz w:val="22"/>
          <w:szCs w:val="22"/>
        </w:rPr>
        <w:t xml:space="preserve">el recurso de revisión </w:t>
      </w:r>
      <w:r w:rsidR="0045198E" w:rsidRPr="00B1610D">
        <w:rPr>
          <w:rFonts w:ascii="Palatino Linotype" w:eastAsia="Palatino Linotype" w:hAnsi="Palatino Linotype" w:cs="Palatino Linotype"/>
          <w:b/>
          <w:sz w:val="22"/>
          <w:szCs w:val="22"/>
        </w:rPr>
        <w:t>08729</w:t>
      </w:r>
      <w:r w:rsidRPr="00B1610D">
        <w:rPr>
          <w:rFonts w:ascii="Palatino Linotype" w:eastAsia="Palatino Linotype" w:hAnsi="Palatino Linotype" w:cs="Palatino Linotype"/>
          <w:b/>
          <w:sz w:val="22"/>
          <w:szCs w:val="22"/>
        </w:rPr>
        <w:t xml:space="preserve">/INFOEM/IP/RR/2025, </w:t>
      </w:r>
      <w:r w:rsidRPr="00B1610D">
        <w:rPr>
          <w:rFonts w:ascii="Palatino Linotype" w:eastAsia="Palatino Linotype" w:hAnsi="Palatino Linotype" w:cs="Palatino Linotype"/>
          <w:sz w:val="22"/>
          <w:szCs w:val="22"/>
        </w:rPr>
        <w:t xml:space="preserve">en términos del Considerando </w:t>
      </w:r>
      <w:r w:rsidRPr="00B1610D">
        <w:rPr>
          <w:rFonts w:ascii="Palatino Linotype" w:eastAsia="Palatino Linotype" w:hAnsi="Palatino Linotype" w:cs="Palatino Linotype"/>
          <w:b/>
          <w:sz w:val="22"/>
          <w:szCs w:val="22"/>
        </w:rPr>
        <w:t xml:space="preserve">Tercero </w:t>
      </w:r>
      <w:r w:rsidRPr="00B1610D">
        <w:rPr>
          <w:rFonts w:ascii="Palatino Linotype" w:eastAsia="Palatino Linotype" w:hAnsi="Palatino Linotype" w:cs="Palatino Linotype"/>
          <w:sz w:val="22"/>
          <w:szCs w:val="22"/>
        </w:rPr>
        <w:t xml:space="preserve">de la presente Resolución, porque al colmar la pretensión de la parte </w:t>
      </w:r>
      <w:r w:rsidRPr="00B1610D">
        <w:rPr>
          <w:rFonts w:ascii="Palatino Linotype" w:eastAsia="Palatino Linotype" w:hAnsi="Palatino Linotype" w:cs="Palatino Linotype"/>
          <w:b/>
          <w:sz w:val="22"/>
          <w:szCs w:val="22"/>
        </w:rPr>
        <w:t xml:space="preserve">Recurrente </w:t>
      </w:r>
      <w:r w:rsidRPr="00B1610D">
        <w:rPr>
          <w:rFonts w:ascii="Palatino Linotype" w:eastAsia="Palatino Linotype" w:hAnsi="Palatino Linotype" w:cs="Palatino Linotype"/>
          <w:sz w:val="22"/>
          <w:szCs w:val="22"/>
        </w:rPr>
        <w:t xml:space="preserve">mediante informe justificado, quedó sin materia de conformidad con lo dispuesto en la fracción III del artículo 192 de la de la Ley de Transparencia y Acceso a la Información Pública del Estado de México y Municipios. </w:t>
      </w:r>
    </w:p>
    <w:p w14:paraId="182262F0" w14:textId="77777777" w:rsidR="005E747A" w:rsidRPr="00B1610D" w:rsidRDefault="005E747A" w:rsidP="005E747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 xml:space="preserve">Segundo. Notifíquese, </w:t>
      </w:r>
      <w:r w:rsidRPr="00B1610D">
        <w:rPr>
          <w:rFonts w:ascii="Palatino Linotype" w:eastAsia="Palatino Linotype" w:hAnsi="Palatino Linotype" w:cs="Palatino Linotype"/>
          <w:sz w:val="22"/>
          <w:szCs w:val="22"/>
        </w:rPr>
        <w:t>vía</w:t>
      </w:r>
      <w:r w:rsidRPr="00B1610D">
        <w:rPr>
          <w:rFonts w:ascii="Palatino Linotype" w:eastAsia="Palatino Linotype" w:hAnsi="Palatino Linotype" w:cs="Palatino Linotype"/>
          <w:b/>
          <w:sz w:val="22"/>
          <w:szCs w:val="22"/>
        </w:rPr>
        <w:t xml:space="preserve"> SAIMEX, </w:t>
      </w:r>
      <w:r w:rsidRPr="00B1610D">
        <w:rPr>
          <w:rFonts w:ascii="Palatino Linotype" w:eastAsia="Palatino Linotype" w:hAnsi="Palatino Linotype" w:cs="Palatino Linotype"/>
          <w:sz w:val="22"/>
          <w:szCs w:val="22"/>
        </w:rPr>
        <w:t>al Titular de la Unidad de Transparencia, para su conocimiento.</w:t>
      </w:r>
    </w:p>
    <w:p w14:paraId="7A3A4C74" w14:textId="77777777" w:rsidR="005E747A" w:rsidRPr="00B1610D" w:rsidRDefault="005E747A" w:rsidP="005E747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b/>
          <w:sz w:val="22"/>
          <w:szCs w:val="22"/>
        </w:rPr>
        <w:t xml:space="preserve">Tercero. Notifíquese </w:t>
      </w:r>
      <w:r w:rsidRPr="00B1610D">
        <w:rPr>
          <w:rFonts w:ascii="Palatino Linotype" w:eastAsia="Palatino Linotype" w:hAnsi="Palatino Linotype" w:cs="Palatino Linotype"/>
          <w:sz w:val="22"/>
          <w:szCs w:val="22"/>
        </w:rPr>
        <w:t>vía</w:t>
      </w:r>
      <w:r w:rsidRPr="00B1610D">
        <w:rPr>
          <w:rFonts w:ascii="Palatino Linotype" w:eastAsia="Palatino Linotype" w:hAnsi="Palatino Linotype" w:cs="Palatino Linotype"/>
          <w:b/>
          <w:sz w:val="22"/>
          <w:szCs w:val="22"/>
        </w:rPr>
        <w:t xml:space="preserve"> SAIMEX</w:t>
      </w:r>
      <w:r w:rsidRPr="00B1610D">
        <w:rPr>
          <w:rFonts w:ascii="Palatino Linotype" w:eastAsia="Palatino Linotype" w:hAnsi="Palatino Linotype" w:cs="Palatino Linotype"/>
          <w:sz w:val="22"/>
          <w:szCs w:val="22"/>
        </w:rPr>
        <w:t xml:space="preserve">, a la parte </w:t>
      </w:r>
      <w:r w:rsidRPr="00B1610D">
        <w:rPr>
          <w:rFonts w:ascii="Palatino Linotype" w:eastAsia="Palatino Linotype" w:hAnsi="Palatino Linotype" w:cs="Palatino Linotype"/>
          <w:b/>
          <w:sz w:val="22"/>
          <w:szCs w:val="22"/>
        </w:rPr>
        <w:t xml:space="preserve">Recurrente </w:t>
      </w:r>
      <w:r w:rsidRPr="00B1610D">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993F1FB" w14:textId="6E98BB32" w:rsidR="005E747A" w:rsidRPr="000639D3" w:rsidRDefault="005E747A" w:rsidP="005E747A">
      <w:pPr>
        <w:tabs>
          <w:tab w:val="left" w:pos="8647"/>
        </w:tabs>
        <w:spacing w:before="240" w:after="240" w:line="360" w:lineRule="auto"/>
        <w:ind w:right="51"/>
        <w:jc w:val="both"/>
        <w:rPr>
          <w:rFonts w:ascii="Palatino Linotype" w:eastAsia="Palatino Linotype" w:hAnsi="Palatino Linotype" w:cs="Palatino Linotype"/>
          <w:sz w:val="22"/>
          <w:szCs w:val="22"/>
        </w:rPr>
      </w:pPr>
      <w:r w:rsidRPr="00B1610D">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546943" w:rsidRPr="00B1610D">
        <w:rPr>
          <w:rFonts w:ascii="Palatino Linotype" w:eastAsia="Palatino Linotype" w:hAnsi="Palatino Linotype" w:cs="Palatino Linotype"/>
          <w:sz w:val="22"/>
          <w:szCs w:val="22"/>
        </w:rPr>
        <w:t xml:space="preserve"> PRIMERA</w:t>
      </w:r>
      <w:r w:rsidRPr="00B1610D">
        <w:rPr>
          <w:rFonts w:ascii="Palatino Linotype" w:eastAsia="Palatino Linotype" w:hAnsi="Palatino Linotype" w:cs="Palatino Linotype"/>
          <w:sz w:val="22"/>
          <w:szCs w:val="22"/>
        </w:rPr>
        <w:t xml:space="preserve"> SESIÓN ORDINARIA CELEBRADA EL </w:t>
      </w:r>
      <w:r w:rsidR="00546943" w:rsidRPr="00B1610D">
        <w:rPr>
          <w:rFonts w:ascii="Palatino Linotype" w:eastAsia="Palatino Linotype" w:hAnsi="Palatino Linotype" w:cs="Palatino Linotype"/>
          <w:sz w:val="22"/>
          <w:szCs w:val="22"/>
        </w:rPr>
        <w:t xml:space="preserve">VEINTE </w:t>
      </w:r>
      <w:r w:rsidRPr="00B1610D">
        <w:rPr>
          <w:rFonts w:ascii="Palatino Linotype" w:eastAsia="Palatino Linotype" w:hAnsi="Palatino Linotype" w:cs="Palatino Linotype"/>
          <w:sz w:val="22"/>
          <w:szCs w:val="22"/>
        </w:rPr>
        <w:t>DE NOVIEMRBE DE DOS MIL VEINTICINCO, ANTE EL SECRETARIO TÉCNICO DEL PLENO ALEXIS TAPIA RAMÍREZ.</w:t>
      </w:r>
    </w:p>
    <w:p w14:paraId="5C0BDD89" w14:textId="77777777" w:rsidR="0067458E" w:rsidRPr="000639D3" w:rsidRDefault="0067458E" w:rsidP="0067458E">
      <w:pPr>
        <w:spacing w:line="360" w:lineRule="auto"/>
        <w:jc w:val="both"/>
        <w:rPr>
          <w:rFonts w:ascii="Palatino Linotype" w:eastAsia="Palatino Linotype" w:hAnsi="Palatino Linotype" w:cs="Palatino Linotype"/>
          <w:sz w:val="22"/>
          <w:szCs w:val="22"/>
        </w:rPr>
      </w:pPr>
      <w:bookmarkStart w:id="8" w:name="_GoBack"/>
      <w:bookmarkEnd w:id="8"/>
    </w:p>
    <w:p w14:paraId="4E3EC55B" w14:textId="77777777" w:rsidR="0067458E" w:rsidRPr="000639D3" w:rsidRDefault="0067458E" w:rsidP="0067458E">
      <w:pPr>
        <w:spacing w:line="360" w:lineRule="auto"/>
        <w:jc w:val="both"/>
        <w:rPr>
          <w:rFonts w:ascii="Palatino Linotype" w:eastAsia="Palatino Linotype" w:hAnsi="Palatino Linotype" w:cs="Palatino Linotype"/>
          <w:sz w:val="22"/>
          <w:szCs w:val="22"/>
        </w:rPr>
      </w:pPr>
    </w:p>
    <w:p w14:paraId="5926262C" w14:textId="77777777" w:rsidR="0067458E" w:rsidRPr="000639D3" w:rsidRDefault="0067458E" w:rsidP="0067458E">
      <w:pPr>
        <w:spacing w:line="360" w:lineRule="auto"/>
        <w:jc w:val="both"/>
        <w:rPr>
          <w:rFonts w:ascii="Palatino Linotype" w:eastAsia="Palatino Linotype" w:hAnsi="Palatino Linotype" w:cs="Palatino Linotype"/>
          <w:sz w:val="22"/>
          <w:szCs w:val="22"/>
        </w:rPr>
      </w:pPr>
    </w:p>
    <w:p w14:paraId="27935854" w14:textId="77777777" w:rsidR="0067458E" w:rsidRPr="000639D3" w:rsidRDefault="0067458E" w:rsidP="0067458E">
      <w:pPr>
        <w:spacing w:line="360" w:lineRule="auto"/>
        <w:jc w:val="both"/>
        <w:rPr>
          <w:rFonts w:ascii="Palatino Linotype" w:eastAsia="Palatino Linotype" w:hAnsi="Palatino Linotype" w:cs="Palatino Linotype"/>
          <w:sz w:val="22"/>
          <w:szCs w:val="22"/>
        </w:rPr>
      </w:pPr>
    </w:p>
    <w:p w14:paraId="5AB04909" w14:textId="77777777" w:rsidR="0067458E" w:rsidRPr="000639D3" w:rsidRDefault="0067458E" w:rsidP="0067458E">
      <w:pPr>
        <w:spacing w:line="360" w:lineRule="auto"/>
        <w:jc w:val="both"/>
        <w:rPr>
          <w:rFonts w:ascii="Palatino Linotype" w:eastAsia="Palatino Linotype" w:hAnsi="Palatino Linotype" w:cs="Palatino Linotype"/>
          <w:sz w:val="22"/>
          <w:szCs w:val="22"/>
        </w:rPr>
      </w:pPr>
    </w:p>
    <w:p w14:paraId="7709B6EA" w14:textId="77777777" w:rsidR="00C04255" w:rsidRPr="000639D3" w:rsidRDefault="00C04255" w:rsidP="00A138B7">
      <w:pPr>
        <w:spacing w:before="240" w:after="240" w:line="372" w:lineRule="auto"/>
        <w:jc w:val="both"/>
        <w:rPr>
          <w:rFonts w:ascii="Palatino Linotype" w:eastAsia="Palatino Linotype" w:hAnsi="Palatino Linotype" w:cs="Palatino Linotype"/>
          <w:sz w:val="22"/>
          <w:szCs w:val="22"/>
        </w:rPr>
      </w:pPr>
    </w:p>
    <w:p w14:paraId="2F786E4B" w14:textId="10A06352" w:rsidR="00320E68" w:rsidRPr="000639D3" w:rsidRDefault="00320E68">
      <w:pPr>
        <w:spacing w:line="360" w:lineRule="auto"/>
        <w:jc w:val="both"/>
        <w:rPr>
          <w:rFonts w:ascii="Palatino Linotype" w:eastAsia="Palatino Linotype" w:hAnsi="Palatino Linotype" w:cs="Palatino Linotype"/>
          <w:sz w:val="22"/>
          <w:szCs w:val="22"/>
        </w:rPr>
      </w:pPr>
    </w:p>
    <w:p w14:paraId="740EF6E2" w14:textId="7D2241D8" w:rsidR="000639D3" w:rsidRPr="000639D3" w:rsidRDefault="000639D3">
      <w:pPr>
        <w:spacing w:line="360" w:lineRule="auto"/>
        <w:jc w:val="both"/>
        <w:rPr>
          <w:rFonts w:ascii="Palatino Linotype" w:eastAsia="Palatino Linotype" w:hAnsi="Palatino Linotype" w:cs="Palatino Linotype"/>
          <w:sz w:val="22"/>
          <w:szCs w:val="22"/>
        </w:rPr>
      </w:pPr>
    </w:p>
    <w:p w14:paraId="26450484" w14:textId="40CAF7F9" w:rsidR="000639D3" w:rsidRPr="000639D3" w:rsidRDefault="000639D3">
      <w:pPr>
        <w:spacing w:line="360" w:lineRule="auto"/>
        <w:jc w:val="both"/>
        <w:rPr>
          <w:rFonts w:ascii="Palatino Linotype" w:eastAsia="Palatino Linotype" w:hAnsi="Palatino Linotype" w:cs="Palatino Linotype"/>
          <w:sz w:val="22"/>
          <w:szCs w:val="22"/>
        </w:rPr>
      </w:pPr>
    </w:p>
    <w:p w14:paraId="4597D1E4" w14:textId="6C5BE7C6" w:rsidR="000639D3" w:rsidRPr="000639D3" w:rsidRDefault="000639D3">
      <w:pPr>
        <w:spacing w:line="360" w:lineRule="auto"/>
        <w:jc w:val="both"/>
        <w:rPr>
          <w:rFonts w:ascii="Palatino Linotype" w:eastAsia="Palatino Linotype" w:hAnsi="Palatino Linotype" w:cs="Palatino Linotype"/>
          <w:sz w:val="22"/>
          <w:szCs w:val="22"/>
        </w:rPr>
      </w:pPr>
    </w:p>
    <w:p w14:paraId="1CD78FDE" w14:textId="14B6F1B9" w:rsidR="000639D3" w:rsidRPr="000639D3" w:rsidRDefault="000639D3">
      <w:pPr>
        <w:spacing w:line="360" w:lineRule="auto"/>
        <w:jc w:val="both"/>
        <w:rPr>
          <w:rFonts w:ascii="Palatino Linotype" w:eastAsia="Palatino Linotype" w:hAnsi="Palatino Linotype" w:cs="Palatino Linotype"/>
          <w:sz w:val="22"/>
          <w:szCs w:val="22"/>
        </w:rPr>
      </w:pPr>
    </w:p>
    <w:p w14:paraId="4963F0EA" w14:textId="1A1E2F61" w:rsidR="000639D3" w:rsidRPr="000639D3" w:rsidRDefault="000639D3">
      <w:pPr>
        <w:spacing w:line="360" w:lineRule="auto"/>
        <w:jc w:val="both"/>
        <w:rPr>
          <w:rFonts w:ascii="Palatino Linotype" w:eastAsia="Palatino Linotype" w:hAnsi="Palatino Linotype" w:cs="Palatino Linotype"/>
          <w:sz w:val="22"/>
          <w:szCs w:val="22"/>
        </w:rPr>
      </w:pPr>
    </w:p>
    <w:p w14:paraId="130C6512" w14:textId="5D8E2C4B" w:rsidR="000639D3" w:rsidRPr="000639D3" w:rsidRDefault="000639D3">
      <w:pPr>
        <w:spacing w:line="360" w:lineRule="auto"/>
        <w:jc w:val="both"/>
        <w:rPr>
          <w:rFonts w:ascii="Palatino Linotype" w:eastAsia="Palatino Linotype" w:hAnsi="Palatino Linotype" w:cs="Palatino Linotype"/>
          <w:sz w:val="22"/>
          <w:szCs w:val="22"/>
        </w:rPr>
      </w:pPr>
    </w:p>
    <w:p w14:paraId="32462166" w14:textId="477C0BF6" w:rsidR="000639D3" w:rsidRPr="000639D3" w:rsidRDefault="000639D3">
      <w:pPr>
        <w:spacing w:line="360" w:lineRule="auto"/>
        <w:jc w:val="both"/>
        <w:rPr>
          <w:rFonts w:ascii="Palatino Linotype" w:eastAsia="Palatino Linotype" w:hAnsi="Palatino Linotype" w:cs="Palatino Linotype"/>
          <w:sz w:val="22"/>
          <w:szCs w:val="22"/>
        </w:rPr>
      </w:pPr>
    </w:p>
    <w:p w14:paraId="7CE3C843" w14:textId="4986A1C2" w:rsidR="000639D3" w:rsidRPr="000639D3" w:rsidRDefault="000639D3">
      <w:pPr>
        <w:spacing w:line="360" w:lineRule="auto"/>
        <w:jc w:val="both"/>
        <w:rPr>
          <w:rFonts w:ascii="Palatino Linotype" w:eastAsia="Palatino Linotype" w:hAnsi="Palatino Linotype" w:cs="Palatino Linotype"/>
          <w:sz w:val="22"/>
          <w:szCs w:val="22"/>
        </w:rPr>
      </w:pPr>
    </w:p>
    <w:p w14:paraId="4CF86D36" w14:textId="7182935F" w:rsidR="000639D3" w:rsidRPr="000639D3" w:rsidRDefault="000639D3">
      <w:pPr>
        <w:spacing w:line="360" w:lineRule="auto"/>
        <w:jc w:val="both"/>
        <w:rPr>
          <w:rFonts w:ascii="Palatino Linotype" w:eastAsia="Palatino Linotype" w:hAnsi="Palatino Linotype" w:cs="Palatino Linotype"/>
          <w:sz w:val="22"/>
          <w:szCs w:val="22"/>
        </w:rPr>
      </w:pPr>
    </w:p>
    <w:p w14:paraId="395C8CC9" w14:textId="2E91DCCD" w:rsidR="000639D3" w:rsidRPr="000639D3" w:rsidRDefault="000639D3">
      <w:pPr>
        <w:spacing w:line="360" w:lineRule="auto"/>
        <w:jc w:val="both"/>
        <w:rPr>
          <w:rFonts w:ascii="Palatino Linotype" w:eastAsia="Palatino Linotype" w:hAnsi="Palatino Linotype" w:cs="Palatino Linotype"/>
          <w:sz w:val="22"/>
          <w:szCs w:val="22"/>
        </w:rPr>
      </w:pPr>
    </w:p>
    <w:p w14:paraId="2CD07FE3" w14:textId="77777777" w:rsidR="000639D3" w:rsidRPr="000639D3" w:rsidRDefault="000639D3">
      <w:pPr>
        <w:spacing w:line="360" w:lineRule="auto"/>
        <w:jc w:val="both"/>
        <w:rPr>
          <w:rFonts w:ascii="Palatino Linotype" w:eastAsia="Palatino Linotype" w:hAnsi="Palatino Linotype" w:cs="Palatino Linotype"/>
          <w:sz w:val="22"/>
          <w:szCs w:val="22"/>
        </w:rPr>
      </w:pPr>
    </w:p>
    <w:sectPr w:rsidR="000639D3" w:rsidRPr="000639D3">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B8222" w14:textId="77777777" w:rsidR="00297C12" w:rsidRDefault="00297C12">
      <w:r>
        <w:separator/>
      </w:r>
    </w:p>
  </w:endnote>
  <w:endnote w:type="continuationSeparator" w:id="0">
    <w:p w14:paraId="49B8D7C4" w14:textId="77777777" w:rsidR="00297C12" w:rsidRDefault="0029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522B6" w14:textId="141E09A3" w:rsidR="00E056E3" w:rsidRDefault="00E056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29E7">
      <w:rPr>
        <w:rFonts w:ascii="Palatino Linotype" w:eastAsia="Palatino Linotype" w:hAnsi="Palatino Linotype" w:cs="Palatino Linotype"/>
        <w:b/>
        <w:noProof/>
        <w:color w:val="000000"/>
        <w:sz w:val="20"/>
        <w:szCs w:val="20"/>
      </w:rPr>
      <w:t>16</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29E7">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p>
  <w:p w14:paraId="6BF17921" w14:textId="77777777" w:rsidR="00E056E3" w:rsidRDefault="00E056E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D17C1" w14:textId="2F3CB4C8" w:rsidR="00E056E3" w:rsidRDefault="00E056E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429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429E7">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p>
  <w:p w14:paraId="56E532DC" w14:textId="77777777" w:rsidR="00E056E3" w:rsidRDefault="00E056E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B5B0E" w14:textId="77777777" w:rsidR="00297C12" w:rsidRDefault="00297C12">
      <w:r>
        <w:separator/>
      </w:r>
    </w:p>
  </w:footnote>
  <w:footnote w:type="continuationSeparator" w:id="0">
    <w:p w14:paraId="027FCB7E" w14:textId="77777777" w:rsidR="00297C12" w:rsidRDefault="00297C12">
      <w:r>
        <w:continuationSeparator/>
      </w:r>
    </w:p>
  </w:footnote>
  <w:footnote w:id="1">
    <w:p w14:paraId="254F9BA7" w14:textId="77777777" w:rsidR="00E056E3" w:rsidRDefault="00E056E3" w:rsidP="005E747A">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7A130B2A" w14:textId="77777777" w:rsidR="00E056E3" w:rsidRDefault="00E056E3" w:rsidP="005E747A">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DA7E" w14:textId="77777777" w:rsidR="00E056E3" w:rsidRDefault="00E056E3">
    <w:pPr>
      <w:rPr>
        <w:rFonts w:ascii="Cambria" w:eastAsia="Cambria" w:hAnsi="Cambria" w:cs="Cambria"/>
        <w:color w:val="000000"/>
      </w:rPr>
    </w:pPr>
    <w:r>
      <w:rPr>
        <w:noProof/>
      </w:rPr>
      <w:drawing>
        <wp:anchor distT="0" distB="0" distL="0" distR="0" simplePos="0" relativeHeight="251658240" behindDoc="1" locked="0" layoutInCell="1" hidden="0" allowOverlap="1" wp14:anchorId="37C060D4" wp14:editId="6A4F7317">
          <wp:simplePos x="0" y="0"/>
          <wp:positionH relativeFrom="column">
            <wp:posOffset>-1080132</wp:posOffset>
          </wp:positionH>
          <wp:positionV relativeFrom="paragraph">
            <wp:posOffset>-488259</wp:posOffset>
          </wp:positionV>
          <wp:extent cx="7809865" cy="10165715"/>
          <wp:effectExtent l="0" t="0" r="0" b="0"/>
          <wp:wrapNone/>
          <wp:docPr id="21401318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6095" w:type="dxa"/>
      <w:tblInd w:w="3261" w:type="dxa"/>
      <w:tblLayout w:type="fixed"/>
      <w:tblLook w:val="0400" w:firstRow="0" w:lastRow="0" w:firstColumn="0" w:lastColumn="0" w:noHBand="0" w:noVBand="1"/>
    </w:tblPr>
    <w:tblGrid>
      <w:gridCol w:w="2489"/>
      <w:gridCol w:w="3606"/>
    </w:tblGrid>
    <w:tr w:rsidR="00E056E3" w14:paraId="44E775F1" w14:textId="77777777">
      <w:tc>
        <w:tcPr>
          <w:tcW w:w="2489" w:type="dxa"/>
        </w:tcPr>
        <w:p w14:paraId="0A2FD258" w14:textId="77777777" w:rsidR="00E056E3" w:rsidRDefault="00E056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06" w:type="dxa"/>
          <w:vAlign w:val="center"/>
        </w:tcPr>
        <w:p w14:paraId="67A520C8" w14:textId="253ABE73" w:rsidR="00E056E3" w:rsidRDefault="00E056E3" w:rsidP="00CA74B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08729/INFOEM/IP/RR/2025</w:t>
          </w:r>
        </w:p>
      </w:tc>
    </w:tr>
    <w:tr w:rsidR="00E056E3" w14:paraId="6A89197B" w14:textId="77777777">
      <w:trPr>
        <w:trHeight w:val="228"/>
      </w:trPr>
      <w:tc>
        <w:tcPr>
          <w:tcW w:w="2489" w:type="dxa"/>
          <w:vAlign w:val="center"/>
        </w:tcPr>
        <w:p w14:paraId="7EA47DDB" w14:textId="77777777" w:rsidR="00E056E3" w:rsidRDefault="00E056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06" w:type="dxa"/>
          <w:vAlign w:val="center"/>
        </w:tcPr>
        <w:p w14:paraId="077D3C90" w14:textId="1A63160C" w:rsidR="00E056E3" w:rsidRDefault="00E056E3">
          <w:pPr>
            <w:ind w:left="-45" w:right="176"/>
            <w:jc w:val="both"/>
            <w:rPr>
              <w:rFonts w:ascii="Palatino Linotype" w:eastAsia="Palatino Linotype" w:hAnsi="Palatino Linotype" w:cs="Palatino Linotype"/>
              <w:b/>
              <w:sz w:val="22"/>
              <w:szCs w:val="22"/>
            </w:rPr>
          </w:pPr>
          <w:r w:rsidRPr="00CA74B5">
            <w:rPr>
              <w:rFonts w:ascii="Palatino Linotype" w:eastAsia="Palatino Linotype" w:hAnsi="Palatino Linotype" w:cs="Palatino Linotype"/>
              <w:b/>
              <w:sz w:val="22"/>
              <w:szCs w:val="22"/>
            </w:rPr>
            <w:t>Ayuntamiento de Joquicingo</w:t>
          </w:r>
        </w:p>
      </w:tc>
    </w:tr>
    <w:tr w:rsidR="00E056E3" w14:paraId="44763DF5" w14:textId="77777777">
      <w:tc>
        <w:tcPr>
          <w:tcW w:w="2489" w:type="dxa"/>
          <w:vAlign w:val="center"/>
        </w:tcPr>
        <w:p w14:paraId="28A3743A" w14:textId="77777777" w:rsidR="00E056E3" w:rsidRDefault="00E056E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06" w:type="dxa"/>
          <w:vAlign w:val="center"/>
        </w:tcPr>
        <w:p w14:paraId="21AEA82B" w14:textId="77777777" w:rsidR="00E056E3" w:rsidRDefault="00E056E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733ACA9" w14:textId="77777777" w:rsidR="00E056E3" w:rsidRDefault="00E056E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BA283" w14:textId="77777777" w:rsidR="00E056E3" w:rsidRDefault="00E056E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4FF1D8A" wp14:editId="522635DA">
          <wp:simplePos x="0" y="0"/>
          <wp:positionH relativeFrom="page">
            <wp:align>left</wp:align>
          </wp:positionH>
          <wp:positionV relativeFrom="paragraph">
            <wp:posOffset>-408480</wp:posOffset>
          </wp:positionV>
          <wp:extent cx="7809865" cy="10165715"/>
          <wp:effectExtent l="0" t="0" r="635" b="6985"/>
          <wp:wrapNone/>
          <wp:docPr id="21401318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fff"/>
      <w:tblW w:w="6095" w:type="dxa"/>
      <w:tblInd w:w="3119" w:type="dxa"/>
      <w:tblLayout w:type="fixed"/>
      <w:tblLook w:val="0400" w:firstRow="0" w:lastRow="0" w:firstColumn="0" w:lastColumn="0" w:noHBand="0" w:noVBand="1"/>
    </w:tblPr>
    <w:tblGrid>
      <w:gridCol w:w="2551"/>
      <w:gridCol w:w="3544"/>
    </w:tblGrid>
    <w:tr w:rsidR="00E056E3" w14:paraId="21E73921" w14:textId="77777777">
      <w:tc>
        <w:tcPr>
          <w:tcW w:w="2551" w:type="dxa"/>
        </w:tcPr>
        <w:p w14:paraId="75D67306" w14:textId="77777777" w:rsidR="00E056E3" w:rsidRDefault="00E056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vAlign w:val="center"/>
        </w:tcPr>
        <w:p w14:paraId="3F079B8D" w14:textId="0E1992DC" w:rsidR="00E056E3" w:rsidRDefault="00E056E3" w:rsidP="00CA74B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08729/INFOEM/IP/RR/2025</w:t>
          </w:r>
        </w:p>
      </w:tc>
    </w:tr>
    <w:tr w:rsidR="00E056E3" w14:paraId="135F6017" w14:textId="77777777">
      <w:tc>
        <w:tcPr>
          <w:tcW w:w="2551" w:type="dxa"/>
        </w:tcPr>
        <w:p w14:paraId="3E8776B6" w14:textId="77777777" w:rsidR="00E056E3" w:rsidRDefault="00E056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vAlign w:val="center"/>
        </w:tcPr>
        <w:p w14:paraId="6DE20825" w14:textId="31F26C95" w:rsidR="00E056E3" w:rsidRDefault="00B429E7" w:rsidP="00B429E7">
          <w:pPr>
            <w:ind w:right="175"/>
            <w:jc w:val="both"/>
            <w:rPr>
              <w:rFonts w:ascii="Palatino Linotype" w:eastAsia="Palatino Linotype" w:hAnsi="Palatino Linotype" w:cs="Palatino Linotype"/>
              <w:b/>
              <w:color w:val="FF0000"/>
              <w:sz w:val="22"/>
              <w:szCs w:val="22"/>
              <w:highlight w:val="yellow"/>
            </w:rPr>
          </w:pPr>
          <w:r>
            <w:rPr>
              <w:rFonts w:ascii="Palatino Linotype" w:eastAsia="Palatino Linotype" w:hAnsi="Palatino Linotype" w:cs="Palatino Linotype"/>
              <w:b/>
              <w:sz w:val="22"/>
              <w:szCs w:val="22"/>
            </w:rPr>
            <w:t xml:space="preserve">XXXXXXXX XXXXXXX XXXXXXXX </w:t>
          </w:r>
        </w:p>
      </w:tc>
    </w:tr>
    <w:tr w:rsidR="00E056E3" w14:paraId="562174AE" w14:textId="77777777">
      <w:trPr>
        <w:trHeight w:val="228"/>
      </w:trPr>
      <w:tc>
        <w:tcPr>
          <w:tcW w:w="2551" w:type="dxa"/>
          <w:vAlign w:val="center"/>
        </w:tcPr>
        <w:p w14:paraId="4CF61484" w14:textId="77777777" w:rsidR="00E056E3" w:rsidRDefault="00E056E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vAlign w:val="center"/>
        </w:tcPr>
        <w:p w14:paraId="177DF4B5" w14:textId="03EBB691" w:rsidR="00E056E3" w:rsidRDefault="00E056E3">
          <w:pPr>
            <w:ind w:left="-45" w:right="176"/>
            <w:jc w:val="both"/>
            <w:rPr>
              <w:rFonts w:ascii="Palatino Linotype" w:eastAsia="Palatino Linotype" w:hAnsi="Palatino Linotype" w:cs="Palatino Linotype"/>
              <w:b/>
              <w:sz w:val="22"/>
              <w:szCs w:val="22"/>
            </w:rPr>
          </w:pPr>
          <w:r w:rsidRPr="00CA74B5">
            <w:rPr>
              <w:rFonts w:ascii="Palatino Linotype" w:eastAsia="Palatino Linotype" w:hAnsi="Palatino Linotype" w:cs="Palatino Linotype"/>
              <w:b/>
              <w:sz w:val="22"/>
              <w:szCs w:val="22"/>
            </w:rPr>
            <w:t>Ayuntamiento de Joquicingo</w:t>
          </w:r>
        </w:p>
      </w:tc>
    </w:tr>
    <w:tr w:rsidR="00E056E3" w14:paraId="437900DC" w14:textId="77777777">
      <w:tc>
        <w:tcPr>
          <w:tcW w:w="2551" w:type="dxa"/>
          <w:vAlign w:val="center"/>
        </w:tcPr>
        <w:p w14:paraId="5C862880" w14:textId="77777777" w:rsidR="00E056E3" w:rsidRDefault="00E056E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4" w:type="dxa"/>
          <w:vAlign w:val="center"/>
        </w:tcPr>
        <w:p w14:paraId="21CCA8EB" w14:textId="77777777" w:rsidR="00E056E3" w:rsidRDefault="00E056E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422C853" w14:textId="77777777" w:rsidR="00E056E3" w:rsidRDefault="00E056E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E577D"/>
    <w:multiLevelType w:val="multilevel"/>
    <w:tmpl w:val="3C6C4A4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403496D"/>
    <w:multiLevelType w:val="multilevel"/>
    <w:tmpl w:val="3E0CA868"/>
    <w:lvl w:ilvl="0">
      <w:start w:val="1"/>
      <w:numFmt w:val="lowerLetter"/>
      <w:lvlText w:val="%1)"/>
      <w:lvlJc w:val="left"/>
      <w:pPr>
        <w:ind w:left="1068" w:hanging="360"/>
      </w:pPr>
      <w:rPr>
        <w:rFonts w:ascii="Palatino Linotype" w:eastAsia="Palatino Linotype" w:hAnsi="Palatino Linotype" w:cs="Palatino Linotype"/>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41411D28"/>
    <w:multiLevelType w:val="hybridMultilevel"/>
    <w:tmpl w:val="7A0C9FBE"/>
    <w:lvl w:ilvl="0" w:tplc="15FA6F4E">
      <w:start w:val="1"/>
      <w:numFmt w:val="decimal"/>
      <w:lvlText w:val="%1."/>
      <w:lvlJc w:val="left"/>
      <w:pPr>
        <w:ind w:left="644" w:hanging="360"/>
      </w:pPr>
      <w:rPr>
        <w:rFonts w:hint="default"/>
        <w:sz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64ED1946"/>
    <w:multiLevelType w:val="hybridMultilevel"/>
    <w:tmpl w:val="1188F2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6C0896"/>
    <w:multiLevelType w:val="multilevel"/>
    <w:tmpl w:val="114CF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E68"/>
    <w:rsid w:val="000147F7"/>
    <w:rsid w:val="00014B2D"/>
    <w:rsid w:val="00020BE1"/>
    <w:rsid w:val="00021569"/>
    <w:rsid w:val="00050436"/>
    <w:rsid w:val="000639D3"/>
    <w:rsid w:val="000707F8"/>
    <w:rsid w:val="000F1053"/>
    <w:rsid w:val="00124A2D"/>
    <w:rsid w:val="00130236"/>
    <w:rsid w:val="00136EE1"/>
    <w:rsid w:val="00146250"/>
    <w:rsid w:val="001469F1"/>
    <w:rsid w:val="00152B50"/>
    <w:rsid w:val="001A3537"/>
    <w:rsid w:val="001A3BB0"/>
    <w:rsid w:val="001B374B"/>
    <w:rsid w:val="001B3FD1"/>
    <w:rsid w:val="001E1E2F"/>
    <w:rsid w:val="00201E42"/>
    <w:rsid w:val="002140B6"/>
    <w:rsid w:val="00217013"/>
    <w:rsid w:val="00222C76"/>
    <w:rsid w:val="00242318"/>
    <w:rsid w:val="00247B97"/>
    <w:rsid w:val="00250060"/>
    <w:rsid w:val="00260589"/>
    <w:rsid w:val="00271ABA"/>
    <w:rsid w:val="00282CC1"/>
    <w:rsid w:val="002940FE"/>
    <w:rsid w:val="00297C12"/>
    <w:rsid w:val="002A381B"/>
    <w:rsid w:val="002A3B72"/>
    <w:rsid w:val="002B065A"/>
    <w:rsid w:val="002B7F11"/>
    <w:rsid w:val="002C64E5"/>
    <w:rsid w:val="002E2397"/>
    <w:rsid w:val="002F0EEC"/>
    <w:rsid w:val="002F4A27"/>
    <w:rsid w:val="00311C7D"/>
    <w:rsid w:val="00320E68"/>
    <w:rsid w:val="00326B01"/>
    <w:rsid w:val="00357A96"/>
    <w:rsid w:val="00392DC4"/>
    <w:rsid w:val="003B1BDC"/>
    <w:rsid w:val="003B582C"/>
    <w:rsid w:val="003B792E"/>
    <w:rsid w:val="003D5832"/>
    <w:rsid w:val="003F08CD"/>
    <w:rsid w:val="0040757F"/>
    <w:rsid w:val="0041477D"/>
    <w:rsid w:val="0041778B"/>
    <w:rsid w:val="00421D3C"/>
    <w:rsid w:val="0043181F"/>
    <w:rsid w:val="00432368"/>
    <w:rsid w:val="00442A7E"/>
    <w:rsid w:val="0045198E"/>
    <w:rsid w:val="00487712"/>
    <w:rsid w:val="00490320"/>
    <w:rsid w:val="00491370"/>
    <w:rsid w:val="00495E44"/>
    <w:rsid w:val="004A78AE"/>
    <w:rsid w:val="004B2EFA"/>
    <w:rsid w:val="004B3E4B"/>
    <w:rsid w:val="004C5955"/>
    <w:rsid w:val="00500340"/>
    <w:rsid w:val="00510CE2"/>
    <w:rsid w:val="00524496"/>
    <w:rsid w:val="0054394E"/>
    <w:rsid w:val="00546943"/>
    <w:rsid w:val="005527C8"/>
    <w:rsid w:val="0056606C"/>
    <w:rsid w:val="00567CD9"/>
    <w:rsid w:val="005771D3"/>
    <w:rsid w:val="00582D7E"/>
    <w:rsid w:val="005B7A7D"/>
    <w:rsid w:val="005C000E"/>
    <w:rsid w:val="005E747A"/>
    <w:rsid w:val="005F316E"/>
    <w:rsid w:val="005F66CE"/>
    <w:rsid w:val="00602451"/>
    <w:rsid w:val="006541F4"/>
    <w:rsid w:val="00665872"/>
    <w:rsid w:val="006670B9"/>
    <w:rsid w:val="00670308"/>
    <w:rsid w:val="0067458E"/>
    <w:rsid w:val="00694B2E"/>
    <w:rsid w:val="006A31C7"/>
    <w:rsid w:val="006A603C"/>
    <w:rsid w:val="006B7229"/>
    <w:rsid w:val="006E07FC"/>
    <w:rsid w:val="006E7819"/>
    <w:rsid w:val="006F2AFC"/>
    <w:rsid w:val="00756F39"/>
    <w:rsid w:val="007806DD"/>
    <w:rsid w:val="00783073"/>
    <w:rsid w:val="00783816"/>
    <w:rsid w:val="007857FE"/>
    <w:rsid w:val="007B1CA4"/>
    <w:rsid w:val="007D555C"/>
    <w:rsid w:val="007E7D9C"/>
    <w:rsid w:val="007F190A"/>
    <w:rsid w:val="00806DED"/>
    <w:rsid w:val="008126EC"/>
    <w:rsid w:val="00836A9A"/>
    <w:rsid w:val="00837484"/>
    <w:rsid w:val="008509ED"/>
    <w:rsid w:val="0089776D"/>
    <w:rsid w:val="00897946"/>
    <w:rsid w:val="008C691B"/>
    <w:rsid w:val="00904B55"/>
    <w:rsid w:val="009217D3"/>
    <w:rsid w:val="00922CC2"/>
    <w:rsid w:val="00944B29"/>
    <w:rsid w:val="009470BC"/>
    <w:rsid w:val="00956BB5"/>
    <w:rsid w:val="00985A42"/>
    <w:rsid w:val="009A3A95"/>
    <w:rsid w:val="009D3EA8"/>
    <w:rsid w:val="009D71E0"/>
    <w:rsid w:val="00A036F7"/>
    <w:rsid w:val="00A12880"/>
    <w:rsid w:val="00A138B7"/>
    <w:rsid w:val="00A21D90"/>
    <w:rsid w:val="00A27711"/>
    <w:rsid w:val="00A3147C"/>
    <w:rsid w:val="00A70C40"/>
    <w:rsid w:val="00A775FF"/>
    <w:rsid w:val="00A94F25"/>
    <w:rsid w:val="00A96A19"/>
    <w:rsid w:val="00AB1D2F"/>
    <w:rsid w:val="00AD2D64"/>
    <w:rsid w:val="00AE515C"/>
    <w:rsid w:val="00B11ABB"/>
    <w:rsid w:val="00B1610D"/>
    <w:rsid w:val="00B23A41"/>
    <w:rsid w:val="00B372B3"/>
    <w:rsid w:val="00B406B0"/>
    <w:rsid w:val="00B429E7"/>
    <w:rsid w:val="00B47B67"/>
    <w:rsid w:val="00B57EE4"/>
    <w:rsid w:val="00BC7AF4"/>
    <w:rsid w:val="00BE54C2"/>
    <w:rsid w:val="00BF5C4F"/>
    <w:rsid w:val="00BF7647"/>
    <w:rsid w:val="00C04255"/>
    <w:rsid w:val="00C279A2"/>
    <w:rsid w:val="00C358D6"/>
    <w:rsid w:val="00C5167A"/>
    <w:rsid w:val="00C66C49"/>
    <w:rsid w:val="00C75183"/>
    <w:rsid w:val="00C81055"/>
    <w:rsid w:val="00C90218"/>
    <w:rsid w:val="00C9180F"/>
    <w:rsid w:val="00C91A16"/>
    <w:rsid w:val="00CA74B5"/>
    <w:rsid w:val="00CC2BBA"/>
    <w:rsid w:val="00CC76EB"/>
    <w:rsid w:val="00D007AF"/>
    <w:rsid w:val="00D00D2D"/>
    <w:rsid w:val="00D438CA"/>
    <w:rsid w:val="00D43FDC"/>
    <w:rsid w:val="00D61BB4"/>
    <w:rsid w:val="00D64214"/>
    <w:rsid w:val="00DA1FE3"/>
    <w:rsid w:val="00DA20EC"/>
    <w:rsid w:val="00DB662E"/>
    <w:rsid w:val="00DC20CA"/>
    <w:rsid w:val="00DE60AE"/>
    <w:rsid w:val="00E05062"/>
    <w:rsid w:val="00E056E3"/>
    <w:rsid w:val="00E22919"/>
    <w:rsid w:val="00E25252"/>
    <w:rsid w:val="00E43D1A"/>
    <w:rsid w:val="00E509AC"/>
    <w:rsid w:val="00E6007B"/>
    <w:rsid w:val="00E60092"/>
    <w:rsid w:val="00E6098B"/>
    <w:rsid w:val="00E627D1"/>
    <w:rsid w:val="00E62C29"/>
    <w:rsid w:val="00E84110"/>
    <w:rsid w:val="00E93385"/>
    <w:rsid w:val="00EC030F"/>
    <w:rsid w:val="00EC434F"/>
    <w:rsid w:val="00EE432D"/>
    <w:rsid w:val="00F0522E"/>
    <w:rsid w:val="00F067D6"/>
    <w:rsid w:val="00F21F92"/>
    <w:rsid w:val="00F33007"/>
    <w:rsid w:val="00F36A9F"/>
    <w:rsid w:val="00F615AC"/>
    <w:rsid w:val="00F629CB"/>
    <w:rsid w:val="00F734A9"/>
    <w:rsid w:val="00F77844"/>
    <w:rsid w:val="00F810A5"/>
    <w:rsid w:val="00F8149E"/>
    <w:rsid w:val="00FB4AFC"/>
    <w:rsid w:val="00FD128F"/>
    <w:rsid w:val="00FD78B2"/>
    <w:rsid w:val="00FE1041"/>
    <w:rsid w:val="00FF1C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80E78F"/>
  <w15:docId w15:val="{2C463D68-6B5E-4CD4-A6C0-92C19834D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FD78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5qhDy4Qo6BA0Esef2nEW6X4lWQ==">CgMxLjAyCWguM3JkY3JqbjIOaC5kYWozajJ4bzZxNjYyCGguZ2pkZ3hzMgloLjNkeTZ2a20yCWguMzBqMHpsbDIJaC4yczhleW8xMghoLnR5amN3dDIJaC4zem55c2g3MgloLjJldDkycDAyCWguNGQzNG9nODIJaC4xdDNoNXNmMg5oLmhuenhzY2g1Z3lzejIOaC5vdDNxcTZ2eGEwOGYyCGgubG54Yno5OAByITF0R0ZDWllWMEN4TkxLVmszQmF1OUdNRklPVWdWRkpC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3713</Words>
  <Characters>20424</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2025-11-21T20:12:00Z</cp:lastPrinted>
  <dcterms:created xsi:type="dcterms:W3CDTF">2025-12-15T01:36:00Z</dcterms:created>
  <dcterms:modified xsi:type="dcterms:W3CDTF">2025-12-15T01:36:00Z</dcterms:modified>
</cp:coreProperties>
</file>