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5A574282" w:rsidR="00A970D5" w:rsidRPr="00875B7E" w:rsidRDefault="00A970D5" w:rsidP="009950AD">
      <w:pPr>
        <w:pStyle w:val="NormalINFOEM"/>
      </w:pPr>
      <w:bookmarkStart w:id="0" w:name="_GoBack"/>
      <w:bookmarkEnd w:id="0"/>
      <w:r w:rsidRPr="00875B7E">
        <w:t>Resolución del Pleno del Instituto de Transparencia, Acceso a la Información Pública y Protección de Datos Personales del Estado de México</w:t>
      </w:r>
      <w:r w:rsidR="00FD2A3F">
        <w:t xml:space="preserve"> </w:t>
      </w:r>
      <w:r w:rsidRPr="00875B7E">
        <w:t xml:space="preserve">y Municipios, con domicilio en Metepec, Estado de </w:t>
      </w:r>
      <w:r w:rsidR="008B2951" w:rsidRPr="00875B7E">
        <w:t xml:space="preserve">México, </w:t>
      </w:r>
      <w:r w:rsidR="000D2E93" w:rsidRPr="00875B7E">
        <w:t>a</w:t>
      </w:r>
      <w:r w:rsidR="0011108B">
        <w:t xml:space="preserve"> </w:t>
      </w:r>
      <w:r w:rsidR="00DE55DA">
        <w:t>diez de septiembre</w:t>
      </w:r>
      <w:r w:rsidR="00FF3E42">
        <w:t xml:space="preserve"> de dos mil veinticinco</w:t>
      </w:r>
      <w:r w:rsidR="0011108B">
        <w:t>.</w:t>
      </w:r>
    </w:p>
    <w:p w14:paraId="60399B74"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1D0D9BD7" w14:textId="25115D27" w:rsidR="00A970D5" w:rsidRPr="0022406E" w:rsidRDefault="70652167" w:rsidP="70652167">
      <w:pPr>
        <w:pBdr>
          <w:top w:val="nil"/>
          <w:left w:val="nil"/>
          <w:bottom w:val="nil"/>
          <w:right w:val="nil"/>
          <w:between w:val="nil"/>
        </w:pBdr>
        <w:contextualSpacing/>
        <w:rPr>
          <w:rFonts w:eastAsia="Palatino Linotype" w:cs="Palatino Linotype"/>
          <w:b/>
          <w:bCs/>
          <w:color w:val="000000"/>
          <w:lang w:val="es-ES"/>
        </w:rPr>
      </w:pPr>
      <w:r w:rsidRPr="70652167">
        <w:rPr>
          <w:rFonts w:eastAsia="Palatino Linotype" w:cs="Palatino Linotype"/>
          <w:b/>
          <w:bCs/>
          <w:color w:val="000000" w:themeColor="text1"/>
          <w:lang w:val="es-ES"/>
        </w:rPr>
        <w:t>VISTO</w:t>
      </w:r>
      <w:r w:rsidRPr="70652167">
        <w:rPr>
          <w:rFonts w:eastAsia="Palatino Linotype" w:cs="Palatino Linotype"/>
          <w:color w:val="000000" w:themeColor="text1"/>
          <w:lang w:val="es-ES"/>
        </w:rPr>
        <w:t xml:space="preserve"> el expediente electrónico formado con motivo del recurso de revisión número </w:t>
      </w:r>
      <w:r w:rsidR="002E029E">
        <w:rPr>
          <w:rFonts w:eastAsia="Palatino Linotype" w:cs="Palatino Linotype"/>
          <w:b/>
          <w:bCs/>
          <w:color w:val="000000" w:themeColor="text1"/>
          <w:lang w:val="es-ES"/>
        </w:rPr>
        <w:t>05755/INFOEM/IP/RR/2025</w:t>
      </w:r>
      <w:r w:rsidRPr="70652167">
        <w:rPr>
          <w:rFonts w:eastAsia="Palatino Linotype" w:cs="Palatino Linotype"/>
          <w:color w:val="000000" w:themeColor="text1"/>
          <w:lang w:val="es-ES"/>
        </w:rPr>
        <w:t xml:space="preserve">, interpuesto por </w:t>
      </w:r>
      <w:r w:rsidR="005B67F3">
        <w:rPr>
          <w:rFonts w:eastAsia="Palatino Linotype" w:cs="Palatino Linotype"/>
          <w:b/>
          <w:bCs/>
          <w:color w:val="000000" w:themeColor="text1"/>
          <w:lang w:val="es-ES"/>
        </w:rPr>
        <w:t>una persona de manera anónima</w:t>
      </w:r>
      <w:r w:rsidR="00E97C2F">
        <w:rPr>
          <w:rFonts w:eastAsia="Palatino Linotype" w:cs="Palatino Linotype"/>
          <w:color w:val="000000" w:themeColor="text1"/>
          <w:lang w:val="es-ES"/>
        </w:rPr>
        <w:t>, en lo su</w:t>
      </w:r>
      <w:r w:rsidR="00771E23">
        <w:rPr>
          <w:rFonts w:eastAsia="Palatino Linotype" w:cs="Palatino Linotype"/>
          <w:color w:val="000000" w:themeColor="text1"/>
          <w:lang w:val="es-ES"/>
        </w:rPr>
        <w:t>cesivo el</w:t>
      </w:r>
      <w:r w:rsidRPr="70652167">
        <w:rPr>
          <w:rFonts w:eastAsia="Palatino Linotype" w:cs="Palatino Linotype"/>
          <w:color w:val="000000" w:themeColor="text1"/>
          <w:lang w:val="es-ES"/>
        </w:rPr>
        <w:t xml:space="preserve"> </w:t>
      </w:r>
      <w:r w:rsidRPr="70652167">
        <w:rPr>
          <w:rFonts w:eastAsia="Palatino Linotype" w:cs="Palatino Linotype"/>
          <w:b/>
          <w:bCs/>
          <w:color w:val="000000" w:themeColor="text1"/>
          <w:lang w:val="es-ES"/>
        </w:rPr>
        <w:t>Recurrente</w:t>
      </w:r>
      <w:r w:rsidRPr="70652167">
        <w:rPr>
          <w:rFonts w:eastAsia="Palatino Linotype" w:cs="Palatino Linotype"/>
          <w:color w:val="000000" w:themeColor="text1"/>
          <w:lang w:val="es-ES"/>
        </w:rPr>
        <w:t>, en contra de la respuesta de</w:t>
      </w:r>
      <w:r w:rsidR="00E24F05">
        <w:rPr>
          <w:rFonts w:eastAsia="Palatino Linotype" w:cs="Palatino Linotype"/>
          <w:color w:val="000000" w:themeColor="text1"/>
          <w:lang w:val="es-ES"/>
        </w:rPr>
        <w:t>l</w:t>
      </w:r>
      <w:r w:rsidRPr="70652167">
        <w:rPr>
          <w:rFonts w:eastAsia="Palatino Linotype" w:cs="Palatino Linotype"/>
          <w:color w:val="000000" w:themeColor="text1"/>
          <w:lang w:val="es-ES"/>
        </w:rPr>
        <w:t xml:space="preserve"> </w:t>
      </w:r>
      <w:r w:rsidR="009B5B96">
        <w:rPr>
          <w:rFonts w:eastAsia="Palatino Linotype" w:cs="Palatino Linotype"/>
          <w:b/>
          <w:bCs/>
          <w:color w:val="000000" w:themeColor="text1"/>
          <w:lang w:val="es-ES"/>
        </w:rPr>
        <w:t>Ayuntamiento de Toluca</w:t>
      </w:r>
      <w:r w:rsidR="00771E23">
        <w:rPr>
          <w:rFonts w:eastAsia="Palatino Linotype" w:cs="Palatino Linotype"/>
          <w:b/>
          <w:bCs/>
          <w:color w:val="000000" w:themeColor="text1"/>
          <w:lang w:val="es-ES"/>
        </w:rPr>
        <w:t>,</w:t>
      </w:r>
      <w:r w:rsidR="00920835" w:rsidRPr="00920835">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en lo subsecuente</w:t>
      </w:r>
      <w:r w:rsidRPr="70652167">
        <w:rPr>
          <w:rFonts w:eastAsia="Palatino Linotype" w:cs="Palatino Linotype"/>
          <w:b/>
          <w:bCs/>
          <w:color w:val="000000" w:themeColor="text1"/>
          <w:lang w:val="es-ES"/>
        </w:rPr>
        <w:t xml:space="preserve"> </w:t>
      </w:r>
      <w:r w:rsidRPr="70652167">
        <w:rPr>
          <w:rFonts w:eastAsia="Palatino Linotype" w:cs="Palatino Linotype"/>
          <w:color w:val="000000" w:themeColor="text1"/>
          <w:lang w:val="es-ES"/>
        </w:rPr>
        <w:t>el</w:t>
      </w:r>
      <w:r w:rsidRPr="70652167">
        <w:rPr>
          <w:rFonts w:eastAsia="Palatino Linotype" w:cs="Palatino Linotype"/>
          <w:b/>
          <w:bCs/>
          <w:color w:val="000000" w:themeColor="text1"/>
          <w:lang w:val="es-ES"/>
        </w:rPr>
        <w:t xml:space="preserve"> Sujeto Obligado, </w:t>
      </w:r>
      <w:r w:rsidRPr="70652167">
        <w:rPr>
          <w:rFonts w:eastAsia="Palatino Linotype" w:cs="Palatino Linotype"/>
          <w:color w:val="000000" w:themeColor="text1"/>
          <w:lang w:val="es-ES"/>
        </w:rPr>
        <w:t>se procede a dictar la presente resolución.</w:t>
      </w:r>
    </w:p>
    <w:p w14:paraId="2E2053C2"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293A0C59" w14:textId="77777777" w:rsidR="00A970D5" w:rsidRPr="006922F5" w:rsidRDefault="00A970D5" w:rsidP="006922F5">
      <w:pPr>
        <w:pStyle w:val="Ttulo1"/>
        <w:rPr>
          <w:rFonts w:eastAsia="Palatino Linotype"/>
          <w:lang w:val="es-ES_tradnl"/>
        </w:rPr>
      </w:pPr>
      <w:r w:rsidRPr="006922F5">
        <w:rPr>
          <w:rFonts w:eastAsia="Palatino Linotype"/>
          <w:lang w:val="es-ES_tradnl"/>
        </w:rPr>
        <w:t>A N T E C E D E N T E S</w:t>
      </w:r>
    </w:p>
    <w:p w14:paraId="32F88820" w14:textId="77777777" w:rsidR="00A970D5" w:rsidRPr="000A6B98"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5C9CB8F2" w:rsidR="00A970D5" w:rsidRPr="006922F5" w:rsidRDefault="00A970D5" w:rsidP="006922F5">
      <w:pPr>
        <w:pStyle w:val="Ttulo2"/>
        <w:rPr>
          <w:rFonts w:eastAsia="Palatino Linotype"/>
        </w:rPr>
      </w:pPr>
      <w:r w:rsidRPr="006922F5">
        <w:rPr>
          <w:rFonts w:eastAsia="Palatino Linotype"/>
        </w:rPr>
        <w:t xml:space="preserve">PRIMERO. De la </w:t>
      </w:r>
      <w:r w:rsidR="00A24D3F">
        <w:rPr>
          <w:rFonts w:eastAsia="Palatino Linotype"/>
        </w:rPr>
        <w:t>s</w:t>
      </w:r>
      <w:r w:rsidRPr="006922F5">
        <w:rPr>
          <w:rFonts w:eastAsia="Palatino Linotype"/>
        </w:rPr>
        <w:t xml:space="preserve">olicitud de </w:t>
      </w:r>
      <w:r w:rsidR="00A24D3F">
        <w:rPr>
          <w:rFonts w:eastAsia="Palatino Linotype"/>
        </w:rPr>
        <w:t>i</w:t>
      </w:r>
      <w:r w:rsidRPr="006922F5">
        <w:rPr>
          <w:rFonts w:eastAsia="Palatino Linotype"/>
        </w:rPr>
        <w:t>nformación.</w:t>
      </w:r>
    </w:p>
    <w:p w14:paraId="0870C154" w14:textId="538B90A2" w:rsidR="00A970D5" w:rsidRPr="006922F5" w:rsidRDefault="00B36B86"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Con fecha</w:t>
      </w:r>
      <w:r w:rsidR="00AA6C98">
        <w:rPr>
          <w:rFonts w:eastAsia="Palatino Linotype" w:cs="Palatino Linotype"/>
          <w:color w:val="000000"/>
          <w:szCs w:val="24"/>
        </w:rPr>
        <w:t xml:space="preserve"> </w:t>
      </w:r>
      <w:r w:rsidR="002E029E">
        <w:rPr>
          <w:rFonts w:eastAsia="Palatino Linotype" w:cs="Palatino Linotype"/>
          <w:color w:val="000000"/>
          <w:szCs w:val="24"/>
        </w:rPr>
        <w:t>treinta y uno</w:t>
      </w:r>
      <w:r w:rsidR="00082F05">
        <w:rPr>
          <w:rFonts w:eastAsia="Palatino Linotype" w:cs="Palatino Linotype"/>
          <w:color w:val="000000"/>
          <w:szCs w:val="24"/>
        </w:rPr>
        <w:t xml:space="preserve"> de marzo</w:t>
      </w:r>
      <w:r w:rsidR="00AC4CAF">
        <w:rPr>
          <w:rFonts w:eastAsia="Palatino Linotype" w:cs="Palatino Linotype"/>
          <w:color w:val="000000"/>
          <w:szCs w:val="24"/>
        </w:rPr>
        <w:t xml:space="preserve"> de dos mil veinticinco</w:t>
      </w:r>
      <w:r w:rsidR="00B54BC7" w:rsidRPr="006922F5">
        <w:rPr>
          <w:rFonts w:eastAsia="Palatino Linotype" w:cs="Palatino Linotype"/>
          <w:color w:val="000000"/>
          <w:szCs w:val="24"/>
        </w:rPr>
        <w:t xml:space="preserve">, </w:t>
      </w:r>
      <w:r w:rsidR="00771E23">
        <w:rPr>
          <w:rFonts w:eastAsia="Palatino Linotype" w:cs="Palatino Linotype"/>
          <w:color w:val="000000"/>
          <w:szCs w:val="24"/>
        </w:rPr>
        <w:t>el</w:t>
      </w:r>
      <w:r w:rsidR="00A970D5" w:rsidRPr="006922F5">
        <w:rPr>
          <w:rFonts w:eastAsia="Palatino Linotype" w:cs="Palatino Linotype"/>
          <w:color w:val="000000"/>
          <w:szCs w:val="24"/>
        </w:rPr>
        <w:t xml:space="preserve"> Recurrente presentó </w:t>
      </w:r>
      <w:r w:rsidR="00597C06" w:rsidRPr="006922F5">
        <w:rPr>
          <w:rFonts w:eastAsia="Palatino Linotype" w:cs="Palatino Linotype"/>
          <w:color w:val="000000"/>
          <w:szCs w:val="24"/>
        </w:rPr>
        <w:t xml:space="preserve">solicitud de información </w:t>
      </w:r>
      <w:r w:rsidR="00597C06">
        <w:rPr>
          <w:rFonts w:eastAsia="Palatino Linotype" w:cs="Palatino Linotype"/>
          <w:color w:val="000000"/>
          <w:szCs w:val="24"/>
        </w:rPr>
        <w:t xml:space="preserve">que fue </w:t>
      </w:r>
      <w:r w:rsidR="00597C06" w:rsidRPr="006922F5">
        <w:rPr>
          <w:rFonts w:eastAsia="Palatino Linotype" w:cs="Palatino Linotype"/>
          <w:color w:val="000000"/>
          <w:szCs w:val="24"/>
        </w:rPr>
        <w:t xml:space="preserve">registrada </w:t>
      </w:r>
      <w:r w:rsidR="00597C06">
        <w:rPr>
          <w:rFonts w:eastAsia="Palatino Linotype" w:cs="Palatino Linotype"/>
          <w:color w:val="000000"/>
          <w:szCs w:val="24"/>
        </w:rPr>
        <w:t xml:space="preserve">en </w:t>
      </w:r>
      <w:r w:rsidR="00A970D5" w:rsidRPr="006922F5">
        <w:rPr>
          <w:rFonts w:eastAsia="Palatino Linotype" w:cs="Palatino Linotype"/>
          <w:color w:val="000000"/>
          <w:szCs w:val="24"/>
        </w:rPr>
        <w:t>el Sistema de Acceso a la Información Mexiquense (SAIMEX) con el número</w:t>
      </w:r>
      <w:r w:rsidR="00642669">
        <w:rPr>
          <w:rFonts w:eastAsia="Palatino Linotype" w:cs="Palatino Linotype"/>
          <w:b/>
          <w:bCs/>
          <w:color w:val="000000"/>
          <w:szCs w:val="24"/>
        </w:rPr>
        <w:t xml:space="preserve"> </w:t>
      </w:r>
      <w:r w:rsidR="002E029E">
        <w:rPr>
          <w:rFonts w:eastAsia="Palatino Linotype" w:cs="Palatino Linotype"/>
          <w:b/>
          <w:bCs/>
          <w:color w:val="000000"/>
          <w:szCs w:val="24"/>
        </w:rPr>
        <w:t>01913/TOLUCA/IP/2025</w:t>
      </w:r>
      <w:r w:rsidR="00A970D5" w:rsidRPr="006922F5">
        <w:rPr>
          <w:rFonts w:eastAsia="Palatino Linotype" w:cs="Palatino Linotype"/>
          <w:color w:val="000000"/>
          <w:szCs w:val="24"/>
        </w:rPr>
        <w:t>,</w:t>
      </w:r>
      <w:r w:rsidR="00A970D5" w:rsidRPr="006922F5">
        <w:rPr>
          <w:rFonts w:eastAsia="Palatino Linotype" w:cs="Palatino Linotype"/>
          <w:b/>
          <w:color w:val="000000"/>
          <w:szCs w:val="24"/>
        </w:rPr>
        <w:t xml:space="preserve"> </w:t>
      </w:r>
      <w:r w:rsidR="00A970D5" w:rsidRPr="006922F5">
        <w:rPr>
          <w:rFonts w:eastAsia="Palatino Linotype" w:cs="Palatino Linotype"/>
          <w:color w:val="000000"/>
          <w:szCs w:val="24"/>
        </w:rPr>
        <w:t xml:space="preserve">mediante la cual solicitó </w:t>
      </w:r>
      <w:r w:rsidR="00531CE5">
        <w:rPr>
          <w:rFonts w:eastAsia="Palatino Linotype" w:cs="Palatino Linotype"/>
          <w:color w:val="000000"/>
          <w:szCs w:val="24"/>
        </w:rPr>
        <w:t xml:space="preserve">lo </w:t>
      </w:r>
      <w:r w:rsidR="00A970D5" w:rsidRPr="006922F5">
        <w:rPr>
          <w:rFonts w:eastAsia="Palatino Linotype" w:cs="Palatino Linotype"/>
          <w:color w:val="000000"/>
          <w:szCs w:val="24"/>
        </w:rPr>
        <w:t>siguiente:</w:t>
      </w:r>
    </w:p>
    <w:p w14:paraId="68B56D82"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CD086B2" w:rsidR="00A970D5" w:rsidRPr="006922F5" w:rsidRDefault="70652167" w:rsidP="009950AD">
      <w:pPr>
        <w:pStyle w:val="Fundamentos"/>
      </w:pPr>
      <w:r w:rsidRPr="70652167">
        <w:rPr>
          <w:lang w:val="es-ES"/>
        </w:rPr>
        <w:t>«</w:t>
      </w:r>
      <w:r w:rsidR="004A7E85" w:rsidRPr="004A7E85">
        <w:rPr>
          <w:lang w:val="es-ES"/>
        </w:rPr>
        <w:t>Los expedientes completos y contratos de todos las adjudicación directas del año 2025</w:t>
      </w:r>
      <w:r w:rsidR="005B67F3" w:rsidRPr="005B67F3">
        <w:rPr>
          <w:lang w:val="es-ES"/>
        </w:rPr>
        <w:t>»</w:t>
      </w:r>
      <w:r w:rsidRPr="70652167">
        <w:rPr>
          <w:lang w:val="es-ES"/>
        </w:rPr>
        <w:t xml:space="preserve"> (Sic)</w:t>
      </w:r>
    </w:p>
    <w:p w14:paraId="40BBECCB" w14:textId="77777777" w:rsidR="00A970D5" w:rsidRPr="00875B7E"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9D0D5C" w:rsidRDefault="00A970D5" w:rsidP="006922F5">
      <w:pPr>
        <w:pBdr>
          <w:top w:val="nil"/>
          <w:left w:val="nil"/>
          <w:bottom w:val="nil"/>
          <w:right w:val="nil"/>
          <w:between w:val="nil"/>
        </w:pBdr>
        <w:contextualSpacing/>
        <w:rPr>
          <w:rFonts w:eastAsia="Palatino Linotype" w:cs="Palatino Linotype"/>
          <w:b/>
          <w:color w:val="000000"/>
          <w:szCs w:val="24"/>
        </w:rPr>
      </w:pPr>
      <w:r w:rsidRPr="006922F5">
        <w:rPr>
          <w:rFonts w:eastAsia="Palatino Linotype" w:cs="Palatino Linotype"/>
          <w:color w:val="000000"/>
          <w:szCs w:val="24"/>
        </w:rPr>
        <w:t xml:space="preserve">Modalidad de entrega: </w:t>
      </w:r>
      <w:r w:rsidR="004A6F01">
        <w:rPr>
          <w:rFonts w:eastAsia="Palatino Linotype" w:cs="Palatino Linotype"/>
          <w:b/>
          <w:color w:val="000000"/>
          <w:szCs w:val="24"/>
        </w:rPr>
        <w:t>A través del SAIMEX</w:t>
      </w:r>
    </w:p>
    <w:p w14:paraId="1063B60E" w14:textId="77777777" w:rsidR="007B7C73" w:rsidRDefault="007B7C73" w:rsidP="006922F5">
      <w:pPr>
        <w:pBdr>
          <w:top w:val="nil"/>
          <w:left w:val="nil"/>
          <w:bottom w:val="nil"/>
          <w:right w:val="nil"/>
          <w:between w:val="nil"/>
        </w:pBdr>
        <w:contextualSpacing/>
        <w:rPr>
          <w:rFonts w:eastAsia="Palatino Linotype" w:cs="Palatino Linotype"/>
          <w:color w:val="000000"/>
          <w:szCs w:val="24"/>
        </w:rPr>
      </w:pPr>
    </w:p>
    <w:p w14:paraId="1AEDC68E" w14:textId="7060D29A" w:rsidR="00A970D5" w:rsidRPr="006922F5" w:rsidRDefault="00E21393" w:rsidP="006922F5">
      <w:pPr>
        <w:pStyle w:val="Ttulo2"/>
        <w:rPr>
          <w:rFonts w:eastAsia="Palatino Linotype"/>
        </w:rPr>
      </w:pPr>
      <w:r>
        <w:rPr>
          <w:rFonts w:eastAsia="Palatino Linotype"/>
        </w:rPr>
        <w:t>SEGUNDO</w:t>
      </w:r>
      <w:r w:rsidR="00A970D5" w:rsidRPr="006922F5">
        <w:rPr>
          <w:rFonts w:eastAsia="Palatino Linotype"/>
        </w:rPr>
        <w:t>. De la respuesta del Sujeto Obligado.</w:t>
      </w:r>
    </w:p>
    <w:p w14:paraId="2EE6F294" w14:textId="1F9FC0B1"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De las constancias que obran en el expediente electrónico, se observa qu</w:t>
      </w:r>
      <w:r w:rsidR="008B2951" w:rsidRPr="006922F5">
        <w:rPr>
          <w:rFonts w:eastAsia="Palatino Linotype" w:cs="Palatino Linotype"/>
          <w:color w:val="000000"/>
          <w:szCs w:val="24"/>
        </w:rPr>
        <w:t>e el día</w:t>
      </w:r>
      <w:r w:rsidR="004A3367">
        <w:rPr>
          <w:rFonts w:eastAsia="Palatino Linotype" w:cs="Palatino Linotype"/>
          <w:color w:val="000000"/>
          <w:szCs w:val="24"/>
        </w:rPr>
        <w:t xml:space="preserve"> </w:t>
      </w:r>
      <w:r w:rsidR="00CA46A8">
        <w:rPr>
          <w:rFonts w:eastAsia="Palatino Linotype" w:cs="Palatino Linotype"/>
          <w:color w:val="000000"/>
          <w:szCs w:val="24"/>
        </w:rPr>
        <w:t>veinti</w:t>
      </w:r>
      <w:r w:rsidR="004A7E85">
        <w:rPr>
          <w:rFonts w:eastAsia="Palatino Linotype" w:cs="Palatino Linotype"/>
          <w:color w:val="000000"/>
          <w:szCs w:val="24"/>
        </w:rPr>
        <w:t>och</w:t>
      </w:r>
      <w:r w:rsidR="00CA46A8">
        <w:rPr>
          <w:rFonts w:eastAsia="Palatino Linotype" w:cs="Palatino Linotype"/>
          <w:color w:val="000000"/>
          <w:szCs w:val="24"/>
        </w:rPr>
        <w:t>o</w:t>
      </w:r>
      <w:r w:rsidR="00682EE2">
        <w:rPr>
          <w:rFonts w:eastAsia="Palatino Linotype" w:cs="Palatino Linotype"/>
          <w:color w:val="000000"/>
          <w:szCs w:val="24"/>
        </w:rPr>
        <w:t xml:space="preserve"> de abril</w:t>
      </w:r>
      <w:r w:rsidR="004A5EE6">
        <w:rPr>
          <w:rFonts w:eastAsia="Palatino Linotype" w:cs="Palatino Linotype"/>
          <w:color w:val="000000"/>
          <w:szCs w:val="24"/>
        </w:rPr>
        <w:t xml:space="preserve"> de dos mil veinticinco</w:t>
      </w:r>
      <w:r w:rsidRPr="006922F5">
        <w:rPr>
          <w:rFonts w:eastAsia="Palatino Linotype" w:cs="Palatino Linotype"/>
          <w:color w:val="000000"/>
          <w:szCs w:val="24"/>
        </w:rPr>
        <w:t>, el Sujeto Obligado dio respuest</w:t>
      </w:r>
      <w:r w:rsidR="009F4FF4" w:rsidRPr="006922F5">
        <w:rPr>
          <w:rFonts w:eastAsia="Palatino Linotype" w:cs="Palatino Linotype"/>
          <w:color w:val="000000"/>
          <w:szCs w:val="24"/>
        </w:rPr>
        <w:t>a a la solicitud de información</w:t>
      </w:r>
      <w:r w:rsidRPr="006922F5">
        <w:rPr>
          <w:rFonts w:eastAsia="Palatino Linotype" w:cs="Palatino Linotype"/>
          <w:color w:val="000000"/>
          <w:szCs w:val="24"/>
        </w:rPr>
        <w:t xml:space="preserve"> manifestando lo siguiente:</w:t>
      </w:r>
    </w:p>
    <w:p w14:paraId="6CF4EC0F" w14:textId="77777777" w:rsidR="00A970D5" w:rsidRPr="0037112D" w:rsidRDefault="00A970D5" w:rsidP="006922F5">
      <w:pPr>
        <w:pBdr>
          <w:top w:val="nil"/>
          <w:left w:val="nil"/>
          <w:bottom w:val="nil"/>
          <w:right w:val="nil"/>
          <w:between w:val="nil"/>
        </w:pBdr>
        <w:contextualSpacing/>
        <w:rPr>
          <w:rFonts w:eastAsia="Palatino Linotype" w:cs="Palatino Linotype"/>
          <w:color w:val="000000"/>
          <w:szCs w:val="24"/>
        </w:rPr>
      </w:pPr>
    </w:p>
    <w:p w14:paraId="5AFF1852" w14:textId="77777777" w:rsidR="004A7E85" w:rsidRDefault="006F79C9" w:rsidP="004A7E85">
      <w:pPr>
        <w:pStyle w:val="Fundamentos"/>
      </w:pPr>
      <w:r w:rsidRPr="23740614">
        <w:rPr>
          <w:lang w:val="es-ES"/>
        </w:rPr>
        <w:t>«</w:t>
      </w:r>
      <w:r w:rsidR="004A7E85">
        <w:t>En respuesta a la solicitud recibida, nos permitimos hacer de su conocimiento que con fundamento en el artículo 53, Fracciones: II, V y VI de la Ley de Transparencia y Acceso a la Información Pública del Estado de México y Municipios, le contestamos que:</w:t>
      </w:r>
    </w:p>
    <w:p w14:paraId="6F094680" w14:textId="77777777" w:rsidR="004A7E85" w:rsidRDefault="004A7E85" w:rsidP="004A7E85">
      <w:pPr>
        <w:pStyle w:val="Fundamentos"/>
      </w:pPr>
    </w:p>
    <w:p w14:paraId="0754EAB1" w14:textId="77777777" w:rsidR="004A7E85" w:rsidRDefault="004A7E85" w:rsidP="004A7E85">
      <w:pPr>
        <w:pStyle w:val="Fundamentos"/>
      </w:pPr>
      <w:r>
        <w:t>En atención a la solicitud con folio 01913/TOLUCA/IP/2025, me permito adjuntar al presente la respuesta correspondiente de la Dirección General de Administración, Instituto Municipal de la Mujer de Toluca, Sin más por el momento, reciba un saludo.</w:t>
      </w:r>
    </w:p>
    <w:p w14:paraId="51E27D4E" w14:textId="77777777" w:rsidR="004A7E85" w:rsidRDefault="004A7E85" w:rsidP="004A7E85">
      <w:pPr>
        <w:pStyle w:val="Fundamentos"/>
      </w:pPr>
    </w:p>
    <w:p w14:paraId="5FBC472A" w14:textId="77777777" w:rsidR="004A7E85" w:rsidRDefault="004A7E85" w:rsidP="004A7E85">
      <w:pPr>
        <w:pStyle w:val="Fundamentos"/>
      </w:pPr>
      <w:r>
        <w:t>ATENTAMENTE</w:t>
      </w:r>
    </w:p>
    <w:p w14:paraId="3FE4A9EF" w14:textId="5502FF4E" w:rsidR="00A970D5" w:rsidRPr="00404754" w:rsidRDefault="004A7E85" w:rsidP="004A7E85">
      <w:pPr>
        <w:pStyle w:val="Fundamentos"/>
        <w:rPr>
          <w:lang w:val="es-MX"/>
        </w:rPr>
      </w:pPr>
      <w:r>
        <w:t>Dr. Nahum Miguel Mendoza Morales</w:t>
      </w:r>
      <w:r w:rsidR="00311EF3" w:rsidRPr="00311EF3">
        <w:rPr>
          <w:lang w:val="es-ES"/>
        </w:rPr>
        <w:t>»</w:t>
      </w:r>
      <w:r w:rsidR="00A970D5" w:rsidRPr="00404754">
        <w:rPr>
          <w:lang w:val="es-MX"/>
        </w:rPr>
        <w:t xml:space="preserve"> (Sic)</w:t>
      </w:r>
    </w:p>
    <w:p w14:paraId="2EAB8352" w14:textId="3B77EF6C" w:rsidR="001107C4"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61EDE3FA" w14:textId="317F8770" w:rsidR="00F16DFC" w:rsidRDefault="00F16DFC" w:rsidP="1EB0B2FE">
      <w:pPr>
        <w:pBdr>
          <w:top w:val="nil"/>
          <w:left w:val="nil"/>
          <w:bottom w:val="nil"/>
          <w:right w:val="nil"/>
          <w:between w:val="nil"/>
        </w:pBdr>
        <w:contextualSpacing/>
        <w:rPr>
          <w:rFonts w:eastAsia="Palatino Linotype" w:cs="Palatino Linotype"/>
          <w:color w:val="000000"/>
          <w:lang w:val="es-MX"/>
        </w:rPr>
      </w:pPr>
      <w:r w:rsidRPr="1EB0B2FE">
        <w:rPr>
          <w:rFonts w:eastAsia="Palatino Linotype" w:cs="Palatino Linotype"/>
          <w:color w:val="000000" w:themeColor="text1"/>
          <w:lang w:val="es-MX"/>
        </w:rPr>
        <w:t xml:space="preserve">El Sujeto Obligado adjuntó a su respuesta </w:t>
      </w:r>
      <w:r w:rsidR="00042641" w:rsidRPr="1EB0B2FE">
        <w:rPr>
          <w:rFonts w:eastAsia="Palatino Linotype" w:cs="Palatino Linotype"/>
          <w:color w:val="000000" w:themeColor="text1"/>
          <w:lang w:val="es-MX"/>
        </w:rPr>
        <w:t xml:space="preserve">los </w:t>
      </w:r>
      <w:r w:rsidRPr="1EB0B2FE">
        <w:rPr>
          <w:rFonts w:eastAsia="Palatino Linotype" w:cs="Palatino Linotype"/>
          <w:color w:val="000000" w:themeColor="text1"/>
          <w:lang w:val="es-MX"/>
        </w:rPr>
        <w:t>documento</w:t>
      </w:r>
      <w:r w:rsidR="00042641" w:rsidRPr="1EB0B2FE">
        <w:rPr>
          <w:rFonts w:eastAsia="Palatino Linotype" w:cs="Palatino Linotype"/>
          <w:color w:val="000000" w:themeColor="text1"/>
          <w:lang w:val="es-MX"/>
        </w:rPr>
        <w:t>s</w:t>
      </w:r>
      <w:r w:rsidRPr="1EB0B2FE">
        <w:rPr>
          <w:rFonts w:eastAsia="Palatino Linotype" w:cs="Palatino Linotype"/>
          <w:color w:val="000000" w:themeColor="text1"/>
          <w:lang w:val="es-MX"/>
        </w:rPr>
        <w:t xml:space="preserve"> denominado</w:t>
      </w:r>
      <w:r w:rsidR="00042641" w:rsidRPr="1EB0B2FE">
        <w:rPr>
          <w:rFonts w:eastAsia="Palatino Linotype" w:cs="Palatino Linotype"/>
          <w:color w:val="000000" w:themeColor="text1"/>
          <w:lang w:val="es-MX"/>
        </w:rPr>
        <w:t>s</w:t>
      </w:r>
      <w:r w:rsidR="006F79C9" w:rsidRPr="1EB0B2FE">
        <w:rPr>
          <w:rFonts w:eastAsia="Palatino Linotype" w:cs="Palatino Linotype"/>
          <w:color w:val="000000" w:themeColor="text1"/>
          <w:lang w:val="es-MX"/>
        </w:rPr>
        <w:t xml:space="preserve"> </w:t>
      </w:r>
      <w:r w:rsidR="006F79C9" w:rsidRPr="1EB0B2FE">
        <w:rPr>
          <w:rFonts w:eastAsia="Palatino Linotype" w:cs="Palatino Linotype"/>
          <w:b/>
          <w:bCs/>
          <w:color w:val="000000" w:themeColor="text1"/>
          <w:lang w:val="es-MX"/>
        </w:rPr>
        <w:t>«</w:t>
      </w:r>
      <w:r w:rsidR="004A7E85" w:rsidRPr="1EB0B2FE">
        <w:rPr>
          <w:rFonts w:eastAsia="Palatino Linotype" w:cs="Palatino Linotype"/>
          <w:b/>
          <w:bCs/>
          <w:color w:val="000000" w:themeColor="text1"/>
          <w:lang w:val="es-MX"/>
        </w:rPr>
        <w:t>R. 01913. 2025.pdf</w:t>
      </w:r>
      <w:r w:rsidR="006F79C9" w:rsidRPr="1EB0B2FE">
        <w:rPr>
          <w:rFonts w:eastAsia="Palatino Linotype" w:cs="Palatino Linotype"/>
          <w:b/>
          <w:bCs/>
          <w:color w:val="000000" w:themeColor="text1"/>
          <w:lang w:val="es-MX"/>
        </w:rPr>
        <w:t>»</w:t>
      </w:r>
      <w:r w:rsidR="006F79C9" w:rsidRPr="1EB0B2FE">
        <w:rPr>
          <w:rFonts w:eastAsia="Palatino Linotype" w:cs="Palatino Linotype"/>
          <w:color w:val="000000" w:themeColor="text1"/>
          <w:lang w:val="es-MX"/>
        </w:rPr>
        <w:t xml:space="preserve"> </w:t>
      </w:r>
      <w:r w:rsidR="00042641" w:rsidRPr="1EB0B2FE">
        <w:rPr>
          <w:rFonts w:eastAsia="Palatino Linotype" w:cs="Palatino Linotype"/>
          <w:color w:val="000000" w:themeColor="text1"/>
          <w:lang w:val="es-MX"/>
        </w:rPr>
        <w:t>y</w:t>
      </w:r>
      <w:r w:rsidRPr="1EB0B2FE">
        <w:rPr>
          <w:rFonts w:eastAsia="Palatino Linotype" w:cs="Palatino Linotype"/>
          <w:color w:val="000000" w:themeColor="text1"/>
          <w:lang w:val="es-MX"/>
        </w:rPr>
        <w:t xml:space="preserve"> </w:t>
      </w:r>
      <w:r w:rsidR="00635456" w:rsidRPr="1EB0B2FE">
        <w:rPr>
          <w:rFonts w:eastAsia="Palatino Linotype" w:cs="Palatino Linotype"/>
          <w:b/>
          <w:bCs/>
          <w:color w:val="000000" w:themeColor="text1"/>
          <w:lang w:val="es-MX"/>
        </w:rPr>
        <w:t>«</w:t>
      </w:r>
      <w:r w:rsidR="004A7E85" w:rsidRPr="1EB0B2FE">
        <w:rPr>
          <w:rFonts w:eastAsia="Palatino Linotype" w:cs="Palatino Linotype"/>
          <w:b/>
          <w:bCs/>
          <w:color w:val="000000" w:themeColor="text1"/>
          <w:lang w:val="es-MX"/>
        </w:rPr>
        <w:t>Respsol 01913-2025.pdf</w:t>
      </w:r>
      <w:r w:rsidR="00635456" w:rsidRPr="1EB0B2FE">
        <w:rPr>
          <w:rFonts w:eastAsia="Palatino Linotype" w:cs="Palatino Linotype"/>
          <w:b/>
          <w:bCs/>
          <w:color w:val="000000" w:themeColor="text1"/>
          <w:lang w:val="es-MX"/>
        </w:rPr>
        <w:t>»</w:t>
      </w:r>
      <w:r w:rsidR="00635456" w:rsidRPr="1EB0B2FE">
        <w:rPr>
          <w:rFonts w:eastAsia="Palatino Linotype" w:cs="Palatino Linotype"/>
          <w:color w:val="000000" w:themeColor="text1"/>
          <w:lang w:val="es-MX"/>
        </w:rPr>
        <w:t>,</w:t>
      </w:r>
      <w:r w:rsidR="00334474" w:rsidRPr="1EB0B2FE">
        <w:rPr>
          <w:rFonts w:eastAsia="Palatino Linotype" w:cs="Palatino Linotype"/>
          <w:color w:val="000000" w:themeColor="text1"/>
          <w:lang w:val="es-MX"/>
        </w:rPr>
        <w:t xml:space="preserve"> </w:t>
      </w:r>
      <w:r w:rsidR="00635456" w:rsidRPr="1EB0B2FE">
        <w:rPr>
          <w:rFonts w:eastAsia="Palatino Linotype" w:cs="Palatino Linotype"/>
          <w:color w:val="000000" w:themeColor="text1"/>
          <w:lang w:val="es-MX"/>
        </w:rPr>
        <w:t>cuyo contenido no se reproduce por ser del conocimiento de las partes; no obstante, será objeto de análisis en el estudio correspondiente.</w:t>
      </w:r>
    </w:p>
    <w:p w14:paraId="57DED6B8" w14:textId="77777777" w:rsidR="00F16DFC" w:rsidRPr="00404754" w:rsidRDefault="00F16DFC" w:rsidP="006922F5">
      <w:pPr>
        <w:pBdr>
          <w:top w:val="nil"/>
          <w:left w:val="nil"/>
          <w:bottom w:val="nil"/>
          <w:right w:val="nil"/>
          <w:between w:val="nil"/>
        </w:pBdr>
        <w:contextualSpacing/>
        <w:rPr>
          <w:rFonts w:eastAsia="Palatino Linotype" w:cs="Palatino Linotype"/>
          <w:color w:val="000000"/>
          <w:szCs w:val="24"/>
          <w:lang w:val="es-MX"/>
        </w:rPr>
      </w:pPr>
    </w:p>
    <w:p w14:paraId="58FA11DD" w14:textId="3EDC5827" w:rsidR="00A970D5" w:rsidRPr="006922F5" w:rsidRDefault="00E21393" w:rsidP="006922F5">
      <w:pPr>
        <w:pStyle w:val="Ttulo2"/>
        <w:rPr>
          <w:rFonts w:eastAsia="Palatino Linotype"/>
        </w:rPr>
      </w:pPr>
      <w:r>
        <w:rPr>
          <w:rFonts w:eastAsia="Palatino Linotype"/>
        </w:rPr>
        <w:t>TERCERO</w:t>
      </w:r>
      <w:r w:rsidR="00A970D5" w:rsidRPr="006922F5">
        <w:rPr>
          <w:rFonts w:eastAsia="Palatino Linotype"/>
        </w:rPr>
        <w:t>. Del recurso de revisión.</w:t>
      </w:r>
    </w:p>
    <w:p w14:paraId="0C8C3A2F" w14:textId="734E1780" w:rsidR="00A970D5" w:rsidRPr="006922F5" w:rsidRDefault="00CA46A8" w:rsidP="006922F5">
      <w:pPr>
        <w:pBdr>
          <w:top w:val="nil"/>
          <w:left w:val="nil"/>
          <w:bottom w:val="nil"/>
          <w:right w:val="nil"/>
          <w:between w:val="nil"/>
        </w:pBdr>
        <w:contextualSpacing/>
        <w:rPr>
          <w:rFonts w:eastAsia="Palatino Linotype" w:cs="Palatino Linotype"/>
          <w:color w:val="000000"/>
          <w:szCs w:val="24"/>
        </w:rPr>
      </w:pPr>
      <w:r w:rsidRPr="009D62BC">
        <w:rPr>
          <w:rFonts w:eastAsia="Palatino Linotype" w:cs="Palatino Linotype"/>
          <w:color w:val="000000"/>
          <w:szCs w:val="24"/>
        </w:rPr>
        <w:t>Inconforme con la respuesta emitida</w:t>
      </w:r>
      <w:r>
        <w:rPr>
          <w:rFonts w:eastAsia="Palatino Linotype" w:cs="Palatino Linotype"/>
          <w:color w:val="000000"/>
          <w:szCs w:val="24"/>
        </w:rPr>
        <w:t xml:space="preserve"> por el Sujeto Obligado</w:t>
      </w:r>
      <w:r w:rsidRPr="009D62BC">
        <w:rPr>
          <w:rFonts w:eastAsia="Palatino Linotype" w:cs="Palatino Linotype"/>
          <w:color w:val="000000"/>
          <w:szCs w:val="24"/>
        </w:rPr>
        <w:t>, el Recurrente interpuso el presente recurso de re</w:t>
      </w:r>
      <w:r w:rsidR="004A7E85">
        <w:rPr>
          <w:rFonts w:eastAsia="Palatino Linotype" w:cs="Palatino Linotype"/>
          <w:color w:val="000000"/>
          <w:szCs w:val="24"/>
        </w:rPr>
        <w:t>visión el veintiuno</w:t>
      </w:r>
      <w:r>
        <w:rPr>
          <w:rFonts w:eastAsia="Palatino Linotype" w:cs="Palatino Linotype"/>
          <w:color w:val="000000"/>
          <w:szCs w:val="24"/>
        </w:rPr>
        <w:t xml:space="preserve"> de mayo de dos mil veinticinco</w:t>
      </w:r>
      <w:r w:rsidRPr="009D62BC">
        <w:rPr>
          <w:rFonts w:eastAsia="Palatino Linotype" w:cs="Palatino Linotype"/>
          <w:color w:val="000000"/>
          <w:szCs w:val="24"/>
        </w:rPr>
        <w:t xml:space="preserve">, </w:t>
      </w:r>
      <w:r w:rsidRPr="007C0374">
        <w:rPr>
          <w:rFonts w:eastAsia="Palatino Linotype" w:cs="Palatino Linotype"/>
          <w:color w:val="000000"/>
          <w:szCs w:val="24"/>
        </w:rPr>
        <w:t>el cual se registró en el SAIMEX</w:t>
      </w:r>
      <w:r w:rsidRPr="009D62BC">
        <w:rPr>
          <w:rFonts w:eastAsia="Palatino Linotype" w:cs="Palatino Linotype"/>
          <w:color w:val="000000"/>
          <w:szCs w:val="24"/>
        </w:rPr>
        <w:t xml:space="preserve"> con el expediente </w:t>
      </w:r>
      <w:r w:rsidR="0090115A" w:rsidRPr="0090115A">
        <w:rPr>
          <w:rFonts w:eastAsia="Palatino Linotype" w:cs="Palatino Linotype"/>
          <w:color w:val="000000"/>
          <w:szCs w:val="24"/>
        </w:rPr>
        <w:t>con el expediente número</w:t>
      </w:r>
      <w:r w:rsidR="00A970D5" w:rsidRPr="006922F5">
        <w:rPr>
          <w:rFonts w:eastAsia="Palatino Linotype" w:cs="Palatino Linotype"/>
          <w:color w:val="000000"/>
          <w:szCs w:val="24"/>
        </w:rPr>
        <w:t xml:space="preserve"> </w:t>
      </w:r>
      <w:r w:rsidR="002E029E">
        <w:rPr>
          <w:rFonts w:eastAsia="Palatino Linotype" w:cs="Palatino Linotype"/>
          <w:b/>
          <w:color w:val="000000"/>
          <w:szCs w:val="24"/>
        </w:rPr>
        <w:t>05755/INFOEM/IP/RR/2025</w:t>
      </w:r>
      <w:r w:rsidR="00A06896" w:rsidRPr="006922F5">
        <w:rPr>
          <w:rFonts w:eastAsia="Palatino Linotype" w:cs="Palatino Linotype"/>
          <w:color w:val="000000"/>
          <w:szCs w:val="24"/>
        </w:rPr>
        <w:t xml:space="preserve">, </w:t>
      </w:r>
      <w:r w:rsidR="0090115A">
        <w:rPr>
          <w:rFonts w:eastAsia="Palatino Linotype" w:cs="Palatino Linotype"/>
          <w:color w:val="000000"/>
          <w:szCs w:val="24"/>
        </w:rPr>
        <w:t>en el que manifestó</w:t>
      </w:r>
      <w:r w:rsidR="00A970D5" w:rsidRPr="006922F5">
        <w:rPr>
          <w:rFonts w:eastAsia="Palatino Linotype" w:cs="Palatino Linotype"/>
          <w:color w:val="000000"/>
          <w:szCs w:val="24"/>
        </w:rPr>
        <w:t xml:space="preserve"> lo siguiente:</w:t>
      </w:r>
    </w:p>
    <w:p w14:paraId="7AA0C9F4" w14:textId="046134A0" w:rsidR="00A970D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6922F5" w:rsidRDefault="00A970D5" w:rsidP="006922F5">
      <w:pPr>
        <w:contextualSpacing/>
        <w:rPr>
          <w:rFonts w:eastAsia="Palatino Linotype" w:cs="Palatino Linotype"/>
          <w:b/>
        </w:rPr>
      </w:pPr>
      <w:r w:rsidRPr="006922F5">
        <w:rPr>
          <w:rFonts w:eastAsia="Palatino Linotype" w:cs="Palatino Linotype"/>
          <w:b/>
        </w:rPr>
        <w:t>Acto Impugnado:</w:t>
      </w:r>
      <w:r w:rsidR="00655007" w:rsidRPr="006922F5">
        <w:rPr>
          <w:rFonts w:eastAsia="Palatino Linotype" w:cs="Palatino Linotype"/>
          <w:b/>
        </w:rPr>
        <w:t xml:space="preserve"> </w:t>
      </w:r>
    </w:p>
    <w:p w14:paraId="4A0EFE5A" w14:textId="181F343F" w:rsidR="00A970D5" w:rsidRPr="006922F5" w:rsidRDefault="005B67F3" w:rsidP="5C35490E">
      <w:pPr>
        <w:pStyle w:val="Fundamentos"/>
        <w:rPr>
          <w:b/>
          <w:bCs/>
          <w:lang w:val="es-ES"/>
        </w:rPr>
      </w:pPr>
      <w:r w:rsidRPr="5C35490E">
        <w:rPr>
          <w:lang w:val="es-ES"/>
        </w:rPr>
        <w:t>«</w:t>
      </w:r>
      <w:r w:rsidR="004A7E85" w:rsidRPr="004A7E85">
        <w:t>Negativa de la información incompleta</w:t>
      </w:r>
      <w:r w:rsidR="5C35490E" w:rsidRPr="5C35490E">
        <w:rPr>
          <w:lang w:val="es-ES"/>
        </w:rPr>
        <w:t>» (Sic)</w:t>
      </w:r>
    </w:p>
    <w:p w14:paraId="3C40A441" w14:textId="0B2599C4" w:rsidR="00A970D5" w:rsidRDefault="00A970D5" w:rsidP="00FA1919">
      <w:pPr>
        <w:tabs>
          <w:tab w:val="left" w:pos="2515"/>
        </w:tabs>
        <w:contextualSpacing/>
        <w:rPr>
          <w:rFonts w:eastAsia="Palatino Linotype" w:cs="Palatino Linotype"/>
          <w:iCs/>
          <w:szCs w:val="24"/>
          <w:lang w:val="es-ES"/>
        </w:rPr>
      </w:pPr>
    </w:p>
    <w:p w14:paraId="0F6CFE30" w14:textId="719FCACE" w:rsidR="00300EA0" w:rsidRPr="006922F5" w:rsidRDefault="002B6B0F" w:rsidP="00300EA0">
      <w:pPr>
        <w:contextualSpacing/>
        <w:rPr>
          <w:rFonts w:eastAsia="Palatino Linotype" w:cs="Palatino Linotype"/>
          <w:b/>
        </w:rPr>
      </w:pPr>
      <w:r>
        <w:rPr>
          <w:rFonts w:eastAsia="Palatino Linotype" w:cs="Palatino Linotype"/>
          <w:b/>
        </w:rPr>
        <w:t>Razones o motivos de inconformidad</w:t>
      </w:r>
      <w:r w:rsidR="00300EA0" w:rsidRPr="006922F5">
        <w:rPr>
          <w:rFonts w:eastAsia="Palatino Linotype" w:cs="Palatino Linotype"/>
          <w:b/>
        </w:rPr>
        <w:t xml:space="preserve">: </w:t>
      </w:r>
    </w:p>
    <w:p w14:paraId="636038ED" w14:textId="104DC62C" w:rsidR="00300EA0" w:rsidRPr="006922F5" w:rsidRDefault="00300EA0" w:rsidP="00300EA0">
      <w:pPr>
        <w:pStyle w:val="Fundamentos"/>
        <w:rPr>
          <w:b/>
          <w:bCs/>
          <w:lang w:val="es-ES"/>
        </w:rPr>
      </w:pPr>
      <w:r w:rsidRPr="5C35490E">
        <w:rPr>
          <w:lang w:val="es-ES"/>
        </w:rPr>
        <w:t>«</w:t>
      </w:r>
      <w:r w:rsidR="004A7E85" w:rsidRPr="004A7E85">
        <w:rPr>
          <w:lang w:val="es-ES"/>
        </w:rPr>
        <w:t>Negativa de la información incompleta</w:t>
      </w:r>
      <w:r w:rsidR="005B67F3" w:rsidRPr="005B67F3">
        <w:rPr>
          <w:lang w:val="es-ES"/>
        </w:rPr>
        <w:t>»</w:t>
      </w:r>
      <w:r w:rsidRPr="5C35490E">
        <w:rPr>
          <w:lang w:val="es-ES"/>
        </w:rPr>
        <w:t xml:space="preserve"> (Sic)</w:t>
      </w:r>
    </w:p>
    <w:p w14:paraId="0A3CE1C1" w14:textId="77777777" w:rsidR="00390EBF" w:rsidRDefault="00390EBF" w:rsidP="006922F5">
      <w:pPr>
        <w:contextualSpacing/>
        <w:rPr>
          <w:rFonts w:eastAsia="Palatino Linotype" w:cs="Palatino Linotype"/>
          <w:iCs/>
          <w:szCs w:val="24"/>
          <w:lang w:val="es-ES"/>
        </w:rPr>
      </w:pPr>
    </w:p>
    <w:p w14:paraId="11D7F189" w14:textId="263FD592" w:rsidR="00A970D5" w:rsidRPr="006922F5" w:rsidRDefault="00E21393" w:rsidP="006922F5">
      <w:pPr>
        <w:pStyle w:val="Ttulo2"/>
        <w:rPr>
          <w:rFonts w:eastAsia="Palatino Linotype"/>
        </w:rPr>
      </w:pPr>
      <w:r>
        <w:rPr>
          <w:rFonts w:eastAsia="Palatino Linotype"/>
        </w:rPr>
        <w:t>CUAR</w:t>
      </w:r>
      <w:r w:rsidR="007A1154">
        <w:rPr>
          <w:rFonts w:eastAsia="Palatino Linotype"/>
        </w:rPr>
        <w:t>TO</w:t>
      </w:r>
      <w:r w:rsidR="00A970D5" w:rsidRPr="006922F5">
        <w:rPr>
          <w:rFonts w:eastAsia="Palatino Linotype"/>
        </w:rPr>
        <w:t>. Del turno y admisión del recurso de revisión.</w:t>
      </w:r>
    </w:p>
    <w:p w14:paraId="2459DEBA" w14:textId="07EFA93A" w:rsidR="00A970D5" w:rsidRPr="006922F5" w:rsidRDefault="70652167" w:rsidP="70652167">
      <w:pPr>
        <w:pBdr>
          <w:top w:val="nil"/>
          <w:left w:val="nil"/>
          <w:bottom w:val="nil"/>
          <w:right w:val="nil"/>
          <w:between w:val="nil"/>
        </w:pBdr>
        <w:contextualSpacing/>
        <w:rPr>
          <w:rFonts w:eastAsia="Palatino Linotype" w:cs="Palatino Linotype"/>
          <w:color w:val="000000"/>
          <w:lang w:val="es-ES"/>
        </w:rPr>
      </w:pPr>
      <w:r w:rsidRPr="70652167">
        <w:rPr>
          <w:rFonts w:eastAsia="Palatino Linotype" w:cs="Palatino Linotype"/>
          <w:color w:val="000000" w:themeColor="text1"/>
          <w:lang w:val="es-ES"/>
        </w:rPr>
        <w:t xml:space="preserve">Medio de impugnación que le fue turnado al </w:t>
      </w:r>
      <w:r w:rsidRPr="70652167">
        <w:rPr>
          <w:rFonts w:eastAsia="Palatino Linotype" w:cs="Palatino Linotype"/>
          <w:b/>
          <w:bCs/>
          <w:color w:val="000000" w:themeColor="text1"/>
          <w:lang w:val="es-ES"/>
        </w:rPr>
        <w:t>Comisionado Presidente José Martínez Vilchis</w:t>
      </w:r>
      <w:r w:rsidRPr="70652167">
        <w:rPr>
          <w:rFonts w:eastAsia="Palatino Linotype" w:cs="Palatino Linotype"/>
          <w:color w:val="000000" w:themeColor="text1"/>
          <w:lang w:val="es-ES"/>
        </w:rPr>
        <w:t>, por medio del sistema electrónico en términos del numeral 185 fracción I de la Ley de Transparencia y Acceso a la información Pública del Estado de México y Municipios, al cual recayó acuerdo de</w:t>
      </w:r>
      <w:r w:rsidR="00FB3D5B">
        <w:rPr>
          <w:rFonts w:eastAsia="Palatino Linotype" w:cs="Palatino Linotype"/>
          <w:color w:val="000000" w:themeColor="text1"/>
          <w:lang w:val="es-ES"/>
        </w:rPr>
        <w:t xml:space="preserve"> admisión de fecha </w:t>
      </w:r>
      <w:r w:rsidR="004A7E85">
        <w:rPr>
          <w:rFonts w:eastAsia="Palatino Linotype" w:cs="Palatino Linotype"/>
          <w:color w:val="000000" w:themeColor="text1"/>
          <w:lang w:val="es-ES"/>
        </w:rPr>
        <w:t>veintiséis</w:t>
      </w:r>
      <w:r w:rsidR="00BB2978">
        <w:rPr>
          <w:rFonts w:eastAsia="Palatino Linotype" w:cs="Palatino Linotype"/>
          <w:color w:val="000000" w:themeColor="text1"/>
          <w:lang w:val="es-ES"/>
        </w:rPr>
        <w:t xml:space="preserve"> de mayo</w:t>
      </w:r>
      <w:r w:rsidR="00774AC3">
        <w:rPr>
          <w:rFonts w:eastAsia="Palatino Linotype" w:cs="Palatino Linotype"/>
          <w:color w:val="000000" w:themeColor="text1"/>
          <w:lang w:val="es-ES"/>
        </w:rPr>
        <w:t xml:space="preserve"> de dos mil veinticinco</w:t>
      </w:r>
      <w:r w:rsidRPr="70652167">
        <w:rPr>
          <w:rFonts w:eastAsia="Palatino Linotype" w:cs="Palatino Linotype"/>
          <w:color w:val="000000" w:themeColor="text1"/>
          <w:lang w:val="es-ES"/>
        </w:rPr>
        <w:t xml:space="preserve">, </w:t>
      </w:r>
      <w:r w:rsidRPr="70652167">
        <w:rPr>
          <w:rFonts w:eastAsia="Palatino Linotype" w:cs="Palatino Linotype"/>
          <w:lang w:val="es-ES"/>
        </w:rPr>
        <w:t>otorgándose</w:t>
      </w:r>
      <w:r w:rsidRPr="70652167">
        <w:rPr>
          <w:rFonts w:eastAsia="Palatino Linotype" w:cs="Palatino Linotype"/>
          <w:color w:val="000000" w:themeColor="text1"/>
          <w:lang w:val="es-ES"/>
        </w:rPr>
        <w:t xml:space="preserve"> en él un plazo de siete días para que las partes manifestaran lo que a su derecho corresponda en términos del numeral ya citado.</w:t>
      </w:r>
    </w:p>
    <w:p w14:paraId="26C243C3" w14:textId="77777777" w:rsidR="00A970D5" w:rsidRPr="00FC2173" w:rsidRDefault="00A970D5" w:rsidP="006922F5">
      <w:pPr>
        <w:pBdr>
          <w:top w:val="nil"/>
          <w:left w:val="nil"/>
          <w:bottom w:val="nil"/>
          <w:right w:val="nil"/>
          <w:between w:val="nil"/>
        </w:pBdr>
        <w:contextualSpacing/>
        <w:rPr>
          <w:rFonts w:eastAsia="Palatino Linotype" w:cs="Palatino Linotype"/>
          <w:color w:val="000000"/>
          <w:sz w:val="22"/>
        </w:rPr>
      </w:pPr>
    </w:p>
    <w:p w14:paraId="05AE608B" w14:textId="6A01473D" w:rsidR="00A970D5" w:rsidRPr="004941FA" w:rsidRDefault="00E21393" w:rsidP="006922F5">
      <w:pPr>
        <w:pStyle w:val="Ttulo2"/>
        <w:rPr>
          <w:rFonts w:eastAsia="Palatino Linotype"/>
        </w:rPr>
      </w:pPr>
      <w:r>
        <w:rPr>
          <w:rFonts w:eastAsia="Palatino Linotype"/>
        </w:rPr>
        <w:t>QUINT</w:t>
      </w:r>
      <w:r w:rsidR="007D2A1A">
        <w:rPr>
          <w:rFonts w:eastAsia="Palatino Linotype"/>
        </w:rPr>
        <w:t>O</w:t>
      </w:r>
      <w:r w:rsidR="00A970D5" w:rsidRPr="004941FA">
        <w:rPr>
          <w:rFonts w:eastAsia="Palatino Linotype"/>
        </w:rPr>
        <w:t>. De la etapa de instrucción.</w:t>
      </w:r>
    </w:p>
    <w:p w14:paraId="7F41601E" w14:textId="4BCDBDF8" w:rsidR="00732A2C" w:rsidRDefault="00732A2C" w:rsidP="00732A2C">
      <w:p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Durante</w:t>
      </w:r>
      <w:r w:rsidRPr="00875A72">
        <w:rPr>
          <w:rFonts w:eastAsia="Palatino Linotype" w:cs="Palatino Linotype"/>
          <w:color w:val="000000"/>
          <w:szCs w:val="24"/>
        </w:rPr>
        <w:t xml:space="preserve"> la etapa de instrucción, se observa qu</w:t>
      </w:r>
      <w:r>
        <w:rPr>
          <w:rFonts w:eastAsia="Palatino Linotype" w:cs="Palatino Linotype"/>
          <w:color w:val="000000"/>
          <w:szCs w:val="24"/>
        </w:rPr>
        <w:t xml:space="preserve">e el </w:t>
      </w:r>
      <w:r w:rsidR="004A7E85">
        <w:rPr>
          <w:rFonts w:eastAsia="Palatino Linotype" w:cs="Palatino Linotype"/>
          <w:color w:val="000000"/>
          <w:szCs w:val="24"/>
        </w:rPr>
        <w:t xml:space="preserve">cuatro de junio </w:t>
      </w:r>
      <w:r>
        <w:rPr>
          <w:rFonts w:eastAsia="Palatino Linotype" w:cs="Palatino Linotype"/>
          <w:color w:val="000000"/>
          <w:szCs w:val="24"/>
        </w:rPr>
        <w:t>de dos mil veinticinco</w:t>
      </w:r>
      <w:r w:rsidRPr="00875A72">
        <w:rPr>
          <w:rFonts w:eastAsia="Palatino Linotype" w:cs="Palatino Linotype"/>
          <w:color w:val="000000"/>
          <w:szCs w:val="24"/>
        </w:rPr>
        <w:t>, el Sujeto Obligado rindió su Informe Justificado mediante la presentación d</w:t>
      </w:r>
      <w:r w:rsidR="00E271CE">
        <w:rPr>
          <w:rFonts w:eastAsia="Palatino Linotype" w:cs="Palatino Linotype"/>
          <w:color w:val="000000"/>
          <w:szCs w:val="24"/>
        </w:rPr>
        <w:t>e</w:t>
      </w:r>
      <w:r w:rsidR="00B672CD">
        <w:rPr>
          <w:rFonts w:eastAsia="Palatino Linotype" w:cs="Palatino Linotype"/>
          <w:color w:val="000000"/>
          <w:szCs w:val="24"/>
        </w:rPr>
        <w:t xml:space="preserve"> los </w:t>
      </w:r>
      <w:r w:rsidRPr="00875A72">
        <w:rPr>
          <w:rFonts w:eastAsia="Palatino Linotype" w:cs="Palatino Linotype"/>
          <w:color w:val="000000"/>
          <w:szCs w:val="24"/>
        </w:rPr>
        <w:t>documento</w:t>
      </w:r>
      <w:r w:rsidR="00B672CD">
        <w:rPr>
          <w:rFonts w:eastAsia="Palatino Linotype" w:cs="Palatino Linotype"/>
          <w:color w:val="000000"/>
          <w:szCs w:val="24"/>
        </w:rPr>
        <w:t>s</w:t>
      </w:r>
      <w:r w:rsidRPr="00875A72">
        <w:rPr>
          <w:rFonts w:eastAsia="Palatino Linotype" w:cs="Palatino Linotype"/>
          <w:color w:val="000000"/>
          <w:szCs w:val="24"/>
        </w:rPr>
        <w:t xml:space="preserve"> denominado</w:t>
      </w:r>
      <w:r w:rsidR="00B672CD">
        <w:rPr>
          <w:rFonts w:eastAsia="Palatino Linotype" w:cs="Palatino Linotype"/>
          <w:color w:val="000000"/>
          <w:szCs w:val="24"/>
        </w:rPr>
        <w:t>s</w:t>
      </w:r>
      <w:r w:rsidR="00510E03">
        <w:rPr>
          <w:rFonts w:eastAsia="Palatino Linotype" w:cs="Palatino Linotype"/>
          <w:color w:val="000000"/>
          <w:szCs w:val="24"/>
        </w:rPr>
        <w:t xml:space="preserve"> </w:t>
      </w:r>
      <w:r w:rsidR="00CA46A8">
        <w:rPr>
          <w:rFonts w:eastAsia="Palatino Linotype" w:cs="Palatino Linotype"/>
          <w:b/>
          <w:color w:val="000000"/>
          <w:szCs w:val="24"/>
        </w:rPr>
        <w:t>«</w:t>
      </w:r>
      <w:r w:rsidR="004A7E85" w:rsidRPr="004A7E85">
        <w:rPr>
          <w:rFonts w:eastAsia="Palatino Linotype" w:cs="Palatino Linotype"/>
          <w:b/>
          <w:color w:val="000000"/>
          <w:szCs w:val="24"/>
        </w:rPr>
        <w:t>2. Ratificación RR-5755-2025.pdf</w:t>
      </w:r>
      <w:r w:rsidR="00CA46A8">
        <w:rPr>
          <w:rFonts w:eastAsia="Palatino Linotype" w:cs="Palatino Linotype"/>
          <w:b/>
          <w:color w:val="000000"/>
          <w:szCs w:val="24"/>
        </w:rPr>
        <w:t>»</w:t>
      </w:r>
      <w:r w:rsidR="00CA46A8">
        <w:rPr>
          <w:rFonts w:eastAsia="Palatino Linotype" w:cs="Palatino Linotype"/>
          <w:color w:val="000000"/>
          <w:szCs w:val="24"/>
        </w:rPr>
        <w:t xml:space="preserve"> y </w:t>
      </w:r>
      <w:r w:rsidR="005B67F3">
        <w:rPr>
          <w:rFonts w:eastAsia="Palatino Linotype" w:cs="Palatino Linotype"/>
          <w:b/>
          <w:color w:val="000000"/>
          <w:szCs w:val="24"/>
        </w:rPr>
        <w:t>«</w:t>
      </w:r>
      <w:r w:rsidR="004A7E85" w:rsidRPr="004A7E85">
        <w:rPr>
          <w:rFonts w:eastAsia="Palatino Linotype" w:cs="Palatino Linotype"/>
          <w:b/>
          <w:color w:val="000000"/>
          <w:szCs w:val="24"/>
        </w:rPr>
        <w:t>ANEXO RR 5755.pdf</w:t>
      </w:r>
      <w:r w:rsidR="003E70A0">
        <w:rPr>
          <w:rFonts w:eastAsia="Palatino Linotype" w:cs="Palatino Linotype"/>
          <w:b/>
          <w:color w:val="000000"/>
          <w:szCs w:val="24"/>
        </w:rPr>
        <w:t>»</w:t>
      </w:r>
      <w:r w:rsidR="003E70A0">
        <w:rPr>
          <w:rFonts w:eastAsia="Palatino Linotype" w:cs="Palatino Linotype"/>
          <w:color w:val="000000"/>
          <w:szCs w:val="24"/>
        </w:rPr>
        <w:t>, documentación que fue puesta</w:t>
      </w:r>
      <w:r w:rsidRPr="00875A72">
        <w:rPr>
          <w:rFonts w:eastAsia="Palatino Linotype" w:cs="Palatino Linotype"/>
          <w:color w:val="000000"/>
          <w:szCs w:val="24"/>
        </w:rPr>
        <w:t xml:space="preserve"> a la vista de</w:t>
      </w:r>
      <w:r>
        <w:rPr>
          <w:rFonts w:eastAsia="Palatino Linotype" w:cs="Palatino Linotype"/>
          <w:color w:val="000000"/>
          <w:szCs w:val="24"/>
        </w:rPr>
        <w:t>l</w:t>
      </w:r>
      <w:r w:rsidRPr="00875A72">
        <w:rPr>
          <w:rFonts w:eastAsia="Palatino Linotype" w:cs="Palatino Linotype"/>
          <w:color w:val="000000"/>
          <w:szCs w:val="24"/>
        </w:rPr>
        <w:t xml:space="preserve"> Recurrente mediante acuerdo de fecha </w:t>
      </w:r>
      <w:r w:rsidR="004A7E85">
        <w:rPr>
          <w:rFonts w:eastAsia="Palatino Linotype" w:cs="Palatino Linotype"/>
          <w:color w:val="000000"/>
          <w:szCs w:val="24"/>
        </w:rPr>
        <w:t>cinco de junio</w:t>
      </w:r>
      <w:r>
        <w:rPr>
          <w:rFonts w:eastAsia="Palatino Linotype" w:cs="Palatino Linotype"/>
          <w:color w:val="000000"/>
          <w:szCs w:val="24"/>
        </w:rPr>
        <w:t xml:space="preserve"> </w:t>
      </w:r>
      <w:r w:rsidRPr="00875A72">
        <w:rPr>
          <w:rFonts w:eastAsia="Palatino Linotype" w:cs="Palatino Linotype"/>
          <w:color w:val="000000"/>
          <w:szCs w:val="24"/>
        </w:rPr>
        <w:t>del año en curso, en términos de la fracción III del artículo 185 de la Ley de Transparencia</w:t>
      </w:r>
      <w:r w:rsidR="000336D2">
        <w:rPr>
          <w:rFonts w:eastAsia="Palatino Linotype" w:cs="Palatino Linotype"/>
          <w:color w:val="000000"/>
          <w:szCs w:val="24"/>
        </w:rPr>
        <w:t xml:space="preserve"> estatal</w:t>
      </w:r>
      <w:r w:rsidRPr="00875A72">
        <w:rPr>
          <w:rFonts w:eastAsia="Palatino Linotype" w:cs="Palatino Linotype"/>
          <w:color w:val="000000"/>
          <w:szCs w:val="24"/>
        </w:rPr>
        <w:t xml:space="preserve">, otorgando al solicitante un término de tres días para manifestar lo que a su derecho conviniera. Por su parte, </w:t>
      </w:r>
      <w:r>
        <w:rPr>
          <w:rFonts w:eastAsia="Palatino Linotype" w:cs="Palatino Linotype"/>
          <w:color w:val="000000"/>
          <w:szCs w:val="24"/>
        </w:rPr>
        <w:t>el Recurrente no realizó manifestaciones, vertió alegatos ni presentó pruebas que a su derecho conviniera, así como tampoco se pronunció respecto del Informe Justificado. El contenido de la documentación referida será motivo de análisis en el estudio correspondiente.</w:t>
      </w:r>
    </w:p>
    <w:p w14:paraId="5B536618" w14:textId="7ED50870" w:rsidR="00C02596" w:rsidRPr="00FC2173" w:rsidRDefault="00C02596" w:rsidP="006922F5">
      <w:pPr>
        <w:pBdr>
          <w:top w:val="nil"/>
          <w:left w:val="nil"/>
          <w:bottom w:val="nil"/>
          <w:right w:val="nil"/>
          <w:between w:val="nil"/>
        </w:pBdr>
        <w:contextualSpacing/>
        <w:rPr>
          <w:rFonts w:eastAsia="Palatino Linotype" w:cs="Palatino Linotype"/>
          <w:color w:val="000000"/>
          <w:sz w:val="22"/>
        </w:rPr>
      </w:pPr>
    </w:p>
    <w:p w14:paraId="65310342" w14:textId="7E73B87D" w:rsidR="00A970D5" w:rsidRPr="006922F5" w:rsidRDefault="007A1154" w:rsidP="006922F5">
      <w:pPr>
        <w:pStyle w:val="Ttulo2"/>
        <w:rPr>
          <w:rFonts w:eastAsia="Palatino Linotype"/>
        </w:rPr>
      </w:pPr>
      <w:r>
        <w:rPr>
          <w:rFonts w:eastAsia="Palatino Linotype"/>
        </w:rPr>
        <w:t>S</w:t>
      </w:r>
      <w:r w:rsidR="00E21393">
        <w:rPr>
          <w:rFonts w:eastAsia="Palatino Linotype"/>
        </w:rPr>
        <w:t>EXTO</w:t>
      </w:r>
      <w:r w:rsidR="00A970D5" w:rsidRPr="006922F5">
        <w:rPr>
          <w:rFonts w:eastAsia="Palatino Linotype"/>
        </w:rPr>
        <w:t>. Del cierre de instrucción.</w:t>
      </w:r>
    </w:p>
    <w:p w14:paraId="2456F4BD" w14:textId="76761D04" w:rsidR="00A970D5" w:rsidRDefault="00A970D5" w:rsidP="006922F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Así, una vez transcurrido el término legal, se decretó el cierre de instru</w:t>
      </w:r>
      <w:r w:rsidR="00AE6B11" w:rsidRPr="006922F5">
        <w:rPr>
          <w:rFonts w:eastAsia="Palatino Linotype" w:cs="Palatino Linotype"/>
          <w:color w:val="000000"/>
          <w:szCs w:val="24"/>
        </w:rPr>
        <w:t>cción</w:t>
      </w:r>
      <w:r w:rsidR="007826F1">
        <w:rPr>
          <w:rFonts w:eastAsia="Palatino Linotype" w:cs="Palatino Linotype"/>
          <w:color w:val="000000"/>
          <w:szCs w:val="24"/>
        </w:rPr>
        <w:t xml:space="preserve"> el</w:t>
      </w:r>
      <w:r w:rsidR="00B53BEF">
        <w:rPr>
          <w:rFonts w:eastAsia="Palatino Linotype" w:cs="Palatino Linotype"/>
          <w:color w:val="000000"/>
          <w:szCs w:val="24"/>
        </w:rPr>
        <w:t xml:space="preserve"> </w:t>
      </w:r>
      <w:r w:rsidR="004A7E85">
        <w:rPr>
          <w:rFonts w:eastAsia="Palatino Linotype" w:cs="Palatino Linotype"/>
          <w:color w:val="000000"/>
          <w:szCs w:val="24"/>
        </w:rPr>
        <w:t>doce</w:t>
      </w:r>
      <w:r w:rsidR="00682EA1">
        <w:rPr>
          <w:rFonts w:eastAsia="Palatino Linotype" w:cs="Palatino Linotype"/>
          <w:color w:val="000000"/>
          <w:szCs w:val="24"/>
        </w:rPr>
        <w:t xml:space="preserve"> de junio</w:t>
      </w:r>
      <w:r w:rsidR="001F3363">
        <w:rPr>
          <w:rFonts w:eastAsia="Palatino Linotype" w:cs="Palatino Linotype"/>
          <w:color w:val="000000"/>
          <w:szCs w:val="24"/>
        </w:rPr>
        <w:t xml:space="preserve"> de dos mil veinticinco</w:t>
      </w:r>
      <w:r w:rsidRPr="006922F5">
        <w:rPr>
          <w:rFonts w:eastAsia="Palatino Linotype" w:cs="Palatino Linotype"/>
          <w:color w:val="000000"/>
          <w:szCs w:val="24"/>
        </w:rPr>
        <w:t xml:space="preserve">, en términos del artículo 185 </w:t>
      </w:r>
      <w:r w:rsidR="004579DC" w:rsidRPr="006922F5">
        <w:rPr>
          <w:rFonts w:eastAsia="Palatino Linotype" w:cs="Palatino Linotype"/>
          <w:color w:val="000000"/>
          <w:szCs w:val="24"/>
        </w:rPr>
        <w:t>f</w:t>
      </w:r>
      <w:r w:rsidRPr="006922F5">
        <w:rPr>
          <w:rFonts w:eastAsia="Palatino Linotype" w:cs="Palatino Linotype"/>
          <w:color w:val="000000"/>
          <w:szCs w:val="24"/>
        </w:rPr>
        <w:t xml:space="preserve">racción VI de la Ley de Transparencia </w:t>
      </w:r>
      <w:r w:rsidRPr="006922F5">
        <w:rPr>
          <w:rFonts w:eastAsia="Palatino Linotype" w:cs="Palatino Linotype"/>
          <w:color w:val="000000"/>
          <w:szCs w:val="24"/>
        </w:rPr>
        <w:lastRenderedPageBreak/>
        <w:t>y Acceso a la Información Pública del Estado de México y Municipios, iniciando el término legal para dictar resolución definitiva del asunto.</w:t>
      </w:r>
    </w:p>
    <w:p w14:paraId="65695CA8" w14:textId="77777777" w:rsidR="0085215C" w:rsidRDefault="0085215C" w:rsidP="006922F5">
      <w:pPr>
        <w:pBdr>
          <w:top w:val="nil"/>
          <w:left w:val="nil"/>
          <w:bottom w:val="nil"/>
          <w:right w:val="nil"/>
          <w:between w:val="nil"/>
        </w:pBdr>
        <w:contextualSpacing/>
        <w:rPr>
          <w:rFonts w:eastAsia="Palatino Linotype" w:cs="Palatino Linotype"/>
          <w:color w:val="000000"/>
          <w:szCs w:val="24"/>
        </w:rPr>
      </w:pPr>
    </w:p>
    <w:p w14:paraId="6C7DC0D6" w14:textId="7ED4F63F" w:rsidR="0085215C" w:rsidRPr="006054AA" w:rsidRDefault="004A7E85" w:rsidP="0085215C">
      <w:pPr>
        <w:pStyle w:val="Ttulo2"/>
        <w:rPr>
          <w:rFonts w:eastAsiaTheme="minorHAnsi"/>
          <w:lang w:eastAsia="en-US"/>
        </w:rPr>
      </w:pPr>
      <w:r>
        <w:rPr>
          <w:rFonts w:eastAsiaTheme="minorHAnsi"/>
          <w:lang w:eastAsia="en-US"/>
        </w:rPr>
        <w:t>SÉPTIMO</w:t>
      </w:r>
      <w:r w:rsidR="0085215C" w:rsidRPr="006054AA">
        <w:rPr>
          <w:rFonts w:eastAsiaTheme="minorHAnsi"/>
          <w:lang w:eastAsia="en-US"/>
        </w:rPr>
        <w:t>. De la ampliación del término para resolver.</w:t>
      </w:r>
    </w:p>
    <w:p w14:paraId="2F5BB001" w14:textId="2545493A" w:rsidR="0085215C" w:rsidRPr="00546575" w:rsidRDefault="0085215C" w:rsidP="0085215C">
      <w:pPr>
        <w:pBdr>
          <w:top w:val="nil"/>
          <w:left w:val="nil"/>
          <w:bottom w:val="nil"/>
          <w:right w:val="nil"/>
          <w:between w:val="nil"/>
        </w:pBdr>
        <w:contextualSpacing/>
        <w:rPr>
          <w:rFonts w:eastAsiaTheme="minorHAnsi" w:cstheme="minorBidi"/>
          <w:szCs w:val="24"/>
          <w:lang w:eastAsia="en-US"/>
        </w:rPr>
      </w:pPr>
      <w:r w:rsidRPr="006054AA">
        <w:rPr>
          <w:rFonts w:eastAsiaTheme="minorHAnsi" w:cstheme="minorBidi"/>
          <w:szCs w:val="24"/>
          <w:lang w:eastAsia="en-US"/>
        </w:rPr>
        <w:t xml:space="preserve">De las constancias que integran el expediente </w:t>
      </w:r>
      <w:r>
        <w:rPr>
          <w:rFonts w:eastAsiaTheme="minorHAnsi" w:cstheme="minorBidi"/>
          <w:szCs w:val="24"/>
          <w:lang w:eastAsia="en-US"/>
        </w:rPr>
        <w:t>electrónico, se advierte que ha</w:t>
      </w:r>
      <w:r w:rsidRPr="006054AA">
        <w:rPr>
          <w:rFonts w:eastAsiaTheme="minorHAnsi" w:cstheme="minorBidi"/>
          <w:szCs w:val="24"/>
          <w:lang w:eastAsia="en-US"/>
        </w:rPr>
        <w:t xml:space="preserve"> t</w:t>
      </w:r>
      <w:r>
        <w:rPr>
          <w:rFonts w:eastAsiaTheme="minorHAnsi" w:cstheme="minorBidi"/>
          <w:szCs w:val="24"/>
          <w:lang w:eastAsia="en-US"/>
        </w:rPr>
        <w:t>ranscurrido el término de Ley</w:t>
      </w:r>
      <w:r w:rsidRPr="006054AA">
        <w:rPr>
          <w:rFonts w:eastAsiaTheme="minorHAnsi" w:cstheme="minorBidi"/>
          <w:szCs w:val="24"/>
          <w:lang w:eastAsia="en-US"/>
        </w:rPr>
        <w:t xml:space="preserve"> para la emisión de la resolución en el presente recurso de revisión, por lo que el </w:t>
      </w:r>
      <w:r w:rsidR="004A7E85">
        <w:rPr>
          <w:rFonts w:eastAsiaTheme="minorHAnsi" w:cstheme="minorBidi"/>
          <w:szCs w:val="24"/>
          <w:lang w:eastAsia="en-US"/>
        </w:rPr>
        <w:t>siete</w:t>
      </w:r>
      <w:r w:rsidR="00B672CD">
        <w:rPr>
          <w:rFonts w:eastAsiaTheme="minorHAnsi" w:cstheme="minorBidi"/>
          <w:szCs w:val="24"/>
          <w:lang w:eastAsia="en-US"/>
        </w:rPr>
        <w:t xml:space="preserve"> de julio</w:t>
      </w:r>
      <w:r>
        <w:rPr>
          <w:rFonts w:eastAsiaTheme="minorHAnsi" w:cstheme="minorBidi"/>
          <w:szCs w:val="24"/>
          <w:lang w:eastAsia="en-US"/>
        </w:rPr>
        <w:t xml:space="preserve"> de dos mil veinticinco</w:t>
      </w:r>
      <w:r w:rsidRPr="006054AA">
        <w:rPr>
          <w:rFonts w:eastAsiaTheme="minorHAnsi" w:cstheme="minorBidi"/>
          <w:szCs w:val="24"/>
          <w:lang w:eastAsia="en-US"/>
        </w:rPr>
        <w:t xml:space="preserve">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4DFB677" w14:textId="77777777" w:rsidR="00EB1CF4" w:rsidRDefault="00EB1CF4" w:rsidP="006922F5">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6922F5" w:rsidRDefault="00A970D5" w:rsidP="006922F5">
      <w:pPr>
        <w:pStyle w:val="Ttulo1"/>
        <w:rPr>
          <w:rFonts w:eastAsia="Palatino Linotype"/>
          <w:lang w:val="es-ES_tradnl"/>
        </w:rPr>
      </w:pPr>
      <w:r w:rsidRPr="006922F5">
        <w:rPr>
          <w:rFonts w:eastAsia="Palatino Linotype"/>
          <w:lang w:val="es-ES_tradnl"/>
        </w:rPr>
        <w:t>C O N S I D E R A N D O</w:t>
      </w:r>
    </w:p>
    <w:p w14:paraId="32546275"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6922F5" w:rsidRDefault="00A970D5" w:rsidP="006922F5">
      <w:pPr>
        <w:pStyle w:val="Ttulo2"/>
        <w:rPr>
          <w:rFonts w:eastAsia="Palatino Linotype"/>
        </w:rPr>
      </w:pPr>
      <w:r w:rsidRPr="006922F5">
        <w:rPr>
          <w:rFonts w:eastAsia="Palatino Linotype"/>
        </w:rPr>
        <w:t>PRIMERO. De la competencia.</w:t>
      </w:r>
    </w:p>
    <w:p w14:paraId="615C5B79" w14:textId="250B5F55" w:rsidR="00E63F1C" w:rsidRDefault="00E63F1C" w:rsidP="00E63F1C">
      <w:pPr>
        <w:pBdr>
          <w:top w:val="nil"/>
          <w:left w:val="nil"/>
          <w:bottom w:val="nil"/>
          <w:right w:val="nil"/>
          <w:between w:val="nil"/>
        </w:pBdr>
        <w:contextualSpacing/>
        <w:rPr>
          <w:rFonts w:eastAsia="Palatino Linotype" w:cs="Palatino Linotype"/>
          <w:color w:val="000000"/>
          <w:szCs w:val="24"/>
        </w:rPr>
      </w:pPr>
      <w:r w:rsidRPr="0078593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w:t>
      </w:r>
      <w:r>
        <w:rPr>
          <w:rFonts w:eastAsia="Palatino Linotype" w:cs="Palatino Linotype"/>
          <w:color w:val="000000"/>
          <w:szCs w:val="24"/>
        </w:rPr>
        <w:t>r</w:t>
      </w:r>
      <w:r w:rsidRPr="00785938">
        <w:rPr>
          <w:rFonts w:eastAsia="Palatino Linotype" w:cs="Palatino Linotype"/>
          <w:color w:val="000000"/>
          <w:szCs w:val="24"/>
        </w:rPr>
        <w:t xml:space="preserve">ecurso de </w:t>
      </w:r>
      <w:r>
        <w:rPr>
          <w:rFonts w:eastAsia="Palatino Linotype" w:cs="Palatino Linotype"/>
          <w:color w:val="000000"/>
          <w:szCs w:val="24"/>
        </w:rPr>
        <w:t>r</w:t>
      </w:r>
      <w:r w:rsidRPr="00785938">
        <w:rPr>
          <w:rFonts w:eastAsia="Palatino Linotype" w:cs="Palatino Linotype"/>
          <w:color w:val="000000"/>
          <w:szCs w:val="24"/>
        </w:rPr>
        <w:t xml:space="preserve">evisión conforme a lo dispuesto en los artículos 5 párrafos </w:t>
      </w:r>
      <w:r w:rsidR="00277F0F">
        <w:rPr>
          <w:rFonts w:eastAsia="Palatino Linotype" w:cs="Palatino Linotype"/>
          <w:color w:val="000000"/>
          <w:szCs w:val="24"/>
        </w:rPr>
        <w:t>trigésimo noveno, cuadragésimo y cuadragésimo primero</w:t>
      </w:r>
      <w:r w:rsidRPr="00785938">
        <w:rPr>
          <w:rFonts w:eastAsia="Palatino Linotype" w:cs="Palatino Linotype"/>
          <w:color w:val="000000"/>
          <w:szCs w:val="24"/>
        </w:rPr>
        <w:t xml:space="preserve"> fracciones IV y V de la Constitución Política del Estado Libre y Soberano de México; </w:t>
      </w:r>
      <w:r>
        <w:rPr>
          <w:rFonts w:eastAsia="Palatino Linotype" w:cs="Palatino Linotype"/>
          <w:color w:val="000000"/>
          <w:szCs w:val="24"/>
        </w:rPr>
        <w:t>artículo</w:t>
      </w:r>
      <w:r w:rsidRPr="00785938">
        <w:rPr>
          <w:rFonts w:eastAsia="Palatino Linotype" w:cs="Palatino Linotype"/>
          <w:color w:val="000000"/>
          <w:szCs w:val="24"/>
        </w:rPr>
        <w:t xml:space="preserve">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Pr>
          <w:rFonts w:eastAsia="Palatino Linotype" w:cs="Palatino Linotype"/>
          <w:color w:val="000000"/>
          <w:szCs w:val="24"/>
        </w:rPr>
        <w:t>.</w:t>
      </w:r>
    </w:p>
    <w:p w14:paraId="5FA40324" w14:textId="77777777" w:rsidR="00A970D5" w:rsidRPr="006922F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6922F5" w:rsidRDefault="00A970D5" w:rsidP="006922F5">
      <w:pPr>
        <w:pStyle w:val="Ttulo2"/>
        <w:rPr>
          <w:rFonts w:eastAsia="Palatino Linotype"/>
        </w:rPr>
      </w:pPr>
      <w:r w:rsidRPr="006922F5">
        <w:rPr>
          <w:rFonts w:eastAsia="Palatino Linotype"/>
        </w:rPr>
        <w:lastRenderedPageBreak/>
        <w:t xml:space="preserve">SEGUNDO. Sobre los alcances del recurso de revisión. </w:t>
      </w:r>
    </w:p>
    <w:p w14:paraId="132CB116" w14:textId="77777777" w:rsidR="00A970D5" w:rsidRDefault="00A970D5" w:rsidP="006922F5">
      <w:r w:rsidRPr="006922F5">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CE319ED" w14:textId="77777777" w:rsidR="00745A1C" w:rsidRDefault="00745A1C" w:rsidP="006922F5"/>
    <w:p w14:paraId="6C3841FA" w14:textId="77777777" w:rsidR="00745A1C" w:rsidRPr="00F34F85" w:rsidRDefault="00745A1C" w:rsidP="00745A1C">
      <w:pPr>
        <w:pStyle w:val="Ttulo2"/>
      </w:pPr>
      <w:r w:rsidRPr="00F34F85">
        <w:t xml:space="preserve">TERCERO. Cuestiones de previo y especial pronunciamiento. </w:t>
      </w:r>
    </w:p>
    <w:p w14:paraId="45480244" w14:textId="77777777" w:rsidR="00745A1C" w:rsidRPr="00F34F85" w:rsidRDefault="00745A1C" w:rsidP="00745A1C">
      <w:pPr>
        <w:rPr>
          <w:rFonts w:eastAsia="Palatino Linotype" w:cs="Palatino Linotype"/>
        </w:rPr>
      </w:pPr>
      <w:r w:rsidRPr="00F34F85">
        <w:rPr>
          <w:rFonts w:eastAsia="Palatino Linotype" w:cs="Palatino Linotype"/>
        </w:rPr>
        <w:t>El recurso de revisión en estudio contiene los elementos normativos de validez exigidos en la Ley de Transparencia y Acceso a la Información Pública del Estado de México y Municipios, establecidos en el artículo 180 que enuncia:</w:t>
      </w:r>
    </w:p>
    <w:p w14:paraId="768BBA80" w14:textId="77777777" w:rsidR="00745A1C" w:rsidRPr="00F34F85" w:rsidRDefault="00745A1C" w:rsidP="00745A1C">
      <w:pPr>
        <w:rPr>
          <w:rFonts w:eastAsia="Palatino Linotype" w:cs="Palatino Linotype"/>
        </w:rPr>
      </w:pPr>
    </w:p>
    <w:p w14:paraId="697EAB7F"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 xml:space="preserve">Artículo 180. </w:t>
      </w:r>
      <w:r w:rsidRPr="00F34F85">
        <w:rPr>
          <w:rFonts w:eastAsia="Palatino Linotype" w:cs="Palatino Linotype"/>
          <w:i/>
          <w:sz w:val="22"/>
        </w:rPr>
        <w:t>El recurso de revisión contendrá:</w:t>
      </w:r>
    </w:p>
    <w:p w14:paraId="3B860FAA"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I. El sujeto obligado ante la cual se presentó la solicitud;</w:t>
      </w:r>
    </w:p>
    <w:p w14:paraId="2113AF26"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II. El nombre del solicitante que recurre</w:t>
      </w:r>
      <w:r w:rsidRPr="00F34F85">
        <w:rPr>
          <w:rFonts w:eastAsia="Palatino Linotype" w:cs="Palatino Linotype"/>
          <w:i/>
          <w:sz w:val="22"/>
        </w:rPr>
        <w:t xml:space="preserve"> o de su representante y, en su caso, del tercero interesado, así como la dirección o medio que señale para recibir notificaciones;</w:t>
      </w:r>
    </w:p>
    <w:p w14:paraId="0B32F5BD"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III. El número de folio de respuesta de la solicitud de acceso;</w:t>
      </w:r>
    </w:p>
    <w:p w14:paraId="3D09F83A"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IV. La fecha en que fue notificada la respuesta al solicitante o tuvo conocimiento del acto reclamado, o de presentación de la solicitud, en caso de falta de respuesta;</w:t>
      </w:r>
    </w:p>
    <w:p w14:paraId="4284951F"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V. El acto que se recurre;</w:t>
      </w:r>
    </w:p>
    <w:p w14:paraId="7359AE1C"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VI. Las razones o motivos de inconformidad;</w:t>
      </w:r>
    </w:p>
    <w:p w14:paraId="52795EEF"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VII. La copia de la respuesta que se impugna y, en su caso, de la notificación correspondiente, en el caso de respuesta de la solicitud; y</w:t>
      </w:r>
    </w:p>
    <w:p w14:paraId="153BCCEB"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VIII. Firma del recurrente, en su caso, cuando se presente por escrito, requisito sin el cual se dará trámite al recurso.</w:t>
      </w:r>
    </w:p>
    <w:p w14:paraId="323121E6" w14:textId="77777777" w:rsidR="00745A1C" w:rsidRPr="00F34F85" w:rsidRDefault="00745A1C" w:rsidP="00745A1C">
      <w:pPr>
        <w:spacing w:line="240" w:lineRule="auto"/>
        <w:ind w:left="567" w:right="567"/>
        <w:rPr>
          <w:rFonts w:eastAsia="Palatino Linotype" w:cs="Palatino Linotype"/>
          <w:i/>
          <w:sz w:val="22"/>
        </w:rPr>
      </w:pPr>
    </w:p>
    <w:p w14:paraId="21EE35D2"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Adicionalmente, se podrán anexar las pruebas y demás elementos que considere procedentes someter a juicio del Instituto.</w:t>
      </w:r>
    </w:p>
    <w:p w14:paraId="4A9374C8" w14:textId="77777777" w:rsidR="00745A1C" w:rsidRPr="00F34F85" w:rsidRDefault="00745A1C" w:rsidP="00745A1C">
      <w:pPr>
        <w:spacing w:line="240" w:lineRule="auto"/>
        <w:ind w:left="567" w:right="567"/>
        <w:rPr>
          <w:rFonts w:eastAsia="Palatino Linotype" w:cs="Palatino Linotype"/>
          <w:i/>
          <w:sz w:val="22"/>
        </w:rPr>
      </w:pPr>
    </w:p>
    <w:p w14:paraId="15F3FF0A"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En ningún caso será necesario que el particular ratifique el recurso de revisión interpuesto.</w:t>
      </w:r>
    </w:p>
    <w:p w14:paraId="4C8BE911" w14:textId="77777777" w:rsidR="00745A1C" w:rsidRPr="00F34F85" w:rsidRDefault="00745A1C" w:rsidP="00745A1C">
      <w:pPr>
        <w:spacing w:line="240" w:lineRule="auto"/>
        <w:ind w:left="567" w:right="567"/>
        <w:rPr>
          <w:rFonts w:eastAsia="Palatino Linotype" w:cs="Palatino Linotype"/>
          <w:i/>
          <w:sz w:val="22"/>
        </w:rPr>
      </w:pPr>
    </w:p>
    <w:p w14:paraId="2E790120" w14:textId="77777777" w:rsidR="00745A1C" w:rsidRPr="00F34F85" w:rsidRDefault="00745A1C" w:rsidP="00745A1C">
      <w:pPr>
        <w:spacing w:line="240" w:lineRule="auto"/>
        <w:ind w:left="567" w:right="567"/>
        <w:rPr>
          <w:rFonts w:eastAsia="Palatino Linotype" w:cs="Palatino Linotype"/>
          <w:i/>
          <w:iCs/>
          <w:sz w:val="22"/>
          <w:lang w:val="es-ES"/>
        </w:rPr>
      </w:pPr>
      <w:r w:rsidRPr="218401C6">
        <w:rPr>
          <w:rFonts w:eastAsia="Palatino Linotype" w:cs="Palatino Linotype"/>
          <w:b/>
          <w:bCs/>
          <w:i/>
          <w:iCs/>
          <w:sz w:val="22"/>
          <w:lang w:val="es-ES"/>
        </w:rPr>
        <w:t>En caso de que el recurso se interponga de manera electrónica no será indispensable que contengan los requisitos establecidos en las fracciones II</w:t>
      </w:r>
      <w:r w:rsidRPr="218401C6">
        <w:rPr>
          <w:rFonts w:eastAsia="Palatino Linotype" w:cs="Palatino Linotype"/>
          <w:i/>
          <w:iCs/>
          <w:sz w:val="22"/>
          <w:lang w:val="es-ES"/>
        </w:rPr>
        <w:t>, IV, VII y VIII.</w:t>
      </w:r>
    </w:p>
    <w:p w14:paraId="732CFB31" w14:textId="77777777" w:rsidR="00745A1C" w:rsidRPr="00F34F85" w:rsidRDefault="00745A1C" w:rsidP="00745A1C">
      <w:pPr>
        <w:rPr>
          <w:rFonts w:eastAsia="Palatino Linotype" w:cs="Palatino Linotype"/>
          <w:b/>
          <w:i/>
        </w:rPr>
      </w:pPr>
    </w:p>
    <w:p w14:paraId="1FAD8D73" w14:textId="77777777" w:rsidR="00745A1C" w:rsidRPr="00F34F85" w:rsidRDefault="00745A1C" w:rsidP="00745A1C">
      <w:pPr>
        <w:rPr>
          <w:rFonts w:eastAsia="Palatino Linotype" w:cs="Palatino Linotype"/>
          <w:lang w:val="es-ES"/>
        </w:rPr>
      </w:pPr>
      <w:r w:rsidRPr="218401C6">
        <w:rPr>
          <w:rFonts w:eastAsia="Palatino Linotype" w:cs="Palatino Linotype"/>
          <w:lang w:val="es-ES"/>
        </w:rPr>
        <w:t>Cabe señalar que presentar solicitudes anónimas, con el nombre incompleto o con un seudónimo no es motivo para desechar las solicitudes de acceso a la información pública conforme a lo previsto en el artículo 155, penúltimo párrafo de la Ley de Transparencia y Acceso a la Información Pública del Estado de México y Municipios que señala lo siguiente:</w:t>
      </w:r>
    </w:p>
    <w:p w14:paraId="601837FD" w14:textId="77777777" w:rsidR="00745A1C" w:rsidRPr="00F34F85" w:rsidRDefault="00745A1C" w:rsidP="00745A1C">
      <w:pPr>
        <w:rPr>
          <w:rFonts w:eastAsia="Palatino Linotype" w:cs="Palatino Linotype"/>
        </w:rPr>
      </w:pPr>
    </w:p>
    <w:p w14:paraId="1C28BC21"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Artículo 155.</w:t>
      </w:r>
      <w:r w:rsidRPr="00F34F85">
        <w:rPr>
          <w:rFonts w:eastAsia="Palatino Linotype" w:cs="Palatino Linotype"/>
          <w:i/>
          <w:sz w:val="22"/>
        </w:rPr>
        <w:t xml:space="preserve"> […]</w:t>
      </w:r>
    </w:p>
    <w:p w14:paraId="61C601F2" w14:textId="77777777" w:rsidR="00745A1C" w:rsidRPr="00F34F85" w:rsidRDefault="00745A1C" w:rsidP="00745A1C">
      <w:pPr>
        <w:spacing w:line="240" w:lineRule="auto"/>
        <w:ind w:left="567" w:right="567"/>
        <w:rPr>
          <w:rFonts w:eastAsia="Palatino Linotype" w:cs="Palatino Linotype"/>
          <w:i/>
          <w:sz w:val="22"/>
        </w:rPr>
      </w:pPr>
    </w:p>
    <w:p w14:paraId="04459774"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7CCFFE40"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w:t>
      </w:r>
    </w:p>
    <w:p w14:paraId="5259D788" w14:textId="77777777" w:rsidR="00745A1C" w:rsidRPr="00F34F85" w:rsidRDefault="00745A1C" w:rsidP="00745A1C">
      <w:pPr>
        <w:rPr>
          <w:rFonts w:eastAsia="Palatino Linotype" w:cs="Palatino Linotype"/>
        </w:rPr>
      </w:pPr>
    </w:p>
    <w:p w14:paraId="5BAE6707" w14:textId="77777777" w:rsidR="00745A1C" w:rsidRPr="00F34F85" w:rsidRDefault="00745A1C" w:rsidP="00745A1C">
      <w:pPr>
        <w:rPr>
          <w:rFonts w:eastAsia="Palatino Linotype" w:cs="Palatino Linotype"/>
        </w:rPr>
      </w:pPr>
      <w:r w:rsidRPr="00F34F85">
        <w:rPr>
          <w:rFonts w:eastAsia="Palatino Linotype" w:cs="Palatino Linotype"/>
        </w:rPr>
        <w:t xml:space="preserve">Robusteciendo lo anterior se encuentra lo dispuesto en </w:t>
      </w:r>
      <w:r>
        <w:rPr>
          <w:rFonts w:eastAsia="Palatino Linotype" w:cs="Palatino Linotype"/>
        </w:rPr>
        <w:t xml:space="preserve">el artículo </w:t>
      </w:r>
      <w:r w:rsidRPr="00F34F85">
        <w:rPr>
          <w:rFonts w:eastAsia="Palatino Linotype" w:cs="Palatino Linotype"/>
        </w:rPr>
        <w:t xml:space="preserve">5 párrafos </w:t>
      </w:r>
      <w:r>
        <w:rPr>
          <w:rFonts w:eastAsia="Palatino Linotype" w:cs="Palatino Linotype"/>
          <w:color w:val="000000"/>
          <w:szCs w:val="24"/>
        </w:rPr>
        <w:t>trigésimo noveno, cuadragésimo y cuadragésimo primero</w:t>
      </w:r>
      <w:r w:rsidRPr="00F34F85">
        <w:rPr>
          <w:rFonts w:eastAsia="Palatino Linotype" w:cs="Palatino Linotype"/>
        </w:rPr>
        <w:t>, de la Constitución Política del Estado Libre y Soberano de México, se establece lo siguiente:</w:t>
      </w:r>
    </w:p>
    <w:p w14:paraId="4CB36397" w14:textId="77777777" w:rsidR="00745A1C" w:rsidRPr="00F34F85" w:rsidRDefault="00745A1C" w:rsidP="00745A1C">
      <w:pPr>
        <w:rPr>
          <w:rFonts w:eastAsia="Palatino Linotype" w:cs="Palatino Linotype"/>
        </w:rPr>
      </w:pPr>
    </w:p>
    <w:p w14:paraId="19006EDA"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Artículo 5</w:t>
      </w:r>
      <w:r w:rsidRPr="00F34F85">
        <w:rPr>
          <w:rFonts w:eastAsia="Palatino Linotype" w:cs="Palatino Linotype"/>
          <w:i/>
          <w:sz w:val="22"/>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A95040"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w:t>
      </w:r>
    </w:p>
    <w:p w14:paraId="3A7883C9" w14:textId="77777777" w:rsidR="00745A1C" w:rsidRPr="00F34F85" w:rsidRDefault="00745A1C" w:rsidP="00745A1C">
      <w:pPr>
        <w:spacing w:line="240" w:lineRule="auto"/>
        <w:ind w:left="567" w:right="567"/>
        <w:rPr>
          <w:rFonts w:eastAsia="Palatino Linotype" w:cs="Palatino Linotype"/>
          <w:i/>
          <w:iCs/>
          <w:sz w:val="22"/>
          <w:lang w:val="es-ES"/>
        </w:rPr>
      </w:pPr>
      <w:r w:rsidRPr="7BECC908">
        <w:rPr>
          <w:rFonts w:eastAsia="Palatino Linotype" w:cs="Palatino Linotype"/>
          <w:i/>
          <w:iCs/>
          <w:sz w:val="22"/>
          <w:lang w:val="es-ES"/>
        </w:rPr>
        <w:t>Toda persona en el Estado de México, tiene derecho al libre acceso a la información plural y oportuna, así como a buscar recibir y difundir información e ideas de toda índole por cualquier medio de expresión.</w:t>
      </w:r>
    </w:p>
    <w:p w14:paraId="3C649C5F"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lastRenderedPageBreak/>
        <w:t>[…]</w:t>
      </w:r>
    </w:p>
    <w:p w14:paraId="7ACFC6FE"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 xml:space="preserve">El derecho a la información será garantizado por el Estado. La ley establecerá las previsiones que permitan asegurar la protección, el respeto y la difusión de este derecho. </w:t>
      </w:r>
    </w:p>
    <w:p w14:paraId="1012005A" w14:textId="77777777" w:rsidR="00745A1C" w:rsidRPr="00F34F85" w:rsidRDefault="00745A1C" w:rsidP="00745A1C">
      <w:pPr>
        <w:spacing w:line="240" w:lineRule="auto"/>
        <w:ind w:left="567" w:right="567"/>
        <w:rPr>
          <w:rFonts w:eastAsia="Palatino Linotype" w:cs="Palatino Linotype"/>
          <w:i/>
          <w:sz w:val="22"/>
        </w:rPr>
      </w:pPr>
    </w:p>
    <w:p w14:paraId="1DA43CC3" w14:textId="77777777" w:rsidR="00745A1C" w:rsidRPr="00F34F85" w:rsidRDefault="00745A1C" w:rsidP="00745A1C">
      <w:pPr>
        <w:spacing w:line="240" w:lineRule="auto"/>
        <w:ind w:left="567" w:right="567"/>
        <w:rPr>
          <w:rFonts w:eastAsia="Palatino Linotype" w:cs="Palatino Linotype"/>
          <w:i/>
          <w:iCs/>
          <w:sz w:val="22"/>
          <w:lang w:val="es-ES"/>
        </w:rPr>
      </w:pPr>
      <w:r w:rsidRPr="6A5992C8">
        <w:rPr>
          <w:rFonts w:eastAsia="Palatino Linotype" w:cs="Palatino Linotype"/>
          <w:i/>
          <w:iCs/>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0BBC3EE" w14:textId="77777777" w:rsidR="00745A1C" w:rsidRPr="00F34F85" w:rsidRDefault="00745A1C" w:rsidP="00745A1C">
      <w:pPr>
        <w:spacing w:line="240" w:lineRule="auto"/>
        <w:ind w:left="567" w:right="567"/>
        <w:rPr>
          <w:rFonts w:eastAsia="Palatino Linotype" w:cs="Palatino Linotype"/>
          <w:i/>
          <w:sz w:val="22"/>
        </w:rPr>
      </w:pPr>
    </w:p>
    <w:p w14:paraId="7E58590C"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Este derecho se regirá por los principios y bases siguientes:</w:t>
      </w:r>
    </w:p>
    <w:p w14:paraId="1E5D2E87"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w:t>
      </w:r>
    </w:p>
    <w:p w14:paraId="77CEAC9C"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III.</w:t>
      </w:r>
      <w:r w:rsidRPr="00F34F85">
        <w:rPr>
          <w:rFonts w:eastAsia="Palatino Linotype" w:cs="Palatino Linotype"/>
          <w:i/>
          <w:sz w:val="22"/>
        </w:rPr>
        <w:t xml:space="preserve"> Toda persona, sin necesidad de acreditar interés alguno o justificar su utilización, tendrá acceso gratuito a la información pública, a sus datos personales o a la rectificación de éstos;</w:t>
      </w:r>
    </w:p>
    <w:p w14:paraId="4EC0C605"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IV.</w:t>
      </w:r>
      <w:r w:rsidRPr="00F34F85">
        <w:rPr>
          <w:rFonts w:eastAsia="Palatino Linotype" w:cs="Palatino Linotype"/>
          <w:i/>
          <w:sz w:val="22"/>
        </w:rPr>
        <w:t xml:space="preserve"> Se establecerán mecanismos de acceso a la información y procedimientos de revisión expeditos que se sustanciarán ante el organismo autónomo especializado e imparcial que establece esta Constitución.</w:t>
      </w:r>
    </w:p>
    <w:p w14:paraId="5479967E"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w:t>
      </w:r>
    </w:p>
    <w:p w14:paraId="578F3018"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VIII.</w:t>
      </w:r>
      <w:r w:rsidRPr="00F34F85">
        <w:rPr>
          <w:rFonts w:eastAsia="Palatino Linotype" w:cs="Palatino Linotype"/>
          <w:i/>
          <w:sz w:val="22"/>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2B34FE22"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w:t>
      </w:r>
    </w:p>
    <w:p w14:paraId="2B062A08" w14:textId="77777777" w:rsidR="00745A1C" w:rsidRPr="00F34F85" w:rsidRDefault="00745A1C" w:rsidP="00745A1C">
      <w:pPr>
        <w:ind w:left="567" w:right="567"/>
        <w:rPr>
          <w:rFonts w:eastAsia="Palatino Linotype" w:cs="Palatino Linotype"/>
        </w:rPr>
      </w:pPr>
    </w:p>
    <w:p w14:paraId="268739EB" w14:textId="77777777" w:rsidR="00745A1C" w:rsidRPr="00F34F85" w:rsidRDefault="00745A1C" w:rsidP="00745A1C">
      <w:pPr>
        <w:rPr>
          <w:rFonts w:eastAsia="Palatino Linotype" w:cs="Palatino Linotype"/>
        </w:rPr>
      </w:pPr>
      <w:r w:rsidRPr="00F34F85">
        <w:rPr>
          <w:rFonts w:eastAsia="Palatino Linotype" w:cs="Palatino Linotype"/>
        </w:rPr>
        <w:t>Por otra parte, del contenido del artículo 1 de la Constitución Política de los Estados Unidos Mexicanos, se destaca lo siguiente:</w:t>
      </w:r>
    </w:p>
    <w:p w14:paraId="2CC5AB03" w14:textId="77777777" w:rsidR="00745A1C" w:rsidRPr="00F34F85" w:rsidRDefault="00745A1C" w:rsidP="00745A1C">
      <w:pPr>
        <w:spacing w:line="240" w:lineRule="auto"/>
        <w:ind w:left="567" w:right="567"/>
        <w:rPr>
          <w:rFonts w:eastAsia="Palatino Linotype" w:cs="Palatino Linotype"/>
        </w:rPr>
      </w:pPr>
    </w:p>
    <w:p w14:paraId="363E663C"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b/>
          <w:i/>
          <w:sz w:val="22"/>
        </w:rPr>
        <w:t>Artículo 1o</w:t>
      </w:r>
      <w:r w:rsidRPr="00F34F85">
        <w:rPr>
          <w:rFonts w:eastAsia="Palatino Linotype" w:cs="Palatino Linotype"/>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2E4E4F7" w14:textId="77777777" w:rsidR="00745A1C" w:rsidRPr="00F34F85" w:rsidRDefault="00745A1C" w:rsidP="00745A1C">
      <w:pPr>
        <w:spacing w:line="240" w:lineRule="auto"/>
        <w:ind w:left="567" w:right="567"/>
        <w:rPr>
          <w:rFonts w:eastAsia="Palatino Linotype" w:cs="Palatino Linotype"/>
          <w:i/>
          <w:sz w:val="22"/>
        </w:rPr>
      </w:pPr>
    </w:p>
    <w:p w14:paraId="7230910C"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Las normas relativas a los derechos humanos se interpretarán de conformidad con esta Constitución y con los tratados internacionales de la materia favoreciendo en todo tiempo a las personas la protección más amplia.</w:t>
      </w:r>
    </w:p>
    <w:p w14:paraId="4C3977D7" w14:textId="77777777" w:rsidR="00745A1C" w:rsidRPr="00F34F85" w:rsidRDefault="00745A1C" w:rsidP="00745A1C">
      <w:pPr>
        <w:spacing w:line="240" w:lineRule="auto"/>
        <w:ind w:left="567" w:right="567"/>
        <w:rPr>
          <w:rFonts w:eastAsia="Palatino Linotype" w:cs="Palatino Linotype"/>
          <w:i/>
          <w:sz w:val="22"/>
        </w:rPr>
      </w:pPr>
    </w:p>
    <w:p w14:paraId="53B73DF5" w14:textId="77777777" w:rsidR="00745A1C" w:rsidRPr="00F34F85" w:rsidRDefault="00745A1C" w:rsidP="00745A1C">
      <w:pPr>
        <w:spacing w:line="240" w:lineRule="auto"/>
        <w:ind w:left="567" w:right="567"/>
        <w:rPr>
          <w:rFonts w:eastAsia="Palatino Linotype" w:cs="Palatino Linotype"/>
          <w:i/>
          <w:sz w:val="22"/>
        </w:rPr>
      </w:pPr>
      <w:r w:rsidRPr="00F34F85">
        <w:rPr>
          <w:rFonts w:eastAsia="Palatino Linotype" w:cs="Palatino Linotype"/>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7D0CB74" w14:textId="77777777" w:rsidR="00745A1C" w:rsidRPr="00F34F85" w:rsidRDefault="00745A1C" w:rsidP="00745A1C">
      <w:pPr>
        <w:pStyle w:val="NormalINFOEM"/>
      </w:pPr>
    </w:p>
    <w:p w14:paraId="52873C78" w14:textId="74F6D4F1" w:rsidR="00745A1C" w:rsidRPr="00F34F85" w:rsidRDefault="00745A1C" w:rsidP="00745A1C">
      <w:r w:rsidRPr="00F34F85">
        <w:rPr>
          <w:rFonts w:eastAsia="Palatino Linotype" w:cs="Palatino Linotype"/>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r>
        <w:rPr>
          <w:rFonts w:eastAsia="Palatino Linotype" w:cs="Palatino Linotype"/>
        </w:rPr>
        <w:t xml:space="preserve"> </w:t>
      </w:r>
      <w:r w:rsidRPr="00F34F85">
        <w:t>En conclusión, se cubrieron los requisitos de procedencia y procedibilidad, conforme a las constancias que obran en el expediente.</w:t>
      </w:r>
    </w:p>
    <w:p w14:paraId="2927A3C2" w14:textId="77777777" w:rsidR="00745A1C" w:rsidRDefault="00745A1C" w:rsidP="00745A1C"/>
    <w:p w14:paraId="7E828C31" w14:textId="299E17E8" w:rsidR="00454915" w:rsidRPr="006922F5" w:rsidRDefault="00745A1C" w:rsidP="00454915">
      <w:pPr>
        <w:pStyle w:val="Ttulo2"/>
        <w:rPr>
          <w:rFonts w:eastAsia="Palatino Linotype"/>
        </w:rPr>
      </w:pPr>
      <w:r>
        <w:rPr>
          <w:rFonts w:eastAsia="Palatino Linotype"/>
        </w:rPr>
        <w:t>CUARTO</w:t>
      </w:r>
      <w:r w:rsidR="00454915" w:rsidRPr="006922F5">
        <w:rPr>
          <w:rFonts w:eastAsia="Palatino Linotype"/>
        </w:rPr>
        <w:t>. De las causas de improcedencia.</w:t>
      </w:r>
    </w:p>
    <w:p w14:paraId="714929BC"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ED30DE8"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21C93375" w14:textId="77777777" w:rsidR="00454915" w:rsidRPr="006922F5" w:rsidRDefault="00454915"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44E9108F">
        <w:rPr>
          <w:rFonts w:eastAsia="Palatino Linotype" w:cs="Palatino Linotype"/>
          <w:color w:val="000000"/>
          <w:vertAlign w:val="superscript"/>
          <w:lang w:val="es-ES"/>
        </w:rPr>
        <w:footnoteReference w:id="2"/>
      </w:r>
      <w:r w:rsidRPr="44E9108F">
        <w:rPr>
          <w:rFonts w:eastAsia="Palatino Linotype" w:cs="Palatino Linotype"/>
          <w:color w:val="000000"/>
          <w:lang w:val="es-ES"/>
        </w:rPr>
        <w:t>, la cual permite dilucidar alguna causal que impida el estudio y resolución, cuando una vez admitido el recurso de revisión se advierta una causa de improcedencia que permita sobreseerlo, sin estudiar el fondo del asunto.</w:t>
      </w:r>
    </w:p>
    <w:p w14:paraId="3EC7CF7E"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126FF343"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Así las cosas, en la especie, no se actualiza ninguna causa de improcedencia de las referidas en el artículo 191 de la Ley de Transparencia y Acceso a la Información Pública del Estado </w:t>
      </w:r>
      <w:r w:rsidRPr="006922F5">
        <w:rPr>
          <w:rFonts w:eastAsia="Palatino Linotype" w:cs="Palatino Linotype"/>
          <w:color w:val="000000"/>
          <w:szCs w:val="24"/>
        </w:rPr>
        <w:lastRenderedPageBreak/>
        <w:t>de México y Municipios, encontrándose actualizados todos los presupuestos procesales para atender el fondo del asunto, en los términos del considerando posterior.</w:t>
      </w:r>
    </w:p>
    <w:p w14:paraId="6BD406B0"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p>
    <w:p w14:paraId="4011745D" w14:textId="0C2C65F4" w:rsidR="00454915" w:rsidRPr="006922F5" w:rsidRDefault="00745A1C" w:rsidP="00454915">
      <w:pPr>
        <w:pStyle w:val="Ttulo2"/>
        <w:rPr>
          <w:rFonts w:eastAsia="Palatino Linotype"/>
        </w:rPr>
      </w:pPr>
      <w:r>
        <w:rPr>
          <w:rFonts w:eastAsia="Palatino Linotype"/>
        </w:rPr>
        <w:t>QUIN</w:t>
      </w:r>
      <w:r w:rsidR="00F45971">
        <w:rPr>
          <w:rFonts w:eastAsia="Palatino Linotype"/>
        </w:rPr>
        <w:t>TO</w:t>
      </w:r>
      <w:r w:rsidR="00454915" w:rsidRPr="006922F5">
        <w:rPr>
          <w:rFonts w:eastAsia="Palatino Linotype"/>
        </w:rPr>
        <w:t>. Estudio y resolución del asunto.</w:t>
      </w:r>
    </w:p>
    <w:p w14:paraId="78A9F94F" w14:textId="77777777" w:rsidR="00454915" w:rsidRPr="006922F5" w:rsidRDefault="00454915" w:rsidP="00454915">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231554C6" w14:textId="77777777" w:rsidR="004A3367" w:rsidRPr="00874B16" w:rsidRDefault="004A3367" w:rsidP="004A3367">
      <w:pPr>
        <w:rPr>
          <w:rFonts w:eastAsiaTheme="minorHAnsi" w:cstheme="minorBidi"/>
          <w:szCs w:val="24"/>
          <w:lang w:eastAsia="en-US"/>
        </w:rPr>
      </w:pPr>
    </w:p>
    <w:p w14:paraId="7193478D" w14:textId="09B8E512" w:rsidR="00012F8B" w:rsidRPr="00874B16" w:rsidRDefault="0EE28084" w:rsidP="00D31CA9">
      <w:pPr>
        <w:rPr>
          <w:rFonts w:eastAsiaTheme="minorEastAsia" w:cstheme="minorBidi"/>
          <w:szCs w:val="24"/>
          <w:lang w:val="es-ES" w:eastAsia="en-US"/>
        </w:rPr>
      </w:pPr>
      <w:r w:rsidRPr="00874B16">
        <w:rPr>
          <w:rFonts w:eastAsiaTheme="minorEastAsia" w:cstheme="minorBidi"/>
          <w:szCs w:val="24"/>
          <w:lang w:val="es-ES" w:eastAsia="en-US"/>
        </w:rPr>
        <w:t xml:space="preserve">En virtud de lo anterior, es conveniente recordar que el </w:t>
      </w:r>
      <w:r w:rsidR="00DA0841" w:rsidRPr="00874B16">
        <w:rPr>
          <w:rFonts w:eastAsiaTheme="minorEastAsia" w:cstheme="minorBidi"/>
          <w:szCs w:val="24"/>
          <w:lang w:val="es-ES" w:eastAsia="en-US"/>
        </w:rPr>
        <w:t xml:space="preserve">hoy </w:t>
      </w:r>
      <w:r w:rsidRPr="00874B16">
        <w:rPr>
          <w:rFonts w:eastAsiaTheme="minorEastAsia" w:cstheme="minorBidi"/>
          <w:szCs w:val="24"/>
          <w:lang w:val="es-ES" w:eastAsia="en-US"/>
        </w:rPr>
        <w:t>Recurrente</w:t>
      </w:r>
      <w:r w:rsidR="00DA0841" w:rsidRPr="00874B16">
        <w:rPr>
          <w:rFonts w:eastAsiaTheme="minorEastAsia" w:cstheme="minorBidi"/>
          <w:szCs w:val="24"/>
          <w:lang w:val="es-ES" w:eastAsia="en-US"/>
        </w:rPr>
        <w:t xml:space="preserve"> </w:t>
      </w:r>
      <w:r w:rsidR="0084615A" w:rsidRPr="00874B16">
        <w:rPr>
          <w:rFonts w:eastAsiaTheme="minorEastAsia" w:cstheme="minorBidi"/>
          <w:szCs w:val="24"/>
          <w:lang w:val="es-ES" w:eastAsia="en-US"/>
        </w:rPr>
        <w:t xml:space="preserve">requirió </w:t>
      </w:r>
      <w:r w:rsidR="00D4457F" w:rsidRPr="00874B16">
        <w:rPr>
          <w:rFonts w:eastAsiaTheme="minorEastAsia" w:cstheme="minorBidi"/>
          <w:szCs w:val="24"/>
          <w:lang w:val="es-ES" w:eastAsia="en-US"/>
        </w:rPr>
        <w:t xml:space="preserve">que se le </w:t>
      </w:r>
      <w:r w:rsidR="00FA3A9E">
        <w:rPr>
          <w:rFonts w:eastAsiaTheme="minorEastAsia" w:cstheme="minorBidi"/>
          <w:szCs w:val="24"/>
          <w:lang w:val="es-ES" w:eastAsia="en-US"/>
        </w:rPr>
        <w:t>proporcionaran los expedientes completos y contratos de todas las adjudicaciones directas celebradas del primero de enero al treinta y uno de marzo de dos mil veinticinco.</w:t>
      </w:r>
    </w:p>
    <w:p w14:paraId="5FCCC7E4" w14:textId="77777777" w:rsidR="00883E28" w:rsidRPr="00874B16" w:rsidRDefault="00883E28" w:rsidP="00D31CA9">
      <w:pPr>
        <w:rPr>
          <w:rFonts w:eastAsiaTheme="minorEastAsia" w:cstheme="minorBidi"/>
          <w:szCs w:val="24"/>
          <w:lang w:val="es-ES" w:eastAsia="en-US"/>
        </w:rPr>
      </w:pPr>
    </w:p>
    <w:p w14:paraId="476DC307" w14:textId="77777777" w:rsidR="00444413" w:rsidRPr="00874B16" w:rsidRDefault="00A970D5" w:rsidP="001B63A6">
      <w:pPr>
        <w:pBdr>
          <w:top w:val="nil"/>
          <w:left w:val="nil"/>
          <w:bottom w:val="nil"/>
          <w:right w:val="nil"/>
          <w:between w:val="nil"/>
        </w:pBdr>
        <w:contextualSpacing/>
        <w:rPr>
          <w:rFonts w:eastAsia="Palatino Linotype" w:cs="Palatino Linotype"/>
          <w:color w:val="000000"/>
          <w:szCs w:val="24"/>
        </w:rPr>
      </w:pPr>
      <w:r w:rsidRPr="00874B16">
        <w:rPr>
          <w:rFonts w:eastAsia="Palatino Linotype" w:cs="Palatino Linotype"/>
          <w:color w:val="000000"/>
          <w:szCs w:val="24"/>
        </w:rPr>
        <w:t xml:space="preserve">A dicha solicitud, el Sujeto Obligado </w:t>
      </w:r>
      <w:r w:rsidR="001C4CBF" w:rsidRPr="00874B16">
        <w:rPr>
          <w:rFonts w:eastAsia="Palatino Linotype" w:cs="Palatino Linotype"/>
          <w:color w:val="000000"/>
          <w:szCs w:val="24"/>
        </w:rPr>
        <w:t>respondió</w:t>
      </w:r>
      <w:r w:rsidR="001B63A6" w:rsidRPr="00874B16">
        <w:rPr>
          <w:rFonts w:eastAsia="Palatino Linotype" w:cs="Palatino Linotype"/>
          <w:color w:val="000000"/>
          <w:szCs w:val="24"/>
        </w:rPr>
        <w:t xml:space="preserve"> </w:t>
      </w:r>
      <w:r w:rsidR="00444413" w:rsidRPr="00874B16">
        <w:rPr>
          <w:rFonts w:eastAsia="Palatino Linotype" w:cs="Palatino Linotype"/>
          <w:color w:val="000000"/>
          <w:szCs w:val="24"/>
        </w:rPr>
        <w:t>mediante</w:t>
      </w:r>
      <w:r w:rsidR="0008143A" w:rsidRPr="00874B16">
        <w:rPr>
          <w:rFonts w:eastAsia="Palatino Linotype" w:cs="Palatino Linotype"/>
          <w:color w:val="000000"/>
          <w:szCs w:val="24"/>
        </w:rPr>
        <w:t xml:space="preserve"> la entrega de</w:t>
      </w:r>
      <w:r w:rsidR="00444413" w:rsidRPr="00874B16">
        <w:rPr>
          <w:rFonts w:eastAsia="Palatino Linotype" w:cs="Palatino Linotype"/>
          <w:color w:val="000000"/>
          <w:szCs w:val="24"/>
        </w:rPr>
        <w:t xml:space="preserve"> </w:t>
      </w:r>
      <w:r w:rsidR="0008143A" w:rsidRPr="00874B16">
        <w:rPr>
          <w:rFonts w:eastAsia="Palatino Linotype" w:cs="Palatino Linotype"/>
          <w:color w:val="000000"/>
          <w:szCs w:val="24"/>
        </w:rPr>
        <w:t>l</w:t>
      </w:r>
      <w:r w:rsidR="00444413" w:rsidRPr="00874B16">
        <w:rPr>
          <w:rFonts w:eastAsia="Palatino Linotype" w:cs="Palatino Linotype"/>
          <w:color w:val="000000"/>
          <w:szCs w:val="24"/>
        </w:rPr>
        <w:t>os siguientes</w:t>
      </w:r>
      <w:r w:rsidR="0008143A" w:rsidRPr="00874B16">
        <w:rPr>
          <w:rFonts w:eastAsia="Palatino Linotype" w:cs="Palatino Linotype"/>
          <w:color w:val="000000"/>
          <w:szCs w:val="24"/>
        </w:rPr>
        <w:t xml:space="preserve"> documento</w:t>
      </w:r>
      <w:r w:rsidR="00444413" w:rsidRPr="00874B16">
        <w:rPr>
          <w:rFonts w:eastAsia="Palatino Linotype" w:cs="Palatino Linotype"/>
          <w:color w:val="000000"/>
          <w:szCs w:val="24"/>
        </w:rPr>
        <w:t>s:</w:t>
      </w:r>
    </w:p>
    <w:p w14:paraId="1A124E8B" w14:textId="77777777" w:rsidR="00444413" w:rsidRPr="00874B16" w:rsidRDefault="00444413" w:rsidP="001B63A6">
      <w:pPr>
        <w:pBdr>
          <w:top w:val="nil"/>
          <w:left w:val="nil"/>
          <w:bottom w:val="nil"/>
          <w:right w:val="nil"/>
          <w:between w:val="nil"/>
        </w:pBdr>
        <w:contextualSpacing/>
        <w:rPr>
          <w:rFonts w:eastAsia="Palatino Linotype" w:cs="Palatino Linotype"/>
          <w:color w:val="000000"/>
          <w:szCs w:val="24"/>
        </w:rPr>
      </w:pPr>
    </w:p>
    <w:p w14:paraId="635DD4BF" w14:textId="7883CEFA" w:rsidR="00B672CD" w:rsidRPr="00B672CD" w:rsidRDefault="00FA3A9E" w:rsidP="00FA3A9E">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FA3A9E">
        <w:rPr>
          <w:rFonts w:eastAsia="Palatino Linotype" w:cs="Palatino Linotype"/>
          <w:b/>
          <w:bCs/>
          <w:color w:val="000000"/>
          <w:lang w:val="es-MX"/>
        </w:rPr>
        <w:t>R. 01913. 2025.pdf</w:t>
      </w:r>
      <w:r w:rsidR="00B672CD">
        <w:rPr>
          <w:rFonts w:eastAsia="Palatino Linotype" w:cs="Palatino Linotype"/>
          <w:bCs/>
          <w:color w:val="000000"/>
          <w:lang w:val="es-MX"/>
        </w:rPr>
        <w:t xml:space="preserve">. Escrito de respuesta suscrito por el Titular de la Unidad de Transparencia, </w:t>
      </w:r>
      <w:r w:rsidR="00050472">
        <w:rPr>
          <w:rFonts w:eastAsia="Palatino Linotype" w:cs="Palatino Linotype"/>
          <w:bCs/>
          <w:color w:val="000000"/>
          <w:lang w:val="es-MX"/>
        </w:rPr>
        <w:t xml:space="preserve">quien refirió que la Dirección General de Administración </w:t>
      </w:r>
      <w:r w:rsidR="00917D12">
        <w:rPr>
          <w:rFonts w:eastAsia="Palatino Linotype" w:cs="Palatino Linotype"/>
          <w:bCs/>
          <w:color w:val="000000"/>
          <w:lang w:val="es-MX"/>
        </w:rPr>
        <w:t>informó</w:t>
      </w:r>
      <w:r w:rsidR="00050472">
        <w:rPr>
          <w:rFonts w:eastAsia="Palatino Linotype" w:cs="Palatino Linotype"/>
          <w:bCs/>
          <w:color w:val="000000"/>
          <w:lang w:val="es-MX"/>
        </w:rPr>
        <w:t xml:space="preserve"> que </w:t>
      </w:r>
      <w:r>
        <w:rPr>
          <w:rFonts w:eastAsia="Palatino Linotype" w:cs="Palatino Linotype"/>
          <w:bCs/>
          <w:color w:val="000000"/>
          <w:lang w:val="es-MX"/>
        </w:rPr>
        <w:t xml:space="preserve">después </w:t>
      </w:r>
      <w:r w:rsidR="00917D12">
        <w:rPr>
          <w:rFonts w:eastAsia="Palatino Linotype" w:cs="Palatino Linotype"/>
          <w:bCs/>
          <w:color w:val="000000"/>
          <w:lang w:val="es-MX"/>
        </w:rPr>
        <w:t>una búsque</w:t>
      </w:r>
      <w:r>
        <w:rPr>
          <w:rFonts w:eastAsia="Palatino Linotype" w:cs="Palatino Linotype"/>
          <w:bCs/>
          <w:color w:val="000000"/>
          <w:lang w:val="es-MX"/>
        </w:rPr>
        <w:t>da exhaustiva y razonable en sus</w:t>
      </w:r>
      <w:r w:rsidR="00917D12">
        <w:rPr>
          <w:rFonts w:eastAsia="Palatino Linotype" w:cs="Palatino Linotype"/>
          <w:bCs/>
          <w:color w:val="000000"/>
          <w:lang w:val="es-MX"/>
        </w:rPr>
        <w:t xml:space="preserve"> archivos</w:t>
      </w:r>
      <w:r>
        <w:rPr>
          <w:rFonts w:eastAsia="Palatino Linotype" w:cs="Palatino Linotype"/>
          <w:bCs/>
          <w:color w:val="000000"/>
          <w:lang w:val="es-MX"/>
        </w:rPr>
        <w:t xml:space="preserve">, se pone a disposición del solicitante la consulta directa de la información, lo que se consideró procedente </w:t>
      </w:r>
      <w:r>
        <w:rPr>
          <w:rFonts w:eastAsia="Palatino Linotype" w:cs="Palatino Linotype"/>
          <w:bCs/>
          <w:color w:val="000000"/>
          <w:lang w:val="es-MX"/>
        </w:rPr>
        <w:lastRenderedPageBreak/>
        <w:t>mediante el acuerdo número CT/SE/462/03/2025; así como la clasificación parcial y total como confidencial de la documentación que la integran, me</w:t>
      </w:r>
      <w:r w:rsidR="00137BD8">
        <w:rPr>
          <w:rFonts w:eastAsia="Palatino Linotype" w:cs="Palatino Linotype"/>
          <w:bCs/>
          <w:color w:val="000000"/>
          <w:lang w:val="es-MX"/>
        </w:rPr>
        <w:t>diante los acuerdos CT/SE/462/04/2025 y CT/SE/462/05</w:t>
      </w:r>
      <w:r>
        <w:rPr>
          <w:rFonts w:eastAsia="Palatino Linotype" w:cs="Palatino Linotype"/>
          <w:bCs/>
          <w:color w:val="000000"/>
          <w:lang w:val="es-MX"/>
        </w:rPr>
        <w:t xml:space="preserve">/2025, respectivamente, </w:t>
      </w:r>
      <w:r w:rsidR="00137BD8">
        <w:rPr>
          <w:rFonts w:eastAsia="Palatino Linotype" w:cs="Palatino Linotype"/>
          <w:bCs/>
          <w:color w:val="000000"/>
          <w:lang w:val="es-MX"/>
        </w:rPr>
        <w:t>todos aprobados por el Comité de Transparencia en la Cuadrigentésima Sexagésima Segunda Sesión Extraordinaria 2025.</w:t>
      </w:r>
    </w:p>
    <w:p w14:paraId="58EA0156" w14:textId="209C2906" w:rsidR="00B672CD" w:rsidRPr="00B672CD" w:rsidRDefault="00FA3A9E" w:rsidP="00FA3A9E">
      <w:pPr>
        <w:pStyle w:val="Prrafodelista"/>
        <w:numPr>
          <w:ilvl w:val="0"/>
          <w:numId w:val="58"/>
        </w:numPr>
        <w:pBdr>
          <w:top w:val="nil"/>
          <w:left w:val="nil"/>
          <w:bottom w:val="nil"/>
          <w:right w:val="nil"/>
          <w:between w:val="nil"/>
        </w:pBdr>
        <w:contextualSpacing/>
        <w:rPr>
          <w:rFonts w:eastAsia="Palatino Linotype" w:cs="Palatino Linotype"/>
          <w:color w:val="000000" w:themeColor="text1"/>
        </w:rPr>
      </w:pPr>
      <w:r w:rsidRPr="00FA3A9E">
        <w:rPr>
          <w:rFonts w:eastAsia="Palatino Linotype" w:cs="Palatino Linotype"/>
          <w:b/>
          <w:bCs/>
          <w:color w:val="000000"/>
          <w:lang w:val="es-MX"/>
        </w:rPr>
        <w:t>Respsol 01913-2025.pdf</w:t>
      </w:r>
      <w:r w:rsidR="00B672CD">
        <w:rPr>
          <w:rFonts w:eastAsia="Palatino Linotype" w:cs="Palatino Linotype"/>
          <w:bCs/>
          <w:color w:val="000000"/>
          <w:lang w:val="es-MX"/>
        </w:rPr>
        <w:t>.</w:t>
      </w:r>
      <w:r w:rsidR="00917D12">
        <w:rPr>
          <w:rFonts w:eastAsia="Palatino Linotype" w:cs="Palatino Linotype"/>
          <w:bCs/>
          <w:color w:val="000000"/>
          <w:lang w:val="es-MX"/>
        </w:rPr>
        <w:t xml:space="preserve"> Of</w:t>
      </w:r>
      <w:r w:rsidR="00137BD8">
        <w:rPr>
          <w:rFonts w:eastAsia="Palatino Linotype" w:cs="Palatino Linotype"/>
          <w:bCs/>
          <w:color w:val="000000"/>
          <w:lang w:val="es-MX"/>
        </w:rPr>
        <w:t>icio número 200F10300/177/2025</w:t>
      </w:r>
      <w:r w:rsidR="00917D12">
        <w:rPr>
          <w:rFonts w:eastAsia="Palatino Linotype" w:cs="Palatino Linotype"/>
          <w:bCs/>
          <w:color w:val="000000"/>
          <w:lang w:val="es-MX"/>
        </w:rPr>
        <w:t xml:space="preserve"> emitido por </w:t>
      </w:r>
      <w:r w:rsidR="00137BD8">
        <w:rPr>
          <w:rFonts w:eastAsia="Palatino Linotype" w:cs="Palatino Linotype"/>
          <w:bCs/>
          <w:color w:val="000000"/>
          <w:lang w:val="es-MX"/>
        </w:rPr>
        <w:t>la Coordinadora de Administración y Finanzas del Instituto Municipal de la Mujer de Toluca, mediante el cual refirió que no se han celebrado adjudicaciones directas durante el presente ejercicio fiscal.</w:t>
      </w:r>
    </w:p>
    <w:p w14:paraId="3BCAB83C" w14:textId="77777777" w:rsidR="00FA3A9E" w:rsidRDefault="00FA3A9E" w:rsidP="44E9108F">
      <w:pPr>
        <w:pBdr>
          <w:top w:val="nil"/>
          <w:left w:val="nil"/>
          <w:bottom w:val="nil"/>
          <w:right w:val="nil"/>
          <w:between w:val="nil"/>
        </w:pBdr>
        <w:contextualSpacing/>
        <w:rPr>
          <w:rFonts w:eastAsia="Palatino Linotype" w:cs="Palatino Linotype"/>
          <w:color w:val="000000" w:themeColor="text1"/>
          <w:lang w:val="es-ES"/>
        </w:rPr>
      </w:pPr>
    </w:p>
    <w:p w14:paraId="6128DFF4" w14:textId="2AA77D98" w:rsidR="00A970D5" w:rsidRPr="00A71944" w:rsidRDefault="44E9108F" w:rsidP="44E9108F">
      <w:pPr>
        <w:pBdr>
          <w:top w:val="nil"/>
          <w:left w:val="nil"/>
          <w:bottom w:val="nil"/>
          <w:right w:val="nil"/>
          <w:between w:val="nil"/>
        </w:pBdr>
        <w:contextualSpacing/>
        <w:rPr>
          <w:rFonts w:eastAsia="Palatino Linotype" w:cs="Palatino Linotype"/>
          <w:color w:val="000000"/>
          <w:lang w:val="es-ES"/>
        </w:rPr>
      </w:pPr>
      <w:r w:rsidRPr="44E9108F">
        <w:rPr>
          <w:rFonts w:eastAsia="Palatino Linotype" w:cs="Palatino Linotype"/>
          <w:color w:val="000000" w:themeColor="text1"/>
          <w:lang w:val="es-ES"/>
        </w:rPr>
        <w:t>Ante la respuesta em</w:t>
      </w:r>
      <w:r w:rsidR="002623AA">
        <w:rPr>
          <w:rFonts w:eastAsia="Palatino Linotype" w:cs="Palatino Linotype"/>
          <w:color w:val="000000" w:themeColor="text1"/>
          <w:lang w:val="es-ES"/>
        </w:rPr>
        <w:t>itida por el Sujeto Obligado, el</w:t>
      </w:r>
      <w:r w:rsidRPr="44E9108F">
        <w:rPr>
          <w:rFonts w:eastAsia="Palatino Linotype" w:cs="Palatino Linotype"/>
          <w:color w:val="000000" w:themeColor="text1"/>
          <w:lang w:val="es-ES"/>
        </w:rPr>
        <w:t xml:space="preserve"> Recurrente consideró que se trasgredió su derecho a la información pública, por lo que interpuso el recurso de revisión al rubro citado, señalando como acto impugnado</w:t>
      </w:r>
      <w:r w:rsidR="00A04222">
        <w:rPr>
          <w:rFonts w:eastAsia="Palatino Linotype" w:cs="Palatino Linotype"/>
          <w:color w:val="000000" w:themeColor="text1"/>
          <w:lang w:val="es-ES"/>
        </w:rPr>
        <w:t xml:space="preserve"> </w:t>
      </w:r>
      <w:r w:rsidR="00885E47">
        <w:rPr>
          <w:rFonts w:eastAsia="Palatino Linotype" w:cs="Palatino Linotype"/>
          <w:color w:val="000000" w:themeColor="text1"/>
          <w:lang w:val="es-ES"/>
        </w:rPr>
        <w:t xml:space="preserve">y </w:t>
      </w:r>
      <w:r w:rsidR="001B63A6">
        <w:rPr>
          <w:rFonts w:eastAsia="Palatino Linotype" w:cs="Palatino Linotype"/>
          <w:color w:val="000000" w:themeColor="text1"/>
          <w:lang w:val="es-ES"/>
        </w:rPr>
        <w:t xml:space="preserve">razones o motivos de inconformidad </w:t>
      </w:r>
      <w:r w:rsidR="00137BD8">
        <w:rPr>
          <w:rFonts w:eastAsia="Palatino Linotype" w:cs="Palatino Linotype"/>
          <w:color w:val="000000" w:themeColor="text1"/>
          <w:lang w:val="es-ES"/>
        </w:rPr>
        <w:t>la negativa de la información incompleta.</w:t>
      </w:r>
    </w:p>
    <w:p w14:paraId="4A6500B8" w14:textId="77777777" w:rsidR="008F50E6" w:rsidRDefault="008F50E6" w:rsidP="00A04222"/>
    <w:p w14:paraId="746012D2" w14:textId="77777777" w:rsidR="00384032" w:rsidRDefault="002C3E3D" w:rsidP="00FA7091">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Durante la etapa de manifestaciones, el Sujeto Obligado rindió su Informe Justificado mediante la entrega </w:t>
      </w:r>
      <w:r w:rsidR="00514D02" w:rsidRPr="00875A72">
        <w:rPr>
          <w:rFonts w:eastAsia="Palatino Linotype" w:cs="Palatino Linotype"/>
          <w:color w:val="000000"/>
          <w:szCs w:val="24"/>
        </w:rPr>
        <w:t>d</w:t>
      </w:r>
      <w:r w:rsidR="00514D02">
        <w:rPr>
          <w:rFonts w:eastAsia="Palatino Linotype" w:cs="Palatino Linotype"/>
          <w:color w:val="000000"/>
          <w:szCs w:val="24"/>
        </w:rPr>
        <w:t>e</w:t>
      </w:r>
      <w:r w:rsidR="00384032">
        <w:rPr>
          <w:rFonts w:eastAsia="Palatino Linotype" w:cs="Palatino Linotype"/>
          <w:color w:val="000000"/>
          <w:szCs w:val="24"/>
        </w:rPr>
        <w:t xml:space="preserve"> los siguientes documentos:</w:t>
      </w:r>
    </w:p>
    <w:p w14:paraId="4570D316" w14:textId="77777777" w:rsidR="00514D02" w:rsidRDefault="00514D02" w:rsidP="00FA7091">
      <w:pPr>
        <w:pBdr>
          <w:top w:val="nil"/>
          <w:left w:val="nil"/>
          <w:bottom w:val="nil"/>
          <w:right w:val="nil"/>
          <w:between w:val="nil"/>
        </w:pBdr>
        <w:contextualSpacing/>
        <w:rPr>
          <w:rFonts w:eastAsia="Palatino Linotype" w:cs="Palatino Linotype"/>
          <w:color w:val="000000"/>
          <w:szCs w:val="24"/>
        </w:rPr>
      </w:pPr>
    </w:p>
    <w:p w14:paraId="42751FC4" w14:textId="53EB15F0" w:rsidR="00384032" w:rsidRPr="00384032" w:rsidRDefault="00137BD8" w:rsidP="00137BD8">
      <w:pPr>
        <w:pStyle w:val="Prrafodelista"/>
        <w:numPr>
          <w:ilvl w:val="0"/>
          <w:numId w:val="69"/>
        </w:numPr>
        <w:pBdr>
          <w:top w:val="nil"/>
          <w:left w:val="nil"/>
          <w:bottom w:val="nil"/>
          <w:right w:val="nil"/>
          <w:between w:val="nil"/>
        </w:pBdr>
        <w:contextualSpacing/>
        <w:rPr>
          <w:rFonts w:eastAsia="Palatino Linotype" w:cs="Palatino Linotype"/>
          <w:b/>
          <w:color w:val="000000"/>
        </w:rPr>
      </w:pPr>
      <w:r w:rsidRPr="00137BD8">
        <w:rPr>
          <w:rFonts w:eastAsia="Palatino Linotype" w:cs="Palatino Linotype"/>
          <w:b/>
          <w:color w:val="000000"/>
        </w:rPr>
        <w:t>2. Ratificación RR-5755-2025.pdf</w:t>
      </w:r>
      <w:r w:rsidR="00384032">
        <w:rPr>
          <w:rFonts w:eastAsia="Palatino Linotype" w:cs="Palatino Linotype"/>
          <w:color w:val="000000"/>
        </w:rPr>
        <w:t>. Escrito suscrito por el Titular de la Unidad de Transparencia mediante el cual se ratificaron las respuestas emitidas por la Dirección General de Administración</w:t>
      </w:r>
      <w:r>
        <w:rPr>
          <w:rFonts w:eastAsia="Palatino Linotype" w:cs="Palatino Linotype"/>
          <w:color w:val="000000"/>
        </w:rPr>
        <w:t xml:space="preserve"> y el Instituto Municipal de la Mujer</w:t>
      </w:r>
      <w:r w:rsidR="00384032">
        <w:rPr>
          <w:rFonts w:eastAsia="Palatino Linotype" w:cs="Palatino Linotype"/>
          <w:color w:val="000000"/>
        </w:rPr>
        <w:t>.</w:t>
      </w:r>
    </w:p>
    <w:p w14:paraId="45A22989" w14:textId="24C4D9C6" w:rsidR="00384032" w:rsidRPr="00384032" w:rsidRDefault="00137BD8" w:rsidP="00137BD8">
      <w:pPr>
        <w:pStyle w:val="Prrafodelista"/>
        <w:numPr>
          <w:ilvl w:val="0"/>
          <w:numId w:val="69"/>
        </w:numPr>
        <w:pBdr>
          <w:top w:val="nil"/>
          <w:left w:val="nil"/>
          <w:bottom w:val="nil"/>
          <w:right w:val="nil"/>
          <w:between w:val="nil"/>
        </w:pBdr>
        <w:contextualSpacing/>
        <w:rPr>
          <w:rFonts w:eastAsia="Palatino Linotype" w:cs="Palatino Linotype"/>
          <w:color w:val="000000"/>
        </w:rPr>
      </w:pPr>
      <w:r w:rsidRPr="00137BD8">
        <w:rPr>
          <w:rFonts w:eastAsia="Palatino Linotype" w:cs="Palatino Linotype"/>
          <w:b/>
          <w:color w:val="000000"/>
        </w:rPr>
        <w:t>ANEXO RR 5755.pdf</w:t>
      </w:r>
      <w:r w:rsidR="00384032">
        <w:rPr>
          <w:rFonts w:eastAsia="Palatino Linotype" w:cs="Palatino Linotype"/>
          <w:color w:val="000000"/>
        </w:rPr>
        <w:t xml:space="preserve">. </w:t>
      </w:r>
      <w:r w:rsidR="00384032">
        <w:rPr>
          <w:rFonts w:eastAsia="Palatino Linotype" w:cs="Palatino Linotype"/>
          <w:bCs/>
          <w:color w:val="000000"/>
          <w:lang w:val="es-MX"/>
        </w:rPr>
        <w:t>Documento en el que se observan los siguiente elementos:</w:t>
      </w:r>
    </w:p>
    <w:p w14:paraId="1A70543F" w14:textId="15833BDF" w:rsidR="00384032" w:rsidRDefault="00384032" w:rsidP="00384032">
      <w:pPr>
        <w:pStyle w:val="Prrafodelista"/>
        <w:numPr>
          <w:ilvl w:val="1"/>
          <w:numId w:val="6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Oficio</w:t>
      </w:r>
      <w:r w:rsidR="00137BD8">
        <w:rPr>
          <w:rFonts w:eastAsia="Palatino Linotype" w:cs="Palatino Linotype"/>
          <w:color w:val="000000"/>
        </w:rPr>
        <w:t xml:space="preserve"> </w:t>
      </w:r>
      <w:r w:rsidR="00EC1151">
        <w:rPr>
          <w:rFonts w:eastAsia="Palatino Linotype" w:cs="Palatino Linotype"/>
          <w:color w:val="000000"/>
        </w:rPr>
        <w:t xml:space="preserve">200F1000/1773/2025 emitido por el Titular de la Unidad de Información, Planeación, Programación y Evaluación del Instituto Municipal de la Mujer de </w:t>
      </w:r>
      <w:r w:rsidR="00EC1151">
        <w:rPr>
          <w:rFonts w:eastAsia="Palatino Linotype" w:cs="Palatino Linotype"/>
          <w:color w:val="000000"/>
        </w:rPr>
        <w:lastRenderedPageBreak/>
        <w:t>Toluca, mediante el cual se ratificó la respuesta de la Coordinadora de Administración y Finanzas de ese Instituto.</w:t>
      </w:r>
    </w:p>
    <w:p w14:paraId="645A42D8" w14:textId="7F4E363B" w:rsidR="00384032" w:rsidRDefault="00EC1151" w:rsidP="00384032">
      <w:pPr>
        <w:pStyle w:val="Prrafodelista"/>
        <w:numPr>
          <w:ilvl w:val="1"/>
          <w:numId w:val="69"/>
        </w:numPr>
        <w:pBdr>
          <w:top w:val="nil"/>
          <w:left w:val="nil"/>
          <w:bottom w:val="nil"/>
          <w:right w:val="nil"/>
          <w:between w:val="nil"/>
        </w:pBdr>
        <w:contextualSpacing/>
        <w:rPr>
          <w:rFonts w:eastAsia="Palatino Linotype" w:cs="Palatino Linotype"/>
          <w:color w:val="000000"/>
        </w:rPr>
      </w:pPr>
      <w:r>
        <w:rPr>
          <w:rFonts w:eastAsia="Palatino Linotype" w:cs="Palatino Linotype"/>
          <w:bCs/>
          <w:color w:val="000000"/>
          <w:lang w:val="es-MX"/>
        </w:rPr>
        <w:t>Oficio número 200F10300/177/2025 remitido en respuesta</w:t>
      </w:r>
      <w:r w:rsidR="00D22668">
        <w:rPr>
          <w:rFonts w:eastAsia="Palatino Linotype" w:cs="Palatino Linotype"/>
          <w:color w:val="000000"/>
        </w:rPr>
        <w:t>.</w:t>
      </w:r>
    </w:p>
    <w:p w14:paraId="606D8312" w14:textId="15C525A3" w:rsidR="00D22668" w:rsidRPr="00384032" w:rsidRDefault="00EC1151" w:rsidP="00384032">
      <w:pPr>
        <w:pStyle w:val="Prrafodelista"/>
        <w:numPr>
          <w:ilvl w:val="1"/>
          <w:numId w:val="69"/>
        </w:numPr>
        <w:pBdr>
          <w:top w:val="nil"/>
          <w:left w:val="nil"/>
          <w:bottom w:val="nil"/>
          <w:right w:val="nil"/>
          <w:between w:val="nil"/>
        </w:pBdr>
        <w:contextualSpacing/>
        <w:rPr>
          <w:rFonts w:eastAsia="Palatino Linotype" w:cs="Palatino Linotype"/>
          <w:color w:val="000000"/>
        </w:rPr>
      </w:pPr>
      <w:r>
        <w:rPr>
          <w:rFonts w:eastAsia="Palatino Linotype" w:cs="Palatino Linotype"/>
          <w:color w:val="000000"/>
        </w:rPr>
        <w:t>Ofició número 206010000/2826</w:t>
      </w:r>
      <w:r w:rsidR="00D22668">
        <w:rPr>
          <w:rFonts w:eastAsia="Palatino Linotype" w:cs="Palatino Linotype"/>
          <w:color w:val="000000"/>
        </w:rPr>
        <w:t>/2025 emitido por la Directora General de Administración, por medio del cual se ratificó la respuesta inicial.</w:t>
      </w:r>
    </w:p>
    <w:p w14:paraId="792040FC" w14:textId="77777777" w:rsidR="00384032" w:rsidRDefault="00384032" w:rsidP="00FA7091">
      <w:pPr>
        <w:pBdr>
          <w:top w:val="nil"/>
          <w:left w:val="nil"/>
          <w:bottom w:val="nil"/>
          <w:right w:val="nil"/>
          <w:between w:val="nil"/>
        </w:pBdr>
        <w:contextualSpacing/>
        <w:rPr>
          <w:rFonts w:eastAsia="Palatino Linotype" w:cs="Palatino Linotype"/>
          <w:color w:val="000000"/>
          <w:szCs w:val="24"/>
        </w:rPr>
      </w:pPr>
    </w:p>
    <w:p w14:paraId="1D1CFD11" w14:textId="0F80066C" w:rsidR="005B4288" w:rsidRDefault="005B4288" w:rsidP="00BE576A">
      <w:pPr>
        <w:pBdr>
          <w:top w:val="nil"/>
          <w:left w:val="nil"/>
          <w:bottom w:val="nil"/>
          <w:right w:val="nil"/>
          <w:between w:val="nil"/>
        </w:pBdr>
        <w:contextualSpacing/>
        <w:rPr>
          <w:rFonts w:eastAsia="Palatino Linotype" w:cs="Palatino Linotype"/>
          <w:color w:val="000000"/>
          <w:szCs w:val="24"/>
        </w:rPr>
      </w:pPr>
      <w:r>
        <w:rPr>
          <w:rFonts w:eastAsia="Palatino Linotype" w:cs="Palatino Linotype"/>
          <w:color w:val="000000"/>
          <w:szCs w:val="24"/>
        </w:rPr>
        <w:t xml:space="preserve">Por su parte, el Recurrente no realizó manifestaciones, vertió alegatos ni presentó pruebas que a su derecho convinieran, así como tampoco </w:t>
      </w:r>
      <w:r w:rsidR="003A5A9F">
        <w:rPr>
          <w:rFonts w:eastAsia="Palatino Linotype" w:cs="Palatino Linotype"/>
          <w:color w:val="000000"/>
          <w:szCs w:val="24"/>
        </w:rPr>
        <w:t>se pronunció respecto del Informe Justificado rendido por el Sujeto Obligado.</w:t>
      </w:r>
    </w:p>
    <w:p w14:paraId="39AC33CC" w14:textId="77777777" w:rsidR="005B4288" w:rsidRDefault="005B4288" w:rsidP="00BE576A">
      <w:pPr>
        <w:pBdr>
          <w:top w:val="nil"/>
          <w:left w:val="nil"/>
          <w:bottom w:val="nil"/>
          <w:right w:val="nil"/>
          <w:between w:val="nil"/>
        </w:pBdr>
        <w:contextualSpacing/>
        <w:rPr>
          <w:rFonts w:eastAsia="Palatino Linotype" w:cs="Palatino Linotype"/>
          <w:color w:val="000000"/>
          <w:szCs w:val="24"/>
        </w:rPr>
      </w:pPr>
    </w:p>
    <w:p w14:paraId="02C281BA" w14:textId="06128CA3"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Ahora bien, quedando establecido lo anterior, este Órgano Garante considera viable realizar el estudio en aras de establecer si la respuesta del Sujeto Obligado </w:t>
      </w:r>
      <w:r w:rsidR="008F3CDB">
        <w:rPr>
          <w:rFonts w:eastAsia="Palatino Linotype" w:cs="Palatino Linotype"/>
          <w:color w:val="000000"/>
          <w:szCs w:val="24"/>
        </w:rPr>
        <w:t xml:space="preserve">es suficiente para </w:t>
      </w:r>
      <w:r w:rsidRPr="006922F5">
        <w:rPr>
          <w:rFonts w:eastAsia="Palatino Linotype" w:cs="Palatino Linotype"/>
          <w:color w:val="000000"/>
          <w:szCs w:val="24"/>
        </w:rPr>
        <w:t>colma</w:t>
      </w:r>
      <w:r w:rsidR="008F3CDB">
        <w:rPr>
          <w:rFonts w:eastAsia="Palatino Linotype" w:cs="Palatino Linotype"/>
          <w:color w:val="000000"/>
          <w:szCs w:val="24"/>
        </w:rPr>
        <w:t>r</w:t>
      </w:r>
      <w:r w:rsidRPr="006922F5">
        <w:rPr>
          <w:rFonts w:eastAsia="Palatino Linotype" w:cs="Palatino Linotype"/>
          <w:color w:val="000000"/>
          <w:szCs w:val="24"/>
        </w:rPr>
        <w:t xml:space="preserve"> la</w:t>
      </w:r>
      <w:r w:rsidR="008F3CDB">
        <w:rPr>
          <w:rFonts w:eastAsia="Palatino Linotype" w:cs="Palatino Linotype"/>
          <w:color w:val="000000"/>
          <w:szCs w:val="24"/>
        </w:rPr>
        <w:t>s</w:t>
      </w:r>
      <w:r w:rsidRPr="006922F5">
        <w:rPr>
          <w:rFonts w:eastAsia="Palatino Linotype" w:cs="Palatino Linotype"/>
          <w:color w:val="000000"/>
          <w:szCs w:val="24"/>
        </w:rPr>
        <w:t xml:space="preserve"> pretens</w:t>
      </w:r>
      <w:r w:rsidR="008F3CDB">
        <w:rPr>
          <w:rFonts w:eastAsia="Palatino Linotype" w:cs="Palatino Linotype"/>
          <w:color w:val="000000"/>
          <w:szCs w:val="24"/>
        </w:rPr>
        <w:t>iones</w:t>
      </w:r>
      <w:r w:rsidRPr="006922F5">
        <w:rPr>
          <w:rFonts w:eastAsia="Palatino Linotype" w:cs="Palatino Linotype"/>
          <w:color w:val="000000"/>
          <w:szCs w:val="24"/>
        </w:rPr>
        <w:t xml:space="preserve"> de</w:t>
      </w:r>
      <w:r>
        <w:rPr>
          <w:rFonts w:eastAsia="Palatino Linotype" w:cs="Palatino Linotype"/>
          <w:color w:val="000000"/>
          <w:szCs w:val="24"/>
        </w:rPr>
        <w:t>l</w:t>
      </w:r>
      <w:r w:rsidRPr="006922F5">
        <w:rPr>
          <w:rFonts w:eastAsia="Palatino Linotype" w:cs="Palatino Linotype"/>
          <w:color w:val="000000"/>
          <w:szCs w:val="24"/>
        </w:rPr>
        <w:t xml:space="preserve"> Recurrente, así como calificar los motivos de inconformidad del particular. </w:t>
      </w:r>
    </w:p>
    <w:p w14:paraId="7AF7731E"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E1B6FE8" w14:textId="0AB79C3B"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r w:rsidRPr="006922F5">
        <w:rPr>
          <w:rFonts w:eastAsia="Palatino Linotype" w:cs="Palatino Linotype"/>
          <w:color w:val="000000"/>
          <w:szCs w:val="24"/>
        </w:rPr>
        <w:t xml:space="preserve">En este sentido, es pertinente enfatizar lo que, respecto al derecho de acceso a la información pública, refiere el artículo </w:t>
      </w:r>
      <w:r w:rsidR="00E00EC1">
        <w:rPr>
          <w:rFonts w:eastAsia="Palatino Linotype" w:cs="Palatino Linotype"/>
          <w:color w:val="000000"/>
          <w:szCs w:val="24"/>
        </w:rPr>
        <w:t>5</w:t>
      </w:r>
      <w:r w:rsidRPr="006922F5">
        <w:rPr>
          <w:rFonts w:eastAsia="Palatino Linotype" w:cs="Palatino Linotype"/>
          <w:color w:val="000000"/>
          <w:szCs w:val="24"/>
        </w:rPr>
        <w:t>° de la Constitución Política del Estado Libre y Soberano de México</w:t>
      </w:r>
      <w:r w:rsidR="00E00EC1">
        <w:rPr>
          <w:rFonts w:eastAsia="Palatino Linotype" w:cs="Palatino Linotype"/>
          <w:color w:val="000000"/>
          <w:szCs w:val="24"/>
        </w:rPr>
        <w:t>, que</w:t>
      </w:r>
      <w:r w:rsidRPr="006922F5">
        <w:rPr>
          <w:rFonts w:eastAsia="Palatino Linotype" w:cs="Palatino Linotype"/>
          <w:color w:val="000000"/>
          <w:szCs w:val="24"/>
        </w:rPr>
        <w:t xml:space="preserve"> en su parte conducente</w:t>
      </w:r>
      <w:r w:rsidR="00E00EC1">
        <w:rPr>
          <w:rFonts w:eastAsia="Palatino Linotype" w:cs="Palatino Linotype"/>
          <w:color w:val="000000"/>
          <w:szCs w:val="24"/>
        </w:rPr>
        <w:t xml:space="preserve"> dispone</w:t>
      </w:r>
      <w:r w:rsidRPr="006922F5">
        <w:rPr>
          <w:rFonts w:eastAsia="Palatino Linotype" w:cs="Palatino Linotype"/>
          <w:color w:val="000000"/>
          <w:szCs w:val="24"/>
        </w:rPr>
        <w:t xml:space="preserve"> lo siguiente:</w:t>
      </w:r>
    </w:p>
    <w:p w14:paraId="5DA101FA"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04D5C6D7" w14:textId="77777777" w:rsidR="006100FC" w:rsidRDefault="006100FC" w:rsidP="006100FC">
      <w:pPr>
        <w:pStyle w:val="Fundamentos"/>
      </w:pPr>
      <w:r w:rsidRPr="006922F5">
        <w:rPr>
          <w:b/>
          <w:bCs/>
        </w:rPr>
        <w:t>Artículo 5.</w:t>
      </w:r>
      <w:r w:rsidRPr="006922F5">
        <w:t xml:space="preserve"> </w:t>
      </w:r>
      <w:r>
        <w:t>[</w:t>
      </w:r>
      <w:r w:rsidRPr="006922F5">
        <w:t>…</w:t>
      </w:r>
      <w:r>
        <w:t>]</w:t>
      </w:r>
    </w:p>
    <w:p w14:paraId="1839D29E" w14:textId="77777777" w:rsidR="006100FC" w:rsidRPr="006922F5" w:rsidRDefault="006100FC" w:rsidP="006100FC">
      <w:pPr>
        <w:pStyle w:val="Fundamentos"/>
      </w:pPr>
    </w:p>
    <w:p w14:paraId="7D51A6D3" w14:textId="77777777" w:rsidR="006100FC" w:rsidRPr="006922F5" w:rsidRDefault="006100FC" w:rsidP="006100FC">
      <w:pPr>
        <w:pStyle w:val="Fundamentos"/>
      </w:pPr>
      <w:r w:rsidRPr="006922F5">
        <w:t xml:space="preserve">El derecho a la información será garantizado por el Estado. La ley establecerá las previsiones que permitan asegurar la protección, el respeto y la difusión de este derecho. </w:t>
      </w:r>
    </w:p>
    <w:p w14:paraId="4079EC08" w14:textId="77777777" w:rsidR="006100FC" w:rsidRPr="006922F5" w:rsidRDefault="006100FC" w:rsidP="006100FC">
      <w:pPr>
        <w:pStyle w:val="Fundamentos"/>
      </w:pPr>
    </w:p>
    <w:p w14:paraId="2060C0A8" w14:textId="77777777" w:rsidR="006100FC" w:rsidRPr="006922F5" w:rsidRDefault="006100FC" w:rsidP="006100FC">
      <w:pPr>
        <w:pStyle w:val="Fundamentos"/>
      </w:pPr>
      <w:r w:rsidRPr="4DC97FF5">
        <w:rPr>
          <w:lang w:val="es-ES"/>
        </w:rPr>
        <w:t xml:space="preserve">Para garantizar el ejercicio del derecho de transparencia, acceso a la información pública y protección de datos personales, los poderes públicos y los organismos autónomos, transparentarán </w:t>
      </w:r>
      <w:r w:rsidRPr="4DC97FF5">
        <w:rPr>
          <w:lang w:val="es-ES"/>
        </w:rPr>
        <w:lastRenderedPageBreak/>
        <w:t xml:space="preserve">sus acciones, en términos de las disposiciones aplicables, la información será oportuna, clara, veraz y de fácil acceso. </w:t>
      </w:r>
    </w:p>
    <w:p w14:paraId="3ACBA707" w14:textId="77777777" w:rsidR="006100FC" w:rsidRPr="006922F5" w:rsidRDefault="006100FC" w:rsidP="006100FC">
      <w:pPr>
        <w:pStyle w:val="Fundamentos"/>
      </w:pPr>
    </w:p>
    <w:p w14:paraId="31D381A6" w14:textId="77777777" w:rsidR="006100FC" w:rsidRPr="006922F5" w:rsidRDefault="006100FC" w:rsidP="006100FC">
      <w:pPr>
        <w:pStyle w:val="Fundamentos"/>
      </w:pPr>
      <w:r w:rsidRPr="006922F5">
        <w:t>Este derecho se regirá por los principios y bases siguientes:</w:t>
      </w:r>
    </w:p>
    <w:p w14:paraId="1A21896F" w14:textId="77777777" w:rsidR="006100FC" w:rsidRPr="006922F5" w:rsidRDefault="006100FC" w:rsidP="006100FC">
      <w:pPr>
        <w:pStyle w:val="Fundamentos"/>
      </w:pPr>
    </w:p>
    <w:p w14:paraId="13A22FC8" w14:textId="77777777" w:rsidR="006100FC" w:rsidRPr="006922F5" w:rsidRDefault="006100FC" w:rsidP="006100FC">
      <w:pPr>
        <w:pStyle w:val="Fundamentos"/>
      </w:pPr>
      <w:r w:rsidRPr="006922F5">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0FD7EF" w14:textId="77777777" w:rsidR="006100FC" w:rsidRPr="006922F5" w:rsidRDefault="006100FC" w:rsidP="006100FC">
      <w:pPr>
        <w:pStyle w:val="Fundamentos"/>
      </w:pPr>
      <w:r w:rsidRPr="006922F5">
        <w:t>II. La información referente a la intimidad de la vida privada y la imagen de las personas será protegida a través de un marco jurídico rígido de tratamiento y manejo de datos personales, con las excepciones que establezca la ley reglamentaria.</w:t>
      </w:r>
    </w:p>
    <w:p w14:paraId="0ADBC238" w14:textId="77777777" w:rsidR="006100FC" w:rsidRPr="006922F5" w:rsidRDefault="006100FC" w:rsidP="006100FC">
      <w:pPr>
        <w:pStyle w:val="Fundamentos"/>
        <w:rPr>
          <w:lang w:val="es-ES"/>
        </w:rPr>
      </w:pPr>
      <w:r w:rsidRPr="4DC97FF5">
        <w:rPr>
          <w:lang w:val="es-ES"/>
        </w:rPr>
        <w:t>III. Toda persona, sin necesidad de acreditar interés alguno o justificar su utilización, tendrá acceso gratuito a la información pública, a sus datos personales o a la rectificación de éstos.</w:t>
      </w:r>
    </w:p>
    <w:p w14:paraId="2BB6A261" w14:textId="77777777" w:rsidR="006100FC" w:rsidRPr="006922F5" w:rsidRDefault="006100FC" w:rsidP="006100FC">
      <w:pPr>
        <w:pStyle w:val="Fundamentos"/>
      </w:pPr>
      <w:r w:rsidRPr="006922F5">
        <w:t>IV. Se establecerán mecanismos de acceso a la información y procedimientos de revisión expeditos que se sustanciarán ante el organismo autónomo especializado e imparcial que establece esta Constitución.</w:t>
      </w:r>
    </w:p>
    <w:p w14:paraId="18803A62" w14:textId="77777777" w:rsidR="006100FC" w:rsidRPr="006922F5" w:rsidRDefault="006100FC" w:rsidP="006100FC">
      <w:pPr>
        <w:pStyle w:val="Fundamentos"/>
      </w:pPr>
      <w:r w:rsidRPr="006922F5">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A4C7E99" w14:textId="77777777" w:rsidR="006100FC" w:rsidRPr="006922F5" w:rsidRDefault="006100FC" w:rsidP="006100FC">
      <w:pPr>
        <w:pStyle w:val="Fundamentos"/>
      </w:pPr>
      <w:r w:rsidRPr="006922F5">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3A16184" w14:textId="77777777" w:rsidR="006100FC" w:rsidRPr="006922F5" w:rsidRDefault="006100FC" w:rsidP="006100FC">
      <w:pPr>
        <w:pStyle w:val="Fundamentos"/>
        <w:rPr>
          <w:lang w:val="es-ES"/>
        </w:rPr>
      </w:pPr>
      <w:r w:rsidRPr="4DC97FF5">
        <w:rPr>
          <w:lang w:val="es-ES"/>
        </w:rPr>
        <w:t>VII. La ley reglamentaria, determinará la manera en que los sujetos obligados deberán hacer pública la información relativa a los recursos públicos que entreguen a personas físicas o jurídicas colectivas.</w:t>
      </w:r>
    </w:p>
    <w:p w14:paraId="5126C5B1"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577AEEBE" w14:textId="58656918" w:rsidR="006100FC" w:rsidRPr="006922F5" w:rsidRDefault="006100FC" w:rsidP="006100FC">
      <w:pPr>
        <w:rPr>
          <w:rFonts w:eastAsia="Palatino Linotype" w:cs="Palatino Linotype"/>
          <w:szCs w:val="24"/>
        </w:rPr>
      </w:pPr>
      <w:r w:rsidRPr="006922F5">
        <w:rPr>
          <w:rFonts w:eastAsia="Palatino Linotype" w:cs="Palatino Linotype"/>
          <w:szCs w:val="24"/>
        </w:rPr>
        <w:lastRenderedPageBreak/>
        <w:t>En ese orden de ideas, la Ley de Transparencia y Acceso a la Información Pública del Estado de México y Mun</w:t>
      </w:r>
      <w:r w:rsidR="001B63A6">
        <w:rPr>
          <w:rFonts w:eastAsia="Palatino Linotype" w:cs="Palatino Linotype"/>
          <w:szCs w:val="24"/>
        </w:rPr>
        <w:t>icipios, prevé en su artículo 23</w:t>
      </w:r>
      <w:r w:rsidRPr="006922F5">
        <w:rPr>
          <w:rFonts w:eastAsia="Palatino Linotype" w:cs="Palatino Linotype"/>
          <w:szCs w:val="24"/>
        </w:rPr>
        <w:t xml:space="preserve"> fracción I</w:t>
      </w:r>
      <w:r w:rsidR="0021631C">
        <w:rPr>
          <w:rFonts w:eastAsia="Palatino Linotype" w:cs="Palatino Linotype"/>
          <w:szCs w:val="24"/>
        </w:rPr>
        <w:t>V</w:t>
      </w:r>
      <w:r w:rsidRPr="006922F5">
        <w:rPr>
          <w:rFonts w:eastAsia="Palatino Linotype" w:cs="Palatino Linotype"/>
          <w:szCs w:val="24"/>
        </w:rPr>
        <w:t>, lo siguiente:</w:t>
      </w:r>
    </w:p>
    <w:p w14:paraId="2225C7E4" w14:textId="77777777" w:rsidR="006100FC" w:rsidRPr="00027FFC" w:rsidRDefault="006100FC" w:rsidP="006100FC">
      <w:pPr>
        <w:rPr>
          <w:rFonts w:eastAsia="Palatino Linotype" w:cs="Palatino Linotype"/>
          <w:szCs w:val="24"/>
        </w:rPr>
      </w:pPr>
    </w:p>
    <w:p w14:paraId="1E7239A4" w14:textId="77777777" w:rsidR="006100FC" w:rsidRPr="006922F5" w:rsidRDefault="006100FC" w:rsidP="006100FC">
      <w:pPr>
        <w:pStyle w:val="Fundamentos"/>
      </w:pPr>
      <w:r w:rsidRPr="006922F5">
        <w:rPr>
          <w:b/>
        </w:rPr>
        <w:t>Artículo 23.</w:t>
      </w:r>
      <w:r w:rsidRPr="006922F5">
        <w:t xml:space="preserve"> Son sujetos obligados a transparentar y permitir el acceso a su información y proteger los datos personales que obren en su poder:</w:t>
      </w:r>
    </w:p>
    <w:p w14:paraId="1F1A0AD1" w14:textId="527CCDE8" w:rsidR="006100FC" w:rsidRPr="006922F5" w:rsidRDefault="005E625F" w:rsidP="006100FC">
      <w:pPr>
        <w:pStyle w:val="Fundamentos"/>
      </w:pPr>
      <w:r>
        <w:t>[…]</w:t>
      </w:r>
    </w:p>
    <w:p w14:paraId="451DBD48" w14:textId="7234E42F" w:rsidR="006100FC" w:rsidRPr="006922F5" w:rsidRDefault="00456D44" w:rsidP="006100FC">
      <w:pPr>
        <w:pStyle w:val="Fundamentos"/>
      </w:pPr>
      <w:r>
        <w:rPr>
          <w:b/>
          <w:bCs/>
        </w:rPr>
        <w:t>I</w:t>
      </w:r>
      <w:r w:rsidR="0021631C">
        <w:rPr>
          <w:b/>
          <w:bCs/>
        </w:rPr>
        <w:t>V</w:t>
      </w:r>
      <w:r w:rsidR="006100FC" w:rsidRPr="006922F5">
        <w:rPr>
          <w:b/>
          <w:bCs/>
        </w:rPr>
        <w:t>.</w:t>
      </w:r>
      <w:r w:rsidR="006100FC">
        <w:rPr>
          <w:b/>
          <w:bCs/>
        </w:rPr>
        <w:t xml:space="preserve"> </w:t>
      </w:r>
      <w:r w:rsidRPr="00456D44">
        <w:t xml:space="preserve">Los </w:t>
      </w:r>
      <w:r w:rsidR="00206600" w:rsidRPr="00206600">
        <w:t>ayuntamientos y las dependencias, organismos, órganos y entidades de la administración municipal</w:t>
      </w:r>
      <w:r w:rsidR="006100FC" w:rsidRPr="006922F5">
        <w:t>;</w:t>
      </w:r>
    </w:p>
    <w:p w14:paraId="20F34654" w14:textId="77777777" w:rsidR="006100FC" w:rsidRPr="006922F5" w:rsidRDefault="006100FC" w:rsidP="006100FC">
      <w:pPr>
        <w:pStyle w:val="Fundamentos"/>
      </w:pPr>
      <w:r>
        <w:t>[…]</w:t>
      </w:r>
    </w:p>
    <w:p w14:paraId="2FDDCFD2" w14:textId="77777777" w:rsidR="006100FC" w:rsidRPr="006922F5" w:rsidRDefault="006100FC" w:rsidP="006100FC">
      <w:pPr>
        <w:pBdr>
          <w:top w:val="nil"/>
          <w:left w:val="nil"/>
          <w:bottom w:val="nil"/>
          <w:right w:val="nil"/>
          <w:between w:val="nil"/>
        </w:pBdr>
        <w:contextualSpacing/>
        <w:rPr>
          <w:rFonts w:eastAsia="Palatino Linotype" w:cs="Palatino Linotype"/>
          <w:color w:val="000000"/>
          <w:szCs w:val="24"/>
        </w:rPr>
      </w:pPr>
    </w:p>
    <w:p w14:paraId="6B7A73D1" w14:textId="77777777" w:rsidR="006100FC" w:rsidRDefault="006100FC" w:rsidP="006100FC">
      <w:r w:rsidRPr="006922F5">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3B7CDEA8" w14:textId="77777777" w:rsidR="00737EBC" w:rsidRDefault="00737EBC" w:rsidP="006100FC"/>
    <w:p w14:paraId="2171541A" w14:textId="0B87B4FC" w:rsidR="00737EBC" w:rsidRDefault="00737EBC" w:rsidP="006100FC">
      <w:r>
        <w:t xml:space="preserve">Asimismo, </w:t>
      </w:r>
      <w:r w:rsidR="00726486">
        <w:t>de</w:t>
      </w:r>
      <w:r w:rsidR="00942EC6">
        <w:t xml:space="preserve"> </w:t>
      </w:r>
      <w:r>
        <w:t>l</w:t>
      </w:r>
      <w:r w:rsidR="00526368">
        <w:t>a interpretación de los</w:t>
      </w:r>
      <w:r>
        <w:t xml:space="preserve"> motivos de inconformidad expresados por </w:t>
      </w:r>
      <w:r w:rsidR="00942EC6">
        <w:t>el</w:t>
      </w:r>
      <w:r>
        <w:t xml:space="preserve"> Recurrente, se </w:t>
      </w:r>
      <w:r w:rsidR="00F73E96">
        <w:t>colige</w:t>
      </w:r>
      <w:r>
        <w:t xml:space="preserve"> que en el presente caso se actualizó la causal de procedencia del recurso de revisión</w:t>
      </w:r>
      <w:r w:rsidR="00392DAC">
        <w:t xml:space="preserve"> prevista en la fracci</w:t>
      </w:r>
      <w:r w:rsidR="00942EC6">
        <w:t>ón</w:t>
      </w:r>
      <w:r w:rsidR="00392DAC">
        <w:t xml:space="preserve"> </w:t>
      </w:r>
      <w:r w:rsidR="00D22668">
        <w:t>V</w:t>
      </w:r>
      <w:r w:rsidR="006E1158">
        <w:t xml:space="preserve"> del artículo 179 de la Ley de Transparencia local, que a la letra es</w:t>
      </w:r>
      <w:r w:rsidR="0090120A">
        <w:t>tipula lo siguiente:</w:t>
      </w:r>
    </w:p>
    <w:p w14:paraId="1E203A5E" w14:textId="77777777" w:rsidR="0073386C" w:rsidRDefault="0073386C" w:rsidP="006100FC"/>
    <w:p w14:paraId="4467FD0C" w14:textId="77777777" w:rsidR="008270B7" w:rsidRPr="008270B7" w:rsidRDefault="008270B7" w:rsidP="00212F9D">
      <w:pPr>
        <w:pStyle w:val="Fundamentos"/>
        <w:rPr>
          <w:lang w:val="es-MX"/>
        </w:rPr>
      </w:pPr>
      <w:r w:rsidRPr="008270B7">
        <w:rPr>
          <w:b/>
          <w:lang w:val="es-MX"/>
        </w:rPr>
        <w:t xml:space="preserve">Artículo 179. </w:t>
      </w:r>
      <w:r w:rsidRPr="008270B7">
        <w:rPr>
          <w:lang w:val="es-MX"/>
        </w:rPr>
        <w:t>El recurso de revisión es un medio de protección que la Ley otorga a los particulares, para hacer valer su derecho de acceso a la información pública, y procederá en contra de las siguientes causas:</w:t>
      </w:r>
    </w:p>
    <w:p w14:paraId="26B87095" w14:textId="7FDFA7F9" w:rsidR="0073386C" w:rsidRDefault="008270B7" w:rsidP="00212F9D">
      <w:pPr>
        <w:pStyle w:val="Fundamentos"/>
      </w:pPr>
      <w:r>
        <w:t>[...]</w:t>
      </w:r>
    </w:p>
    <w:p w14:paraId="12F00B9C" w14:textId="5B69DA4E" w:rsidR="008270B7" w:rsidRDefault="00D22668" w:rsidP="00212F9D">
      <w:pPr>
        <w:pStyle w:val="Fundamentos"/>
      </w:pPr>
      <w:r w:rsidRPr="79EA9D8B">
        <w:rPr>
          <w:b/>
          <w:bCs/>
          <w:lang w:val="es-ES"/>
        </w:rPr>
        <w:t>V</w:t>
      </w:r>
      <w:r w:rsidR="00212F9D" w:rsidRPr="79EA9D8B">
        <w:rPr>
          <w:b/>
          <w:bCs/>
          <w:lang w:val="es-ES"/>
        </w:rPr>
        <w:t>.</w:t>
      </w:r>
      <w:r>
        <w:tab/>
      </w:r>
      <w:r w:rsidR="00212F9D" w:rsidRPr="79EA9D8B">
        <w:rPr>
          <w:lang w:val="es-ES"/>
        </w:rPr>
        <w:t>La entrega</w:t>
      </w:r>
      <w:r w:rsidRPr="79EA9D8B">
        <w:rPr>
          <w:lang w:val="es-ES"/>
        </w:rPr>
        <w:t xml:space="preserve"> de información incompleta</w:t>
      </w:r>
      <w:r w:rsidR="00212F9D" w:rsidRPr="79EA9D8B">
        <w:rPr>
          <w:lang w:val="es-ES"/>
        </w:rPr>
        <w:t>;</w:t>
      </w:r>
    </w:p>
    <w:p w14:paraId="06B9375E" w14:textId="4D0873A8" w:rsidR="00212F9D" w:rsidRDefault="00212F9D" w:rsidP="00212F9D">
      <w:pPr>
        <w:pStyle w:val="Fundamentos"/>
      </w:pPr>
      <w:r>
        <w:t>[...]</w:t>
      </w:r>
    </w:p>
    <w:p w14:paraId="5EC36975" w14:textId="77777777" w:rsidR="0090120A" w:rsidRDefault="0090120A" w:rsidP="006100FC"/>
    <w:p w14:paraId="46273BD3" w14:textId="67ABD981" w:rsidR="00C45AA0" w:rsidRDefault="006100FC" w:rsidP="00CD3466">
      <w:r>
        <w:lastRenderedPageBreak/>
        <w:t xml:space="preserve">En segundo término, </w:t>
      </w:r>
      <w:r w:rsidR="00D22668">
        <w:t xml:space="preserve">se debe recordar que el Recurrente solicitó </w:t>
      </w:r>
      <w:r w:rsidR="00C45AA0">
        <w:t>los expedientes completos y contratos de las adjudicaciones directas celebradas en el presente año, a lo que la Dirección General de Administración puso a disposición del Recurrente la información en consulta directa y el Instituto Municipal de la Mujer de Toluca refirió que no ha celebrado ninguna adjudicación directa en el periodo referido. Por lo que conviene analizar las respuestas por separado.</w:t>
      </w:r>
    </w:p>
    <w:p w14:paraId="46C4195B" w14:textId="77777777" w:rsidR="00C45AA0" w:rsidRDefault="00C45AA0" w:rsidP="00CD3466"/>
    <w:p w14:paraId="6C0D9CAF" w14:textId="2988B328" w:rsidR="00C45AA0" w:rsidRDefault="00C45AA0" w:rsidP="00CD3466">
      <w:r>
        <w:t xml:space="preserve">Al respecto, la respuesta del Instituto Municipal de la Mujer de Toluca fue emitida por la Coordinación de Administración y Finanzas, por lo que es dable referir que el Reglamento Interno del Organismo Público Descentralizado denominado Instituto Municipal de la Mujer de Toluca establece en su artículo 17 </w:t>
      </w:r>
      <w:r w:rsidR="002D2135">
        <w:t xml:space="preserve">fracciones I, VIII y IX </w:t>
      </w:r>
      <w:r>
        <w:t>lo siguiente:</w:t>
      </w:r>
    </w:p>
    <w:p w14:paraId="4550A72A" w14:textId="77777777" w:rsidR="00C45AA0" w:rsidRDefault="00C45AA0" w:rsidP="00CD3466"/>
    <w:p w14:paraId="4229D771" w14:textId="1F0F0F8D" w:rsidR="00C45AA0" w:rsidRDefault="00C45AA0" w:rsidP="002D2135">
      <w:pPr>
        <w:pStyle w:val="Fundamentos"/>
      </w:pPr>
      <w:r w:rsidRPr="002D2135">
        <w:rPr>
          <w:b/>
        </w:rPr>
        <w:t>Artículo 17.</w:t>
      </w:r>
      <w:r w:rsidRPr="00C45AA0">
        <w:t xml:space="preserve"> La persona titular de la Coordinación de Administración y Finanzas tendrá las siguientes atribuciones:  </w:t>
      </w:r>
    </w:p>
    <w:p w14:paraId="656ACACE" w14:textId="77777777" w:rsidR="00C45AA0" w:rsidRDefault="00C45AA0" w:rsidP="002D2135">
      <w:pPr>
        <w:pStyle w:val="Fundamentos"/>
      </w:pPr>
    </w:p>
    <w:p w14:paraId="4CF33041" w14:textId="04D4C857" w:rsidR="00C45AA0" w:rsidRDefault="002D2135" w:rsidP="002D2135">
      <w:pPr>
        <w:pStyle w:val="Fundamentos"/>
      </w:pPr>
      <w:r w:rsidRPr="79EA9D8B">
        <w:rPr>
          <w:lang w:val="es-ES"/>
        </w:rPr>
        <w:t>I..</w:t>
      </w:r>
      <w:r>
        <w:tab/>
      </w:r>
      <w:r w:rsidR="00C45AA0" w:rsidRPr="79EA9D8B">
        <w:rPr>
          <w:lang w:val="es-ES"/>
        </w:rPr>
        <w:t>Establecer en el ámbito de su competencia, políticas y procedimientos para la administración de los recursos humanos, materiales y financieros del Instituto, así como llevar a cabo su control y seguimiento de acuerdo con los objetivos, lineamientos y estrategias definidas en los programas del Instituto;</w:t>
      </w:r>
    </w:p>
    <w:p w14:paraId="27054527" w14:textId="66E2C602" w:rsidR="002D2135" w:rsidRDefault="002D2135" w:rsidP="002D2135">
      <w:pPr>
        <w:pStyle w:val="Fundamentos"/>
      </w:pPr>
      <w:r>
        <w:t>[…]</w:t>
      </w:r>
    </w:p>
    <w:p w14:paraId="103AA018" w14:textId="72CD787D" w:rsidR="002D2135" w:rsidRDefault="002D2135" w:rsidP="002D2135">
      <w:pPr>
        <w:pStyle w:val="Fundamentos"/>
      </w:pPr>
      <w:r w:rsidRPr="79EA9D8B">
        <w:rPr>
          <w:lang w:val="es-ES"/>
        </w:rPr>
        <w:t>VIII.</w:t>
      </w:r>
      <w:r>
        <w:tab/>
      </w:r>
      <w:r w:rsidRPr="79EA9D8B">
        <w:rPr>
          <w:lang w:val="es-ES"/>
        </w:rPr>
        <w:t>Coordinar, y en su caso, ejecutar los procedimientos de adquisición y/o arrendamiento de bienes y servicios de acuerdo a los lineamientos y/o reglas de operación de los recursos gestionados por el Instituto;</w:t>
      </w:r>
    </w:p>
    <w:p w14:paraId="341C71AA" w14:textId="0D0256D0" w:rsidR="002D2135" w:rsidRDefault="002D2135" w:rsidP="002D2135">
      <w:pPr>
        <w:pStyle w:val="Fundamentos"/>
      </w:pPr>
      <w:r w:rsidRPr="79EA9D8B">
        <w:rPr>
          <w:lang w:val="es-ES"/>
        </w:rPr>
        <w:t>IX.</w:t>
      </w:r>
      <w:r>
        <w:tab/>
      </w:r>
      <w:r w:rsidRPr="79EA9D8B">
        <w:rPr>
          <w:lang w:val="es-ES"/>
        </w:rPr>
        <w:t>Proponer a la Dirección General la suscripción de contratos y convenios derivados de los procedimientos adquisitivos de bienes y servicios, con base en la normatividad aplicable;</w:t>
      </w:r>
    </w:p>
    <w:p w14:paraId="42416265" w14:textId="0192FACD" w:rsidR="002D2135" w:rsidRDefault="002D2135" w:rsidP="002D2135">
      <w:pPr>
        <w:pStyle w:val="Fundamentos"/>
      </w:pPr>
      <w:r>
        <w:t>[…]</w:t>
      </w:r>
    </w:p>
    <w:p w14:paraId="61689C26" w14:textId="77777777" w:rsidR="002D2135" w:rsidRDefault="002D2135" w:rsidP="00CD3466"/>
    <w:p w14:paraId="053B4762" w14:textId="244673D2" w:rsidR="002D2135" w:rsidRDefault="002D2135" w:rsidP="00CD3466">
      <w:r>
        <w:t xml:space="preserve">Del artículo en cita se desprende que la Coordinación de Administración y Finanzas del Instituto Municipal de la Mujer es la unidad administrativa facultada para establecer las </w:t>
      </w:r>
      <w:r>
        <w:lastRenderedPageBreak/>
        <w:t>políticas y procedimientos para la administración de los recursos materiales; para coordinar y ejecutar los procedimientos de adquisición de bienes y servicios y de proponer al Dirección General la suscripción de los contratos y convenios derivados de los procedimientos adquisitivos de bienes y servicios; lo que conlleva a concluir que es el área facultada para conocer respecto de los procedimientos adquisitivos mediante la modalidad de adjudicación directa.</w:t>
      </w:r>
    </w:p>
    <w:p w14:paraId="4E2E2B74" w14:textId="77777777" w:rsidR="002D2135" w:rsidRDefault="002D2135" w:rsidP="00CD3466"/>
    <w:p w14:paraId="2D1699AC" w14:textId="77777777" w:rsidR="005B4AA2" w:rsidRPr="0044449B" w:rsidRDefault="005B4AA2" w:rsidP="005B4AA2">
      <w:pPr>
        <w:contextualSpacing/>
        <w:rPr>
          <w:rFonts w:eastAsia="Palatino Linotype" w:cs="Palatino Linotype"/>
          <w:color w:val="000000"/>
        </w:rPr>
      </w:pPr>
      <w:r>
        <w:t xml:space="preserve">En ese orden de ideas, </w:t>
      </w:r>
      <w:r w:rsidRPr="0044449B">
        <w:rPr>
          <w:rFonts w:eastAsia="Palatino Linotype" w:cs="Palatino Linotype"/>
          <w:color w:val="000000"/>
        </w:rPr>
        <w:t>conviene hacer referencia a lo establecido en los artículos 4, 12 y 24 último párrafo de la Ley de Transparencia local, en los que se dispone lo siguiente:</w:t>
      </w:r>
    </w:p>
    <w:p w14:paraId="571217E0" w14:textId="77777777" w:rsidR="005B4AA2" w:rsidRPr="0044449B" w:rsidRDefault="005B4AA2" w:rsidP="005B4AA2">
      <w:pPr>
        <w:contextualSpacing/>
        <w:rPr>
          <w:rFonts w:eastAsia="Palatino Linotype" w:cs="Palatino Linotype"/>
          <w:color w:val="000000"/>
        </w:rPr>
      </w:pPr>
    </w:p>
    <w:p w14:paraId="6C2AD5A6"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4. </w:t>
      </w:r>
      <w:r w:rsidRPr="0044449B">
        <w:rPr>
          <w:rFonts w:eastAsia="Palatino Linotype" w:cs="Palatino Linotype"/>
          <w:i/>
          <w:color w:val="000000"/>
          <w:sz w:val="22"/>
        </w:rPr>
        <w:t>El derecho humano de acceso a la información pública es la prerrogativa de las personas para buscar, difundir, investigar, recabar, recibir y solicitar información pública, sin necesidad de acreditar personalidad ni interés jurídico.</w:t>
      </w:r>
    </w:p>
    <w:p w14:paraId="42532303"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A72FE8A"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u w:val="single"/>
        </w:rPr>
        <w:t>Toda la información generada, obtenida, adquirida, transformada, administrada o en posesión de los sujetos obligados es pública y accesible de manera permanente a cualquier persona</w:t>
      </w:r>
      <w:r w:rsidRPr="0044449B">
        <w:rPr>
          <w:rFonts w:eastAsia="Palatino Linotype" w:cs="Palatino Linotype"/>
          <w:i/>
          <w:color w:val="000000"/>
          <w:sz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89B9C71"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4CD909E"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D31B0B9"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5655934E"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i/>
          <w:color w:val="000000"/>
          <w:sz w:val="22"/>
        </w:rPr>
        <w:t xml:space="preserve">Artículo 12. </w:t>
      </w:r>
      <w:r w:rsidRPr="0044449B">
        <w:rPr>
          <w:rFonts w:eastAsia="Palatino Linotype" w:cs="Palatino Linotype"/>
          <w:i/>
          <w:color w:val="000000"/>
          <w:sz w:val="22"/>
        </w:rPr>
        <w:t>Quienes generen, recopilen, administren, manejen, procesen, archiven o conserven información pública serán responsables de la misma en los términos de las disposiciones jurídicas aplicables.</w:t>
      </w:r>
    </w:p>
    <w:p w14:paraId="2C00F8F8"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3C5C0F92"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207EEFFE">
        <w:rPr>
          <w:rFonts w:eastAsia="Palatino Linotype" w:cs="Palatino Linotype"/>
          <w:b/>
          <w:bCs/>
          <w:i/>
          <w:iCs/>
          <w:color w:val="000000" w:themeColor="text1"/>
          <w:sz w:val="22"/>
          <w:u w:val="single"/>
          <w:lang w:val="es-ES"/>
        </w:rPr>
        <w:t>Los sujetos obligados sólo proporcionarán la información pública que se les requiera y que obre en sus archivos y en el estado en que ésta se encuentre</w:t>
      </w:r>
      <w:r w:rsidRPr="207EEFFE">
        <w:rPr>
          <w:rFonts w:eastAsia="Palatino Linotype" w:cs="Palatino Linotype"/>
          <w:i/>
          <w:iCs/>
          <w:color w:val="000000" w:themeColor="text1"/>
          <w:sz w:val="22"/>
          <w:lang w:val="es-ES"/>
        </w:rPr>
        <w:t xml:space="preserve">. La obligación de </w:t>
      </w:r>
      <w:r w:rsidRPr="207EEFFE">
        <w:rPr>
          <w:rFonts w:eastAsia="Palatino Linotype" w:cs="Palatino Linotype"/>
          <w:i/>
          <w:iCs/>
          <w:color w:val="000000" w:themeColor="text1"/>
          <w:sz w:val="22"/>
          <w:lang w:val="es-ES"/>
        </w:rPr>
        <w:lastRenderedPageBreak/>
        <w:t>proporcionar información no comprende el procesamiento de la misma, ni el presentarla conforme al interés del solicitante; no estarán obligados a generarla, resumirla, efectuar cálculos o practicar investigaciones.</w:t>
      </w:r>
    </w:p>
    <w:p w14:paraId="32CE26D6"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29B4AE92"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b/>
          <w:bCs/>
          <w:i/>
          <w:color w:val="000000"/>
          <w:sz w:val="22"/>
        </w:rPr>
        <w:t>Artículo 24.</w:t>
      </w:r>
      <w:r w:rsidRPr="0044449B">
        <w:rPr>
          <w:rFonts w:eastAsia="Palatino Linotype" w:cs="Palatino Linotype"/>
          <w:i/>
          <w:color w:val="000000"/>
          <w:sz w:val="22"/>
        </w:rPr>
        <w:t xml:space="preserve"> […]</w:t>
      </w:r>
    </w:p>
    <w:p w14:paraId="1399CDD1"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E7975F0" w14:textId="77777777" w:rsidR="005B4AA2" w:rsidRPr="0044449B"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44449B">
        <w:rPr>
          <w:rFonts w:eastAsia="Palatino Linotype" w:cs="Palatino Linotype"/>
          <w:i/>
          <w:color w:val="000000"/>
          <w:sz w:val="22"/>
        </w:rPr>
        <w:t>Los sujetos obligados solo proporcionarán la información pública que generen, administren o posean en el ejercicio de sus atribuciones.</w:t>
      </w:r>
    </w:p>
    <w:p w14:paraId="64AE35B4" w14:textId="77777777" w:rsidR="005B4AA2" w:rsidRPr="0044449B" w:rsidRDefault="005B4AA2" w:rsidP="005B4AA2">
      <w:pPr>
        <w:contextualSpacing/>
        <w:rPr>
          <w:rFonts w:eastAsia="Palatino Linotype" w:cs="Palatino Linotype"/>
          <w:color w:val="000000"/>
        </w:rPr>
      </w:pPr>
    </w:p>
    <w:p w14:paraId="0A4F191B" w14:textId="77777777" w:rsidR="005B4AA2" w:rsidRPr="0044449B" w:rsidRDefault="005B4AA2" w:rsidP="005B4AA2">
      <w:pPr>
        <w:contextualSpacing/>
        <w:rPr>
          <w:rFonts w:eastAsia="Palatino Linotype" w:cs="Palatino Linotype"/>
          <w:color w:val="000000"/>
          <w:lang w:val="es-ES"/>
        </w:rPr>
      </w:pPr>
      <w:r w:rsidRPr="0044449B">
        <w:rPr>
          <w:rFonts w:eastAsia="Palatino Linotype" w:cs="Palatino Linotype"/>
          <w:color w:val="000000"/>
          <w:lang w:val="es-ES"/>
        </w:rPr>
        <w:t xml:space="preserve">De los preceptos en cita se desprende que toda la información que los sujetos obligados generen, posean o administren en el ejercicio de sus atribuciones, competencias o facultades es pública, así como que se encuentran constreñidos a hacer entrega de la información que les sea solicitada, que obre en sus archivos y en el estado en el que esta se encuentre, sin estar en la obligación de elaborar documentos </w:t>
      </w:r>
      <w:r w:rsidRPr="0044449B">
        <w:rPr>
          <w:rFonts w:eastAsia="Palatino Linotype" w:cs="Palatino Linotype"/>
          <w:i/>
          <w:iCs/>
          <w:color w:val="000000"/>
          <w:lang w:val="es-ES"/>
        </w:rPr>
        <w:t>ad hoc</w:t>
      </w:r>
      <w:r>
        <w:rPr>
          <w:rFonts w:eastAsia="Palatino Linotype" w:cs="Palatino Linotype"/>
          <w:color w:val="000000"/>
          <w:lang w:val="es-ES"/>
        </w:rPr>
        <w:t>, ni presentar la información conforme al interés de los solicitantes.</w:t>
      </w:r>
    </w:p>
    <w:p w14:paraId="1782C4B4" w14:textId="77777777" w:rsidR="005B4AA2" w:rsidRPr="0044449B" w:rsidRDefault="005B4AA2" w:rsidP="005B4AA2">
      <w:pPr>
        <w:contextualSpacing/>
        <w:rPr>
          <w:rFonts w:eastAsia="Palatino Linotype" w:cs="Palatino Linotype"/>
          <w:color w:val="000000"/>
        </w:rPr>
      </w:pPr>
    </w:p>
    <w:p w14:paraId="0EC0E118" w14:textId="57BA0B71" w:rsidR="005B4AA2" w:rsidRDefault="005B4AA2" w:rsidP="005B4AA2">
      <w:pPr>
        <w:rPr>
          <w:rFonts w:eastAsia="Palatino Linotype" w:cs="Palatino Linotype"/>
          <w:color w:val="000000"/>
        </w:rPr>
      </w:pPr>
      <w:r>
        <w:rPr>
          <w:rFonts w:cs="Times New Roman"/>
        </w:rPr>
        <w:t xml:space="preserve">De tal forma que el área competente </w:t>
      </w:r>
      <w:r w:rsidR="002D2135">
        <w:rPr>
          <w:rFonts w:cs="Times New Roman"/>
        </w:rPr>
        <w:t xml:space="preserve">adscrita al Instituto Municipal de la Mujer </w:t>
      </w:r>
      <w:r>
        <w:rPr>
          <w:rFonts w:cs="Times New Roman"/>
        </w:rPr>
        <w:t>para generar la información manifestó que no se generó, poseyó o administró la informa</w:t>
      </w:r>
      <w:r w:rsidR="002D2135">
        <w:rPr>
          <w:rFonts w:cs="Times New Roman"/>
        </w:rPr>
        <w:t>ción relacionada con las adjudicaciones directas durante el ejercicio 2025 ya que no se ha celebrado ninguna adjudicación bajo esta modalidad; por ende</w:t>
      </w:r>
      <w:r>
        <w:rPr>
          <w:rFonts w:cs="Times New Roman"/>
        </w:rPr>
        <w:t xml:space="preserve">, se colige que no es posible proporcionar la información requerida por el solicitante y se </w:t>
      </w:r>
      <w:r w:rsidRPr="00120CF1">
        <w:rPr>
          <w:rFonts w:eastAsia="Palatino Linotype" w:cs="Palatino Linotype"/>
          <w:color w:val="000000"/>
        </w:rPr>
        <w:t>debe entender que</w:t>
      </w:r>
      <w:r>
        <w:rPr>
          <w:rFonts w:eastAsia="Palatino Linotype" w:cs="Palatino Linotype"/>
          <w:color w:val="000000"/>
        </w:rPr>
        <w:t xml:space="preserve"> en el presente asunto </w:t>
      </w:r>
      <w:r w:rsidRPr="00120CF1">
        <w:rPr>
          <w:rFonts w:eastAsia="Palatino Linotype" w:cs="Palatino Linotype"/>
          <w:color w:val="000000"/>
        </w:rPr>
        <w:t>se está frente a hechos negativos.</w:t>
      </w:r>
      <w:r>
        <w:rPr>
          <w:rFonts w:eastAsia="Palatino Linotype" w:cs="Palatino Linotype"/>
          <w:color w:val="000000"/>
        </w:rPr>
        <w:t xml:space="preserve"> </w:t>
      </w:r>
    </w:p>
    <w:p w14:paraId="188815EF" w14:textId="77777777" w:rsidR="005B4AA2" w:rsidRDefault="005B4AA2" w:rsidP="005B4AA2">
      <w:pPr>
        <w:rPr>
          <w:rFonts w:eastAsia="Palatino Linotype" w:cs="Palatino Linotype"/>
          <w:color w:val="000000"/>
        </w:rPr>
      </w:pPr>
    </w:p>
    <w:p w14:paraId="37BE3EDA" w14:textId="77777777" w:rsidR="005B4AA2" w:rsidRPr="00120CF1" w:rsidRDefault="005B4AA2" w:rsidP="005B4AA2">
      <w:r w:rsidRPr="00120CF1">
        <w:rPr>
          <w:rFonts w:cs="Arial"/>
        </w:rPr>
        <w:t>Así, el Pleno de este Órgano Garante ha sostenido que ante un hecho negativo</w:t>
      </w:r>
      <w:r w:rsidRPr="00120CF1">
        <w:rPr>
          <w:rFonts w:eastAsia="Palatino Linotype" w:cs="Palatino Linotype"/>
          <w:color w:val="000000"/>
        </w:rPr>
        <w:t xml:space="preserve"> </w:t>
      </w:r>
      <w:r w:rsidRPr="00120CF1">
        <w:rPr>
          <w:rFonts w:cs="Arial"/>
          <w:lang w:eastAsia="es-ES"/>
        </w:rPr>
        <w:t>resulta innecesaria una declaratoria de inexistencia en términos de los artículos 19, 169 y 170 de la Ley de Transparencia y Acceso a la Información Pública del Estado de México y Municipios, resultando aplicable la siguiente tesis:</w:t>
      </w:r>
    </w:p>
    <w:p w14:paraId="187E008C" w14:textId="77777777" w:rsidR="005B4AA2" w:rsidRPr="00120CF1" w:rsidRDefault="005B4AA2" w:rsidP="005B4AA2">
      <w:pPr>
        <w:rPr>
          <w:rFonts w:cs="Times New Roman"/>
        </w:rPr>
      </w:pPr>
    </w:p>
    <w:p w14:paraId="34E7BC0C" w14:textId="77777777" w:rsidR="005B4AA2" w:rsidRPr="00120CF1" w:rsidRDefault="005B4AA2" w:rsidP="005B4AA2">
      <w:pPr>
        <w:pBdr>
          <w:top w:val="nil"/>
          <w:left w:val="nil"/>
          <w:bottom w:val="nil"/>
          <w:right w:val="nil"/>
          <w:between w:val="nil"/>
        </w:pBdr>
        <w:spacing w:line="240" w:lineRule="auto"/>
        <w:ind w:left="567" w:right="567"/>
        <w:contextualSpacing/>
        <w:rPr>
          <w:rFonts w:eastAsia="Palatino Linotype" w:cs="Palatino Linotype"/>
          <w:b/>
          <w:bCs/>
          <w:i/>
          <w:color w:val="000000"/>
          <w:sz w:val="22"/>
        </w:rPr>
      </w:pPr>
      <w:r w:rsidRPr="00120CF1">
        <w:rPr>
          <w:rFonts w:eastAsia="Palatino Linotype" w:cs="Palatino Linotype"/>
          <w:b/>
          <w:bCs/>
          <w:i/>
          <w:color w:val="000000"/>
          <w:sz w:val="22"/>
        </w:rPr>
        <w:t xml:space="preserve">HECHOS NEGATIVOS, NO SON SUSCEPTIBLES DE DEMOSTRACIÓN. </w:t>
      </w:r>
    </w:p>
    <w:p w14:paraId="3925F340" w14:textId="77777777" w:rsidR="005B4AA2" w:rsidRPr="00120CF1" w:rsidRDefault="005B4AA2" w:rsidP="005B4AA2">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120CF1">
        <w:rPr>
          <w:rFonts w:eastAsia="Palatino Linotype" w:cs="Palatino Linotype"/>
          <w:i/>
          <w:color w:val="000000"/>
          <w:sz w:val="22"/>
        </w:rPr>
        <w:t>Tratándose de un hecho negativo, el Juez no tiene por qué invocar prueba alguna de la que se desprenda, ya que es bien sabido que esta clase de hechos no son susceptibles de demostración.</w:t>
      </w:r>
    </w:p>
    <w:p w14:paraId="7FF19E63" w14:textId="77777777" w:rsidR="005B4AA2" w:rsidRPr="00120CF1" w:rsidRDefault="005B4AA2" w:rsidP="005B4AA2">
      <w:pPr>
        <w:rPr>
          <w:rFonts w:cs="Times New Roman"/>
          <w:iCs/>
        </w:rPr>
      </w:pPr>
    </w:p>
    <w:p w14:paraId="73562862" w14:textId="77777777" w:rsidR="005B4AA2" w:rsidRPr="00120CF1" w:rsidRDefault="005B4AA2" w:rsidP="005B4AA2">
      <w:pPr>
        <w:pBdr>
          <w:top w:val="nil"/>
          <w:left w:val="nil"/>
          <w:bottom w:val="nil"/>
          <w:right w:val="nil"/>
          <w:between w:val="nil"/>
        </w:pBdr>
        <w:contextualSpacing/>
        <w:rPr>
          <w:rFonts w:eastAsia="Palatino Linotype" w:cs="Palatino Linotype"/>
        </w:rPr>
      </w:pPr>
      <w:r w:rsidRPr="00120CF1">
        <w:rPr>
          <w:rFonts w:cs="Times New Roman"/>
        </w:rPr>
        <w:t>Además, de conformidad con lo establecido en el artículo 12 de la Ley de la materia</w:t>
      </w:r>
      <w:r>
        <w:rPr>
          <w:rFonts w:cs="Times New Roman"/>
        </w:rPr>
        <w:t xml:space="preserve"> citado anteriormente</w:t>
      </w:r>
      <w:r w:rsidRPr="00120CF1">
        <w:rPr>
          <w:rFonts w:cs="Times New Roman"/>
        </w:rPr>
        <w:t xml:space="preserve">, el Sujeto Obligado sólo proporcionará la información que obra en sus archivos, lo que </w:t>
      </w:r>
      <w:r w:rsidRPr="00120CF1">
        <w:rPr>
          <w:rFonts w:cs="Times New Roman"/>
          <w:i/>
        </w:rPr>
        <w:t>a contrario sensu</w:t>
      </w:r>
      <w:r w:rsidRPr="00120CF1">
        <w:rPr>
          <w:rFonts w:cs="Times New Roman"/>
        </w:rPr>
        <w:t xml:space="preserve"> significa que no está obligado a proporcionar lo que no obre en sus archivos.</w:t>
      </w:r>
    </w:p>
    <w:p w14:paraId="4B583182" w14:textId="77777777" w:rsidR="005B4AA2" w:rsidRPr="00120CF1" w:rsidRDefault="005B4AA2" w:rsidP="005B4AA2">
      <w:pPr>
        <w:pBdr>
          <w:top w:val="nil"/>
          <w:left w:val="nil"/>
          <w:bottom w:val="nil"/>
          <w:right w:val="nil"/>
          <w:between w:val="nil"/>
        </w:pBdr>
        <w:contextualSpacing/>
        <w:rPr>
          <w:rFonts w:eastAsia="Palatino Linotype" w:cs="Palatino Linotype"/>
        </w:rPr>
      </w:pPr>
    </w:p>
    <w:p w14:paraId="11703673" w14:textId="77777777" w:rsidR="005B4AA2" w:rsidRDefault="005B4AA2" w:rsidP="005B4AA2">
      <w:pPr>
        <w:rPr>
          <w:rFonts w:cs="Times New Roman"/>
        </w:rPr>
      </w:pPr>
      <w:r w:rsidRPr="6A5992C8">
        <w:rPr>
          <w:lang w:val="es-ES"/>
        </w:rPr>
        <w:t>Asimismo, derivado del pronunciamiento emitido por el Sujeto Obligado, aun en senti</w:t>
      </w:r>
      <w:r>
        <w:rPr>
          <w:lang w:val="es-ES"/>
        </w:rPr>
        <w:t>do negativo, este Instituto</w:t>
      </w:r>
      <w:r w:rsidRPr="6A5992C8">
        <w:rPr>
          <w:lang w:val="es-ES"/>
        </w:rPr>
        <w:t xml:space="preserve"> estima conveniente señalar que no está facultado para manifestarse sobre la veracidad de la información proporcionada, ya que no existe precept</w:t>
      </w:r>
      <w:r>
        <w:rPr>
          <w:lang w:val="es-ES"/>
        </w:rPr>
        <w:t>o legal alguna en la Ley de la m</w:t>
      </w:r>
      <w:r w:rsidRPr="6A5992C8">
        <w:rPr>
          <w:lang w:val="es-ES"/>
        </w:rPr>
        <w:t>ateria que permita, vía recurso de revisión, que se pronuncie al respecto.</w:t>
      </w:r>
    </w:p>
    <w:p w14:paraId="18E594AC" w14:textId="77777777" w:rsidR="005B4AA2" w:rsidRDefault="005B4AA2" w:rsidP="005B4AA2">
      <w:pPr>
        <w:rPr>
          <w:rFonts w:cs="Times New Roman"/>
        </w:rPr>
      </w:pPr>
    </w:p>
    <w:p w14:paraId="440786AA" w14:textId="77777777" w:rsidR="00EA313B" w:rsidRDefault="00BD4B72" w:rsidP="005B4AA2">
      <w:pPr>
        <w:pBdr>
          <w:top w:val="nil"/>
          <w:left w:val="nil"/>
          <w:bottom w:val="nil"/>
          <w:right w:val="nil"/>
          <w:between w:val="nil"/>
        </w:pBdr>
        <w:contextualSpacing/>
      </w:pPr>
      <w:r>
        <w:t xml:space="preserve">Por tanto, la respuesta del Instituto Municipal de la Mujer </w:t>
      </w:r>
      <w:r w:rsidR="00EA313B">
        <w:t>en el sentido de que no se generó, poseyó o administró la información solicitada colma parcialmente las pretensiones del Recurrente.</w:t>
      </w:r>
    </w:p>
    <w:p w14:paraId="17D3D7CE" w14:textId="77777777" w:rsidR="00EA313B" w:rsidRDefault="00EA313B" w:rsidP="005B4AA2">
      <w:pPr>
        <w:pBdr>
          <w:top w:val="nil"/>
          <w:left w:val="nil"/>
          <w:bottom w:val="nil"/>
          <w:right w:val="nil"/>
          <w:between w:val="nil"/>
        </w:pBdr>
        <w:contextualSpacing/>
      </w:pPr>
    </w:p>
    <w:p w14:paraId="11CD7359" w14:textId="691612EF" w:rsidR="00EA313B" w:rsidRPr="002F327C" w:rsidRDefault="00EA313B" w:rsidP="00EA313B">
      <w:pPr>
        <w:pBdr>
          <w:top w:val="nil"/>
          <w:left w:val="nil"/>
          <w:bottom w:val="nil"/>
          <w:right w:val="nil"/>
          <w:between w:val="nil"/>
        </w:pBdr>
        <w:contextualSpacing/>
        <w:rPr>
          <w:rFonts w:eastAsia="Palatino Linotype" w:cs="Palatino Linotype"/>
          <w:color w:val="000000"/>
          <w:szCs w:val="24"/>
        </w:rPr>
      </w:pPr>
      <w:r>
        <w:t xml:space="preserve">Por otra parte, respecto de la respuesta emitida por la Dirección General de Administración, al referir que el Recurrente puede acceder a </w:t>
      </w:r>
      <w:r w:rsidRPr="002F327C">
        <w:rPr>
          <w:rFonts w:eastAsia="Palatino Linotype" w:cs="Palatino Linotype"/>
          <w:color w:val="000000"/>
          <w:szCs w:val="24"/>
        </w:rPr>
        <w:t xml:space="preserve">la información solicitada </w:t>
      </w:r>
      <w:r>
        <w:rPr>
          <w:rFonts w:eastAsia="Palatino Linotype" w:cs="Palatino Linotype"/>
          <w:color w:val="000000"/>
          <w:szCs w:val="24"/>
        </w:rPr>
        <w:t>mediante su consulta directa</w:t>
      </w:r>
      <w:r w:rsidRPr="002F327C">
        <w:rPr>
          <w:rFonts w:eastAsia="Palatino Linotype" w:cs="Palatino Linotype"/>
          <w:color w:val="000000"/>
          <w:szCs w:val="24"/>
        </w:rPr>
        <w:t xml:space="preserve">, </w:t>
      </w:r>
      <w:r w:rsidRPr="002F327C">
        <w:rPr>
          <w:rFonts w:eastAsia="Palatino Linotype" w:cs="Palatino Linotype"/>
          <w:b/>
          <w:color w:val="000000"/>
          <w:szCs w:val="24"/>
        </w:rPr>
        <w:t>se deduce que existe una aceptación por parte del Sujeto Obligado que genera, administra o posee dicha información, derivada del ejercicio de sus funciones de derecho público</w:t>
      </w:r>
      <w:r w:rsidRPr="002F327C">
        <w:rPr>
          <w:rFonts w:eastAsia="Palatino Linotype" w:cs="Palatino Linotype"/>
          <w:color w:val="000000"/>
          <w:szCs w:val="24"/>
        </w:rPr>
        <w:t>.</w:t>
      </w:r>
    </w:p>
    <w:p w14:paraId="350AA85E" w14:textId="4FADEF13" w:rsidR="00EA313B" w:rsidRDefault="00EA313B" w:rsidP="005B4AA2">
      <w:pPr>
        <w:pBdr>
          <w:top w:val="nil"/>
          <w:left w:val="nil"/>
          <w:bottom w:val="nil"/>
          <w:right w:val="nil"/>
          <w:between w:val="nil"/>
        </w:pBdr>
        <w:contextualSpacing/>
      </w:pPr>
    </w:p>
    <w:p w14:paraId="5FECD96D" w14:textId="77777777" w:rsidR="00EA313B" w:rsidRPr="002F327C" w:rsidRDefault="00EA313B" w:rsidP="00EA313B">
      <w:pPr>
        <w:rPr>
          <w:szCs w:val="24"/>
        </w:rPr>
      </w:pPr>
      <w:r w:rsidRPr="002F327C">
        <w:rPr>
          <w:szCs w:val="24"/>
        </w:rPr>
        <w:lastRenderedPageBreak/>
        <w:t>Por lo que este Órgano Garante estima conveniente delimitar el estudio de la presente resolución al cambio en la modalidad a consulta directa, propuesto por el Sujeto Obligado, pues son estos actos los que, a consideración del Recurrente, le causan agravio a su derecho de acceso a la información.</w:t>
      </w:r>
    </w:p>
    <w:p w14:paraId="1C5E1573" w14:textId="77777777" w:rsidR="00EA313B" w:rsidRPr="002F327C" w:rsidRDefault="00EA313B" w:rsidP="00EA313B">
      <w:pPr>
        <w:rPr>
          <w:szCs w:val="24"/>
        </w:rPr>
      </w:pPr>
    </w:p>
    <w:p w14:paraId="60699100" w14:textId="59FB2E97" w:rsidR="00EA313B" w:rsidRDefault="00EA313B" w:rsidP="00EA313B">
      <w:r w:rsidRPr="00992A0D">
        <w:t xml:space="preserve">Asimismo, es de destacar que la información fue requerida a través del SAIMEX; sin embargo, mediante respuesta a la solicitud de información, el Sujeto Obligado </w:t>
      </w:r>
      <w:r>
        <w:t xml:space="preserve">de manera unilateral realizó un cambio en la modalidad de entrega y refirió que se aprobó el cambio de modalidad a consulta directa por el Comité de Transparencia, sin que se señalaran los motivos que imposibilitaran su entrega mediante el SAIMEX, se ofrecieran otras modalidad de entrega, se hiciera del conocimiento del solicitante el procedimiento para la consulta, ni el horario, ubicación, nombre del servidor público que lo atendería y plazo para su consulta. </w:t>
      </w:r>
    </w:p>
    <w:p w14:paraId="74E9F044" w14:textId="77777777" w:rsidR="00EA313B" w:rsidRDefault="00EA313B" w:rsidP="005B4AA2">
      <w:pPr>
        <w:pBdr>
          <w:top w:val="nil"/>
          <w:left w:val="nil"/>
          <w:bottom w:val="nil"/>
          <w:right w:val="nil"/>
          <w:between w:val="nil"/>
        </w:pBdr>
        <w:contextualSpacing/>
      </w:pPr>
    </w:p>
    <w:p w14:paraId="317DB452" w14:textId="77777777" w:rsidR="00EA313B" w:rsidRPr="00992A0D" w:rsidRDefault="00EA313B" w:rsidP="00EA313B">
      <w:pPr>
        <w:contextualSpacing/>
      </w:pPr>
      <w:r>
        <w:rPr>
          <w:noProof/>
          <w:lang w:val="es-MX"/>
        </w:rPr>
        <w:t xml:space="preserve">En ese sentido, el Sujeto Obligado no hizo referencia a la imposibilidad de entregar la información mediante el SAIMEX debido a las capacidades del sistema, puesto que no emitió pronunciamiento al respecto. No obstante, se debe señalar que, en antecedentes similares, </w:t>
      </w:r>
      <w:r>
        <w:rPr>
          <w:rFonts w:eastAsia="Palatino Linotype" w:cs="Palatino Linotype"/>
          <w:szCs w:val="24"/>
        </w:rPr>
        <w:t xml:space="preserve">la </w:t>
      </w:r>
      <w:r w:rsidRPr="00992A0D">
        <w:t>Dirección General de Informática de este Instituto</w:t>
      </w:r>
      <w:r>
        <w:t xml:space="preserve"> ha informado que con</w:t>
      </w:r>
      <w:r w:rsidRPr="00992A0D">
        <w:t xml:space="preserve"> relación al peso máximo de archivos que soporta el SAIMEX para adjuntar como respuesta a las solicitudes de información, se puedan adjuntar archivos con un peso aproximado de hasta 500 Mb o un equivalente de hasta 8,000 hojas, garantizando que el ciudadano no tenga problemas en la descarga de la información usando conexiones a internet convencionales bajo parámetros de escaneo en resolución máxima de 150Dpi's, escala de grises y formato </w:t>
      </w:r>
      <w:r>
        <w:t>«</w:t>
      </w:r>
      <w:r w:rsidRPr="00992A0D">
        <w:t>PDF</w:t>
      </w:r>
      <w:r>
        <w:t>»</w:t>
      </w:r>
      <w:r w:rsidRPr="00992A0D">
        <w:t xml:space="preserve"> extraído directamente del escáner.</w:t>
      </w:r>
    </w:p>
    <w:p w14:paraId="3E7B76D9" w14:textId="77777777" w:rsidR="00EA313B" w:rsidRDefault="00EA313B" w:rsidP="00EA313B">
      <w:pPr>
        <w:contextualSpacing/>
        <w:rPr>
          <w:rFonts w:eastAsia="Palatino Linotype" w:cs="Palatino Linotype"/>
          <w:szCs w:val="24"/>
        </w:rPr>
      </w:pPr>
    </w:p>
    <w:p w14:paraId="218B3122" w14:textId="722231DD" w:rsidR="00EA313B" w:rsidRDefault="00EA313B" w:rsidP="00EA313B">
      <w:pPr>
        <w:contextualSpacing/>
        <w:rPr>
          <w:rFonts w:eastAsia="Palatino Linotype" w:cs="Palatino Linotype"/>
          <w:szCs w:val="24"/>
        </w:rPr>
      </w:pPr>
      <w:r>
        <w:rPr>
          <w:rFonts w:eastAsia="Palatino Linotype" w:cs="Palatino Linotype"/>
          <w:szCs w:val="24"/>
        </w:rPr>
        <w:lastRenderedPageBreak/>
        <w:t xml:space="preserve">No obstante, </w:t>
      </w:r>
      <w:r w:rsidR="00BE72BA">
        <w:rPr>
          <w:rFonts w:eastAsia="Palatino Linotype" w:cs="Palatino Linotype"/>
          <w:szCs w:val="24"/>
        </w:rPr>
        <w:t xml:space="preserve">se debe destacar por su relevancia que </w:t>
      </w:r>
      <w:r>
        <w:rPr>
          <w:rFonts w:eastAsia="Palatino Linotype" w:cs="Palatino Linotype"/>
          <w:szCs w:val="24"/>
        </w:rPr>
        <w:t xml:space="preserve">la información relativa a los procedimientos de adquisición </w:t>
      </w:r>
      <w:r w:rsidR="00BE72BA">
        <w:rPr>
          <w:rFonts w:eastAsia="Palatino Linotype" w:cs="Palatino Linotype"/>
          <w:szCs w:val="24"/>
        </w:rPr>
        <w:t xml:space="preserve">en la modalidad de adjudicaciones directas </w:t>
      </w:r>
      <w:r>
        <w:rPr>
          <w:rFonts w:eastAsia="Palatino Linotype" w:cs="Palatino Linotype"/>
          <w:szCs w:val="24"/>
        </w:rPr>
        <w:t>se considera como obligaciones de transparencia común, como se establece e</w:t>
      </w:r>
      <w:r w:rsidR="00BE72BA">
        <w:rPr>
          <w:rFonts w:eastAsia="Palatino Linotype" w:cs="Palatino Linotype"/>
          <w:szCs w:val="24"/>
        </w:rPr>
        <w:t xml:space="preserve">n el artículo 92 fracción XXIX, inciso b), </w:t>
      </w:r>
      <w:r>
        <w:rPr>
          <w:rFonts w:eastAsia="Palatino Linotype" w:cs="Palatino Linotype"/>
          <w:szCs w:val="24"/>
        </w:rPr>
        <w:t>de la Ley de Transparencia estatal, en el que se dispone lo siguiente:</w:t>
      </w:r>
    </w:p>
    <w:p w14:paraId="4033BB2D" w14:textId="77777777" w:rsidR="00BE72BA" w:rsidRDefault="00BE72BA" w:rsidP="00BE72BA">
      <w:pPr>
        <w:contextualSpacing/>
        <w:rPr>
          <w:rFonts w:eastAsia="Palatino Linotype" w:cs="Palatino Linotype"/>
          <w:szCs w:val="24"/>
        </w:rPr>
      </w:pPr>
    </w:p>
    <w:p w14:paraId="1BA074E9" w14:textId="77777777" w:rsidR="00BE72BA" w:rsidRPr="00953B3A" w:rsidRDefault="00BE72BA" w:rsidP="00BE72BA">
      <w:pPr>
        <w:pStyle w:val="Fundamentos"/>
        <w:rPr>
          <w:lang w:val="es-MX"/>
        </w:rPr>
      </w:pPr>
      <w:r w:rsidRPr="00953B3A">
        <w:rPr>
          <w:b/>
          <w:lang w:val="es-MX"/>
        </w:rPr>
        <w:t xml:space="preserve">Artículo 92. </w:t>
      </w:r>
      <w:r w:rsidRPr="00953B3A">
        <w:rPr>
          <w:lang w:val="es-MX"/>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5B1C4AA" w14:textId="77777777" w:rsidR="00BE72BA" w:rsidRDefault="00BE72BA" w:rsidP="00BE72BA">
      <w:pPr>
        <w:pStyle w:val="Fundamentos"/>
        <w:rPr>
          <w:lang w:val="es-MX"/>
        </w:rPr>
      </w:pPr>
      <w:r>
        <w:rPr>
          <w:lang w:val="es-MX"/>
        </w:rPr>
        <w:t>[…]</w:t>
      </w:r>
    </w:p>
    <w:p w14:paraId="3FD2AC89" w14:textId="77777777" w:rsidR="00BE72BA" w:rsidRPr="00FE4FC4" w:rsidRDefault="00BE72BA" w:rsidP="00BE72BA">
      <w:pPr>
        <w:pStyle w:val="Fundamentos"/>
        <w:rPr>
          <w:lang w:val="es-MX"/>
        </w:rPr>
      </w:pPr>
      <w:r w:rsidRPr="00FE4FC4">
        <w:rPr>
          <w:b/>
          <w:lang w:val="es-MX"/>
        </w:rPr>
        <w:t>XXIX.</w:t>
      </w:r>
      <w:r w:rsidRPr="00FE4FC4">
        <w:rPr>
          <w:b/>
          <w:lang w:val="es-MX"/>
        </w:rPr>
        <w:tab/>
      </w:r>
      <w:r w:rsidRPr="00FE4FC4">
        <w:rPr>
          <w:lang w:val="es-MX"/>
        </w:rPr>
        <w:t>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1031EA80" w14:textId="77777777" w:rsidR="00BE72BA" w:rsidRPr="00FE4FC4" w:rsidRDefault="00BE72BA" w:rsidP="00BE72BA">
      <w:pPr>
        <w:pStyle w:val="Fundamentos"/>
        <w:rPr>
          <w:lang w:val="es-MX"/>
        </w:rPr>
      </w:pPr>
    </w:p>
    <w:p w14:paraId="5EC49120" w14:textId="38B88C93" w:rsidR="00BE72BA" w:rsidRPr="00FE4FC4" w:rsidRDefault="00BE72BA" w:rsidP="00BE72BA">
      <w:pPr>
        <w:pStyle w:val="Fundamentos"/>
        <w:ind w:left="993"/>
        <w:rPr>
          <w:lang w:val="es-MX"/>
        </w:rPr>
      </w:pPr>
      <w:r w:rsidRPr="00FE4FC4">
        <w:rPr>
          <w:b/>
          <w:lang w:val="es-MX"/>
        </w:rPr>
        <w:t>a)</w:t>
      </w:r>
      <w:r w:rsidRPr="00FE4FC4">
        <w:rPr>
          <w:lang w:val="es-MX"/>
        </w:rPr>
        <w:tab/>
      </w:r>
      <w:r>
        <w:rPr>
          <w:lang w:val="es-MX"/>
        </w:rPr>
        <w:t>[…]</w:t>
      </w:r>
    </w:p>
    <w:p w14:paraId="360051DE" w14:textId="77777777" w:rsidR="00BE72BA" w:rsidRPr="00FE4FC4" w:rsidRDefault="00BE72BA" w:rsidP="00BE72BA">
      <w:pPr>
        <w:pStyle w:val="Fundamentos"/>
        <w:ind w:left="993"/>
        <w:rPr>
          <w:lang w:val="es-MX"/>
        </w:rPr>
      </w:pPr>
      <w:r w:rsidRPr="00FE4FC4">
        <w:rPr>
          <w:b/>
          <w:lang w:val="es-MX"/>
        </w:rPr>
        <w:t>b)</w:t>
      </w:r>
      <w:r w:rsidRPr="00FE4FC4">
        <w:rPr>
          <w:lang w:val="es-MX"/>
        </w:rPr>
        <w:tab/>
        <w:t>De las adjudicaciones directas:</w:t>
      </w:r>
    </w:p>
    <w:p w14:paraId="455171F0" w14:textId="77777777" w:rsidR="00BE72BA" w:rsidRPr="00FE4FC4" w:rsidRDefault="00BE72BA" w:rsidP="00BE72BA">
      <w:pPr>
        <w:pStyle w:val="Fundamentos"/>
        <w:ind w:left="993"/>
        <w:rPr>
          <w:lang w:val="es-MX"/>
        </w:rPr>
      </w:pPr>
    </w:p>
    <w:p w14:paraId="608CD82E" w14:textId="77777777" w:rsidR="00BE72BA" w:rsidRPr="00FE4FC4" w:rsidRDefault="00BE72BA" w:rsidP="00BE72BA">
      <w:pPr>
        <w:pStyle w:val="Fundamentos"/>
        <w:ind w:left="1418"/>
        <w:rPr>
          <w:lang w:val="es-MX"/>
        </w:rPr>
      </w:pPr>
      <w:r w:rsidRPr="00FE4FC4">
        <w:rPr>
          <w:b/>
          <w:lang w:val="es-MX"/>
        </w:rPr>
        <w:t>1)</w:t>
      </w:r>
      <w:r w:rsidRPr="00FE4FC4">
        <w:rPr>
          <w:lang w:val="es-MX"/>
        </w:rPr>
        <w:tab/>
        <w:t>La propuesta enviada por el participante;</w:t>
      </w:r>
    </w:p>
    <w:p w14:paraId="164E4E4E" w14:textId="77777777" w:rsidR="00BE72BA" w:rsidRPr="00FE4FC4" w:rsidRDefault="00BE72BA" w:rsidP="00BE72BA">
      <w:pPr>
        <w:pStyle w:val="Fundamentos"/>
        <w:ind w:left="1418"/>
        <w:rPr>
          <w:lang w:val="es-MX"/>
        </w:rPr>
      </w:pPr>
      <w:r w:rsidRPr="00FE4FC4">
        <w:rPr>
          <w:b/>
          <w:lang w:val="es-MX"/>
        </w:rPr>
        <w:t>2)</w:t>
      </w:r>
      <w:r w:rsidRPr="00FE4FC4">
        <w:rPr>
          <w:lang w:val="es-MX"/>
        </w:rPr>
        <w:tab/>
        <w:t>Los motivos y fundamentos legales aplicados para llevarla a cabo;</w:t>
      </w:r>
    </w:p>
    <w:p w14:paraId="551EC7E6" w14:textId="77777777" w:rsidR="00BE72BA" w:rsidRPr="00FE4FC4" w:rsidRDefault="00BE72BA" w:rsidP="00BE72BA">
      <w:pPr>
        <w:pStyle w:val="Fundamentos"/>
        <w:ind w:left="1418"/>
        <w:rPr>
          <w:lang w:val="es-MX"/>
        </w:rPr>
      </w:pPr>
      <w:r w:rsidRPr="00FE4FC4">
        <w:rPr>
          <w:b/>
          <w:lang w:val="es-MX"/>
        </w:rPr>
        <w:t>3)</w:t>
      </w:r>
      <w:r w:rsidRPr="00FE4FC4">
        <w:rPr>
          <w:lang w:val="es-MX"/>
        </w:rPr>
        <w:tab/>
        <w:t>La autorización del ejercicio de la opción;</w:t>
      </w:r>
    </w:p>
    <w:p w14:paraId="18E799EC" w14:textId="77777777" w:rsidR="00BE72BA" w:rsidRPr="00FE4FC4" w:rsidRDefault="00BE72BA" w:rsidP="00BE72BA">
      <w:pPr>
        <w:pStyle w:val="Fundamentos"/>
        <w:ind w:left="1418"/>
        <w:rPr>
          <w:lang w:val="es-MX"/>
        </w:rPr>
      </w:pPr>
      <w:r w:rsidRPr="00FE4FC4">
        <w:rPr>
          <w:b/>
          <w:lang w:val="es-MX"/>
        </w:rPr>
        <w:t>4)</w:t>
      </w:r>
      <w:r w:rsidRPr="00FE4FC4">
        <w:rPr>
          <w:lang w:val="es-MX"/>
        </w:rPr>
        <w:tab/>
        <w:t>En su caso, las cotizaciones consideradas, especificando los nombres de los proveedores y sus montos;</w:t>
      </w:r>
    </w:p>
    <w:p w14:paraId="0808C4A2" w14:textId="77777777" w:rsidR="00BE72BA" w:rsidRPr="00FE4FC4" w:rsidRDefault="00BE72BA" w:rsidP="00BE72BA">
      <w:pPr>
        <w:pStyle w:val="Fundamentos"/>
        <w:ind w:left="1418"/>
        <w:rPr>
          <w:lang w:val="es-MX"/>
        </w:rPr>
      </w:pPr>
      <w:r w:rsidRPr="0077681E">
        <w:rPr>
          <w:b/>
          <w:lang w:val="es-MX"/>
        </w:rPr>
        <w:t>5)</w:t>
      </w:r>
      <w:r w:rsidRPr="00FE4FC4">
        <w:rPr>
          <w:lang w:val="es-MX"/>
        </w:rPr>
        <w:tab/>
        <w:t>El nombre de la persona física o jurídica colectiva adjudicada;</w:t>
      </w:r>
    </w:p>
    <w:p w14:paraId="536C42C8" w14:textId="77777777" w:rsidR="00BE72BA" w:rsidRPr="00FE4FC4" w:rsidRDefault="00BE72BA" w:rsidP="00BE72BA">
      <w:pPr>
        <w:pStyle w:val="Fundamentos"/>
        <w:ind w:left="1418"/>
        <w:rPr>
          <w:lang w:val="es-MX"/>
        </w:rPr>
      </w:pPr>
      <w:r w:rsidRPr="0077681E">
        <w:rPr>
          <w:b/>
          <w:lang w:val="es-MX"/>
        </w:rPr>
        <w:t>6)</w:t>
      </w:r>
      <w:r w:rsidRPr="00FE4FC4">
        <w:rPr>
          <w:lang w:val="es-MX"/>
        </w:rPr>
        <w:tab/>
        <w:t>La unidad administrativa solicitante y la responsable de su ejecución;</w:t>
      </w:r>
    </w:p>
    <w:p w14:paraId="7B4ADAE1" w14:textId="77777777" w:rsidR="00BE72BA" w:rsidRPr="00FE4FC4" w:rsidRDefault="00BE72BA" w:rsidP="00BE72BA">
      <w:pPr>
        <w:pStyle w:val="Fundamentos"/>
        <w:ind w:left="1418"/>
        <w:rPr>
          <w:lang w:val="es-MX"/>
        </w:rPr>
      </w:pPr>
      <w:r w:rsidRPr="0077681E">
        <w:rPr>
          <w:b/>
          <w:lang w:val="es-MX"/>
        </w:rPr>
        <w:t>7)</w:t>
      </w:r>
      <w:r w:rsidRPr="00FE4FC4">
        <w:rPr>
          <w:lang w:val="es-MX"/>
        </w:rPr>
        <w:tab/>
        <w:t>El número, fecha, el monto del contrato y el plazo de entrega o de ejecución de los servicios u obra;</w:t>
      </w:r>
    </w:p>
    <w:p w14:paraId="01BBDCFB" w14:textId="77777777" w:rsidR="00BE72BA" w:rsidRPr="00FE4FC4" w:rsidRDefault="00BE72BA" w:rsidP="00BE72BA">
      <w:pPr>
        <w:pStyle w:val="Fundamentos"/>
        <w:ind w:left="1418"/>
        <w:rPr>
          <w:lang w:val="es-MX"/>
        </w:rPr>
      </w:pPr>
      <w:r w:rsidRPr="0077681E">
        <w:rPr>
          <w:b/>
          <w:lang w:val="es-MX"/>
        </w:rPr>
        <w:t>8)</w:t>
      </w:r>
      <w:r w:rsidRPr="00FE4FC4">
        <w:rPr>
          <w:lang w:val="es-MX"/>
        </w:rPr>
        <w:tab/>
        <w:t>Los mecanismos de vigilancia y supervisión, incluyendo, en su caso, los estudios de impacto urbano y ambiental, según corresponda;</w:t>
      </w:r>
    </w:p>
    <w:p w14:paraId="1F194AC0" w14:textId="77777777" w:rsidR="00BE72BA" w:rsidRPr="00FE4FC4" w:rsidRDefault="00BE72BA" w:rsidP="00BE72BA">
      <w:pPr>
        <w:pStyle w:val="Fundamentos"/>
        <w:ind w:left="1418"/>
        <w:rPr>
          <w:lang w:val="es-MX"/>
        </w:rPr>
      </w:pPr>
      <w:r w:rsidRPr="0077681E">
        <w:rPr>
          <w:b/>
          <w:lang w:val="es-MX"/>
        </w:rPr>
        <w:t>9)</w:t>
      </w:r>
      <w:r w:rsidRPr="00FE4FC4">
        <w:rPr>
          <w:lang w:val="es-MX"/>
        </w:rPr>
        <w:tab/>
        <w:t>Los informes de avance sobre las obras o servicios contratados;</w:t>
      </w:r>
    </w:p>
    <w:p w14:paraId="285558C2" w14:textId="77777777" w:rsidR="00BE72BA" w:rsidRPr="00FE4FC4" w:rsidRDefault="00BE72BA" w:rsidP="00BE72BA">
      <w:pPr>
        <w:pStyle w:val="Fundamentos"/>
        <w:ind w:left="1418"/>
        <w:rPr>
          <w:lang w:val="es-MX"/>
        </w:rPr>
      </w:pPr>
      <w:r w:rsidRPr="0077681E">
        <w:rPr>
          <w:b/>
          <w:lang w:val="es-MX"/>
        </w:rPr>
        <w:t>10)</w:t>
      </w:r>
      <w:r w:rsidRPr="00FE4FC4">
        <w:rPr>
          <w:lang w:val="es-MX"/>
        </w:rPr>
        <w:tab/>
        <w:t>El convenio de terminación; y</w:t>
      </w:r>
    </w:p>
    <w:p w14:paraId="6D3ACD03" w14:textId="77777777" w:rsidR="00BE72BA" w:rsidRDefault="00BE72BA" w:rsidP="00BE72BA">
      <w:pPr>
        <w:pStyle w:val="Fundamentos"/>
        <w:ind w:left="1418"/>
        <w:rPr>
          <w:lang w:val="es-MX"/>
        </w:rPr>
      </w:pPr>
      <w:r w:rsidRPr="0077681E">
        <w:rPr>
          <w:b/>
          <w:lang w:val="es-MX"/>
        </w:rPr>
        <w:t>11)</w:t>
      </w:r>
      <w:r w:rsidRPr="00FE4FC4">
        <w:rPr>
          <w:lang w:val="es-MX"/>
        </w:rPr>
        <w:tab/>
        <w:t>El finiquito.</w:t>
      </w:r>
    </w:p>
    <w:p w14:paraId="03D7D152" w14:textId="77777777" w:rsidR="00BE72BA" w:rsidRDefault="00BE72BA" w:rsidP="00BE72BA">
      <w:pPr>
        <w:pStyle w:val="Fundamentos"/>
        <w:rPr>
          <w:lang w:val="es-MX"/>
        </w:rPr>
      </w:pPr>
      <w:r>
        <w:rPr>
          <w:lang w:val="es-MX"/>
        </w:rPr>
        <w:t>[…]</w:t>
      </w:r>
    </w:p>
    <w:p w14:paraId="526B5DEF" w14:textId="77777777" w:rsidR="00EA313B" w:rsidRDefault="00EA313B" w:rsidP="005B4AA2">
      <w:pPr>
        <w:pBdr>
          <w:top w:val="nil"/>
          <w:left w:val="nil"/>
          <w:bottom w:val="nil"/>
          <w:right w:val="nil"/>
          <w:between w:val="nil"/>
        </w:pBdr>
        <w:contextualSpacing/>
      </w:pPr>
    </w:p>
    <w:p w14:paraId="66FFBE35" w14:textId="77777777" w:rsidR="00BE72BA" w:rsidRDefault="00BE72BA" w:rsidP="00BE72BA">
      <w:pPr>
        <w:contextualSpacing/>
        <w:rPr>
          <w:rFonts w:eastAsia="Palatino Linotype" w:cs="Palatino Linotype"/>
          <w:szCs w:val="24"/>
        </w:rPr>
      </w:pPr>
      <w:r>
        <w:rPr>
          <w:rFonts w:eastAsia="Palatino Linotype" w:cs="Palatino Linotype"/>
          <w:szCs w:val="24"/>
        </w:rPr>
        <w:lastRenderedPageBreak/>
        <w:t>De tal forma que, al ser información que los sujetos obligados deben mantener a disposición del público permanentemente y de forma actualizada, se estima que el Sujeto Obligado debe contar con la digitalización de dicha información, con la finalidad de que sea cargada en el medio electrónico correspondiente.</w:t>
      </w:r>
    </w:p>
    <w:p w14:paraId="7C30ECF7" w14:textId="77777777" w:rsidR="00BE72BA" w:rsidRDefault="00BE72BA" w:rsidP="00BE72BA">
      <w:pPr>
        <w:contextualSpacing/>
        <w:rPr>
          <w:rFonts w:eastAsia="Palatino Linotype" w:cs="Palatino Linotype"/>
          <w:szCs w:val="24"/>
        </w:rPr>
      </w:pPr>
    </w:p>
    <w:p w14:paraId="7BFFA747" w14:textId="77777777" w:rsidR="00BE72BA" w:rsidRDefault="00BE72BA" w:rsidP="00BE72BA">
      <w:r w:rsidRPr="00992A0D">
        <w:t>Por lo anterior, es de concluirse en este punto, qu</w:t>
      </w:r>
      <w:r>
        <w:t>e el Sujeto Obligado no acreditó</w:t>
      </w:r>
      <w:r w:rsidRPr="00992A0D">
        <w:t xml:space="preserve"> la necesidad del cambio de modalidad de la entrega de información, en consecuencia, es dable ordenar la entrega de la información en la vía peticionada, es decir a través del SAIMEX, al no tenerse por cumplidos los requisitos de procedencia.</w:t>
      </w:r>
    </w:p>
    <w:p w14:paraId="19C15032" w14:textId="77777777" w:rsidR="00BE72BA" w:rsidRDefault="00BE72BA" w:rsidP="00BE72BA">
      <w:pPr>
        <w:rPr>
          <w:noProof/>
          <w:lang w:val="es-MX"/>
        </w:rPr>
      </w:pPr>
    </w:p>
    <w:p w14:paraId="282E5C51" w14:textId="77777777" w:rsidR="00BE72BA" w:rsidRPr="00992A0D" w:rsidRDefault="00BE72BA" w:rsidP="00BE72BA">
      <w:pPr>
        <w:rPr>
          <w:rFonts w:cs="Arial"/>
          <w:szCs w:val="24"/>
        </w:rPr>
      </w:pPr>
      <w:r>
        <w:rPr>
          <w:szCs w:val="24"/>
        </w:rPr>
        <w:t>Consecuentemente</w:t>
      </w:r>
      <w:r w:rsidRPr="00992A0D">
        <w:rPr>
          <w:szCs w:val="24"/>
        </w:rPr>
        <w:t xml:space="preserve">, la actuación del Sujeto Obligado </w:t>
      </w:r>
      <w:r w:rsidRPr="00992A0D">
        <w:rPr>
          <w:rFonts w:eastAsia="MS Mincho" w:cs="Arial"/>
          <w:szCs w:val="24"/>
        </w:rPr>
        <w:t xml:space="preserve">constituye </w:t>
      </w:r>
      <w:r>
        <w:rPr>
          <w:rFonts w:eastAsia="MS Mincho" w:cs="Arial"/>
          <w:szCs w:val="24"/>
        </w:rPr>
        <w:t>una afectación al derecho</w:t>
      </w:r>
      <w:r w:rsidRPr="00992A0D">
        <w:rPr>
          <w:rFonts w:eastAsia="MS Mincho" w:cs="Arial"/>
          <w:szCs w:val="24"/>
        </w:rPr>
        <w:t xml:space="preserve"> de acceso a la información pública del particular, toda vez que pretendió cambiar la modalidad de entrega de la información; </w:t>
      </w:r>
      <w:r w:rsidRPr="00992A0D">
        <w:rPr>
          <w:rFonts w:cs="Arial"/>
          <w:szCs w:val="24"/>
        </w:rPr>
        <w:t xml:space="preserve">de esta forma, solamente intenta realizar el cambio de modalidad ya que como se ha dicho, el particular mencionó que la manera de entrega de la información sería a través del SAIMEX, adicionalmente, en la actualidad existen medios electrónicos que facilita la entrega de información, que a decir de éste Órgano Garante, el cambio de modalidad no es procedente, en virtud de lo establecido por el artículo 164, de la Ley de Transparencia </w:t>
      </w:r>
      <w:r>
        <w:rPr>
          <w:rFonts w:cs="Arial"/>
          <w:szCs w:val="24"/>
        </w:rPr>
        <w:t xml:space="preserve">local </w:t>
      </w:r>
      <w:r w:rsidRPr="00992A0D">
        <w:rPr>
          <w:rFonts w:cs="Arial"/>
          <w:szCs w:val="24"/>
        </w:rPr>
        <w:t>que contempla los siguiente:</w:t>
      </w:r>
    </w:p>
    <w:p w14:paraId="15985436" w14:textId="77777777" w:rsidR="00BE72BA" w:rsidRPr="00992A0D" w:rsidRDefault="00BE72BA" w:rsidP="00BE72BA">
      <w:pPr>
        <w:jc w:val="left"/>
        <w:rPr>
          <w:szCs w:val="24"/>
        </w:rPr>
      </w:pPr>
    </w:p>
    <w:p w14:paraId="0FE36BB8" w14:textId="77777777" w:rsidR="00BE72BA" w:rsidRPr="00992A0D" w:rsidRDefault="00BE72BA" w:rsidP="00BE72BA">
      <w:pPr>
        <w:tabs>
          <w:tab w:val="left" w:pos="709"/>
        </w:tabs>
        <w:spacing w:line="240" w:lineRule="auto"/>
        <w:ind w:left="567" w:right="567"/>
        <w:rPr>
          <w:rFonts w:cs="Arial"/>
          <w:i/>
          <w:sz w:val="22"/>
        </w:rPr>
      </w:pPr>
      <w:r w:rsidRPr="00992A0D">
        <w:rPr>
          <w:rFonts w:cs="Arial"/>
          <w:b/>
          <w:i/>
          <w:sz w:val="22"/>
        </w:rPr>
        <w:t>Artículo 164.</w:t>
      </w:r>
      <w:r w:rsidRPr="00992A0D">
        <w:rPr>
          <w:rFonts w:cs="Arial"/>
          <w:i/>
          <w:sz w:val="22"/>
        </w:rPr>
        <w:t xml:space="preserve"> </w:t>
      </w:r>
      <w:r w:rsidRPr="00992A0D">
        <w:rPr>
          <w:rFonts w:cs="Arial"/>
          <w:b/>
          <w:i/>
          <w:sz w:val="22"/>
          <w:u w:val="single"/>
        </w:rPr>
        <w:t>El acceso se dará en la modalidad de entrega y, en su caso, de envío elegidos por el solicitante.</w:t>
      </w:r>
      <w:r w:rsidRPr="00992A0D">
        <w:rPr>
          <w:rFonts w:cs="Arial"/>
          <w:i/>
          <w:sz w:val="22"/>
        </w:rPr>
        <w:t xml:space="preserve"> Cuando la información no pueda entregarse o enviarse en la modalidad solicitada, el sujeto obligado deberá ofrecer otra u otras modalidades de entrega. </w:t>
      </w:r>
    </w:p>
    <w:p w14:paraId="22A82BFD" w14:textId="77777777" w:rsidR="00BE72BA" w:rsidRPr="00992A0D" w:rsidRDefault="00BE72BA" w:rsidP="00BE72BA">
      <w:pPr>
        <w:tabs>
          <w:tab w:val="left" w:pos="709"/>
        </w:tabs>
        <w:spacing w:line="240" w:lineRule="auto"/>
        <w:ind w:left="567" w:right="567"/>
        <w:rPr>
          <w:rFonts w:cs="Arial"/>
          <w:b/>
          <w:i/>
          <w:sz w:val="22"/>
          <w:u w:val="single"/>
        </w:rPr>
      </w:pPr>
    </w:p>
    <w:p w14:paraId="28AC60F4" w14:textId="77777777" w:rsidR="00BE72BA" w:rsidRPr="00992A0D" w:rsidRDefault="00BE72BA" w:rsidP="00BE72BA">
      <w:pPr>
        <w:tabs>
          <w:tab w:val="left" w:pos="709"/>
        </w:tabs>
        <w:spacing w:line="240" w:lineRule="auto"/>
        <w:ind w:left="567" w:right="567"/>
        <w:rPr>
          <w:rFonts w:cs="Arial"/>
          <w:i/>
          <w:sz w:val="22"/>
        </w:rPr>
      </w:pPr>
      <w:r w:rsidRPr="00992A0D">
        <w:rPr>
          <w:rFonts w:cs="Arial"/>
          <w:b/>
          <w:i/>
          <w:sz w:val="22"/>
          <w:u w:val="single"/>
        </w:rPr>
        <w:t>En cualquier caso, se deberá fundar y motivar la necesidad de ofrecer otras modalidades.</w:t>
      </w:r>
    </w:p>
    <w:p w14:paraId="78103486" w14:textId="77777777" w:rsidR="00BE72BA" w:rsidRPr="00992A0D" w:rsidRDefault="00BE72BA" w:rsidP="00BE72BA">
      <w:pPr>
        <w:contextualSpacing/>
        <w:rPr>
          <w:szCs w:val="24"/>
        </w:rPr>
      </w:pPr>
    </w:p>
    <w:p w14:paraId="20BBE840" w14:textId="77777777" w:rsidR="00BE72BA" w:rsidRDefault="00BE72BA" w:rsidP="00BE72BA">
      <w:pPr>
        <w:pStyle w:val="NormalINFOEM"/>
      </w:pPr>
      <w:r w:rsidRPr="004F7B93">
        <w:lastRenderedPageBreak/>
        <w:t xml:space="preserve">Asimismo, se dejó de observar lo dispuesto </w:t>
      </w:r>
      <w:r>
        <w:t xml:space="preserve">en </w:t>
      </w:r>
      <w:r w:rsidRPr="004F7B93">
        <w:t>los numerales Vigésimo Cuarto, Vigésimo Quinto y Vigésimo Sexto de los Lineamientos para la operación del Sistema de Acceso a la Información Mexiquense (SAIMEX) y del Sistema de Acceso, Rectificación, Cancelación y Oposición de Datos Personales del Estado de México (SARCOEM).</w:t>
      </w:r>
    </w:p>
    <w:p w14:paraId="63C9A48F" w14:textId="77777777" w:rsidR="00BE72BA" w:rsidRPr="004F7B93" w:rsidRDefault="00BE72BA" w:rsidP="00BE72BA">
      <w:pPr>
        <w:pStyle w:val="NormalINFOEM"/>
      </w:pPr>
    </w:p>
    <w:p w14:paraId="49BADC76" w14:textId="77777777" w:rsidR="00BE72BA" w:rsidRPr="00992A0D" w:rsidRDefault="00BE72BA" w:rsidP="00BE72BA">
      <w:pPr>
        <w:contextualSpacing/>
        <w:rPr>
          <w:b/>
          <w:szCs w:val="24"/>
        </w:rPr>
      </w:pPr>
      <w:r>
        <w:rPr>
          <w:szCs w:val="24"/>
        </w:rPr>
        <w:t>Así, se tiene que la Ley de Transparencia estatal</w:t>
      </w:r>
      <w:r w:rsidRPr="00992A0D">
        <w:rPr>
          <w:szCs w:val="24"/>
        </w:rPr>
        <w:t xml:space="preserve"> busca privilegiar la entrega de la información solicitada en la modalidad </w:t>
      </w:r>
      <w:r>
        <w:rPr>
          <w:szCs w:val="24"/>
        </w:rPr>
        <w:t>requerida por el particular; en ese sentido,</w:t>
      </w:r>
      <w:r w:rsidRPr="00992A0D">
        <w:rPr>
          <w:szCs w:val="24"/>
        </w:rPr>
        <w:t xml:space="preserve"> el artículo establece que tanto la modalidad de entrega como la forma de envío de la información se hará preferentemente como lo haya señalado el requirente. En los casos en que esto no sea posible, el Sujeto Obligado podrá garantizar la entrega a través de cualquier otro medio, siempre y cuando funde y motive la razón para hacerlo. </w:t>
      </w:r>
    </w:p>
    <w:p w14:paraId="20A884E5" w14:textId="77777777" w:rsidR="00BE72BA" w:rsidRPr="00FC64D4" w:rsidRDefault="00BE72BA" w:rsidP="00BE72BA">
      <w:pPr>
        <w:pStyle w:val="NormalINFOEM"/>
        <w:rPr>
          <w:szCs w:val="24"/>
        </w:rPr>
      </w:pPr>
    </w:p>
    <w:p w14:paraId="7BFEF97D" w14:textId="77777777" w:rsidR="00BE72BA" w:rsidRPr="00FC64D4" w:rsidRDefault="00BE72BA" w:rsidP="00BE72BA">
      <w:pPr>
        <w:contextualSpacing/>
        <w:rPr>
          <w:szCs w:val="24"/>
        </w:rPr>
      </w:pPr>
      <w:r w:rsidRPr="00FC64D4">
        <w:rPr>
          <w:szCs w:val="24"/>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14:paraId="7FB6285E" w14:textId="77777777" w:rsidR="00BE72BA" w:rsidRPr="00FC64D4" w:rsidRDefault="00BE72BA" w:rsidP="00BE72BA">
      <w:pPr>
        <w:contextualSpacing/>
        <w:rPr>
          <w:szCs w:val="24"/>
        </w:rPr>
      </w:pPr>
    </w:p>
    <w:p w14:paraId="0A379703" w14:textId="77777777" w:rsidR="00BE72BA" w:rsidRPr="00FC64D4" w:rsidRDefault="00BE72BA" w:rsidP="00BE72BA">
      <w:pPr>
        <w:contextualSpacing/>
        <w:rPr>
          <w:rFonts w:cs="Arial"/>
          <w:color w:val="222222"/>
          <w:szCs w:val="24"/>
        </w:rPr>
      </w:pPr>
      <w:r w:rsidRPr="00FC64D4">
        <w:rPr>
          <w:rFonts w:cs="Arial"/>
          <w:color w:val="222222"/>
          <w:szCs w:val="24"/>
        </w:rPr>
        <w:t xml:space="preserve">Han sido vastos los estudios doctrinarios relativos a estos derechos fundamentales y al principio de legalidad en ellos contenidos; como ejemplo, el procesalista José Ovalle Fabela, en su obra «Garantías Constitucionales del Proceso», refiere que </w:t>
      </w:r>
      <w:r w:rsidRPr="00FC64D4">
        <w:rPr>
          <w:rFonts w:cs="Arial"/>
          <w:i/>
          <w:color w:val="222222"/>
          <w:szCs w:val="24"/>
        </w:rPr>
        <w:t xml:space="preserv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w:t>
      </w:r>
      <w:r w:rsidRPr="00FC64D4">
        <w:rPr>
          <w:rFonts w:cs="Arial"/>
          <w:i/>
          <w:color w:val="222222"/>
          <w:szCs w:val="24"/>
        </w:rPr>
        <w:lastRenderedPageBreak/>
        <w:t>autoridades expongan los razonamientos con base en los cuales llegaron a la conclusión de que esos hechos son ciertos, normalmente a partir del análisis de las pruebas, lo cual se debe exteriorizar en una argumentación o juicio de hecho...»</w:t>
      </w:r>
    </w:p>
    <w:p w14:paraId="11A9011F" w14:textId="77777777" w:rsidR="00BE72BA" w:rsidRPr="00FC64D4" w:rsidRDefault="00BE72BA" w:rsidP="00BE72BA">
      <w:pPr>
        <w:contextualSpacing/>
        <w:rPr>
          <w:rFonts w:cs="Arial"/>
          <w:color w:val="222222"/>
          <w:szCs w:val="24"/>
        </w:rPr>
      </w:pPr>
    </w:p>
    <w:p w14:paraId="1B9CAA20" w14:textId="77777777" w:rsidR="00BE72BA" w:rsidRPr="00992A0D" w:rsidRDefault="00BE72BA" w:rsidP="00BE72BA">
      <w:pPr>
        <w:contextualSpacing/>
        <w:rPr>
          <w:rFonts w:cs="Arial"/>
          <w:color w:val="222222"/>
          <w:szCs w:val="24"/>
        </w:rPr>
      </w:pPr>
      <w:r>
        <w:rPr>
          <w:rFonts w:cs="Arial"/>
          <w:color w:val="222222"/>
          <w:szCs w:val="24"/>
        </w:rPr>
        <w:t>Por su parte, la Suprema Corte de Justicia emitió</w:t>
      </w:r>
      <w:r w:rsidRPr="00992A0D">
        <w:rPr>
          <w:rFonts w:cs="Arial"/>
          <w:color w:val="222222"/>
          <w:szCs w:val="24"/>
        </w:rPr>
        <w:t xml:space="preserve"> </w:t>
      </w:r>
      <w:r>
        <w:rPr>
          <w:rFonts w:cs="Arial"/>
          <w:color w:val="222222"/>
          <w:szCs w:val="24"/>
        </w:rPr>
        <w:t xml:space="preserve">la </w:t>
      </w:r>
      <w:r w:rsidRPr="00992A0D">
        <w:rPr>
          <w:rFonts w:cs="Arial"/>
          <w:color w:val="222222"/>
          <w:szCs w:val="24"/>
        </w:rPr>
        <w:t>jurisprudencia</w:t>
      </w:r>
      <w:r>
        <w:rPr>
          <w:rFonts w:cs="Arial"/>
          <w:color w:val="222222"/>
          <w:szCs w:val="24"/>
        </w:rPr>
        <w:t xml:space="preserve"> con registro digital 203143</w:t>
      </w:r>
      <w:r w:rsidRPr="00992A0D">
        <w:rPr>
          <w:rFonts w:ascii="Calibri" w:hAnsi="Calibri"/>
          <w:szCs w:val="24"/>
          <w:vertAlign w:val="superscript"/>
        </w:rPr>
        <w:footnoteReference w:id="3"/>
      </w:r>
      <w:r w:rsidRPr="00992A0D">
        <w:rPr>
          <w:rFonts w:cs="Arial"/>
          <w:color w:val="222222"/>
          <w:szCs w:val="24"/>
        </w:rPr>
        <w:t xml:space="preserve"> </w:t>
      </w:r>
      <w:r>
        <w:rPr>
          <w:rFonts w:cs="Arial"/>
          <w:color w:val="222222"/>
          <w:szCs w:val="24"/>
        </w:rPr>
        <w:t xml:space="preserve">en la que se establece </w:t>
      </w:r>
      <w:r w:rsidRPr="00992A0D">
        <w:rPr>
          <w:rFonts w:cs="Arial"/>
          <w:color w:val="222222"/>
          <w:szCs w:val="24"/>
        </w:rPr>
        <w:t xml:space="preserve">qué debe entenderse por fundamentación y motivación, en </w:t>
      </w:r>
      <w:r>
        <w:rPr>
          <w:rFonts w:cs="Arial"/>
          <w:color w:val="222222"/>
          <w:szCs w:val="24"/>
        </w:rPr>
        <w:t>la que estipula lo siguiente</w:t>
      </w:r>
      <w:r w:rsidRPr="00992A0D">
        <w:rPr>
          <w:rFonts w:cs="Arial"/>
          <w:color w:val="222222"/>
          <w:szCs w:val="24"/>
        </w:rPr>
        <w:t>:</w:t>
      </w:r>
    </w:p>
    <w:p w14:paraId="64375960" w14:textId="77777777" w:rsidR="00BE72BA" w:rsidRPr="00992A0D" w:rsidRDefault="00BE72BA" w:rsidP="00BE72BA">
      <w:pPr>
        <w:jc w:val="left"/>
        <w:rPr>
          <w:szCs w:val="24"/>
        </w:rPr>
      </w:pPr>
    </w:p>
    <w:p w14:paraId="3A6CAA37" w14:textId="77777777" w:rsidR="00BE72BA" w:rsidRDefault="00BE72BA" w:rsidP="00BE72BA">
      <w:pPr>
        <w:spacing w:line="240" w:lineRule="auto"/>
        <w:ind w:left="851" w:right="618"/>
        <w:contextualSpacing/>
        <w:rPr>
          <w:rFonts w:cs="Arial"/>
          <w:i/>
          <w:color w:val="000000"/>
          <w:sz w:val="22"/>
        </w:rPr>
      </w:pPr>
      <w:r w:rsidRPr="00992A0D">
        <w:rPr>
          <w:rFonts w:cs="Arial"/>
          <w:b/>
          <w:i/>
          <w:color w:val="000000"/>
          <w:sz w:val="22"/>
        </w:rPr>
        <w:t>FUNDAMENTACIÓN Y MOTIVACIÓN.</w:t>
      </w:r>
      <w:r w:rsidRPr="00992A0D">
        <w:rPr>
          <w:rFonts w:cs="Arial"/>
          <w:i/>
          <w:color w:val="000000"/>
          <w:sz w:val="22"/>
        </w:rPr>
        <w:t xml:space="preserve"> </w:t>
      </w:r>
    </w:p>
    <w:p w14:paraId="75CAE0DC" w14:textId="77777777" w:rsidR="00BE72BA" w:rsidRPr="00992A0D" w:rsidRDefault="00BE72BA" w:rsidP="79EA9D8B">
      <w:pPr>
        <w:spacing w:line="240" w:lineRule="auto"/>
        <w:ind w:left="851" w:right="618"/>
        <w:contextualSpacing/>
        <w:rPr>
          <w:rFonts w:cs="Arial"/>
          <w:i/>
          <w:iCs/>
          <w:color w:val="000000"/>
          <w:sz w:val="22"/>
          <w:lang w:val="es-ES"/>
        </w:rPr>
      </w:pPr>
      <w:r w:rsidRPr="79EA9D8B">
        <w:rPr>
          <w:rFonts w:cs="Arial"/>
          <w:i/>
          <w:iCs/>
          <w:color w:val="000000" w:themeColor="text1"/>
          <w:sz w:val="22"/>
          <w:lang w:val="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32152CF" w14:textId="77777777" w:rsidR="00BE72BA" w:rsidRPr="00992A0D" w:rsidRDefault="00BE72BA" w:rsidP="00BE72BA">
      <w:pPr>
        <w:ind w:right="618"/>
        <w:contextualSpacing/>
        <w:rPr>
          <w:rFonts w:cs="Arial"/>
          <w:color w:val="000000"/>
          <w:szCs w:val="24"/>
        </w:rPr>
      </w:pPr>
    </w:p>
    <w:p w14:paraId="30727E7B" w14:textId="77777777" w:rsidR="00BE72BA" w:rsidRPr="00992A0D" w:rsidRDefault="00BE72BA" w:rsidP="00BE72BA">
      <w:pPr>
        <w:contextualSpacing/>
        <w:rPr>
          <w:rFonts w:cs="Arial"/>
          <w:color w:val="222222"/>
          <w:szCs w:val="24"/>
        </w:rPr>
      </w:pPr>
      <w:r w:rsidRPr="00992A0D">
        <w:rPr>
          <w:rFonts w:cs="Arial"/>
          <w:color w:val="222222"/>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36AFFC4" w14:textId="77777777" w:rsidR="00BE72BA" w:rsidRPr="00992A0D" w:rsidRDefault="00BE72BA" w:rsidP="00BE72BA">
      <w:pPr>
        <w:contextualSpacing/>
        <w:rPr>
          <w:rFonts w:cs="Arial"/>
          <w:color w:val="222222"/>
          <w:szCs w:val="24"/>
        </w:rPr>
      </w:pPr>
    </w:p>
    <w:p w14:paraId="2AE2CCD5" w14:textId="77777777" w:rsidR="00BE72BA" w:rsidRPr="00992A0D" w:rsidRDefault="00BE72BA" w:rsidP="00BE72BA">
      <w:pPr>
        <w:contextualSpacing/>
        <w:rPr>
          <w:rFonts w:cs="Arial"/>
          <w:color w:val="222222"/>
          <w:szCs w:val="24"/>
        </w:rPr>
      </w:pPr>
      <w:r w:rsidRPr="00992A0D">
        <w:rPr>
          <w:rFonts w:cs="Arial"/>
          <w:color w:val="222222"/>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59D8DDEB" w14:textId="77777777" w:rsidR="00BE72BA" w:rsidRDefault="00BE72BA" w:rsidP="00BE72BA">
      <w:pPr>
        <w:rPr>
          <w:noProof/>
          <w:lang w:val="es-MX"/>
        </w:rPr>
      </w:pPr>
    </w:p>
    <w:p w14:paraId="6FC678B4" w14:textId="77777777" w:rsidR="00BE72BA" w:rsidRPr="00992A0D" w:rsidRDefault="00BE72BA" w:rsidP="00BE72BA">
      <w:pPr>
        <w:rPr>
          <w:i/>
          <w:szCs w:val="24"/>
        </w:rPr>
      </w:pPr>
      <w:r w:rsidRPr="00992A0D">
        <w:rPr>
          <w:szCs w:val="24"/>
        </w:rPr>
        <w:lastRenderedPageBreak/>
        <w:t>En vista de las consideraciones señaladas, se advierte que el Sujeto Obligado, no justifica en ningún momento de forma fundada y motiva</w:t>
      </w:r>
      <w:r>
        <w:rPr>
          <w:szCs w:val="24"/>
        </w:rPr>
        <w:t>da</w:t>
      </w:r>
      <w:r w:rsidRPr="00992A0D">
        <w:rPr>
          <w:szCs w:val="24"/>
        </w:rPr>
        <w:t xml:space="preserve"> su cambio de modalidad</w:t>
      </w:r>
      <w:r>
        <w:rPr>
          <w:szCs w:val="24"/>
        </w:rPr>
        <w:t xml:space="preserve"> de entrega de la información.</w:t>
      </w:r>
      <w:r w:rsidRPr="00992A0D">
        <w:rPr>
          <w:szCs w:val="24"/>
        </w:rPr>
        <w:t xml:space="preserve"> </w:t>
      </w:r>
    </w:p>
    <w:p w14:paraId="2C1186A8" w14:textId="77777777" w:rsidR="00BE72BA" w:rsidRDefault="00BE72BA" w:rsidP="00BE72BA"/>
    <w:p w14:paraId="376798D9" w14:textId="77777777" w:rsidR="00BE72BA" w:rsidRPr="00992A0D" w:rsidRDefault="00BE72BA" w:rsidP="00BE72BA">
      <w:r>
        <w:t>No se omite resaltar que l</w:t>
      </w:r>
      <w:r w:rsidRPr="00992A0D">
        <w:t xml:space="preserve">a necesidad de fundar y motivar es imperante en todos los actos que emite cualquier autoridad, por lo que constituye una restricción indirecta del derecho acceso a la información pública, dado que no proporciona la información que requirió el particular y que de manera libre el decidió sobre la vía de la modalidad de entrega de la misma situación que no se respetó. </w:t>
      </w:r>
    </w:p>
    <w:p w14:paraId="1C5F910E" w14:textId="77777777" w:rsidR="00BE72BA" w:rsidRPr="00992A0D" w:rsidRDefault="00BE72BA" w:rsidP="00BE72BA"/>
    <w:p w14:paraId="194C7FDC" w14:textId="77777777" w:rsidR="00BE72BA" w:rsidRPr="00992A0D" w:rsidRDefault="00BE72BA" w:rsidP="00BE72BA">
      <w:r w:rsidRPr="00992A0D">
        <w:t xml:space="preserve">Ahora bien, la ley de la materia señala en su artículo 158, los casos en que de manera excepcional se puede proceder al cambio de modalidad: </w:t>
      </w:r>
    </w:p>
    <w:p w14:paraId="26D1D01F" w14:textId="77777777" w:rsidR="00BE72BA" w:rsidRPr="00992A0D" w:rsidRDefault="00BE72BA" w:rsidP="00BE72BA"/>
    <w:p w14:paraId="5A2A0DC0" w14:textId="77777777" w:rsidR="00BE72BA" w:rsidRPr="00992A0D" w:rsidRDefault="00BE72BA" w:rsidP="00BE72BA">
      <w:pPr>
        <w:pStyle w:val="Fundamentos"/>
      </w:pPr>
      <w:r w:rsidRPr="00775C90">
        <w:rPr>
          <w:b/>
        </w:rPr>
        <w:t>Artículo 158.</w:t>
      </w:r>
      <w:r w:rsidRPr="00992A0D">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14:paraId="1A5E6C73" w14:textId="77777777" w:rsidR="00BE72BA" w:rsidRPr="00992A0D" w:rsidRDefault="00BE72BA" w:rsidP="00BE72BA"/>
    <w:p w14:paraId="33732842" w14:textId="77777777" w:rsidR="00BE72BA" w:rsidRPr="00992A0D" w:rsidRDefault="00BE72BA" w:rsidP="00BE72BA">
      <w:r w:rsidRPr="00992A0D">
        <w:t>En todo caso, se facilitará su copia simple o certificada, así como su reproducción por cualquier medio disponible en las instalaciones del sujeto obligado o que, en su caso, aporte el solicitante.</w:t>
      </w:r>
      <w:r>
        <w:t xml:space="preserve"> </w:t>
      </w:r>
      <w:r w:rsidRPr="00992A0D">
        <w:t>Sobre lo anterior, es de señala</w:t>
      </w:r>
      <w:r>
        <w:t>r que el Instituto Nacional de Transparencia, Acceso a la Información y Protección de Datos Personales (INAI), mediante diversas resoluciones de los r</w:t>
      </w:r>
      <w:r w:rsidRPr="00992A0D">
        <w:t xml:space="preserve">ecursos de </w:t>
      </w:r>
      <w:r>
        <w:t>i</w:t>
      </w:r>
      <w:r w:rsidRPr="00992A0D">
        <w:t xml:space="preserve">nconformidad, entre las cuales se encuentran el RIA 136/20, RIA 140/20, RIA 153/20 RIA 237/20, RIA 257/20, RIA 258/20, entre otros, ha considerado que </w:t>
      </w:r>
      <w:r w:rsidRPr="00992A0D">
        <w:lastRenderedPageBreak/>
        <w:t>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w:t>
      </w:r>
    </w:p>
    <w:p w14:paraId="63DC3375" w14:textId="77777777" w:rsidR="00BE72BA" w:rsidRDefault="00BE72BA" w:rsidP="00BE72BA"/>
    <w:p w14:paraId="11AEF449" w14:textId="77777777" w:rsidR="00BE72BA" w:rsidRDefault="00BE72BA" w:rsidP="00BE72BA">
      <w:r>
        <w:t>En congruencia con lo anterior, tampoco resulta procedente impedir que el solicitante acuda a las instalaciones con algún dispositivo de almacenamiento como CD, USB, DVD o disco duro, puesto que dichos medios están previstos como una modalidad de entrega alterna a la consulta directa.</w:t>
      </w:r>
    </w:p>
    <w:p w14:paraId="7FDE53C1" w14:textId="77777777" w:rsidR="00BE72BA" w:rsidRPr="00992A0D" w:rsidRDefault="00BE72BA" w:rsidP="00BE72BA"/>
    <w:p w14:paraId="0F401F02" w14:textId="77777777" w:rsidR="00BE72BA" w:rsidRPr="00992A0D" w:rsidRDefault="00BE72BA" w:rsidP="00BE72BA">
      <w:r w:rsidRPr="00992A0D">
        <w:t xml:space="preserve">De lo anterior, se desprende que, el Sujeto Obligado no procedió al cambio de modalidad de manera fundada y motivada, y además que el cambio de vía </w:t>
      </w:r>
      <w:r>
        <w:t xml:space="preserve">propuesto por la autoridad </w:t>
      </w:r>
      <w:r w:rsidRPr="00992A0D">
        <w:t>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Recurrente</w:t>
      </w:r>
    </w:p>
    <w:p w14:paraId="29F24800" w14:textId="77777777" w:rsidR="00BE72BA" w:rsidRDefault="00BE72BA" w:rsidP="00BE72BA">
      <w:pPr>
        <w:pBdr>
          <w:top w:val="nil"/>
          <w:left w:val="nil"/>
          <w:bottom w:val="nil"/>
          <w:right w:val="nil"/>
          <w:between w:val="nil"/>
        </w:pBdr>
        <w:contextualSpacing/>
        <w:rPr>
          <w:rFonts w:eastAsia="Palatino Linotype" w:cs="Palatino Linotype"/>
          <w:color w:val="000000"/>
          <w:szCs w:val="24"/>
        </w:rPr>
      </w:pPr>
    </w:p>
    <w:p w14:paraId="4EC0EB49" w14:textId="77777777" w:rsidR="00BE72BA" w:rsidRPr="00992A0D" w:rsidRDefault="00BE72BA" w:rsidP="00BE72BA">
      <w:r w:rsidRPr="00992A0D">
        <w:t>Po</w:t>
      </w:r>
      <w:r>
        <w:t>r tal razón, este Instituto</w:t>
      </w:r>
      <w:r w:rsidRPr="00992A0D">
        <w:t xml:space="preserve"> en uso de las facultades que la propia legislación le otorga deberá ordenar la entrega de la información solicitada, dada la aceptación del Sujeto Obligado de generar, poseer o administrarla, es decir, de tener conocimiento de lo requerido. </w:t>
      </w:r>
    </w:p>
    <w:p w14:paraId="7BFF7A67" w14:textId="77777777" w:rsidR="00EA313B" w:rsidRDefault="00EA313B" w:rsidP="005B4AA2">
      <w:pPr>
        <w:pBdr>
          <w:top w:val="nil"/>
          <w:left w:val="nil"/>
          <w:bottom w:val="nil"/>
          <w:right w:val="nil"/>
          <w:between w:val="nil"/>
        </w:pBdr>
        <w:contextualSpacing/>
      </w:pPr>
    </w:p>
    <w:p w14:paraId="463A9B39" w14:textId="02C1FB5B" w:rsidR="00717CAD" w:rsidRDefault="00717CAD" w:rsidP="00717CAD">
      <w:pPr>
        <w:pBdr>
          <w:top w:val="nil"/>
          <w:left w:val="nil"/>
          <w:bottom w:val="nil"/>
          <w:right w:val="nil"/>
          <w:between w:val="nil"/>
        </w:pBdr>
        <w:contextualSpacing/>
      </w:pPr>
      <w:r w:rsidRPr="00FC0957">
        <w:rPr>
          <w:rFonts w:eastAsia="Palatino Linotype" w:cs="Palatino Linotype"/>
          <w:color w:val="000000"/>
          <w:szCs w:val="24"/>
        </w:rPr>
        <w:t xml:space="preserve">Por lo señalado anteriormente, este Órgano Garante estima que las razones o motivos de inconformidad planteados en el recurso de revisión devienen fundados, por </w:t>
      </w:r>
      <w:r>
        <w:rPr>
          <w:rFonts w:eastAsia="Palatino Linotype" w:cs="Palatino Linotype"/>
          <w:color w:val="000000"/>
          <w:szCs w:val="24"/>
        </w:rPr>
        <w:t>lo que es procedente modificar la respuesta</w:t>
      </w:r>
      <w:r w:rsidRPr="00FC0957">
        <w:rPr>
          <w:rFonts w:eastAsia="Palatino Linotype" w:cs="Palatino Linotype"/>
          <w:color w:val="000000"/>
          <w:szCs w:val="24"/>
        </w:rPr>
        <w:t xml:space="preserve"> proporcionad</w:t>
      </w:r>
      <w:r>
        <w:rPr>
          <w:rFonts w:eastAsia="Palatino Linotype" w:cs="Palatino Linotype"/>
          <w:color w:val="000000"/>
          <w:szCs w:val="24"/>
        </w:rPr>
        <w:t>a a la solicitud de información que es</w:t>
      </w:r>
      <w:r w:rsidRPr="00FC0957">
        <w:rPr>
          <w:rFonts w:eastAsia="Palatino Linotype" w:cs="Palatino Linotype"/>
          <w:color w:val="000000"/>
          <w:szCs w:val="24"/>
        </w:rPr>
        <w:t xml:space="preserve"> materia de esta resolución y ordenar la entrega </w:t>
      </w:r>
      <w:r>
        <w:t>vía SAIMEX y en versión pública de ser procedente, de los expedientes y contratos de las adjudicaciones directas celebradas por la Dirección General de Administración durante el periodo comprendido del primero de enero al treinta y uno de marzo de dos mil veinticinco.</w:t>
      </w:r>
    </w:p>
    <w:p w14:paraId="5161B605" w14:textId="77777777" w:rsidR="00717CAD" w:rsidRDefault="00717CAD" w:rsidP="00717CAD">
      <w:pPr>
        <w:pBdr>
          <w:top w:val="nil"/>
          <w:left w:val="nil"/>
          <w:bottom w:val="nil"/>
          <w:right w:val="nil"/>
          <w:between w:val="nil"/>
        </w:pBdr>
        <w:contextualSpacing/>
      </w:pPr>
    </w:p>
    <w:p w14:paraId="2C90AF44" w14:textId="77777777" w:rsidR="00717CAD" w:rsidRPr="008F3C6D" w:rsidRDefault="00717CAD" w:rsidP="00717CAD">
      <w:pPr>
        <w:pStyle w:val="Ttulo3"/>
        <w:rPr>
          <w:rFonts w:eastAsia="Times New Roman"/>
        </w:rPr>
      </w:pPr>
      <w:r w:rsidRPr="008F3C6D">
        <w:rPr>
          <w:rFonts w:eastAsia="Times New Roman"/>
        </w:rPr>
        <w:t>DE LA VERSIÓN PÚBLICA</w:t>
      </w:r>
    </w:p>
    <w:p w14:paraId="45A08830" w14:textId="77777777" w:rsidR="00717CAD" w:rsidRPr="006A7396" w:rsidRDefault="00717CAD" w:rsidP="00717CAD">
      <w:pPr>
        <w:rPr>
          <w:rFonts w:eastAsia="Palatino Linotype" w:cs="Palatino Linotype"/>
          <w:szCs w:val="24"/>
        </w:rPr>
      </w:pPr>
      <w:r w:rsidRPr="006A7396">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A957407" w14:textId="77777777" w:rsidR="00717CAD" w:rsidRPr="006A7396" w:rsidRDefault="00717CAD" w:rsidP="00717CAD">
      <w:pPr>
        <w:rPr>
          <w:rFonts w:eastAsia="Palatino Linotype" w:cs="Palatino Linotype"/>
          <w:szCs w:val="24"/>
        </w:rPr>
      </w:pPr>
    </w:p>
    <w:p w14:paraId="1290FB2D"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3.</w:t>
      </w:r>
      <w:r w:rsidRPr="006A7396">
        <w:rPr>
          <w:rFonts w:eastAsia="Palatino Linotype" w:cs="Palatino Linotype"/>
          <w:i/>
          <w:color w:val="000000"/>
          <w:sz w:val="22"/>
          <w:szCs w:val="24"/>
        </w:rPr>
        <w:t xml:space="preserve"> Para los efectos de la presente Ley se entenderá por:</w:t>
      </w:r>
    </w:p>
    <w:p w14:paraId="5F009D86"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35A81604"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IX. Datos personales:</w:t>
      </w:r>
      <w:r w:rsidRPr="006A7396">
        <w:rPr>
          <w:rFonts w:eastAsia="Palatino Linotype" w:cs="Palatino Linotype"/>
          <w:i/>
          <w:color w:val="000000"/>
          <w:sz w:val="22"/>
          <w:szCs w:val="24"/>
        </w:rPr>
        <w:t xml:space="preserve"> La información concerniente a una persona, identificada o identificable según lo dispuesto por la Ley de Protección de Datos Personales del Estado de México; </w:t>
      </w:r>
    </w:p>
    <w:p w14:paraId="0C61665B"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clasificada:</w:t>
      </w:r>
      <w:r w:rsidRPr="006A7396">
        <w:rPr>
          <w:rFonts w:eastAsia="Palatino Linotype" w:cs="Palatino Linotype"/>
          <w:i/>
          <w:color w:val="000000"/>
          <w:sz w:val="22"/>
          <w:szCs w:val="24"/>
        </w:rPr>
        <w:t xml:space="preserve"> Aquella considerada por la presente Ley como reservada o confidencial;</w:t>
      </w:r>
    </w:p>
    <w:p w14:paraId="0FA06ECE"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XXI.</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Información confidencial:</w:t>
      </w:r>
      <w:r w:rsidRPr="006A7396">
        <w:rPr>
          <w:rFonts w:eastAsia="Palatino Linotype" w:cs="Palatino Linotype"/>
          <w:i/>
          <w:color w:val="000000"/>
          <w:sz w:val="22"/>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8C77BBA" w14:textId="77777777" w:rsidR="00717CAD" w:rsidRPr="00787121"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121">
        <w:rPr>
          <w:rFonts w:eastAsia="Palatino Linotype" w:cs="Palatino Linotype"/>
          <w:i/>
          <w:color w:val="000000"/>
          <w:sz w:val="22"/>
          <w:szCs w:val="24"/>
        </w:rPr>
        <w:t>[…]</w:t>
      </w:r>
    </w:p>
    <w:p w14:paraId="37E24C76"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XLV.</w:t>
      </w:r>
      <w:r w:rsidRPr="006A7396">
        <w:rPr>
          <w:rFonts w:eastAsia="Palatino Linotype" w:cs="Palatino Linotype"/>
          <w:i/>
          <w:color w:val="000000"/>
          <w:sz w:val="22"/>
          <w:szCs w:val="24"/>
        </w:rPr>
        <w:t xml:space="preserve"> </w:t>
      </w:r>
      <w:r w:rsidRPr="006A7396">
        <w:rPr>
          <w:rFonts w:eastAsia="Palatino Linotype" w:cs="Palatino Linotype"/>
          <w:b/>
          <w:i/>
          <w:color w:val="000000"/>
          <w:sz w:val="22"/>
          <w:szCs w:val="24"/>
        </w:rPr>
        <w:t>Versión pública:</w:t>
      </w:r>
      <w:r w:rsidRPr="006A7396">
        <w:rPr>
          <w:rFonts w:eastAsia="Palatino Linotype" w:cs="Palatino Linotype"/>
          <w:i/>
          <w:color w:val="000000"/>
          <w:sz w:val="22"/>
          <w:szCs w:val="24"/>
        </w:rPr>
        <w:t xml:space="preserve"> Documento en el que se elimine, suprime o borra la información clasificada como reservada o confidencial para permitir su acceso.</w:t>
      </w:r>
    </w:p>
    <w:p w14:paraId="7F9C260D"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246CC31A"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B857204"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lastRenderedPageBreak/>
        <w:t xml:space="preserve">Artículo 91. </w:t>
      </w:r>
      <w:r w:rsidRPr="006A7396">
        <w:rPr>
          <w:rFonts w:eastAsia="Palatino Linotype" w:cs="Palatino Linotype"/>
          <w:i/>
          <w:color w:val="000000"/>
          <w:sz w:val="22"/>
          <w:szCs w:val="24"/>
        </w:rPr>
        <w:t>El acceso a la información pública será restringido excepcionalmente, cuando ésta sea clasificada como reservada o confidencial.</w:t>
      </w:r>
    </w:p>
    <w:p w14:paraId="4973FEC9"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02023E43"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Artículo 132.</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La clasificación de la información se llevará a cabo en el momento en que</w:t>
      </w:r>
      <w:r w:rsidRPr="006A7396">
        <w:rPr>
          <w:rFonts w:eastAsia="Palatino Linotype" w:cs="Palatino Linotype"/>
          <w:i/>
          <w:color w:val="000000"/>
          <w:sz w:val="22"/>
          <w:szCs w:val="24"/>
        </w:rPr>
        <w:t>:</w:t>
      </w:r>
    </w:p>
    <w:p w14:paraId="2B1B50A1"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w:t>
      </w:r>
      <w:r w:rsidRPr="006A7396">
        <w:rPr>
          <w:rFonts w:eastAsia="Palatino Linotype" w:cs="Palatino Linotype"/>
          <w:i/>
          <w:color w:val="000000"/>
          <w:sz w:val="22"/>
          <w:szCs w:val="24"/>
        </w:rPr>
        <w:t xml:space="preserve"> Se reciba una solicitud de acceso a la información;</w:t>
      </w:r>
    </w:p>
    <w:p w14:paraId="51F1047C"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determine mediante resolución de autoridad competente; o</w:t>
      </w:r>
    </w:p>
    <w:p w14:paraId="2645EB48"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u w:val="single"/>
        </w:rPr>
      </w:pPr>
      <w:r w:rsidRPr="006A7396">
        <w:rPr>
          <w:rFonts w:eastAsia="Palatino Linotype" w:cs="Palatino Linotype"/>
          <w:b/>
          <w:i/>
          <w:color w:val="000000"/>
          <w:sz w:val="22"/>
          <w:szCs w:val="24"/>
        </w:rPr>
        <w:t>III.</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u w:val="single"/>
        </w:rPr>
        <w:t>Se generen versiones públicas para dar cumplimiento a las obligaciones de transparencia previstas en esta Ley.</w:t>
      </w:r>
    </w:p>
    <w:p w14:paraId="635FE1A6"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Pr>
          <w:rFonts w:eastAsia="Palatino Linotype" w:cs="Palatino Linotype"/>
          <w:i/>
          <w:color w:val="000000"/>
          <w:sz w:val="22"/>
          <w:szCs w:val="24"/>
        </w:rPr>
        <w:t>[…]</w:t>
      </w:r>
    </w:p>
    <w:p w14:paraId="70609BDB" w14:textId="77777777" w:rsidR="00717CAD" w:rsidRPr="006A7396" w:rsidRDefault="00717CAD" w:rsidP="00717CAD">
      <w:pPr>
        <w:rPr>
          <w:rFonts w:eastAsia="Palatino Linotype" w:cs="Palatino Linotype"/>
          <w:i/>
          <w:szCs w:val="24"/>
        </w:rPr>
      </w:pPr>
    </w:p>
    <w:p w14:paraId="454818BE" w14:textId="77777777" w:rsidR="00717CAD" w:rsidRPr="006A7396" w:rsidRDefault="00717CAD" w:rsidP="00717CAD">
      <w:pPr>
        <w:rPr>
          <w:rFonts w:eastAsia="Palatino Linotype" w:cs="Palatino Linotype"/>
          <w:lang w:val="es-ES"/>
        </w:rPr>
      </w:pPr>
      <w:r w:rsidRPr="006A7396">
        <w:rPr>
          <w:rFonts w:eastAsia="Palatino Linotype" w:cs="Palatino Linotype"/>
          <w:lang w:val="es-ES"/>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9EA1859" w14:textId="77777777" w:rsidR="00717CAD" w:rsidRPr="006A7396" w:rsidRDefault="00717CAD" w:rsidP="00717CAD">
      <w:pPr>
        <w:rPr>
          <w:rFonts w:eastAsia="Palatino Linotype" w:cs="Palatino Linotype"/>
          <w:szCs w:val="24"/>
        </w:rPr>
      </w:pPr>
    </w:p>
    <w:p w14:paraId="24B4FAAE" w14:textId="77777777" w:rsidR="00717CAD" w:rsidRPr="006A7396" w:rsidRDefault="00717CAD" w:rsidP="00717CAD">
      <w:pPr>
        <w:rPr>
          <w:rFonts w:eastAsia="Palatino Linotype" w:cs="Palatino Linotype"/>
          <w:szCs w:val="24"/>
        </w:rPr>
      </w:pPr>
      <w:r w:rsidRPr="006A7396">
        <w:rPr>
          <w:rFonts w:eastAsia="Palatino Linotype" w:cs="Palatino Linotype"/>
          <w:szCs w:val="24"/>
        </w:rPr>
        <w:t xml:space="preserve">Por otro lado, los </w:t>
      </w:r>
      <w:r w:rsidRPr="006A7396">
        <w:rPr>
          <w:rFonts w:eastAsia="Palatino Linotype" w:cs="Palatino Linotype"/>
          <w:i/>
          <w:szCs w:val="24"/>
        </w:rPr>
        <w:t>Lineamientos Generales en Materia de Clasificación y Desclasificación de la Información, así como para la elaboración de Versiones Públicas</w:t>
      </w:r>
      <w:r w:rsidRPr="006A7396">
        <w:rPr>
          <w:rFonts w:eastAsia="Palatino Linotype" w:cs="Palatino Linotype"/>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01B1DD" w14:textId="77777777" w:rsidR="00717CAD" w:rsidRPr="006A7396" w:rsidRDefault="00717CAD" w:rsidP="00717CAD">
      <w:pPr>
        <w:rPr>
          <w:rFonts w:eastAsia="Palatino Linotype" w:cs="Palatino Linotype"/>
          <w:szCs w:val="24"/>
        </w:rPr>
      </w:pPr>
    </w:p>
    <w:p w14:paraId="32113E28" w14:textId="77777777" w:rsidR="00717CAD" w:rsidRPr="006A7396" w:rsidRDefault="00717CAD" w:rsidP="00717CAD">
      <w:pPr>
        <w:rPr>
          <w:rFonts w:eastAsia="Palatino Linotype" w:cs="Palatino Linotype"/>
          <w:szCs w:val="24"/>
        </w:rPr>
      </w:pPr>
      <w:r w:rsidRPr="006A7396">
        <w:rPr>
          <w:rFonts w:eastAsia="Palatino Linotype" w:cs="Palatino Linotype"/>
          <w:szCs w:val="24"/>
        </w:rPr>
        <w:t>Asimismo, los Lineamientos Quincuagésimo sexto, Quincuagésimo séptimo y Quincuagésimo octavo, establecen lo siguiente:</w:t>
      </w:r>
    </w:p>
    <w:p w14:paraId="5A8A5A53" w14:textId="77777777" w:rsidR="00717CAD" w:rsidRPr="006A7396" w:rsidRDefault="00717CAD" w:rsidP="00717CAD">
      <w:pPr>
        <w:rPr>
          <w:rFonts w:eastAsia="Palatino Linotype" w:cs="Palatino Linotype"/>
        </w:rPr>
      </w:pPr>
    </w:p>
    <w:p w14:paraId="08B7FB2C"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lang w:val="es-MX"/>
        </w:rPr>
      </w:pPr>
      <w:r w:rsidRPr="006A7396">
        <w:rPr>
          <w:rFonts w:eastAsia="Palatino Linotype" w:cs="Palatino Linotype"/>
          <w:b/>
          <w:i/>
          <w:color w:val="000000"/>
          <w:sz w:val="22"/>
          <w:szCs w:val="24"/>
        </w:rPr>
        <w:t>Quincuagésimo sexto.</w:t>
      </w:r>
      <w:r w:rsidRPr="006A7396">
        <w:rPr>
          <w:rFonts w:eastAsia="Palatino Linotype" w:cs="Palatino Linotype"/>
          <w:i/>
          <w:color w:val="000000"/>
          <w:sz w:val="22"/>
          <w:szCs w:val="24"/>
        </w:rPr>
        <w:t xml:space="preserve"> </w:t>
      </w:r>
      <w:r w:rsidRPr="006A7396">
        <w:rPr>
          <w:rFonts w:eastAsia="Palatino Linotype" w:cs="Palatino Linotype"/>
          <w:i/>
          <w:color w:val="000000"/>
          <w:sz w:val="22"/>
          <w:szCs w:val="24"/>
          <w:lang w:val="es-MX"/>
        </w:rPr>
        <w:t xml:space="preserve">Cuando la elaboración de la versión pública del documento o expediente que contenga partes o secciones reservadas o confidenciales, genere costos por reproducción por </w:t>
      </w:r>
      <w:r w:rsidRPr="006A7396">
        <w:rPr>
          <w:rFonts w:eastAsia="Palatino Linotype" w:cs="Palatino Linotype"/>
          <w:i/>
          <w:color w:val="000000"/>
          <w:sz w:val="22"/>
          <w:szCs w:val="24"/>
          <w:lang w:val="es-MX"/>
        </w:rPr>
        <w:lastRenderedPageBreak/>
        <w:t>derivar de una solicitud de información o determinación de una autoridad competente, ésta será elaborada hasta que se haya acreditado el pago correspondiente.</w:t>
      </w:r>
    </w:p>
    <w:p w14:paraId="152B725F"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3ECF6082"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b/>
          <w:i/>
          <w:color w:val="000000"/>
          <w:sz w:val="22"/>
          <w:szCs w:val="24"/>
        </w:rPr>
        <w:t>Quincuagésimo séptimo.</w:t>
      </w:r>
      <w:r w:rsidRPr="006A7396">
        <w:rPr>
          <w:rFonts w:eastAsia="Palatino Linotype" w:cs="Palatino Linotype"/>
          <w:i/>
          <w:color w:val="000000"/>
          <w:sz w:val="22"/>
          <w:szCs w:val="24"/>
        </w:rPr>
        <w:t xml:space="preserve"> Se considera, en principio, como información pública y no podrá omitirse de las versiones públicas la siguiente:</w:t>
      </w:r>
    </w:p>
    <w:p w14:paraId="34B62555"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4AC2FA01"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 La relativa a las Obligaciones de Transparencia que contempla el Título V de la Ley General y las demás disposiciones legales aplicables; </w:t>
      </w:r>
    </w:p>
    <w:p w14:paraId="34FDE72F"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II. El nombre de los integrantes de los sujetos obligados en los documentos, y sus firmas autógrafas o digitales, cuando sean utilizados en el ejercicio de las facultades conferidas para el desempeño del servicio público, y </w:t>
      </w:r>
    </w:p>
    <w:p w14:paraId="0B9AC25B"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6A7396">
        <w:rPr>
          <w:rFonts w:eastAsia="Palatino Linotype" w:cs="Palatino Linotype"/>
          <w:i/>
          <w:iCs/>
          <w:color w:val="000000" w:themeColor="text1"/>
          <w:sz w:val="22"/>
          <w:lang w:val="es-ES"/>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4B1ECD16"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77AEAF63"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6A7396">
        <w:rPr>
          <w:rFonts w:eastAsia="Palatino Linotype" w:cs="Palatino Linotype"/>
          <w:i/>
          <w:color w:val="000000"/>
          <w:sz w:val="22"/>
          <w:szCs w:val="24"/>
        </w:rPr>
        <w:t xml:space="preserve">Lo anterior, siempre y cuando no se acredite alguna causal de clasificación, prevista en las leyes o en los tratados internacionales suscritos por el Estado mexicano. </w:t>
      </w:r>
    </w:p>
    <w:p w14:paraId="038B6679"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p>
    <w:p w14:paraId="15E6ED07" w14:textId="77777777" w:rsidR="00717CAD" w:rsidRPr="006A7396" w:rsidRDefault="00717CAD" w:rsidP="00717CAD">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5A438623">
        <w:rPr>
          <w:rFonts w:eastAsia="Palatino Linotype" w:cs="Palatino Linotype"/>
          <w:b/>
          <w:bCs/>
          <w:i/>
          <w:iCs/>
          <w:color w:val="000000" w:themeColor="text1"/>
          <w:sz w:val="22"/>
          <w:lang w:val="es-ES"/>
        </w:rPr>
        <w:t>Quincuagésimo octavo.</w:t>
      </w:r>
      <w:r w:rsidRPr="5A438623">
        <w:rPr>
          <w:rFonts w:eastAsia="Palatino Linotype" w:cs="Palatino Linotype"/>
          <w:i/>
          <w:iCs/>
          <w:color w:val="000000" w:themeColor="text1"/>
          <w:sz w:val="22"/>
          <w:lang w:val="es-ES"/>
        </w:rPr>
        <w:t xml:space="preserve"> Los sujetos obligados garantizarán que los sistemas o medios empleados para eliminar la información en las versiones públicas sean irreversibles, de tal forma que no permitan la recuperación o visualización de la misma.</w:t>
      </w:r>
    </w:p>
    <w:p w14:paraId="571FDA71" w14:textId="77777777" w:rsidR="00717CAD" w:rsidRPr="006A7396" w:rsidRDefault="00717CAD" w:rsidP="00717CAD">
      <w:pPr>
        <w:rPr>
          <w:rFonts w:eastAsia="Palatino Linotype" w:cs="Palatino Linotype"/>
          <w:i/>
          <w:szCs w:val="24"/>
        </w:rPr>
      </w:pPr>
    </w:p>
    <w:p w14:paraId="7C0C0407" w14:textId="77777777" w:rsidR="00717CAD" w:rsidRDefault="00717CAD" w:rsidP="00717CAD">
      <w:pPr>
        <w:rPr>
          <w:rFonts w:eastAsia="Palatino Linotype" w:cs="Palatino Linotype"/>
          <w:lang w:val="es-ES"/>
        </w:rPr>
      </w:pPr>
      <w:r w:rsidRPr="006A7396">
        <w:rPr>
          <w:rFonts w:eastAsia="Palatino Linotype" w:cs="Palatino Linotype"/>
          <w:lang w:val="es-ES"/>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r>
        <w:rPr>
          <w:rFonts w:eastAsia="Palatino Linotype" w:cs="Palatino Linotype"/>
          <w:lang w:val="es-ES"/>
        </w:rPr>
        <w:t xml:space="preserve"> </w:t>
      </w:r>
    </w:p>
    <w:p w14:paraId="74037EB8" w14:textId="77777777" w:rsidR="00717CAD" w:rsidRDefault="00717CAD" w:rsidP="00717CAD">
      <w:pPr>
        <w:rPr>
          <w:rFonts w:eastAsia="Palatino Linotype" w:cs="Palatino Linotype"/>
          <w:lang w:val="es-ES"/>
        </w:rPr>
      </w:pPr>
    </w:p>
    <w:p w14:paraId="4521548D" w14:textId="77777777" w:rsidR="00717CAD" w:rsidRPr="006A7396" w:rsidRDefault="00717CAD" w:rsidP="00717CAD">
      <w:pPr>
        <w:rPr>
          <w:rFonts w:eastAsia="Palatino Linotype" w:cs="Palatino Linotype"/>
          <w:lang w:val="es-ES"/>
        </w:rPr>
      </w:pPr>
      <w:r w:rsidRPr="006A7396">
        <w:rPr>
          <w:rFonts w:eastAsia="Palatino Linotype" w:cs="Palatino Linotype"/>
          <w:lang w:val="es-ES"/>
        </w:rPr>
        <w:t>Por lo que respecta al Acuerdo del Comité de Transparencia que sustente la versión pública de la documentación a entregar, deberá ser notificado mediante el SAIMEX.</w:t>
      </w:r>
    </w:p>
    <w:p w14:paraId="2AB57ADE" w14:textId="77777777" w:rsidR="00717CAD" w:rsidRPr="006A7396" w:rsidRDefault="00717CAD" w:rsidP="00717CAD">
      <w:pPr>
        <w:rPr>
          <w:rFonts w:eastAsia="Palatino Linotype" w:cs="Palatino Linotype"/>
          <w:szCs w:val="24"/>
        </w:rPr>
      </w:pPr>
    </w:p>
    <w:p w14:paraId="0F3761BB" w14:textId="77777777" w:rsidR="00717CAD" w:rsidRPr="006A7396" w:rsidRDefault="00717CAD" w:rsidP="00717CAD">
      <w:pPr>
        <w:pBdr>
          <w:top w:val="nil"/>
          <w:left w:val="nil"/>
          <w:bottom w:val="nil"/>
          <w:right w:val="nil"/>
          <w:between w:val="nil"/>
        </w:pBdr>
        <w:rPr>
          <w:rFonts w:eastAsia="Palatino Linotype" w:cs="Palatino Linotype"/>
          <w:color w:val="000000"/>
          <w:szCs w:val="24"/>
        </w:rPr>
      </w:pPr>
      <w:r w:rsidRPr="006A7396">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w:t>
      </w:r>
      <w:r>
        <w:rPr>
          <w:rFonts w:eastAsia="Palatino Linotype" w:cs="Palatino Linotype"/>
          <w:color w:val="000000"/>
          <w:szCs w:val="24"/>
        </w:rPr>
        <w:t>l Recurrente</w:t>
      </w:r>
      <w:r w:rsidRPr="006A7396">
        <w:rPr>
          <w:rFonts w:eastAsia="Palatino Linotype" w:cs="Palatino Linotype"/>
          <w:color w:val="000000"/>
          <w:szCs w:val="24"/>
        </w:rPr>
        <w:t>.</w:t>
      </w:r>
    </w:p>
    <w:p w14:paraId="5AACF68F" w14:textId="77777777" w:rsidR="00717CAD" w:rsidRDefault="00717CAD" w:rsidP="00717CAD"/>
    <w:p w14:paraId="387BAB8F" w14:textId="61488985" w:rsidR="00717CAD" w:rsidRPr="006F2304" w:rsidRDefault="00717CAD" w:rsidP="00717CAD">
      <w:pPr>
        <w:pBdr>
          <w:top w:val="nil"/>
          <w:left w:val="nil"/>
          <w:bottom w:val="nil"/>
          <w:right w:val="nil"/>
          <w:between w:val="nil"/>
        </w:pBdr>
        <w:rPr>
          <w:rFonts w:eastAsia="Palatino Linotype" w:cs="Palatino Linotype"/>
          <w:color w:val="000000"/>
        </w:rPr>
      </w:pPr>
      <w:r w:rsidRPr="0CEC3CE0">
        <w:rPr>
          <w:rFonts w:eastAsia="Palatino Linotype" w:cs="Palatino Linotype"/>
          <w:color w:val="000000" w:themeColor="text1"/>
        </w:rPr>
        <w:t>En mérito de lo expuesto en líneas anteriores, este Instituto considera que los motivos de</w:t>
      </w:r>
      <w:r>
        <w:rPr>
          <w:rFonts w:eastAsia="Palatino Linotype" w:cs="Palatino Linotype"/>
          <w:color w:val="000000" w:themeColor="text1"/>
        </w:rPr>
        <w:t xml:space="preserve"> inconformidad planteados por el</w:t>
      </w:r>
      <w:r w:rsidRPr="0CEC3CE0">
        <w:rPr>
          <w:rFonts w:eastAsia="Palatino Linotype" w:cs="Palatino Linotype"/>
          <w:color w:val="000000" w:themeColor="text1"/>
        </w:rPr>
        <w:t xml:space="preserve"> Recurrente resultan</w:t>
      </w:r>
      <w:r>
        <w:rPr>
          <w:rFonts w:eastAsia="Palatino Linotype" w:cs="Palatino Linotype"/>
          <w:color w:val="000000" w:themeColor="text1"/>
        </w:rPr>
        <w:t xml:space="preserve"> </w:t>
      </w:r>
      <w:r w:rsidRPr="0CEC3CE0">
        <w:rPr>
          <w:rFonts w:eastAsia="Palatino Linotype" w:cs="Palatino Linotype"/>
          <w:color w:val="000000" w:themeColor="text1"/>
        </w:rPr>
        <w:t xml:space="preserve">fundados en el recurso de revisión que es materia de esta resolución; por ello </w:t>
      </w:r>
      <w:r>
        <w:rPr>
          <w:rFonts w:eastAsia="Palatino Linotype" w:cs="Palatino Linotype"/>
          <w:b/>
          <w:bCs/>
          <w:color w:val="000000" w:themeColor="text1"/>
        </w:rPr>
        <w:t>con fundamento en la segunda hipótesis</w:t>
      </w:r>
      <w:r w:rsidRPr="0CEC3CE0">
        <w:rPr>
          <w:rFonts w:eastAsia="Palatino Linotype" w:cs="Palatino Linotype"/>
          <w:b/>
          <w:bCs/>
          <w:color w:val="000000" w:themeColor="text1"/>
        </w:rPr>
        <w:t xml:space="preserve"> de la fracción III del artículo 186 </w:t>
      </w:r>
      <w:r w:rsidRPr="0CEC3CE0">
        <w:rPr>
          <w:rFonts w:eastAsia="Palatino Linotype" w:cs="Palatino Linotype"/>
          <w:color w:val="000000" w:themeColor="text1"/>
        </w:rPr>
        <w:t xml:space="preserve">de la Ley de Transparencia y Acceso a la Información Pública del Estado de México y Municipios, se </w:t>
      </w:r>
      <w:r>
        <w:rPr>
          <w:rFonts w:eastAsia="Palatino Linotype" w:cs="Palatino Linotype"/>
          <w:b/>
          <w:bCs/>
          <w:color w:val="000000" w:themeColor="text1"/>
        </w:rPr>
        <w:t>MODIFI</w:t>
      </w:r>
      <w:r w:rsidRPr="0CEC3CE0">
        <w:rPr>
          <w:rFonts w:eastAsia="Palatino Linotype" w:cs="Palatino Linotype"/>
          <w:b/>
          <w:bCs/>
          <w:color w:val="000000" w:themeColor="text1"/>
        </w:rPr>
        <w:t xml:space="preserve">CA </w:t>
      </w:r>
      <w:r w:rsidRPr="0CEC3CE0">
        <w:rPr>
          <w:rFonts w:eastAsia="Palatino Linotype" w:cs="Palatino Linotype"/>
          <w:color w:val="000000" w:themeColor="text1"/>
        </w:rPr>
        <w:t>la respuesta a la solicitud de información número</w:t>
      </w:r>
      <w:r w:rsidRPr="008F3C6D">
        <w:rPr>
          <w:rFonts w:eastAsia="Palatino Linotype" w:cs="Palatino Linotype"/>
          <w:color w:val="000000"/>
          <w:szCs w:val="24"/>
        </w:rPr>
        <w:t xml:space="preserve"> </w:t>
      </w:r>
      <w:r w:rsidRPr="00717CAD">
        <w:rPr>
          <w:rFonts w:eastAsia="Palatino Linotype" w:cs="Palatino Linotype"/>
          <w:b/>
          <w:bCs/>
          <w:color w:val="000000"/>
          <w:szCs w:val="24"/>
        </w:rPr>
        <w:t>01913/TOLUCA/IP/2025</w:t>
      </w:r>
      <w:r w:rsidRPr="0CEC3CE0">
        <w:rPr>
          <w:rFonts w:eastAsia="Palatino Linotype" w:cs="Palatino Linotype"/>
          <w:color w:val="000000" w:themeColor="text1"/>
        </w:rPr>
        <w:t>, que ha sido materia del presente estudio.</w:t>
      </w:r>
    </w:p>
    <w:p w14:paraId="7B715E18" w14:textId="77777777" w:rsidR="00717CAD" w:rsidRDefault="00717CAD" w:rsidP="00717CAD"/>
    <w:p w14:paraId="4733B40E" w14:textId="77777777" w:rsidR="00717CAD" w:rsidRPr="00BB7F90" w:rsidRDefault="00717CAD" w:rsidP="00717CAD">
      <w:pPr>
        <w:pBdr>
          <w:top w:val="nil"/>
          <w:left w:val="nil"/>
          <w:bottom w:val="nil"/>
          <w:right w:val="nil"/>
          <w:between w:val="nil"/>
        </w:pBdr>
        <w:rPr>
          <w:rFonts w:eastAsia="Palatino Linotype" w:cs="Palatino Linotype"/>
          <w:color w:val="000000"/>
          <w:szCs w:val="24"/>
        </w:rPr>
      </w:pPr>
      <w:r w:rsidRPr="006F2304">
        <w:rPr>
          <w:rFonts w:eastAsia="Palatino Linotype" w:cs="Palatino Linotype"/>
          <w:color w:val="000000"/>
          <w:szCs w:val="24"/>
        </w:rPr>
        <w:t xml:space="preserve">Por lo </w:t>
      </w:r>
      <w:r w:rsidRPr="00BB7F90">
        <w:rPr>
          <w:rFonts w:eastAsia="Palatino Linotype" w:cs="Palatino Linotype"/>
          <w:color w:val="000000"/>
          <w:szCs w:val="24"/>
        </w:rPr>
        <w:t>antes expuesto y fundado es de resolverse y,</w:t>
      </w:r>
    </w:p>
    <w:p w14:paraId="258F684F" w14:textId="77777777" w:rsidR="00717CAD" w:rsidRDefault="00717CAD" w:rsidP="00717CAD"/>
    <w:p w14:paraId="09A175C5" w14:textId="77777777" w:rsidR="00717CAD" w:rsidRPr="00BB7F90" w:rsidRDefault="00717CAD" w:rsidP="00717CAD">
      <w:pPr>
        <w:pStyle w:val="Ttulo1"/>
        <w:rPr>
          <w:rFonts w:eastAsia="Palatino Linotype"/>
        </w:rPr>
      </w:pPr>
      <w:r w:rsidRPr="00BB7F90">
        <w:rPr>
          <w:rFonts w:eastAsia="Palatino Linotype"/>
        </w:rPr>
        <w:t>S E    R E S U E L V E</w:t>
      </w:r>
    </w:p>
    <w:p w14:paraId="122FBC98" w14:textId="77777777" w:rsidR="00717CAD" w:rsidRPr="00BB7F90" w:rsidRDefault="00717CAD" w:rsidP="00717CAD">
      <w:pPr>
        <w:pBdr>
          <w:top w:val="nil"/>
          <w:left w:val="nil"/>
          <w:bottom w:val="nil"/>
          <w:right w:val="nil"/>
          <w:between w:val="nil"/>
        </w:pBdr>
        <w:rPr>
          <w:rFonts w:eastAsia="Palatino Linotype" w:cs="Palatino Linotype"/>
          <w:b/>
          <w:color w:val="000000"/>
          <w:szCs w:val="24"/>
        </w:rPr>
      </w:pPr>
    </w:p>
    <w:p w14:paraId="4C62C545" w14:textId="1B0D646D" w:rsidR="00717CAD" w:rsidRPr="00BB7F90" w:rsidRDefault="00717CAD" w:rsidP="00717CAD">
      <w:pPr>
        <w:pBdr>
          <w:top w:val="nil"/>
          <w:left w:val="nil"/>
          <w:bottom w:val="nil"/>
          <w:right w:val="nil"/>
          <w:between w:val="nil"/>
        </w:pBdr>
        <w:rPr>
          <w:rFonts w:eastAsia="Palatino Linotype" w:cs="Palatino Linotype"/>
          <w:color w:val="000000"/>
        </w:rPr>
      </w:pPr>
      <w:r w:rsidRPr="00BB7F90">
        <w:rPr>
          <w:rFonts w:eastAsia="Palatino Linotype" w:cs="Palatino Linotype"/>
          <w:b/>
          <w:bCs/>
          <w:color w:val="000000" w:themeColor="text1"/>
        </w:rPr>
        <w:t>PRIMERO.</w:t>
      </w:r>
      <w:r w:rsidRPr="00BB7F90">
        <w:rPr>
          <w:rFonts w:eastAsia="Palatino Linotype" w:cs="Palatino Linotype"/>
          <w:color w:val="000000" w:themeColor="text1"/>
        </w:rPr>
        <w:t xml:space="preserve"> Se </w:t>
      </w:r>
      <w:r>
        <w:rPr>
          <w:rFonts w:eastAsia="Palatino Linotype" w:cs="Palatino Linotype"/>
          <w:b/>
          <w:bCs/>
          <w:color w:val="000000" w:themeColor="text1"/>
        </w:rPr>
        <w:t>MODIFI</w:t>
      </w:r>
      <w:r w:rsidRPr="00BB7F90">
        <w:rPr>
          <w:rFonts w:eastAsia="Palatino Linotype" w:cs="Palatino Linotype"/>
          <w:b/>
          <w:bCs/>
          <w:color w:val="000000" w:themeColor="text1"/>
        </w:rPr>
        <w:t>CA</w:t>
      </w:r>
      <w:r w:rsidRPr="00BB7F90">
        <w:rPr>
          <w:rFonts w:eastAsia="Palatino Linotype" w:cs="Palatino Linotype"/>
          <w:color w:val="000000" w:themeColor="text1"/>
        </w:rPr>
        <w:t xml:space="preserve"> la respuesta entregada por el Sujeto Obligado</w:t>
      </w:r>
      <w:r w:rsidRPr="00BB7F90">
        <w:rPr>
          <w:rFonts w:eastAsia="Palatino Linotype" w:cs="Palatino Linotype"/>
          <w:b/>
          <w:bCs/>
          <w:color w:val="000000" w:themeColor="text1"/>
        </w:rPr>
        <w:t xml:space="preserve"> </w:t>
      </w:r>
      <w:r w:rsidRPr="00BB7F90">
        <w:rPr>
          <w:rFonts w:eastAsia="Palatino Linotype" w:cs="Palatino Linotype"/>
          <w:color w:val="000000" w:themeColor="text1"/>
        </w:rPr>
        <w:t>a la solicitud de información número</w:t>
      </w:r>
      <w:r>
        <w:rPr>
          <w:rFonts w:eastAsia="Palatino Linotype" w:cs="Palatino Linotype"/>
          <w:b/>
          <w:bCs/>
          <w:color w:val="000000"/>
          <w:szCs w:val="24"/>
        </w:rPr>
        <w:t xml:space="preserve"> </w:t>
      </w:r>
      <w:r w:rsidRPr="00717CAD">
        <w:rPr>
          <w:rFonts w:eastAsia="Palatino Linotype" w:cs="Palatino Linotype"/>
          <w:b/>
          <w:bCs/>
          <w:color w:val="000000"/>
          <w:szCs w:val="24"/>
        </w:rPr>
        <w:t>01913/TOLUCA/IP/2025</w:t>
      </w:r>
      <w:r>
        <w:rPr>
          <w:rFonts w:eastAsia="Palatino Linotype" w:cs="Palatino Linotype"/>
          <w:color w:val="000000" w:themeColor="text1"/>
        </w:rPr>
        <w:t xml:space="preserve">, al resultar </w:t>
      </w:r>
      <w:r w:rsidRPr="00BB7F90">
        <w:rPr>
          <w:rFonts w:eastAsia="Palatino Linotype" w:cs="Palatino Linotype"/>
          <w:color w:val="000000" w:themeColor="text1"/>
        </w:rPr>
        <w:t xml:space="preserve">fundados los motivos de </w:t>
      </w:r>
      <w:r w:rsidRPr="00BB7F90">
        <w:rPr>
          <w:rFonts w:eastAsia="Palatino Linotype" w:cs="Palatino Linotype"/>
          <w:color w:val="000000" w:themeColor="text1"/>
        </w:rPr>
        <w:lastRenderedPageBreak/>
        <w:t xml:space="preserve">inconformidad argüidos por </w:t>
      </w:r>
      <w:r>
        <w:rPr>
          <w:rFonts w:eastAsia="Palatino Linotype" w:cs="Palatino Linotype"/>
          <w:color w:val="000000" w:themeColor="text1"/>
        </w:rPr>
        <w:t>el</w:t>
      </w:r>
      <w:r w:rsidRPr="00BB7F90">
        <w:rPr>
          <w:rFonts w:eastAsia="Palatino Linotype" w:cs="Palatino Linotype"/>
          <w:color w:val="000000" w:themeColor="text1"/>
        </w:rPr>
        <w:t xml:space="preserve"> Recurrente, en términos del</w:t>
      </w:r>
      <w:r>
        <w:rPr>
          <w:rFonts w:eastAsia="Palatino Linotype" w:cs="Palatino Linotype"/>
          <w:b/>
          <w:bCs/>
          <w:color w:val="000000" w:themeColor="text1"/>
        </w:rPr>
        <w:t xml:space="preserve"> Considerando QUIN</w:t>
      </w:r>
      <w:r w:rsidRPr="00BB7F90">
        <w:rPr>
          <w:rFonts w:eastAsia="Palatino Linotype" w:cs="Palatino Linotype"/>
          <w:b/>
          <w:bCs/>
          <w:color w:val="000000" w:themeColor="text1"/>
        </w:rPr>
        <w:t xml:space="preserve">TO </w:t>
      </w:r>
      <w:r w:rsidRPr="00BB7F90">
        <w:rPr>
          <w:rFonts w:eastAsia="Palatino Linotype" w:cs="Palatino Linotype"/>
          <w:color w:val="000000" w:themeColor="text1"/>
        </w:rPr>
        <w:t xml:space="preserve">de la presente resolución. </w:t>
      </w:r>
    </w:p>
    <w:p w14:paraId="0436CECC" w14:textId="77777777" w:rsidR="00717CAD" w:rsidRPr="00BB7F90" w:rsidRDefault="00717CAD" w:rsidP="00717CAD">
      <w:pPr>
        <w:pBdr>
          <w:top w:val="nil"/>
          <w:left w:val="nil"/>
          <w:bottom w:val="nil"/>
          <w:right w:val="nil"/>
          <w:between w:val="nil"/>
        </w:pBdr>
        <w:rPr>
          <w:rFonts w:eastAsia="Palatino Linotype" w:cs="Palatino Linotype"/>
          <w:color w:val="000000"/>
          <w:szCs w:val="24"/>
        </w:rPr>
      </w:pPr>
    </w:p>
    <w:p w14:paraId="45A81CB6" w14:textId="7A97BAA6" w:rsidR="00717CAD" w:rsidRPr="00BB7F90" w:rsidRDefault="00717CAD" w:rsidP="00717CAD">
      <w:pPr>
        <w:pBdr>
          <w:top w:val="nil"/>
          <w:left w:val="nil"/>
          <w:bottom w:val="nil"/>
          <w:right w:val="nil"/>
          <w:between w:val="nil"/>
        </w:pBdr>
        <w:rPr>
          <w:rFonts w:eastAsia="Palatino Linotype" w:cs="Palatino Linotype"/>
          <w:color w:val="000000"/>
          <w:szCs w:val="24"/>
        </w:rPr>
      </w:pPr>
      <w:r w:rsidRPr="00BB7F90">
        <w:rPr>
          <w:rFonts w:eastAsia="Palatino Linotype" w:cs="Palatino Linotype"/>
          <w:b/>
          <w:color w:val="000000"/>
          <w:szCs w:val="24"/>
        </w:rPr>
        <w:t>SEGUNDO.</w:t>
      </w:r>
      <w:r w:rsidRPr="00BB7F90">
        <w:rPr>
          <w:rFonts w:eastAsia="Palatino Linotype" w:cs="Palatino Linotype"/>
          <w:color w:val="000000"/>
          <w:szCs w:val="24"/>
        </w:rPr>
        <w:t xml:space="preserve"> Se </w:t>
      </w:r>
      <w:r w:rsidRPr="00BB7F90">
        <w:rPr>
          <w:rFonts w:eastAsia="Palatino Linotype" w:cs="Palatino Linotype"/>
          <w:b/>
          <w:color w:val="000000"/>
          <w:szCs w:val="24"/>
        </w:rPr>
        <w:t>ORDENA</w:t>
      </w:r>
      <w:r w:rsidRPr="00BB7F90">
        <w:rPr>
          <w:rFonts w:eastAsia="Palatino Linotype" w:cs="Palatino Linotype"/>
          <w:color w:val="000000"/>
          <w:szCs w:val="24"/>
        </w:rPr>
        <w:t xml:space="preserve"> </w:t>
      </w:r>
      <w:r w:rsidRPr="003F3F63">
        <w:rPr>
          <w:rFonts w:eastAsia="Palatino Linotype" w:cs="Palatino Linotype"/>
          <w:color w:val="000000"/>
          <w:szCs w:val="24"/>
        </w:rPr>
        <w:t>al Sujeto Obligado que</w:t>
      </w:r>
      <w:r>
        <w:rPr>
          <w:rFonts w:eastAsia="Palatino Linotype" w:cs="Palatino Linotype"/>
          <w:color w:val="000000"/>
          <w:szCs w:val="24"/>
        </w:rPr>
        <w:t xml:space="preserve"> haga </w:t>
      </w:r>
      <w:r w:rsidRPr="003F3F63">
        <w:rPr>
          <w:rFonts w:eastAsia="Palatino Linotype" w:cs="Palatino Linotype"/>
          <w:color w:val="000000"/>
          <w:szCs w:val="24"/>
        </w:rPr>
        <w:t>entrega a</w:t>
      </w:r>
      <w:r>
        <w:rPr>
          <w:rFonts w:eastAsia="Palatino Linotype" w:cs="Palatino Linotype"/>
          <w:color w:val="000000"/>
          <w:szCs w:val="24"/>
        </w:rPr>
        <w:t>l</w:t>
      </w:r>
      <w:r w:rsidRPr="003F3F63">
        <w:rPr>
          <w:rFonts w:eastAsia="Palatino Linotype" w:cs="Palatino Linotype"/>
          <w:color w:val="000000"/>
          <w:szCs w:val="24"/>
        </w:rPr>
        <w:t xml:space="preserve"> Recurrente mediante el Sistema de Acceso a la Información Mexiquense (SAIMEX)</w:t>
      </w:r>
      <w:r>
        <w:rPr>
          <w:rFonts w:eastAsia="Palatino Linotype" w:cs="Palatino Linotype"/>
          <w:color w:val="000000"/>
          <w:szCs w:val="24"/>
        </w:rPr>
        <w:t xml:space="preserve">, en versión pública de ser procedente, </w:t>
      </w:r>
      <w:r w:rsidRPr="003F3F63">
        <w:rPr>
          <w:rFonts w:eastAsia="Palatino Linotype" w:cs="Palatino Linotype"/>
          <w:color w:val="000000"/>
          <w:szCs w:val="24"/>
        </w:rPr>
        <w:t xml:space="preserve">en términos del </w:t>
      </w:r>
      <w:r>
        <w:rPr>
          <w:rFonts w:eastAsia="Palatino Linotype" w:cs="Palatino Linotype"/>
          <w:b/>
          <w:color w:val="000000"/>
          <w:szCs w:val="24"/>
        </w:rPr>
        <w:t>Considerando QUIN</w:t>
      </w:r>
      <w:r w:rsidRPr="003F3F63">
        <w:rPr>
          <w:rFonts w:eastAsia="Palatino Linotype" w:cs="Palatino Linotype"/>
          <w:b/>
          <w:color w:val="000000"/>
          <w:szCs w:val="24"/>
        </w:rPr>
        <w:t>TO</w:t>
      </w:r>
      <w:r>
        <w:rPr>
          <w:rFonts w:eastAsia="Palatino Linotype" w:cs="Palatino Linotype"/>
          <w:color w:val="000000"/>
          <w:szCs w:val="24"/>
        </w:rPr>
        <w:t>, de lo siguiente:</w:t>
      </w:r>
    </w:p>
    <w:p w14:paraId="5D623939" w14:textId="77777777" w:rsidR="00717CAD" w:rsidRPr="00BB7F90" w:rsidRDefault="00717CAD" w:rsidP="00717CAD">
      <w:pPr>
        <w:pBdr>
          <w:top w:val="nil"/>
          <w:left w:val="nil"/>
          <w:bottom w:val="nil"/>
          <w:right w:val="nil"/>
          <w:between w:val="nil"/>
        </w:pBdr>
        <w:rPr>
          <w:rFonts w:eastAsia="Palatino Linotype" w:cs="Palatino Linotype"/>
          <w:color w:val="000000"/>
          <w:szCs w:val="24"/>
        </w:rPr>
      </w:pPr>
    </w:p>
    <w:p w14:paraId="7E1DA891" w14:textId="3C5DF8FF" w:rsidR="00717CAD" w:rsidRPr="00717CAD" w:rsidRDefault="00717CAD" w:rsidP="00A14839">
      <w:pPr>
        <w:pStyle w:val="Prrafodelista"/>
        <w:numPr>
          <w:ilvl w:val="0"/>
          <w:numId w:val="70"/>
        </w:numPr>
        <w:spacing w:line="240" w:lineRule="auto"/>
        <w:rPr>
          <w:rFonts w:eastAsia="Palatino Linotype" w:cs="Palatino Linotype"/>
          <w:color w:val="000000"/>
        </w:rPr>
      </w:pPr>
      <w:r w:rsidRPr="00717CAD">
        <w:rPr>
          <w:rFonts w:eastAsiaTheme="minorEastAsia" w:cstheme="minorBidi"/>
          <w:i/>
          <w:lang w:eastAsia="en-US"/>
        </w:rPr>
        <w:t xml:space="preserve">Los expedientes y contratos de las adjudicaciones directas celebradas por la Dirección General de Administración del Ayuntamiento de Toluca durante el periodo comprendido del primero de enero al treinta y uno de marzo de dos mil veinticinco. </w:t>
      </w:r>
    </w:p>
    <w:p w14:paraId="7C262B05" w14:textId="77777777" w:rsidR="00717CAD" w:rsidRDefault="00717CAD" w:rsidP="00717CAD">
      <w:pPr>
        <w:rPr>
          <w:rFonts w:eastAsia="Palatino Linotype" w:cs="Palatino Linotype"/>
          <w:color w:val="000000"/>
          <w:szCs w:val="24"/>
        </w:rPr>
      </w:pPr>
    </w:p>
    <w:p w14:paraId="52D8CCB1" w14:textId="77777777" w:rsidR="00717CAD" w:rsidRPr="00326E60" w:rsidRDefault="00717CAD" w:rsidP="00717CAD">
      <w:pPr>
        <w:rPr>
          <w:rFonts w:eastAsia="Palatino Linotype" w:cs="Palatino Linotype"/>
          <w:color w:val="000000"/>
          <w:szCs w:val="24"/>
        </w:rPr>
      </w:pPr>
      <w:r w:rsidRPr="00326E60">
        <w:rPr>
          <w:rFonts w:eastAsia="Palatino Linotype" w:cs="Palatino Linotype"/>
          <w:color w:val="000000"/>
          <w:szCs w:val="24"/>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w:t>
      </w:r>
      <w:r>
        <w:rPr>
          <w:rFonts w:eastAsia="Palatino Linotype" w:cs="Palatino Linotype"/>
          <w:color w:val="000000"/>
          <w:szCs w:val="24"/>
        </w:rPr>
        <w:t xml:space="preserve"> y se ponga a disposición del</w:t>
      </w:r>
      <w:r w:rsidRPr="00326E60">
        <w:rPr>
          <w:rFonts w:eastAsia="Palatino Linotype" w:cs="Palatino Linotype"/>
          <w:color w:val="000000"/>
          <w:szCs w:val="24"/>
        </w:rPr>
        <w:t xml:space="preserve"> Recurrente.</w:t>
      </w:r>
    </w:p>
    <w:p w14:paraId="6231929E" w14:textId="77777777" w:rsidR="00717CAD" w:rsidRPr="00B667E3" w:rsidRDefault="00717CAD" w:rsidP="00717CAD">
      <w:pPr>
        <w:pStyle w:val="NormalINFOEM"/>
        <w:rPr>
          <w:szCs w:val="24"/>
        </w:rPr>
      </w:pPr>
    </w:p>
    <w:p w14:paraId="22D29BF4" w14:textId="77777777" w:rsidR="00717CAD" w:rsidRPr="00325BCB" w:rsidRDefault="00717CAD" w:rsidP="00717CAD">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TERCERO. Notifíquese</w:t>
      </w:r>
      <w:r w:rsidRPr="00325BCB">
        <w:rPr>
          <w:rFonts w:eastAsia="Palatino Linotype" w:cs="Palatino Linotype"/>
          <w:b/>
          <w:i/>
          <w:color w:val="000000"/>
          <w:szCs w:val="24"/>
        </w:rPr>
        <w:t xml:space="preserve"> </w:t>
      </w:r>
      <w:r w:rsidRPr="00325BCB">
        <w:rPr>
          <w:rFonts w:eastAsia="Palatino Linotype" w:cs="Palatino Linotype"/>
          <w:color w:val="000000"/>
          <w:szCs w:val="24"/>
        </w:rPr>
        <w:t>la presente resolución al Titular de la Unidad de Transparencia del Sujeto Obligado mediante el Sistema de Acceso a la Información Mexiquense (SAIMEX)</w:t>
      </w:r>
      <w:r>
        <w:rPr>
          <w:rFonts w:eastAsia="Palatino Linotype" w:cs="Palatino Linotype"/>
          <w:color w:val="000000"/>
          <w:szCs w:val="24"/>
        </w:rPr>
        <w:t xml:space="preserve">, </w:t>
      </w:r>
      <w:r w:rsidRPr="00325BCB">
        <w:rPr>
          <w:rFonts w:eastAsia="Palatino Linotype" w:cs="Palatino Linotype"/>
          <w:color w:val="000000"/>
          <w:szCs w:val="24"/>
        </w:rPr>
        <w:t xml:space="preserve">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w:t>
      </w:r>
      <w:r w:rsidRPr="00325BCB">
        <w:rPr>
          <w:rFonts w:eastAsia="Palatino Linotype" w:cs="Palatino Linotype"/>
          <w:color w:val="000000"/>
          <w:szCs w:val="24"/>
        </w:rPr>
        <w:lastRenderedPageBreak/>
        <w:t>artículos 198, 200 fracción III, 214, 215 y 216 de la Ley de Transparencia y Acceso a la Información Pública del Estado de México y Municipios.</w:t>
      </w:r>
    </w:p>
    <w:p w14:paraId="04B5B058" w14:textId="77777777" w:rsidR="00717CAD" w:rsidRPr="00325BCB" w:rsidRDefault="00717CAD" w:rsidP="00717CAD">
      <w:pPr>
        <w:pBdr>
          <w:top w:val="nil"/>
          <w:left w:val="nil"/>
          <w:bottom w:val="nil"/>
          <w:right w:val="nil"/>
          <w:between w:val="nil"/>
        </w:pBdr>
        <w:rPr>
          <w:rFonts w:eastAsia="Palatino Linotype" w:cs="Palatino Linotype"/>
          <w:color w:val="000000"/>
          <w:szCs w:val="24"/>
        </w:rPr>
      </w:pPr>
    </w:p>
    <w:p w14:paraId="493AC522" w14:textId="77777777" w:rsidR="00717CAD" w:rsidRPr="00325BCB" w:rsidRDefault="00717CAD" w:rsidP="00717CAD">
      <w:pPr>
        <w:pBdr>
          <w:top w:val="nil"/>
          <w:left w:val="nil"/>
          <w:bottom w:val="nil"/>
          <w:right w:val="nil"/>
          <w:between w:val="nil"/>
        </w:pBdr>
        <w:rPr>
          <w:rFonts w:eastAsia="Palatino Linotype" w:cs="Palatino Linotype"/>
          <w:color w:val="000000"/>
          <w:szCs w:val="24"/>
        </w:rPr>
      </w:pPr>
      <w:r w:rsidRPr="00325BCB">
        <w:rPr>
          <w:rFonts w:eastAsia="Palatino Linotype" w:cs="Palatino Linotype"/>
          <w:b/>
          <w:color w:val="000000"/>
          <w:szCs w:val="24"/>
        </w:rPr>
        <w:t xml:space="preserve">CUARTO. </w:t>
      </w:r>
      <w:r w:rsidRPr="00325BCB">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EA986C9" w14:textId="77777777" w:rsidR="00717CAD" w:rsidRPr="00BA5315" w:rsidRDefault="00717CAD" w:rsidP="00717CAD">
      <w:pPr>
        <w:pBdr>
          <w:top w:val="nil"/>
          <w:left w:val="nil"/>
          <w:bottom w:val="nil"/>
          <w:right w:val="nil"/>
          <w:between w:val="nil"/>
        </w:pBdr>
        <w:rPr>
          <w:rFonts w:eastAsia="Palatino Linotype" w:cs="Palatino Linotype"/>
          <w:color w:val="000000"/>
          <w:szCs w:val="24"/>
        </w:rPr>
      </w:pPr>
    </w:p>
    <w:p w14:paraId="78A4BA43" w14:textId="77777777" w:rsidR="00717CAD" w:rsidRPr="00BA5315" w:rsidRDefault="00717CAD" w:rsidP="00717CAD">
      <w:pPr>
        <w:pBdr>
          <w:top w:val="nil"/>
          <w:left w:val="nil"/>
          <w:bottom w:val="nil"/>
          <w:right w:val="nil"/>
          <w:between w:val="nil"/>
        </w:pBdr>
        <w:rPr>
          <w:rFonts w:eastAsia="Palatino Linotype" w:cs="Palatino Linotype"/>
          <w:color w:val="000000"/>
          <w:szCs w:val="24"/>
        </w:rPr>
      </w:pPr>
      <w:r w:rsidRPr="00BA5315">
        <w:rPr>
          <w:rFonts w:eastAsia="Palatino Linotype" w:cs="Palatino Linotype"/>
          <w:b/>
          <w:color w:val="000000"/>
          <w:szCs w:val="24"/>
        </w:rPr>
        <w:t xml:space="preserve">QUINTO. Notifíquese </w:t>
      </w:r>
      <w:r w:rsidRPr="00BA5315">
        <w:rPr>
          <w:rFonts w:eastAsia="Palatino Linotype" w:cs="Palatino Linotype"/>
          <w:color w:val="000000"/>
          <w:szCs w:val="24"/>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1307C6CB" w14:textId="77777777" w:rsidR="00EA313B" w:rsidRDefault="00EA313B" w:rsidP="005B4AA2">
      <w:pPr>
        <w:pBdr>
          <w:top w:val="nil"/>
          <w:left w:val="nil"/>
          <w:bottom w:val="nil"/>
          <w:right w:val="nil"/>
          <w:between w:val="nil"/>
        </w:pBdr>
        <w:contextualSpacing/>
      </w:pPr>
    </w:p>
    <w:p w14:paraId="20573BFF" w14:textId="35DCD8EE" w:rsidR="00A970D5" w:rsidRPr="006922F5" w:rsidRDefault="005A45B1" w:rsidP="00830042">
      <w:pPr>
        <w:pBdr>
          <w:top w:val="nil"/>
          <w:left w:val="nil"/>
          <w:bottom w:val="nil"/>
          <w:right w:val="nil"/>
          <w:between w:val="nil"/>
        </w:pBdr>
        <w:contextualSpacing/>
        <w:rPr>
          <w:rFonts w:eastAsia="Palatino Linotype" w:cs="Palatino Linotype"/>
          <w:color w:val="000000"/>
          <w:szCs w:val="24"/>
        </w:rPr>
      </w:pPr>
      <w:r w:rsidRPr="0085493E">
        <w:rPr>
          <w:rFonts w:eastAsia="Palatino Linotype" w:cs="Palatino Linotype"/>
          <w:color w:val="000000"/>
          <w:szCs w:val="24"/>
        </w:rPr>
        <w:t>ASÍ LO RESUELVE</w:t>
      </w:r>
      <w:r w:rsidR="00247FE8" w:rsidRPr="0085493E">
        <w:rPr>
          <w:rFonts w:eastAsia="Palatino Linotype" w:cs="Palatino Linotype"/>
          <w:color w:val="000000"/>
          <w:szCs w:val="24"/>
        </w:rPr>
        <w:t xml:space="preserve"> POR </w:t>
      </w:r>
      <w:r w:rsidR="009E3D7A">
        <w:rPr>
          <w:rFonts w:eastAsia="Palatino Linotype" w:cs="Palatino Linotype"/>
          <w:color w:val="000000"/>
          <w:szCs w:val="24"/>
        </w:rPr>
        <w:t>UNANIMIDAD</w:t>
      </w:r>
      <w:r w:rsidRPr="0085493E">
        <w:rPr>
          <w:rFonts w:eastAsia="Palatino Linotype" w:cs="Palatino Linotype"/>
          <w:color w:val="000000"/>
          <w:szCs w:val="24"/>
        </w:rPr>
        <w:t xml:space="preserve"> </w:t>
      </w:r>
      <w:r w:rsidR="006922F5" w:rsidRPr="0085493E">
        <w:rPr>
          <w:rFonts w:eastAsia="Palatino Linotype" w:cs="Palatino Linotype"/>
          <w:color w:val="000000"/>
          <w:szCs w:val="24"/>
        </w:rPr>
        <w:t>DE VOTOS, EL PLENO DEL INSTITUTO DE TRANSPARENCIA, ACCESO A LA INFORMACIÓN PÚBLICA Y PROTECCIÓN DE</w:t>
      </w:r>
      <w:r w:rsidR="006922F5">
        <w:rPr>
          <w:rFonts w:eastAsia="Palatino Linotype" w:cs="Palatino Linotype"/>
          <w:color w:val="000000"/>
          <w:szCs w:val="24"/>
        </w:rPr>
        <w:t xml:space="preserve"> DATOS PERSONALES DEL ESTADO DE MÉXICO Y MUNICIPIOS, CONFORMADO POR LOS COMISIONADOS JOSÉ MARTÍNEZ VILCHIS, MARÍA DEL ROSARIO MEJÍA AYALA, SHARON CRISTINA MORALES MARTÍNEZ, LUIS GUSTAVO PARRA NORIEGA</w:t>
      </w:r>
      <w:r w:rsidR="009E3DAE">
        <w:rPr>
          <w:rFonts w:eastAsia="Palatino Linotype" w:cs="Palatino Linotype"/>
          <w:color w:val="000000"/>
          <w:szCs w:val="24"/>
        </w:rPr>
        <w:t xml:space="preserve"> </w:t>
      </w:r>
      <w:r w:rsidR="006922F5">
        <w:rPr>
          <w:rFonts w:eastAsia="Palatino Linotype" w:cs="Palatino Linotype"/>
          <w:color w:val="000000"/>
          <w:szCs w:val="24"/>
        </w:rPr>
        <w:t>Y GUADALUPE RAMÍREZ PEÑA</w:t>
      </w:r>
      <w:r w:rsidR="00AF6B94">
        <w:rPr>
          <w:rFonts w:eastAsia="Palatino Linotype" w:cs="Palatino Linotype"/>
          <w:color w:val="000000"/>
          <w:szCs w:val="24"/>
        </w:rPr>
        <w:t>,</w:t>
      </w:r>
      <w:r w:rsidR="00F37687">
        <w:rPr>
          <w:rFonts w:eastAsia="Palatino Linotype" w:cs="Palatino Linotype"/>
          <w:color w:val="000000"/>
          <w:szCs w:val="24"/>
        </w:rPr>
        <w:t xml:space="preserve"> </w:t>
      </w:r>
      <w:r w:rsidR="006922F5">
        <w:rPr>
          <w:rFonts w:eastAsia="Palatino Linotype" w:cs="Palatino Linotype"/>
          <w:color w:val="000000"/>
          <w:szCs w:val="24"/>
        </w:rPr>
        <w:t xml:space="preserve">EN </w:t>
      </w:r>
      <w:r w:rsidR="006922F5" w:rsidRPr="000D2E93">
        <w:rPr>
          <w:rFonts w:eastAsia="Palatino Linotype" w:cs="Palatino Linotype"/>
          <w:color w:val="000000"/>
          <w:szCs w:val="24"/>
        </w:rPr>
        <w:t>LA</w:t>
      </w:r>
      <w:r w:rsidR="00C93568">
        <w:rPr>
          <w:rFonts w:eastAsia="Palatino Linotype" w:cs="Palatino Linotype"/>
          <w:color w:val="000000"/>
          <w:szCs w:val="24"/>
        </w:rPr>
        <w:t xml:space="preserve"> </w:t>
      </w:r>
      <w:r w:rsidR="00CF10F8">
        <w:rPr>
          <w:rFonts w:eastAsia="Palatino Linotype" w:cs="Palatino Linotype"/>
          <w:color w:val="000000"/>
          <w:szCs w:val="24"/>
        </w:rPr>
        <w:t>TRÍGESIMA</w:t>
      </w:r>
      <w:r w:rsidR="0075725A">
        <w:rPr>
          <w:rFonts w:eastAsia="Palatino Linotype" w:cs="Palatino Linotype"/>
          <w:color w:val="000000"/>
          <w:szCs w:val="24"/>
        </w:rPr>
        <w:t xml:space="preserve"> </w:t>
      </w:r>
      <w:r w:rsidR="00DE55DA">
        <w:rPr>
          <w:rFonts w:eastAsia="Palatino Linotype" w:cs="Palatino Linotype"/>
          <w:color w:val="000000"/>
          <w:szCs w:val="24"/>
        </w:rPr>
        <w:t>SEGUNDA</w:t>
      </w:r>
      <w:r w:rsidR="006922F5" w:rsidRPr="000D2E93">
        <w:rPr>
          <w:rFonts w:eastAsia="Palatino Linotype" w:cs="Palatino Linotype"/>
          <w:color w:val="000000"/>
          <w:szCs w:val="24"/>
        </w:rPr>
        <w:t>SESIÓN ORDINARIA CELEBRADA E</w:t>
      </w:r>
      <w:r w:rsidR="00C93568">
        <w:rPr>
          <w:rFonts w:eastAsia="Palatino Linotype" w:cs="Palatino Linotype"/>
          <w:color w:val="000000"/>
          <w:szCs w:val="24"/>
        </w:rPr>
        <w:t>L</w:t>
      </w:r>
      <w:r w:rsidR="00CF10F8">
        <w:rPr>
          <w:rFonts w:eastAsia="Palatino Linotype" w:cs="Palatino Linotype"/>
          <w:color w:val="000000"/>
          <w:szCs w:val="24"/>
        </w:rPr>
        <w:t xml:space="preserve"> </w:t>
      </w:r>
      <w:r w:rsidR="00DE55DA">
        <w:rPr>
          <w:rFonts w:eastAsia="Palatino Linotype" w:cs="Palatino Linotype"/>
          <w:color w:val="000000"/>
          <w:szCs w:val="24"/>
        </w:rPr>
        <w:t>DIEZ DE SEPTIEMBRE</w:t>
      </w:r>
      <w:r w:rsidR="00C93568" w:rsidRPr="0011108B">
        <w:rPr>
          <w:rFonts w:eastAsia="Palatino Linotype" w:cs="Palatino Linotype"/>
          <w:color w:val="000000"/>
          <w:szCs w:val="24"/>
        </w:rPr>
        <w:t xml:space="preserve"> </w:t>
      </w:r>
      <w:r w:rsidR="002475C3" w:rsidRPr="0011108B">
        <w:rPr>
          <w:rFonts w:eastAsia="Palatino Linotype" w:cs="Palatino Linotype"/>
          <w:color w:val="000000"/>
          <w:szCs w:val="24"/>
        </w:rPr>
        <w:t>DE DOS MIL VEINTI</w:t>
      </w:r>
      <w:r w:rsidR="0011108B" w:rsidRPr="0011108B">
        <w:rPr>
          <w:rFonts w:eastAsia="Palatino Linotype" w:cs="Palatino Linotype"/>
          <w:color w:val="000000"/>
          <w:szCs w:val="24"/>
        </w:rPr>
        <w:t>C</w:t>
      </w:r>
      <w:r w:rsidR="00B43890">
        <w:rPr>
          <w:rFonts w:eastAsia="Palatino Linotype" w:cs="Palatino Linotype"/>
          <w:color w:val="000000"/>
          <w:szCs w:val="24"/>
        </w:rPr>
        <w:t>INCO</w:t>
      </w:r>
      <w:r w:rsidR="006922F5">
        <w:rPr>
          <w:rFonts w:eastAsia="Palatino Linotype" w:cs="Palatino Linotype"/>
          <w:color w:val="000000"/>
          <w:szCs w:val="24"/>
        </w:rPr>
        <w:t xml:space="preserve">, ANTE EL SECRETARIO TÉCNICO </w:t>
      </w:r>
      <w:r>
        <w:rPr>
          <w:rFonts w:eastAsia="Palatino Linotype" w:cs="Palatino Linotype"/>
          <w:color w:val="000000"/>
          <w:szCs w:val="24"/>
        </w:rPr>
        <w:t>DEL PLENO, ALEXIS TAPIA RAMÍREZ</w:t>
      </w:r>
      <w:r w:rsidR="00A970D5" w:rsidRPr="006922F5">
        <w:rPr>
          <w:rFonts w:eastAsia="Palatino Linotype" w:cs="Palatino Linotype"/>
          <w:color w:val="000000"/>
          <w:szCs w:val="24"/>
        </w:rPr>
        <w:t>.</w:t>
      </w:r>
      <w:r w:rsidR="001957CF">
        <w:rPr>
          <w:rFonts w:eastAsia="Palatino Linotype" w:cs="Palatino Linotype"/>
          <w:color w:val="000000"/>
          <w:szCs w:val="24"/>
        </w:rPr>
        <w:t>--------------</w:t>
      </w:r>
      <w:r w:rsidR="00C6512A">
        <w:rPr>
          <w:rFonts w:eastAsia="Palatino Linotype" w:cs="Palatino Linotype"/>
          <w:color w:val="000000"/>
          <w:szCs w:val="24"/>
        </w:rPr>
        <w:t>----</w:t>
      </w:r>
    </w:p>
    <w:p w14:paraId="4DA57669" w14:textId="77777777" w:rsidR="00A970D5" w:rsidRPr="004B7011" w:rsidRDefault="44E9108F" w:rsidP="001E2ECC">
      <w:pPr>
        <w:pBdr>
          <w:top w:val="nil"/>
          <w:left w:val="nil"/>
          <w:bottom w:val="nil"/>
          <w:right w:val="nil"/>
          <w:between w:val="nil"/>
        </w:pBdr>
        <w:contextualSpacing/>
        <w:rPr>
          <w:rFonts w:eastAsia="Palatino Linotype" w:cs="Palatino Linotype"/>
          <w:color w:val="000000"/>
          <w:sz w:val="20"/>
          <w:szCs w:val="20"/>
          <w:lang w:val="es-ES"/>
        </w:rPr>
      </w:pPr>
      <w:r w:rsidRPr="44E9108F">
        <w:rPr>
          <w:rFonts w:eastAsia="Palatino Linotype" w:cs="Palatino Linotype"/>
          <w:color w:val="000000" w:themeColor="text1"/>
          <w:sz w:val="20"/>
          <w:szCs w:val="20"/>
          <w:lang w:val="es-ES"/>
        </w:rPr>
        <w:t>JMV/CCR/fzh</w:t>
      </w:r>
    </w:p>
    <w:p w14:paraId="5FBC6CA4" w14:textId="77777777" w:rsidR="00A970D5" w:rsidRPr="004B7011" w:rsidRDefault="00A970D5" w:rsidP="001E2ECC">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874B16">
      <w:headerReference w:type="even" r:id="rId8"/>
      <w:headerReference w:type="default" r:id="rId9"/>
      <w:footerReference w:type="default" r:id="rId10"/>
      <w:headerReference w:type="first" r:id="rId11"/>
      <w:footerReference w:type="first" r:id="rId12"/>
      <w:pgSz w:w="12240" w:h="15840"/>
      <w:pgMar w:top="2977" w:right="992" w:bottom="1191"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1846A" w14:textId="77777777" w:rsidR="004C4E80" w:rsidRDefault="004C4E80" w:rsidP="00F2498E">
      <w:pPr>
        <w:spacing w:line="240" w:lineRule="auto"/>
      </w:pPr>
      <w:r>
        <w:separator/>
      </w:r>
    </w:p>
  </w:endnote>
  <w:endnote w:type="continuationSeparator" w:id="0">
    <w:p w14:paraId="177BD8D7" w14:textId="77777777" w:rsidR="004C4E80" w:rsidRDefault="004C4E80" w:rsidP="00F2498E">
      <w:pPr>
        <w:spacing w:line="240" w:lineRule="auto"/>
      </w:pPr>
      <w:r>
        <w:continuationSeparator/>
      </w:r>
    </w:p>
  </w:endnote>
  <w:endnote w:type="continuationNotice" w:id="1">
    <w:p w14:paraId="2C9DB635" w14:textId="77777777" w:rsidR="004C4E80" w:rsidRDefault="004C4E8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EA313B" w:rsidRPr="00871A91" w:rsidRDefault="00EA313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E02F8">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E02F8">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EA313B" w:rsidRPr="00871A91" w:rsidRDefault="00EA313B"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E02F8">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E02F8">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EC0023" w14:textId="77777777" w:rsidR="004C4E80" w:rsidRDefault="004C4E80" w:rsidP="00F2498E">
      <w:pPr>
        <w:spacing w:line="240" w:lineRule="auto"/>
      </w:pPr>
      <w:r>
        <w:separator/>
      </w:r>
    </w:p>
  </w:footnote>
  <w:footnote w:type="continuationSeparator" w:id="0">
    <w:p w14:paraId="0A01433D" w14:textId="77777777" w:rsidR="004C4E80" w:rsidRDefault="004C4E80" w:rsidP="00F2498E">
      <w:pPr>
        <w:spacing w:line="240" w:lineRule="auto"/>
      </w:pPr>
      <w:r>
        <w:continuationSeparator/>
      </w:r>
    </w:p>
  </w:footnote>
  <w:footnote w:type="continuationNotice" w:id="1">
    <w:p w14:paraId="75FD1A30" w14:textId="77777777" w:rsidR="004C4E80" w:rsidRDefault="004C4E80">
      <w:pPr>
        <w:spacing w:line="240" w:lineRule="auto"/>
      </w:pPr>
    </w:p>
  </w:footnote>
  <w:footnote w:id="2">
    <w:p w14:paraId="2BCE50A0" w14:textId="77777777" w:rsidR="00EA313B" w:rsidRPr="0031280C" w:rsidRDefault="00EA313B" w:rsidP="00454915">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24F7C698" w14:textId="77777777" w:rsidR="00EA313B" w:rsidRPr="0031280C" w:rsidRDefault="00EA313B" w:rsidP="00454915">
      <w:pPr>
        <w:pBdr>
          <w:top w:val="nil"/>
          <w:left w:val="nil"/>
          <w:bottom w:val="nil"/>
          <w:right w:val="nil"/>
          <w:between w:val="nil"/>
        </w:pBdr>
        <w:spacing w:line="240" w:lineRule="auto"/>
        <w:rPr>
          <w:rFonts w:eastAsia="Palatino Linotype" w:cs="Palatino Linotype"/>
          <w:color w:val="000000"/>
          <w:sz w:val="20"/>
          <w:szCs w:val="20"/>
        </w:rPr>
      </w:pPr>
    </w:p>
    <w:p w14:paraId="508A7F19" w14:textId="77777777" w:rsidR="00EA313B" w:rsidRPr="0031280C" w:rsidRDefault="00EA313B" w:rsidP="00454915">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C3ABFAA" w14:textId="77777777" w:rsidR="00EA313B" w:rsidRPr="0031280C" w:rsidRDefault="00EA313B" w:rsidP="00454915">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5A0F2DB4" w14:textId="77777777" w:rsidR="00BE72BA" w:rsidRPr="00FC64D4" w:rsidRDefault="00BE72BA" w:rsidP="00BE72BA">
      <w:pPr>
        <w:pStyle w:val="Textonotapie"/>
        <w:rPr>
          <w:sz w:val="18"/>
        </w:rPr>
      </w:pPr>
      <w:r w:rsidRPr="00FC64D4">
        <w:rPr>
          <w:rStyle w:val="Refdenotaalpie"/>
          <w:sz w:val="18"/>
        </w:rPr>
        <w:footnoteRef/>
      </w:r>
      <w:r w:rsidRPr="00FC64D4">
        <w:rPr>
          <w:sz w:val="18"/>
        </w:rPr>
        <w:t xml:space="preserve"> Tesis VI.2o. J/43</w:t>
      </w:r>
      <w:r>
        <w:rPr>
          <w:sz w:val="18"/>
        </w:rPr>
        <w:t xml:space="preserve">, </w:t>
      </w:r>
      <w:r>
        <w:rPr>
          <w:i/>
          <w:sz w:val="18"/>
        </w:rPr>
        <w:t>Semanario Judicial de la Federación y su Gaceta</w:t>
      </w:r>
      <w:r>
        <w:rPr>
          <w:sz w:val="18"/>
        </w:rPr>
        <w:t>, Novena Época, Tomo III, marzo de 1996, pág. 769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EA313B" w:rsidRDefault="006E02F8">
    <w:pPr>
      <w:pStyle w:val="Encabezado"/>
    </w:pPr>
    <w:r>
      <w:rPr>
        <w:noProof/>
        <w:lang w:val="es-MX" w:eastAsia="es-MX"/>
      </w:rPr>
      <w:pict w14:anchorId="58853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EA313B" w:rsidRPr="00B17577" w14:paraId="37B9EBDE" w14:textId="77777777" w:rsidTr="00874B16">
      <w:trPr>
        <w:trHeight w:val="227"/>
      </w:trPr>
      <w:tc>
        <w:tcPr>
          <w:tcW w:w="5103" w:type="dxa"/>
          <w:hideMark/>
        </w:tcPr>
        <w:p w14:paraId="4964FBC5" w14:textId="54CDA645" w:rsidR="00EA313B" w:rsidRPr="00096248" w:rsidRDefault="00EA313B" w:rsidP="00011C4D">
          <w:pPr>
            <w:spacing w:after="120" w:line="240" w:lineRule="auto"/>
            <w:ind w:right="69"/>
            <w:jc w:val="right"/>
            <w:rPr>
              <w:rFonts w:cs="Arial"/>
              <w:b/>
              <w:szCs w:val="24"/>
            </w:rPr>
          </w:pPr>
          <w:r w:rsidRPr="00096248">
            <w:rPr>
              <w:rFonts w:cs="Arial"/>
              <w:b/>
              <w:szCs w:val="24"/>
            </w:rPr>
            <w:t>Recurso de Revisión:</w:t>
          </w:r>
        </w:p>
      </w:tc>
      <w:tc>
        <w:tcPr>
          <w:tcW w:w="4678" w:type="dxa"/>
          <w:hideMark/>
        </w:tcPr>
        <w:p w14:paraId="421B9899" w14:textId="0B97094C" w:rsidR="00EA313B" w:rsidRPr="00096248" w:rsidRDefault="00EA313B" w:rsidP="00011C4D">
          <w:pPr>
            <w:spacing w:after="120" w:line="240" w:lineRule="auto"/>
            <w:ind w:right="71"/>
            <w:jc w:val="right"/>
            <w:rPr>
              <w:rFonts w:cs="Arial"/>
              <w:b/>
              <w:szCs w:val="24"/>
            </w:rPr>
          </w:pPr>
          <w:r>
            <w:rPr>
              <w:rFonts w:cs="Arial"/>
              <w:b/>
              <w:bCs/>
              <w:szCs w:val="24"/>
            </w:rPr>
            <w:t>05755/INFOEM/IP/RR/2025</w:t>
          </w:r>
        </w:p>
      </w:tc>
    </w:tr>
    <w:tr w:rsidR="00EA313B" w14:paraId="7591D3C9" w14:textId="77777777" w:rsidTr="00874B16">
      <w:trPr>
        <w:trHeight w:val="242"/>
      </w:trPr>
      <w:tc>
        <w:tcPr>
          <w:tcW w:w="5103" w:type="dxa"/>
          <w:hideMark/>
        </w:tcPr>
        <w:p w14:paraId="729A65A8" w14:textId="77777777" w:rsidR="00EA313B" w:rsidRPr="00096248" w:rsidRDefault="00EA313B" w:rsidP="00011C4D">
          <w:pPr>
            <w:spacing w:after="120" w:line="240" w:lineRule="auto"/>
            <w:ind w:right="69"/>
            <w:jc w:val="right"/>
            <w:rPr>
              <w:rFonts w:cs="Arial"/>
              <w:b/>
              <w:szCs w:val="24"/>
            </w:rPr>
          </w:pPr>
          <w:r w:rsidRPr="00096248">
            <w:rPr>
              <w:rFonts w:cs="Arial"/>
              <w:b/>
              <w:szCs w:val="24"/>
            </w:rPr>
            <w:t>Sujeto Obligado:</w:t>
          </w:r>
        </w:p>
      </w:tc>
      <w:tc>
        <w:tcPr>
          <w:tcW w:w="4678" w:type="dxa"/>
          <w:hideMark/>
        </w:tcPr>
        <w:p w14:paraId="283ADF36" w14:textId="55826EDE" w:rsidR="00EA313B" w:rsidRPr="00096248" w:rsidRDefault="00EA313B" w:rsidP="00011C4D">
          <w:pPr>
            <w:spacing w:after="120" w:line="240" w:lineRule="auto"/>
            <w:ind w:left="-81" w:right="71"/>
            <w:jc w:val="right"/>
            <w:rPr>
              <w:rFonts w:cs="Arial"/>
              <w:szCs w:val="24"/>
            </w:rPr>
          </w:pPr>
          <w:r>
            <w:rPr>
              <w:rFonts w:cs="Arial"/>
              <w:szCs w:val="24"/>
            </w:rPr>
            <w:t>Ayuntamiento de Toluca</w:t>
          </w:r>
        </w:p>
      </w:tc>
    </w:tr>
    <w:tr w:rsidR="00EA313B" w:rsidRPr="00F63239" w14:paraId="037E914D" w14:textId="77777777" w:rsidTr="00874B16">
      <w:trPr>
        <w:trHeight w:val="342"/>
      </w:trPr>
      <w:tc>
        <w:tcPr>
          <w:tcW w:w="5103" w:type="dxa"/>
          <w:hideMark/>
        </w:tcPr>
        <w:p w14:paraId="7676B68F" w14:textId="64D69EAF" w:rsidR="00EA313B" w:rsidRPr="00096248" w:rsidRDefault="00EA313B"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678" w:type="dxa"/>
          <w:hideMark/>
        </w:tcPr>
        <w:p w14:paraId="6493BA30" w14:textId="77777777" w:rsidR="00EA313B" w:rsidRDefault="00EA313B"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EA313B" w:rsidRPr="00711916" w:rsidRDefault="00EA313B" w:rsidP="00011C4D">
          <w:pPr>
            <w:spacing w:after="120" w:line="240" w:lineRule="auto"/>
            <w:ind w:left="-486" w:right="71" w:firstLine="567"/>
            <w:jc w:val="right"/>
            <w:rPr>
              <w:rFonts w:cs="Arial"/>
              <w:sz w:val="2"/>
              <w:szCs w:val="2"/>
            </w:rPr>
          </w:pPr>
        </w:p>
      </w:tc>
    </w:tr>
  </w:tbl>
  <w:p w14:paraId="2998DBFD" w14:textId="25A9F426" w:rsidR="00EA313B" w:rsidRPr="00871A91" w:rsidRDefault="006E02F8">
    <w:pPr>
      <w:pStyle w:val="Encabezado"/>
      <w:rPr>
        <w:sz w:val="2"/>
      </w:rPr>
    </w:pPr>
    <w:r>
      <w:rPr>
        <w:noProof/>
        <w:lang w:val="es-MX" w:eastAsia="es-MX"/>
      </w:rPr>
      <w:pict w14:anchorId="1C5DA2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81.95pt;margin-top:-143.1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EA313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103"/>
      <w:gridCol w:w="4678"/>
    </w:tblGrid>
    <w:tr w:rsidR="00EA313B" w14:paraId="0F9FE9B6" w14:textId="77777777" w:rsidTr="00874B16">
      <w:trPr>
        <w:trHeight w:val="227"/>
      </w:trPr>
      <w:tc>
        <w:tcPr>
          <w:tcW w:w="5103" w:type="dxa"/>
          <w:hideMark/>
        </w:tcPr>
        <w:p w14:paraId="6D1D9D71" w14:textId="11150E5A" w:rsidR="00EA313B" w:rsidRPr="00663A37" w:rsidRDefault="00EA313B"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678" w:type="dxa"/>
          <w:hideMark/>
        </w:tcPr>
        <w:p w14:paraId="242DE466" w14:textId="5913A28D" w:rsidR="00EA313B" w:rsidRPr="00C81ECD" w:rsidRDefault="00EA313B" w:rsidP="00011C4D">
          <w:pPr>
            <w:spacing w:after="120" w:line="240" w:lineRule="auto"/>
            <w:ind w:left="-486" w:right="68" w:firstLine="558"/>
            <w:jc w:val="right"/>
            <w:rPr>
              <w:rFonts w:cs="Arial"/>
              <w:b/>
              <w:szCs w:val="24"/>
            </w:rPr>
          </w:pPr>
          <w:r>
            <w:rPr>
              <w:rFonts w:cs="Arial"/>
              <w:b/>
              <w:bCs/>
              <w:szCs w:val="24"/>
            </w:rPr>
            <w:t>05755/INFOEM/IP/RR/2025</w:t>
          </w:r>
        </w:p>
      </w:tc>
    </w:tr>
    <w:tr w:rsidR="00EA313B" w:rsidRPr="001F57CD" w14:paraId="1377D264" w14:textId="77777777" w:rsidTr="00874B16">
      <w:trPr>
        <w:trHeight w:val="196"/>
      </w:trPr>
      <w:tc>
        <w:tcPr>
          <w:tcW w:w="5103" w:type="dxa"/>
          <w:hideMark/>
        </w:tcPr>
        <w:p w14:paraId="04D597A1" w14:textId="77777777" w:rsidR="00EA313B" w:rsidRPr="00663A37" w:rsidRDefault="00EA313B" w:rsidP="00011C4D">
          <w:pPr>
            <w:spacing w:after="120" w:line="240" w:lineRule="auto"/>
            <w:ind w:right="68"/>
            <w:jc w:val="right"/>
            <w:rPr>
              <w:rFonts w:cs="Arial"/>
              <w:b/>
              <w:szCs w:val="24"/>
            </w:rPr>
          </w:pPr>
          <w:r w:rsidRPr="00663A37">
            <w:rPr>
              <w:rFonts w:cs="Arial"/>
              <w:b/>
              <w:szCs w:val="24"/>
            </w:rPr>
            <w:t>Recurrente:</w:t>
          </w:r>
        </w:p>
      </w:tc>
      <w:tc>
        <w:tcPr>
          <w:tcW w:w="4678" w:type="dxa"/>
          <w:hideMark/>
        </w:tcPr>
        <w:p w14:paraId="1126AAEC" w14:textId="7FE972DE" w:rsidR="00EA313B" w:rsidRPr="00663A37" w:rsidRDefault="006E02F8" w:rsidP="70652167">
          <w:pPr>
            <w:spacing w:after="120" w:line="240" w:lineRule="auto"/>
            <w:ind w:right="68"/>
            <w:jc w:val="right"/>
            <w:rPr>
              <w:rFonts w:cs="Arial"/>
              <w:lang w:val="es-ES"/>
            </w:rPr>
          </w:pPr>
          <w:r>
            <w:rPr>
              <w:rFonts w:cs="Arial"/>
              <w:lang w:val="es-ES"/>
            </w:rPr>
            <w:t>XXXX</w:t>
          </w:r>
        </w:p>
      </w:tc>
    </w:tr>
    <w:tr w:rsidR="00EA313B" w14:paraId="4DC11993" w14:textId="77777777" w:rsidTr="00874B16">
      <w:trPr>
        <w:trHeight w:val="242"/>
      </w:trPr>
      <w:tc>
        <w:tcPr>
          <w:tcW w:w="5103" w:type="dxa"/>
          <w:hideMark/>
        </w:tcPr>
        <w:p w14:paraId="76CEF1B5" w14:textId="77777777" w:rsidR="00EA313B" w:rsidRPr="00663A37" w:rsidRDefault="00EA313B" w:rsidP="00011C4D">
          <w:pPr>
            <w:spacing w:after="120" w:line="240" w:lineRule="auto"/>
            <w:ind w:right="68"/>
            <w:jc w:val="right"/>
            <w:rPr>
              <w:rFonts w:cs="Arial"/>
              <w:b/>
              <w:szCs w:val="24"/>
            </w:rPr>
          </w:pPr>
          <w:r w:rsidRPr="00663A37">
            <w:rPr>
              <w:rFonts w:cs="Arial"/>
              <w:b/>
              <w:szCs w:val="24"/>
            </w:rPr>
            <w:t>Sujeto Obligado:</w:t>
          </w:r>
        </w:p>
      </w:tc>
      <w:tc>
        <w:tcPr>
          <w:tcW w:w="4678" w:type="dxa"/>
          <w:hideMark/>
        </w:tcPr>
        <w:p w14:paraId="7C1BB379" w14:textId="5614F882" w:rsidR="00EA313B" w:rsidRPr="00663A37" w:rsidRDefault="00EA313B" w:rsidP="00771E23">
          <w:pPr>
            <w:spacing w:after="120" w:line="240" w:lineRule="auto"/>
            <w:ind w:left="-70" w:right="68"/>
            <w:jc w:val="right"/>
            <w:rPr>
              <w:rFonts w:cs="Arial"/>
              <w:szCs w:val="24"/>
            </w:rPr>
          </w:pPr>
          <w:r>
            <w:rPr>
              <w:rFonts w:cs="Arial"/>
              <w:szCs w:val="24"/>
            </w:rPr>
            <w:t>Ayuntamiento de Toluca</w:t>
          </w:r>
        </w:p>
      </w:tc>
    </w:tr>
    <w:tr w:rsidR="00EA313B" w14:paraId="5C2B511D" w14:textId="77777777" w:rsidTr="00874B16">
      <w:trPr>
        <w:trHeight w:val="342"/>
      </w:trPr>
      <w:tc>
        <w:tcPr>
          <w:tcW w:w="5103" w:type="dxa"/>
          <w:hideMark/>
        </w:tcPr>
        <w:p w14:paraId="03FEF68C" w14:textId="45E91CF4" w:rsidR="00EA313B" w:rsidRPr="00663A37" w:rsidRDefault="00EA313B"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678" w:type="dxa"/>
          <w:hideMark/>
        </w:tcPr>
        <w:p w14:paraId="6744F9AD" w14:textId="1AF88FD3" w:rsidR="00EA313B" w:rsidRPr="00663A37" w:rsidRDefault="00EA313B"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EA313B" w:rsidRPr="00871A91" w:rsidRDefault="006E02F8">
    <w:pPr>
      <w:pStyle w:val="Encabezado"/>
      <w:rPr>
        <w:sz w:val="2"/>
      </w:rPr>
    </w:pPr>
    <w:r>
      <w:rPr>
        <w:noProof/>
        <w:lang w:val="es-MX" w:eastAsia="es-MX"/>
      </w:rPr>
      <w:pict w14:anchorId="615430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81.95pt;margin-top:-143pt;width:609.4pt;height:793.75pt;z-index:-251654143;mso-wrap-edited:f;mso-width-percent:0;mso-height-percent:0;mso-position-horizontal-relative:margin;mso-position-vertical-relative:margin;mso-width-percent:0;mso-height-percent:0" o:allowincell="f">
          <v:imagedata r:id="rId1" o:title="infoem"/>
          <w10:wrap anchorx="margin" anchory="margin"/>
        </v:shape>
      </w:pict>
    </w:r>
    <w:r w:rsidR="00EA313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47871"/>
    <w:multiLevelType w:val="multilevel"/>
    <w:tmpl w:val="41EA0120"/>
    <w:styleLink w:val="Listaactual10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F50369"/>
    <w:multiLevelType w:val="multilevel"/>
    <w:tmpl w:val="33C44EDA"/>
    <w:lvl w:ilvl="0">
      <w:start w:val="1"/>
      <w:numFmt w:val="decimal"/>
      <w:lvlText w:val="%1."/>
      <w:lvlJc w:val="left"/>
      <w:pPr>
        <w:ind w:left="709" w:hanging="425"/>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6CC033E"/>
    <w:multiLevelType w:val="multilevel"/>
    <w:tmpl w:val="3D9029BE"/>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 w15:restartNumberingAfterBreak="0">
    <w:nsid w:val="070465A3"/>
    <w:multiLevelType w:val="multilevel"/>
    <w:tmpl w:val="3E28DF1E"/>
    <w:styleLink w:val="Listaactual11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8E1475"/>
    <w:multiLevelType w:val="multilevel"/>
    <w:tmpl w:val="9FE23126"/>
    <w:styleLink w:val="Listaactual23"/>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5"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09703814"/>
    <w:multiLevelType w:val="multilevel"/>
    <w:tmpl w:val="94ECCD2A"/>
    <w:styleLink w:val="Listaactual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9D632D"/>
    <w:multiLevelType w:val="multilevel"/>
    <w:tmpl w:val="2BA8417C"/>
    <w:styleLink w:val="Listaactual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5574D5"/>
    <w:multiLevelType w:val="multilevel"/>
    <w:tmpl w:val="F59601CA"/>
    <w:styleLink w:val="Listaactual12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5F2890"/>
    <w:multiLevelType w:val="multilevel"/>
    <w:tmpl w:val="9734500C"/>
    <w:styleLink w:val="Listaactual19"/>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D7B56CB"/>
    <w:multiLevelType w:val="hybridMultilevel"/>
    <w:tmpl w:val="3D86915C"/>
    <w:styleLink w:val="Listaactual20"/>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0FE1559E"/>
    <w:multiLevelType w:val="multilevel"/>
    <w:tmpl w:val="E0500374"/>
    <w:styleLink w:val="Listaactual51"/>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ED3AC3"/>
    <w:multiLevelType w:val="multilevel"/>
    <w:tmpl w:val="46BE72F4"/>
    <w:styleLink w:val="Listaactual71"/>
    <w:lvl w:ilvl="0">
      <w:start w:val="1"/>
      <w:numFmt w:val="lowerLetter"/>
      <w:lvlText w:val="%1)"/>
      <w:lvlJc w:val="left"/>
      <w:pPr>
        <w:ind w:left="709" w:hanging="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2C41000"/>
    <w:multiLevelType w:val="multilevel"/>
    <w:tmpl w:val="8ADEFFC2"/>
    <w:styleLink w:val="Listaactual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A833985"/>
    <w:multiLevelType w:val="multilevel"/>
    <w:tmpl w:val="8EBC40F0"/>
    <w:styleLink w:val="Listaactual38"/>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17" w15:restartNumberingAfterBreak="0">
    <w:nsid w:val="1B2B725A"/>
    <w:multiLevelType w:val="multilevel"/>
    <w:tmpl w:val="487A075A"/>
    <w:lvl w:ilvl="0">
      <w:start w:val="1"/>
      <w:numFmt w:val="decimal"/>
      <w:lvlText w:val="%1."/>
      <w:lvlJc w:val="left"/>
      <w:pPr>
        <w:ind w:left="720" w:hanging="360"/>
      </w:pPr>
      <w:rPr>
        <w:rFonts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D102446"/>
    <w:multiLevelType w:val="multilevel"/>
    <w:tmpl w:val="7B247F86"/>
    <w:styleLink w:val="Listaactual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D2D75BD"/>
    <w:multiLevelType w:val="multilevel"/>
    <w:tmpl w:val="FC4A32D6"/>
    <w:styleLink w:val="Listaactual3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5D381F"/>
    <w:multiLevelType w:val="multilevel"/>
    <w:tmpl w:val="310C0766"/>
    <w:styleLink w:val="Listaactual1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DEA594E"/>
    <w:multiLevelType w:val="multilevel"/>
    <w:tmpl w:val="2362C2B6"/>
    <w:styleLink w:val="Listaactual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6D56D97"/>
    <w:multiLevelType w:val="multilevel"/>
    <w:tmpl w:val="39FAAA7A"/>
    <w:styleLink w:val="Listaactual13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7786A3E"/>
    <w:multiLevelType w:val="hybridMultilevel"/>
    <w:tmpl w:val="162E6598"/>
    <w:styleLink w:val="Listaactual31"/>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7"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28" w15:restartNumberingAfterBreak="0">
    <w:nsid w:val="2FE805FB"/>
    <w:multiLevelType w:val="hybridMultilevel"/>
    <w:tmpl w:val="1318DB6E"/>
    <w:lvl w:ilvl="0" w:tplc="43E07C3C">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322D3120"/>
    <w:multiLevelType w:val="multilevel"/>
    <w:tmpl w:val="9EB4FA6E"/>
    <w:styleLink w:val="Listaactual46"/>
    <w:lvl w:ilvl="0">
      <w:start w:val="1"/>
      <w:numFmt w:val="decimal"/>
      <w:lvlText w:val="%1."/>
      <w:lvlJc w:val="left"/>
      <w:pPr>
        <w:ind w:left="720" w:hanging="360"/>
      </w:pPr>
      <w:rPr>
        <w:rFonts w:hint="default"/>
        <w:b w:val="0"/>
        <w:bCs/>
      </w:rPr>
    </w:lvl>
    <w:lvl w:ilvl="1">
      <w:start w:val="1"/>
      <w:numFmt w:val="decimal"/>
      <w:isLgl/>
      <w:lvlText w:val="%1.%2."/>
      <w:lvlJc w:val="left"/>
      <w:pPr>
        <w:ind w:left="1276" w:hanging="567"/>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36493AEE"/>
    <w:multiLevelType w:val="multilevel"/>
    <w:tmpl w:val="488A4BC8"/>
    <w:styleLink w:val="Listaactual91"/>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1" w15:restartNumberingAfterBreak="0">
    <w:nsid w:val="36D37A2F"/>
    <w:multiLevelType w:val="multilevel"/>
    <w:tmpl w:val="469C5CFA"/>
    <w:styleLink w:val="Listaactual4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74A2B"/>
    <w:multiLevelType w:val="multilevel"/>
    <w:tmpl w:val="61B24A62"/>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3" w15:restartNumberingAfterBreak="0">
    <w:nsid w:val="3B2E0142"/>
    <w:multiLevelType w:val="multilevel"/>
    <w:tmpl w:val="166EE932"/>
    <w:styleLink w:val="Listaactual29"/>
    <w:lvl w:ilvl="0">
      <w:start w:val="1"/>
      <w:numFmt w:val="bullet"/>
      <w:lvlText w:val=""/>
      <w:lvlJc w:val="left"/>
      <w:pPr>
        <w:ind w:left="644" w:hanging="360"/>
      </w:pPr>
      <w:rPr>
        <w:rFonts w:ascii="Symbol" w:hAnsi="Symbol" w:hint="default"/>
        <w:lang w:val="es-ES_tradnl"/>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34" w15:restartNumberingAfterBreak="0">
    <w:nsid w:val="3B4453F5"/>
    <w:multiLevelType w:val="multilevel"/>
    <w:tmpl w:val="FB9C3508"/>
    <w:lvl w:ilvl="0">
      <w:start w:val="1"/>
      <w:numFmt w:val="decimal"/>
      <w:lvlText w:val="%1."/>
      <w:lvlJc w:val="left"/>
      <w:pPr>
        <w:ind w:left="709" w:hanging="425"/>
      </w:pPr>
      <w:rPr>
        <w:rFonts w:hint="default"/>
        <w:b w:val="0"/>
        <w:bCs w:val="0"/>
      </w:rPr>
    </w:lvl>
    <w:lvl w:ilvl="1">
      <w:start w:val="1"/>
      <w:numFmt w:val="decimal"/>
      <w:isLgl/>
      <w:lvlText w:val="%1.%2."/>
      <w:lvlJc w:val="left"/>
      <w:pPr>
        <w:ind w:left="1276" w:hanging="567"/>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35" w15:restartNumberingAfterBreak="0">
    <w:nsid w:val="3C816512"/>
    <w:multiLevelType w:val="multilevel"/>
    <w:tmpl w:val="A9802A26"/>
    <w:styleLink w:val="Listaactual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0A40BDC"/>
    <w:multiLevelType w:val="multilevel"/>
    <w:tmpl w:val="72BE87A4"/>
    <w:styleLink w:val="Listaactual12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35975C6"/>
    <w:multiLevelType w:val="hybridMultilevel"/>
    <w:tmpl w:val="BE986C18"/>
    <w:lvl w:ilvl="0" w:tplc="2E76E6C0">
      <w:start w:val="1"/>
      <w:numFmt w:val="decimal"/>
      <w:lvlText w:val="%1."/>
      <w:lvlJc w:val="left"/>
      <w:pPr>
        <w:ind w:left="709" w:hanging="425"/>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47F7C30"/>
    <w:multiLevelType w:val="hybridMultilevel"/>
    <w:tmpl w:val="76BA3E68"/>
    <w:styleLink w:val="Listaactual16"/>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4C7C7ACE"/>
    <w:multiLevelType w:val="multilevel"/>
    <w:tmpl w:val="32124CC4"/>
    <w:styleLink w:val="Listaactual47"/>
    <w:lvl w:ilvl="0">
      <w:start w:val="1"/>
      <w:numFmt w:val="upperRoman"/>
      <w:lvlText w:val="%1."/>
      <w:lvlJc w:val="left"/>
      <w:pPr>
        <w:ind w:left="1287" w:hanging="72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5B4AC9"/>
    <w:multiLevelType w:val="multilevel"/>
    <w:tmpl w:val="2E10772A"/>
    <w:styleLink w:val="Listaactual44"/>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2" w15:restartNumberingAfterBreak="0">
    <w:nsid w:val="4F0B1BA0"/>
    <w:multiLevelType w:val="multilevel"/>
    <w:tmpl w:val="C1706B2C"/>
    <w:styleLink w:val="Listaactual40"/>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50EF1605"/>
    <w:multiLevelType w:val="multilevel"/>
    <w:tmpl w:val="E012BF02"/>
    <w:styleLink w:val="Listaactual37"/>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18315E"/>
    <w:multiLevelType w:val="multilevel"/>
    <w:tmpl w:val="AFD40AAC"/>
    <w:styleLink w:val="Listaactual11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5" w15:restartNumberingAfterBreak="0">
    <w:nsid w:val="53E53666"/>
    <w:multiLevelType w:val="hybridMultilevel"/>
    <w:tmpl w:val="29BC6AE2"/>
    <w:styleLink w:val="Listaactual24"/>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54BF6F8D"/>
    <w:multiLevelType w:val="multilevel"/>
    <w:tmpl w:val="EA10E5C8"/>
    <w:styleLink w:val="Listaactual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53521B0"/>
    <w:multiLevelType w:val="multilevel"/>
    <w:tmpl w:val="8EFE2B06"/>
    <w:styleLink w:val="Listaactual211"/>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69A17AD"/>
    <w:multiLevelType w:val="multilevel"/>
    <w:tmpl w:val="F4AAC5D2"/>
    <w:styleLink w:val="Listaactual33"/>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0"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1" w15:restartNumberingAfterBreak="0">
    <w:nsid w:val="5C8B0FE9"/>
    <w:multiLevelType w:val="multilevel"/>
    <w:tmpl w:val="A858C590"/>
    <w:styleLink w:val="Listaactual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43183F"/>
    <w:multiLevelType w:val="hybridMultilevel"/>
    <w:tmpl w:val="3C804CF6"/>
    <w:styleLink w:val="Listaactual25"/>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2D41CE7"/>
    <w:multiLevelType w:val="multilevel"/>
    <w:tmpl w:val="A5AE7070"/>
    <w:styleLink w:val="Listaactual811"/>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63DF33B9"/>
    <w:multiLevelType w:val="multilevel"/>
    <w:tmpl w:val="0EA29CF2"/>
    <w:styleLink w:val="Listaactual27"/>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6" w15:restartNumberingAfterBreak="0">
    <w:nsid w:val="65176A72"/>
    <w:multiLevelType w:val="multilevel"/>
    <w:tmpl w:val="235261FE"/>
    <w:styleLink w:val="Listaactual61"/>
    <w:lvl w:ilvl="0">
      <w:start w:val="1"/>
      <w:numFmt w:val="lowerLetter"/>
      <w:lvlText w:val="%1)"/>
      <w:lvlJc w:val="left"/>
      <w:pPr>
        <w:ind w:left="1276" w:hanging="425"/>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7" w15:restartNumberingAfterBreak="0">
    <w:nsid w:val="65E5546C"/>
    <w:multiLevelType w:val="multilevel"/>
    <w:tmpl w:val="1C4857B2"/>
    <w:styleLink w:val="Listaactual45"/>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8" w15:restartNumberingAfterBreak="0">
    <w:nsid w:val="68E43EAF"/>
    <w:multiLevelType w:val="multilevel"/>
    <w:tmpl w:val="9454D918"/>
    <w:styleLink w:val="Listaactual41"/>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9"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897BDB"/>
    <w:multiLevelType w:val="hybridMultilevel"/>
    <w:tmpl w:val="1E1C7482"/>
    <w:styleLink w:val="Listaactual26"/>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FB0156D"/>
    <w:multiLevelType w:val="multilevel"/>
    <w:tmpl w:val="9AE84C58"/>
    <w:styleLink w:val="Listaactual9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FD34645"/>
    <w:multiLevelType w:val="multilevel"/>
    <w:tmpl w:val="CDD4F81A"/>
    <w:styleLink w:val="Listaactual13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0897BAE"/>
    <w:multiLevelType w:val="multilevel"/>
    <w:tmpl w:val="B8C26234"/>
    <w:styleLink w:val="Listaactual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0972309"/>
    <w:multiLevelType w:val="multilevel"/>
    <w:tmpl w:val="3334C92C"/>
    <w:styleLink w:val="Listaactual43"/>
    <w:lvl w:ilvl="0">
      <w:start w:val="1"/>
      <w:numFmt w:val="decimal"/>
      <w:lvlText w:val="%1."/>
      <w:lvlJc w:val="left"/>
      <w:pPr>
        <w:ind w:left="709" w:hanging="425"/>
      </w:pPr>
      <w:rPr>
        <w:rFonts w:hint="default"/>
        <w:b w:val="0"/>
        <w:bCs w:val="0"/>
      </w:rPr>
    </w:lvl>
    <w:lvl w:ilvl="1">
      <w:start w:val="1"/>
      <w:numFmt w:val="decimal"/>
      <w:isLgl/>
      <w:lvlText w:val="%1.%2."/>
      <w:lvlJc w:val="left"/>
      <w:pPr>
        <w:ind w:left="1069" w:hanging="360"/>
      </w:pPr>
      <w:rPr>
        <w:rFonts w:hint="default"/>
        <w:b w:val="0"/>
      </w:rPr>
    </w:lvl>
    <w:lvl w:ilvl="2">
      <w:start w:val="1"/>
      <w:numFmt w:val="decimal"/>
      <w:isLgl/>
      <w:lvlText w:val="%1.%2.%3."/>
      <w:lvlJc w:val="left"/>
      <w:pPr>
        <w:ind w:left="1854" w:hanging="720"/>
      </w:pPr>
      <w:rPr>
        <w:rFonts w:hint="default"/>
        <w:b w:val="0"/>
      </w:rPr>
    </w:lvl>
    <w:lvl w:ilvl="3">
      <w:start w:val="1"/>
      <w:numFmt w:val="decimal"/>
      <w:isLgl/>
      <w:lvlText w:val="%1.%2.%3.%4."/>
      <w:lvlJc w:val="left"/>
      <w:pPr>
        <w:ind w:left="2279" w:hanging="720"/>
      </w:pPr>
      <w:rPr>
        <w:rFonts w:hint="default"/>
        <w:b w:val="0"/>
      </w:rPr>
    </w:lvl>
    <w:lvl w:ilvl="4">
      <w:start w:val="1"/>
      <w:numFmt w:val="decimal"/>
      <w:isLgl/>
      <w:lvlText w:val="%1.%2.%3.%4.%5."/>
      <w:lvlJc w:val="left"/>
      <w:pPr>
        <w:ind w:left="3064" w:hanging="1080"/>
      </w:pPr>
      <w:rPr>
        <w:rFonts w:hint="default"/>
        <w:b w:val="0"/>
      </w:rPr>
    </w:lvl>
    <w:lvl w:ilvl="5">
      <w:start w:val="1"/>
      <w:numFmt w:val="decimal"/>
      <w:isLgl/>
      <w:lvlText w:val="%1.%2.%3.%4.%5.%6."/>
      <w:lvlJc w:val="left"/>
      <w:pPr>
        <w:ind w:left="3489" w:hanging="1080"/>
      </w:pPr>
      <w:rPr>
        <w:rFonts w:hint="default"/>
        <w:b w:val="0"/>
      </w:rPr>
    </w:lvl>
    <w:lvl w:ilvl="6">
      <w:start w:val="1"/>
      <w:numFmt w:val="decimal"/>
      <w:isLgl/>
      <w:lvlText w:val="%1.%2.%3.%4.%5.%6.%7."/>
      <w:lvlJc w:val="left"/>
      <w:pPr>
        <w:ind w:left="4274" w:hanging="1440"/>
      </w:pPr>
      <w:rPr>
        <w:rFonts w:hint="default"/>
        <w:b w:val="0"/>
      </w:rPr>
    </w:lvl>
    <w:lvl w:ilvl="7">
      <w:start w:val="1"/>
      <w:numFmt w:val="decimal"/>
      <w:isLgl/>
      <w:lvlText w:val="%1.%2.%3.%4.%5.%6.%7.%8."/>
      <w:lvlJc w:val="left"/>
      <w:pPr>
        <w:ind w:left="4699" w:hanging="1440"/>
      </w:pPr>
      <w:rPr>
        <w:rFonts w:hint="default"/>
        <w:b w:val="0"/>
      </w:rPr>
    </w:lvl>
    <w:lvl w:ilvl="8">
      <w:start w:val="1"/>
      <w:numFmt w:val="decimal"/>
      <w:isLgl/>
      <w:lvlText w:val="%1.%2.%3.%4.%5.%6.%7.%8.%9."/>
      <w:lvlJc w:val="left"/>
      <w:pPr>
        <w:ind w:left="5484" w:hanging="1800"/>
      </w:pPr>
      <w:rPr>
        <w:rFonts w:hint="default"/>
        <w:b w:val="0"/>
      </w:rPr>
    </w:lvl>
  </w:abstractNum>
  <w:abstractNum w:abstractNumId="66"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5982481"/>
    <w:multiLevelType w:val="hybridMultilevel"/>
    <w:tmpl w:val="78860F88"/>
    <w:lvl w:ilvl="0" w:tplc="24FE989A">
      <w:start w:val="1"/>
      <w:numFmt w:val="upperRoman"/>
      <w:lvlText w:val="%1."/>
      <w:lvlJc w:val="left"/>
      <w:pPr>
        <w:ind w:left="992" w:hanging="42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8" w15:restartNumberingAfterBreak="0">
    <w:nsid w:val="7A637408"/>
    <w:multiLevelType w:val="multilevel"/>
    <w:tmpl w:val="95B81714"/>
    <w:styleLink w:val="Listaactual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7E74797A"/>
    <w:multiLevelType w:val="multilevel"/>
    <w:tmpl w:val="A28C3CDC"/>
    <w:styleLink w:val="Listaactual30"/>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4"/>
  </w:num>
  <w:num w:numId="2">
    <w:abstractNumId w:val="50"/>
  </w:num>
  <w:num w:numId="3">
    <w:abstractNumId w:val="18"/>
  </w:num>
  <w:num w:numId="4">
    <w:abstractNumId w:val="61"/>
  </w:num>
  <w:num w:numId="5">
    <w:abstractNumId w:val="7"/>
  </w:num>
  <w:num w:numId="6">
    <w:abstractNumId w:val="53"/>
  </w:num>
  <w:num w:numId="7">
    <w:abstractNumId w:val="15"/>
  </w:num>
  <w:num w:numId="8">
    <w:abstractNumId w:val="5"/>
  </w:num>
  <w:num w:numId="9">
    <w:abstractNumId w:val="26"/>
  </w:num>
  <w:num w:numId="10">
    <w:abstractNumId w:val="27"/>
  </w:num>
  <w:num w:numId="11">
    <w:abstractNumId w:val="66"/>
  </w:num>
  <w:num w:numId="12">
    <w:abstractNumId w:val="59"/>
  </w:num>
  <w:num w:numId="13">
    <w:abstractNumId w:val="40"/>
  </w:num>
  <w:num w:numId="14">
    <w:abstractNumId w:val="49"/>
  </w:num>
  <w:num w:numId="15">
    <w:abstractNumId w:val="23"/>
  </w:num>
  <w:num w:numId="16">
    <w:abstractNumId w:val="38"/>
  </w:num>
  <w:num w:numId="17">
    <w:abstractNumId w:val="21"/>
  </w:num>
  <w:num w:numId="18">
    <w:abstractNumId w:val="10"/>
  </w:num>
  <w:num w:numId="19">
    <w:abstractNumId w:val="11"/>
  </w:num>
  <w:num w:numId="20">
    <w:abstractNumId w:val="19"/>
  </w:num>
  <w:num w:numId="21">
    <w:abstractNumId w:val="32"/>
  </w:num>
  <w:num w:numId="22">
    <w:abstractNumId w:val="4"/>
  </w:num>
  <w:num w:numId="23">
    <w:abstractNumId w:val="45"/>
  </w:num>
  <w:num w:numId="24">
    <w:abstractNumId w:val="52"/>
  </w:num>
  <w:num w:numId="25">
    <w:abstractNumId w:val="60"/>
  </w:num>
  <w:num w:numId="26">
    <w:abstractNumId w:val="25"/>
  </w:num>
  <w:num w:numId="27">
    <w:abstractNumId w:val="55"/>
  </w:num>
  <w:num w:numId="28">
    <w:abstractNumId w:val="35"/>
  </w:num>
  <w:num w:numId="29">
    <w:abstractNumId w:val="30"/>
  </w:num>
  <w:num w:numId="30">
    <w:abstractNumId w:val="22"/>
  </w:num>
  <w:num w:numId="31">
    <w:abstractNumId w:val="47"/>
  </w:num>
  <w:num w:numId="32">
    <w:abstractNumId w:val="51"/>
  </w:num>
  <w:num w:numId="33">
    <w:abstractNumId w:val="9"/>
  </w:num>
  <w:num w:numId="34">
    <w:abstractNumId w:val="63"/>
  </w:num>
  <w:num w:numId="35">
    <w:abstractNumId w:val="68"/>
  </w:num>
  <w:num w:numId="36">
    <w:abstractNumId w:val="58"/>
  </w:num>
  <w:num w:numId="37">
    <w:abstractNumId w:val="12"/>
  </w:num>
  <w:num w:numId="38">
    <w:abstractNumId w:val="56"/>
  </w:num>
  <w:num w:numId="39">
    <w:abstractNumId w:val="13"/>
  </w:num>
  <w:num w:numId="40">
    <w:abstractNumId w:val="54"/>
  </w:num>
  <w:num w:numId="41">
    <w:abstractNumId w:val="62"/>
  </w:num>
  <w:num w:numId="42">
    <w:abstractNumId w:val="0"/>
  </w:num>
  <w:num w:numId="43">
    <w:abstractNumId w:val="3"/>
  </w:num>
  <w:num w:numId="44">
    <w:abstractNumId w:val="36"/>
  </w:num>
  <w:num w:numId="45">
    <w:abstractNumId w:val="24"/>
  </w:num>
  <w:num w:numId="46">
    <w:abstractNumId w:val="64"/>
  </w:num>
  <w:num w:numId="47">
    <w:abstractNumId w:val="33"/>
  </w:num>
  <w:num w:numId="48">
    <w:abstractNumId w:val="69"/>
  </w:num>
  <w:num w:numId="49">
    <w:abstractNumId w:val="14"/>
  </w:num>
  <w:num w:numId="50">
    <w:abstractNumId w:val="48"/>
  </w:num>
  <w:num w:numId="51">
    <w:abstractNumId w:val="46"/>
  </w:num>
  <w:num w:numId="52">
    <w:abstractNumId w:val="8"/>
  </w:num>
  <w:num w:numId="53">
    <w:abstractNumId w:val="6"/>
  </w:num>
  <w:num w:numId="54">
    <w:abstractNumId w:val="43"/>
  </w:num>
  <w:num w:numId="55">
    <w:abstractNumId w:val="16"/>
  </w:num>
  <w:num w:numId="56">
    <w:abstractNumId w:val="20"/>
  </w:num>
  <w:num w:numId="57">
    <w:abstractNumId w:val="42"/>
  </w:num>
  <w:num w:numId="58">
    <w:abstractNumId w:val="34"/>
  </w:num>
  <w:num w:numId="59">
    <w:abstractNumId w:val="31"/>
  </w:num>
  <w:num w:numId="60">
    <w:abstractNumId w:val="65"/>
  </w:num>
  <w:num w:numId="61">
    <w:abstractNumId w:val="28"/>
  </w:num>
  <w:num w:numId="62">
    <w:abstractNumId w:val="41"/>
  </w:num>
  <w:num w:numId="63">
    <w:abstractNumId w:val="17"/>
  </w:num>
  <w:num w:numId="64">
    <w:abstractNumId w:val="57"/>
  </w:num>
  <w:num w:numId="65">
    <w:abstractNumId w:val="1"/>
  </w:num>
  <w:num w:numId="66">
    <w:abstractNumId w:val="29"/>
  </w:num>
  <w:num w:numId="67">
    <w:abstractNumId w:val="67"/>
  </w:num>
  <w:num w:numId="68">
    <w:abstractNumId w:val="39"/>
  </w:num>
  <w:num w:numId="69">
    <w:abstractNumId w:val="2"/>
  </w:num>
  <w:num w:numId="70">
    <w:abstractNumId w:val="3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4E"/>
    <w:rsid w:val="000024F0"/>
    <w:rsid w:val="00002C6A"/>
    <w:rsid w:val="00002F29"/>
    <w:rsid w:val="0000312C"/>
    <w:rsid w:val="00003412"/>
    <w:rsid w:val="000034AA"/>
    <w:rsid w:val="000037B8"/>
    <w:rsid w:val="00003F45"/>
    <w:rsid w:val="00004014"/>
    <w:rsid w:val="000040D2"/>
    <w:rsid w:val="00004465"/>
    <w:rsid w:val="00004479"/>
    <w:rsid w:val="00004B62"/>
    <w:rsid w:val="00005965"/>
    <w:rsid w:val="0000665B"/>
    <w:rsid w:val="000072EB"/>
    <w:rsid w:val="000077FF"/>
    <w:rsid w:val="00007857"/>
    <w:rsid w:val="00007BA4"/>
    <w:rsid w:val="000102FB"/>
    <w:rsid w:val="0001033C"/>
    <w:rsid w:val="000114A6"/>
    <w:rsid w:val="0001151F"/>
    <w:rsid w:val="000117AB"/>
    <w:rsid w:val="00011C4D"/>
    <w:rsid w:val="00011CCA"/>
    <w:rsid w:val="000124BD"/>
    <w:rsid w:val="00012909"/>
    <w:rsid w:val="00012BEE"/>
    <w:rsid w:val="00012D78"/>
    <w:rsid w:val="00012F8B"/>
    <w:rsid w:val="00015487"/>
    <w:rsid w:val="000154CA"/>
    <w:rsid w:val="00016B50"/>
    <w:rsid w:val="000171BE"/>
    <w:rsid w:val="00020325"/>
    <w:rsid w:val="00021122"/>
    <w:rsid w:val="00021165"/>
    <w:rsid w:val="00021A08"/>
    <w:rsid w:val="000221D0"/>
    <w:rsid w:val="00022432"/>
    <w:rsid w:val="0002287F"/>
    <w:rsid w:val="000232DA"/>
    <w:rsid w:val="0002356F"/>
    <w:rsid w:val="00024A6D"/>
    <w:rsid w:val="00025560"/>
    <w:rsid w:val="00025773"/>
    <w:rsid w:val="00026582"/>
    <w:rsid w:val="00027DA8"/>
    <w:rsid w:val="00027FFC"/>
    <w:rsid w:val="00030A57"/>
    <w:rsid w:val="00030AB0"/>
    <w:rsid w:val="00031BA3"/>
    <w:rsid w:val="000325A7"/>
    <w:rsid w:val="00032686"/>
    <w:rsid w:val="0003268C"/>
    <w:rsid w:val="00032C99"/>
    <w:rsid w:val="00032FBE"/>
    <w:rsid w:val="00033089"/>
    <w:rsid w:val="00033336"/>
    <w:rsid w:val="00033479"/>
    <w:rsid w:val="00033562"/>
    <w:rsid w:val="000336D2"/>
    <w:rsid w:val="00033C66"/>
    <w:rsid w:val="000343A2"/>
    <w:rsid w:val="0003521B"/>
    <w:rsid w:val="0003577D"/>
    <w:rsid w:val="00035A30"/>
    <w:rsid w:val="0003692B"/>
    <w:rsid w:val="000369F1"/>
    <w:rsid w:val="00036D5F"/>
    <w:rsid w:val="00036D83"/>
    <w:rsid w:val="00036EFC"/>
    <w:rsid w:val="00037938"/>
    <w:rsid w:val="00040A10"/>
    <w:rsid w:val="00041421"/>
    <w:rsid w:val="00041670"/>
    <w:rsid w:val="000417BE"/>
    <w:rsid w:val="00041AE7"/>
    <w:rsid w:val="00041DEA"/>
    <w:rsid w:val="00042641"/>
    <w:rsid w:val="000429D8"/>
    <w:rsid w:val="00042C8A"/>
    <w:rsid w:val="00042C95"/>
    <w:rsid w:val="00043780"/>
    <w:rsid w:val="000452AA"/>
    <w:rsid w:val="00045F86"/>
    <w:rsid w:val="00046717"/>
    <w:rsid w:val="00046A15"/>
    <w:rsid w:val="00047890"/>
    <w:rsid w:val="00050472"/>
    <w:rsid w:val="00050D85"/>
    <w:rsid w:val="00050FF1"/>
    <w:rsid w:val="0005129C"/>
    <w:rsid w:val="00051732"/>
    <w:rsid w:val="00051B1A"/>
    <w:rsid w:val="00051F5E"/>
    <w:rsid w:val="0005219F"/>
    <w:rsid w:val="0005241C"/>
    <w:rsid w:val="00053AC0"/>
    <w:rsid w:val="00054689"/>
    <w:rsid w:val="0005480B"/>
    <w:rsid w:val="00054F17"/>
    <w:rsid w:val="00054F6A"/>
    <w:rsid w:val="00055858"/>
    <w:rsid w:val="00055891"/>
    <w:rsid w:val="00055C90"/>
    <w:rsid w:val="000562CE"/>
    <w:rsid w:val="000564B5"/>
    <w:rsid w:val="000565EE"/>
    <w:rsid w:val="00056D5F"/>
    <w:rsid w:val="00057148"/>
    <w:rsid w:val="0005726D"/>
    <w:rsid w:val="000575E4"/>
    <w:rsid w:val="0005787D"/>
    <w:rsid w:val="00057B42"/>
    <w:rsid w:val="00060716"/>
    <w:rsid w:val="00061B46"/>
    <w:rsid w:val="00061B8D"/>
    <w:rsid w:val="00061D9B"/>
    <w:rsid w:val="00061F00"/>
    <w:rsid w:val="00062CBE"/>
    <w:rsid w:val="000643FB"/>
    <w:rsid w:val="00064854"/>
    <w:rsid w:val="00064FFF"/>
    <w:rsid w:val="000653C5"/>
    <w:rsid w:val="00065463"/>
    <w:rsid w:val="000658E9"/>
    <w:rsid w:val="000666B3"/>
    <w:rsid w:val="000670E0"/>
    <w:rsid w:val="000676A2"/>
    <w:rsid w:val="0007107B"/>
    <w:rsid w:val="00071159"/>
    <w:rsid w:val="00072987"/>
    <w:rsid w:val="00072FF9"/>
    <w:rsid w:val="000739AF"/>
    <w:rsid w:val="00074118"/>
    <w:rsid w:val="00074941"/>
    <w:rsid w:val="00074D4D"/>
    <w:rsid w:val="00075586"/>
    <w:rsid w:val="00075997"/>
    <w:rsid w:val="00075D5E"/>
    <w:rsid w:val="00075FDC"/>
    <w:rsid w:val="00076332"/>
    <w:rsid w:val="00076A70"/>
    <w:rsid w:val="00077748"/>
    <w:rsid w:val="00077A55"/>
    <w:rsid w:val="00077A6A"/>
    <w:rsid w:val="00077B53"/>
    <w:rsid w:val="00077D39"/>
    <w:rsid w:val="00077F28"/>
    <w:rsid w:val="0008029E"/>
    <w:rsid w:val="000802BA"/>
    <w:rsid w:val="0008134D"/>
    <w:rsid w:val="0008143A"/>
    <w:rsid w:val="00081F52"/>
    <w:rsid w:val="00082E5D"/>
    <w:rsid w:val="00082F05"/>
    <w:rsid w:val="00083498"/>
    <w:rsid w:val="0008496A"/>
    <w:rsid w:val="00084AE5"/>
    <w:rsid w:val="00084D1A"/>
    <w:rsid w:val="0008591E"/>
    <w:rsid w:val="00085EA2"/>
    <w:rsid w:val="0008628E"/>
    <w:rsid w:val="000864CC"/>
    <w:rsid w:val="00086FDB"/>
    <w:rsid w:val="0008737D"/>
    <w:rsid w:val="00087AFB"/>
    <w:rsid w:val="00087F54"/>
    <w:rsid w:val="00090147"/>
    <w:rsid w:val="0009020C"/>
    <w:rsid w:val="00090297"/>
    <w:rsid w:val="00090A37"/>
    <w:rsid w:val="00090EE8"/>
    <w:rsid w:val="00092533"/>
    <w:rsid w:val="00092681"/>
    <w:rsid w:val="00092B31"/>
    <w:rsid w:val="00092D82"/>
    <w:rsid w:val="0009320C"/>
    <w:rsid w:val="00093272"/>
    <w:rsid w:val="0009328A"/>
    <w:rsid w:val="0009397B"/>
    <w:rsid w:val="000944AF"/>
    <w:rsid w:val="00094B23"/>
    <w:rsid w:val="00094FD7"/>
    <w:rsid w:val="000951B9"/>
    <w:rsid w:val="00095F45"/>
    <w:rsid w:val="0009609D"/>
    <w:rsid w:val="00096248"/>
    <w:rsid w:val="000962AC"/>
    <w:rsid w:val="0009686C"/>
    <w:rsid w:val="000970B5"/>
    <w:rsid w:val="00097898"/>
    <w:rsid w:val="00097BFD"/>
    <w:rsid w:val="000A00B6"/>
    <w:rsid w:val="000A00BB"/>
    <w:rsid w:val="000A0135"/>
    <w:rsid w:val="000A02E0"/>
    <w:rsid w:val="000A110B"/>
    <w:rsid w:val="000A1377"/>
    <w:rsid w:val="000A1D0D"/>
    <w:rsid w:val="000A1D2C"/>
    <w:rsid w:val="000A2323"/>
    <w:rsid w:val="000A2CA6"/>
    <w:rsid w:val="000A2F65"/>
    <w:rsid w:val="000A339B"/>
    <w:rsid w:val="000A3F41"/>
    <w:rsid w:val="000A4202"/>
    <w:rsid w:val="000A445D"/>
    <w:rsid w:val="000A4BDB"/>
    <w:rsid w:val="000A53E1"/>
    <w:rsid w:val="000A5EA1"/>
    <w:rsid w:val="000A6945"/>
    <w:rsid w:val="000A6B98"/>
    <w:rsid w:val="000A6F53"/>
    <w:rsid w:val="000A7138"/>
    <w:rsid w:val="000A7D80"/>
    <w:rsid w:val="000B09CA"/>
    <w:rsid w:val="000B117C"/>
    <w:rsid w:val="000B1973"/>
    <w:rsid w:val="000B1F27"/>
    <w:rsid w:val="000B2390"/>
    <w:rsid w:val="000B266E"/>
    <w:rsid w:val="000B28CF"/>
    <w:rsid w:val="000B29E0"/>
    <w:rsid w:val="000B350D"/>
    <w:rsid w:val="000B4159"/>
    <w:rsid w:val="000B491D"/>
    <w:rsid w:val="000B4CC9"/>
    <w:rsid w:val="000B503C"/>
    <w:rsid w:val="000B51CE"/>
    <w:rsid w:val="000B5296"/>
    <w:rsid w:val="000B5608"/>
    <w:rsid w:val="000B5690"/>
    <w:rsid w:val="000B65C3"/>
    <w:rsid w:val="000C0203"/>
    <w:rsid w:val="000C066A"/>
    <w:rsid w:val="000C0E5D"/>
    <w:rsid w:val="000C0F27"/>
    <w:rsid w:val="000C1F5C"/>
    <w:rsid w:val="000C2504"/>
    <w:rsid w:val="000C2661"/>
    <w:rsid w:val="000C2D59"/>
    <w:rsid w:val="000C2E3B"/>
    <w:rsid w:val="000C3494"/>
    <w:rsid w:val="000C35C1"/>
    <w:rsid w:val="000C416A"/>
    <w:rsid w:val="000C500D"/>
    <w:rsid w:val="000C51AF"/>
    <w:rsid w:val="000C539D"/>
    <w:rsid w:val="000C568A"/>
    <w:rsid w:val="000C661C"/>
    <w:rsid w:val="000C703C"/>
    <w:rsid w:val="000C7472"/>
    <w:rsid w:val="000C7583"/>
    <w:rsid w:val="000C7801"/>
    <w:rsid w:val="000C7BF9"/>
    <w:rsid w:val="000C7C21"/>
    <w:rsid w:val="000C7EB6"/>
    <w:rsid w:val="000C7F8F"/>
    <w:rsid w:val="000D08B6"/>
    <w:rsid w:val="000D0CD3"/>
    <w:rsid w:val="000D14DA"/>
    <w:rsid w:val="000D244D"/>
    <w:rsid w:val="000D258C"/>
    <w:rsid w:val="000D2A2D"/>
    <w:rsid w:val="000D2C63"/>
    <w:rsid w:val="000D2E93"/>
    <w:rsid w:val="000D3A71"/>
    <w:rsid w:val="000D3C8A"/>
    <w:rsid w:val="000D3DC4"/>
    <w:rsid w:val="000D5244"/>
    <w:rsid w:val="000D55D2"/>
    <w:rsid w:val="000D5634"/>
    <w:rsid w:val="000D56B9"/>
    <w:rsid w:val="000D572A"/>
    <w:rsid w:val="000D5C00"/>
    <w:rsid w:val="000D609A"/>
    <w:rsid w:val="000D648C"/>
    <w:rsid w:val="000D66A1"/>
    <w:rsid w:val="000D6AE8"/>
    <w:rsid w:val="000D70DA"/>
    <w:rsid w:val="000D7340"/>
    <w:rsid w:val="000D772A"/>
    <w:rsid w:val="000E06A3"/>
    <w:rsid w:val="000E0D32"/>
    <w:rsid w:val="000E195F"/>
    <w:rsid w:val="000E1FD4"/>
    <w:rsid w:val="000E2370"/>
    <w:rsid w:val="000E27CE"/>
    <w:rsid w:val="000E35E0"/>
    <w:rsid w:val="000E37D0"/>
    <w:rsid w:val="000E3D5F"/>
    <w:rsid w:val="000E3DE6"/>
    <w:rsid w:val="000E3EB9"/>
    <w:rsid w:val="000E48E3"/>
    <w:rsid w:val="000E4AFE"/>
    <w:rsid w:val="000E4E16"/>
    <w:rsid w:val="000E4EBC"/>
    <w:rsid w:val="000E513A"/>
    <w:rsid w:val="000E5393"/>
    <w:rsid w:val="000E57E9"/>
    <w:rsid w:val="000E6183"/>
    <w:rsid w:val="000E74D7"/>
    <w:rsid w:val="000E7BF6"/>
    <w:rsid w:val="000F015F"/>
    <w:rsid w:val="000F0B57"/>
    <w:rsid w:val="000F114E"/>
    <w:rsid w:val="000F146C"/>
    <w:rsid w:val="000F152C"/>
    <w:rsid w:val="000F196A"/>
    <w:rsid w:val="000F1D9B"/>
    <w:rsid w:val="000F2668"/>
    <w:rsid w:val="000F367A"/>
    <w:rsid w:val="000F3D79"/>
    <w:rsid w:val="000F44C1"/>
    <w:rsid w:val="000F4544"/>
    <w:rsid w:val="000F4615"/>
    <w:rsid w:val="000F4958"/>
    <w:rsid w:val="000F547D"/>
    <w:rsid w:val="000F54F6"/>
    <w:rsid w:val="000F753B"/>
    <w:rsid w:val="000F7D93"/>
    <w:rsid w:val="0010147E"/>
    <w:rsid w:val="0010149D"/>
    <w:rsid w:val="0010153C"/>
    <w:rsid w:val="00102165"/>
    <w:rsid w:val="0010239B"/>
    <w:rsid w:val="0010303E"/>
    <w:rsid w:val="00103271"/>
    <w:rsid w:val="00103A9A"/>
    <w:rsid w:val="00103C89"/>
    <w:rsid w:val="00103D8C"/>
    <w:rsid w:val="00104BE3"/>
    <w:rsid w:val="00104E54"/>
    <w:rsid w:val="001050A9"/>
    <w:rsid w:val="001059AF"/>
    <w:rsid w:val="001059DF"/>
    <w:rsid w:val="001067FE"/>
    <w:rsid w:val="00107231"/>
    <w:rsid w:val="00107256"/>
    <w:rsid w:val="00107451"/>
    <w:rsid w:val="0011071D"/>
    <w:rsid w:val="001107C4"/>
    <w:rsid w:val="0011108B"/>
    <w:rsid w:val="0011110C"/>
    <w:rsid w:val="001116B7"/>
    <w:rsid w:val="0011295F"/>
    <w:rsid w:val="00112CC8"/>
    <w:rsid w:val="001141AE"/>
    <w:rsid w:val="00114B1E"/>
    <w:rsid w:val="00114F1E"/>
    <w:rsid w:val="00115495"/>
    <w:rsid w:val="00116965"/>
    <w:rsid w:val="00116B11"/>
    <w:rsid w:val="00116E4B"/>
    <w:rsid w:val="00116F6B"/>
    <w:rsid w:val="001171FF"/>
    <w:rsid w:val="00121552"/>
    <w:rsid w:val="00121842"/>
    <w:rsid w:val="00121B19"/>
    <w:rsid w:val="00121BF4"/>
    <w:rsid w:val="00121F46"/>
    <w:rsid w:val="001235A0"/>
    <w:rsid w:val="001238FD"/>
    <w:rsid w:val="00123D0B"/>
    <w:rsid w:val="00124B26"/>
    <w:rsid w:val="0012508E"/>
    <w:rsid w:val="00126837"/>
    <w:rsid w:val="00130A89"/>
    <w:rsid w:val="00130C18"/>
    <w:rsid w:val="00131C40"/>
    <w:rsid w:val="00131C6C"/>
    <w:rsid w:val="00131F2D"/>
    <w:rsid w:val="001321ED"/>
    <w:rsid w:val="00133F26"/>
    <w:rsid w:val="0013462D"/>
    <w:rsid w:val="001360B8"/>
    <w:rsid w:val="001362F5"/>
    <w:rsid w:val="0013657B"/>
    <w:rsid w:val="00136581"/>
    <w:rsid w:val="00136A94"/>
    <w:rsid w:val="00137807"/>
    <w:rsid w:val="0013783C"/>
    <w:rsid w:val="00137BD8"/>
    <w:rsid w:val="00140181"/>
    <w:rsid w:val="0014092A"/>
    <w:rsid w:val="00140A63"/>
    <w:rsid w:val="00140B8D"/>
    <w:rsid w:val="00141359"/>
    <w:rsid w:val="001414E5"/>
    <w:rsid w:val="00142AF7"/>
    <w:rsid w:val="00142D35"/>
    <w:rsid w:val="00143916"/>
    <w:rsid w:val="00143E8A"/>
    <w:rsid w:val="00143FC6"/>
    <w:rsid w:val="00144A6E"/>
    <w:rsid w:val="00144ABF"/>
    <w:rsid w:val="00144BA8"/>
    <w:rsid w:val="00145245"/>
    <w:rsid w:val="00145C22"/>
    <w:rsid w:val="001464CD"/>
    <w:rsid w:val="0014666C"/>
    <w:rsid w:val="0014715B"/>
    <w:rsid w:val="00147D4D"/>
    <w:rsid w:val="00150293"/>
    <w:rsid w:val="001502AD"/>
    <w:rsid w:val="00150415"/>
    <w:rsid w:val="00150712"/>
    <w:rsid w:val="001509C0"/>
    <w:rsid w:val="00150EA5"/>
    <w:rsid w:val="00151431"/>
    <w:rsid w:val="00151764"/>
    <w:rsid w:val="00151FF5"/>
    <w:rsid w:val="001522A2"/>
    <w:rsid w:val="00152B40"/>
    <w:rsid w:val="00152FDE"/>
    <w:rsid w:val="001530E5"/>
    <w:rsid w:val="00154B4E"/>
    <w:rsid w:val="00154F75"/>
    <w:rsid w:val="00155CC6"/>
    <w:rsid w:val="00155CDF"/>
    <w:rsid w:val="00155F53"/>
    <w:rsid w:val="001564E3"/>
    <w:rsid w:val="00156699"/>
    <w:rsid w:val="001568D5"/>
    <w:rsid w:val="00156DAA"/>
    <w:rsid w:val="00157491"/>
    <w:rsid w:val="00157C91"/>
    <w:rsid w:val="00157D2B"/>
    <w:rsid w:val="00160608"/>
    <w:rsid w:val="001608D3"/>
    <w:rsid w:val="001624E8"/>
    <w:rsid w:val="0016322B"/>
    <w:rsid w:val="0016339A"/>
    <w:rsid w:val="0016392B"/>
    <w:rsid w:val="001641EC"/>
    <w:rsid w:val="001643F2"/>
    <w:rsid w:val="00165898"/>
    <w:rsid w:val="00165CA1"/>
    <w:rsid w:val="00165E57"/>
    <w:rsid w:val="00166171"/>
    <w:rsid w:val="00166A91"/>
    <w:rsid w:val="00166D47"/>
    <w:rsid w:val="00167291"/>
    <w:rsid w:val="0016741B"/>
    <w:rsid w:val="00167DF0"/>
    <w:rsid w:val="00171192"/>
    <w:rsid w:val="00171AAD"/>
    <w:rsid w:val="00171BBC"/>
    <w:rsid w:val="00171CF4"/>
    <w:rsid w:val="00171F77"/>
    <w:rsid w:val="0017292D"/>
    <w:rsid w:val="00172A87"/>
    <w:rsid w:val="001748CB"/>
    <w:rsid w:val="00175128"/>
    <w:rsid w:val="0017523B"/>
    <w:rsid w:val="00175B42"/>
    <w:rsid w:val="0017606D"/>
    <w:rsid w:val="0017633C"/>
    <w:rsid w:val="00176522"/>
    <w:rsid w:val="00176CA8"/>
    <w:rsid w:val="00177325"/>
    <w:rsid w:val="00177C5F"/>
    <w:rsid w:val="00177F35"/>
    <w:rsid w:val="00177F85"/>
    <w:rsid w:val="0018038A"/>
    <w:rsid w:val="001809A8"/>
    <w:rsid w:val="00180C5F"/>
    <w:rsid w:val="001819E8"/>
    <w:rsid w:val="00181A06"/>
    <w:rsid w:val="00181A9D"/>
    <w:rsid w:val="001823E3"/>
    <w:rsid w:val="00182FC0"/>
    <w:rsid w:val="001834D9"/>
    <w:rsid w:val="00183915"/>
    <w:rsid w:val="00183990"/>
    <w:rsid w:val="00183F45"/>
    <w:rsid w:val="00184AEA"/>
    <w:rsid w:val="0018577B"/>
    <w:rsid w:val="00185C61"/>
    <w:rsid w:val="0018697B"/>
    <w:rsid w:val="00186D1D"/>
    <w:rsid w:val="00187CCE"/>
    <w:rsid w:val="00190030"/>
    <w:rsid w:val="0019086A"/>
    <w:rsid w:val="00190B5A"/>
    <w:rsid w:val="00190D0F"/>
    <w:rsid w:val="00190F59"/>
    <w:rsid w:val="00192D02"/>
    <w:rsid w:val="00193C8B"/>
    <w:rsid w:val="00193FF6"/>
    <w:rsid w:val="0019495B"/>
    <w:rsid w:val="00194C85"/>
    <w:rsid w:val="0019539C"/>
    <w:rsid w:val="001957CF"/>
    <w:rsid w:val="001957E6"/>
    <w:rsid w:val="00195845"/>
    <w:rsid w:val="0019584A"/>
    <w:rsid w:val="001960AD"/>
    <w:rsid w:val="0019662A"/>
    <w:rsid w:val="001967BE"/>
    <w:rsid w:val="00196AF7"/>
    <w:rsid w:val="00196FB3"/>
    <w:rsid w:val="001A057E"/>
    <w:rsid w:val="001A0AFD"/>
    <w:rsid w:val="001A0E96"/>
    <w:rsid w:val="001A1BDB"/>
    <w:rsid w:val="001A316F"/>
    <w:rsid w:val="001A321A"/>
    <w:rsid w:val="001A3982"/>
    <w:rsid w:val="001A3C5F"/>
    <w:rsid w:val="001A3F75"/>
    <w:rsid w:val="001A4523"/>
    <w:rsid w:val="001A4BDF"/>
    <w:rsid w:val="001A5348"/>
    <w:rsid w:val="001A5B53"/>
    <w:rsid w:val="001A6466"/>
    <w:rsid w:val="001A6849"/>
    <w:rsid w:val="001A7532"/>
    <w:rsid w:val="001A773B"/>
    <w:rsid w:val="001B0259"/>
    <w:rsid w:val="001B0262"/>
    <w:rsid w:val="001B0D9E"/>
    <w:rsid w:val="001B11CB"/>
    <w:rsid w:val="001B1989"/>
    <w:rsid w:val="001B236A"/>
    <w:rsid w:val="001B23FA"/>
    <w:rsid w:val="001B28D1"/>
    <w:rsid w:val="001B2A3F"/>
    <w:rsid w:val="001B3FD2"/>
    <w:rsid w:val="001B5693"/>
    <w:rsid w:val="001B587B"/>
    <w:rsid w:val="001B5959"/>
    <w:rsid w:val="001B63A6"/>
    <w:rsid w:val="001B6C2D"/>
    <w:rsid w:val="001B7147"/>
    <w:rsid w:val="001B7214"/>
    <w:rsid w:val="001C061E"/>
    <w:rsid w:val="001C087E"/>
    <w:rsid w:val="001C0AB6"/>
    <w:rsid w:val="001C0F32"/>
    <w:rsid w:val="001C1BF4"/>
    <w:rsid w:val="001C2099"/>
    <w:rsid w:val="001C27A3"/>
    <w:rsid w:val="001C2982"/>
    <w:rsid w:val="001C29FA"/>
    <w:rsid w:val="001C2B5F"/>
    <w:rsid w:val="001C2C72"/>
    <w:rsid w:val="001C2DED"/>
    <w:rsid w:val="001C3145"/>
    <w:rsid w:val="001C3387"/>
    <w:rsid w:val="001C407C"/>
    <w:rsid w:val="001C4A71"/>
    <w:rsid w:val="001C4CBF"/>
    <w:rsid w:val="001C4D5C"/>
    <w:rsid w:val="001C54A1"/>
    <w:rsid w:val="001C5CD0"/>
    <w:rsid w:val="001C6455"/>
    <w:rsid w:val="001C6C3D"/>
    <w:rsid w:val="001C72C0"/>
    <w:rsid w:val="001C7347"/>
    <w:rsid w:val="001C7400"/>
    <w:rsid w:val="001C7697"/>
    <w:rsid w:val="001C7C31"/>
    <w:rsid w:val="001D0505"/>
    <w:rsid w:val="001D1B77"/>
    <w:rsid w:val="001D225B"/>
    <w:rsid w:val="001D2E7C"/>
    <w:rsid w:val="001D32FC"/>
    <w:rsid w:val="001D3563"/>
    <w:rsid w:val="001D3687"/>
    <w:rsid w:val="001D3965"/>
    <w:rsid w:val="001D3EE2"/>
    <w:rsid w:val="001D41E0"/>
    <w:rsid w:val="001D4382"/>
    <w:rsid w:val="001D4CB2"/>
    <w:rsid w:val="001D6377"/>
    <w:rsid w:val="001D660A"/>
    <w:rsid w:val="001D6CA8"/>
    <w:rsid w:val="001D721F"/>
    <w:rsid w:val="001D73AD"/>
    <w:rsid w:val="001E04CC"/>
    <w:rsid w:val="001E0D6B"/>
    <w:rsid w:val="001E1533"/>
    <w:rsid w:val="001E1754"/>
    <w:rsid w:val="001E1791"/>
    <w:rsid w:val="001E19E7"/>
    <w:rsid w:val="001E1A95"/>
    <w:rsid w:val="001E2186"/>
    <w:rsid w:val="001E21A0"/>
    <w:rsid w:val="001E2646"/>
    <w:rsid w:val="001E299A"/>
    <w:rsid w:val="001E2BA9"/>
    <w:rsid w:val="001E2ECC"/>
    <w:rsid w:val="001E3430"/>
    <w:rsid w:val="001E35AE"/>
    <w:rsid w:val="001E4621"/>
    <w:rsid w:val="001E48A4"/>
    <w:rsid w:val="001E5273"/>
    <w:rsid w:val="001E5286"/>
    <w:rsid w:val="001E5453"/>
    <w:rsid w:val="001E5AAD"/>
    <w:rsid w:val="001E5C3D"/>
    <w:rsid w:val="001E65C6"/>
    <w:rsid w:val="001E678B"/>
    <w:rsid w:val="001E7C62"/>
    <w:rsid w:val="001F0525"/>
    <w:rsid w:val="001F0C02"/>
    <w:rsid w:val="001F2B26"/>
    <w:rsid w:val="001F2BC9"/>
    <w:rsid w:val="001F2DF0"/>
    <w:rsid w:val="001F2F39"/>
    <w:rsid w:val="001F3363"/>
    <w:rsid w:val="001F34DD"/>
    <w:rsid w:val="001F3FA2"/>
    <w:rsid w:val="001F408E"/>
    <w:rsid w:val="001F4349"/>
    <w:rsid w:val="001F4860"/>
    <w:rsid w:val="001F4EDD"/>
    <w:rsid w:val="001F57CD"/>
    <w:rsid w:val="001F5B07"/>
    <w:rsid w:val="001F5E58"/>
    <w:rsid w:val="001F6228"/>
    <w:rsid w:val="001F6270"/>
    <w:rsid w:val="001F65BE"/>
    <w:rsid w:val="001F7890"/>
    <w:rsid w:val="001F7D76"/>
    <w:rsid w:val="001F7D9A"/>
    <w:rsid w:val="00200FAD"/>
    <w:rsid w:val="002015CF"/>
    <w:rsid w:val="00201765"/>
    <w:rsid w:val="00201ABD"/>
    <w:rsid w:val="00201F9F"/>
    <w:rsid w:val="0020200E"/>
    <w:rsid w:val="0020257F"/>
    <w:rsid w:val="00203222"/>
    <w:rsid w:val="00204436"/>
    <w:rsid w:val="00204AA1"/>
    <w:rsid w:val="00205357"/>
    <w:rsid w:val="00205455"/>
    <w:rsid w:val="00205FAC"/>
    <w:rsid w:val="00206139"/>
    <w:rsid w:val="00206600"/>
    <w:rsid w:val="00207028"/>
    <w:rsid w:val="0020763C"/>
    <w:rsid w:val="00207E11"/>
    <w:rsid w:val="0021063D"/>
    <w:rsid w:val="00210714"/>
    <w:rsid w:val="00211B32"/>
    <w:rsid w:val="00212F9D"/>
    <w:rsid w:val="0021327B"/>
    <w:rsid w:val="002132F2"/>
    <w:rsid w:val="002144CB"/>
    <w:rsid w:val="0021483D"/>
    <w:rsid w:val="00214B09"/>
    <w:rsid w:val="00214FAF"/>
    <w:rsid w:val="002155ED"/>
    <w:rsid w:val="002156A3"/>
    <w:rsid w:val="00215AEE"/>
    <w:rsid w:val="0021627B"/>
    <w:rsid w:val="0021631C"/>
    <w:rsid w:val="00216810"/>
    <w:rsid w:val="0021698E"/>
    <w:rsid w:val="00216D13"/>
    <w:rsid w:val="00216F33"/>
    <w:rsid w:val="002207CF"/>
    <w:rsid w:val="0022145E"/>
    <w:rsid w:val="00221C04"/>
    <w:rsid w:val="0022245F"/>
    <w:rsid w:val="00223256"/>
    <w:rsid w:val="0022406E"/>
    <w:rsid w:val="00224FEA"/>
    <w:rsid w:val="00225930"/>
    <w:rsid w:val="002262C0"/>
    <w:rsid w:val="00226345"/>
    <w:rsid w:val="002264AE"/>
    <w:rsid w:val="00227691"/>
    <w:rsid w:val="00227A85"/>
    <w:rsid w:val="00227B4C"/>
    <w:rsid w:val="00227BB0"/>
    <w:rsid w:val="00227DBC"/>
    <w:rsid w:val="00230284"/>
    <w:rsid w:val="00230C0E"/>
    <w:rsid w:val="00230E13"/>
    <w:rsid w:val="0023118D"/>
    <w:rsid w:val="00232621"/>
    <w:rsid w:val="0023293E"/>
    <w:rsid w:val="00232A7A"/>
    <w:rsid w:val="00232DA5"/>
    <w:rsid w:val="00232F2F"/>
    <w:rsid w:val="00232F87"/>
    <w:rsid w:val="002338B9"/>
    <w:rsid w:val="00233AD1"/>
    <w:rsid w:val="00233FF9"/>
    <w:rsid w:val="00234061"/>
    <w:rsid w:val="002349A9"/>
    <w:rsid w:val="00234E3C"/>
    <w:rsid w:val="0023573F"/>
    <w:rsid w:val="002361D0"/>
    <w:rsid w:val="00236B9A"/>
    <w:rsid w:val="002372F0"/>
    <w:rsid w:val="00240046"/>
    <w:rsid w:val="00241201"/>
    <w:rsid w:val="002423EA"/>
    <w:rsid w:val="00242971"/>
    <w:rsid w:val="002432E1"/>
    <w:rsid w:val="00243315"/>
    <w:rsid w:val="00243B44"/>
    <w:rsid w:val="00243C51"/>
    <w:rsid w:val="00243D7F"/>
    <w:rsid w:val="00243E13"/>
    <w:rsid w:val="002454DC"/>
    <w:rsid w:val="00245AC1"/>
    <w:rsid w:val="0024621D"/>
    <w:rsid w:val="00246269"/>
    <w:rsid w:val="00247588"/>
    <w:rsid w:val="002475C3"/>
    <w:rsid w:val="00247ED0"/>
    <w:rsid w:val="00247FE8"/>
    <w:rsid w:val="002515E9"/>
    <w:rsid w:val="00252443"/>
    <w:rsid w:val="00252521"/>
    <w:rsid w:val="00252891"/>
    <w:rsid w:val="00252CF5"/>
    <w:rsid w:val="00252F83"/>
    <w:rsid w:val="002530AE"/>
    <w:rsid w:val="0025386E"/>
    <w:rsid w:val="00254346"/>
    <w:rsid w:val="002547B2"/>
    <w:rsid w:val="0025565C"/>
    <w:rsid w:val="00255FD1"/>
    <w:rsid w:val="002564E8"/>
    <w:rsid w:val="00256CE0"/>
    <w:rsid w:val="0025791F"/>
    <w:rsid w:val="00261886"/>
    <w:rsid w:val="00261A13"/>
    <w:rsid w:val="00261E57"/>
    <w:rsid w:val="0026219D"/>
    <w:rsid w:val="002623AA"/>
    <w:rsid w:val="0026428D"/>
    <w:rsid w:val="00264613"/>
    <w:rsid w:val="00264CA1"/>
    <w:rsid w:val="00264FB2"/>
    <w:rsid w:val="0026506A"/>
    <w:rsid w:val="00265B88"/>
    <w:rsid w:val="00266604"/>
    <w:rsid w:val="00267A38"/>
    <w:rsid w:val="00267A7B"/>
    <w:rsid w:val="00267DB0"/>
    <w:rsid w:val="002704DF"/>
    <w:rsid w:val="00270A17"/>
    <w:rsid w:val="00270C64"/>
    <w:rsid w:val="00270F03"/>
    <w:rsid w:val="002710B5"/>
    <w:rsid w:val="0027116F"/>
    <w:rsid w:val="00271737"/>
    <w:rsid w:val="002719F8"/>
    <w:rsid w:val="00272121"/>
    <w:rsid w:val="002729A0"/>
    <w:rsid w:val="00273312"/>
    <w:rsid w:val="00273E61"/>
    <w:rsid w:val="00273F5F"/>
    <w:rsid w:val="00273F7C"/>
    <w:rsid w:val="002745A2"/>
    <w:rsid w:val="0027555F"/>
    <w:rsid w:val="00275599"/>
    <w:rsid w:val="00275719"/>
    <w:rsid w:val="00275727"/>
    <w:rsid w:val="00275BE9"/>
    <w:rsid w:val="00275F2C"/>
    <w:rsid w:val="00277BEF"/>
    <w:rsid w:val="00277F0F"/>
    <w:rsid w:val="00280398"/>
    <w:rsid w:val="00280AE4"/>
    <w:rsid w:val="00280E39"/>
    <w:rsid w:val="00281167"/>
    <w:rsid w:val="002811E3"/>
    <w:rsid w:val="002813B2"/>
    <w:rsid w:val="00281AC0"/>
    <w:rsid w:val="00282431"/>
    <w:rsid w:val="00282CAE"/>
    <w:rsid w:val="00282E9E"/>
    <w:rsid w:val="00283965"/>
    <w:rsid w:val="00283BBD"/>
    <w:rsid w:val="00283D5E"/>
    <w:rsid w:val="00284245"/>
    <w:rsid w:val="0028431F"/>
    <w:rsid w:val="00284926"/>
    <w:rsid w:val="00285028"/>
    <w:rsid w:val="00285034"/>
    <w:rsid w:val="00285A72"/>
    <w:rsid w:val="00285A94"/>
    <w:rsid w:val="002902FE"/>
    <w:rsid w:val="00290544"/>
    <w:rsid w:val="00290614"/>
    <w:rsid w:val="002913C5"/>
    <w:rsid w:val="00291DE2"/>
    <w:rsid w:val="00291F65"/>
    <w:rsid w:val="0029208D"/>
    <w:rsid w:val="00292258"/>
    <w:rsid w:val="0029225E"/>
    <w:rsid w:val="002926F9"/>
    <w:rsid w:val="00293681"/>
    <w:rsid w:val="00293A4E"/>
    <w:rsid w:val="00293B95"/>
    <w:rsid w:val="00293F85"/>
    <w:rsid w:val="002942EA"/>
    <w:rsid w:val="0029482F"/>
    <w:rsid w:val="00294892"/>
    <w:rsid w:val="00294DA9"/>
    <w:rsid w:val="00296073"/>
    <w:rsid w:val="00296626"/>
    <w:rsid w:val="00296DB8"/>
    <w:rsid w:val="00296E92"/>
    <w:rsid w:val="00297212"/>
    <w:rsid w:val="002972E8"/>
    <w:rsid w:val="00297791"/>
    <w:rsid w:val="002A02E8"/>
    <w:rsid w:val="002A0A88"/>
    <w:rsid w:val="002A1797"/>
    <w:rsid w:val="002A1DA3"/>
    <w:rsid w:val="002A3211"/>
    <w:rsid w:val="002A3CE3"/>
    <w:rsid w:val="002A4174"/>
    <w:rsid w:val="002A4A05"/>
    <w:rsid w:val="002A51B8"/>
    <w:rsid w:val="002A564E"/>
    <w:rsid w:val="002A5ADD"/>
    <w:rsid w:val="002A5FDF"/>
    <w:rsid w:val="002A613A"/>
    <w:rsid w:val="002A629C"/>
    <w:rsid w:val="002A6FCE"/>
    <w:rsid w:val="002A7172"/>
    <w:rsid w:val="002A7501"/>
    <w:rsid w:val="002A7511"/>
    <w:rsid w:val="002B042B"/>
    <w:rsid w:val="002B0EA1"/>
    <w:rsid w:val="002B1027"/>
    <w:rsid w:val="002B1DAC"/>
    <w:rsid w:val="002B1FCA"/>
    <w:rsid w:val="002B317E"/>
    <w:rsid w:val="002B33D8"/>
    <w:rsid w:val="002B3983"/>
    <w:rsid w:val="002B39FE"/>
    <w:rsid w:val="002B3CE2"/>
    <w:rsid w:val="002B3EA9"/>
    <w:rsid w:val="002B40FF"/>
    <w:rsid w:val="002B44C4"/>
    <w:rsid w:val="002B5565"/>
    <w:rsid w:val="002B5F48"/>
    <w:rsid w:val="002B6304"/>
    <w:rsid w:val="002B6355"/>
    <w:rsid w:val="002B6548"/>
    <w:rsid w:val="002B6B0F"/>
    <w:rsid w:val="002B7549"/>
    <w:rsid w:val="002B78B9"/>
    <w:rsid w:val="002B7DE3"/>
    <w:rsid w:val="002C0E65"/>
    <w:rsid w:val="002C0E9B"/>
    <w:rsid w:val="002C1167"/>
    <w:rsid w:val="002C15CA"/>
    <w:rsid w:val="002C188B"/>
    <w:rsid w:val="002C195C"/>
    <w:rsid w:val="002C1DAF"/>
    <w:rsid w:val="002C26CD"/>
    <w:rsid w:val="002C2780"/>
    <w:rsid w:val="002C2C08"/>
    <w:rsid w:val="002C2D27"/>
    <w:rsid w:val="002C3141"/>
    <w:rsid w:val="002C3AA0"/>
    <w:rsid w:val="002C3E3D"/>
    <w:rsid w:val="002C42A2"/>
    <w:rsid w:val="002C4718"/>
    <w:rsid w:val="002C48A8"/>
    <w:rsid w:val="002C49B5"/>
    <w:rsid w:val="002C4F2A"/>
    <w:rsid w:val="002C5B10"/>
    <w:rsid w:val="002C6010"/>
    <w:rsid w:val="002C633F"/>
    <w:rsid w:val="002C6B4C"/>
    <w:rsid w:val="002C6D19"/>
    <w:rsid w:val="002C7329"/>
    <w:rsid w:val="002C7CEB"/>
    <w:rsid w:val="002C7EC4"/>
    <w:rsid w:val="002D003A"/>
    <w:rsid w:val="002D00F1"/>
    <w:rsid w:val="002D15F2"/>
    <w:rsid w:val="002D166D"/>
    <w:rsid w:val="002D1E08"/>
    <w:rsid w:val="002D2070"/>
    <w:rsid w:val="002D2135"/>
    <w:rsid w:val="002D2BE6"/>
    <w:rsid w:val="002D2F05"/>
    <w:rsid w:val="002D2F64"/>
    <w:rsid w:val="002D4953"/>
    <w:rsid w:val="002D552F"/>
    <w:rsid w:val="002D5CCE"/>
    <w:rsid w:val="002D5FC4"/>
    <w:rsid w:val="002D639B"/>
    <w:rsid w:val="002D785E"/>
    <w:rsid w:val="002D7B83"/>
    <w:rsid w:val="002E029E"/>
    <w:rsid w:val="002E0588"/>
    <w:rsid w:val="002E0D37"/>
    <w:rsid w:val="002E0FE2"/>
    <w:rsid w:val="002E1484"/>
    <w:rsid w:val="002E1A7A"/>
    <w:rsid w:val="002E1B5E"/>
    <w:rsid w:val="002E2D8A"/>
    <w:rsid w:val="002E32E7"/>
    <w:rsid w:val="002E37DA"/>
    <w:rsid w:val="002E40AD"/>
    <w:rsid w:val="002E4A81"/>
    <w:rsid w:val="002E55C9"/>
    <w:rsid w:val="002E5AFA"/>
    <w:rsid w:val="002E5D59"/>
    <w:rsid w:val="002E6B68"/>
    <w:rsid w:val="002E72F0"/>
    <w:rsid w:val="002E7D14"/>
    <w:rsid w:val="002E7F0E"/>
    <w:rsid w:val="002F031D"/>
    <w:rsid w:val="002F054A"/>
    <w:rsid w:val="002F07A0"/>
    <w:rsid w:val="002F368E"/>
    <w:rsid w:val="002F3AAF"/>
    <w:rsid w:val="002F3E5D"/>
    <w:rsid w:val="002F40FF"/>
    <w:rsid w:val="002F5101"/>
    <w:rsid w:val="002F52C1"/>
    <w:rsid w:val="002F53AC"/>
    <w:rsid w:val="002F5C83"/>
    <w:rsid w:val="002F713F"/>
    <w:rsid w:val="002F799E"/>
    <w:rsid w:val="002F7A64"/>
    <w:rsid w:val="002F7D3E"/>
    <w:rsid w:val="002F7ED4"/>
    <w:rsid w:val="00300919"/>
    <w:rsid w:val="00300C6B"/>
    <w:rsid w:val="00300EA0"/>
    <w:rsid w:val="003012FD"/>
    <w:rsid w:val="003021B1"/>
    <w:rsid w:val="00302BF3"/>
    <w:rsid w:val="00302D8C"/>
    <w:rsid w:val="00303EE7"/>
    <w:rsid w:val="00303F92"/>
    <w:rsid w:val="00304386"/>
    <w:rsid w:val="00304487"/>
    <w:rsid w:val="00304EE5"/>
    <w:rsid w:val="0030536F"/>
    <w:rsid w:val="00305507"/>
    <w:rsid w:val="00305C48"/>
    <w:rsid w:val="00306313"/>
    <w:rsid w:val="00307E10"/>
    <w:rsid w:val="00310825"/>
    <w:rsid w:val="00310AF9"/>
    <w:rsid w:val="00310E80"/>
    <w:rsid w:val="003110C6"/>
    <w:rsid w:val="003116AA"/>
    <w:rsid w:val="00311EF3"/>
    <w:rsid w:val="00312106"/>
    <w:rsid w:val="003126FB"/>
    <w:rsid w:val="0031280C"/>
    <w:rsid w:val="00313170"/>
    <w:rsid w:val="00313303"/>
    <w:rsid w:val="003136B3"/>
    <w:rsid w:val="00313B18"/>
    <w:rsid w:val="00314324"/>
    <w:rsid w:val="0031447F"/>
    <w:rsid w:val="00314835"/>
    <w:rsid w:val="00315AE3"/>
    <w:rsid w:val="00315CA2"/>
    <w:rsid w:val="00315DF8"/>
    <w:rsid w:val="0031667E"/>
    <w:rsid w:val="00316A7B"/>
    <w:rsid w:val="003176D1"/>
    <w:rsid w:val="003207ED"/>
    <w:rsid w:val="00320E35"/>
    <w:rsid w:val="0032116B"/>
    <w:rsid w:val="00321B9A"/>
    <w:rsid w:val="0032250C"/>
    <w:rsid w:val="0032390D"/>
    <w:rsid w:val="00323EBD"/>
    <w:rsid w:val="00324709"/>
    <w:rsid w:val="00324C92"/>
    <w:rsid w:val="00324F09"/>
    <w:rsid w:val="00325487"/>
    <w:rsid w:val="0032597C"/>
    <w:rsid w:val="00325BCB"/>
    <w:rsid w:val="00325C6E"/>
    <w:rsid w:val="00325FE2"/>
    <w:rsid w:val="0032659A"/>
    <w:rsid w:val="003265D6"/>
    <w:rsid w:val="00326743"/>
    <w:rsid w:val="003268EC"/>
    <w:rsid w:val="003275F8"/>
    <w:rsid w:val="00327721"/>
    <w:rsid w:val="00330546"/>
    <w:rsid w:val="0033070B"/>
    <w:rsid w:val="00330748"/>
    <w:rsid w:val="00330BCD"/>
    <w:rsid w:val="00330C73"/>
    <w:rsid w:val="00331513"/>
    <w:rsid w:val="00331ECA"/>
    <w:rsid w:val="00331F69"/>
    <w:rsid w:val="0033204C"/>
    <w:rsid w:val="00332DE0"/>
    <w:rsid w:val="00334474"/>
    <w:rsid w:val="0033491A"/>
    <w:rsid w:val="00334F21"/>
    <w:rsid w:val="00335A61"/>
    <w:rsid w:val="00336329"/>
    <w:rsid w:val="003365B8"/>
    <w:rsid w:val="0033687B"/>
    <w:rsid w:val="00337088"/>
    <w:rsid w:val="0033735A"/>
    <w:rsid w:val="00337638"/>
    <w:rsid w:val="00337FA1"/>
    <w:rsid w:val="003403A1"/>
    <w:rsid w:val="00340ADD"/>
    <w:rsid w:val="00341178"/>
    <w:rsid w:val="00341869"/>
    <w:rsid w:val="00341B42"/>
    <w:rsid w:val="00341DB4"/>
    <w:rsid w:val="003420E1"/>
    <w:rsid w:val="00342221"/>
    <w:rsid w:val="003423FC"/>
    <w:rsid w:val="0034332A"/>
    <w:rsid w:val="003437DC"/>
    <w:rsid w:val="0034444F"/>
    <w:rsid w:val="00344766"/>
    <w:rsid w:val="00344A50"/>
    <w:rsid w:val="00344AD3"/>
    <w:rsid w:val="00345089"/>
    <w:rsid w:val="00345427"/>
    <w:rsid w:val="00345687"/>
    <w:rsid w:val="00345708"/>
    <w:rsid w:val="00346373"/>
    <w:rsid w:val="0034646D"/>
    <w:rsid w:val="003467CD"/>
    <w:rsid w:val="00346B31"/>
    <w:rsid w:val="003471F0"/>
    <w:rsid w:val="00347B20"/>
    <w:rsid w:val="003505B2"/>
    <w:rsid w:val="0035063B"/>
    <w:rsid w:val="00350B04"/>
    <w:rsid w:val="00350B8B"/>
    <w:rsid w:val="00351DF7"/>
    <w:rsid w:val="00351FD1"/>
    <w:rsid w:val="0035228B"/>
    <w:rsid w:val="00352677"/>
    <w:rsid w:val="003526EA"/>
    <w:rsid w:val="0035374E"/>
    <w:rsid w:val="0035393E"/>
    <w:rsid w:val="003540E4"/>
    <w:rsid w:val="00354255"/>
    <w:rsid w:val="00355981"/>
    <w:rsid w:val="00355BFE"/>
    <w:rsid w:val="00356AA0"/>
    <w:rsid w:val="00357344"/>
    <w:rsid w:val="003573D2"/>
    <w:rsid w:val="003579CE"/>
    <w:rsid w:val="00357A38"/>
    <w:rsid w:val="00360189"/>
    <w:rsid w:val="0036188D"/>
    <w:rsid w:val="003619AB"/>
    <w:rsid w:val="00362013"/>
    <w:rsid w:val="00362136"/>
    <w:rsid w:val="003623F5"/>
    <w:rsid w:val="00363333"/>
    <w:rsid w:val="0036336C"/>
    <w:rsid w:val="003634F7"/>
    <w:rsid w:val="003637A1"/>
    <w:rsid w:val="00363EA3"/>
    <w:rsid w:val="00363F4F"/>
    <w:rsid w:val="0036401A"/>
    <w:rsid w:val="003647C3"/>
    <w:rsid w:val="003649B1"/>
    <w:rsid w:val="00364C0A"/>
    <w:rsid w:val="00365AE9"/>
    <w:rsid w:val="003672DF"/>
    <w:rsid w:val="003704FC"/>
    <w:rsid w:val="0037112D"/>
    <w:rsid w:val="003713C2"/>
    <w:rsid w:val="0037172A"/>
    <w:rsid w:val="003722D3"/>
    <w:rsid w:val="0037269A"/>
    <w:rsid w:val="00372B11"/>
    <w:rsid w:val="0037307E"/>
    <w:rsid w:val="00373D4C"/>
    <w:rsid w:val="0037526D"/>
    <w:rsid w:val="0037545E"/>
    <w:rsid w:val="00375978"/>
    <w:rsid w:val="00376405"/>
    <w:rsid w:val="0037699E"/>
    <w:rsid w:val="00376C54"/>
    <w:rsid w:val="00381027"/>
    <w:rsid w:val="0038157C"/>
    <w:rsid w:val="00381BAB"/>
    <w:rsid w:val="00381FE7"/>
    <w:rsid w:val="0038209B"/>
    <w:rsid w:val="00383731"/>
    <w:rsid w:val="003837A2"/>
    <w:rsid w:val="003839F9"/>
    <w:rsid w:val="00383D8A"/>
    <w:rsid w:val="00384032"/>
    <w:rsid w:val="003845F8"/>
    <w:rsid w:val="00384AA7"/>
    <w:rsid w:val="00385421"/>
    <w:rsid w:val="00386453"/>
    <w:rsid w:val="00386A48"/>
    <w:rsid w:val="00386DBD"/>
    <w:rsid w:val="00386F51"/>
    <w:rsid w:val="0038754D"/>
    <w:rsid w:val="00387CF3"/>
    <w:rsid w:val="00387E34"/>
    <w:rsid w:val="00390536"/>
    <w:rsid w:val="00390611"/>
    <w:rsid w:val="00390B2F"/>
    <w:rsid w:val="00390EBF"/>
    <w:rsid w:val="00391CB5"/>
    <w:rsid w:val="00392022"/>
    <w:rsid w:val="00392043"/>
    <w:rsid w:val="0039214E"/>
    <w:rsid w:val="003924A1"/>
    <w:rsid w:val="0039256B"/>
    <w:rsid w:val="00392DAC"/>
    <w:rsid w:val="00393884"/>
    <w:rsid w:val="003938ED"/>
    <w:rsid w:val="00393910"/>
    <w:rsid w:val="0039393F"/>
    <w:rsid w:val="00393CC5"/>
    <w:rsid w:val="00393E8F"/>
    <w:rsid w:val="00393F5B"/>
    <w:rsid w:val="003943DC"/>
    <w:rsid w:val="003960C8"/>
    <w:rsid w:val="003961DA"/>
    <w:rsid w:val="00396394"/>
    <w:rsid w:val="00397677"/>
    <w:rsid w:val="003A0095"/>
    <w:rsid w:val="003A0B24"/>
    <w:rsid w:val="003A0BF2"/>
    <w:rsid w:val="003A0F14"/>
    <w:rsid w:val="003A216B"/>
    <w:rsid w:val="003A36BD"/>
    <w:rsid w:val="003A3A32"/>
    <w:rsid w:val="003A4262"/>
    <w:rsid w:val="003A4518"/>
    <w:rsid w:val="003A51C8"/>
    <w:rsid w:val="003A53BF"/>
    <w:rsid w:val="003A55D8"/>
    <w:rsid w:val="003A5940"/>
    <w:rsid w:val="003A59A6"/>
    <w:rsid w:val="003A5A9F"/>
    <w:rsid w:val="003A6AFF"/>
    <w:rsid w:val="003A6D5C"/>
    <w:rsid w:val="003A7508"/>
    <w:rsid w:val="003A7D55"/>
    <w:rsid w:val="003A7ED9"/>
    <w:rsid w:val="003B006E"/>
    <w:rsid w:val="003B02EE"/>
    <w:rsid w:val="003B0DD6"/>
    <w:rsid w:val="003B10FB"/>
    <w:rsid w:val="003B1154"/>
    <w:rsid w:val="003B1752"/>
    <w:rsid w:val="003B279D"/>
    <w:rsid w:val="003B2AAD"/>
    <w:rsid w:val="003B2F7E"/>
    <w:rsid w:val="003B307A"/>
    <w:rsid w:val="003B3181"/>
    <w:rsid w:val="003B3474"/>
    <w:rsid w:val="003B380A"/>
    <w:rsid w:val="003B461A"/>
    <w:rsid w:val="003B48D1"/>
    <w:rsid w:val="003B4BBE"/>
    <w:rsid w:val="003B542D"/>
    <w:rsid w:val="003B54E4"/>
    <w:rsid w:val="003B5841"/>
    <w:rsid w:val="003B595A"/>
    <w:rsid w:val="003B5FBE"/>
    <w:rsid w:val="003B7208"/>
    <w:rsid w:val="003B7403"/>
    <w:rsid w:val="003B75A5"/>
    <w:rsid w:val="003C0A73"/>
    <w:rsid w:val="003C1100"/>
    <w:rsid w:val="003C1570"/>
    <w:rsid w:val="003C19CB"/>
    <w:rsid w:val="003C1CFB"/>
    <w:rsid w:val="003C1DE6"/>
    <w:rsid w:val="003C27A8"/>
    <w:rsid w:val="003C30DA"/>
    <w:rsid w:val="003C4A15"/>
    <w:rsid w:val="003C4FF5"/>
    <w:rsid w:val="003C57BF"/>
    <w:rsid w:val="003C6226"/>
    <w:rsid w:val="003C66C3"/>
    <w:rsid w:val="003C744C"/>
    <w:rsid w:val="003D0AE2"/>
    <w:rsid w:val="003D17AF"/>
    <w:rsid w:val="003D2681"/>
    <w:rsid w:val="003D3477"/>
    <w:rsid w:val="003D372B"/>
    <w:rsid w:val="003D5450"/>
    <w:rsid w:val="003D58CE"/>
    <w:rsid w:val="003D70D0"/>
    <w:rsid w:val="003D7707"/>
    <w:rsid w:val="003D7760"/>
    <w:rsid w:val="003D7841"/>
    <w:rsid w:val="003E0B2A"/>
    <w:rsid w:val="003E0F89"/>
    <w:rsid w:val="003E13A1"/>
    <w:rsid w:val="003E24F3"/>
    <w:rsid w:val="003E2955"/>
    <w:rsid w:val="003E4196"/>
    <w:rsid w:val="003E44DA"/>
    <w:rsid w:val="003E468A"/>
    <w:rsid w:val="003E4972"/>
    <w:rsid w:val="003E4BAA"/>
    <w:rsid w:val="003E606D"/>
    <w:rsid w:val="003E674F"/>
    <w:rsid w:val="003E6C77"/>
    <w:rsid w:val="003E6E17"/>
    <w:rsid w:val="003E70A0"/>
    <w:rsid w:val="003E7594"/>
    <w:rsid w:val="003E7E83"/>
    <w:rsid w:val="003F0A58"/>
    <w:rsid w:val="003F1C2E"/>
    <w:rsid w:val="003F2491"/>
    <w:rsid w:val="003F308A"/>
    <w:rsid w:val="003F32E3"/>
    <w:rsid w:val="003F3BA5"/>
    <w:rsid w:val="003F4582"/>
    <w:rsid w:val="003F52FC"/>
    <w:rsid w:val="003F5B98"/>
    <w:rsid w:val="003F5D5C"/>
    <w:rsid w:val="003F6192"/>
    <w:rsid w:val="003F6B40"/>
    <w:rsid w:val="003F716E"/>
    <w:rsid w:val="003F7DBF"/>
    <w:rsid w:val="003F7E2F"/>
    <w:rsid w:val="00400374"/>
    <w:rsid w:val="00400915"/>
    <w:rsid w:val="00400F60"/>
    <w:rsid w:val="0040187C"/>
    <w:rsid w:val="00402353"/>
    <w:rsid w:val="00402424"/>
    <w:rsid w:val="00402CBA"/>
    <w:rsid w:val="00403319"/>
    <w:rsid w:val="00404754"/>
    <w:rsid w:val="004049C4"/>
    <w:rsid w:val="004054C3"/>
    <w:rsid w:val="00405A0E"/>
    <w:rsid w:val="00406793"/>
    <w:rsid w:val="0040791E"/>
    <w:rsid w:val="00410D87"/>
    <w:rsid w:val="00411BED"/>
    <w:rsid w:val="00411F8F"/>
    <w:rsid w:val="004135D8"/>
    <w:rsid w:val="004136D6"/>
    <w:rsid w:val="00413FC2"/>
    <w:rsid w:val="0041401B"/>
    <w:rsid w:val="00414020"/>
    <w:rsid w:val="0041428D"/>
    <w:rsid w:val="0041493D"/>
    <w:rsid w:val="00415270"/>
    <w:rsid w:val="004154DB"/>
    <w:rsid w:val="00415619"/>
    <w:rsid w:val="00415CF1"/>
    <w:rsid w:val="00415D16"/>
    <w:rsid w:val="00415ED8"/>
    <w:rsid w:val="004161DA"/>
    <w:rsid w:val="004167AE"/>
    <w:rsid w:val="00417379"/>
    <w:rsid w:val="004176BF"/>
    <w:rsid w:val="00417831"/>
    <w:rsid w:val="00417D6D"/>
    <w:rsid w:val="004201B5"/>
    <w:rsid w:val="004204D0"/>
    <w:rsid w:val="00420AC4"/>
    <w:rsid w:val="00421B87"/>
    <w:rsid w:val="00421DD1"/>
    <w:rsid w:val="004232C6"/>
    <w:rsid w:val="00423696"/>
    <w:rsid w:val="004236B2"/>
    <w:rsid w:val="004239F6"/>
    <w:rsid w:val="00423E0C"/>
    <w:rsid w:val="0042456A"/>
    <w:rsid w:val="00424B41"/>
    <w:rsid w:val="00426124"/>
    <w:rsid w:val="00426222"/>
    <w:rsid w:val="00426F24"/>
    <w:rsid w:val="004278AA"/>
    <w:rsid w:val="004300F9"/>
    <w:rsid w:val="00430B43"/>
    <w:rsid w:val="00430C63"/>
    <w:rsid w:val="004310BB"/>
    <w:rsid w:val="004325EA"/>
    <w:rsid w:val="004338C7"/>
    <w:rsid w:val="00433E65"/>
    <w:rsid w:val="00434C3F"/>
    <w:rsid w:val="00434EAD"/>
    <w:rsid w:val="0043556C"/>
    <w:rsid w:val="00435D81"/>
    <w:rsid w:val="00436A9A"/>
    <w:rsid w:val="00436BDA"/>
    <w:rsid w:val="00437085"/>
    <w:rsid w:val="004406B5"/>
    <w:rsid w:val="00441804"/>
    <w:rsid w:val="00441DAF"/>
    <w:rsid w:val="00442E5E"/>
    <w:rsid w:val="004431D5"/>
    <w:rsid w:val="004434CE"/>
    <w:rsid w:val="004436C5"/>
    <w:rsid w:val="00443911"/>
    <w:rsid w:val="00444413"/>
    <w:rsid w:val="00444DD3"/>
    <w:rsid w:val="00444E7F"/>
    <w:rsid w:val="00445514"/>
    <w:rsid w:val="00445853"/>
    <w:rsid w:val="00446CC4"/>
    <w:rsid w:val="00447429"/>
    <w:rsid w:val="00447748"/>
    <w:rsid w:val="00447A90"/>
    <w:rsid w:val="00450D3E"/>
    <w:rsid w:val="00451C0A"/>
    <w:rsid w:val="00451E46"/>
    <w:rsid w:val="004530F0"/>
    <w:rsid w:val="0045354B"/>
    <w:rsid w:val="00453687"/>
    <w:rsid w:val="004536F3"/>
    <w:rsid w:val="00453BC4"/>
    <w:rsid w:val="00454915"/>
    <w:rsid w:val="00455885"/>
    <w:rsid w:val="004558BD"/>
    <w:rsid w:val="00455AD8"/>
    <w:rsid w:val="00456255"/>
    <w:rsid w:val="004566C4"/>
    <w:rsid w:val="004569FF"/>
    <w:rsid w:val="00456D44"/>
    <w:rsid w:val="004579DC"/>
    <w:rsid w:val="00457A56"/>
    <w:rsid w:val="00460C5B"/>
    <w:rsid w:val="004610DA"/>
    <w:rsid w:val="004615D3"/>
    <w:rsid w:val="0046281E"/>
    <w:rsid w:val="00463909"/>
    <w:rsid w:val="004639C1"/>
    <w:rsid w:val="00464AF4"/>
    <w:rsid w:val="00464D6B"/>
    <w:rsid w:val="00467C83"/>
    <w:rsid w:val="00467D01"/>
    <w:rsid w:val="00470070"/>
    <w:rsid w:val="00470110"/>
    <w:rsid w:val="00471468"/>
    <w:rsid w:val="00471E09"/>
    <w:rsid w:val="0047231D"/>
    <w:rsid w:val="004728C4"/>
    <w:rsid w:val="00473538"/>
    <w:rsid w:val="0047369A"/>
    <w:rsid w:val="00473B4F"/>
    <w:rsid w:val="00473C7A"/>
    <w:rsid w:val="00474095"/>
    <w:rsid w:val="004740EF"/>
    <w:rsid w:val="00474679"/>
    <w:rsid w:val="00474833"/>
    <w:rsid w:val="00474C35"/>
    <w:rsid w:val="004750A1"/>
    <w:rsid w:val="004752CD"/>
    <w:rsid w:val="004753D3"/>
    <w:rsid w:val="004756C6"/>
    <w:rsid w:val="00475888"/>
    <w:rsid w:val="004764FE"/>
    <w:rsid w:val="00476784"/>
    <w:rsid w:val="004769A4"/>
    <w:rsid w:val="00476D8E"/>
    <w:rsid w:val="00477958"/>
    <w:rsid w:val="00480212"/>
    <w:rsid w:val="004809EF"/>
    <w:rsid w:val="00480D99"/>
    <w:rsid w:val="00482C8B"/>
    <w:rsid w:val="00482D0F"/>
    <w:rsid w:val="0048337A"/>
    <w:rsid w:val="004835C8"/>
    <w:rsid w:val="004838A8"/>
    <w:rsid w:val="00483CEE"/>
    <w:rsid w:val="00483E2D"/>
    <w:rsid w:val="00483EC9"/>
    <w:rsid w:val="004841AE"/>
    <w:rsid w:val="0048423C"/>
    <w:rsid w:val="0048483C"/>
    <w:rsid w:val="00484C7F"/>
    <w:rsid w:val="00485194"/>
    <w:rsid w:val="004851F7"/>
    <w:rsid w:val="0048549E"/>
    <w:rsid w:val="00487BBD"/>
    <w:rsid w:val="004900E8"/>
    <w:rsid w:val="004903B6"/>
    <w:rsid w:val="0049095E"/>
    <w:rsid w:val="00490C99"/>
    <w:rsid w:val="00490F8D"/>
    <w:rsid w:val="004918B5"/>
    <w:rsid w:val="0049216F"/>
    <w:rsid w:val="004928F5"/>
    <w:rsid w:val="004933FC"/>
    <w:rsid w:val="00493545"/>
    <w:rsid w:val="0049385F"/>
    <w:rsid w:val="00493B5B"/>
    <w:rsid w:val="00494029"/>
    <w:rsid w:val="004941FA"/>
    <w:rsid w:val="00495065"/>
    <w:rsid w:val="0049591A"/>
    <w:rsid w:val="004962CD"/>
    <w:rsid w:val="00497395"/>
    <w:rsid w:val="004976BF"/>
    <w:rsid w:val="00497C31"/>
    <w:rsid w:val="004A0597"/>
    <w:rsid w:val="004A0AF8"/>
    <w:rsid w:val="004A0E7A"/>
    <w:rsid w:val="004A2091"/>
    <w:rsid w:val="004A212C"/>
    <w:rsid w:val="004A29FE"/>
    <w:rsid w:val="004A3000"/>
    <w:rsid w:val="004A3367"/>
    <w:rsid w:val="004A35F0"/>
    <w:rsid w:val="004A3998"/>
    <w:rsid w:val="004A4236"/>
    <w:rsid w:val="004A4437"/>
    <w:rsid w:val="004A4A73"/>
    <w:rsid w:val="004A4CC8"/>
    <w:rsid w:val="004A4DE0"/>
    <w:rsid w:val="004A584E"/>
    <w:rsid w:val="004A5EE6"/>
    <w:rsid w:val="004A6D54"/>
    <w:rsid w:val="004A6E6E"/>
    <w:rsid w:val="004A6F01"/>
    <w:rsid w:val="004A73A1"/>
    <w:rsid w:val="004A7A11"/>
    <w:rsid w:val="004A7E85"/>
    <w:rsid w:val="004B0090"/>
    <w:rsid w:val="004B04BE"/>
    <w:rsid w:val="004B05C6"/>
    <w:rsid w:val="004B0675"/>
    <w:rsid w:val="004B104F"/>
    <w:rsid w:val="004B12E2"/>
    <w:rsid w:val="004B1A74"/>
    <w:rsid w:val="004B2E5B"/>
    <w:rsid w:val="004B3514"/>
    <w:rsid w:val="004B37E3"/>
    <w:rsid w:val="004B3867"/>
    <w:rsid w:val="004B3EDF"/>
    <w:rsid w:val="004B4346"/>
    <w:rsid w:val="004B645E"/>
    <w:rsid w:val="004B6671"/>
    <w:rsid w:val="004B670B"/>
    <w:rsid w:val="004B7011"/>
    <w:rsid w:val="004B79BE"/>
    <w:rsid w:val="004B7FD7"/>
    <w:rsid w:val="004C0799"/>
    <w:rsid w:val="004C09C8"/>
    <w:rsid w:val="004C11B9"/>
    <w:rsid w:val="004C139F"/>
    <w:rsid w:val="004C16C7"/>
    <w:rsid w:val="004C1A04"/>
    <w:rsid w:val="004C2511"/>
    <w:rsid w:val="004C2853"/>
    <w:rsid w:val="004C2BB4"/>
    <w:rsid w:val="004C3B02"/>
    <w:rsid w:val="004C3C1C"/>
    <w:rsid w:val="004C3E4F"/>
    <w:rsid w:val="004C43C9"/>
    <w:rsid w:val="004C4418"/>
    <w:rsid w:val="004C45FA"/>
    <w:rsid w:val="004C4707"/>
    <w:rsid w:val="004C4BB7"/>
    <w:rsid w:val="004C4E80"/>
    <w:rsid w:val="004C52E8"/>
    <w:rsid w:val="004C55E8"/>
    <w:rsid w:val="004C6471"/>
    <w:rsid w:val="004C64EB"/>
    <w:rsid w:val="004C6779"/>
    <w:rsid w:val="004C7106"/>
    <w:rsid w:val="004C7156"/>
    <w:rsid w:val="004C75B3"/>
    <w:rsid w:val="004C7D54"/>
    <w:rsid w:val="004D069A"/>
    <w:rsid w:val="004D0CC4"/>
    <w:rsid w:val="004D0E43"/>
    <w:rsid w:val="004D11A8"/>
    <w:rsid w:val="004D307E"/>
    <w:rsid w:val="004D3254"/>
    <w:rsid w:val="004D571F"/>
    <w:rsid w:val="004D6095"/>
    <w:rsid w:val="004D62C0"/>
    <w:rsid w:val="004D64C0"/>
    <w:rsid w:val="004D66AD"/>
    <w:rsid w:val="004D6995"/>
    <w:rsid w:val="004D69DF"/>
    <w:rsid w:val="004E07A1"/>
    <w:rsid w:val="004E0B36"/>
    <w:rsid w:val="004E1729"/>
    <w:rsid w:val="004E1B3C"/>
    <w:rsid w:val="004E1CA8"/>
    <w:rsid w:val="004E1EF4"/>
    <w:rsid w:val="004E32AA"/>
    <w:rsid w:val="004E34A8"/>
    <w:rsid w:val="004E3526"/>
    <w:rsid w:val="004E3959"/>
    <w:rsid w:val="004E3F86"/>
    <w:rsid w:val="004E4252"/>
    <w:rsid w:val="004E46F9"/>
    <w:rsid w:val="004E4AD1"/>
    <w:rsid w:val="004E52B6"/>
    <w:rsid w:val="004E5659"/>
    <w:rsid w:val="004E655C"/>
    <w:rsid w:val="004E6A11"/>
    <w:rsid w:val="004E6E5F"/>
    <w:rsid w:val="004E77E1"/>
    <w:rsid w:val="004E7898"/>
    <w:rsid w:val="004E7C8B"/>
    <w:rsid w:val="004F0AB7"/>
    <w:rsid w:val="004F0C01"/>
    <w:rsid w:val="004F119E"/>
    <w:rsid w:val="004F15D9"/>
    <w:rsid w:val="004F1B07"/>
    <w:rsid w:val="004F23DB"/>
    <w:rsid w:val="004F26AD"/>
    <w:rsid w:val="004F271C"/>
    <w:rsid w:val="004F3291"/>
    <w:rsid w:val="004F32D0"/>
    <w:rsid w:val="004F342E"/>
    <w:rsid w:val="004F3AB3"/>
    <w:rsid w:val="004F483D"/>
    <w:rsid w:val="004F4929"/>
    <w:rsid w:val="004F5285"/>
    <w:rsid w:val="004F5CDC"/>
    <w:rsid w:val="004F60C9"/>
    <w:rsid w:val="004F662C"/>
    <w:rsid w:val="004F6671"/>
    <w:rsid w:val="004F7010"/>
    <w:rsid w:val="004F76B0"/>
    <w:rsid w:val="004F78C4"/>
    <w:rsid w:val="004F7CBE"/>
    <w:rsid w:val="00500E29"/>
    <w:rsid w:val="00501811"/>
    <w:rsid w:val="00501E92"/>
    <w:rsid w:val="005025C7"/>
    <w:rsid w:val="005039C0"/>
    <w:rsid w:val="00504B42"/>
    <w:rsid w:val="0050566F"/>
    <w:rsid w:val="0050677F"/>
    <w:rsid w:val="00506DB2"/>
    <w:rsid w:val="00507EFE"/>
    <w:rsid w:val="0051074E"/>
    <w:rsid w:val="00510856"/>
    <w:rsid w:val="00510870"/>
    <w:rsid w:val="00510E03"/>
    <w:rsid w:val="00511301"/>
    <w:rsid w:val="0051177C"/>
    <w:rsid w:val="00511AE4"/>
    <w:rsid w:val="0051262E"/>
    <w:rsid w:val="00512A53"/>
    <w:rsid w:val="00512D03"/>
    <w:rsid w:val="00513834"/>
    <w:rsid w:val="005139DC"/>
    <w:rsid w:val="00513D8C"/>
    <w:rsid w:val="0051421A"/>
    <w:rsid w:val="005142CE"/>
    <w:rsid w:val="0051495F"/>
    <w:rsid w:val="005149AC"/>
    <w:rsid w:val="00514AF8"/>
    <w:rsid w:val="00514C55"/>
    <w:rsid w:val="00514D02"/>
    <w:rsid w:val="005159EC"/>
    <w:rsid w:val="00515D31"/>
    <w:rsid w:val="00515E8C"/>
    <w:rsid w:val="005163AF"/>
    <w:rsid w:val="00516890"/>
    <w:rsid w:val="00516A4D"/>
    <w:rsid w:val="00516F68"/>
    <w:rsid w:val="0051760C"/>
    <w:rsid w:val="00517649"/>
    <w:rsid w:val="00520545"/>
    <w:rsid w:val="005205DF"/>
    <w:rsid w:val="00520C3C"/>
    <w:rsid w:val="005212DF"/>
    <w:rsid w:val="00521628"/>
    <w:rsid w:val="005216ED"/>
    <w:rsid w:val="00521A59"/>
    <w:rsid w:val="00521EFA"/>
    <w:rsid w:val="0052214D"/>
    <w:rsid w:val="005222B0"/>
    <w:rsid w:val="00524986"/>
    <w:rsid w:val="00524DB9"/>
    <w:rsid w:val="0052514C"/>
    <w:rsid w:val="00525F6D"/>
    <w:rsid w:val="00526368"/>
    <w:rsid w:val="0052655F"/>
    <w:rsid w:val="0052661E"/>
    <w:rsid w:val="00526627"/>
    <w:rsid w:val="00526694"/>
    <w:rsid w:val="00526B00"/>
    <w:rsid w:val="00526DCA"/>
    <w:rsid w:val="00527EF6"/>
    <w:rsid w:val="005302F1"/>
    <w:rsid w:val="00531016"/>
    <w:rsid w:val="00531CE5"/>
    <w:rsid w:val="00531F4E"/>
    <w:rsid w:val="00532218"/>
    <w:rsid w:val="00533849"/>
    <w:rsid w:val="00533D56"/>
    <w:rsid w:val="0053468B"/>
    <w:rsid w:val="0053588F"/>
    <w:rsid w:val="00535912"/>
    <w:rsid w:val="00536373"/>
    <w:rsid w:val="005366AD"/>
    <w:rsid w:val="005367E7"/>
    <w:rsid w:val="00537A4A"/>
    <w:rsid w:val="00537D86"/>
    <w:rsid w:val="00540005"/>
    <w:rsid w:val="00540525"/>
    <w:rsid w:val="00540926"/>
    <w:rsid w:val="00540EA8"/>
    <w:rsid w:val="005412A2"/>
    <w:rsid w:val="005427A7"/>
    <w:rsid w:val="00542B22"/>
    <w:rsid w:val="00542CDB"/>
    <w:rsid w:val="00542D61"/>
    <w:rsid w:val="005432FD"/>
    <w:rsid w:val="00543B6B"/>
    <w:rsid w:val="00543B75"/>
    <w:rsid w:val="00544041"/>
    <w:rsid w:val="0054456E"/>
    <w:rsid w:val="005449D0"/>
    <w:rsid w:val="00544F4D"/>
    <w:rsid w:val="005450E4"/>
    <w:rsid w:val="00545B97"/>
    <w:rsid w:val="00546575"/>
    <w:rsid w:val="0054675F"/>
    <w:rsid w:val="0054712E"/>
    <w:rsid w:val="00547577"/>
    <w:rsid w:val="005475D9"/>
    <w:rsid w:val="00547F03"/>
    <w:rsid w:val="0055043F"/>
    <w:rsid w:val="00550ECE"/>
    <w:rsid w:val="005510A5"/>
    <w:rsid w:val="005515F8"/>
    <w:rsid w:val="00552326"/>
    <w:rsid w:val="005526E1"/>
    <w:rsid w:val="00553368"/>
    <w:rsid w:val="0055356B"/>
    <w:rsid w:val="00553691"/>
    <w:rsid w:val="005538D4"/>
    <w:rsid w:val="00553B9B"/>
    <w:rsid w:val="0055407F"/>
    <w:rsid w:val="005543AF"/>
    <w:rsid w:val="00554BD4"/>
    <w:rsid w:val="0055572B"/>
    <w:rsid w:val="00555A84"/>
    <w:rsid w:val="00555CE3"/>
    <w:rsid w:val="0055603D"/>
    <w:rsid w:val="00556978"/>
    <w:rsid w:val="00557080"/>
    <w:rsid w:val="005600CD"/>
    <w:rsid w:val="00560E60"/>
    <w:rsid w:val="00561255"/>
    <w:rsid w:val="005616BB"/>
    <w:rsid w:val="005617E6"/>
    <w:rsid w:val="00562117"/>
    <w:rsid w:val="0056298C"/>
    <w:rsid w:val="00562E42"/>
    <w:rsid w:val="0056402C"/>
    <w:rsid w:val="0056405F"/>
    <w:rsid w:val="005641C9"/>
    <w:rsid w:val="00564672"/>
    <w:rsid w:val="0056494C"/>
    <w:rsid w:val="00564DDB"/>
    <w:rsid w:val="00565338"/>
    <w:rsid w:val="005655BE"/>
    <w:rsid w:val="00565921"/>
    <w:rsid w:val="00565C1E"/>
    <w:rsid w:val="005660D0"/>
    <w:rsid w:val="00566380"/>
    <w:rsid w:val="0056658C"/>
    <w:rsid w:val="00567C36"/>
    <w:rsid w:val="00567D41"/>
    <w:rsid w:val="005701EF"/>
    <w:rsid w:val="00570551"/>
    <w:rsid w:val="005705C6"/>
    <w:rsid w:val="0057101D"/>
    <w:rsid w:val="00571527"/>
    <w:rsid w:val="00571CCC"/>
    <w:rsid w:val="005724D3"/>
    <w:rsid w:val="005727FC"/>
    <w:rsid w:val="00572C2A"/>
    <w:rsid w:val="00572F6A"/>
    <w:rsid w:val="005737B6"/>
    <w:rsid w:val="00573B2C"/>
    <w:rsid w:val="00573B96"/>
    <w:rsid w:val="005740E5"/>
    <w:rsid w:val="005742BF"/>
    <w:rsid w:val="00574506"/>
    <w:rsid w:val="00574D31"/>
    <w:rsid w:val="00575CBD"/>
    <w:rsid w:val="00576948"/>
    <w:rsid w:val="0057697F"/>
    <w:rsid w:val="005807A8"/>
    <w:rsid w:val="00580D15"/>
    <w:rsid w:val="00581587"/>
    <w:rsid w:val="00581A2E"/>
    <w:rsid w:val="00582613"/>
    <w:rsid w:val="005826D9"/>
    <w:rsid w:val="0058344E"/>
    <w:rsid w:val="00584C51"/>
    <w:rsid w:val="00584F97"/>
    <w:rsid w:val="00585165"/>
    <w:rsid w:val="005856B3"/>
    <w:rsid w:val="00585AA7"/>
    <w:rsid w:val="00587662"/>
    <w:rsid w:val="00587B1E"/>
    <w:rsid w:val="00587E84"/>
    <w:rsid w:val="00590174"/>
    <w:rsid w:val="005913E6"/>
    <w:rsid w:val="00592125"/>
    <w:rsid w:val="005939F9"/>
    <w:rsid w:val="005944ED"/>
    <w:rsid w:val="005956A6"/>
    <w:rsid w:val="0059574D"/>
    <w:rsid w:val="005964D7"/>
    <w:rsid w:val="00596B5B"/>
    <w:rsid w:val="00596D61"/>
    <w:rsid w:val="00596E0E"/>
    <w:rsid w:val="00596FB6"/>
    <w:rsid w:val="00597018"/>
    <w:rsid w:val="00597C02"/>
    <w:rsid w:val="00597C06"/>
    <w:rsid w:val="005A0046"/>
    <w:rsid w:val="005A030B"/>
    <w:rsid w:val="005A0521"/>
    <w:rsid w:val="005A0649"/>
    <w:rsid w:val="005A08C1"/>
    <w:rsid w:val="005A0993"/>
    <w:rsid w:val="005A0E01"/>
    <w:rsid w:val="005A1C6D"/>
    <w:rsid w:val="005A1EA5"/>
    <w:rsid w:val="005A1FA7"/>
    <w:rsid w:val="005A2CE7"/>
    <w:rsid w:val="005A2F92"/>
    <w:rsid w:val="005A40C1"/>
    <w:rsid w:val="005A43E7"/>
    <w:rsid w:val="005A4480"/>
    <w:rsid w:val="005A45B1"/>
    <w:rsid w:val="005A4D9F"/>
    <w:rsid w:val="005A6057"/>
    <w:rsid w:val="005A60E9"/>
    <w:rsid w:val="005A66BC"/>
    <w:rsid w:val="005A73E7"/>
    <w:rsid w:val="005A77E1"/>
    <w:rsid w:val="005A7E33"/>
    <w:rsid w:val="005B03D3"/>
    <w:rsid w:val="005B10CC"/>
    <w:rsid w:val="005B12BF"/>
    <w:rsid w:val="005B265D"/>
    <w:rsid w:val="005B2942"/>
    <w:rsid w:val="005B32C9"/>
    <w:rsid w:val="005B3971"/>
    <w:rsid w:val="005B4288"/>
    <w:rsid w:val="005B4AA2"/>
    <w:rsid w:val="005B4CD9"/>
    <w:rsid w:val="005B4E14"/>
    <w:rsid w:val="005B52A0"/>
    <w:rsid w:val="005B538B"/>
    <w:rsid w:val="005B5434"/>
    <w:rsid w:val="005B5555"/>
    <w:rsid w:val="005B643F"/>
    <w:rsid w:val="005B67F3"/>
    <w:rsid w:val="005B6B8A"/>
    <w:rsid w:val="005B6FFD"/>
    <w:rsid w:val="005B7199"/>
    <w:rsid w:val="005B72D5"/>
    <w:rsid w:val="005C0894"/>
    <w:rsid w:val="005C16D1"/>
    <w:rsid w:val="005C196C"/>
    <w:rsid w:val="005C27C8"/>
    <w:rsid w:val="005C2DFB"/>
    <w:rsid w:val="005C32BE"/>
    <w:rsid w:val="005C3756"/>
    <w:rsid w:val="005C3DF3"/>
    <w:rsid w:val="005C45A8"/>
    <w:rsid w:val="005C49D1"/>
    <w:rsid w:val="005C5501"/>
    <w:rsid w:val="005C5AEA"/>
    <w:rsid w:val="005C629E"/>
    <w:rsid w:val="005C6703"/>
    <w:rsid w:val="005C75AF"/>
    <w:rsid w:val="005C7AFE"/>
    <w:rsid w:val="005D01B4"/>
    <w:rsid w:val="005D0786"/>
    <w:rsid w:val="005D10B3"/>
    <w:rsid w:val="005D158D"/>
    <w:rsid w:val="005D1DD0"/>
    <w:rsid w:val="005D1F37"/>
    <w:rsid w:val="005D1F9B"/>
    <w:rsid w:val="005D22BC"/>
    <w:rsid w:val="005D27D9"/>
    <w:rsid w:val="005D34E0"/>
    <w:rsid w:val="005D3A5F"/>
    <w:rsid w:val="005D3E38"/>
    <w:rsid w:val="005D43B1"/>
    <w:rsid w:val="005D4BBF"/>
    <w:rsid w:val="005D595C"/>
    <w:rsid w:val="005D6215"/>
    <w:rsid w:val="005D647C"/>
    <w:rsid w:val="005D6CE0"/>
    <w:rsid w:val="005D73A6"/>
    <w:rsid w:val="005D743E"/>
    <w:rsid w:val="005D7918"/>
    <w:rsid w:val="005E0835"/>
    <w:rsid w:val="005E10A5"/>
    <w:rsid w:val="005E1AEC"/>
    <w:rsid w:val="005E21DE"/>
    <w:rsid w:val="005E24C2"/>
    <w:rsid w:val="005E34E9"/>
    <w:rsid w:val="005E35AB"/>
    <w:rsid w:val="005E3E29"/>
    <w:rsid w:val="005E40B7"/>
    <w:rsid w:val="005E57D8"/>
    <w:rsid w:val="005E5A8E"/>
    <w:rsid w:val="005E625F"/>
    <w:rsid w:val="005E68C5"/>
    <w:rsid w:val="005E7E9F"/>
    <w:rsid w:val="005F06CD"/>
    <w:rsid w:val="005F1439"/>
    <w:rsid w:val="005F21B0"/>
    <w:rsid w:val="005F2E99"/>
    <w:rsid w:val="005F30F1"/>
    <w:rsid w:val="005F3103"/>
    <w:rsid w:val="005F3144"/>
    <w:rsid w:val="005F33B2"/>
    <w:rsid w:val="005F4D3D"/>
    <w:rsid w:val="005F514E"/>
    <w:rsid w:val="005F5B10"/>
    <w:rsid w:val="005F6CAB"/>
    <w:rsid w:val="005F760D"/>
    <w:rsid w:val="0060049C"/>
    <w:rsid w:val="0060129A"/>
    <w:rsid w:val="0060161C"/>
    <w:rsid w:val="0060244C"/>
    <w:rsid w:val="006024B2"/>
    <w:rsid w:val="0060270D"/>
    <w:rsid w:val="00602B07"/>
    <w:rsid w:val="00603988"/>
    <w:rsid w:val="00603BB4"/>
    <w:rsid w:val="00604155"/>
    <w:rsid w:val="0060429C"/>
    <w:rsid w:val="006052E7"/>
    <w:rsid w:val="006055AB"/>
    <w:rsid w:val="0060623B"/>
    <w:rsid w:val="00606D46"/>
    <w:rsid w:val="006100FC"/>
    <w:rsid w:val="00610274"/>
    <w:rsid w:val="00610980"/>
    <w:rsid w:val="00610A95"/>
    <w:rsid w:val="006115F0"/>
    <w:rsid w:val="00611CEF"/>
    <w:rsid w:val="00613401"/>
    <w:rsid w:val="00613C62"/>
    <w:rsid w:val="00613F4F"/>
    <w:rsid w:val="00614AA2"/>
    <w:rsid w:val="00614F26"/>
    <w:rsid w:val="0061516D"/>
    <w:rsid w:val="00615B10"/>
    <w:rsid w:val="006165FB"/>
    <w:rsid w:val="006168EB"/>
    <w:rsid w:val="00616DEB"/>
    <w:rsid w:val="00617563"/>
    <w:rsid w:val="00620CF2"/>
    <w:rsid w:val="00620DE2"/>
    <w:rsid w:val="00621BB2"/>
    <w:rsid w:val="006224BE"/>
    <w:rsid w:val="00624255"/>
    <w:rsid w:val="00624E9E"/>
    <w:rsid w:val="0062573B"/>
    <w:rsid w:val="0062633E"/>
    <w:rsid w:val="006263D3"/>
    <w:rsid w:val="00626825"/>
    <w:rsid w:val="0062694E"/>
    <w:rsid w:val="00626EB0"/>
    <w:rsid w:val="00630030"/>
    <w:rsid w:val="0063016D"/>
    <w:rsid w:val="00630426"/>
    <w:rsid w:val="0063057C"/>
    <w:rsid w:val="00631753"/>
    <w:rsid w:val="006317B4"/>
    <w:rsid w:val="00632B22"/>
    <w:rsid w:val="0063355F"/>
    <w:rsid w:val="00633CAC"/>
    <w:rsid w:val="006349BE"/>
    <w:rsid w:val="00635456"/>
    <w:rsid w:val="0063561E"/>
    <w:rsid w:val="006359FE"/>
    <w:rsid w:val="00635C2F"/>
    <w:rsid w:val="00635DA1"/>
    <w:rsid w:val="006364F4"/>
    <w:rsid w:val="00636EB3"/>
    <w:rsid w:val="00637679"/>
    <w:rsid w:val="006377A9"/>
    <w:rsid w:val="00637878"/>
    <w:rsid w:val="0063788D"/>
    <w:rsid w:val="00637CA7"/>
    <w:rsid w:val="00637F6F"/>
    <w:rsid w:val="00640056"/>
    <w:rsid w:val="00640E61"/>
    <w:rsid w:val="0064180A"/>
    <w:rsid w:val="006424D3"/>
    <w:rsid w:val="00642669"/>
    <w:rsid w:val="00642A8B"/>
    <w:rsid w:val="00642C4C"/>
    <w:rsid w:val="006439D3"/>
    <w:rsid w:val="00644D02"/>
    <w:rsid w:val="006451AD"/>
    <w:rsid w:val="0064523C"/>
    <w:rsid w:val="0064573B"/>
    <w:rsid w:val="006468ED"/>
    <w:rsid w:val="00647DF7"/>
    <w:rsid w:val="00650569"/>
    <w:rsid w:val="0065060E"/>
    <w:rsid w:val="006512F6"/>
    <w:rsid w:val="00651EDD"/>
    <w:rsid w:val="0065378D"/>
    <w:rsid w:val="006538FC"/>
    <w:rsid w:val="00653B0F"/>
    <w:rsid w:val="0065439E"/>
    <w:rsid w:val="00655007"/>
    <w:rsid w:val="006557CE"/>
    <w:rsid w:val="0065599C"/>
    <w:rsid w:val="00655B5C"/>
    <w:rsid w:val="00656FD1"/>
    <w:rsid w:val="00657129"/>
    <w:rsid w:val="00657595"/>
    <w:rsid w:val="006575BC"/>
    <w:rsid w:val="00657695"/>
    <w:rsid w:val="00657B69"/>
    <w:rsid w:val="006605AE"/>
    <w:rsid w:val="006609B3"/>
    <w:rsid w:val="00660E52"/>
    <w:rsid w:val="00661232"/>
    <w:rsid w:val="0066148E"/>
    <w:rsid w:val="006617FD"/>
    <w:rsid w:val="00661B3F"/>
    <w:rsid w:val="0066218F"/>
    <w:rsid w:val="00662416"/>
    <w:rsid w:val="006625F9"/>
    <w:rsid w:val="00663131"/>
    <w:rsid w:val="006633E3"/>
    <w:rsid w:val="00663A37"/>
    <w:rsid w:val="00663B72"/>
    <w:rsid w:val="00664BB4"/>
    <w:rsid w:val="00665519"/>
    <w:rsid w:val="00665A8F"/>
    <w:rsid w:val="00666458"/>
    <w:rsid w:val="00666B9D"/>
    <w:rsid w:val="00667860"/>
    <w:rsid w:val="00667DCF"/>
    <w:rsid w:val="00671277"/>
    <w:rsid w:val="0067157E"/>
    <w:rsid w:val="00672247"/>
    <w:rsid w:val="006723F9"/>
    <w:rsid w:val="006726AD"/>
    <w:rsid w:val="006728CE"/>
    <w:rsid w:val="00672989"/>
    <w:rsid w:val="00672DF2"/>
    <w:rsid w:val="00672E0C"/>
    <w:rsid w:val="00673EAA"/>
    <w:rsid w:val="0067405E"/>
    <w:rsid w:val="00674108"/>
    <w:rsid w:val="006748F5"/>
    <w:rsid w:val="00675992"/>
    <w:rsid w:val="00675B61"/>
    <w:rsid w:val="00675D66"/>
    <w:rsid w:val="006761F3"/>
    <w:rsid w:val="00676D1D"/>
    <w:rsid w:val="00676D91"/>
    <w:rsid w:val="006771CD"/>
    <w:rsid w:val="00680659"/>
    <w:rsid w:val="00680D15"/>
    <w:rsid w:val="0068141C"/>
    <w:rsid w:val="00681544"/>
    <w:rsid w:val="006818D9"/>
    <w:rsid w:val="00682EA1"/>
    <w:rsid w:val="00682EE2"/>
    <w:rsid w:val="006834AD"/>
    <w:rsid w:val="00683670"/>
    <w:rsid w:val="006838C7"/>
    <w:rsid w:val="00685230"/>
    <w:rsid w:val="0068532F"/>
    <w:rsid w:val="00685706"/>
    <w:rsid w:val="0068643A"/>
    <w:rsid w:val="00686CD9"/>
    <w:rsid w:val="0068751B"/>
    <w:rsid w:val="00687F16"/>
    <w:rsid w:val="00690405"/>
    <w:rsid w:val="00690944"/>
    <w:rsid w:val="006914D2"/>
    <w:rsid w:val="00691C06"/>
    <w:rsid w:val="006922F5"/>
    <w:rsid w:val="006926B5"/>
    <w:rsid w:val="00692B0E"/>
    <w:rsid w:val="00692B84"/>
    <w:rsid w:val="00692DBD"/>
    <w:rsid w:val="00692DF3"/>
    <w:rsid w:val="006930D6"/>
    <w:rsid w:val="00693C6F"/>
    <w:rsid w:val="0069448A"/>
    <w:rsid w:val="00694E9A"/>
    <w:rsid w:val="006950D6"/>
    <w:rsid w:val="00696A11"/>
    <w:rsid w:val="00696FD6"/>
    <w:rsid w:val="00697B3A"/>
    <w:rsid w:val="006A04A9"/>
    <w:rsid w:val="006A1D05"/>
    <w:rsid w:val="006A1D57"/>
    <w:rsid w:val="006A281D"/>
    <w:rsid w:val="006A2A82"/>
    <w:rsid w:val="006A3246"/>
    <w:rsid w:val="006A3A42"/>
    <w:rsid w:val="006A4224"/>
    <w:rsid w:val="006A53BF"/>
    <w:rsid w:val="006A56F0"/>
    <w:rsid w:val="006A585F"/>
    <w:rsid w:val="006A60B3"/>
    <w:rsid w:val="006A66EC"/>
    <w:rsid w:val="006A67C2"/>
    <w:rsid w:val="006A6ACE"/>
    <w:rsid w:val="006A721D"/>
    <w:rsid w:val="006A777E"/>
    <w:rsid w:val="006A7BEE"/>
    <w:rsid w:val="006A7CE2"/>
    <w:rsid w:val="006A7E3C"/>
    <w:rsid w:val="006B11C6"/>
    <w:rsid w:val="006B14BE"/>
    <w:rsid w:val="006B279D"/>
    <w:rsid w:val="006B3A5C"/>
    <w:rsid w:val="006B4CA4"/>
    <w:rsid w:val="006B6498"/>
    <w:rsid w:val="006B64AA"/>
    <w:rsid w:val="006B6868"/>
    <w:rsid w:val="006B68FD"/>
    <w:rsid w:val="006B7074"/>
    <w:rsid w:val="006B717E"/>
    <w:rsid w:val="006B7A23"/>
    <w:rsid w:val="006B7E1D"/>
    <w:rsid w:val="006C14E5"/>
    <w:rsid w:val="006C167A"/>
    <w:rsid w:val="006C1705"/>
    <w:rsid w:val="006C2214"/>
    <w:rsid w:val="006C2E7C"/>
    <w:rsid w:val="006C372D"/>
    <w:rsid w:val="006C3DEF"/>
    <w:rsid w:val="006C410C"/>
    <w:rsid w:val="006C41F6"/>
    <w:rsid w:val="006C48DE"/>
    <w:rsid w:val="006C5074"/>
    <w:rsid w:val="006C52D3"/>
    <w:rsid w:val="006C55C2"/>
    <w:rsid w:val="006C55D7"/>
    <w:rsid w:val="006C698A"/>
    <w:rsid w:val="006C6C41"/>
    <w:rsid w:val="006C746A"/>
    <w:rsid w:val="006C7E69"/>
    <w:rsid w:val="006D0A02"/>
    <w:rsid w:val="006D1335"/>
    <w:rsid w:val="006D1470"/>
    <w:rsid w:val="006D1BA8"/>
    <w:rsid w:val="006D1EC8"/>
    <w:rsid w:val="006D2466"/>
    <w:rsid w:val="006D2D2B"/>
    <w:rsid w:val="006D3F59"/>
    <w:rsid w:val="006D41A6"/>
    <w:rsid w:val="006D438A"/>
    <w:rsid w:val="006D4CBD"/>
    <w:rsid w:val="006D6830"/>
    <w:rsid w:val="006D685C"/>
    <w:rsid w:val="006D6CD1"/>
    <w:rsid w:val="006D719C"/>
    <w:rsid w:val="006D7352"/>
    <w:rsid w:val="006D786D"/>
    <w:rsid w:val="006D7DF3"/>
    <w:rsid w:val="006E02F8"/>
    <w:rsid w:val="006E1158"/>
    <w:rsid w:val="006E15A2"/>
    <w:rsid w:val="006E20F9"/>
    <w:rsid w:val="006E21BF"/>
    <w:rsid w:val="006E21FF"/>
    <w:rsid w:val="006E2C7A"/>
    <w:rsid w:val="006E3088"/>
    <w:rsid w:val="006E3F38"/>
    <w:rsid w:val="006E4593"/>
    <w:rsid w:val="006E47FD"/>
    <w:rsid w:val="006E4B54"/>
    <w:rsid w:val="006E4C8D"/>
    <w:rsid w:val="006E5987"/>
    <w:rsid w:val="006E59C4"/>
    <w:rsid w:val="006E5CBF"/>
    <w:rsid w:val="006E5DBC"/>
    <w:rsid w:val="006E5E9F"/>
    <w:rsid w:val="006E6076"/>
    <w:rsid w:val="006E6296"/>
    <w:rsid w:val="006E6DD7"/>
    <w:rsid w:val="006E78FE"/>
    <w:rsid w:val="006E7985"/>
    <w:rsid w:val="006E7F23"/>
    <w:rsid w:val="006F0222"/>
    <w:rsid w:val="006F02CE"/>
    <w:rsid w:val="006F04A3"/>
    <w:rsid w:val="006F0EA2"/>
    <w:rsid w:val="006F114C"/>
    <w:rsid w:val="006F1A99"/>
    <w:rsid w:val="006F1D3D"/>
    <w:rsid w:val="006F22DE"/>
    <w:rsid w:val="006F2497"/>
    <w:rsid w:val="006F3394"/>
    <w:rsid w:val="006F375E"/>
    <w:rsid w:val="006F3EFF"/>
    <w:rsid w:val="006F428B"/>
    <w:rsid w:val="006F48A5"/>
    <w:rsid w:val="006F4C9E"/>
    <w:rsid w:val="006F52DF"/>
    <w:rsid w:val="006F6768"/>
    <w:rsid w:val="006F676C"/>
    <w:rsid w:val="006F6AB6"/>
    <w:rsid w:val="006F79C9"/>
    <w:rsid w:val="0070042A"/>
    <w:rsid w:val="00700C90"/>
    <w:rsid w:val="00701F34"/>
    <w:rsid w:val="007031A2"/>
    <w:rsid w:val="00703D4D"/>
    <w:rsid w:val="00703E25"/>
    <w:rsid w:val="00703E4D"/>
    <w:rsid w:val="00703F3A"/>
    <w:rsid w:val="00704693"/>
    <w:rsid w:val="0070491A"/>
    <w:rsid w:val="00704AB9"/>
    <w:rsid w:val="00705355"/>
    <w:rsid w:val="007054D8"/>
    <w:rsid w:val="00705F10"/>
    <w:rsid w:val="00706383"/>
    <w:rsid w:val="00706D47"/>
    <w:rsid w:val="007070E1"/>
    <w:rsid w:val="00707E9C"/>
    <w:rsid w:val="00711916"/>
    <w:rsid w:val="00711EE2"/>
    <w:rsid w:val="007123B7"/>
    <w:rsid w:val="00712616"/>
    <w:rsid w:val="00712D71"/>
    <w:rsid w:val="007130DA"/>
    <w:rsid w:val="00713380"/>
    <w:rsid w:val="00713DD5"/>
    <w:rsid w:val="007143A2"/>
    <w:rsid w:val="007147B9"/>
    <w:rsid w:val="00714CA9"/>
    <w:rsid w:val="007158FD"/>
    <w:rsid w:val="0071601C"/>
    <w:rsid w:val="007167AE"/>
    <w:rsid w:val="00717CAD"/>
    <w:rsid w:val="00717F32"/>
    <w:rsid w:val="00717FD6"/>
    <w:rsid w:val="0072057C"/>
    <w:rsid w:val="00720D8F"/>
    <w:rsid w:val="0072149D"/>
    <w:rsid w:val="007214D9"/>
    <w:rsid w:val="007218F7"/>
    <w:rsid w:val="0072232C"/>
    <w:rsid w:val="007229FC"/>
    <w:rsid w:val="00722CAC"/>
    <w:rsid w:val="0072320F"/>
    <w:rsid w:val="00723C6D"/>
    <w:rsid w:val="0072514D"/>
    <w:rsid w:val="00725C5A"/>
    <w:rsid w:val="007263E6"/>
    <w:rsid w:val="00726486"/>
    <w:rsid w:val="007264EA"/>
    <w:rsid w:val="00726D09"/>
    <w:rsid w:val="00726F49"/>
    <w:rsid w:val="0073008C"/>
    <w:rsid w:val="00730102"/>
    <w:rsid w:val="007304D0"/>
    <w:rsid w:val="00731482"/>
    <w:rsid w:val="00731C20"/>
    <w:rsid w:val="007327E4"/>
    <w:rsid w:val="00732A2C"/>
    <w:rsid w:val="00732AB3"/>
    <w:rsid w:val="007332CF"/>
    <w:rsid w:val="007332E1"/>
    <w:rsid w:val="00733597"/>
    <w:rsid w:val="007337A8"/>
    <w:rsid w:val="0073386C"/>
    <w:rsid w:val="007338DB"/>
    <w:rsid w:val="0073427B"/>
    <w:rsid w:val="00734855"/>
    <w:rsid w:val="0073486B"/>
    <w:rsid w:val="00734FB5"/>
    <w:rsid w:val="00735577"/>
    <w:rsid w:val="00735D93"/>
    <w:rsid w:val="00736506"/>
    <w:rsid w:val="0073686C"/>
    <w:rsid w:val="00736F47"/>
    <w:rsid w:val="00736F6B"/>
    <w:rsid w:val="007373BE"/>
    <w:rsid w:val="007377CE"/>
    <w:rsid w:val="00737EBC"/>
    <w:rsid w:val="0074019C"/>
    <w:rsid w:val="007404B8"/>
    <w:rsid w:val="007406B0"/>
    <w:rsid w:val="00740ACC"/>
    <w:rsid w:val="00740DFE"/>
    <w:rsid w:val="007410C2"/>
    <w:rsid w:val="007411F0"/>
    <w:rsid w:val="0074208A"/>
    <w:rsid w:val="00742226"/>
    <w:rsid w:val="00743802"/>
    <w:rsid w:val="00743BCE"/>
    <w:rsid w:val="00744A98"/>
    <w:rsid w:val="00745A1C"/>
    <w:rsid w:val="007465DF"/>
    <w:rsid w:val="00746DD6"/>
    <w:rsid w:val="00746E60"/>
    <w:rsid w:val="00746FA8"/>
    <w:rsid w:val="007479B5"/>
    <w:rsid w:val="007501B9"/>
    <w:rsid w:val="007502BD"/>
    <w:rsid w:val="007514FB"/>
    <w:rsid w:val="00752886"/>
    <w:rsid w:val="007529D0"/>
    <w:rsid w:val="00752F56"/>
    <w:rsid w:val="00753070"/>
    <w:rsid w:val="0075340F"/>
    <w:rsid w:val="00753A5C"/>
    <w:rsid w:val="00753ACF"/>
    <w:rsid w:val="00754023"/>
    <w:rsid w:val="007542EB"/>
    <w:rsid w:val="00754A30"/>
    <w:rsid w:val="00754B8E"/>
    <w:rsid w:val="007550BD"/>
    <w:rsid w:val="007551E4"/>
    <w:rsid w:val="0075702C"/>
    <w:rsid w:val="0075725A"/>
    <w:rsid w:val="0075799A"/>
    <w:rsid w:val="00757CF8"/>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678E8"/>
    <w:rsid w:val="0077047B"/>
    <w:rsid w:val="00770D24"/>
    <w:rsid w:val="00770DC3"/>
    <w:rsid w:val="007712C7"/>
    <w:rsid w:val="00771E23"/>
    <w:rsid w:val="00772113"/>
    <w:rsid w:val="00773219"/>
    <w:rsid w:val="00773817"/>
    <w:rsid w:val="0077455A"/>
    <w:rsid w:val="00774AC3"/>
    <w:rsid w:val="00775B5A"/>
    <w:rsid w:val="00776581"/>
    <w:rsid w:val="007767B6"/>
    <w:rsid w:val="00777372"/>
    <w:rsid w:val="00777417"/>
    <w:rsid w:val="00777527"/>
    <w:rsid w:val="007775CA"/>
    <w:rsid w:val="00777824"/>
    <w:rsid w:val="007802A6"/>
    <w:rsid w:val="00780712"/>
    <w:rsid w:val="00780E83"/>
    <w:rsid w:val="00781849"/>
    <w:rsid w:val="00781B6F"/>
    <w:rsid w:val="007822D6"/>
    <w:rsid w:val="0078246A"/>
    <w:rsid w:val="007826F1"/>
    <w:rsid w:val="00782890"/>
    <w:rsid w:val="007833CB"/>
    <w:rsid w:val="00783618"/>
    <w:rsid w:val="00783B56"/>
    <w:rsid w:val="00785BC4"/>
    <w:rsid w:val="00785F67"/>
    <w:rsid w:val="00786897"/>
    <w:rsid w:val="00786CFF"/>
    <w:rsid w:val="00787121"/>
    <w:rsid w:val="007874B4"/>
    <w:rsid w:val="0078754B"/>
    <w:rsid w:val="0078755D"/>
    <w:rsid w:val="00787C97"/>
    <w:rsid w:val="00787E62"/>
    <w:rsid w:val="007906EE"/>
    <w:rsid w:val="00790F55"/>
    <w:rsid w:val="007912A7"/>
    <w:rsid w:val="00791490"/>
    <w:rsid w:val="00791BAD"/>
    <w:rsid w:val="00791C7A"/>
    <w:rsid w:val="00791D59"/>
    <w:rsid w:val="007926DC"/>
    <w:rsid w:val="00792808"/>
    <w:rsid w:val="00792D4C"/>
    <w:rsid w:val="007938AE"/>
    <w:rsid w:val="007939F7"/>
    <w:rsid w:val="00793B7C"/>
    <w:rsid w:val="00794312"/>
    <w:rsid w:val="007955D0"/>
    <w:rsid w:val="0079573E"/>
    <w:rsid w:val="0079583E"/>
    <w:rsid w:val="0079595C"/>
    <w:rsid w:val="00797413"/>
    <w:rsid w:val="007A061B"/>
    <w:rsid w:val="007A0763"/>
    <w:rsid w:val="007A0DC1"/>
    <w:rsid w:val="007A0F05"/>
    <w:rsid w:val="007A1065"/>
    <w:rsid w:val="007A1154"/>
    <w:rsid w:val="007A1512"/>
    <w:rsid w:val="007A1541"/>
    <w:rsid w:val="007A19E0"/>
    <w:rsid w:val="007A1AB6"/>
    <w:rsid w:val="007A23F8"/>
    <w:rsid w:val="007A2D52"/>
    <w:rsid w:val="007A31AE"/>
    <w:rsid w:val="007A3FFF"/>
    <w:rsid w:val="007A414E"/>
    <w:rsid w:val="007A4205"/>
    <w:rsid w:val="007A4C43"/>
    <w:rsid w:val="007A5010"/>
    <w:rsid w:val="007A5145"/>
    <w:rsid w:val="007A550A"/>
    <w:rsid w:val="007A5B2E"/>
    <w:rsid w:val="007A5C18"/>
    <w:rsid w:val="007A6D6F"/>
    <w:rsid w:val="007A7493"/>
    <w:rsid w:val="007B13B0"/>
    <w:rsid w:val="007B14F7"/>
    <w:rsid w:val="007B1765"/>
    <w:rsid w:val="007B24C4"/>
    <w:rsid w:val="007B2759"/>
    <w:rsid w:val="007B28CF"/>
    <w:rsid w:val="007B363B"/>
    <w:rsid w:val="007B389B"/>
    <w:rsid w:val="007B3F26"/>
    <w:rsid w:val="007B4263"/>
    <w:rsid w:val="007B4416"/>
    <w:rsid w:val="007B46BF"/>
    <w:rsid w:val="007B57CD"/>
    <w:rsid w:val="007B6263"/>
    <w:rsid w:val="007B6DD8"/>
    <w:rsid w:val="007B7C73"/>
    <w:rsid w:val="007C009D"/>
    <w:rsid w:val="007C05DC"/>
    <w:rsid w:val="007C0FF7"/>
    <w:rsid w:val="007C106E"/>
    <w:rsid w:val="007C14EE"/>
    <w:rsid w:val="007C17F1"/>
    <w:rsid w:val="007C2A09"/>
    <w:rsid w:val="007C2C98"/>
    <w:rsid w:val="007C3040"/>
    <w:rsid w:val="007C354C"/>
    <w:rsid w:val="007C35DF"/>
    <w:rsid w:val="007C3BA4"/>
    <w:rsid w:val="007C3BBF"/>
    <w:rsid w:val="007C4790"/>
    <w:rsid w:val="007C4E4F"/>
    <w:rsid w:val="007C5BB3"/>
    <w:rsid w:val="007C6783"/>
    <w:rsid w:val="007C7A2C"/>
    <w:rsid w:val="007C7C8B"/>
    <w:rsid w:val="007D0042"/>
    <w:rsid w:val="007D07B3"/>
    <w:rsid w:val="007D1B1E"/>
    <w:rsid w:val="007D1D80"/>
    <w:rsid w:val="007D1F12"/>
    <w:rsid w:val="007D2550"/>
    <w:rsid w:val="007D2646"/>
    <w:rsid w:val="007D2A1A"/>
    <w:rsid w:val="007D2B20"/>
    <w:rsid w:val="007D3117"/>
    <w:rsid w:val="007D31AD"/>
    <w:rsid w:val="007D4712"/>
    <w:rsid w:val="007D4AFF"/>
    <w:rsid w:val="007D5CDD"/>
    <w:rsid w:val="007D5D30"/>
    <w:rsid w:val="007D6294"/>
    <w:rsid w:val="007D6CF0"/>
    <w:rsid w:val="007D72D8"/>
    <w:rsid w:val="007D76FC"/>
    <w:rsid w:val="007D79C8"/>
    <w:rsid w:val="007D7C90"/>
    <w:rsid w:val="007E0B5E"/>
    <w:rsid w:val="007E0C9C"/>
    <w:rsid w:val="007E0FE3"/>
    <w:rsid w:val="007E18F8"/>
    <w:rsid w:val="007E205A"/>
    <w:rsid w:val="007E28D0"/>
    <w:rsid w:val="007E3575"/>
    <w:rsid w:val="007E38F1"/>
    <w:rsid w:val="007E3990"/>
    <w:rsid w:val="007E3C2E"/>
    <w:rsid w:val="007E3F8B"/>
    <w:rsid w:val="007E59B2"/>
    <w:rsid w:val="007E5F2B"/>
    <w:rsid w:val="007E6300"/>
    <w:rsid w:val="007E648C"/>
    <w:rsid w:val="007E660F"/>
    <w:rsid w:val="007E6FF3"/>
    <w:rsid w:val="007E72FE"/>
    <w:rsid w:val="007E781F"/>
    <w:rsid w:val="007E7E50"/>
    <w:rsid w:val="007F06D2"/>
    <w:rsid w:val="007F08CA"/>
    <w:rsid w:val="007F1049"/>
    <w:rsid w:val="007F120F"/>
    <w:rsid w:val="007F1538"/>
    <w:rsid w:val="007F15FE"/>
    <w:rsid w:val="007F1ABC"/>
    <w:rsid w:val="007F1B42"/>
    <w:rsid w:val="007F2134"/>
    <w:rsid w:val="007F28C6"/>
    <w:rsid w:val="007F2A29"/>
    <w:rsid w:val="007F2A92"/>
    <w:rsid w:val="007F3189"/>
    <w:rsid w:val="007F3D8B"/>
    <w:rsid w:val="007F3F9F"/>
    <w:rsid w:val="007F44CF"/>
    <w:rsid w:val="007F5589"/>
    <w:rsid w:val="007F56A8"/>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9F1"/>
    <w:rsid w:val="00802AC9"/>
    <w:rsid w:val="00803304"/>
    <w:rsid w:val="008035D5"/>
    <w:rsid w:val="008040CE"/>
    <w:rsid w:val="0080575D"/>
    <w:rsid w:val="008058D0"/>
    <w:rsid w:val="0080741D"/>
    <w:rsid w:val="008074C5"/>
    <w:rsid w:val="00807B2A"/>
    <w:rsid w:val="008101FB"/>
    <w:rsid w:val="008105EA"/>
    <w:rsid w:val="00810E97"/>
    <w:rsid w:val="0081123B"/>
    <w:rsid w:val="00811393"/>
    <w:rsid w:val="0081165E"/>
    <w:rsid w:val="00811BBC"/>
    <w:rsid w:val="00811E61"/>
    <w:rsid w:val="008121E2"/>
    <w:rsid w:val="00812323"/>
    <w:rsid w:val="008126F0"/>
    <w:rsid w:val="008140CE"/>
    <w:rsid w:val="008144C2"/>
    <w:rsid w:val="008147D1"/>
    <w:rsid w:val="008148F3"/>
    <w:rsid w:val="008151D2"/>
    <w:rsid w:val="00815716"/>
    <w:rsid w:val="00816C5A"/>
    <w:rsid w:val="00817344"/>
    <w:rsid w:val="00817678"/>
    <w:rsid w:val="008200BC"/>
    <w:rsid w:val="0082049D"/>
    <w:rsid w:val="008217BC"/>
    <w:rsid w:val="008228F5"/>
    <w:rsid w:val="00822BA1"/>
    <w:rsid w:val="00822DED"/>
    <w:rsid w:val="00822F57"/>
    <w:rsid w:val="008233DB"/>
    <w:rsid w:val="00823D90"/>
    <w:rsid w:val="00824570"/>
    <w:rsid w:val="008248B2"/>
    <w:rsid w:val="00824E58"/>
    <w:rsid w:val="008264C9"/>
    <w:rsid w:val="008270B7"/>
    <w:rsid w:val="008272B0"/>
    <w:rsid w:val="008275DC"/>
    <w:rsid w:val="0082778F"/>
    <w:rsid w:val="00827AF8"/>
    <w:rsid w:val="00827D60"/>
    <w:rsid w:val="00830042"/>
    <w:rsid w:val="0083028E"/>
    <w:rsid w:val="008302C5"/>
    <w:rsid w:val="00830D47"/>
    <w:rsid w:val="00831867"/>
    <w:rsid w:val="00831A8D"/>
    <w:rsid w:val="00831D6C"/>
    <w:rsid w:val="00832CDC"/>
    <w:rsid w:val="00832F6C"/>
    <w:rsid w:val="008341ED"/>
    <w:rsid w:val="008356D0"/>
    <w:rsid w:val="0083573A"/>
    <w:rsid w:val="008362CE"/>
    <w:rsid w:val="00837013"/>
    <w:rsid w:val="00837584"/>
    <w:rsid w:val="0083796C"/>
    <w:rsid w:val="00837E77"/>
    <w:rsid w:val="00841673"/>
    <w:rsid w:val="0084172B"/>
    <w:rsid w:val="00841963"/>
    <w:rsid w:val="00841C0F"/>
    <w:rsid w:val="00841F3F"/>
    <w:rsid w:val="00842EC4"/>
    <w:rsid w:val="00843163"/>
    <w:rsid w:val="008432F9"/>
    <w:rsid w:val="00843BC7"/>
    <w:rsid w:val="008455EF"/>
    <w:rsid w:val="008456E4"/>
    <w:rsid w:val="00845B52"/>
    <w:rsid w:val="0084615A"/>
    <w:rsid w:val="00846D3E"/>
    <w:rsid w:val="00846DE7"/>
    <w:rsid w:val="00847319"/>
    <w:rsid w:val="008477B9"/>
    <w:rsid w:val="0084786A"/>
    <w:rsid w:val="00847BC7"/>
    <w:rsid w:val="00847C27"/>
    <w:rsid w:val="008505FB"/>
    <w:rsid w:val="00851748"/>
    <w:rsid w:val="0085215C"/>
    <w:rsid w:val="00852339"/>
    <w:rsid w:val="008523FA"/>
    <w:rsid w:val="008525F9"/>
    <w:rsid w:val="008526E3"/>
    <w:rsid w:val="008529E6"/>
    <w:rsid w:val="00852CDD"/>
    <w:rsid w:val="008542A4"/>
    <w:rsid w:val="0085493E"/>
    <w:rsid w:val="008549DA"/>
    <w:rsid w:val="00855E11"/>
    <w:rsid w:val="008562D6"/>
    <w:rsid w:val="0085719C"/>
    <w:rsid w:val="008575E1"/>
    <w:rsid w:val="0085760A"/>
    <w:rsid w:val="008576D9"/>
    <w:rsid w:val="00857F5B"/>
    <w:rsid w:val="0086045A"/>
    <w:rsid w:val="00860CE1"/>
    <w:rsid w:val="0086170A"/>
    <w:rsid w:val="00861D35"/>
    <w:rsid w:val="00862113"/>
    <w:rsid w:val="008623CC"/>
    <w:rsid w:val="00862510"/>
    <w:rsid w:val="00863328"/>
    <w:rsid w:val="008633A8"/>
    <w:rsid w:val="008635E0"/>
    <w:rsid w:val="008637D5"/>
    <w:rsid w:val="00863820"/>
    <w:rsid w:val="0086401C"/>
    <w:rsid w:val="00864348"/>
    <w:rsid w:val="0086448F"/>
    <w:rsid w:val="008647F5"/>
    <w:rsid w:val="00864D6E"/>
    <w:rsid w:val="008659A2"/>
    <w:rsid w:val="00866099"/>
    <w:rsid w:val="0086690B"/>
    <w:rsid w:val="00866973"/>
    <w:rsid w:val="008677E2"/>
    <w:rsid w:val="008679F6"/>
    <w:rsid w:val="00867A0C"/>
    <w:rsid w:val="008708AA"/>
    <w:rsid w:val="008710F8"/>
    <w:rsid w:val="008716D7"/>
    <w:rsid w:val="00871A91"/>
    <w:rsid w:val="00871B94"/>
    <w:rsid w:val="00872B4A"/>
    <w:rsid w:val="00872F21"/>
    <w:rsid w:val="00873012"/>
    <w:rsid w:val="008732A2"/>
    <w:rsid w:val="0087384A"/>
    <w:rsid w:val="00873E84"/>
    <w:rsid w:val="00873FEC"/>
    <w:rsid w:val="0087417C"/>
    <w:rsid w:val="00874274"/>
    <w:rsid w:val="00874B16"/>
    <w:rsid w:val="0087513F"/>
    <w:rsid w:val="008755C2"/>
    <w:rsid w:val="00875A6F"/>
    <w:rsid w:val="00875B7E"/>
    <w:rsid w:val="0087685C"/>
    <w:rsid w:val="00877767"/>
    <w:rsid w:val="00877A41"/>
    <w:rsid w:val="008816EC"/>
    <w:rsid w:val="008816ED"/>
    <w:rsid w:val="00881947"/>
    <w:rsid w:val="00881D64"/>
    <w:rsid w:val="00881D9F"/>
    <w:rsid w:val="00882C01"/>
    <w:rsid w:val="00882CC7"/>
    <w:rsid w:val="00882E02"/>
    <w:rsid w:val="008835FF"/>
    <w:rsid w:val="00883B18"/>
    <w:rsid w:val="00883C16"/>
    <w:rsid w:val="00883D12"/>
    <w:rsid w:val="00883E28"/>
    <w:rsid w:val="00883EFF"/>
    <w:rsid w:val="00884919"/>
    <w:rsid w:val="008853EC"/>
    <w:rsid w:val="00885E47"/>
    <w:rsid w:val="00885F19"/>
    <w:rsid w:val="00886866"/>
    <w:rsid w:val="00886880"/>
    <w:rsid w:val="00886B67"/>
    <w:rsid w:val="00887A2E"/>
    <w:rsid w:val="00890A94"/>
    <w:rsid w:val="00890AFA"/>
    <w:rsid w:val="0089115A"/>
    <w:rsid w:val="00891CFC"/>
    <w:rsid w:val="00891E79"/>
    <w:rsid w:val="008921AE"/>
    <w:rsid w:val="00892323"/>
    <w:rsid w:val="008938C4"/>
    <w:rsid w:val="00895187"/>
    <w:rsid w:val="008952BC"/>
    <w:rsid w:val="00895BD3"/>
    <w:rsid w:val="00896CA2"/>
    <w:rsid w:val="00896EDC"/>
    <w:rsid w:val="00897AB4"/>
    <w:rsid w:val="008A02C9"/>
    <w:rsid w:val="008A06D7"/>
    <w:rsid w:val="008A0A35"/>
    <w:rsid w:val="008A0C9F"/>
    <w:rsid w:val="008A10C8"/>
    <w:rsid w:val="008A14F6"/>
    <w:rsid w:val="008A1645"/>
    <w:rsid w:val="008A2F8E"/>
    <w:rsid w:val="008A304E"/>
    <w:rsid w:val="008A382E"/>
    <w:rsid w:val="008A3E6F"/>
    <w:rsid w:val="008A3E76"/>
    <w:rsid w:val="008A497B"/>
    <w:rsid w:val="008A56C3"/>
    <w:rsid w:val="008A637C"/>
    <w:rsid w:val="008A700E"/>
    <w:rsid w:val="008A76FD"/>
    <w:rsid w:val="008A7BBE"/>
    <w:rsid w:val="008A7EF2"/>
    <w:rsid w:val="008B003A"/>
    <w:rsid w:val="008B0626"/>
    <w:rsid w:val="008B06BA"/>
    <w:rsid w:val="008B0DFB"/>
    <w:rsid w:val="008B154A"/>
    <w:rsid w:val="008B1B5A"/>
    <w:rsid w:val="008B216E"/>
    <w:rsid w:val="008B23B5"/>
    <w:rsid w:val="008B2951"/>
    <w:rsid w:val="008B2BBB"/>
    <w:rsid w:val="008B2F33"/>
    <w:rsid w:val="008B340F"/>
    <w:rsid w:val="008B36CB"/>
    <w:rsid w:val="008B389B"/>
    <w:rsid w:val="008B3EFD"/>
    <w:rsid w:val="008B4FFE"/>
    <w:rsid w:val="008B507B"/>
    <w:rsid w:val="008B60D9"/>
    <w:rsid w:val="008B646D"/>
    <w:rsid w:val="008B6842"/>
    <w:rsid w:val="008B70C4"/>
    <w:rsid w:val="008B7348"/>
    <w:rsid w:val="008B7A2C"/>
    <w:rsid w:val="008B7BF3"/>
    <w:rsid w:val="008B7D6C"/>
    <w:rsid w:val="008B7F11"/>
    <w:rsid w:val="008C004B"/>
    <w:rsid w:val="008C04D3"/>
    <w:rsid w:val="008C0630"/>
    <w:rsid w:val="008C0B3A"/>
    <w:rsid w:val="008C0CAF"/>
    <w:rsid w:val="008C1678"/>
    <w:rsid w:val="008C18C1"/>
    <w:rsid w:val="008C1B22"/>
    <w:rsid w:val="008C2BC9"/>
    <w:rsid w:val="008C3154"/>
    <w:rsid w:val="008C3DC2"/>
    <w:rsid w:val="008C4229"/>
    <w:rsid w:val="008C442E"/>
    <w:rsid w:val="008C4943"/>
    <w:rsid w:val="008C5658"/>
    <w:rsid w:val="008C5DCA"/>
    <w:rsid w:val="008C6195"/>
    <w:rsid w:val="008C6338"/>
    <w:rsid w:val="008C6360"/>
    <w:rsid w:val="008C64B9"/>
    <w:rsid w:val="008C7865"/>
    <w:rsid w:val="008C7FDE"/>
    <w:rsid w:val="008D0ADE"/>
    <w:rsid w:val="008D0B21"/>
    <w:rsid w:val="008D0EE2"/>
    <w:rsid w:val="008D17CF"/>
    <w:rsid w:val="008D1C97"/>
    <w:rsid w:val="008D29AF"/>
    <w:rsid w:val="008D2D8F"/>
    <w:rsid w:val="008D32F5"/>
    <w:rsid w:val="008D3321"/>
    <w:rsid w:val="008D344B"/>
    <w:rsid w:val="008D346A"/>
    <w:rsid w:val="008D370B"/>
    <w:rsid w:val="008D401F"/>
    <w:rsid w:val="008D41FC"/>
    <w:rsid w:val="008D448E"/>
    <w:rsid w:val="008D47C5"/>
    <w:rsid w:val="008D4DD5"/>
    <w:rsid w:val="008D4ED9"/>
    <w:rsid w:val="008D5835"/>
    <w:rsid w:val="008D6229"/>
    <w:rsid w:val="008D65A5"/>
    <w:rsid w:val="008D6B04"/>
    <w:rsid w:val="008D72B9"/>
    <w:rsid w:val="008D7AE1"/>
    <w:rsid w:val="008E05B1"/>
    <w:rsid w:val="008E0E9B"/>
    <w:rsid w:val="008E1B37"/>
    <w:rsid w:val="008E2254"/>
    <w:rsid w:val="008E2654"/>
    <w:rsid w:val="008E2AF5"/>
    <w:rsid w:val="008E2C34"/>
    <w:rsid w:val="008E33BE"/>
    <w:rsid w:val="008E35F3"/>
    <w:rsid w:val="008E4808"/>
    <w:rsid w:val="008E4929"/>
    <w:rsid w:val="008E4FF4"/>
    <w:rsid w:val="008E5682"/>
    <w:rsid w:val="008E5C69"/>
    <w:rsid w:val="008E6871"/>
    <w:rsid w:val="008E6DB1"/>
    <w:rsid w:val="008E6ECA"/>
    <w:rsid w:val="008E7242"/>
    <w:rsid w:val="008F0FB4"/>
    <w:rsid w:val="008F1C22"/>
    <w:rsid w:val="008F2554"/>
    <w:rsid w:val="008F25B1"/>
    <w:rsid w:val="008F2C23"/>
    <w:rsid w:val="008F2D02"/>
    <w:rsid w:val="008F3C6D"/>
    <w:rsid w:val="008F3CDB"/>
    <w:rsid w:val="008F47DC"/>
    <w:rsid w:val="008F50E6"/>
    <w:rsid w:val="008F52B5"/>
    <w:rsid w:val="008F635E"/>
    <w:rsid w:val="008F69A1"/>
    <w:rsid w:val="008F738E"/>
    <w:rsid w:val="008F7ACB"/>
    <w:rsid w:val="008F7F4D"/>
    <w:rsid w:val="009002CE"/>
    <w:rsid w:val="0090080C"/>
    <w:rsid w:val="0090115A"/>
    <w:rsid w:val="0090120A"/>
    <w:rsid w:val="009025FB"/>
    <w:rsid w:val="009029DB"/>
    <w:rsid w:val="0090348A"/>
    <w:rsid w:val="009038A8"/>
    <w:rsid w:val="00903D1B"/>
    <w:rsid w:val="00904109"/>
    <w:rsid w:val="009042E8"/>
    <w:rsid w:val="00905C6E"/>
    <w:rsid w:val="0090753F"/>
    <w:rsid w:val="00907591"/>
    <w:rsid w:val="00907913"/>
    <w:rsid w:val="00907D17"/>
    <w:rsid w:val="00910529"/>
    <w:rsid w:val="009118BA"/>
    <w:rsid w:val="009138B0"/>
    <w:rsid w:val="00913E51"/>
    <w:rsid w:val="00914511"/>
    <w:rsid w:val="00914844"/>
    <w:rsid w:val="00914986"/>
    <w:rsid w:val="00914DFE"/>
    <w:rsid w:val="009150A8"/>
    <w:rsid w:val="0091549C"/>
    <w:rsid w:val="00915E31"/>
    <w:rsid w:val="0091614B"/>
    <w:rsid w:val="00916340"/>
    <w:rsid w:val="00916A28"/>
    <w:rsid w:val="00916CEC"/>
    <w:rsid w:val="00916E6E"/>
    <w:rsid w:val="0091735D"/>
    <w:rsid w:val="00917D12"/>
    <w:rsid w:val="009202A0"/>
    <w:rsid w:val="009202C9"/>
    <w:rsid w:val="00920835"/>
    <w:rsid w:val="00921287"/>
    <w:rsid w:val="0092131F"/>
    <w:rsid w:val="00921595"/>
    <w:rsid w:val="00922140"/>
    <w:rsid w:val="009249F3"/>
    <w:rsid w:val="009259CB"/>
    <w:rsid w:val="00925D59"/>
    <w:rsid w:val="00926716"/>
    <w:rsid w:val="009308DA"/>
    <w:rsid w:val="00932039"/>
    <w:rsid w:val="00932101"/>
    <w:rsid w:val="00932A82"/>
    <w:rsid w:val="0093319A"/>
    <w:rsid w:val="00933540"/>
    <w:rsid w:val="0093396C"/>
    <w:rsid w:val="00933E6E"/>
    <w:rsid w:val="0093425F"/>
    <w:rsid w:val="00934877"/>
    <w:rsid w:val="009348BC"/>
    <w:rsid w:val="00934BC5"/>
    <w:rsid w:val="009353B8"/>
    <w:rsid w:val="00935439"/>
    <w:rsid w:val="009357CD"/>
    <w:rsid w:val="009357D5"/>
    <w:rsid w:val="00935CD9"/>
    <w:rsid w:val="0093698A"/>
    <w:rsid w:val="00936F10"/>
    <w:rsid w:val="009372AB"/>
    <w:rsid w:val="00937432"/>
    <w:rsid w:val="009374E9"/>
    <w:rsid w:val="00937708"/>
    <w:rsid w:val="00937C75"/>
    <w:rsid w:val="00941538"/>
    <w:rsid w:val="00941D0E"/>
    <w:rsid w:val="00941FC5"/>
    <w:rsid w:val="0094290B"/>
    <w:rsid w:val="00942B33"/>
    <w:rsid w:val="00942EC6"/>
    <w:rsid w:val="00944024"/>
    <w:rsid w:val="00944E3F"/>
    <w:rsid w:val="009453A6"/>
    <w:rsid w:val="00945CE6"/>
    <w:rsid w:val="009461AB"/>
    <w:rsid w:val="009464A3"/>
    <w:rsid w:val="00946522"/>
    <w:rsid w:val="00946796"/>
    <w:rsid w:val="00947285"/>
    <w:rsid w:val="0094742A"/>
    <w:rsid w:val="00947868"/>
    <w:rsid w:val="00950042"/>
    <w:rsid w:val="00950969"/>
    <w:rsid w:val="009511AA"/>
    <w:rsid w:val="0095172E"/>
    <w:rsid w:val="0095183B"/>
    <w:rsid w:val="00951E25"/>
    <w:rsid w:val="00951EE2"/>
    <w:rsid w:val="0095204C"/>
    <w:rsid w:val="009520FE"/>
    <w:rsid w:val="00953424"/>
    <w:rsid w:val="00953B51"/>
    <w:rsid w:val="00953B7B"/>
    <w:rsid w:val="00954528"/>
    <w:rsid w:val="00955122"/>
    <w:rsid w:val="009554A0"/>
    <w:rsid w:val="009558AA"/>
    <w:rsid w:val="00955E61"/>
    <w:rsid w:val="00956EC1"/>
    <w:rsid w:val="00957190"/>
    <w:rsid w:val="009603E5"/>
    <w:rsid w:val="0096071A"/>
    <w:rsid w:val="00960A35"/>
    <w:rsid w:val="00960C91"/>
    <w:rsid w:val="00961911"/>
    <w:rsid w:val="00961AEB"/>
    <w:rsid w:val="00961B6D"/>
    <w:rsid w:val="00962A88"/>
    <w:rsid w:val="00963717"/>
    <w:rsid w:val="00963E37"/>
    <w:rsid w:val="00964945"/>
    <w:rsid w:val="00965586"/>
    <w:rsid w:val="00965CC4"/>
    <w:rsid w:val="00965F9D"/>
    <w:rsid w:val="0096624D"/>
    <w:rsid w:val="00966A2E"/>
    <w:rsid w:val="009674D4"/>
    <w:rsid w:val="009676E3"/>
    <w:rsid w:val="00967E6A"/>
    <w:rsid w:val="00970143"/>
    <w:rsid w:val="009707D7"/>
    <w:rsid w:val="00970B7F"/>
    <w:rsid w:val="00970C38"/>
    <w:rsid w:val="00971614"/>
    <w:rsid w:val="00971A6D"/>
    <w:rsid w:val="00972340"/>
    <w:rsid w:val="009723DE"/>
    <w:rsid w:val="009725D2"/>
    <w:rsid w:val="0097294C"/>
    <w:rsid w:val="00973B9F"/>
    <w:rsid w:val="00974A7A"/>
    <w:rsid w:val="00975014"/>
    <w:rsid w:val="009752FA"/>
    <w:rsid w:val="009754C3"/>
    <w:rsid w:val="009755CD"/>
    <w:rsid w:val="009758B1"/>
    <w:rsid w:val="00977693"/>
    <w:rsid w:val="00977A7D"/>
    <w:rsid w:val="00977AC6"/>
    <w:rsid w:val="00977BB1"/>
    <w:rsid w:val="00980C24"/>
    <w:rsid w:val="009818E4"/>
    <w:rsid w:val="00982494"/>
    <w:rsid w:val="009839C7"/>
    <w:rsid w:val="00983C60"/>
    <w:rsid w:val="009845F3"/>
    <w:rsid w:val="009845FD"/>
    <w:rsid w:val="0098465B"/>
    <w:rsid w:val="009856E0"/>
    <w:rsid w:val="00986E0B"/>
    <w:rsid w:val="00986E68"/>
    <w:rsid w:val="00987C19"/>
    <w:rsid w:val="00990144"/>
    <w:rsid w:val="00990289"/>
    <w:rsid w:val="00990542"/>
    <w:rsid w:val="00990935"/>
    <w:rsid w:val="00990A99"/>
    <w:rsid w:val="00990AFD"/>
    <w:rsid w:val="00991001"/>
    <w:rsid w:val="00991069"/>
    <w:rsid w:val="00992771"/>
    <w:rsid w:val="0099397C"/>
    <w:rsid w:val="00994A07"/>
    <w:rsid w:val="00994A4C"/>
    <w:rsid w:val="009950AD"/>
    <w:rsid w:val="00996257"/>
    <w:rsid w:val="00996BCA"/>
    <w:rsid w:val="0099766A"/>
    <w:rsid w:val="009A02A8"/>
    <w:rsid w:val="009A0B02"/>
    <w:rsid w:val="009A0E79"/>
    <w:rsid w:val="009A15CF"/>
    <w:rsid w:val="009A1740"/>
    <w:rsid w:val="009A216A"/>
    <w:rsid w:val="009A23B0"/>
    <w:rsid w:val="009A242D"/>
    <w:rsid w:val="009A35C9"/>
    <w:rsid w:val="009A3604"/>
    <w:rsid w:val="009A41B1"/>
    <w:rsid w:val="009A473C"/>
    <w:rsid w:val="009A4754"/>
    <w:rsid w:val="009A4AAD"/>
    <w:rsid w:val="009A4D87"/>
    <w:rsid w:val="009A52E0"/>
    <w:rsid w:val="009A640D"/>
    <w:rsid w:val="009A6BA8"/>
    <w:rsid w:val="009A6BB0"/>
    <w:rsid w:val="009A70F6"/>
    <w:rsid w:val="009A7364"/>
    <w:rsid w:val="009A7F00"/>
    <w:rsid w:val="009B0E3B"/>
    <w:rsid w:val="009B124A"/>
    <w:rsid w:val="009B139E"/>
    <w:rsid w:val="009B1548"/>
    <w:rsid w:val="009B1B4B"/>
    <w:rsid w:val="009B2BBA"/>
    <w:rsid w:val="009B321A"/>
    <w:rsid w:val="009B3A1D"/>
    <w:rsid w:val="009B3A56"/>
    <w:rsid w:val="009B41F0"/>
    <w:rsid w:val="009B44F0"/>
    <w:rsid w:val="009B4620"/>
    <w:rsid w:val="009B4784"/>
    <w:rsid w:val="009B55BC"/>
    <w:rsid w:val="009B56A2"/>
    <w:rsid w:val="009B58D1"/>
    <w:rsid w:val="009B59F0"/>
    <w:rsid w:val="009B5B96"/>
    <w:rsid w:val="009B678B"/>
    <w:rsid w:val="009B69E9"/>
    <w:rsid w:val="009B74A6"/>
    <w:rsid w:val="009B7525"/>
    <w:rsid w:val="009B7FFD"/>
    <w:rsid w:val="009C0279"/>
    <w:rsid w:val="009C0C1F"/>
    <w:rsid w:val="009C147F"/>
    <w:rsid w:val="009C21B4"/>
    <w:rsid w:val="009C2DEF"/>
    <w:rsid w:val="009C3225"/>
    <w:rsid w:val="009C3CB8"/>
    <w:rsid w:val="009C3E2A"/>
    <w:rsid w:val="009C4284"/>
    <w:rsid w:val="009C42DE"/>
    <w:rsid w:val="009C4CE7"/>
    <w:rsid w:val="009C5DC4"/>
    <w:rsid w:val="009C61A3"/>
    <w:rsid w:val="009C6658"/>
    <w:rsid w:val="009C66AA"/>
    <w:rsid w:val="009C6A9B"/>
    <w:rsid w:val="009C6B84"/>
    <w:rsid w:val="009C6EE8"/>
    <w:rsid w:val="009C7BB7"/>
    <w:rsid w:val="009C7BDB"/>
    <w:rsid w:val="009C7DBE"/>
    <w:rsid w:val="009D0112"/>
    <w:rsid w:val="009D05D6"/>
    <w:rsid w:val="009D0BC2"/>
    <w:rsid w:val="009D0CC2"/>
    <w:rsid w:val="009D0D5C"/>
    <w:rsid w:val="009D1368"/>
    <w:rsid w:val="009D1A7A"/>
    <w:rsid w:val="009D2CDA"/>
    <w:rsid w:val="009D553D"/>
    <w:rsid w:val="009D5A24"/>
    <w:rsid w:val="009D5B2E"/>
    <w:rsid w:val="009D5CDE"/>
    <w:rsid w:val="009D636F"/>
    <w:rsid w:val="009D6D1D"/>
    <w:rsid w:val="009D7457"/>
    <w:rsid w:val="009D758F"/>
    <w:rsid w:val="009D7930"/>
    <w:rsid w:val="009D7AC7"/>
    <w:rsid w:val="009D7BF2"/>
    <w:rsid w:val="009D7D83"/>
    <w:rsid w:val="009E00E7"/>
    <w:rsid w:val="009E068F"/>
    <w:rsid w:val="009E0BE8"/>
    <w:rsid w:val="009E172F"/>
    <w:rsid w:val="009E19CB"/>
    <w:rsid w:val="009E1C0E"/>
    <w:rsid w:val="009E1D3C"/>
    <w:rsid w:val="009E2429"/>
    <w:rsid w:val="009E3787"/>
    <w:rsid w:val="009E3D09"/>
    <w:rsid w:val="009E3D7A"/>
    <w:rsid w:val="009E3DAE"/>
    <w:rsid w:val="009E426E"/>
    <w:rsid w:val="009E4339"/>
    <w:rsid w:val="009E439C"/>
    <w:rsid w:val="009E46F2"/>
    <w:rsid w:val="009E620D"/>
    <w:rsid w:val="009E64ED"/>
    <w:rsid w:val="009E6BDD"/>
    <w:rsid w:val="009E7192"/>
    <w:rsid w:val="009E7F49"/>
    <w:rsid w:val="009F0B98"/>
    <w:rsid w:val="009F14F7"/>
    <w:rsid w:val="009F15B7"/>
    <w:rsid w:val="009F1641"/>
    <w:rsid w:val="009F1C46"/>
    <w:rsid w:val="009F1E25"/>
    <w:rsid w:val="009F2079"/>
    <w:rsid w:val="009F2592"/>
    <w:rsid w:val="009F2AB7"/>
    <w:rsid w:val="009F47F2"/>
    <w:rsid w:val="009F4BE1"/>
    <w:rsid w:val="009F4FF4"/>
    <w:rsid w:val="009F5541"/>
    <w:rsid w:val="009F5C19"/>
    <w:rsid w:val="009F6493"/>
    <w:rsid w:val="009F69B5"/>
    <w:rsid w:val="009F6EA2"/>
    <w:rsid w:val="009F75B3"/>
    <w:rsid w:val="009F79AE"/>
    <w:rsid w:val="009F7F22"/>
    <w:rsid w:val="00A004D3"/>
    <w:rsid w:val="00A00BD1"/>
    <w:rsid w:val="00A00E4C"/>
    <w:rsid w:val="00A00FFB"/>
    <w:rsid w:val="00A027DE"/>
    <w:rsid w:val="00A031FC"/>
    <w:rsid w:val="00A04222"/>
    <w:rsid w:val="00A046BB"/>
    <w:rsid w:val="00A04C7E"/>
    <w:rsid w:val="00A051AE"/>
    <w:rsid w:val="00A0565F"/>
    <w:rsid w:val="00A0616C"/>
    <w:rsid w:val="00A06896"/>
    <w:rsid w:val="00A07776"/>
    <w:rsid w:val="00A07CA6"/>
    <w:rsid w:val="00A07E4D"/>
    <w:rsid w:val="00A10FD5"/>
    <w:rsid w:val="00A110A7"/>
    <w:rsid w:val="00A12981"/>
    <w:rsid w:val="00A12D9D"/>
    <w:rsid w:val="00A134B2"/>
    <w:rsid w:val="00A14320"/>
    <w:rsid w:val="00A14E83"/>
    <w:rsid w:val="00A14EA4"/>
    <w:rsid w:val="00A15071"/>
    <w:rsid w:val="00A151A5"/>
    <w:rsid w:val="00A15263"/>
    <w:rsid w:val="00A159DE"/>
    <w:rsid w:val="00A15E74"/>
    <w:rsid w:val="00A15FB5"/>
    <w:rsid w:val="00A161E0"/>
    <w:rsid w:val="00A164FB"/>
    <w:rsid w:val="00A16702"/>
    <w:rsid w:val="00A16BEA"/>
    <w:rsid w:val="00A16E1D"/>
    <w:rsid w:val="00A175E5"/>
    <w:rsid w:val="00A178C0"/>
    <w:rsid w:val="00A17EA1"/>
    <w:rsid w:val="00A17EDF"/>
    <w:rsid w:val="00A20CAE"/>
    <w:rsid w:val="00A215DD"/>
    <w:rsid w:val="00A21746"/>
    <w:rsid w:val="00A24265"/>
    <w:rsid w:val="00A24B55"/>
    <w:rsid w:val="00A24D3F"/>
    <w:rsid w:val="00A24F34"/>
    <w:rsid w:val="00A24F60"/>
    <w:rsid w:val="00A254EA"/>
    <w:rsid w:val="00A25999"/>
    <w:rsid w:val="00A26B32"/>
    <w:rsid w:val="00A26E31"/>
    <w:rsid w:val="00A274EF"/>
    <w:rsid w:val="00A2751A"/>
    <w:rsid w:val="00A27E41"/>
    <w:rsid w:val="00A300E8"/>
    <w:rsid w:val="00A300FD"/>
    <w:rsid w:val="00A30DB1"/>
    <w:rsid w:val="00A31101"/>
    <w:rsid w:val="00A31F97"/>
    <w:rsid w:val="00A31FD9"/>
    <w:rsid w:val="00A32087"/>
    <w:rsid w:val="00A32460"/>
    <w:rsid w:val="00A32473"/>
    <w:rsid w:val="00A32A89"/>
    <w:rsid w:val="00A33102"/>
    <w:rsid w:val="00A33EE9"/>
    <w:rsid w:val="00A34451"/>
    <w:rsid w:val="00A34742"/>
    <w:rsid w:val="00A3520E"/>
    <w:rsid w:val="00A35811"/>
    <w:rsid w:val="00A35C97"/>
    <w:rsid w:val="00A35D0A"/>
    <w:rsid w:val="00A3634E"/>
    <w:rsid w:val="00A36775"/>
    <w:rsid w:val="00A367F7"/>
    <w:rsid w:val="00A370D9"/>
    <w:rsid w:val="00A40E66"/>
    <w:rsid w:val="00A40FB6"/>
    <w:rsid w:val="00A412E5"/>
    <w:rsid w:val="00A41543"/>
    <w:rsid w:val="00A4179C"/>
    <w:rsid w:val="00A418DB"/>
    <w:rsid w:val="00A42629"/>
    <w:rsid w:val="00A43347"/>
    <w:rsid w:val="00A43620"/>
    <w:rsid w:val="00A438B9"/>
    <w:rsid w:val="00A43944"/>
    <w:rsid w:val="00A43A45"/>
    <w:rsid w:val="00A43D2B"/>
    <w:rsid w:val="00A44476"/>
    <w:rsid w:val="00A44BC3"/>
    <w:rsid w:val="00A4524B"/>
    <w:rsid w:val="00A45454"/>
    <w:rsid w:val="00A4637B"/>
    <w:rsid w:val="00A46BB9"/>
    <w:rsid w:val="00A476B4"/>
    <w:rsid w:val="00A476D0"/>
    <w:rsid w:val="00A50D2F"/>
    <w:rsid w:val="00A50D4D"/>
    <w:rsid w:val="00A50EE4"/>
    <w:rsid w:val="00A5182C"/>
    <w:rsid w:val="00A51BC0"/>
    <w:rsid w:val="00A51D25"/>
    <w:rsid w:val="00A521D4"/>
    <w:rsid w:val="00A525D3"/>
    <w:rsid w:val="00A52E29"/>
    <w:rsid w:val="00A53511"/>
    <w:rsid w:val="00A53B80"/>
    <w:rsid w:val="00A541FE"/>
    <w:rsid w:val="00A54A95"/>
    <w:rsid w:val="00A54F19"/>
    <w:rsid w:val="00A55395"/>
    <w:rsid w:val="00A55724"/>
    <w:rsid w:val="00A55ABE"/>
    <w:rsid w:val="00A55F8B"/>
    <w:rsid w:val="00A60841"/>
    <w:rsid w:val="00A60B8C"/>
    <w:rsid w:val="00A61A4E"/>
    <w:rsid w:val="00A63700"/>
    <w:rsid w:val="00A63958"/>
    <w:rsid w:val="00A63CD7"/>
    <w:rsid w:val="00A64575"/>
    <w:rsid w:val="00A64C36"/>
    <w:rsid w:val="00A651C0"/>
    <w:rsid w:val="00A65800"/>
    <w:rsid w:val="00A65A26"/>
    <w:rsid w:val="00A66FCC"/>
    <w:rsid w:val="00A671E7"/>
    <w:rsid w:val="00A67318"/>
    <w:rsid w:val="00A67625"/>
    <w:rsid w:val="00A67EF4"/>
    <w:rsid w:val="00A67F4D"/>
    <w:rsid w:val="00A7032E"/>
    <w:rsid w:val="00A71944"/>
    <w:rsid w:val="00A71E89"/>
    <w:rsid w:val="00A72970"/>
    <w:rsid w:val="00A72B9F"/>
    <w:rsid w:val="00A73CF9"/>
    <w:rsid w:val="00A73EF9"/>
    <w:rsid w:val="00A74912"/>
    <w:rsid w:val="00A74A2B"/>
    <w:rsid w:val="00A75123"/>
    <w:rsid w:val="00A75324"/>
    <w:rsid w:val="00A756C6"/>
    <w:rsid w:val="00A76999"/>
    <w:rsid w:val="00A77200"/>
    <w:rsid w:val="00A80093"/>
    <w:rsid w:val="00A8061E"/>
    <w:rsid w:val="00A80AA5"/>
    <w:rsid w:val="00A80BB6"/>
    <w:rsid w:val="00A80C68"/>
    <w:rsid w:val="00A8147A"/>
    <w:rsid w:val="00A816D7"/>
    <w:rsid w:val="00A821AF"/>
    <w:rsid w:val="00A830A7"/>
    <w:rsid w:val="00A84408"/>
    <w:rsid w:val="00A844B8"/>
    <w:rsid w:val="00A849C8"/>
    <w:rsid w:val="00A855BE"/>
    <w:rsid w:val="00A85DC3"/>
    <w:rsid w:val="00A86406"/>
    <w:rsid w:val="00A87937"/>
    <w:rsid w:val="00A87D62"/>
    <w:rsid w:val="00A9014B"/>
    <w:rsid w:val="00A90C05"/>
    <w:rsid w:val="00A914F3"/>
    <w:rsid w:val="00A915AB"/>
    <w:rsid w:val="00A91E92"/>
    <w:rsid w:val="00A9222E"/>
    <w:rsid w:val="00A92C7A"/>
    <w:rsid w:val="00A92DD2"/>
    <w:rsid w:val="00A930F5"/>
    <w:rsid w:val="00A9316F"/>
    <w:rsid w:val="00A93911"/>
    <w:rsid w:val="00A942FA"/>
    <w:rsid w:val="00A94450"/>
    <w:rsid w:val="00A9454C"/>
    <w:rsid w:val="00A94751"/>
    <w:rsid w:val="00A949EF"/>
    <w:rsid w:val="00A953A4"/>
    <w:rsid w:val="00A954D7"/>
    <w:rsid w:val="00A95B2A"/>
    <w:rsid w:val="00A95E7F"/>
    <w:rsid w:val="00A96228"/>
    <w:rsid w:val="00A96DBD"/>
    <w:rsid w:val="00A970D5"/>
    <w:rsid w:val="00A97638"/>
    <w:rsid w:val="00A978AF"/>
    <w:rsid w:val="00AA0B4E"/>
    <w:rsid w:val="00AA1BBB"/>
    <w:rsid w:val="00AA1E74"/>
    <w:rsid w:val="00AA23B8"/>
    <w:rsid w:val="00AA24D2"/>
    <w:rsid w:val="00AA423E"/>
    <w:rsid w:val="00AA582B"/>
    <w:rsid w:val="00AA6088"/>
    <w:rsid w:val="00AA66F5"/>
    <w:rsid w:val="00AA6C98"/>
    <w:rsid w:val="00AA6D2C"/>
    <w:rsid w:val="00AA6E4E"/>
    <w:rsid w:val="00AA7316"/>
    <w:rsid w:val="00AA78CE"/>
    <w:rsid w:val="00AA7F42"/>
    <w:rsid w:val="00AB0C12"/>
    <w:rsid w:val="00AB0FA7"/>
    <w:rsid w:val="00AB128A"/>
    <w:rsid w:val="00AB2605"/>
    <w:rsid w:val="00AB26D5"/>
    <w:rsid w:val="00AB2FF9"/>
    <w:rsid w:val="00AB3885"/>
    <w:rsid w:val="00AB39A6"/>
    <w:rsid w:val="00AB44B1"/>
    <w:rsid w:val="00AB45DB"/>
    <w:rsid w:val="00AB49EA"/>
    <w:rsid w:val="00AB4F00"/>
    <w:rsid w:val="00AB5C26"/>
    <w:rsid w:val="00AB5F3B"/>
    <w:rsid w:val="00AC004D"/>
    <w:rsid w:val="00AC09F1"/>
    <w:rsid w:val="00AC0C50"/>
    <w:rsid w:val="00AC119D"/>
    <w:rsid w:val="00AC2628"/>
    <w:rsid w:val="00AC265B"/>
    <w:rsid w:val="00AC2BD0"/>
    <w:rsid w:val="00AC2E4E"/>
    <w:rsid w:val="00AC2F14"/>
    <w:rsid w:val="00AC38A9"/>
    <w:rsid w:val="00AC3A20"/>
    <w:rsid w:val="00AC4681"/>
    <w:rsid w:val="00AC4BF6"/>
    <w:rsid w:val="00AC4CAF"/>
    <w:rsid w:val="00AC51CD"/>
    <w:rsid w:val="00AC5375"/>
    <w:rsid w:val="00AC5601"/>
    <w:rsid w:val="00AC5AF0"/>
    <w:rsid w:val="00AC6797"/>
    <w:rsid w:val="00AC6A7A"/>
    <w:rsid w:val="00AC6F68"/>
    <w:rsid w:val="00AC7896"/>
    <w:rsid w:val="00AD0E72"/>
    <w:rsid w:val="00AD104E"/>
    <w:rsid w:val="00AD124D"/>
    <w:rsid w:val="00AD1EAE"/>
    <w:rsid w:val="00AD2275"/>
    <w:rsid w:val="00AD2280"/>
    <w:rsid w:val="00AD26C0"/>
    <w:rsid w:val="00AD2B85"/>
    <w:rsid w:val="00AD2BAB"/>
    <w:rsid w:val="00AD3CC4"/>
    <w:rsid w:val="00AD4839"/>
    <w:rsid w:val="00AD4C7C"/>
    <w:rsid w:val="00AD714E"/>
    <w:rsid w:val="00AD76EF"/>
    <w:rsid w:val="00AE19D1"/>
    <w:rsid w:val="00AE2666"/>
    <w:rsid w:val="00AE29DB"/>
    <w:rsid w:val="00AE2C80"/>
    <w:rsid w:val="00AE2E9B"/>
    <w:rsid w:val="00AE31C2"/>
    <w:rsid w:val="00AE3719"/>
    <w:rsid w:val="00AE3BE0"/>
    <w:rsid w:val="00AE44CF"/>
    <w:rsid w:val="00AE5017"/>
    <w:rsid w:val="00AE50C7"/>
    <w:rsid w:val="00AE5D09"/>
    <w:rsid w:val="00AE6037"/>
    <w:rsid w:val="00AE6625"/>
    <w:rsid w:val="00AE6B11"/>
    <w:rsid w:val="00AE709F"/>
    <w:rsid w:val="00AE78CD"/>
    <w:rsid w:val="00AE7EBC"/>
    <w:rsid w:val="00AF115C"/>
    <w:rsid w:val="00AF167D"/>
    <w:rsid w:val="00AF179F"/>
    <w:rsid w:val="00AF17F0"/>
    <w:rsid w:val="00AF434D"/>
    <w:rsid w:val="00AF4EE4"/>
    <w:rsid w:val="00AF5B98"/>
    <w:rsid w:val="00AF6B94"/>
    <w:rsid w:val="00B0026B"/>
    <w:rsid w:val="00B0036F"/>
    <w:rsid w:val="00B00A28"/>
    <w:rsid w:val="00B00C8E"/>
    <w:rsid w:val="00B02674"/>
    <w:rsid w:val="00B02AA5"/>
    <w:rsid w:val="00B031A6"/>
    <w:rsid w:val="00B045EC"/>
    <w:rsid w:val="00B04DA9"/>
    <w:rsid w:val="00B04F50"/>
    <w:rsid w:val="00B05943"/>
    <w:rsid w:val="00B05AE4"/>
    <w:rsid w:val="00B05CA6"/>
    <w:rsid w:val="00B06871"/>
    <w:rsid w:val="00B07742"/>
    <w:rsid w:val="00B10224"/>
    <w:rsid w:val="00B1073D"/>
    <w:rsid w:val="00B1129B"/>
    <w:rsid w:val="00B11CD7"/>
    <w:rsid w:val="00B1205D"/>
    <w:rsid w:val="00B128F0"/>
    <w:rsid w:val="00B13307"/>
    <w:rsid w:val="00B1367C"/>
    <w:rsid w:val="00B13B7B"/>
    <w:rsid w:val="00B15202"/>
    <w:rsid w:val="00B1553A"/>
    <w:rsid w:val="00B15920"/>
    <w:rsid w:val="00B16338"/>
    <w:rsid w:val="00B1688A"/>
    <w:rsid w:val="00B17577"/>
    <w:rsid w:val="00B17C90"/>
    <w:rsid w:val="00B209BF"/>
    <w:rsid w:val="00B21B6A"/>
    <w:rsid w:val="00B21CD1"/>
    <w:rsid w:val="00B2248D"/>
    <w:rsid w:val="00B23256"/>
    <w:rsid w:val="00B23A5E"/>
    <w:rsid w:val="00B244AA"/>
    <w:rsid w:val="00B24CF5"/>
    <w:rsid w:val="00B25441"/>
    <w:rsid w:val="00B26507"/>
    <w:rsid w:val="00B265AB"/>
    <w:rsid w:val="00B269CE"/>
    <w:rsid w:val="00B3055A"/>
    <w:rsid w:val="00B31920"/>
    <w:rsid w:val="00B31CD8"/>
    <w:rsid w:val="00B32535"/>
    <w:rsid w:val="00B3277B"/>
    <w:rsid w:val="00B32A9E"/>
    <w:rsid w:val="00B32B21"/>
    <w:rsid w:val="00B3370C"/>
    <w:rsid w:val="00B33D83"/>
    <w:rsid w:val="00B367AA"/>
    <w:rsid w:val="00B36B86"/>
    <w:rsid w:val="00B36DA8"/>
    <w:rsid w:val="00B37176"/>
    <w:rsid w:val="00B373AA"/>
    <w:rsid w:val="00B37787"/>
    <w:rsid w:val="00B401F0"/>
    <w:rsid w:val="00B40823"/>
    <w:rsid w:val="00B40DF9"/>
    <w:rsid w:val="00B42083"/>
    <w:rsid w:val="00B42270"/>
    <w:rsid w:val="00B427A9"/>
    <w:rsid w:val="00B42A26"/>
    <w:rsid w:val="00B433A2"/>
    <w:rsid w:val="00B43455"/>
    <w:rsid w:val="00B435F8"/>
    <w:rsid w:val="00B4373C"/>
    <w:rsid w:val="00B43890"/>
    <w:rsid w:val="00B45E11"/>
    <w:rsid w:val="00B4620E"/>
    <w:rsid w:val="00B46CB0"/>
    <w:rsid w:val="00B4725D"/>
    <w:rsid w:val="00B47408"/>
    <w:rsid w:val="00B477D3"/>
    <w:rsid w:val="00B504D5"/>
    <w:rsid w:val="00B50BEE"/>
    <w:rsid w:val="00B51B5D"/>
    <w:rsid w:val="00B52A3F"/>
    <w:rsid w:val="00B539AD"/>
    <w:rsid w:val="00B53BEF"/>
    <w:rsid w:val="00B5462A"/>
    <w:rsid w:val="00B5479E"/>
    <w:rsid w:val="00B54BC7"/>
    <w:rsid w:val="00B54E24"/>
    <w:rsid w:val="00B5506B"/>
    <w:rsid w:val="00B5606E"/>
    <w:rsid w:val="00B565AE"/>
    <w:rsid w:val="00B568C7"/>
    <w:rsid w:val="00B56C15"/>
    <w:rsid w:val="00B57348"/>
    <w:rsid w:val="00B6139B"/>
    <w:rsid w:val="00B61934"/>
    <w:rsid w:val="00B61E5E"/>
    <w:rsid w:val="00B625B5"/>
    <w:rsid w:val="00B629EA"/>
    <w:rsid w:val="00B62D2B"/>
    <w:rsid w:val="00B62DEC"/>
    <w:rsid w:val="00B63807"/>
    <w:rsid w:val="00B63E88"/>
    <w:rsid w:val="00B6426B"/>
    <w:rsid w:val="00B64804"/>
    <w:rsid w:val="00B6581C"/>
    <w:rsid w:val="00B65D4D"/>
    <w:rsid w:val="00B6621C"/>
    <w:rsid w:val="00B66649"/>
    <w:rsid w:val="00B667E3"/>
    <w:rsid w:val="00B670F0"/>
    <w:rsid w:val="00B672CD"/>
    <w:rsid w:val="00B676F1"/>
    <w:rsid w:val="00B67741"/>
    <w:rsid w:val="00B67DF0"/>
    <w:rsid w:val="00B71399"/>
    <w:rsid w:val="00B720DB"/>
    <w:rsid w:val="00B72B77"/>
    <w:rsid w:val="00B75226"/>
    <w:rsid w:val="00B75683"/>
    <w:rsid w:val="00B75985"/>
    <w:rsid w:val="00B76050"/>
    <w:rsid w:val="00B7667D"/>
    <w:rsid w:val="00B76ACC"/>
    <w:rsid w:val="00B7707A"/>
    <w:rsid w:val="00B80785"/>
    <w:rsid w:val="00B80876"/>
    <w:rsid w:val="00B8179C"/>
    <w:rsid w:val="00B81D3B"/>
    <w:rsid w:val="00B822DB"/>
    <w:rsid w:val="00B82945"/>
    <w:rsid w:val="00B82D4E"/>
    <w:rsid w:val="00B84191"/>
    <w:rsid w:val="00B84945"/>
    <w:rsid w:val="00B84A8A"/>
    <w:rsid w:val="00B850A5"/>
    <w:rsid w:val="00B85ADB"/>
    <w:rsid w:val="00B865A6"/>
    <w:rsid w:val="00B87688"/>
    <w:rsid w:val="00B87C64"/>
    <w:rsid w:val="00B87E47"/>
    <w:rsid w:val="00B90DB5"/>
    <w:rsid w:val="00B91A82"/>
    <w:rsid w:val="00B9279C"/>
    <w:rsid w:val="00B92BCE"/>
    <w:rsid w:val="00B934BE"/>
    <w:rsid w:val="00B93569"/>
    <w:rsid w:val="00B94B37"/>
    <w:rsid w:val="00B95178"/>
    <w:rsid w:val="00B9576A"/>
    <w:rsid w:val="00B962BB"/>
    <w:rsid w:val="00B967A7"/>
    <w:rsid w:val="00B96B0F"/>
    <w:rsid w:val="00BA088E"/>
    <w:rsid w:val="00BA0A2D"/>
    <w:rsid w:val="00BA0CA5"/>
    <w:rsid w:val="00BA152C"/>
    <w:rsid w:val="00BA21B2"/>
    <w:rsid w:val="00BA2861"/>
    <w:rsid w:val="00BA3873"/>
    <w:rsid w:val="00BA441E"/>
    <w:rsid w:val="00BA5315"/>
    <w:rsid w:val="00BA636A"/>
    <w:rsid w:val="00BA6707"/>
    <w:rsid w:val="00BA6AD6"/>
    <w:rsid w:val="00BA7C0B"/>
    <w:rsid w:val="00BA7C85"/>
    <w:rsid w:val="00BB0F85"/>
    <w:rsid w:val="00BB1004"/>
    <w:rsid w:val="00BB1497"/>
    <w:rsid w:val="00BB16D5"/>
    <w:rsid w:val="00BB1940"/>
    <w:rsid w:val="00BB2978"/>
    <w:rsid w:val="00BB2A3A"/>
    <w:rsid w:val="00BB2E4D"/>
    <w:rsid w:val="00BB3445"/>
    <w:rsid w:val="00BB36D5"/>
    <w:rsid w:val="00BB404F"/>
    <w:rsid w:val="00BB467E"/>
    <w:rsid w:val="00BB5301"/>
    <w:rsid w:val="00BB57E8"/>
    <w:rsid w:val="00BB58C8"/>
    <w:rsid w:val="00BB5B62"/>
    <w:rsid w:val="00BB63AD"/>
    <w:rsid w:val="00BB7349"/>
    <w:rsid w:val="00BB778D"/>
    <w:rsid w:val="00BB7DF0"/>
    <w:rsid w:val="00BB7F90"/>
    <w:rsid w:val="00BC0196"/>
    <w:rsid w:val="00BC0367"/>
    <w:rsid w:val="00BC1CAA"/>
    <w:rsid w:val="00BC219A"/>
    <w:rsid w:val="00BC357C"/>
    <w:rsid w:val="00BC3946"/>
    <w:rsid w:val="00BC42A8"/>
    <w:rsid w:val="00BC4869"/>
    <w:rsid w:val="00BC6627"/>
    <w:rsid w:val="00BC66EE"/>
    <w:rsid w:val="00BC69F2"/>
    <w:rsid w:val="00BC72BE"/>
    <w:rsid w:val="00BC7535"/>
    <w:rsid w:val="00BC7555"/>
    <w:rsid w:val="00BC7F3C"/>
    <w:rsid w:val="00BC7FFB"/>
    <w:rsid w:val="00BD034D"/>
    <w:rsid w:val="00BD0704"/>
    <w:rsid w:val="00BD0C09"/>
    <w:rsid w:val="00BD1211"/>
    <w:rsid w:val="00BD3209"/>
    <w:rsid w:val="00BD323A"/>
    <w:rsid w:val="00BD35D4"/>
    <w:rsid w:val="00BD361A"/>
    <w:rsid w:val="00BD3692"/>
    <w:rsid w:val="00BD3E45"/>
    <w:rsid w:val="00BD3ECE"/>
    <w:rsid w:val="00BD4316"/>
    <w:rsid w:val="00BD4B72"/>
    <w:rsid w:val="00BD5782"/>
    <w:rsid w:val="00BD578A"/>
    <w:rsid w:val="00BD5DAB"/>
    <w:rsid w:val="00BD5EFA"/>
    <w:rsid w:val="00BD6293"/>
    <w:rsid w:val="00BD6710"/>
    <w:rsid w:val="00BD6C6F"/>
    <w:rsid w:val="00BD6DCD"/>
    <w:rsid w:val="00BD780A"/>
    <w:rsid w:val="00BE0194"/>
    <w:rsid w:val="00BE092B"/>
    <w:rsid w:val="00BE0CEB"/>
    <w:rsid w:val="00BE1CF2"/>
    <w:rsid w:val="00BE1E12"/>
    <w:rsid w:val="00BE27FB"/>
    <w:rsid w:val="00BE2D09"/>
    <w:rsid w:val="00BE346A"/>
    <w:rsid w:val="00BE46DF"/>
    <w:rsid w:val="00BE496A"/>
    <w:rsid w:val="00BE4ADD"/>
    <w:rsid w:val="00BE576A"/>
    <w:rsid w:val="00BE635E"/>
    <w:rsid w:val="00BE6364"/>
    <w:rsid w:val="00BE6D71"/>
    <w:rsid w:val="00BE6DC4"/>
    <w:rsid w:val="00BE718D"/>
    <w:rsid w:val="00BE729B"/>
    <w:rsid w:val="00BE72BA"/>
    <w:rsid w:val="00BE743C"/>
    <w:rsid w:val="00BE7A12"/>
    <w:rsid w:val="00BE7ADF"/>
    <w:rsid w:val="00BE7B81"/>
    <w:rsid w:val="00BE7CAE"/>
    <w:rsid w:val="00BE7D4F"/>
    <w:rsid w:val="00BF0862"/>
    <w:rsid w:val="00BF0CED"/>
    <w:rsid w:val="00BF1B26"/>
    <w:rsid w:val="00BF1D08"/>
    <w:rsid w:val="00BF26EE"/>
    <w:rsid w:val="00BF341C"/>
    <w:rsid w:val="00BF4B2D"/>
    <w:rsid w:val="00BF5945"/>
    <w:rsid w:val="00BF5C55"/>
    <w:rsid w:val="00BF5D6D"/>
    <w:rsid w:val="00BF5FB6"/>
    <w:rsid w:val="00BF6106"/>
    <w:rsid w:val="00BF6362"/>
    <w:rsid w:val="00BF7293"/>
    <w:rsid w:val="00BF798D"/>
    <w:rsid w:val="00BF7B4F"/>
    <w:rsid w:val="00C005BD"/>
    <w:rsid w:val="00C0066B"/>
    <w:rsid w:val="00C006C6"/>
    <w:rsid w:val="00C009C1"/>
    <w:rsid w:val="00C01AB5"/>
    <w:rsid w:val="00C01B8A"/>
    <w:rsid w:val="00C01E0C"/>
    <w:rsid w:val="00C01FED"/>
    <w:rsid w:val="00C02210"/>
    <w:rsid w:val="00C02596"/>
    <w:rsid w:val="00C027B1"/>
    <w:rsid w:val="00C03666"/>
    <w:rsid w:val="00C0468A"/>
    <w:rsid w:val="00C049A8"/>
    <w:rsid w:val="00C0515C"/>
    <w:rsid w:val="00C05398"/>
    <w:rsid w:val="00C056BE"/>
    <w:rsid w:val="00C06182"/>
    <w:rsid w:val="00C06249"/>
    <w:rsid w:val="00C068BC"/>
    <w:rsid w:val="00C07235"/>
    <w:rsid w:val="00C07871"/>
    <w:rsid w:val="00C0787B"/>
    <w:rsid w:val="00C07B7F"/>
    <w:rsid w:val="00C07EC8"/>
    <w:rsid w:val="00C10243"/>
    <w:rsid w:val="00C10601"/>
    <w:rsid w:val="00C11E89"/>
    <w:rsid w:val="00C1291E"/>
    <w:rsid w:val="00C134F6"/>
    <w:rsid w:val="00C138AA"/>
    <w:rsid w:val="00C13C38"/>
    <w:rsid w:val="00C1424F"/>
    <w:rsid w:val="00C14933"/>
    <w:rsid w:val="00C14D71"/>
    <w:rsid w:val="00C14E0B"/>
    <w:rsid w:val="00C157FC"/>
    <w:rsid w:val="00C15F54"/>
    <w:rsid w:val="00C16C9B"/>
    <w:rsid w:val="00C170D0"/>
    <w:rsid w:val="00C200F2"/>
    <w:rsid w:val="00C2027F"/>
    <w:rsid w:val="00C202FE"/>
    <w:rsid w:val="00C20B16"/>
    <w:rsid w:val="00C2138F"/>
    <w:rsid w:val="00C213C6"/>
    <w:rsid w:val="00C21537"/>
    <w:rsid w:val="00C216A8"/>
    <w:rsid w:val="00C21B3C"/>
    <w:rsid w:val="00C22169"/>
    <w:rsid w:val="00C226EB"/>
    <w:rsid w:val="00C233B3"/>
    <w:rsid w:val="00C235D5"/>
    <w:rsid w:val="00C238FB"/>
    <w:rsid w:val="00C23BF7"/>
    <w:rsid w:val="00C240FA"/>
    <w:rsid w:val="00C24DBF"/>
    <w:rsid w:val="00C25B3F"/>
    <w:rsid w:val="00C2627B"/>
    <w:rsid w:val="00C266DC"/>
    <w:rsid w:val="00C27F6A"/>
    <w:rsid w:val="00C31080"/>
    <w:rsid w:val="00C3227B"/>
    <w:rsid w:val="00C32ACE"/>
    <w:rsid w:val="00C32F37"/>
    <w:rsid w:val="00C33352"/>
    <w:rsid w:val="00C346DD"/>
    <w:rsid w:val="00C34DB4"/>
    <w:rsid w:val="00C35A64"/>
    <w:rsid w:val="00C35E7C"/>
    <w:rsid w:val="00C36835"/>
    <w:rsid w:val="00C36883"/>
    <w:rsid w:val="00C36929"/>
    <w:rsid w:val="00C36B0D"/>
    <w:rsid w:val="00C3744C"/>
    <w:rsid w:val="00C37839"/>
    <w:rsid w:val="00C37C4D"/>
    <w:rsid w:val="00C37EA0"/>
    <w:rsid w:val="00C40335"/>
    <w:rsid w:val="00C409F6"/>
    <w:rsid w:val="00C410D2"/>
    <w:rsid w:val="00C41479"/>
    <w:rsid w:val="00C41E0F"/>
    <w:rsid w:val="00C43670"/>
    <w:rsid w:val="00C43810"/>
    <w:rsid w:val="00C439F1"/>
    <w:rsid w:val="00C44200"/>
    <w:rsid w:val="00C4452E"/>
    <w:rsid w:val="00C45AA0"/>
    <w:rsid w:val="00C45C58"/>
    <w:rsid w:val="00C5042D"/>
    <w:rsid w:val="00C510A7"/>
    <w:rsid w:val="00C518EC"/>
    <w:rsid w:val="00C52AC3"/>
    <w:rsid w:val="00C52FE5"/>
    <w:rsid w:val="00C532A4"/>
    <w:rsid w:val="00C536D2"/>
    <w:rsid w:val="00C53A6A"/>
    <w:rsid w:val="00C53C0D"/>
    <w:rsid w:val="00C54558"/>
    <w:rsid w:val="00C5499F"/>
    <w:rsid w:val="00C5522A"/>
    <w:rsid w:val="00C55359"/>
    <w:rsid w:val="00C558A4"/>
    <w:rsid w:val="00C559CD"/>
    <w:rsid w:val="00C57E04"/>
    <w:rsid w:val="00C6057A"/>
    <w:rsid w:val="00C6060E"/>
    <w:rsid w:val="00C606E2"/>
    <w:rsid w:val="00C60938"/>
    <w:rsid w:val="00C611B9"/>
    <w:rsid w:val="00C61818"/>
    <w:rsid w:val="00C61B06"/>
    <w:rsid w:val="00C61FEC"/>
    <w:rsid w:val="00C62B4F"/>
    <w:rsid w:val="00C62DE0"/>
    <w:rsid w:val="00C62FC2"/>
    <w:rsid w:val="00C6476F"/>
    <w:rsid w:val="00C6512A"/>
    <w:rsid w:val="00C65918"/>
    <w:rsid w:val="00C65FA7"/>
    <w:rsid w:val="00C668EA"/>
    <w:rsid w:val="00C66AC2"/>
    <w:rsid w:val="00C67387"/>
    <w:rsid w:val="00C679CA"/>
    <w:rsid w:val="00C67D0D"/>
    <w:rsid w:val="00C7008E"/>
    <w:rsid w:val="00C7062B"/>
    <w:rsid w:val="00C71A87"/>
    <w:rsid w:val="00C72BDC"/>
    <w:rsid w:val="00C72F35"/>
    <w:rsid w:val="00C73ED0"/>
    <w:rsid w:val="00C7451F"/>
    <w:rsid w:val="00C74ACA"/>
    <w:rsid w:val="00C74F2A"/>
    <w:rsid w:val="00C755F6"/>
    <w:rsid w:val="00C7590B"/>
    <w:rsid w:val="00C75C4F"/>
    <w:rsid w:val="00C75F98"/>
    <w:rsid w:val="00C76946"/>
    <w:rsid w:val="00C76CD4"/>
    <w:rsid w:val="00C76E3F"/>
    <w:rsid w:val="00C77686"/>
    <w:rsid w:val="00C77CEE"/>
    <w:rsid w:val="00C809F1"/>
    <w:rsid w:val="00C80B05"/>
    <w:rsid w:val="00C80D5B"/>
    <w:rsid w:val="00C8138B"/>
    <w:rsid w:val="00C81550"/>
    <w:rsid w:val="00C81775"/>
    <w:rsid w:val="00C81AD2"/>
    <w:rsid w:val="00C81CD7"/>
    <w:rsid w:val="00C81ECD"/>
    <w:rsid w:val="00C82268"/>
    <w:rsid w:val="00C83AEC"/>
    <w:rsid w:val="00C83E44"/>
    <w:rsid w:val="00C84348"/>
    <w:rsid w:val="00C856EA"/>
    <w:rsid w:val="00C86D05"/>
    <w:rsid w:val="00C8742E"/>
    <w:rsid w:val="00C8778D"/>
    <w:rsid w:val="00C87955"/>
    <w:rsid w:val="00C90FC8"/>
    <w:rsid w:val="00C91075"/>
    <w:rsid w:val="00C929B3"/>
    <w:rsid w:val="00C92A0D"/>
    <w:rsid w:val="00C93523"/>
    <w:rsid w:val="00C93568"/>
    <w:rsid w:val="00C9443B"/>
    <w:rsid w:val="00C9490F"/>
    <w:rsid w:val="00C955D7"/>
    <w:rsid w:val="00C95951"/>
    <w:rsid w:val="00C9629D"/>
    <w:rsid w:val="00C96830"/>
    <w:rsid w:val="00C96C19"/>
    <w:rsid w:val="00C96E34"/>
    <w:rsid w:val="00C97067"/>
    <w:rsid w:val="00C9717B"/>
    <w:rsid w:val="00C973BB"/>
    <w:rsid w:val="00C97465"/>
    <w:rsid w:val="00C9749B"/>
    <w:rsid w:val="00C974CA"/>
    <w:rsid w:val="00C97586"/>
    <w:rsid w:val="00C97BA2"/>
    <w:rsid w:val="00C97E88"/>
    <w:rsid w:val="00CA00C9"/>
    <w:rsid w:val="00CA0640"/>
    <w:rsid w:val="00CA076C"/>
    <w:rsid w:val="00CA0E7A"/>
    <w:rsid w:val="00CA1AD6"/>
    <w:rsid w:val="00CA1F3B"/>
    <w:rsid w:val="00CA22F9"/>
    <w:rsid w:val="00CA2CFC"/>
    <w:rsid w:val="00CA31D6"/>
    <w:rsid w:val="00CA39B7"/>
    <w:rsid w:val="00CA43EA"/>
    <w:rsid w:val="00CA45E8"/>
    <w:rsid w:val="00CA46A8"/>
    <w:rsid w:val="00CA4DDD"/>
    <w:rsid w:val="00CA59E3"/>
    <w:rsid w:val="00CA5AF6"/>
    <w:rsid w:val="00CA5B91"/>
    <w:rsid w:val="00CA62C6"/>
    <w:rsid w:val="00CA6A87"/>
    <w:rsid w:val="00CA6B6E"/>
    <w:rsid w:val="00CA760E"/>
    <w:rsid w:val="00CA7BAE"/>
    <w:rsid w:val="00CB0368"/>
    <w:rsid w:val="00CB2149"/>
    <w:rsid w:val="00CB2159"/>
    <w:rsid w:val="00CB22EA"/>
    <w:rsid w:val="00CB252D"/>
    <w:rsid w:val="00CB28EF"/>
    <w:rsid w:val="00CB2A72"/>
    <w:rsid w:val="00CB3767"/>
    <w:rsid w:val="00CB4AB3"/>
    <w:rsid w:val="00CB4BBD"/>
    <w:rsid w:val="00CB4C86"/>
    <w:rsid w:val="00CB508B"/>
    <w:rsid w:val="00CB5223"/>
    <w:rsid w:val="00CB52E9"/>
    <w:rsid w:val="00CB5B7B"/>
    <w:rsid w:val="00CB5E54"/>
    <w:rsid w:val="00CB5F3F"/>
    <w:rsid w:val="00CB6418"/>
    <w:rsid w:val="00CB6CF5"/>
    <w:rsid w:val="00CB6D15"/>
    <w:rsid w:val="00CB718E"/>
    <w:rsid w:val="00CB740B"/>
    <w:rsid w:val="00CC0C48"/>
    <w:rsid w:val="00CC1CAA"/>
    <w:rsid w:val="00CC237C"/>
    <w:rsid w:val="00CC2F81"/>
    <w:rsid w:val="00CC3DCA"/>
    <w:rsid w:val="00CC435D"/>
    <w:rsid w:val="00CC4504"/>
    <w:rsid w:val="00CC4F1E"/>
    <w:rsid w:val="00CC5FBE"/>
    <w:rsid w:val="00CC6778"/>
    <w:rsid w:val="00CC67F2"/>
    <w:rsid w:val="00CC6BC0"/>
    <w:rsid w:val="00CC7706"/>
    <w:rsid w:val="00CD0915"/>
    <w:rsid w:val="00CD135D"/>
    <w:rsid w:val="00CD19A8"/>
    <w:rsid w:val="00CD19DB"/>
    <w:rsid w:val="00CD1A48"/>
    <w:rsid w:val="00CD2E3C"/>
    <w:rsid w:val="00CD30FC"/>
    <w:rsid w:val="00CD3466"/>
    <w:rsid w:val="00CD39A2"/>
    <w:rsid w:val="00CD3C29"/>
    <w:rsid w:val="00CD4B87"/>
    <w:rsid w:val="00CD4D4B"/>
    <w:rsid w:val="00CD55DB"/>
    <w:rsid w:val="00CD63AD"/>
    <w:rsid w:val="00CD64FD"/>
    <w:rsid w:val="00CE1045"/>
    <w:rsid w:val="00CE12F6"/>
    <w:rsid w:val="00CE167E"/>
    <w:rsid w:val="00CE185E"/>
    <w:rsid w:val="00CE1E88"/>
    <w:rsid w:val="00CE26E6"/>
    <w:rsid w:val="00CE2981"/>
    <w:rsid w:val="00CE31B1"/>
    <w:rsid w:val="00CE3FDA"/>
    <w:rsid w:val="00CE4450"/>
    <w:rsid w:val="00CE4772"/>
    <w:rsid w:val="00CE49B6"/>
    <w:rsid w:val="00CE4A28"/>
    <w:rsid w:val="00CE51FB"/>
    <w:rsid w:val="00CE52A5"/>
    <w:rsid w:val="00CE54E4"/>
    <w:rsid w:val="00CE56C5"/>
    <w:rsid w:val="00CE5C3A"/>
    <w:rsid w:val="00CE6A84"/>
    <w:rsid w:val="00CE6C8C"/>
    <w:rsid w:val="00CE7027"/>
    <w:rsid w:val="00CE7BA9"/>
    <w:rsid w:val="00CE7CC1"/>
    <w:rsid w:val="00CE7E37"/>
    <w:rsid w:val="00CF0972"/>
    <w:rsid w:val="00CF0AE0"/>
    <w:rsid w:val="00CF10F8"/>
    <w:rsid w:val="00CF120B"/>
    <w:rsid w:val="00CF194D"/>
    <w:rsid w:val="00CF2301"/>
    <w:rsid w:val="00CF31B4"/>
    <w:rsid w:val="00CF32A8"/>
    <w:rsid w:val="00CF33E8"/>
    <w:rsid w:val="00CF393E"/>
    <w:rsid w:val="00CF427E"/>
    <w:rsid w:val="00CF4606"/>
    <w:rsid w:val="00CF4664"/>
    <w:rsid w:val="00CF4CEF"/>
    <w:rsid w:val="00CF5D3E"/>
    <w:rsid w:val="00CF610C"/>
    <w:rsid w:val="00CF6431"/>
    <w:rsid w:val="00CF6491"/>
    <w:rsid w:val="00CF6592"/>
    <w:rsid w:val="00CF6E52"/>
    <w:rsid w:val="00CF777F"/>
    <w:rsid w:val="00D00206"/>
    <w:rsid w:val="00D003F7"/>
    <w:rsid w:val="00D005BA"/>
    <w:rsid w:val="00D00B10"/>
    <w:rsid w:val="00D01DCF"/>
    <w:rsid w:val="00D01E03"/>
    <w:rsid w:val="00D01F15"/>
    <w:rsid w:val="00D025F0"/>
    <w:rsid w:val="00D02606"/>
    <w:rsid w:val="00D02A6F"/>
    <w:rsid w:val="00D04514"/>
    <w:rsid w:val="00D0465B"/>
    <w:rsid w:val="00D058CD"/>
    <w:rsid w:val="00D05D6D"/>
    <w:rsid w:val="00D062B1"/>
    <w:rsid w:val="00D06465"/>
    <w:rsid w:val="00D067C4"/>
    <w:rsid w:val="00D076D9"/>
    <w:rsid w:val="00D10489"/>
    <w:rsid w:val="00D11A35"/>
    <w:rsid w:val="00D11E06"/>
    <w:rsid w:val="00D1224D"/>
    <w:rsid w:val="00D12517"/>
    <w:rsid w:val="00D1259C"/>
    <w:rsid w:val="00D13710"/>
    <w:rsid w:val="00D13846"/>
    <w:rsid w:val="00D13C46"/>
    <w:rsid w:val="00D14325"/>
    <w:rsid w:val="00D146EB"/>
    <w:rsid w:val="00D15656"/>
    <w:rsid w:val="00D1622E"/>
    <w:rsid w:val="00D16E98"/>
    <w:rsid w:val="00D17ABE"/>
    <w:rsid w:val="00D20835"/>
    <w:rsid w:val="00D20D52"/>
    <w:rsid w:val="00D20EF6"/>
    <w:rsid w:val="00D219AA"/>
    <w:rsid w:val="00D21D01"/>
    <w:rsid w:val="00D2237A"/>
    <w:rsid w:val="00D22668"/>
    <w:rsid w:val="00D22D3F"/>
    <w:rsid w:val="00D235D9"/>
    <w:rsid w:val="00D23E73"/>
    <w:rsid w:val="00D240B5"/>
    <w:rsid w:val="00D24BD1"/>
    <w:rsid w:val="00D24F18"/>
    <w:rsid w:val="00D2588A"/>
    <w:rsid w:val="00D25B60"/>
    <w:rsid w:val="00D25EA2"/>
    <w:rsid w:val="00D26217"/>
    <w:rsid w:val="00D26522"/>
    <w:rsid w:val="00D2724F"/>
    <w:rsid w:val="00D277FB"/>
    <w:rsid w:val="00D278F0"/>
    <w:rsid w:val="00D279E2"/>
    <w:rsid w:val="00D308F6"/>
    <w:rsid w:val="00D31721"/>
    <w:rsid w:val="00D31CA9"/>
    <w:rsid w:val="00D31F97"/>
    <w:rsid w:val="00D3268E"/>
    <w:rsid w:val="00D32986"/>
    <w:rsid w:val="00D334AD"/>
    <w:rsid w:val="00D338DB"/>
    <w:rsid w:val="00D3511F"/>
    <w:rsid w:val="00D35B8D"/>
    <w:rsid w:val="00D360DF"/>
    <w:rsid w:val="00D36813"/>
    <w:rsid w:val="00D36BE0"/>
    <w:rsid w:val="00D36DB6"/>
    <w:rsid w:val="00D3752B"/>
    <w:rsid w:val="00D37CE0"/>
    <w:rsid w:val="00D40470"/>
    <w:rsid w:val="00D41147"/>
    <w:rsid w:val="00D417E4"/>
    <w:rsid w:val="00D41F91"/>
    <w:rsid w:val="00D43190"/>
    <w:rsid w:val="00D4457F"/>
    <w:rsid w:val="00D44AD8"/>
    <w:rsid w:val="00D44B6E"/>
    <w:rsid w:val="00D4515E"/>
    <w:rsid w:val="00D4521D"/>
    <w:rsid w:val="00D45819"/>
    <w:rsid w:val="00D46397"/>
    <w:rsid w:val="00D464F2"/>
    <w:rsid w:val="00D50F44"/>
    <w:rsid w:val="00D52933"/>
    <w:rsid w:val="00D52C36"/>
    <w:rsid w:val="00D52FF0"/>
    <w:rsid w:val="00D53395"/>
    <w:rsid w:val="00D537E5"/>
    <w:rsid w:val="00D538C9"/>
    <w:rsid w:val="00D53F67"/>
    <w:rsid w:val="00D53F9F"/>
    <w:rsid w:val="00D549DF"/>
    <w:rsid w:val="00D54ECB"/>
    <w:rsid w:val="00D5591C"/>
    <w:rsid w:val="00D56683"/>
    <w:rsid w:val="00D574A2"/>
    <w:rsid w:val="00D57592"/>
    <w:rsid w:val="00D578EF"/>
    <w:rsid w:val="00D57F1A"/>
    <w:rsid w:val="00D6001A"/>
    <w:rsid w:val="00D60FC7"/>
    <w:rsid w:val="00D6189E"/>
    <w:rsid w:val="00D61ABB"/>
    <w:rsid w:val="00D61E4F"/>
    <w:rsid w:val="00D62166"/>
    <w:rsid w:val="00D62E71"/>
    <w:rsid w:val="00D63146"/>
    <w:rsid w:val="00D640FB"/>
    <w:rsid w:val="00D64BB4"/>
    <w:rsid w:val="00D65159"/>
    <w:rsid w:val="00D658AD"/>
    <w:rsid w:val="00D65AEB"/>
    <w:rsid w:val="00D65C56"/>
    <w:rsid w:val="00D66CBB"/>
    <w:rsid w:val="00D67377"/>
    <w:rsid w:val="00D6791C"/>
    <w:rsid w:val="00D7035F"/>
    <w:rsid w:val="00D70514"/>
    <w:rsid w:val="00D70BAB"/>
    <w:rsid w:val="00D71247"/>
    <w:rsid w:val="00D71305"/>
    <w:rsid w:val="00D715A7"/>
    <w:rsid w:val="00D718B8"/>
    <w:rsid w:val="00D71BF7"/>
    <w:rsid w:val="00D71CA8"/>
    <w:rsid w:val="00D71CEC"/>
    <w:rsid w:val="00D72465"/>
    <w:rsid w:val="00D724CE"/>
    <w:rsid w:val="00D7260C"/>
    <w:rsid w:val="00D729DF"/>
    <w:rsid w:val="00D72B70"/>
    <w:rsid w:val="00D72FAE"/>
    <w:rsid w:val="00D731D0"/>
    <w:rsid w:val="00D738D2"/>
    <w:rsid w:val="00D73CDD"/>
    <w:rsid w:val="00D741C8"/>
    <w:rsid w:val="00D7495B"/>
    <w:rsid w:val="00D74E94"/>
    <w:rsid w:val="00D74F71"/>
    <w:rsid w:val="00D75395"/>
    <w:rsid w:val="00D754DA"/>
    <w:rsid w:val="00D76565"/>
    <w:rsid w:val="00D766B4"/>
    <w:rsid w:val="00D777EE"/>
    <w:rsid w:val="00D77C21"/>
    <w:rsid w:val="00D80444"/>
    <w:rsid w:val="00D809E4"/>
    <w:rsid w:val="00D80B5A"/>
    <w:rsid w:val="00D81B85"/>
    <w:rsid w:val="00D81DF9"/>
    <w:rsid w:val="00D81EDD"/>
    <w:rsid w:val="00D8312F"/>
    <w:rsid w:val="00D8486E"/>
    <w:rsid w:val="00D84EA2"/>
    <w:rsid w:val="00D84F77"/>
    <w:rsid w:val="00D852CF"/>
    <w:rsid w:val="00D852EB"/>
    <w:rsid w:val="00D85E8A"/>
    <w:rsid w:val="00D86103"/>
    <w:rsid w:val="00D8663B"/>
    <w:rsid w:val="00D86696"/>
    <w:rsid w:val="00D875BA"/>
    <w:rsid w:val="00D878B6"/>
    <w:rsid w:val="00D87FC0"/>
    <w:rsid w:val="00D906A7"/>
    <w:rsid w:val="00D90C1B"/>
    <w:rsid w:val="00D90FB3"/>
    <w:rsid w:val="00D910B9"/>
    <w:rsid w:val="00D91E87"/>
    <w:rsid w:val="00D92243"/>
    <w:rsid w:val="00D925D1"/>
    <w:rsid w:val="00D92668"/>
    <w:rsid w:val="00D93AD4"/>
    <w:rsid w:val="00D94948"/>
    <w:rsid w:val="00D94BE4"/>
    <w:rsid w:val="00D94F27"/>
    <w:rsid w:val="00D9531F"/>
    <w:rsid w:val="00D956C2"/>
    <w:rsid w:val="00D95B37"/>
    <w:rsid w:val="00D9626D"/>
    <w:rsid w:val="00D96E32"/>
    <w:rsid w:val="00D979CF"/>
    <w:rsid w:val="00D97DD9"/>
    <w:rsid w:val="00DA04CA"/>
    <w:rsid w:val="00DA0841"/>
    <w:rsid w:val="00DA0B8F"/>
    <w:rsid w:val="00DA100A"/>
    <w:rsid w:val="00DA17F7"/>
    <w:rsid w:val="00DA1A7B"/>
    <w:rsid w:val="00DA1DC6"/>
    <w:rsid w:val="00DA1F2A"/>
    <w:rsid w:val="00DA1FA8"/>
    <w:rsid w:val="00DA236C"/>
    <w:rsid w:val="00DA4093"/>
    <w:rsid w:val="00DA430B"/>
    <w:rsid w:val="00DA432C"/>
    <w:rsid w:val="00DA4677"/>
    <w:rsid w:val="00DA5392"/>
    <w:rsid w:val="00DB0034"/>
    <w:rsid w:val="00DB0677"/>
    <w:rsid w:val="00DB08A2"/>
    <w:rsid w:val="00DB0D6D"/>
    <w:rsid w:val="00DB1035"/>
    <w:rsid w:val="00DB1976"/>
    <w:rsid w:val="00DB1F84"/>
    <w:rsid w:val="00DB2950"/>
    <w:rsid w:val="00DB2F12"/>
    <w:rsid w:val="00DB42CC"/>
    <w:rsid w:val="00DB447B"/>
    <w:rsid w:val="00DB44A1"/>
    <w:rsid w:val="00DB4A8A"/>
    <w:rsid w:val="00DB4D5B"/>
    <w:rsid w:val="00DB5CD7"/>
    <w:rsid w:val="00DB6647"/>
    <w:rsid w:val="00DB6744"/>
    <w:rsid w:val="00DC098F"/>
    <w:rsid w:val="00DC0C9F"/>
    <w:rsid w:val="00DC1727"/>
    <w:rsid w:val="00DC1843"/>
    <w:rsid w:val="00DC3006"/>
    <w:rsid w:val="00DC30E4"/>
    <w:rsid w:val="00DC33BA"/>
    <w:rsid w:val="00DC4064"/>
    <w:rsid w:val="00DC448E"/>
    <w:rsid w:val="00DC4957"/>
    <w:rsid w:val="00DC4959"/>
    <w:rsid w:val="00DC4AE2"/>
    <w:rsid w:val="00DC5BF9"/>
    <w:rsid w:val="00DC63B3"/>
    <w:rsid w:val="00DC6B6C"/>
    <w:rsid w:val="00DC757B"/>
    <w:rsid w:val="00DD0B5D"/>
    <w:rsid w:val="00DD0DD0"/>
    <w:rsid w:val="00DD123C"/>
    <w:rsid w:val="00DD2877"/>
    <w:rsid w:val="00DD29DC"/>
    <w:rsid w:val="00DD2EDE"/>
    <w:rsid w:val="00DD3144"/>
    <w:rsid w:val="00DD3886"/>
    <w:rsid w:val="00DD38A3"/>
    <w:rsid w:val="00DD38F0"/>
    <w:rsid w:val="00DD406B"/>
    <w:rsid w:val="00DD54B7"/>
    <w:rsid w:val="00DD573E"/>
    <w:rsid w:val="00DD67AC"/>
    <w:rsid w:val="00DD7FD2"/>
    <w:rsid w:val="00DE0E0F"/>
    <w:rsid w:val="00DE0F3E"/>
    <w:rsid w:val="00DE1DEE"/>
    <w:rsid w:val="00DE2889"/>
    <w:rsid w:val="00DE2A8A"/>
    <w:rsid w:val="00DE3218"/>
    <w:rsid w:val="00DE33F9"/>
    <w:rsid w:val="00DE3693"/>
    <w:rsid w:val="00DE452C"/>
    <w:rsid w:val="00DE4669"/>
    <w:rsid w:val="00DE4B38"/>
    <w:rsid w:val="00DE55DA"/>
    <w:rsid w:val="00DE5831"/>
    <w:rsid w:val="00DE59B1"/>
    <w:rsid w:val="00DE5C5C"/>
    <w:rsid w:val="00DE658C"/>
    <w:rsid w:val="00DE6816"/>
    <w:rsid w:val="00DE6BED"/>
    <w:rsid w:val="00DE76D7"/>
    <w:rsid w:val="00DE774B"/>
    <w:rsid w:val="00DF06C4"/>
    <w:rsid w:val="00DF0BD1"/>
    <w:rsid w:val="00DF1033"/>
    <w:rsid w:val="00DF1156"/>
    <w:rsid w:val="00DF1173"/>
    <w:rsid w:val="00DF2CB0"/>
    <w:rsid w:val="00DF33A6"/>
    <w:rsid w:val="00DF383C"/>
    <w:rsid w:val="00DF4465"/>
    <w:rsid w:val="00DF451B"/>
    <w:rsid w:val="00DF451C"/>
    <w:rsid w:val="00DF4F09"/>
    <w:rsid w:val="00DF5B04"/>
    <w:rsid w:val="00DF5D03"/>
    <w:rsid w:val="00DF6006"/>
    <w:rsid w:val="00DF6955"/>
    <w:rsid w:val="00DF6AE6"/>
    <w:rsid w:val="00DF7B01"/>
    <w:rsid w:val="00DF7CFE"/>
    <w:rsid w:val="00DF7E4B"/>
    <w:rsid w:val="00E00957"/>
    <w:rsid w:val="00E00EC1"/>
    <w:rsid w:val="00E01DDD"/>
    <w:rsid w:val="00E0232E"/>
    <w:rsid w:val="00E0349F"/>
    <w:rsid w:val="00E03FCB"/>
    <w:rsid w:val="00E0443E"/>
    <w:rsid w:val="00E0480A"/>
    <w:rsid w:val="00E05FCE"/>
    <w:rsid w:val="00E065CE"/>
    <w:rsid w:val="00E06901"/>
    <w:rsid w:val="00E076EA"/>
    <w:rsid w:val="00E0787C"/>
    <w:rsid w:val="00E07E93"/>
    <w:rsid w:val="00E07F12"/>
    <w:rsid w:val="00E10734"/>
    <w:rsid w:val="00E120FC"/>
    <w:rsid w:val="00E12997"/>
    <w:rsid w:val="00E12D07"/>
    <w:rsid w:val="00E145C0"/>
    <w:rsid w:val="00E14BA9"/>
    <w:rsid w:val="00E14CCB"/>
    <w:rsid w:val="00E14D96"/>
    <w:rsid w:val="00E1593B"/>
    <w:rsid w:val="00E16B24"/>
    <w:rsid w:val="00E1701F"/>
    <w:rsid w:val="00E1736D"/>
    <w:rsid w:val="00E1746A"/>
    <w:rsid w:val="00E207AC"/>
    <w:rsid w:val="00E2095F"/>
    <w:rsid w:val="00E2135A"/>
    <w:rsid w:val="00E21393"/>
    <w:rsid w:val="00E2168A"/>
    <w:rsid w:val="00E224FF"/>
    <w:rsid w:val="00E2254B"/>
    <w:rsid w:val="00E22FD4"/>
    <w:rsid w:val="00E23A0E"/>
    <w:rsid w:val="00E23EE3"/>
    <w:rsid w:val="00E245A1"/>
    <w:rsid w:val="00E24831"/>
    <w:rsid w:val="00E24F05"/>
    <w:rsid w:val="00E25228"/>
    <w:rsid w:val="00E25361"/>
    <w:rsid w:val="00E25725"/>
    <w:rsid w:val="00E258F1"/>
    <w:rsid w:val="00E271CE"/>
    <w:rsid w:val="00E27953"/>
    <w:rsid w:val="00E27A9D"/>
    <w:rsid w:val="00E305E3"/>
    <w:rsid w:val="00E30F56"/>
    <w:rsid w:val="00E31001"/>
    <w:rsid w:val="00E313DB"/>
    <w:rsid w:val="00E314BF"/>
    <w:rsid w:val="00E318E5"/>
    <w:rsid w:val="00E31B52"/>
    <w:rsid w:val="00E328C4"/>
    <w:rsid w:val="00E32B7F"/>
    <w:rsid w:val="00E3391B"/>
    <w:rsid w:val="00E3486A"/>
    <w:rsid w:val="00E34A4E"/>
    <w:rsid w:val="00E34F39"/>
    <w:rsid w:val="00E35198"/>
    <w:rsid w:val="00E35AA6"/>
    <w:rsid w:val="00E3733B"/>
    <w:rsid w:val="00E37861"/>
    <w:rsid w:val="00E40EDA"/>
    <w:rsid w:val="00E413DE"/>
    <w:rsid w:val="00E41A97"/>
    <w:rsid w:val="00E41B74"/>
    <w:rsid w:val="00E41C8A"/>
    <w:rsid w:val="00E41D06"/>
    <w:rsid w:val="00E41D0D"/>
    <w:rsid w:val="00E41E33"/>
    <w:rsid w:val="00E42296"/>
    <w:rsid w:val="00E4260A"/>
    <w:rsid w:val="00E426BD"/>
    <w:rsid w:val="00E4352A"/>
    <w:rsid w:val="00E43A79"/>
    <w:rsid w:val="00E43C83"/>
    <w:rsid w:val="00E43CD1"/>
    <w:rsid w:val="00E44174"/>
    <w:rsid w:val="00E444C4"/>
    <w:rsid w:val="00E4466E"/>
    <w:rsid w:val="00E45508"/>
    <w:rsid w:val="00E46685"/>
    <w:rsid w:val="00E502D6"/>
    <w:rsid w:val="00E504B0"/>
    <w:rsid w:val="00E507BE"/>
    <w:rsid w:val="00E50A06"/>
    <w:rsid w:val="00E510EB"/>
    <w:rsid w:val="00E51559"/>
    <w:rsid w:val="00E51D63"/>
    <w:rsid w:val="00E5259C"/>
    <w:rsid w:val="00E52624"/>
    <w:rsid w:val="00E5265D"/>
    <w:rsid w:val="00E528E2"/>
    <w:rsid w:val="00E540BC"/>
    <w:rsid w:val="00E5413A"/>
    <w:rsid w:val="00E542CF"/>
    <w:rsid w:val="00E545D0"/>
    <w:rsid w:val="00E546D8"/>
    <w:rsid w:val="00E55289"/>
    <w:rsid w:val="00E55480"/>
    <w:rsid w:val="00E55AC7"/>
    <w:rsid w:val="00E55C26"/>
    <w:rsid w:val="00E55EA0"/>
    <w:rsid w:val="00E56AE4"/>
    <w:rsid w:val="00E56C8D"/>
    <w:rsid w:val="00E56FBE"/>
    <w:rsid w:val="00E600CD"/>
    <w:rsid w:val="00E60219"/>
    <w:rsid w:val="00E60AD9"/>
    <w:rsid w:val="00E61149"/>
    <w:rsid w:val="00E61239"/>
    <w:rsid w:val="00E62EF4"/>
    <w:rsid w:val="00E632EA"/>
    <w:rsid w:val="00E63F1C"/>
    <w:rsid w:val="00E64613"/>
    <w:rsid w:val="00E650E0"/>
    <w:rsid w:val="00E654A0"/>
    <w:rsid w:val="00E65521"/>
    <w:rsid w:val="00E65D6D"/>
    <w:rsid w:val="00E66CAF"/>
    <w:rsid w:val="00E67455"/>
    <w:rsid w:val="00E67611"/>
    <w:rsid w:val="00E67FF3"/>
    <w:rsid w:val="00E701AC"/>
    <w:rsid w:val="00E719E2"/>
    <w:rsid w:val="00E71E0E"/>
    <w:rsid w:val="00E72497"/>
    <w:rsid w:val="00E72D4B"/>
    <w:rsid w:val="00E72F90"/>
    <w:rsid w:val="00E730F3"/>
    <w:rsid w:val="00E73424"/>
    <w:rsid w:val="00E7374B"/>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267D"/>
    <w:rsid w:val="00E82B57"/>
    <w:rsid w:val="00E82FDB"/>
    <w:rsid w:val="00E83572"/>
    <w:rsid w:val="00E83C17"/>
    <w:rsid w:val="00E84410"/>
    <w:rsid w:val="00E844ED"/>
    <w:rsid w:val="00E84AB8"/>
    <w:rsid w:val="00E84FDA"/>
    <w:rsid w:val="00E85271"/>
    <w:rsid w:val="00E85BAC"/>
    <w:rsid w:val="00E8653F"/>
    <w:rsid w:val="00E86C05"/>
    <w:rsid w:val="00E8726B"/>
    <w:rsid w:val="00E90372"/>
    <w:rsid w:val="00E904FF"/>
    <w:rsid w:val="00E90C8F"/>
    <w:rsid w:val="00E90E09"/>
    <w:rsid w:val="00E91006"/>
    <w:rsid w:val="00E91200"/>
    <w:rsid w:val="00E91851"/>
    <w:rsid w:val="00E92106"/>
    <w:rsid w:val="00E92204"/>
    <w:rsid w:val="00E92DE7"/>
    <w:rsid w:val="00E93025"/>
    <w:rsid w:val="00E93149"/>
    <w:rsid w:val="00E93276"/>
    <w:rsid w:val="00E93457"/>
    <w:rsid w:val="00E93F35"/>
    <w:rsid w:val="00E94D65"/>
    <w:rsid w:val="00E955FA"/>
    <w:rsid w:val="00E956FD"/>
    <w:rsid w:val="00E971FE"/>
    <w:rsid w:val="00E97C2F"/>
    <w:rsid w:val="00EA04FB"/>
    <w:rsid w:val="00EA0E90"/>
    <w:rsid w:val="00EA1864"/>
    <w:rsid w:val="00EA1F76"/>
    <w:rsid w:val="00EA313B"/>
    <w:rsid w:val="00EA4C1F"/>
    <w:rsid w:val="00EA5469"/>
    <w:rsid w:val="00EA5B2B"/>
    <w:rsid w:val="00EA6041"/>
    <w:rsid w:val="00EA737F"/>
    <w:rsid w:val="00EA7EA7"/>
    <w:rsid w:val="00EB0239"/>
    <w:rsid w:val="00EB0AFA"/>
    <w:rsid w:val="00EB0C68"/>
    <w:rsid w:val="00EB1CF4"/>
    <w:rsid w:val="00EB206F"/>
    <w:rsid w:val="00EB2AC5"/>
    <w:rsid w:val="00EB2BE8"/>
    <w:rsid w:val="00EB2F9B"/>
    <w:rsid w:val="00EB311C"/>
    <w:rsid w:val="00EB349F"/>
    <w:rsid w:val="00EB352A"/>
    <w:rsid w:val="00EB3FD5"/>
    <w:rsid w:val="00EB47A3"/>
    <w:rsid w:val="00EB4897"/>
    <w:rsid w:val="00EB548E"/>
    <w:rsid w:val="00EB5707"/>
    <w:rsid w:val="00EB5ECF"/>
    <w:rsid w:val="00EB5F05"/>
    <w:rsid w:val="00EB6396"/>
    <w:rsid w:val="00EB64E0"/>
    <w:rsid w:val="00EB65D1"/>
    <w:rsid w:val="00EB6B8E"/>
    <w:rsid w:val="00EB7E12"/>
    <w:rsid w:val="00EC0F44"/>
    <w:rsid w:val="00EC1151"/>
    <w:rsid w:val="00EC115E"/>
    <w:rsid w:val="00EC1362"/>
    <w:rsid w:val="00EC14F5"/>
    <w:rsid w:val="00EC238F"/>
    <w:rsid w:val="00EC291E"/>
    <w:rsid w:val="00EC2EEA"/>
    <w:rsid w:val="00EC6033"/>
    <w:rsid w:val="00EC61F5"/>
    <w:rsid w:val="00EC67DE"/>
    <w:rsid w:val="00EC6ABB"/>
    <w:rsid w:val="00EC747F"/>
    <w:rsid w:val="00EC7865"/>
    <w:rsid w:val="00EC7B44"/>
    <w:rsid w:val="00EC7B71"/>
    <w:rsid w:val="00ED0072"/>
    <w:rsid w:val="00ED0426"/>
    <w:rsid w:val="00ED08F0"/>
    <w:rsid w:val="00ED10D9"/>
    <w:rsid w:val="00ED1397"/>
    <w:rsid w:val="00ED19DB"/>
    <w:rsid w:val="00ED2048"/>
    <w:rsid w:val="00ED21D3"/>
    <w:rsid w:val="00ED22D6"/>
    <w:rsid w:val="00ED28F4"/>
    <w:rsid w:val="00ED2AAC"/>
    <w:rsid w:val="00ED2D91"/>
    <w:rsid w:val="00ED30A9"/>
    <w:rsid w:val="00ED3204"/>
    <w:rsid w:val="00ED37C2"/>
    <w:rsid w:val="00ED3FD9"/>
    <w:rsid w:val="00ED42D5"/>
    <w:rsid w:val="00ED43C6"/>
    <w:rsid w:val="00ED4BA1"/>
    <w:rsid w:val="00ED52D1"/>
    <w:rsid w:val="00ED5476"/>
    <w:rsid w:val="00ED62D1"/>
    <w:rsid w:val="00ED6DC2"/>
    <w:rsid w:val="00ED7413"/>
    <w:rsid w:val="00ED7430"/>
    <w:rsid w:val="00ED7482"/>
    <w:rsid w:val="00ED7864"/>
    <w:rsid w:val="00ED7AAE"/>
    <w:rsid w:val="00ED7DAC"/>
    <w:rsid w:val="00ED7DFF"/>
    <w:rsid w:val="00ED7E00"/>
    <w:rsid w:val="00EE0175"/>
    <w:rsid w:val="00EE0200"/>
    <w:rsid w:val="00EE0F6C"/>
    <w:rsid w:val="00EE1465"/>
    <w:rsid w:val="00EE1D25"/>
    <w:rsid w:val="00EE2C69"/>
    <w:rsid w:val="00EE3066"/>
    <w:rsid w:val="00EE34DD"/>
    <w:rsid w:val="00EE3C92"/>
    <w:rsid w:val="00EE447F"/>
    <w:rsid w:val="00EE4674"/>
    <w:rsid w:val="00EE47C6"/>
    <w:rsid w:val="00EE4D84"/>
    <w:rsid w:val="00EE4EE4"/>
    <w:rsid w:val="00EE4F4E"/>
    <w:rsid w:val="00EE5177"/>
    <w:rsid w:val="00EE575C"/>
    <w:rsid w:val="00EE5F95"/>
    <w:rsid w:val="00EE6B6F"/>
    <w:rsid w:val="00EE76B1"/>
    <w:rsid w:val="00EE7818"/>
    <w:rsid w:val="00EF0B59"/>
    <w:rsid w:val="00EF0F59"/>
    <w:rsid w:val="00EF1196"/>
    <w:rsid w:val="00EF1A1A"/>
    <w:rsid w:val="00EF1A5A"/>
    <w:rsid w:val="00EF1DEA"/>
    <w:rsid w:val="00EF20D2"/>
    <w:rsid w:val="00EF2B23"/>
    <w:rsid w:val="00EF3A01"/>
    <w:rsid w:val="00EF4D0F"/>
    <w:rsid w:val="00EF4D9C"/>
    <w:rsid w:val="00EF52F1"/>
    <w:rsid w:val="00EF5FF8"/>
    <w:rsid w:val="00EF6F58"/>
    <w:rsid w:val="00EF6FA1"/>
    <w:rsid w:val="00EF71A3"/>
    <w:rsid w:val="00EF7935"/>
    <w:rsid w:val="00EF7C5F"/>
    <w:rsid w:val="00F01526"/>
    <w:rsid w:val="00F023A7"/>
    <w:rsid w:val="00F02EDC"/>
    <w:rsid w:val="00F039E2"/>
    <w:rsid w:val="00F041B8"/>
    <w:rsid w:val="00F04A95"/>
    <w:rsid w:val="00F058D3"/>
    <w:rsid w:val="00F05A50"/>
    <w:rsid w:val="00F05BF0"/>
    <w:rsid w:val="00F05E89"/>
    <w:rsid w:val="00F05F02"/>
    <w:rsid w:val="00F10169"/>
    <w:rsid w:val="00F1092B"/>
    <w:rsid w:val="00F10A38"/>
    <w:rsid w:val="00F1176A"/>
    <w:rsid w:val="00F11FF3"/>
    <w:rsid w:val="00F129F7"/>
    <w:rsid w:val="00F12B51"/>
    <w:rsid w:val="00F12BF1"/>
    <w:rsid w:val="00F12F4D"/>
    <w:rsid w:val="00F12FB0"/>
    <w:rsid w:val="00F13A10"/>
    <w:rsid w:val="00F13C4C"/>
    <w:rsid w:val="00F1523B"/>
    <w:rsid w:val="00F16039"/>
    <w:rsid w:val="00F1603A"/>
    <w:rsid w:val="00F163AC"/>
    <w:rsid w:val="00F16DFC"/>
    <w:rsid w:val="00F16E57"/>
    <w:rsid w:val="00F17165"/>
    <w:rsid w:val="00F20450"/>
    <w:rsid w:val="00F20491"/>
    <w:rsid w:val="00F206DE"/>
    <w:rsid w:val="00F20903"/>
    <w:rsid w:val="00F20DCF"/>
    <w:rsid w:val="00F20E1B"/>
    <w:rsid w:val="00F23331"/>
    <w:rsid w:val="00F238F5"/>
    <w:rsid w:val="00F23CF2"/>
    <w:rsid w:val="00F24179"/>
    <w:rsid w:val="00F2498E"/>
    <w:rsid w:val="00F249C5"/>
    <w:rsid w:val="00F25865"/>
    <w:rsid w:val="00F270F0"/>
    <w:rsid w:val="00F276A8"/>
    <w:rsid w:val="00F27DB1"/>
    <w:rsid w:val="00F30FCB"/>
    <w:rsid w:val="00F3149A"/>
    <w:rsid w:val="00F31807"/>
    <w:rsid w:val="00F3332A"/>
    <w:rsid w:val="00F34068"/>
    <w:rsid w:val="00F3421F"/>
    <w:rsid w:val="00F34B64"/>
    <w:rsid w:val="00F350BB"/>
    <w:rsid w:val="00F359DA"/>
    <w:rsid w:val="00F35ED7"/>
    <w:rsid w:val="00F36B72"/>
    <w:rsid w:val="00F37059"/>
    <w:rsid w:val="00F37626"/>
    <w:rsid w:val="00F37687"/>
    <w:rsid w:val="00F37E44"/>
    <w:rsid w:val="00F4001D"/>
    <w:rsid w:val="00F4019E"/>
    <w:rsid w:val="00F423F6"/>
    <w:rsid w:val="00F43528"/>
    <w:rsid w:val="00F43916"/>
    <w:rsid w:val="00F44306"/>
    <w:rsid w:val="00F44F84"/>
    <w:rsid w:val="00F45591"/>
    <w:rsid w:val="00F45971"/>
    <w:rsid w:val="00F462E2"/>
    <w:rsid w:val="00F466E6"/>
    <w:rsid w:val="00F46E4A"/>
    <w:rsid w:val="00F47508"/>
    <w:rsid w:val="00F4786D"/>
    <w:rsid w:val="00F501DF"/>
    <w:rsid w:val="00F508F3"/>
    <w:rsid w:val="00F51133"/>
    <w:rsid w:val="00F51165"/>
    <w:rsid w:val="00F51C42"/>
    <w:rsid w:val="00F51CC4"/>
    <w:rsid w:val="00F51EAB"/>
    <w:rsid w:val="00F53747"/>
    <w:rsid w:val="00F53B5B"/>
    <w:rsid w:val="00F53EC1"/>
    <w:rsid w:val="00F541F1"/>
    <w:rsid w:val="00F54862"/>
    <w:rsid w:val="00F54AF1"/>
    <w:rsid w:val="00F551D6"/>
    <w:rsid w:val="00F55B3B"/>
    <w:rsid w:val="00F55CBC"/>
    <w:rsid w:val="00F55DCB"/>
    <w:rsid w:val="00F56426"/>
    <w:rsid w:val="00F5643F"/>
    <w:rsid w:val="00F56CB4"/>
    <w:rsid w:val="00F6040B"/>
    <w:rsid w:val="00F6068A"/>
    <w:rsid w:val="00F62332"/>
    <w:rsid w:val="00F62371"/>
    <w:rsid w:val="00F62B5A"/>
    <w:rsid w:val="00F63239"/>
    <w:rsid w:val="00F638E7"/>
    <w:rsid w:val="00F63C65"/>
    <w:rsid w:val="00F6499A"/>
    <w:rsid w:val="00F64F0D"/>
    <w:rsid w:val="00F6554B"/>
    <w:rsid w:val="00F656E5"/>
    <w:rsid w:val="00F65BB6"/>
    <w:rsid w:val="00F6600E"/>
    <w:rsid w:val="00F66279"/>
    <w:rsid w:val="00F67500"/>
    <w:rsid w:val="00F67EEC"/>
    <w:rsid w:val="00F70652"/>
    <w:rsid w:val="00F70B12"/>
    <w:rsid w:val="00F70F10"/>
    <w:rsid w:val="00F716BE"/>
    <w:rsid w:val="00F71849"/>
    <w:rsid w:val="00F72E1A"/>
    <w:rsid w:val="00F73053"/>
    <w:rsid w:val="00F73B22"/>
    <w:rsid w:val="00F73E96"/>
    <w:rsid w:val="00F7474D"/>
    <w:rsid w:val="00F74A3D"/>
    <w:rsid w:val="00F74A8F"/>
    <w:rsid w:val="00F74FB9"/>
    <w:rsid w:val="00F764E0"/>
    <w:rsid w:val="00F76EF6"/>
    <w:rsid w:val="00F775A3"/>
    <w:rsid w:val="00F7795D"/>
    <w:rsid w:val="00F77D38"/>
    <w:rsid w:val="00F77F4D"/>
    <w:rsid w:val="00F809C6"/>
    <w:rsid w:val="00F81408"/>
    <w:rsid w:val="00F815F4"/>
    <w:rsid w:val="00F832E4"/>
    <w:rsid w:val="00F84205"/>
    <w:rsid w:val="00F85471"/>
    <w:rsid w:val="00F86C5F"/>
    <w:rsid w:val="00F86D62"/>
    <w:rsid w:val="00F874BB"/>
    <w:rsid w:val="00F90DA5"/>
    <w:rsid w:val="00F9118F"/>
    <w:rsid w:val="00F914C6"/>
    <w:rsid w:val="00F923FB"/>
    <w:rsid w:val="00F92B59"/>
    <w:rsid w:val="00F931A2"/>
    <w:rsid w:val="00F93236"/>
    <w:rsid w:val="00F95F2A"/>
    <w:rsid w:val="00F96410"/>
    <w:rsid w:val="00F968FC"/>
    <w:rsid w:val="00F96BAB"/>
    <w:rsid w:val="00F96F86"/>
    <w:rsid w:val="00F97115"/>
    <w:rsid w:val="00F97289"/>
    <w:rsid w:val="00F97B3C"/>
    <w:rsid w:val="00F97DE7"/>
    <w:rsid w:val="00FA00A8"/>
    <w:rsid w:val="00FA016F"/>
    <w:rsid w:val="00FA1919"/>
    <w:rsid w:val="00FA1CA1"/>
    <w:rsid w:val="00FA1F4B"/>
    <w:rsid w:val="00FA3644"/>
    <w:rsid w:val="00FA3A9E"/>
    <w:rsid w:val="00FA4168"/>
    <w:rsid w:val="00FA4571"/>
    <w:rsid w:val="00FA4A6C"/>
    <w:rsid w:val="00FA4CAD"/>
    <w:rsid w:val="00FA4CFE"/>
    <w:rsid w:val="00FA4DC7"/>
    <w:rsid w:val="00FA4FF3"/>
    <w:rsid w:val="00FA5D15"/>
    <w:rsid w:val="00FA7091"/>
    <w:rsid w:val="00FA7A6F"/>
    <w:rsid w:val="00FA7F35"/>
    <w:rsid w:val="00FB09A6"/>
    <w:rsid w:val="00FB1DEB"/>
    <w:rsid w:val="00FB290E"/>
    <w:rsid w:val="00FB3254"/>
    <w:rsid w:val="00FB3596"/>
    <w:rsid w:val="00FB3D5B"/>
    <w:rsid w:val="00FB41FD"/>
    <w:rsid w:val="00FB4353"/>
    <w:rsid w:val="00FB4E64"/>
    <w:rsid w:val="00FB4F83"/>
    <w:rsid w:val="00FB5BF2"/>
    <w:rsid w:val="00FB6398"/>
    <w:rsid w:val="00FB665A"/>
    <w:rsid w:val="00FB6EAA"/>
    <w:rsid w:val="00FB6F5A"/>
    <w:rsid w:val="00FB715C"/>
    <w:rsid w:val="00FC16AB"/>
    <w:rsid w:val="00FC2173"/>
    <w:rsid w:val="00FC37AD"/>
    <w:rsid w:val="00FC3FBD"/>
    <w:rsid w:val="00FC54A4"/>
    <w:rsid w:val="00FC5909"/>
    <w:rsid w:val="00FC5CDF"/>
    <w:rsid w:val="00FC623B"/>
    <w:rsid w:val="00FC692D"/>
    <w:rsid w:val="00FC6B73"/>
    <w:rsid w:val="00FC6C30"/>
    <w:rsid w:val="00FC6F04"/>
    <w:rsid w:val="00FC79E8"/>
    <w:rsid w:val="00FD0A58"/>
    <w:rsid w:val="00FD154B"/>
    <w:rsid w:val="00FD160B"/>
    <w:rsid w:val="00FD19B7"/>
    <w:rsid w:val="00FD1E5C"/>
    <w:rsid w:val="00FD1FA6"/>
    <w:rsid w:val="00FD295A"/>
    <w:rsid w:val="00FD2A3F"/>
    <w:rsid w:val="00FD2DEE"/>
    <w:rsid w:val="00FD314B"/>
    <w:rsid w:val="00FD3825"/>
    <w:rsid w:val="00FD39C9"/>
    <w:rsid w:val="00FD3CDC"/>
    <w:rsid w:val="00FD3E5D"/>
    <w:rsid w:val="00FD4378"/>
    <w:rsid w:val="00FD508D"/>
    <w:rsid w:val="00FD57A1"/>
    <w:rsid w:val="00FD5C86"/>
    <w:rsid w:val="00FD6EF2"/>
    <w:rsid w:val="00FD710A"/>
    <w:rsid w:val="00FD72C2"/>
    <w:rsid w:val="00FD7834"/>
    <w:rsid w:val="00FD7D51"/>
    <w:rsid w:val="00FE0B52"/>
    <w:rsid w:val="00FE10DF"/>
    <w:rsid w:val="00FE1867"/>
    <w:rsid w:val="00FE1A09"/>
    <w:rsid w:val="00FE26EC"/>
    <w:rsid w:val="00FE276F"/>
    <w:rsid w:val="00FE2DFF"/>
    <w:rsid w:val="00FE30A0"/>
    <w:rsid w:val="00FE35A8"/>
    <w:rsid w:val="00FE4491"/>
    <w:rsid w:val="00FE4867"/>
    <w:rsid w:val="00FE571B"/>
    <w:rsid w:val="00FE599A"/>
    <w:rsid w:val="00FE663C"/>
    <w:rsid w:val="00FE76FD"/>
    <w:rsid w:val="00FE7B8E"/>
    <w:rsid w:val="00FF0847"/>
    <w:rsid w:val="00FF1B40"/>
    <w:rsid w:val="00FF1B91"/>
    <w:rsid w:val="00FF28C3"/>
    <w:rsid w:val="00FF299D"/>
    <w:rsid w:val="00FF32F4"/>
    <w:rsid w:val="00FF35B6"/>
    <w:rsid w:val="00FF3E42"/>
    <w:rsid w:val="00FF40EB"/>
    <w:rsid w:val="00FF47CD"/>
    <w:rsid w:val="00FF48BE"/>
    <w:rsid w:val="00FF4CA5"/>
    <w:rsid w:val="00FF5344"/>
    <w:rsid w:val="00FF5532"/>
    <w:rsid w:val="00FF5DBD"/>
    <w:rsid w:val="00FF6225"/>
    <w:rsid w:val="00FF67D7"/>
    <w:rsid w:val="0EE28084"/>
    <w:rsid w:val="1EB0B2FE"/>
    <w:rsid w:val="207EEFFE"/>
    <w:rsid w:val="23740614"/>
    <w:rsid w:val="44E9108F"/>
    <w:rsid w:val="5C35490E"/>
    <w:rsid w:val="6980BDF7"/>
    <w:rsid w:val="70652167"/>
    <w:rsid w:val="79EA9D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AAC39CD6-AA89-4531-B5E5-1E3174A6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qFormat/>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99"/>
    <w:unhideWhenUsed/>
    <w:qFormat/>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99"/>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2"/>
      </w:numPr>
    </w:pPr>
  </w:style>
  <w:style w:type="numbering" w:customStyle="1" w:styleId="Listaactual3">
    <w:name w:val="Lista actual3"/>
    <w:uiPriority w:val="99"/>
    <w:rsid w:val="00ED52D1"/>
    <w:pPr>
      <w:numPr>
        <w:numId w:val="3"/>
      </w:numPr>
    </w:pPr>
  </w:style>
  <w:style w:type="numbering" w:customStyle="1" w:styleId="Listaactual4">
    <w:name w:val="Lista actual4"/>
    <w:uiPriority w:val="99"/>
    <w:rsid w:val="004436C5"/>
    <w:pPr>
      <w:numPr>
        <w:numId w:val="4"/>
      </w:numPr>
    </w:pPr>
  </w:style>
  <w:style w:type="numbering" w:customStyle="1" w:styleId="Listaactual5">
    <w:name w:val="Lista actual5"/>
    <w:uiPriority w:val="99"/>
    <w:rsid w:val="004431D5"/>
    <w:pPr>
      <w:numPr>
        <w:numId w:val="5"/>
      </w:numPr>
    </w:pPr>
  </w:style>
  <w:style w:type="numbering" w:customStyle="1" w:styleId="Listaactual6">
    <w:name w:val="Lista actual6"/>
    <w:uiPriority w:val="99"/>
    <w:rsid w:val="004431D5"/>
    <w:pPr>
      <w:numPr>
        <w:numId w:val="6"/>
      </w:numPr>
    </w:pPr>
  </w:style>
  <w:style w:type="numbering" w:customStyle="1" w:styleId="Listaactual7">
    <w:name w:val="Lista actual7"/>
    <w:uiPriority w:val="99"/>
    <w:rsid w:val="004431D5"/>
    <w:pPr>
      <w:numPr>
        <w:numId w:val="7"/>
      </w:numPr>
    </w:pPr>
  </w:style>
  <w:style w:type="numbering" w:customStyle="1" w:styleId="Listaactual8">
    <w:name w:val="Lista actual8"/>
    <w:uiPriority w:val="99"/>
    <w:rsid w:val="00FD295A"/>
    <w:pPr>
      <w:numPr>
        <w:numId w:val="8"/>
      </w:numPr>
    </w:pPr>
  </w:style>
  <w:style w:type="numbering" w:customStyle="1" w:styleId="Listaactual9">
    <w:name w:val="Lista actual9"/>
    <w:uiPriority w:val="99"/>
    <w:rsid w:val="00025560"/>
    <w:pPr>
      <w:numPr>
        <w:numId w:val="9"/>
      </w:numPr>
    </w:pPr>
  </w:style>
  <w:style w:type="numbering" w:customStyle="1" w:styleId="Listaactual10">
    <w:name w:val="Lista actual10"/>
    <w:uiPriority w:val="99"/>
    <w:rsid w:val="00CE31B1"/>
    <w:pPr>
      <w:numPr>
        <w:numId w:val="10"/>
      </w:numPr>
    </w:pPr>
  </w:style>
  <w:style w:type="numbering" w:customStyle="1" w:styleId="Listaactual11">
    <w:name w:val="Lista actual11"/>
    <w:uiPriority w:val="99"/>
    <w:rsid w:val="00514C55"/>
    <w:pPr>
      <w:numPr>
        <w:numId w:val="11"/>
      </w:numPr>
    </w:pPr>
  </w:style>
  <w:style w:type="numbering" w:customStyle="1" w:styleId="Listaactual12">
    <w:name w:val="Lista actual12"/>
    <w:uiPriority w:val="99"/>
    <w:rsid w:val="00BC4869"/>
    <w:pPr>
      <w:numPr>
        <w:numId w:val="12"/>
      </w:numPr>
    </w:pPr>
  </w:style>
  <w:style w:type="numbering" w:customStyle="1" w:styleId="Listaactual13">
    <w:name w:val="Lista actual13"/>
    <w:uiPriority w:val="99"/>
    <w:rsid w:val="00F20903"/>
    <w:pPr>
      <w:numPr>
        <w:numId w:val="13"/>
      </w:numPr>
    </w:pPr>
  </w:style>
  <w:style w:type="numbering" w:customStyle="1" w:styleId="Listaactual14">
    <w:name w:val="Lista actual14"/>
    <w:uiPriority w:val="99"/>
    <w:rsid w:val="00C006C6"/>
    <w:pPr>
      <w:numPr>
        <w:numId w:val="14"/>
      </w:numPr>
    </w:pPr>
  </w:style>
  <w:style w:type="numbering" w:customStyle="1" w:styleId="Listaactual15">
    <w:name w:val="Lista actual15"/>
    <w:uiPriority w:val="99"/>
    <w:rsid w:val="00AE31C2"/>
    <w:pPr>
      <w:numPr>
        <w:numId w:val="15"/>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6"/>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17"/>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style>
  <w:style w:type="numbering" w:customStyle="1" w:styleId="Listaactual19">
    <w:name w:val="Lista actual19"/>
    <w:uiPriority w:val="99"/>
    <w:rsid w:val="00121B19"/>
    <w:pPr>
      <w:numPr>
        <w:numId w:val="18"/>
      </w:numPr>
    </w:pPr>
  </w:style>
  <w:style w:type="numbering" w:customStyle="1" w:styleId="Listaactual20">
    <w:name w:val="Lista actual20"/>
    <w:uiPriority w:val="99"/>
    <w:rsid w:val="001E1533"/>
    <w:pPr>
      <w:numPr>
        <w:numId w:val="19"/>
      </w:numPr>
    </w:pPr>
  </w:style>
  <w:style w:type="numbering" w:customStyle="1" w:styleId="Listaactual21">
    <w:name w:val="Lista actual21"/>
    <w:uiPriority w:val="99"/>
    <w:rsid w:val="009D0CC2"/>
  </w:style>
  <w:style w:type="numbering" w:customStyle="1" w:styleId="Listaactual22">
    <w:name w:val="Lista actual22"/>
    <w:uiPriority w:val="99"/>
    <w:rsid w:val="0049591A"/>
    <w:pPr>
      <w:numPr>
        <w:numId w:val="21"/>
      </w:numPr>
    </w:pPr>
  </w:style>
  <w:style w:type="numbering" w:customStyle="1" w:styleId="Listaactual23">
    <w:name w:val="Lista actual23"/>
    <w:uiPriority w:val="99"/>
    <w:rsid w:val="003C19CB"/>
    <w:pPr>
      <w:numPr>
        <w:numId w:val="22"/>
      </w:numPr>
    </w:pPr>
  </w:style>
  <w:style w:type="numbering" w:customStyle="1" w:styleId="Listaactual24">
    <w:name w:val="Lista actual24"/>
    <w:uiPriority w:val="99"/>
    <w:rsid w:val="004C1A04"/>
    <w:pPr>
      <w:numPr>
        <w:numId w:val="23"/>
      </w:numPr>
    </w:pPr>
  </w:style>
  <w:style w:type="numbering" w:customStyle="1" w:styleId="Listaactual25">
    <w:name w:val="Lista actual25"/>
    <w:uiPriority w:val="99"/>
    <w:rsid w:val="00402353"/>
    <w:pPr>
      <w:numPr>
        <w:numId w:val="24"/>
      </w:numPr>
    </w:pPr>
  </w:style>
  <w:style w:type="numbering" w:customStyle="1" w:styleId="Listaactual26">
    <w:name w:val="Lista actual26"/>
    <w:uiPriority w:val="99"/>
    <w:rsid w:val="00797413"/>
    <w:pPr>
      <w:numPr>
        <w:numId w:val="25"/>
      </w:numPr>
    </w:pPr>
  </w:style>
  <w:style w:type="numbering" w:customStyle="1" w:styleId="Listaactual31">
    <w:name w:val="Lista actual31"/>
    <w:uiPriority w:val="99"/>
    <w:rsid w:val="00957190"/>
    <w:pPr>
      <w:numPr>
        <w:numId w:val="26"/>
      </w:numPr>
    </w:pPr>
  </w:style>
  <w:style w:type="paragraph" w:customStyle="1" w:styleId="p1">
    <w:name w:val="p1"/>
    <w:basedOn w:val="Normal"/>
    <w:rsid w:val="005D1DD0"/>
    <w:pPr>
      <w:spacing w:line="240" w:lineRule="auto"/>
      <w:jc w:val="left"/>
    </w:pPr>
    <w:rPr>
      <w:rFonts w:ascii="Helvetica" w:eastAsiaTheme="minorEastAsia" w:hAnsi="Helvetica" w:cs="Times New Roman"/>
      <w:sz w:val="18"/>
      <w:szCs w:val="18"/>
      <w:lang w:val="es-MX"/>
    </w:rPr>
  </w:style>
  <w:style w:type="character" w:customStyle="1" w:styleId="s1">
    <w:name w:val="s1"/>
    <w:basedOn w:val="Fuentedeprrafopredeter"/>
    <w:rsid w:val="005D1DD0"/>
    <w:rPr>
      <w:rFonts w:ascii="Helvetica" w:hAnsi="Helvetica" w:hint="default"/>
      <w:b w:val="0"/>
      <w:bCs w:val="0"/>
      <w:i w:val="0"/>
      <w:iCs w:val="0"/>
      <w:sz w:val="18"/>
      <w:szCs w:val="18"/>
    </w:rPr>
  </w:style>
  <w:style w:type="numbering" w:customStyle="1" w:styleId="Listaactual27">
    <w:name w:val="Lista actual27"/>
    <w:uiPriority w:val="99"/>
    <w:rsid w:val="007529D0"/>
    <w:pPr>
      <w:numPr>
        <w:numId w:val="27"/>
      </w:numPr>
    </w:pPr>
  </w:style>
  <w:style w:type="numbering" w:customStyle="1" w:styleId="Sinlista1">
    <w:name w:val="Sin lista1"/>
    <w:next w:val="Sinlista"/>
    <w:uiPriority w:val="99"/>
    <w:semiHidden/>
    <w:unhideWhenUsed/>
    <w:rsid w:val="00F37E44"/>
  </w:style>
  <w:style w:type="table" w:customStyle="1" w:styleId="Tablaconcuadrcula2">
    <w:name w:val="Tabla con cuadrícula2"/>
    <w:basedOn w:val="Tablanormal"/>
    <w:next w:val="Tablaconcuadrcula"/>
    <w:uiPriority w:val="39"/>
    <w:rsid w:val="00F37E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F37E4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10">
    <w:name w:val="Lista actual110"/>
    <w:uiPriority w:val="99"/>
    <w:rsid w:val="00F37E44"/>
    <w:pPr>
      <w:numPr>
        <w:numId w:val="1"/>
      </w:numPr>
    </w:pPr>
  </w:style>
  <w:style w:type="numbering" w:customStyle="1" w:styleId="Listaactual81">
    <w:name w:val="Lista actual81"/>
    <w:uiPriority w:val="99"/>
    <w:rsid w:val="00F37E44"/>
    <w:pPr>
      <w:numPr>
        <w:numId w:val="28"/>
      </w:numPr>
    </w:pPr>
  </w:style>
  <w:style w:type="numbering" w:customStyle="1" w:styleId="Listaactual91">
    <w:name w:val="Lista actual91"/>
    <w:uiPriority w:val="99"/>
    <w:rsid w:val="00F37E44"/>
    <w:pPr>
      <w:numPr>
        <w:numId w:val="29"/>
      </w:numPr>
    </w:pPr>
  </w:style>
  <w:style w:type="numbering" w:customStyle="1" w:styleId="Sinlista11">
    <w:name w:val="Sin lista11"/>
    <w:next w:val="Sinlista"/>
    <w:uiPriority w:val="99"/>
    <w:semiHidden/>
    <w:unhideWhenUsed/>
    <w:rsid w:val="00F37E44"/>
  </w:style>
  <w:style w:type="numbering" w:customStyle="1" w:styleId="Listaactual111">
    <w:name w:val="Lista actual111"/>
    <w:uiPriority w:val="99"/>
    <w:rsid w:val="00F37E44"/>
    <w:pPr>
      <w:numPr>
        <w:numId w:val="30"/>
      </w:numPr>
    </w:pPr>
  </w:style>
  <w:style w:type="numbering" w:customStyle="1" w:styleId="Listaactual211">
    <w:name w:val="Lista actual211"/>
    <w:uiPriority w:val="99"/>
    <w:rsid w:val="00F37E44"/>
    <w:pPr>
      <w:numPr>
        <w:numId w:val="31"/>
      </w:numPr>
    </w:pPr>
  </w:style>
  <w:style w:type="paragraph" w:customStyle="1" w:styleId="NormalINFOEM">
    <w:name w:val="Normal INFOEM"/>
    <w:basedOn w:val="Normal"/>
    <w:link w:val="NormalINFOEMCar"/>
    <w:qFormat/>
    <w:rsid w:val="00F37E44"/>
  </w:style>
  <w:style w:type="character" w:customStyle="1" w:styleId="NormalINFOEMCar">
    <w:name w:val="Normal INFOEM Car"/>
    <w:basedOn w:val="Fuentedeprrafopredeter"/>
    <w:link w:val="NormalINFOEM"/>
    <w:rsid w:val="00F37E44"/>
    <w:rPr>
      <w:rFonts w:ascii="Palatino Linotype" w:eastAsia="Calibri" w:hAnsi="Palatino Linotype" w:cs="Calibri"/>
      <w:sz w:val="24"/>
      <w:lang w:val="es-ES_tradnl" w:eastAsia="es-MX"/>
    </w:rPr>
  </w:style>
  <w:style w:type="numbering" w:customStyle="1" w:styleId="Listaactual101">
    <w:name w:val="Lista actual101"/>
    <w:uiPriority w:val="99"/>
    <w:rsid w:val="00F37E44"/>
    <w:pPr>
      <w:numPr>
        <w:numId w:val="32"/>
      </w:numPr>
    </w:pPr>
  </w:style>
  <w:style w:type="numbering" w:customStyle="1" w:styleId="Listaactual121">
    <w:name w:val="Lista actual121"/>
    <w:uiPriority w:val="99"/>
    <w:rsid w:val="00F37E44"/>
    <w:pPr>
      <w:numPr>
        <w:numId w:val="33"/>
      </w:numPr>
    </w:pPr>
  </w:style>
  <w:style w:type="numbering" w:customStyle="1" w:styleId="Listaactual131">
    <w:name w:val="Lista actual131"/>
    <w:uiPriority w:val="99"/>
    <w:rsid w:val="00F37E44"/>
    <w:pPr>
      <w:numPr>
        <w:numId w:val="34"/>
      </w:numPr>
    </w:pPr>
  </w:style>
  <w:style w:type="numbering" w:customStyle="1" w:styleId="Listaactual221">
    <w:name w:val="Lista actual221"/>
    <w:uiPriority w:val="99"/>
    <w:rsid w:val="00F37E44"/>
    <w:pPr>
      <w:numPr>
        <w:numId w:val="35"/>
      </w:numPr>
    </w:pPr>
  </w:style>
  <w:style w:type="numbering" w:customStyle="1" w:styleId="Listaactual311">
    <w:name w:val="Lista actual311"/>
    <w:uiPriority w:val="99"/>
    <w:rsid w:val="00F37E44"/>
    <w:pPr>
      <w:numPr>
        <w:numId w:val="20"/>
      </w:numPr>
    </w:pPr>
  </w:style>
  <w:style w:type="paragraph" w:styleId="Revisin">
    <w:name w:val="Revision"/>
    <w:hidden/>
    <w:uiPriority w:val="99"/>
    <w:semiHidden/>
    <w:rsid w:val="00F37E44"/>
    <w:pPr>
      <w:spacing w:after="0" w:line="240" w:lineRule="auto"/>
    </w:pPr>
    <w:rPr>
      <w:rFonts w:ascii="Calibri" w:eastAsia="Calibri" w:hAnsi="Calibri" w:cs="Calibri"/>
      <w:lang w:eastAsia="es-MX"/>
    </w:rPr>
  </w:style>
  <w:style w:type="numbering" w:customStyle="1" w:styleId="Listaactual41">
    <w:name w:val="Lista actual41"/>
    <w:uiPriority w:val="99"/>
    <w:rsid w:val="00F37E44"/>
    <w:pPr>
      <w:numPr>
        <w:numId w:val="36"/>
      </w:numPr>
    </w:pPr>
  </w:style>
  <w:style w:type="numbering" w:customStyle="1" w:styleId="Listaactual51">
    <w:name w:val="Lista actual51"/>
    <w:uiPriority w:val="99"/>
    <w:rsid w:val="00F37E44"/>
    <w:pPr>
      <w:numPr>
        <w:numId w:val="37"/>
      </w:numPr>
    </w:pPr>
  </w:style>
  <w:style w:type="numbering" w:customStyle="1" w:styleId="Listaactual61">
    <w:name w:val="Lista actual61"/>
    <w:uiPriority w:val="99"/>
    <w:rsid w:val="00F37E44"/>
    <w:pPr>
      <w:numPr>
        <w:numId w:val="38"/>
      </w:numPr>
    </w:pPr>
  </w:style>
  <w:style w:type="numbering" w:customStyle="1" w:styleId="Listaactual71">
    <w:name w:val="Lista actual71"/>
    <w:uiPriority w:val="99"/>
    <w:rsid w:val="00F37E44"/>
    <w:pPr>
      <w:numPr>
        <w:numId w:val="39"/>
      </w:numPr>
    </w:pPr>
  </w:style>
  <w:style w:type="numbering" w:customStyle="1" w:styleId="Listaactual811">
    <w:name w:val="Lista actual811"/>
    <w:uiPriority w:val="99"/>
    <w:rsid w:val="00F37E44"/>
    <w:pPr>
      <w:numPr>
        <w:numId w:val="40"/>
      </w:numPr>
    </w:pPr>
  </w:style>
  <w:style w:type="numbering" w:customStyle="1" w:styleId="Listaactual911">
    <w:name w:val="Lista actual911"/>
    <w:uiPriority w:val="99"/>
    <w:rsid w:val="00F37E44"/>
    <w:pPr>
      <w:numPr>
        <w:numId w:val="41"/>
      </w:numPr>
    </w:pPr>
  </w:style>
  <w:style w:type="numbering" w:customStyle="1" w:styleId="Listaactual1011">
    <w:name w:val="Lista actual1011"/>
    <w:uiPriority w:val="99"/>
    <w:rsid w:val="00F37E44"/>
    <w:pPr>
      <w:numPr>
        <w:numId w:val="42"/>
      </w:numPr>
    </w:pPr>
  </w:style>
  <w:style w:type="numbering" w:customStyle="1" w:styleId="Listaactual1111">
    <w:name w:val="Lista actual1111"/>
    <w:uiPriority w:val="99"/>
    <w:rsid w:val="00F37E44"/>
    <w:pPr>
      <w:numPr>
        <w:numId w:val="43"/>
      </w:numPr>
    </w:pPr>
  </w:style>
  <w:style w:type="numbering" w:customStyle="1" w:styleId="Listaactual1211">
    <w:name w:val="Lista actual1211"/>
    <w:uiPriority w:val="99"/>
    <w:rsid w:val="00F37E44"/>
    <w:pPr>
      <w:numPr>
        <w:numId w:val="44"/>
      </w:numPr>
    </w:pPr>
  </w:style>
  <w:style w:type="numbering" w:customStyle="1" w:styleId="Listaactual1311">
    <w:name w:val="Lista actual1311"/>
    <w:uiPriority w:val="99"/>
    <w:rsid w:val="00F37E44"/>
    <w:pPr>
      <w:numPr>
        <w:numId w:val="45"/>
      </w:numPr>
    </w:pPr>
  </w:style>
  <w:style w:type="numbering" w:customStyle="1" w:styleId="Listaactual28">
    <w:name w:val="Lista actual28"/>
    <w:uiPriority w:val="99"/>
    <w:rsid w:val="00CA62C6"/>
    <w:pPr>
      <w:numPr>
        <w:numId w:val="46"/>
      </w:numPr>
    </w:pPr>
  </w:style>
  <w:style w:type="numbering" w:customStyle="1" w:styleId="Listaactual29">
    <w:name w:val="Lista actual29"/>
    <w:uiPriority w:val="99"/>
    <w:rsid w:val="00281167"/>
    <w:pPr>
      <w:numPr>
        <w:numId w:val="47"/>
      </w:numPr>
    </w:pPr>
  </w:style>
  <w:style w:type="numbering" w:customStyle="1" w:styleId="Listaactual30">
    <w:name w:val="Lista actual30"/>
    <w:uiPriority w:val="99"/>
    <w:rsid w:val="00555A84"/>
    <w:pPr>
      <w:numPr>
        <w:numId w:val="48"/>
      </w:numPr>
    </w:pPr>
  </w:style>
  <w:style w:type="character" w:customStyle="1" w:styleId="Mencinsinresolver5">
    <w:name w:val="Mención sin resolver5"/>
    <w:basedOn w:val="Fuentedeprrafopredeter"/>
    <w:uiPriority w:val="99"/>
    <w:semiHidden/>
    <w:unhideWhenUsed/>
    <w:rsid w:val="00A73CF9"/>
    <w:rPr>
      <w:color w:val="605E5C"/>
      <w:shd w:val="clear" w:color="auto" w:fill="E1DFDD"/>
    </w:rPr>
  </w:style>
  <w:style w:type="numbering" w:customStyle="1" w:styleId="Listaactual32">
    <w:name w:val="Lista actual32"/>
    <w:uiPriority w:val="99"/>
    <w:rsid w:val="005216ED"/>
    <w:pPr>
      <w:numPr>
        <w:numId w:val="49"/>
      </w:numPr>
    </w:pPr>
  </w:style>
  <w:style w:type="numbering" w:customStyle="1" w:styleId="Listaactual33">
    <w:name w:val="Lista actual33"/>
    <w:uiPriority w:val="99"/>
    <w:rsid w:val="005939F9"/>
    <w:pPr>
      <w:numPr>
        <w:numId w:val="50"/>
      </w:numPr>
    </w:pPr>
  </w:style>
  <w:style w:type="numbering" w:customStyle="1" w:styleId="Listaactual34">
    <w:name w:val="Lista actual34"/>
    <w:uiPriority w:val="99"/>
    <w:rsid w:val="00C97BA2"/>
    <w:pPr>
      <w:numPr>
        <w:numId w:val="51"/>
      </w:numPr>
    </w:pPr>
  </w:style>
  <w:style w:type="numbering" w:customStyle="1" w:styleId="Listaactual35">
    <w:name w:val="Lista actual35"/>
    <w:uiPriority w:val="99"/>
    <w:rsid w:val="00A367F7"/>
    <w:pPr>
      <w:numPr>
        <w:numId w:val="52"/>
      </w:numPr>
    </w:pPr>
  </w:style>
  <w:style w:type="numbering" w:customStyle="1" w:styleId="Listaactual36">
    <w:name w:val="Lista actual36"/>
    <w:uiPriority w:val="99"/>
    <w:rsid w:val="008C1678"/>
    <w:pPr>
      <w:numPr>
        <w:numId w:val="53"/>
      </w:numPr>
    </w:pPr>
  </w:style>
  <w:style w:type="numbering" w:customStyle="1" w:styleId="Listaactual37">
    <w:name w:val="Lista actual37"/>
    <w:uiPriority w:val="99"/>
    <w:rsid w:val="00B05943"/>
    <w:pPr>
      <w:numPr>
        <w:numId w:val="54"/>
      </w:numPr>
    </w:pPr>
  </w:style>
  <w:style w:type="numbering" w:customStyle="1" w:styleId="Listaactual38">
    <w:name w:val="Lista actual38"/>
    <w:uiPriority w:val="99"/>
    <w:rsid w:val="003B3181"/>
    <w:pPr>
      <w:numPr>
        <w:numId w:val="55"/>
      </w:numPr>
    </w:pPr>
  </w:style>
  <w:style w:type="paragraph" w:styleId="Textoindependiente2">
    <w:name w:val="Body Text 2"/>
    <w:basedOn w:val="Normal"/>
    <w:link w:val="Textoindependiente2Car"/>
    <w:uiPriority w:val="99"/>
    <w:semiHidden/>
    <w:unhideWhenUsed/>
    <w:rsid w:val="00EB5707"/>
    <w:pPr>
      <w:spacing w:after="120" w:line="480" w:lineRule="auto"/>
    </w:pPr>
  </w:style>
  <w:style w:type="character" w:customStyle="1" w:styleId="Textoindependiente2Car">
    <w:name w:val="Texto independiente 2 Car"/>
    <w:basedOn w:val="Fuentedeprrafopredeter"/>
    <w:link w:val="Textoindependiente2"/>
    <w:uiPriority w:val="99"/>
    <w:semiHidden/>
    <w:rsid w:val="00EB5707"/>
    <w:rPr>
      <w:rFonts w:ascii="Palatino Linotype" w:eastAsia="Calibri" w:hAnsi="Palatino Linotype" w:cs="Calibri"/>
      <w:sz w:val="24"/>
      <w:lang w:val="es-ES_tradnl" w:eastAsia="es-MX"/>
    </w:rPr>
  </w:style>
  <w:style w:type="numbering" w:customStyle="1" w:styleId="Listaactual39">
    <w:name w:val="Lista actual39"/>
    <w:uiPriority w:val="99"/>
    <w:rsid w:val="00F85471"/>
    <w:pPr>
      <w:numPr>
        <w:numId w:val="56"/>
      </w:numPr>
    </w:pPr>
  </w:style>
  <w:style w:type="numbering" w:customStyle="1" w:styleId="Listaactual40">
    <w:name w:val="Lista actual40"/>
    <w:uiPriority w:val="99"/>
    <w:rsid w:val="007E6FF3"/>
    <w:pPr>
      <w:numPr>
        <w:numId w:val="57"/>
      </w:numPr>
    </w:pPr>
  </w:style>
  <w:style w:type="numbering" w:customStyle="1" w:styleId="Listaactual42">
    <w:name w:val="Lista actual42"/>
    <w:uiPriority w:val="99"/>
    <w:rsid w:val="009A6BB0"/>
    <w:pPr>
      <w:numPr>
        <w:numId w:val="59"/>
      </w:numPr>
    </w:pPr>
  </w:style>
  <w:style w:type="numbering" w:customStyle="1" w:styleId="Listaactual43">
    <w:name w:val="Lista actual43"/>
    <w:uiPriority w:val="99"/>
    <w:rsid w:val="00E67611"/>
    <w:pPr>
      <w:numPr>
        <w:numId w:val="60"/>
      </w:numPr>
    </w:pPr>
  </w:style>
  <w:style w:type="numbering" w:customStyle="1" w:styleId="Listaactual44">
    <w:name w:val="Lista actual44"/>
    <w:uiPriority w:val="99"/>
    <w:rsid w:val="009839C7"/>
    <w:pPr>
      <w:numPr>
        <w:numId w:val="62"/>
      </w:numPr>
    </w:pPr>
  </w:style>
  <w:style w:type="numbering" w:customStyle="1" w:styleId="Listaactual45">
    <w:name w:val="Lista actual45"/>
    <w:uiPriority w:val="99"/>
    <w:rsid w:val="00332DE0"/>
    <w:pPr>
      <w:numPr>
        <w:numId w:val="64"/>
      </w:numPr>
    </w:pPr>
  </w:style>
  <w:style w:type="character" w:customStyle="1" w:styleId="Mencinsinresolver6">
    <w:name w:val="Mención sin resolver6"/>
    <w:basedOn w:val="Fuentedeprrafopredeter"/>
    <w:uiPriority w:val="99"/>
    <w:semiHidden/>
    <w:unhideWhenUsed/>
    <w:rsid w:val="005B2942"/>
    <w:rPr>
      <w:color w:val="605E5C"/>
      <w:shd w:val="clear" w:color="auto" w:fill="E1DFDD"/>
    </w:rPr>
  </w:style>
  <w:style w:type="numbering" w:customStyle="1" w:styleId="Listaactual46">
    <w:name w:val="Lista actual46"/>
    <w:uiPriority w:val="99"/>
    <w:rsid w:val="002D166D"/>
    <w:pPr>
      <w:numPr>
        <w:numId w:val="66"/>
      </w:numPr>
    </w:pPr>
  </w:style>
  <w:style w:type="numbering" w:customStyle="1" w:styleId="Listaactual47">
    <w:name w:val="Lista actual47"/>
    <w:uiPriority w:val="99"/>
    <w:rsid w:val="00773817"/>
    <w:pPr>
      <w:numPr>
        <w:numId w:val="6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7801761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184222131">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317383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68803236">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EEB2-5C1F-4F2C-AAB2-353883E9C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8025</Words>
  <Characters>44141</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INFOEM492</cp:lastModifiedBy>
  <cp:revision>11</cp:revision>
  <cp:lastPrinted>2025-09-11T19:15:00Z</cp:lastPrinted>
  <dcterms:created xsi:type="dcterms:W3CDTF">2025-08-25T19:02:00Z</dcterms:created>
  <dcterms:modified xsi:type="dcterms:W3CDTF">2025-11-21T20:18:00Z</dcterms:modified>
</cp:coreProperties>
</file>