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b w:val="1"/>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w:t>
      </w:r>
      <w:r w:rsidDel="00000000" w:rsidR="00000000" w:rsidRPr="00000000">
        <w:rPr>
          <w:rFonts w:ascii="Palatino Linotype" w:cs="Palatino Linotype" w:eastAsia="Palatino Linotype" w:hAnsi="Palatino Linotype"/>
          <w:b w:val="1"/>
          <w:sz w:val="22"/>
          <w:szCs w:val="22"/>
          <w:rtl w:val="0"/>
        </w:rPr>
        <w:t xml:space="preserve">a veintiuno de mayo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02944/INFOEM/IP/RR/2025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una persona usuaria del Sistema de Acceso a la Información Mexiquense que no proporcionó nombre,</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Ayuntamiento de Atizapán</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siete de febrero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en lo subsecuente el SAIMEX, formuló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00052/ATIZAPAN/IP/2025,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p>
    <w:p w:rsidR="00000000" w:rsidDel="00000000" w:rsidP="00000000" w:rsidRDefault="00000000" w:rsidRPr="00000000" w14:paraId="00000005">
      <w:pPr>
        <w:spacing w:after="240" w:before="240" w:lineRule="auto"/>
        <w:ind w:left="567" w:right="902" w:firstLine="0"/>
        <w:jc w:val="both"/>
        <w:rPr>
          <w:rFonts w:ascii="Palatino Linotype" w:cs="Palatino Linotype" w:eastAsia="Palatino Linotype" w:hAnsi="Palatino Linotype"/>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“Costo con factura de las pipas de agua entregadas a la Colonia la Remolacha, el día 4 de febrero de 2025…” (Sic) </w:t>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142"/>
          <w:tab w:val="left" w:leader="none" w:pos="284"/>
        </w:tabs>
        <w:spacing w:after="240" w:before="240" w:line="360" w:lineRule="auto"/>
        <w:jc w:val="both"/>
        <w:rPr>
          <w:rFonts w:ascii="Palatino Linotype" w:cs="Palatino Linotype" w:eastAsia="Palatino Linotype" w:hAnsi="Palatino Linotype"/>
          <w:b w:val="1"/>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2.</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veinticinco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w:t>
      </w:r>
      <w:r w:rsidDel="00000000" w:rsidR="00000000" w:rsidRPr="00000000">
        <w:rPr>
          <w:rtl w:val="0"/>
        </w:rPr>
      </w:r>
    </w:p>
    <w:p w:rsidR="00000000" w:rsidDel="00000000" w:rsidP="00000000" w:rsidRDefault="00000000" w:rsidRPr="00000000" w14:paraId="00000008">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“ADJUNTO DOCUMENTO” (Sic)</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hizo entrega del archivo electrónico denominado “</w:t>
      </w:r>
      <w:r w:rsidDel="00000000" w:rsidR="00000000" w:rsidRPr="00000000">
        <w:rPr>
          <w:rFonts w:ascii="Palatino Linotype" w:cs="Palatino Linotype" w:eastAsia="Palatino Linotype" w:hAnsi="Palatino Linotype"/>
          <w:b w:val="1"/>
          <w:i w:val="1"/>
          <w:sz w:val="22"/>
          <w:szCs w:val="22"/>
          <w:rtl w:val="0"/>
        </w:rPr>
        <w:t xml:space="preserve">PIPAS.pdf</w:t>
      </w:r>
      <w:r w:rsidDel="00000000" w:rsidR="00000000" w:rsidRPr="00000000">
        <w:rPr>
          <w:rFonts w:ascii="Palatino Linotype" w:cs="Palatino Linotype" w:eastAsia="Palatino Linotype" w:hAnsi="Palatino Linotype"/>
          <w:sz w:val="22"/>
          <w:szCs w:val="22"/>
          <w:rtl w:val="0"/>
        </w:rPr>
        <w:t xml:space="preserve">” que contiene la siguiente información:</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pacing w:line="276" w:lineRule="auto"/>
        <w:ind w:left="36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Oficio del 19 de febrero de 2025, a través del cual la Directora de Servicios Públicos hizo del conocimiento de la Coordinadora de Transparencia que, con relación a la información acerca de los trabajos que se realizaron con la pipa de agua, la misma se utilizó como apoyo a la ciudadanía que fue afectada por el falta de agua por parte de la compostura que se recibió a la bomba número 42; por lo que, dicha labor con la pipa de agua no tuvo costo alguno para los ciudadanos, y, en consecuencia no se cuenta con anexo de facturas.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catorce de marzo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0E">
      <w:pPr>
        <w:tabs>
          <w:tab w:val="left" w:leader="none" w:pos="2745"/>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“La respuesta incompleta” (Sic)</w:t>
      </w:r>
      <w:r w:rsidDel="00000000" w:rsidR="00000000" w:rsidRPr="00000000">
        <w:rPr>
          <w:rtl w:val="0"/>
        </w:rPr>
      </w:r>
    </w:p>
    <w:p w:rsidR="00000000" w:rsidDel="00000000" w:rsidP="00000000" w:rsidRDefault="00000000" w:rsidRPr="00000000" w14:paraId="0000000F">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“La respuesta incompleta La señora Ortiz puede decir lo que quiera pero la Tesorera no dio respuesta” (Sic)</w:t>
      </w:r>
    </w:p>
    <w:p w:rsidR="00000000" w:rsidDel="00000000" w:rsidP="00000000" w:rsidRDefault="00000000" w:rsidRPr="00000000" w14:paraId="0000001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veinte de marzo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veintiuno de marzo de dos mil veinticinco</w:t>
      </w:r>
      <w:r w:rsidDel="00000000" w:rsidR="00000000" w:rsidRPr="00000000">
        <w:rPr>
          <w:rFonts w:ascii="Palatino Linotype" w:cs="Palatino Linotype" w:eastAsia="Palatino Linotype" w:hAnsi="Palatino Linotype"/>
          <w:sz w:val="22"/>
          <w:szCs w:val="22"/>
          <w:rtl w:val="0"/>
        </w:rPr>
        <w:t xml:space="preserve"> rindió su informe justificado, a través del archivo electrónico denominado “</w:t>
      </w:r>
      <w:r w:rsidDel="00000000" w:rsidR="00000000" w:rsidRPr="00000000">
        <w:rPr>
          <w:rFonts w:ascii="Palatino Linotype" w:cs="Palatino Linotype" w:eastAsia="Palatino Linotype" w:hAnsi="Palatino Linotype"/>
          <w:b w:val="1"/>
          <w:i w:val="1"/>
          <w:sz w:val="22"/>
          <w:szCs w:val="22"/>
          <w:rtl w:val="0"/>
        </w:rPr>
        <w:t xml:space="preserve">RESPUESTA A RECURSO 2944.pdf</w:t>
      </w:r>
      <w:r w:rsidDel="00000000" w:rsidR="00000000" w:rsidRPr="00000000">
        <w:rPr>
          <w:rFonts w:ascii="Palatino Linotype" w:cs="Palatino Linotype" w:eastAsia="Palatino Linotype" w:hAnsi="Palatino Linotype"/>
          <w:sz w:val="22"/>
          <w:szCs w:val="22"/>
          <w:rtl w:val="0"/>
        </w:rPr>
        <w:t xml:space="preserve">” que contienen la información siguiente:</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tabs>
          <w:tab w:val="left" w:leader="none" w:pos="426"/>
        </w:tabs>
        <w:ind w:left="36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del 20 de marzo de 2025, a través del cual la Directora de la Unidad de Tesorería y Administración hizo del conocimiento a la Encargada de la Dirección de Transparencia que, en respuesta a la solicitud informa que el suministro de agua mediante carros cisternas (pipas de agua) pertenecen al parque vehicular del Ayuntamiento de Atizapán y fueron de manera gratuita, ya que en ese momento se realizaba la reparación de la bomba de agua que suministra agua en la colonia la remolacha; por lo cual, no genero gasto alguno por parte de las personas beneficiadas con este apoyo.</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426"/>
        </w:tabs>
        <w:spacing w:line="276" w:lineRule="auto"/>
        <w:ind w:left="360" w:right="4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el anterior que, se puso a la vista de </w:t>
      </w:r>
      <w:r w:rsidDel="00000000" w:rsidR="00000000" w:rsidRPr="00000000">
        <w:rPr>
          <w:rFonts w:ascii="Palatino Linotype" w:cs="Palatino Linotype" w:eastAsia="Palatino Linotype" w:hAnsi="Palatino Linotype"/>
          <w:b w:val="1"/>
          <w:sz w:val="22"/>
          <w:szCs w:val="22"/>
          <w:rtl w:val="0"/>
        </w:rPr>
        <w:t xml:space="preserve">la parte Recurrente </w:t>
      </w:r>
      <w:r w:rsidDel="00000000" w:rsidR="00000000" w:rsidRPr="00000000">
        <w:rPr>
          <w:rFonts w:ascii="Palatino Linotype" w:cs="Palatino Linotype" w:eastAsia="Palatino Linotype" w:hAnsi="Palatino Linotype"/>
          <w:sz w:val="22"/>
          <w:szCs w:val="22"/>
          <w:rtl w:val="0"/>
        </w:rPr>
        <w:t xml:space="preserve">a fin de que rindiera alegatos o manifestara lo que conforme a derecho resultara procedente; no obstante, fue omisa en ejercer dicha prerrogativa.</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término para resolver</w:t>
      </w:r>
      <w:r w:rsidDel="00000000" w:rsidR="00000000" w:rsidRPr="00000000">
        <w:rPr>
          <w:rFonts w:ascii="Palatino Linotype" w:cs="Palatino Linotype" w:eastAsia="Palatino Linotype" w:hAnsi="Palatino Linotype"/>
          <w:sz w:val="22"/>
          <w:szCs w:val="22"/>
          <w:rtl w:val="0"/>
        </w:rPr>
        <w:t xml:space="preserve">. Mediante acuerdo del </w:t>
      </w:r>
      <w:r w:rsidDel="00000000" w:rsidR="00000000" w:rsidRPr="00000000">
        <w:rPr>
          <w:rFonts w:ascii="Palatino Linotype" w:cs="Palatino Linotype" w:eastAsia="Palatino Linotype" w:hAnsi="Palatino Linotype"/>
          <w:b w:val="1"/>
          <w:sz w:val="22"/>
          <w:szCs w:val="22"/>
          <w:rtl w:val="0"/>
        </w:rPr>
        <w:t xml:space="preserve">catorce de mayo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veinte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1">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bookmarkStart w:colFirst="0" w:colLast="0" w:name="_heading=h.k5xl7aq9f6do" w:id="7"/>
      <w:bookmarkEnd w:id="7"/>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veinticinco de febrero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catorce de marzo de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sz w:val="22"/>
          <w:szCs w:val="22"/>
          <w:u w:val="single"/>
          <w:rtl w:val="0"/>
        </w:rPr>
        <w:t xml:space="preserve">décimo segundo</w:t>
      </w:r>
      <w:r w:rsidDel="00000000" w:rsidR="00000000" w:rsidRPr="00000000">
        <w:rPr>
          <w:rFonts w:ascii="Palatino Linotype" w:cs="Palatino Linotype" w:eastAsia="Palatino Linotype" w:hAnsi="Palatino Linotype"/>
          <w:sz w:val="22"/>
          <w:szCs w:val="22"/>
          <w:rtl w:val="0"/>
        </w:rPr>
        <w:t xml:space="preserve"> día hábil siguiente a aquel </w:t>
      </w:r>
      <w:r w:rsidDel="00000000" w:rsidR="00000000" w:rsidRPr="00000000">
        <w:rPr>
          <w:rFonts w:ascii="Palatino Linotype" w:cs="Palatino Linotype" w:eastAsia="Palatino Linotype" w:hAnsi="Palatino Linotype"/>
          <w:b w:val="1"/>
          <w:sz w:val="22"/>
          <w:szCs w:val="22"/>
          <w:rtl w:val="0"/>
        </w:rPr>
        <w:t xml:space="preserve">en que se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tabs>
          <w:tab w:val="left" w:leader="none" w:pos="7938"/>
        </w:tabs>
        <w:spacing w:line="360" w:lineRule="auto"/>
        <w:jc w:val="both"/>
        <w:rPr>
          <w:rFonts w:ascii="Palatino Linotype" w:cs="Palatino Linotype" w:eastAsia="Palatino Linotype" w:hAnsi="Palatino Linotype"/>
          <w:sz w:val="22"/>
          <w:szCs w:val="22"/>
        </w:rPr>
      </w:pPr>
      <w:bookmarkStart w:colFirst="0" w:colLast="0" w:name="_heading=h.3znysh7" w:id="8"/>
      <w:bookmarkEnd w:id="8"/>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B">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suma importancia mencionar que, si bien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proporcionó nombre,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2F">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fracciones V y XI del ordenamiento legal citado, que a la letra dice: </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3">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4">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p>
    <w:p w:rsidR="00000000" w:rsidDel="00000000" w:rsidP="00000000" w:rsidRDefault="00000000" w:rsidRPr="00000000" w14:paraId="00000035">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La falta de trámite a una solicitud</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7">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9">
      <w:pPr>
        <w:ind w:left="567" w:right="900" w:firstLine="0"/>
        <w:jc w:val="right"/>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improcedencia y sobreseimiento del recurso de revisión.</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3C">
      <w:pPr>
        <w:spacing w:line="360" w:lineRule="auto"/>
        <w:jc w:val="both"/>
        <w:rPr>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3E">
      <w:pPr>
        <w:spacing w:line="360" w:lineRule="auto"/>
        <w:jc w:val="both"/>
        <w:rPr>
          <w:sz w:val="22"/>
          <w:szCs w:val="22"/>
        </w:rPr>
      </w:pPr>
      <w:r w:rsidDel="00000000" w:rsidR="00000000" w:rsidRPr="00000000">
        <w:rPr>
          <w:rtl w:val="0"/>
        </w:rPr>
      </w:r>
    </w:p>
    <w:p w:rsidR="00000000" w:rsidDel="00000000" w:rsidP="00000000" w:rsidRDefault="00000000" w:rsidRPr="00000000" w14:paraId="0000003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bookmarkStart w:colFirst="0" w:colLast="0" w:name="_heading=h.1y810tw" w:id="9"/>
      <w:bookmarkEnd w:id="9"/>
      <w:r w:rsidDel="00000000" w:rsidR="00000000" w:rsidRPr="00000000">
        <w:rPr>
          <w:rFonts w:ascii="Palatino Linotype" w:cs="Palatino Linotype" w:eastAsia="Palatino Linotype" w:hAnsi="Palatino Linotype"/>
          <w:sz w:val="22"/>
          <w:szCs w:val="22"/>
          <w:rtl w:val="0"/>
        </w:rPr>
        <w:t xml:space="preserve">Para ello, conviene iniciar el presente estudio señalando que, del análisis a la solicitud de información se advierte que la persona solicitante requirió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respecto de las pipas de agua entregadas en la Colonia “La Remolacha” el 04 de febrero de 2025, lo siguiente: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Costos de las pipas de agua; y</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Facturas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pronunció por conducto de la Directora de Servicios Públicos, quien indicó que con relación a la información acerca de los trabajos que se realizaron con la pipa de agua, la misma se utilizó como apoyo a la ciudadanía que fue afectada por el falta de agua por parte de la compostura que se recibió a la bomba número 42; por lo que, dicha labor con la pipa de agua no tuvo costo alguno para los ciudadanos, y, </w:t>
      </w:r>
      <w:r w:rsidDel="00000000" w:rsidR="00000000" w:rsidRPr="00000000">
        <w:rPr>
          <w:rFonts w:ascii="Palatino Linotype" w:cs="Palatino Linotype" w:eastAsia="Palatino Linotype" w:hAnsi="Palatino Linotype"/>
          <w:b w:val="1"/>
          <w:sz w:val="22"/>
          <w:szCs w:val="22"/>
          <w:rtl w:val="0"/>
        </w:rPr>
        <w:t xml:space="preserve">en consecuencia no se cuenta con anexo de facturas.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promovió el presente recurso de revisión en el que a manera de motivos de inconformidad </w:t>
      </w:r>
      <w:r w:rsidDel="00000000" w:rsidR="00000000" w:rsidRPr="00000000">
        <w:rPr>
          <w:rFonts w:ascii="Palatino Linotype" w:cs="Palatino Linotype" w:eastAsia="Palatino Linotype" w:hAnsi="Palatino Linotype"/>
          <w:b w:val="1"/>
          <w:sz w:val="22"/>
          <w:szCs w:val="22"/>
          <w:rtl w:val="0"/>
        </w:rPr>
        <w:t xml:space="preserve">se adolece medularmente de la entrega de información incompleta, y de la falta de turno de la solicitud de información a una de las unidades administrativas del Sujeto Obligado.</w:t>
      </w:r>
      <w:r w:rsidDel="00000000" w:rsidR="00000000" w:rsidRPr="00000000">
        <w:rPr>
          <w:rtl w:val="0"/>
        </w:rPr>
      </w:r>
    </w:p>
    <w:p w:rsidR="00000000" w:rsidDel="00000000" w:rsidP="00000000" w:rsidRDefault="00000000" w:rsidRPr="00000000" w14:paraId="0000004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resaltar que, durante la etapa de manifestaciones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en el que, por conducto de la Directora de la Unidad de Tesorería y Administración hizo del conocimiento que el suministro de agua mediante carros cisternas (pipas de agua) pertenecen al parque vehicular del Ayuntamiento de Atizapán y fueron de manera gratuita, ya que en ese momento se realizaba la reparación de la bomba de agua que suministra agua en la colonia la remolacha; por lo cual, no genero gasto alguno por parte de las personas beneficiadas con este apoyo.</w:t>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ind w:right="-28"/>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su lado, la </w:t>
      </w:r>
      <w:r w:rsidDel="00000000" w:rsidR="00000000" w:rsidRPr="00000000">
        <w:rPr>
          <w:rFonts w:ascii="Palatino Linotype" w:cs="Palatino Linotype" w:eastAsia="Palatino Linotype" w:hAnsi="Palatino Linotype"/>
          <w:b w:val="1"/>
          <w:sz w:val="22"/>
          <w:szCs w:val="22"/>
          <w:rtl w:val="0"/>
        </w:rPr>
        <w:t xml:space="preserve">parte Recurrente </w:t>
      </w:r>
      <w:r w:rsidDel="00000000" w:rsidR="00000000" w:rsidRPr="00000000">
        <w:rPr>
          <w:rFonts w:ascii="Palatino Linotype" w:cs="Palatino Linotype" w:eastAsia="Palatino Linotype" w:hAnsi="Palatino Linotype"/>
          <w:sz w:val="22"/>
          <w:szCs w:val="22"/>
          <w:rtl w:val="0"/>
        </w:rPr>
        <w:t xml:space="preserve">fue omisa en realizar manifestaciones o rendir alegatos con relación al informe justificado rendido por el </w:t>
      </w: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04F">
      <w:pPr>
        <w:spacing w:line="360" w:lineRule="auto"/>
        <w:ind w:right="-28"/>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0">
      <w:pPr>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atendiendo la naturaleza de la información requerida, es menester traer a contexto el contenido de los artículo 125 fracción I y 126, de la Ley Orgánica Municipal del Estado de México, y 73 fracción I del Bando Municipal vigente, que a la letra disponen lo siguiente:</w:t>
      </w:r>
    </w:p>
    <w:p w:rsidR="00000000" w:rsidDel="00000000" w:rsidP="00000000" w:rsidRDefault="00000000" w:rsidRPr="00000000" w14:paraId="00000051">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3">
      <w:pPr>
        <w:ind w:left="567" w:right="616" w:firstLine="0"/>
        <w:jc w:val="center"/>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Ley Orgánica Municipal del Estado de México</w:t>
      </w:r>
    </w:p>
    <w:p w:rsidR="00000000" w:rsidDel="00000000" w:rsidP="00000000" w:rsidRDefault="00000000" w:rsidRPr="00000000" w14:paraId="00000054">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125.- Los municipios tendrán a su cargo la prestación, explotación, administración y conservación de los servicios públicos municipales, considerándose enunciativa y no limitativamente, los siguientes: </w:t>
      </w:r>
    </w:p>
    <w:p w:rsidR="00000000" w:rsidDel="00000000" w:rsidP="00000000" w:rsidRDefault="00000000" w:rsidRPr="00000000" w14:paraId="0000005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Agua potable, alcantarillado, saneamiento y aguas residuales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126.- La prestación de los servicios públicos deberá realizarse por los ayuntamientos, sus unidades administrativas y organismos auxiliares, quienes podrán coordinarse con el Estado o con otros municipios para la eficacia en su prestación.</w:t>
      </w:r>
    </w:p>
    <w:p w:rsidR="00000000" w:rsidDel="00000000" w:rsidP="00000000" w:rsidRDefault="00000000" w:rsidRPr="00000000" w14:paraId="00000059">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Podrá concesionarse a terceros la prestación de servicios públicos municipales, a excepción de los de Seguridad Pública y Tránsito, prefiriéndose en igualdad de circunstancias a vecinos del municipio.</w:t>
      </w:r>
    </w:p>
    <w:p w:rsidR="00000000" w:rsidDel="00000000" w:rsidP="00000000" w:rsidRDefault="00000000" w:rsidRPr="00000000" w14:paraId="0000005B">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D">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E">
      <w:pPr>
        <w:ind w:left="567"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Bando Municipal de Atizapán</w:t>
      </w:r>
    </w:p>
    <w:p w:rsidR="00000000" w:rsidDel="00000000" w:rsidP="00000000" w:rsidRDefault="00000000" w:rsidRPr="00000000" w14:paraId="0000005F">
      <w:pPr>
        <w:ind w:left="567" w:right="616" w:firstLine="0"/>
        <w:jc w:val="center"/>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73. La prestación de los servicios de drenaje, alcantarillado y saneamiento de aguas residuales y domésticas constituye un servicio público que está a cargo del H. Ayuntamiento a través de la Dirección y/o Autoridad Administrativa competente; en términos de las leyes Federales, Estatales y reglamentos que de ellas emanen, este Bando y demás disposiciones legales: </w:t>
      </w:r>
    </w:p>
    <w:p w:rsidR="00000000" w:rsidDel="00000000" w:rsidP="00000000" w:rsidRDefault="00000000" w:rsidRPr="00000000" w14:paraId="00000061">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2">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 La prestación del servicio de agua potable y drenaje será un servicio público para uso doméstico; y las conexiones para actividades comerciales, industriales, servicios mixtos o las relacionadas que realicen las personas físicas, jurídico colectivas o los organismos públicos dentro del territorio municipal, su utilización para el desarrollo de la misma requerirá del permiso previo expedido por el H. Ayuntamiento a través de la </w:t>
      </w:r>
      <w:r w:rsidDel="00000000" w:rsidR="00000000" w:rsidRPr="00000000">
        <w:rPr>
          <w:rFonts w:ascii="Palatino Linotype" w:cs="Palatino Linotype" w:eastAsia="Palatino Linotype" w:hAnsi="Palatino Linotype"/>
          <w:b w:val="1"/>
          <w:i w:val="1"/>
          <w:sz w:val="22"/>
          <w:szCs w:val="22"/>
          <w:rtl w:val="0"/>
        </w:rPr>
        <w:t xml:space="preserve">Dirección y/o Autoridad Administrativa competente; [...]”</w:t>
      </w:r>
    </w:p>
    <w:p w:rsidR="00000000" w:rsidDel="00000000" w:rsidP="00000000" w:rsidRDefault="00000000" w:rsidRPr="00000000" w14:paraId="00000063">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4">
      <w:pPr>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5">
      <w:pPr>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los municipios, tienen a su cargo la prestación, explotación, administración y conservación de los servicios públicos municipales, como el relativo al agua potable, mismo que se puede realizarse por los ayuntamientos, sus unidades administrativas y organismos auxiliares, o bien, mediante concesión a terceros.</w:t>
      </w:r>
    </w:p>
    <w:p w:rsidR="00000000" w:rsidDel="00000000" w:rsidP="00000000" w:rsidRDefault="00000000" w:rsidRPr="00000000" w14:paraId="00000067">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dicho servicio público, de prestarse por el Ayuntamiento, este se encuentra a cargo de una Dirección y/o Autoridad Administrativa competente; en este caso, la Dirección de Servicios Públicos.</w:t>
      </w:r>
    </w:p>
    <w:p w:rsidR="00000000" w:rsidDel="00000000" w:rsidP="00000000" w:rsidRDefault="00000000" w:rsidRPr="00000000" w14:paraId="00000069">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la Dirección de Servicios Públicos del Ayuntamiento de Atizapán es una de las unidades administrativas, que puede conocer si el servicio de pipas de agua que refiere el particular fue prestado por parte del Ayuntamiento.</w:t>
      </w:r>
    </w:p>
    <w:p w:rsidR="00000000" w:rsidDel="00000000" w:rsidP="00000000" w:rsidRDefault="00000000" w:rsidRPr="00000000" w14:paraId="0000006B">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lo anterior, atendiendo que el particular requiere costo con motivo de la prestación del servicio de agua por conducto de pipas, otra de las unidades administrativas que puede conocer sobre lo requerido es la Dirección de la Unidad de Tesorería y Administración; pues la misma conforme las fracciones I y IV del artículo 95 de la Ley Orgánica Municipal del Estado de México, tiene dentro de sus atribuciones:</w:t>
      </w:r>
    </w:p>
    <w:p w:rsidR="00000000" w:rsidDel="00000000" w:rsidP="00000000" w:rsidRDefault="00000000" w:rsidRPr="00000000" w14:paraId="0000006D">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widowControl w:val="0"/>
        <w:tabs>
          <w:tab w:val="left" w:leader="none" w:pos="1701"/>
          <w:tab w:val="left" w:leader="none" w:pos="1843"/>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95.- Son atribuciones del tesorero municipal: </w:t>
      </w:r>
    </w:p>
    <w:p w:rsidR="00000000" w:rsidDel="00000000" w:rsidP="00000000" w:rsidRDefault="00000000" w:rsidRPr="00000000" w14:paraId="0000006F">
      <w:pPr>
        <w:widowControl w:val="0"/>
        <w:tabs>
          <w:tab w:val="left" w:leader="none" w:pos="1701"/>
          <w:tab w:val="left" w:leader="none" w:pos="1843"/>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Administrar la hacienda pública municipal, de conformidad con las disposiciones legales aplicables; </w:t>
      </w:r>
    </w:p>
    <w:p w:rsidR="00000000" w:rsidDel="00000000" w:rsidP="00000000" w:rsidRDefault="00000000" w:rsidRPr="00000000" w14:paraId="00000070">
      <w:pPr>
        <w:widowControl w:val="0"/>
        <w:tabs>
          <w:tab w:val="left" w:leader="none" w:pos="1701"/>
          <w:tab w:val="left" w:leader="none" w:pos="1843"/>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1">
      <w:pPr>
        <w:widowControl w:val="0"/>
        <w:tabs>
          <w:tab w:val="left" w:leader="none" w:pos="1701"/>
          <w:tab w:val="left" w:leader="none" w:pos="1843"/>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Llevar los registros contables, financieros y administrativos de los ingresos, egresos, e inventarios;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2">
      <w:pPr>
        <w:widowControl w:val="0"/>
        <w:tabs>
          <w:tab w:val="left" w:leader="none" w:pos="1701"/>
          <w:tab w:val="left" w:leader="none" w:pos="1843"/>
        </w:tabs>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3">
      <w:pPr>
        <w:widowControl w:val="0"/>
        <w:tabs>
          <w:tab w:val="left" w:leader="none" w:pos="1701"/>
          <w:tab w:val="left" w:leader="none" w:pos="1843"/>
        </w:tabs>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74">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Máxime que de la consulta que hizo este Órgano Garante a medios digitales, localizó que en el portal del Sistema Electrónico de Información, Trámites y Servicios, del Gobierno del Estado de México, </w:t>
      </w:r>
      <w:r w:rsidDel="00000000" w:rsidR="00000000" w:rsidRPr="00000000">
        <w:rPr>
          <w:rFonts w:ascii="Palatino Linotype" w:cs="Palatino Linotype" w:eastAsia="Palatino Linotype" w:hAnsi="Palatino Linotype"/>
          <w:b w:val="1"/>
          <w:sz w:val="22"/>
          <w:szCs w:val="22"/>
          <w:rtl w:val="0"/>
        </w:rPr>
        <w:t xml:space="preserve">el Servicio de Pipa de Agua Potable es un trámite presencial que, lo pueden prestar los ayuntamientos y genera un costo o cuota de recuperación, cuando el ciudadano interesado se ubica en el supuesto de que requiere del servicio, pero no cuenta con su Recibo de Pago de Agua Potable Sellado por Tesorería Municipal al corriente</w:t>
      </w:r>
      <w:r w:rsidDel="00000000" w:rsidR="00000000" w:rsidRPr="00000000">
        <w:rPr>
          <w:rFonts w:ascii="Palatino Linotype" w:cs="Palatino Linotype" w:eastAsia="Palatino Linotype" w:hAnsi="Palatino Linotype"/>
          <w:sz w:val="22"/>
          <w:szCs w:val="22"/>
          <w:rtl w:val="0"/>
        </w:rPr>
        <w:t xml:space="preserve">, como se sigue:</w:t>
      </w:r>
    </w:p>
    <w:p w:rsidR="00000000" w:rsidDel="00000000" w:rsidP="00000000" w:rsidRDefault="00000000" w:rsidRPr="00000000" w14:paraId="00000076">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044700"/>
            <wp:effectExtent b="0" l="0" r="0" t="0"/>
            <wp:docPr id="4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en el caso es de recordar que en un principio, quien dio atención a la solicitud de información fue la Directora de Servicios Públicos, misma que si bien indicó que, los trabajos que se realizaron con la pipa de agua, esta se utilizó como apoyo a la ciudadanía que fue afectada por el falta de agua, a causa de la compostura que estaba recibiendo la bomba número 42; precisando que el servicio prestado con la pipa de agua no tuvo costo alguno para los ciudadanos, y por ello no se cuenta con facturas; también lo es, que existía otra unidad administrativa que tenía competencia para conocer acerca de los costos con motivo de la prestación del servicio de agua por conducto de pipas que refiere el particular, y si en efecto no se cuentan con las facturas correspondientes. </w:t>
      </w:r>
    </w:p>
    <w:p w:rsidR="00000000" w:rsidDel="00000000" w:rsidP="00000000" w:rsidRDefault="00000000" w:rsidRPr="00000000" w14:paraId="0000007A">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del análisis a las constancias que obran en el expediente integrado con motivo del recurso de revisión de nuestra atención, se advierte que vía informe justificado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por conducto de la Directora de la de la Unidad de Tesorería y Administración hizo del conocimiento que, sobre la solicitud de información, el suministro de agua mediante carros cisternas (pipas de agua) pertenecen al parque vehicular del Ayuntamiento de Atizapán y fueron de manera gratuita, ya que en ese momento se realizaba la reparación de la bomba de agua que suministra agua en la colonia la remolacha; por lo cual, no se generó gasto alguno por parte de las personas beneficiadas con este apoyo.</w:t>
      </w:r>
    </w:p>
    <w:p w:rsidR="00000000" w:rsidDel="00000000" w:rsidP="00000000" w:rsidRDefault="00000000" w:rsidRPr="00000000" w14:paraId="0000007C">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widowControl w:val="0"/>
        <w:tabs>
          <w:tab w:val="left" w:leader="none" w:pos="1701"/>
          <w:tab w:val="left" w:leader="none" w:pos="1843"/>
        </w:tabs>
        <w:spacing w:line="360" w:lineRule="auto"/>
        <w:ind w:right="49"/>
        <w:jc w:val="both"/>
        <w:rPr>
          <w:sz w:val="22"/>
          <w:szCs w:val="22"/>
        </w:rPr>
      </w:pPr>
      <w:r w:rsidDel="00000000" w:rsidR="00000000" w:rsidRPr="00000000">
        <w:rPr>
          <w:rFonts w:ascii="Palatino Linotype" w:cs="Palatino Linotype" w:eastAsia="Palatino Linotype" w:hAnsi="Palatino Linotype"/>
          <w:sz w:val="22"/>
          <w:szCs w:val="22"/>
          <w:rtl w:val="0"/>
        </w:rPr>
        <w:t xml:space="preserve">De esta manera, se advierte que fue hasta informe justificado que el Sujeto Obligado cumplió con el procedimiento para la atención a las solicitudes de acceso a la información, establecido en los artículos 151, 159, 160, 162, 163, 164, 165 y 166, de la Ley de Transparencia y Acceso a la Información Pública del Estado de México y Municipios, mismo que consiste en lo siguiente:</w:t>
      </w:r>
      <w:r w:rsidDel="00000000" w:rsidR="00000000" w:rsidRPr="00000000">
        <w:rPr>
          <w:rtl w:val="0"/>
        </w:rPr>
      </w:r>
    </w:p>
    <w:p w:rsidR="00000000" w:rsidDel="00000000" w:rsidP="00000000" w:rsidRDefault="00000000" w:rsidRPr="00000000" w14:paraId="0000007E">
      <w:pPr>
        <w:widowControl w:val="0"/>
        <w:tabs>
          <w:tab w:val="left" w:leader="none" w:pos="1701"/>
          <w:tab w:val="left" w:leader="none" w:pos="1843"/>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numPr>
          <w:ilvl w:val="0"/>
          <w:numId w:val="1"/>
        </w:numP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080">
      <w:pPr>
        <w:spacing w:line="276" w:lineRule="auto"/>
        <w:ind w:left="3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numPr>
          <w:ilvl w:val="0"/>
          <w:numId w:val="1"/>
        </w:numP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082">
      <w:pPr>
        <w:spacing w:line="276" w:lineRule="auto"/>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numPr>
          <w:ilvl w:val="0"/>
          <w:numId w:val="1"/>
        </w:numP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sz w:val="22"/>
          <w:szCs w:val="22"/>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sz w:val="22"/>
          <w:szCs w:val="22"/>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084">
      <w:pPr>
        <w:spacing w:line="276" w:lineRule="auto"/>
        <w:ind w:left="72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numPr>
          <w:ilvl w:val="0"/>
          <w:numId w:val="1"/>
        </w:numPr>
        <w:spacing w:line="276" w:lineRule="auto"/>
        <w:ind w:left="360" w:hanging="36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086">
      <w:pPr>
        <w:spacing w:line="276" w:lineRule="auto"/>
        <w:ind w:left="720" w:firstLine="0"/>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087">
      <w:pPr>
        <w:numPr>
          <w:ilvl w:val="0"/>
          <w:numId w:val="1"/>
        </w:numPr>
        <w:spacing w:line="276" w:lineRule="auto"/>
        <w:ind w:left="3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088">
      <w:pPr>
        <w:spacing w:line="276" w:lineRule="auto"/>
        <w:ind w:left="360"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89">
      <w:pPr>
        <w:numPr>
          <w:ilvl w:val="0"/>
          <w:numId w:val="1"/>
        </w:numPr>
        <w:spacing w:line="276" w:lineRule="auto"/>
        <w:ind w:left="3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08A">
      <w:pPr>
        <w:spacing w:line="360" w:lineRule="auto"/>
        <w:rPr>
          <w:sz w:val="22"/>
          <w:szCs w:val="22"/>
        </w:rPr>
      </w:pPr>
      <w:r w:rsidDel="00000000" w:rsidR="00000000" w:rsidRPr="00000000">
        <w:rPr>
          <w:rtl w:val="0"/>
        </w:rPr>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 que en el caso concreto, el procedimiento de búsqueda de la información se atendió hasta informe justificado, ya que es hasta este momento en el que se tiene constancia de que también se turnó la solicitud al servidor público habilitado competente de la Dirección de la Tesorería y Administración, quien es la que conoce sustancialmente si se efectuó algún cobro por prestación de servicios de pipa de agua.</w:t>
      </w:r>
    </w:p>
    <w:p w:rsidR="00000000" w:rsidDel="00000000" w:rsidP="00000000" w:rsidRDefault="00000000" w:rsidRPr="00000000" w14:paraId="0000008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esas líneas argumentativas, en el caso concreto se advierte que respecto del servicio de agua, a través de pipas entregadas en la Colonia “La Remolacha” el 04 de febrero de 2025; fue llevado a cabo de manera gratuita, por parte del Ayuntamiento de Atizapán, a través de carros cisternas (pipas de agua) que pertenecen al parque vehicular del Sujeto Obligado; y, por tanto, la prestación de dicho servicio no generó ningún costo para los beneficiarios, por el cual se deba emitir factura. </w:t>
      </w:r>
    </w:p>
    <w:p w:rsidR="00000000" w:rsidDel="00000000" w:rsidP="00000000" w:rsidRDefault="00000000" w:rsidRPr="00000000" w14:paraId="0000008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Situación la anterior, que incluso se convalida con la propia publicación en la red social “</w:t>
      </w:r>
      <w:r w:rsidDel="00000000" w:rsidR="00000000" w:rsidRPr="00000000">
        <w:rPr>
          <w:rFonts w:ascii="Palatino Linotype" w:cs="Palatino Linotype" w:eastAsia="Palatino Linotype" w:hAnsi="Palatino Linotype"/>
          <w:b w:val="1"/>
          <w:i w:val="1"/>
          <w:sz w:val="22"/>
          <w:szCs w:val="22"/>
          <w:rtl w:val="0"/>
        </w:rPr>
        <w:t xml:space="preserve">facebook</w:t>
      </w:r>
      <w:r w:rsidDel="00000000" w:rsidR="00000000" w:rsidRPr="00000000">
        <w:rPr>
          <w:rFonts w:ascii="Palatino Linotype" w:cs="Palatino Linotype" w:eastAsia="Palatino Linotype" w:hAnsi="Palatino Linotype"/>
          <w:sz w:val="22"/>
          <w:szCs w:val="22"/>
          <w:rtl w:val="0"/>
        </w:rPr>
        <w:t xml:space="preserve">” oficial del Gobierno Municipal de Atizapán, México, que aportó el particular en su solicitud, que corresponde a la publicación del 4 de febrero de 2025, en la que se indica que por indicaciones del Presidente Municipal, en coordinación con uno de los regidores,  se continuó brindando el servicio de pipas de agua, en esta ocasión abasteciendo en la colonia La Remolacha; servicio que se advierte fue prestado con carros cisterna (pipas de agua) pertenecientes al Ayuntamiento, como se advierte de la siguientes imágenes:</w:t>
      </w:r>
    </w:p>
    <w:p w:rsidR="00000000" w:rsidDel="00000000" w:rsidP="00000000" w:rsidRDefault="00000000" w:rsidRPr="00000000" w14:paraId="00000090">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574800"/>
            <wp:effectExtent b="0" l="0" r="0" t="0"/>
            <wp:docPr id="4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93">
      <w:pPr>
        <w:widowControl w:val="0"/>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486400" cy="3295650"/>
            <wp:effectExtent b="0" l="0" r="0" t="0"/>
            <wp:docPr id="4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8640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se insiste en que al haberse llevado a cabo el servicio de pipas de agua en la Colonia referida por el particular </w:t>
      </w:r>
      <w:r w:rsidDel="00000000" w:rsidR="00000000" w:rsidRPr="00000000">
        <w:rPr>
          <w:rFonts w:ascii="Palatino Linotype" w:cs="Palatino Linotype" w:eastAsia="Palatino Linotype" w:hAnsi="Palatino Linotype"/>
          <w:b w:val="1"/>
          <w:sz w:val="22"/>
          <w:szCs w:val="22"/>
          <w:u w:val="single"/>
          <w:rtl w:val="0"/>
        </w:rPr>
        <w:t xml:space="preserve">de manera gratuita</w:t>
      </w:r>
      <w:r w:rsidDel="00000000" w:rsidR="00000000" w:rsidRPr="00000000">
        <w:rPr>
          <w:rFonts w:ascii="Palatino Linotype" w:cs="Palatino Linotype" w:eastAsia="Palatino Linotype" w:hAnsi="Palatino Linotype"/>
          <w:sz w:val="22"/>
          <w:szCs w:val="22"/>
          <w:rtl w:val="0"/>
        </w:rPr>
        <w:t xml:space="preserve">, por parte del Ayuntamiento de Atizapán, a través de carros cisternas (pipas de agua) que pertenecen a su parque vehicular; por tanto, dicho servicio no genero costo alguno a los beneficiarios, y en consecuencia no se emitió facturas que soporten pago alguno.</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se considera que estamos en presencia de un hecho negativo, ya que aún y cuando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tiene atribuciones para cobrar por la prestación de servicios públicos, en el caso, el servicio que refiere el particular fue suministrado de manera gratuita y por ello no se tiene la información a la que pretende acceder.</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no se trata de un caso por el cual la negación del hecho implique la afirmación del mismo, simplemente se está ante una notoria y evidente inexistencia fáctica de la información solicitada.</w:t>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spacing w:line="276" w:lineRule="auto"/>
        <w:ind w:left="862" w:right="56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w:t>
      </w:r>
      <w:r w:rsidDel="00000000" w:rsidR="00000000" w:rsidRPr="00000000">
        <w:rPr>
          <w:rtl w:val="0"/>
        </w:rPr>
      </w:r>
    </w:p>
    <w:p w:rsidR="00000000" w:rsidDel="00000000" w:rsidP="00000000" w:rsidRDefault="00000000" w:rsidRPr="00000000" w14:paraId="0000009E">
      <w:pPr>
        <w:spacing w:line="276" w:lineRule="auto"/>
        <w:ind w:left="862" w:right="56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09F">
      <w:pPr>
        <w:spacing w:line="276" w:lineRule="auto"/>
        <w:ind w:left="862" w:right="56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2022/61. José García Florín (Menor). 9 de octubre de 1961. Cinco votos. Ponente: José Rivera Pérez Campos.”</w:t>
      </w:r>
    </w:p>
    <w:p w:rsidR="00000000" w:rsidDel="00000000" w:rsidP="00000000" w:rsidRDefault="00000000" w:rsidRPr="00000000" w14:paraId="000000A0">
      <w:pPr>
        <w:spacing w:line="360" w:lineRule="auto"/>
        <w:ind w:left="86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y de conformidad con lo establecido en el artículo 12 de la Ley de Transparencia y Acceso a la Información Pública del Estado de México y Municipios, anteriormente invocado </w:t>
      </w:r>
      <w:r w:rsidDel="00000000" w:rsidR="00000000" w:rsidRPr="00000000">
        <w:rPr>
          <w:rFonts w:ascii="Palatino Linotype" w:cs="Palatino Linotype" w:eastAsia="Palatino Linotype" w:hAnsi="Palatino Linotype"/>
          <w:b w:val="1"/>
          <w:sz w:val="22"/>
          <w:szCs w:val="22"/>
          <w:rtl w:val="0"/>
        </w:rPr>
        <w:t xml:space="preserve">el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sólo proporcionará la información que obra en sus archivos, lo que a</w:t>
      </w:r>
      <w:r w:rsidDel="00000000" w:rsidR="00000000" w:rsidRPr="00000000">
        <w:rPr>
          <w:rFonts w:ascii="Palatino Linotype" w:cs="Palatino Linotype" w:eastAsia="Palatino Linotype" w:hAnsi="Palatino Linotype"/>
          <w:i w:val="1"/>
          <w:sz w:val="22"/>
          <w:szCs w:val="22"/>
          <w:rtl w:val="0"/>
        </w:rPr>
        <w:t xml:space="preserve"> contrario sensu</w:t>
      </w:r>
      <w:r w:rsidDel="00000000" w:rsidR="00000000" w:rsidRPr="00000000">
        <w:rPr>
          <w:rFonts w:ascii="Palatino Linotype" w:cs="Palatino Linotype" w:eastAsia="Palatino Linotype" w:hAnsi="Palatino Linotype"/>
          <w:sz w:val="22"/>
          <w:szCs w:val="22"/>
          <w:rtl w:val="0"/>
        </w:rPr>
        <w:t xml:space="preserve"> significa que no se está obligado a proporcionar lo que no obre en sus archivos; motivo por el cual se colma el derecho de acceso a la información pública de la persona solicitante.</w:t>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que la información fue proporcionada por la </w:t>
      </w:r>
      <w:r w:rsidDel="00000000" w:rsidR="00000000" w:rsidRPr="00000000">
        <w:rPr>
          <w:rFonts w:ascii="Palatino Linotype" w:cs="Palatino Linotype" w:eastAsia="Palatino Linotype" w:hAnsi="Palatino Linotype"/>
          <w:b w:val="1"/>
          <w:sz w:val="22"/>
          <w:szCs w:val="22"/>
          <w:rtl w:val="0"/>
        </w:rPr>
        <w:t xml:space="preserve">Dirección de Tesorería y Administración</w:t>
      </w:r>
      <w:r w:rsidDel="00000000" w:rsidR="00000000" w:rsidRPr="00000000">
        <w:rPr>
          <w:rFonts w:ascii="Palatino Linotype" w:cs="Palatino Linotype" w:eastAsia="Palatino Linotype" w:hAnsi="Palatino Linotype"/>
          <w:sz w:val="22"/>
          <w:szCs w:val="22"/>
          <w:rtl w:val="0"/>
        </w:rPr>
        <w:t xml:space="preserve">, por lo que en este sentido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0A4">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una vez analizadas las constancias que integran el expediente en que se actúa se advierte que vía informe justificado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colmó en su totalidad el derecho de acceso a la información pública al modificar su respuesta, ya proporcionó el pronunciamiento del servidor público habilitado competente que tiene competencia para conocer sobre los pagos o cobros efectuados por prestación de servicios públicos, mismo que en términos generales señaló que el servicio referido por el particular fue realizado de manera gratuita, dando como consecuencia que no cuente con la información a la que se pretende acceder; actualizando con ello, la causal de sobreseimiento prevista en la fracción III del artículo 192 de la Ley de Transparencia y Acceso a la Información Pública del Estado de México y Municipios, que dispone lo siguiente:</w:t>
      </w:r>
    </w:p>
    <w:p w:rsidR="00000000" w:rsidDel="00000000" w:rsidP="00000000" w:rsidRDefault="00000000" w:rsidRPr="00000000" w14:paraId="000000A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sobreseído en todo o en parte cuando una vez admitido, se actualicen alguno de los siguientes supuestos:</w:t>
      </w:r>
    </w:p>
    <w:p w:rsidR="00000000" w:rsidDel="00000000" w:rsidP="00000000" w:rsidRDefault="00000000" w:rsidRPr="00000000" w14:paraId="000000A8">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A9">
      <w:pPr>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 (Sic)</w:t>
      </w:r>
    </w:p>
    <w:p w:rsidR="00000000" w:rsidDel="00000000" w:rsidP="00000000" w:rsidRDefault="00000000" w:rsidRPr="00000000" w14:paraId="000000AA">
      <w:pPr>
        <w:spacing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AB">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Cuando el sujeto obligado modifique el acto impugnado.</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Cuando el sujeto obligado revoque el acto impugnado.</w:t>
      </w:r>
    </w:p>
    <w:p w:rsidR="00000000" w:rsidDel="00000000" w:rsidP="00000000" w:rsidRDefault="00000000" w:rsidRPr="00000000" w14:paraId="000000A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Quedando en ambos casos el acto combatido sin materia o sin efectos.</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después de haber otorgado una respuesta, emite una diversa de manera posterior y en esta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 la revocación, esta se actualiza cuando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deja sin efectos la primera respuesta y en su lugar emite otra con las características y cualidades suficientes para dejar satisfecho el ejercicio del derecho al acceso a la información pública.</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tanto, el recurso de revisión de referencia queda sin materia, toda vez que, con el informe justificado,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modificó su respuesta al pronunciarse sobre lo solicitado.</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bookmarkStart w:colFirst="0" w:colLast="0" w:name="_heading=h.lnxbz9" w:id="10"/>
      <w:bookmarkEnd w:id="10"/>
      <w:r w:rsidDel="00000000" w:rsidR="00000000" w:rsidRPr="00000000">
        <w:rPr>
          <w:rFonts w:ascii="Palatino Linotype" w:cs="Palatino Linotype" w:eastAsia="Palatino Linotype" w:hAnsi="Palatino Linotype"/>
          <w:sz w:val="22"/>
          <w:szCs w:val="22"/>
          <w:rtl w:val="0"/>
        </w:rPr>
        <w:t xml:space="preserve">Por lo que, tomando en consideración dicha circunstancia, así como el hecho de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informe justificado fue puesta a la vista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de su análisis se advierte que colma el derecho de acceso a la información del particular, por ende, queda sin materia el recurso de revisión </w:t>
      </w:r>
      <w:r w:rsidDel="00000000" w:rsidR="00000000" w:rsidRPr="00000000">
        <w:rPr>
          <w:rFonts w:ascii="Palatino Linotype" w:cs="Palatino Linotype" w:eastAsia="Palatino Linotype" w:hAnsi="Palatino Linotype"/>
          <w:b w:val="1"/>
          <w:sz w:val="22"/>
          <w:szCs w:val="22"/>
          <w:rtl w:val="0"/>
        </w:rPr>
        <w:t xml:space="preserve">02944/INFOEM/IP/RR/2025</w:t>
      </w:r>
      <w:r w:rsidDel="00000000" w:rsidR="00000000" w:rsidRPr="00000000">
        <w:rPr>
          <w:rFonts w:ascii="Palatino Linotype" w:cs="Palatino Linotype" w:eastAsia="Palatino Linotype" w:hAnsi="Palatino Linotype"/>
          <w:sz w:val="22"/>
          <w:szCs w:val="22"/>
          <w:rtl w:val="0"/>
        </w:rPr>
        <w:t xml:space="preserve">,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pues se insiste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atendió de la solicitud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i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un acto que da por terminado el procedimiento administrativo de impugnación sin resolver el fondo de la cuestión planteada, por presentarse causas que impiden a la autoridad referirse a lo sustancial de lo planteado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los efectos del sobreseimiento son los de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BC">
      <w:pPr>
        <w:spacing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 </w:t>
      </w: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B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BE">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r w:rsidDel="00000000" w:rsidR="00000000" w:rsidRPr="00000000">
        <w:rPr>
          <w:rtl w:val="0"/>
        </w:rPr>
      </w:r>
    </w:p>
    <w:p w:rsidR="00000000" w:rsidDel="00000000" w:rsidP="00000000" w:rsidRDefault="00000000" w:rsidRPr="00000000" w14:paraId="000000C0">
      <w:pPr>
        <w:spacing w:before="24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C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C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bookmarkStart w:colFirst="0" w:colLast="0" w:name="_heading=h.2et92p0" w:id="11"/>
      <w:bookmarkEnd w:id="11"/>
      <w:r w:rsidDel="00000000" w:rsidR="00000000" w:rsidRPr="00000000">
        <w:rPr>
          <w:rFonts w:ascii="Palatino Linotype" w:cs="Palatino Linotype" w:eastAsia="Palatino Linotype" w:hAnsi="Palatino Linotype"/>
          <w:sz w:val="22"/>
          <w:szCs w:val="22"/>
          <w:rtl w:val="0"/>
        </w:rPr>
        <w:t xml:space="preserve">Bajo ese tenor con fundamento en la segunda hipótesis de la fracción I del artículo 186, de la Ley de Transparencia y Acceso a la Información Pública del Estado de México y Municipios, se </w:t>
      </w:r>
      <w:r w:rsidDel="00000000" w:rsidR="00000000" w:rsidRPr="00000000">
        <w:rPr>
          <w:rFonts w:ascii="Palatino Linotype" w:cs="Palatino Linotype" w:eastAsia="Palatino Linotype" w:hAnsi="Palatino Linotype"/>
          <w:i w:val="1"/>
          <w:sz w:val="22"/>
          <w:szCs w:val="22"/>
          <w:rtl w:val="0"/>
        </w:rPr>
        <w:t xml:space="preserve">Sobresee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02944/INFOEM/IP/RR/2025</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fracción I, así como 188 de la Ley de Transparencia y Acceso a la Información Pública del Estado de México y Municipios, este Pleno:</w:t>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C7">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Sobresee </w:t>
      </w:r>
      <w:r w:rsidDel="00000000" w:rsidR="00000000" w:rsidRPr="00000000">
        <w:rPr>
          <w:rFonts w:ascii="Palatino Linotype" w:cs="Palatino Linotype" w:eastAsia="Palatino Linotype" w:hAnsi="Palatino Linotype"/>
          <w:sz w:val="22"/>
          <w:szCs w:val="22"/>
          <w:rtl w:val="0"/>
        </w:rPr>
        <w:t xml:space="preserve">el recurso de revisión número</w:t>
      </w:r>
      <w:r w:rsidDel="00000000" w:rsidR="00000000" w:rsidRPr="00000000">
        <w:rPr>
          <w:rFonts w:ascii="Palatino Linotype" w:cs="Palatino Linotype" w:eastAsia="Palatino Linotype" w:hAnsi="Palatino Linotype"/>
          <w:b w:val="1"/>
          <w:sz w:val="22"/>
          <w:szCs w:val="22"/>
          <w:rtl w:val="0"/>
        </w:rPr>
        <w:t xml:space="preserve"> 02944/INFOEM/IP/RR/2025,</w:t>
      </w:r>
      <w:r w:rsidDel="00000000" w:rsidR="00000000" w:rsidRPr="00000000">
        <w:rPr>
          <w:rFonts w:ascii="Palatino Linotype" w:cs="Palatino Linotype" w:eastAsia="Palatino Linotype" w:hAnsi="Palatino Linotype"/>
          <w:sz w:val="22"/>
          <w:szCs w:val="22"/>
          <w:rtl w:val="0"/>
        </w:rPr>
        <w:t xml:space="preserve"> porque al </w:t>
      </w:r>
      <w:r w:rsidDel="00000000" w:rsidR="00000000" w:rsidRPr="00000000">
        <w:rPr>
          <w:rFonts w:ascii="Palatino Linotype" w:cs="Palatino Linotype" w:eastAsia="Palatino Linotype" w:hAnsi="Palatino Linotype"/>
          <w:b w:val="1"/>
          <w:sz w:val="22"/>
          <w:szCs w:val="22"/>
          <w:rtl w:val="0"/>
        </w:rPr>
        <w:t xml:space="preserve">modificar la respuesta</w:t>
      </w:r>
      <w:r w:rsidDel="00000000" w:rsidR="00000000" w:rsidRPr="00000000">
        <w:rPr>
          <w:rFonts w:ascii="Palatino Linotype" w:cs="Palatino Linotype" w:eastAsia="Palatino Linotype" w:hAnsi="Palatino Linotype"/>
          <w:sz w:val="22"/>
          <w:szCs w:val="22"/>
          <w:rtl w:val="0"/>
        </w:rPr>
        <w:t xml:space="preserve"> se actualizó la causal prevista en el artículo 192, fracción III, de la Ley de Transparencia y Acceso a la Información Pública del Estado de México y Municipios, quedando sin materia dicho medio de impugnación en términos del considerando </w:t>
      </w: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Responsable de la Unidad de Transparencia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la presente resolución, para su conocimiento, lo anterior en términos del artículo 189 de la Ley de Transparencia y Acceso a la Información Pública del Estado de México y Municipios.</w:t>
      </w:r>
    </w:p>
    <w:p w:rsidR="00000000" w:rsidDel="00000000" w:rsidP="00000000" w:rsidRDefault="00000000" w:rsidRPr="00000000" w14:paraId="000000C9">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presente resolución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DÉCIMA OCTAVA SESIÓN ORDINARIA, CELEBRADA EL VEINTIUNO DE MAYO DE DOS MIL VEINTICINCO, ANTE EL SECRETARIO TÉCNICO DEL PLENO ALEXIS TAPIA RAMÍREZ. </w:t>
      </w:r>
    </w:p>
    <w:p w:rsidR="00000000" w:rsidDel="00000000" w:rsidP="00000000" w:rsidRDefault="00000000" w:rsidRPr="00000000" w14:paraId="000000CD">
      <w:pPr>
        <w:rPr>
          <w:rFonts w:ascii="Palatino Linotype" w:cs="Palatino Linotype" w:eastAsia="Palatino Linotype" w:hAnsi="Palatino Linotype"/>
          <w:sz w:val="22"/>
          <w:szCs w:val="22"/>
        </w:rPr>
      </w:pPr>
      <w:bookmarkStart w:colFirst="0" w:colLast="0" w:name="_heading=h.17dp8vu" w:id="12"/>
      <w:bookmarkEnd w:id="12"/>
      <w:r w:rsidDel="00000000" w:rsidR="00000000" w:rsidRPr="00000000">
        <w:rPr>
          <w:rtl w:val="0"/>
        </w:rPr>
      </w:r>
    </w:p>
    <w:p w:rsidR="00000000" w:rsidDel="00000000" w:rsidP="00000000" w:rsidRDefault="00000000" w:rsidRPr="00000000" w14:paraId="000000C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bookmarkStart w:colFirst="0" w:colLast="0" w:name="_heading=h.3rdcrjn" w:id="13"/>
      <w:bookmarkEnd w:id="13"/>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bookmarkStart w:colFirst="0" w:colLast="0" w:name="_heading=h.1t3h5sf" w:id="14"/>
      <w:bookmarkEnd w:id="14"/>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8">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E9">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-1080104</wp:posOffset>
          </wp:positionH>
          <wp:positionV relativeFrom="paragraph">
            <wp:posOffset>-488279</wp:posOffset>
          </wp:positionV>
          <wp:extent cx="7809865" cy="10165715"/>
          <wp:effectExtent b="0" l="0" r="0" t="0"/>
          <wp:wrapNone/>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0E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E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02944/INFOEM/IP/RR/2025</w:t>
          </w:r>
        </w:p>
      </w:tc>
    </w:tr>
    <w:tr>
      <w:trPr>
        <w:cantSplit w:val="0"/>
        <w:trHeight w:val="228" w:hRule="atLeast"/>
        <w:tblHeader w:val="0"/>
      </w:trPr>
      <w:tc>
        <w:tcPr>
          <w:shd w:fill="auto" w:val="clear"/>
          <w:vAlign w:val="center"/>
        </w:tcPr>
        <w:p w:rsidR="00000000" w:rsidDel="00000000" w:rsidP="00000000" w:rsidRDefault="00000000" w:rsidRPr="00000000" w14:paraId="000000E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E">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w:t>
          </w:r>
        </w:p>
      </w:tc>
    </w:tr>
    <w:tr>
      <w:trPr>
        <w:cantSplit w:val="0"/>
        <w:tblHeader w:val="0"/>
      </w:trPr>
      <w:tc>
        <w:tcPr>
          <w:shd w:fill="auto" w:val="clear"/>
          <w:vAlign w:val="center"/>
        </w:tcPr>
        <w:p w:rsidR="00000000" w:rsidDel="00000000" w:rsidP="00000000" w:rsidRDefault="00000000" w:rsidRPr="00000000" w14:paraId="000000EF">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1">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-1079483</wp:posOffset>
          </wp:positionH>
          <wp:positionV relativeFrom="paragraph">
            <wp:posOffset>-328910</wp:posOffset>
          </wp:positionV>
          <wp:extent cx="7809865" cy="10165715"/>
          <wp:effectExtent b="0" l="0" r="0" t="0"/>
          <wp:wrapNone/>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0F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F4">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02944/INFOEM/IP/RR/2025</w:t>
          </w:r>
        </w:p>
      </w:tc>
    </w:tr>
    <w:tr>
      <w:trPr>
        <w:cantSplit w:val="0"/>
        <w:trHeight w:val="130" w:hRule="atLeast"/>
        <w:tblHeader w:val="0"/>
      </w:trPr>
      <w:tc>
        <w:tcPr>
          <w:shd w:fill="auto" w:val="clear"/>
          <w:vAlign w:val="center"/>
        </w:tcPr>
        <w:p w:rsidR="00000000" w:rsidDel="00000000" w:rsidP="00000000" w:rsidRDefault="00000000" w:rsidRPr="00000000" w14:paraId="000000F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F6">
          <w:pPr>
            <w:ind w:left="-45" w:right="1444"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F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F8">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w:t>
          </w:r>
        </w:p>
      </w:tc>
    </w:tr>
    <w:tr>
      <w:trPr>
        <w:cantSplit w:val="0"/>
        <w:tblHeader w:val="0"/>
      </w:trPr>
      <w:tc>
        <w:tcPr>
          <w:shd w:fill="auto" w:val="clear"/>
          <w:vAlign w:val="center"/>
        </w:tcPr>
        <w:p w:rsidR="00000000" w:rsidDel="00000000" w:rsidP="00000000" w:rsidRDefault="00000000" w:rsidRPr="00000000" w14:paraId="000000F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45936"/>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lang w:val="es-ES"/>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lang w:val="es-ES"/>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lang w:val="es-ES"/>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lang w:val="es-ES"/>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lang w:val="es-ES"/>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lang w:val="es-E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6" w:customStyle="1">
    <w:name w:val="16"/>
    <w:basedOn w:val="TableNormal10"/>
    <w:tblPr>
      <w:tblStyleRowBandSize w:val="1"/>
      <w:tblStyleColBandSize w:val="1"/>
      <w:tblCellMar>
        <w:left w:w="115.0" w:type="dxa"/>
        <w:right w:w="115.0" w:type="dxa"/>
      </w:tblCellMar>
    </w:tblPr>
  </w:style>
  <w:style w:type="table" w:styleId="15" w:customStyle="1">
    <w:name w:val="15"/>
    <w:basedOn w:val="TableNormal10"/>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14" w:customStyle="1">
    <w:name w:val="14"/>
    <w:basedOn w:val="TableNormal10"/>
    <w:tblPr>
      <w:tblStyleRowBandSize w:val="1"/>
      <w:tblStyleColBandSize w:val="1"/>
      <w:tblCellMar>
        <w:left w:w="115.0" w:type="dxa"/>
        <w:right w:w="115.0" w:type="dxa"/>
      </w:tblCellMar>
    </w:tblPr>
  </w:style>
  <w:style w:type="table" w:styleId="13" w:customStyle="1">
    <w:name w:val="13"/>
    <w:basedOn w:val="TableNormal10"/>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12" w:customStyle="1">
    <w:name w:val="12"/>
    <w:basedOn w:val="TableNormal20"/>
    <w:tblPr>
      <w:tblStyleRowBandSize w:val="1"/>
      <w:tblStyleColBandSize w:val="1"/>
      <w:tblCellMar>
        <w:left w:w="115.0" w:type="dxa"/>
        <w:right w:w="115.0" w:type="dxa"/>
      </w:tblCellMar>
    </w:tblPr>
  </w:style>
  <w:style w:type="table" w:styleId="11" w:customStyle="1">
    <w:name w:val="11"/>
    <w:basedOn w:val="TableNormal20"/>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759CF"/>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F759CF"/>
    <w:rPr>
      <w:vertAlign w:val="superscript"/>
    </w:rPr>
  </w:style>
  <w:style w:type="table" w:styleId="10" w:customStyle="1">
    <w:name w:val="10"/>
    <w:basedOn w:val="TableNormal30"/>
    <w:tblPr>
      <w:tblStyleRowBandSize w:val="1"/>
      <w:tblStyleColBandSize w:val="1"/>
      <w:tblCellMar>
        <w:left w:w="115.0" w:type="dxa"/>
        <w:right w:w="115.0" w:type="dxa"/>
      </w:tblCellMar>
    </w:tblPr>
  </w:style>
  <w:style w:type="table" w:styleId="9" w:customStyle="1">
    <w:name w:val="9"/>
    <w:basedOn w:val="TableNormal30"/>
    <w:tblPr>
      <w:tblStyleRowBandSize w:val="1"/>
      <w:tblStyleColBandSize w:val="1"/>
      <w:tblCellMar>
        <w:left w:w="115.0" w:type="dxa"/>
        <w:right w:w="115.0"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283BF5"/>
    <w:rPr>
      <w:lang w:val="es-ES"/>
    </w:rPr>
  </w:style>
  <w:style w:type="table" w:styleId="8" w:customStyle="1">
    <w:name w:val="8"/>
    <w:basedOn w:val="TableNormal40"/>
    <w:tblPr>
      <w:tblStyleRowBandSize w:val="1"/>
      <w:tblStyleColBandSize w:val="1"/>
      <w:tblCellMar>
        <w:left w:w="115.0" w:type="dxa"/>
        <w:right w:w="115.0" w:type="dxa"/>
      </w:tblCellMar>
    </w:tblPr>
  </w:style>
  <w:style w:type="table" w:styleId="7" w:customStyle="1">
    <w:name w:val="7"/>
    <w:basedOn w:val="TableNormal40"/>
    <w:tblPr>
      <w:tblStyleRowBandSize w:val="1"/>
      <w:tblStyleColBandSize w:val="1"/>
      <w:tblCellMar>
        <w:left w:w="115.0" w:type="dxa"/>
        <w:right w:w="115.0" w:type="dxa"/>
      </w:tblCellMar>
    </w:tblPr>
  </w:style>
  <w:style w:type="table" w:styleId="6" w:customStyle="1">
    <w:name w:val="6"/>
    <w:basedOn w:val="TableNormal5"/>
    <w:tblPr>
      <w:tblStyleRowBandSize w:val="1"/>
      <w:tblStyleColBandSize w:val="1"/>
      <w:tblCellMar>
        <w:left w:w="115.0" w:type="dxa"/>
        <w:right w:w="115.0" w:type="dxa"/>
      </w:tblCellMar>
    </w:tblPr>
  </w:style>
  <w:style w:type="table" w:styleId="5" w:customStyle="1">
    <w:name w:val="5"/>
    <w:basedOn w:val="TableNormal5"/>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77142E"/>
    <w:pPr>
      <w:numPr>
        <w:numId w:val="6"/>
      </w:numPr>
      <w:contextualSpacing w:val="1"/>
    </w:pPr>
  </w:style>
  <w:style w:type="table" w:styleId="4" w:customStyle="1">
    <w:name w:val="4"/>
    <w:basedOn w:val="TableNormal6"/>
    <w:tblPr>
      <w:tblStyleRowBandSize w:val="1"/>
      <w:tblStyleColBandSize w:val="1"/>
      <w:tblCellMar>
        <w:left w:w="115.0" w:type="dxa"/>
        <w:right w:w="115.0" w:type="dxa"/>
      </w:tblCellMar>
    </w:tblPr>
  </w:style>
  <w:style w:type="table" w:styleId="3" w:customStyle="1">
    <w:name w:val="3"/>
    <w:basedOn w:val="TableNormal6"/>
    <w:tblPr>
      <w:tblStyleRowBandSize w:val="1"/>
      <w:tblStyleColBandSize w:val="1"/>
      <w:tblCellMar>
        <w:left w:w="115.0" w:type="dxa"/>
        <w:right w:w="115.0" w:type="dxa"/>
      </w:tblCellMar>
    </w:tblPr>
  </w:style>
  <w:style w:type="table" w:styleId="2" w:customStyle="1">
    <w:name w:val="2"/>
    <w:basedOn w:val="TableNormal7"/>
    <w:tblPr>
      <w:tblStyleRowBandSize w:val="1"/>
      <w:tblStyleColBandSize w:val="1"/>
      <w:tblCellMar>
        <w:left w:w="115.0" w:type="dxa"/>
        <w:right w:w="115.0" w:type="dxa"/>
      </w:tblCellMar>
    </w:tblPr>
  </w:style>
  <w:style w:type="table" w:styleId="1" w:customStyle="1">
    <w:name w:val="1"/>
    <w:basedOn w:val="TableNormal7"/>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B910CA"/>
    <w:pPr>
      <w:tabs>
        <w:tab w:val="num" w:pos="720"/>
      </w:tabs>
      <w:ind w:left="720" w:hanging="720"/>
      <w:contextualSpacing w:val="1"/>
    </w:pPr>
  </w:style>
  <w:style w:type="paragraph" w:styleId="Textodeglobo">
    <w:name w:val="Balloon Text"/>
    <w:basedOn w:val="Normal"/>
    <w:link w:val="TextodegloboCar"/>
    <w:uiPriority w:val="99"/>
    <w:semiHidden w:val="1"/>
    <w:unhideWhenUsed w:val="1"/>
    <w:rsid w:val="003B3B2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B3B2A"/>
    <w:rPr>
      <w:rFonts w:ascii="Segoe UI" w:cs="Segoe UI" w:hAnsi="Segoe UI"/>
      <w:sz w:val="18"/>
      <w:szCs w:val="18"/>
    </w:rPr>
  </w:style>
  <w:style w:type="character" w:styleId="Hipervnculovisitado">
    <w:name w:val="FollowedHyperlink"/>
    <w:basedOn w:val="Fuentedeprrafopredeter"/>
    <w:uiPriority w:val="99"/>
    <w:semiHidden w:val="1"/>
    <w:unhideWhenUsed w:val="1"/>
    <w:rsid w:val="00E9311B"/>
    <w:rPr>
      <w:color w:val="800080" w:themeColor="followedHyperlink"/>
      <w:u w:val="single"/>
    </w:r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SAuSnTk5qZJ1v7GJ2r2/9F10ug==">CgMxLjAyCWguMWZvYjl0ZTIJaC40ZDM0b2c4MghoLmdqZGd4czIJaC4zZHk2dmttMgloLjMwajB6bGwyCWguMnM4ZXlvMTIIaC50eWpjd3QyDmguazV4bDdhcTlmNmRvMgloLjN6bnlzaDcyCWguMXk4MTB0dzIIaC5sbnhiejkyCWguMmV0OTJwMDIJaC4xN2RwOHZ1MgloLjNyZGNyam4yCWguMXQzaDVzZjgAciExOEVKLTg1ZzVJMEJad3lScUhtLUd0US0wcHhKRTFrL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2025-06-04T23:19:00Z</dcterms:created>
  <dc:creator>USUARIO</dc:creator>
</cp:coreProperties>
</file>