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598" w:rsidRPr="00453C03" w:rsidRDefault="00CD4D98" w:rsidP="00453C03">
      <w:pPr>
        <w:tabs>
          <w:tab w:val="left" w:pos="3465"/>
        </w:tabs>
        <w:spacing w:line="360" w:lineRule="auto"/>
        <w:jc w:val="both"/>
        <w:rPr>
          <w:rFonts w:ascii="Palatino Linotype" w:eastAsia="Palatino Linotype" w:hAnsi="Palatino Linotype" w:cs="Palatino Linotype"/>
          <w:b/>
          <w:color w:val="000000" w:themeColor="text1"/>
        </w:rPr>
      </w:pPr>
      <w:bookmarkStart w:id="0" w:name="_GoBack"/>
      <w:bookmarkEnd w:id="0"/>
      <w:r w:rsidRPr="00453C03">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453C03">
        <w:rPr>
          <w:rFonts w:ascii="Palatino Linotype" w:eastAsia="Palatino Linotype" w:hAnsi="Palatino Linotype" w:cs="Palatino Linotype"/>
          <w:b/>
          <w:color w:val="000000" w:themeColor="text1"/>
        </w:rPr>
        <w:t>de fecha veinticinco (25) de noviembre de dos mil veinticinco.</w:t>
      </w:r>
    </w:p>
    <w:p w:rsidR="00CC2598" w:rsidRPr="00453C03" w:rsidRDefault="00CC2598" w:rsidP="00453C03">
      <w:pPr>
        <w:tabs>
          <w:tab w:val="left" w:pos="3465"/>
        </w:tabs>
        <w:spacing w:line="360" w:lineRule="auto"/>
        <w:jc w:val="both"/>
        <w:rPr>
          <w:rFonts w:ascii="Palatino Linotype" w:eastAsia="Palatino Linotype" w:hAnsi="Palatino Linotype" w:cs="Palatino Linotype"/>
          <w:color w:val="000000" w:themeColor="text1"/>
        </w:rPr>
      </w:pPr>
    </w:p>
    <w:p w:rsidR="00CC2598" w:rsidRDefault="00CD4D98" w:rsidP="00453C03">
      <w:pPr>
        <w:spacing w:line="360" w:lineRule="auto"/>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b/>
          <w:bCs/>
          <w:color w:val="000000" w:themeColor="text1"/>
        </w:rPr>
        <w:t xml:space="preserve">VISTAS </w:t>
      </w:r>
      <w:r w:rsidRPr="00453C03">
        <w:rPr>
          <w:rFonts w:ascii="Palatino Linotype" w:eastAsia="Palatino Linotype" w:hAnsi="Palatino Linotype" w:cs="Palatino Linotype"/>
          <w:color w:val="000000" w:themeColor="text1"/>
        </w:rPr>
        <w:t xml:space="preserve">las constancias para resolver el Recurso de Revisión </w:t>
      </w:r>
      <w:r w:rsidRPr="00453C03">
        <w:rPr>
          <w:rFonts w:ascii="Palatino Linotype" w:eastAsia="Palatino Linotype" w:hAnsi="Palatino Linotype" w:cs="Palatino Linotype"/>
          <w:b/>
          <w:bCs/>
          <w:color w:val="000000" w:themeColor="text1"/>
        </w:rPr>
        <w:t>07418/INFOEM/IP/RR/2025</w:t>
      </w:r>
      <w:r w:rsidRPr="00453C03">
        <w:rPr>
          <w:rFonts w:ascii="Palatino Linotype" w:eastAsia="Palatino Linotype" w:hAnsi="Palatino Linotype" w:cs="Palatino Linotype"/>
          <w:color w:val="000000" w:themeColor="text1"/>
        </w:rPr>
        <w:t xml:space="preserve">, promovido por </w:t>
      </w:r>
      <w:r w:rsidR="00032BE8">
        <w:rPr>
          <w:rFonts w:ascii="Palatino Linotype" w:eastAsia="Palatino Linotype" w:hAnsi="Palatino Linotype" w:cs="Palatino Linotype"/>
          <w:b/>
          <w:bCs/>
          <w:color w:val="000000" w:themeColor="text1"/>
        </w:rPr>
        <w:t>XXXX</w:t>
      </w:r>
      <w:r w:rsidRPr="00453C03">
        <w:rPr>
          <w:rFonts w:ascii="Palatino Linotype" w:eastAsia="Palatino Linotype" w:hAnsi="Palatino Linotype" w:cs="Palatino Linotype"/>
          <w:color w:val="000000" w:themeColor="text1"/>
        </w:rPr>
        <w:t xml:space="preserve">, en lo sucesivo </w:t>
      </w:r>
      <w:r w:rsidRPr="00453C03">
        <w:rPr>
          <w:rFonts w:ascii="Palatino Linotype" w:eastAsia="Palatino Linotype" w:hAnsi="Palatino Linotype" w:cs="Palatino Linotype"/>
          <w:b/>
          <w:bCs/>
          <w:color w:val="000000" w:themeColor="text1"/>
        </w:rPr>
        <w:t>EL RECURRENTE</w:t>
      </w:r>
      <w:r w:rsidRPr="00453C03">
        <w:rPr>
          <w:rFonts w:ascii="Palatino Linotype" w:eastAsia="Palatino Linotype" w:hAnsi="Palatino Linotype" w:cs="Palatino Linotype"/>
          <w:color w:val="000000" w:themeColor="text1"/>
        </w:rPr>
        <w:t xml:space="preserve">, en contra de la respuesta otorgada a la solicitud de información </w:t>
      </w:r>
      <w:r w:rsidRPr="00453C03">
        <w:rPr>
          <w:rFonts w:ascii="Palatino Linotype" w:eastAsia="Palatino Linotype" w:hAnsi="Palatino Linotype" w:cs="Palatino Linotype"/>
          <w:b/>
          <w:bCs/>
          <w:color w:val="000000" w:themeColor="text1"/>
        </w:rPr>
        <w:t>00467/ECATEPEC/IP/2025</w:t>
      </w:r>
      <w:r w:rsidRPr="00453C03">
        <w:rPr>
          <w:rFonts w:ascii="Palatino Linotype" w:eastAsia="Palatino Linotype" w:hAnsi="Palatino Linotype" w:cs="Palatino Linotype"/>
          <w:color w:val="000000" w:themeColor="text1"/>
        </w:rPr>
        <w:t xml:space="preserve">, por parte del </w:t>
      </w:r>
      <w:r w:rsidRPr="00453C03">
        <w:rPr>
          <w:rFonts w:ascii="Palatino Linotype" w:eastAsia="Palatino Linotype" w:hAnsi="Palatino Linotype" w:cs="Palatino Linotype"/>
          <w:b/>
          <w:bCs/>
          <w:color w:val="000000" w:themeColor="text1"/>
        </w:rPr>
        <w:t xml:space="preserve">Ayuntamiento de Ecatepec de Morelos, </w:t>
      </w:r>
      <w:r w:rsidRPr="00453C03">
        <w:rPr>
          <w:rFonts w:ascii="Palatino Linotype" w:eastAsia="Palatino Linotype" w:hAnsi="Palatino Linotype" w:cs="Palatino Linotype"/>
          <w:color w:val="000000" w:themeColor="text1"/>
        </w:rPr>
        <w:t xml:space="preserve">en adelante 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 xml:space="preserve">, se emite la presente resolución con base en los siguientes: </w:t>
      </w:r>
    </w:p>
    <w:p w:rsidR="00514BAE" w:rsidRDefault="00514BAE" w:rsidP="00453C03">
      <w:pPr>
        <w:spacing w:line="360" w:lineRule="auto"/>
        <w:jc w:val="both"/>
        <w:rPr>
          <w:rFonts w:ascii="Palatino Linotype" w:eastAsia="Palatino Linotype" w:hAnsi="Palatino Linotype" w:cs="Palatino Linotype"/>
          <w:color w:val="000000" w:themeColor="text1"/>
        </w:rPr>
      </w:pPr>
    </w:p>
    <w:p w:rsidR="00514BAE" w:rsidRPr="00453C03" w:rsidRDefault="00514BAE" w:rsidP="00453C03">
      <w:pPr>
        <w:spacing w:line="360" w:lineRule="auto"/>
        <w:jc w:val="both"/>
        <w:rPr>
          <w:rFonts w:ascii="Palatino Linotype" w:eastAsia="Palatino Linotype" w:hAnsi="Palatino Linotype" w:cs="Palatino Linotype"/>
          <w:b/>
          <w:bCs/>
          <w:color w:val="000000" w:themeColor="text1"/>
        </w:rPr>
      </w:pPr>
    </w:p>
    <w:p w:rsidR="00CC2598" w:rsidRPr="00453C03" w:rsidRDefault="00CD4D98" w:rsidP="00453C03">
      <w:pPr>
        <w:pStyle w:val="Ttulo1"/>
        <w:spacing w:before="0" w:line="360" w:lineRule="auto"/>
        <w:jc w:val="center"/>
        <w:rPr>
          <w:rFonts w:ascii="Palatino Linotype" w:eastAsia="Palatino Linotype" w:hAnsi="Palatino Linotype" w:cs="Palatino Linotype"/>
          <w:b/>
          <w:bCs/>
          <w:color w:val="000000" w:themeColor="text1"/>
          <w:sz w:val="24"/>
          <w:szCs w:val="24"/>
        </w:rPr>
      </w:pPr>
      <w:bookmarkStart w:id="1" w:name="_heading=h.gjdgxs" w:colFirst="0" w:colLast="0"/>
      <w:bookmarkEnd w:id="1"/>
      <w:r w:rsidRPr="00453C03">
        <w:rPr>
          <w:rFonts w:ascii="Palatino Linotype" w:eastAsia="Palatino Linotype" w:hAnsi="Palatino Linotype" w:cs="Palatino Linotype"/>
          <w:b/>
          <w:bCs/>
          <w:color w:val="000000" w:themeColor="text1"/>
          <w:sz w:val="24"/>
          <w:szCs w:val="24"/>
        </w:rPr>
        <w:t>A N T E C E D E N T E S</w:t>
      </w: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b/>
          <w:bCs/>
          <w:color w:val="000000" w:themeColor="text1"/>
          <w:u w:val="single"/>
        </w:rPr>
      </w:pPr>
    </w:p>
    <w:p w:rsidR="00CC2598" w:rsidRPr="00453C03" w:rsidRDefault="00CD4D98" w:rsidP="00453C03">
      <w:pPr>
        <w:numPr>
          <w:ilvl w:val="0"/>
          <w:numId w:val="5"/>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El </w:t>
      </w:r>
      <w:r w:rsidRPr="00453C03">
        <w:rPr>
          <w:rFonts w:ascii="Palatino Linotype" w:eastAsia="Palatino Linotype" w:hAnsi="Palatino Linotype" w:cs="Palatino Linotype"/>
          <w:b/>
          <w:bCs/>
          <w:color w:val="000000" w:themeColor="text1"/>
        </w:rPr>
        <w:t>veintiocho de mayo de dos mil veinticinco</w:t>
      </w:r>
      <w:r w:rsidRPr="00453C03">
        <w:rPr>
          <w:rFonts w:ascii="Palatino Linotype" w:eastAsia="Palatino Linotype" w:hAnsi="Palatino Linotype" w:cs="Palatino Linotype"/>
          <w:color w:val="000000" w:themeColor="text1"/>
        </w:rPr>
        <w:t>,</w:t>
      </w:r>
      <w:r w:rsidRPr="00453C03">
        <w:rPr>
          <w:rFonts w:ascii="Palatino Linotype" w:eastAsia="Palatino Linotype" w:hAnsi="Palatino Linotype" w:cs="Palatino Linotype"/>
          <w:b/>
          <w:bCs/>
          <w:color w:val="000000" w:themeColor="text1"/>
        </w:rPr>
        <w:t xml:space="preserve"> </w:t>
      </w:r>
      <w:r w:rsidRPr="00453C03">
        <w:rPr>
          <w:rFonts w:ascii="Palatino Linotype" w:eastAsia="Palatino Linotype" w:hAnsi="Palatino Linotype" w:cs="Palatino Linotype"/>
          <w:color w:val="000000" w:themeColor="text1"/>
        </w:rPr>
        <w:t xml:space="preserve">se presentó ante el Sujeto Obligado vía Sistema de Acceso a la Información Mexiquense, en adelante SAIMEX, la siguiente </w:t>
      </w:r>
      <w:r w:rsidRPr="00032BE8">
        <w:rPr>
          <w:rFonts w:ascii="Palatino Linotype" w:eastAsia="Palatino Linotype" w:hAnsi="Palatino Linotype" w:cs="Palatino Linotype"/>
          <w:bCs/>
          <w:color w:val="000000" w:themeColor="text1"/>
        </w:rPr>
        <w:t>solicitud de información</w:t>
      </w:r>
      <w:r w:rsidRPr="00453C03">
        <w:rPr>
          <w:rFonts w:ascii="Palatino Linotype" w:eastAsia="Palatino Linotype" w:hAnsi="Palatino Linotype" w:cs="Palatino Linotype"/>
          <w:color w:val="000000" w:themeColor="text1"/>
        </w:rPr>
        <w:t xml:space="preserve"> pública:</w:t>
      </w: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color w:val="000000" w:themeColor="text1"/>
        </w:rPr>
      </w:pP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 xml:space="preserve"> “Sirva el presente para remitir un cordial saludo. De la misma manera y con fundamento en el articulo 8 de nuestra Carta Magna, solicito a bien los comprobantes de nómina de los Servidores Públicos que engloban la Direccion de Administracion y la Tesorería Municipal, de la primera y segunda quincena de mayo Testando datos sensibles (CURP, RFC, cuenta bancaria, entre otros). Sin más por el momento, espero pronta respuesta.” (Sic)</w:t>
      </w:r>
    </w:p>
    <w:p w:rsidR="00CC2598" w:rsidRDefault="00CC2598" w:rsidP="00453C03">
      <w:pPr>
        <w:pBdr>
          <w:top w:val="nil"/>
          <w:left w:val="nil"/>
          <w:bottom w:val="nil"/>
          <w:right w:val="nil"/>
          <w:between w:val="nil"/>
        </w:pBdr>
        <w:jc w:val="both"/>
        <w:rPr>
          <w:rFonts w:ascii="Palatino Linotype" w:eastAsia="Palatino Linotype" w:hAnsi="Palatino Linotype" w:cs="Palatino Linotype"/>
          <w:color w:val="000000" w:themeColor="text1"/>
        </w:rPr>
      </w:pPr>
    </w:p>
    <w:p w:rsidR="00514BAE" w:rsidRPr="00453C03" w:rsidRDefault="00514BAE" w:rsidP="00453C03">
      <w:pPr>
        <w:pBdr>
          <w:top w:val="nil"/>
          <w:left w:val="nil"/>
          <w:bottom w:val="nil"/>
          <w:right w:val="nil"/>
          <w:between w:val="nil"/>
        </w:pBdr>
        <w:jc w:val="both"/>
        <w:rPr>
          <w:rFonts w:ascii="Palatino Linotype" w:eastAsia="Palatino Linotype" w:hAnsi="Palatino Linotype" w:cs="Palatino Linotype"/>
          <w:color w:val="000000" w:themeColor="text1"/>
        </w:rPr>
      </w:pPr>
    </w:p>
    <w:p w:rsidR="00CC2598" w:rsidRPr="00453C03" w:rsidRDefault="00CD4D98" w:rsidP="00453C0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Se eligió como modalidad de entrega de la información: A través del </w:t>
      </w:r>
      <w:r w:rsidRPr="00453C03">
        <w:rPr>
          <w:rFonts w:ascii="Palatino Linotype" w:eastAsia="Palatino Linotype" w:hAnsi="Palatino Linotype" w:cs="Palatino Linotype"/>
          <w:b/>
          <w:bCs/>
          <w:color w:val="000000" w:themeColor="text1"/>
        </w:rPr>
        <w:t>SAIMEX.</w:t>
      </w:r>
    </w:p>
    <w:p w:rsidR="00CC2598" w:rsidRPr="00453C03" w:rsidRDefault="00CC2598" w:rsidP="00453C0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lastRenderedPageBreak/>
        <w:t xml:space="preserve">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 xml:space="preserve"> </w:t>
      </w:r>
      <w:r w:rsidRPr="00453C03">
        <w:rPr>
          <w:rFonts w:ascii="Palatino Linotype" w:eastAsia="Palatino Linotype" w:hAnsi="Palatino Linotype" w:cs="Palatino Linotype"/>
          <w:b/>
          <w:bCs/>
          <w:color w:val="000000" w:themeColor="text1"/>
        </w:rPr>
        <w:t>no proporcionó respuesta</w:t>
      </w:r>
      <w:r w:rsidRPr="00453C03">
        <w:rPr>
          <w:rFonts w:ascii="Palatino Linotype" w:eastAsia="Palatino Linotype" w:hAnsi="Palatino Linotype" w:cs="Palatino Linotype"/>
          <w:color w:val="000000" w:themeColor="text1"/>
        </w:rPr>
        <w:t xml:space="preserve"> a la solicitud de información dentro del plazo de quince días establecido en el artículo 163, de la Ley de Transparencia y Acceso a la Información Pública del Estado de México y Municipios.</w:t>
      </w:r>
    </w:p>
    <w:p w:rsidR="00CC2598" w:rsidRPr="00453C03" w:rsidRDefault="00CC2598" w:rsidP="00453C03">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p>
    <w:p w:rsidR="00CC2598" w:rsidRPr="00453C03" w:rsidRDefault="00CD4D98" w:rsidP="00453C03">
      <w:pPr>
        <w:numPr>
          <w:ilvl w:val="0"/>
          <w:numId w:val="5"/>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El</w:t>
      </w:r>
      <w:r w:rsidRPr="00453C03">
        <w:rPr>
          <w:rFonts w:ascii="Palatino Linotype" w:eastAsia="Palatino Linotype" w:hAnsi="Palatino Linotype" w:cs="Palatino Linotype"/>
          <w:b/>
          <w:bCs/>
          <w:color w:val="000000" w:themeColor="text1"/>
        </w:rPr>
        <w:t xml:space="preserve"> diecinueve de junio de dos mil veinticinco</w:t>
      </w:r>
      <w:r w:rsidRPr="00453C03">
        <w:rPr>
          <w:rFonts w:ascii="Palatino Linotype" w:eastAsia="Palatino Linotype" w:hAnsi="Palatino Linotype" w:cs="Palatino Linotype"/>
          <w:color w:val="000000" w:themeColor="text1"/>
        </w:rPr>
        <w:t xml:space="preserve">, el particular interpuso recurso de revisión al que se le asignó el folio </w:t>
      </w:r>
      <w:r w:rsidRPr="00453C03">
        <w:rPr>
          <w:rFonts w:ascii="Palatino Linotype" w:eastAsia="Palatino Linotype" w:hAnsi="Palatino Linotype" w:cs="Palatino Linotype"/>
          <w:b/>
          <w:bCs/>
          <w:color w:val="000000" w:themeColor="text1"/>
        </w:rPr>
        <w:t xml:space="preserve">07418/INFOEM/IP/RR/2025, </w:t>
      </w:r>
      <w:r w:rsidRPr="00453C03">
        <w:rPr>
          <w:rFonts w:ascii="Palatino Linotype" w:eastAsia="Palatino Linotype" w:hAnsi="Palatino Linotype" w:cs="Palatino Linotype"/>
          <w:color w:val="000000" w:themeColor="text1"/>
        </w:rPr>
        <w:t>en contra de la falta de respuesta del sujeto obligado, realizando las siguientes manifestaciones como acto impugnado y razones o motivos de inconformidad:</w:t>
      </w:r>
    </w:p>
    <w:p w:rsidR="00CC2598" w:rsidRPr="00453C03" w:rsidRDefault="00CC2598" w:rsidP="00453C03">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CC2598" w:rsidRPr="00514BAE" w:rsidRDefault="00514BAE" w:rsidP="00514BAE">
      <w:pPr>
        <w:pStyle w:val="Prrafodelista"/>
        <w:numPr>
          <w:ilvl w:val="0"/>
          <w:numId w:val="8"/>
        </w:numPr>
        <w:pBdr>
          <w:top w:val="nil"/>
          <w:left w:val="nil"/>
          <w:bottom w:val="nil"/>
          <w:right w:val="nil"/>
          <w:between w:val="nil"/>
        </w:pBdr>
        <w:jc w:val="both"/>
        <w:rPr>
          <w:rFonts w:ascii="Palatino Linotype" w:eastAsia="Palatino Linotype" w:hAnsi="Palatino Linotype" w:cs="Palatino Linotype"/>
          <w:i/>
          <w:iCs/>
          <w:color w:val="000000" w:themeColor="text1"/>
        </w:rPr>
      </w:pPr>
      <w:bookmarkStart w:id="2" w:name="_heading=h.30j0zll" w:colFirst="0" w:colLast="0"/>
      <w:bookmarkEnd w:id="2"/>
      <w:r w:rsidRPr="00514BAE">
        <w:rPr>
          <w:rFonts w:ascii="Palatino Linotype" w:eastAsia="Palatino Linotype" w:hAnsi="Palatino Linotype" w:cs="Palatino Linotype"/>
          <w:b/>
          <w:bCs/>
          <w:color w:val="000000" w:themeColor="text1"/>
        </w:rPr>
        <w:t>ACTO IMPUGNADO</w:t>
      </w:r>
      <w:r w:rsidR="00CD4D98" w:rsidRPr="00514BAE">
        <w:rPr>
          <w:rFonts w:ascii="Palatino Linotype" w:eastAsia="Palatino Linotype" w:hAnsi="Palatino Linotype" w:cs="Palatino Linotype"/>
          <w:b/>
          <w:bCs/>
          <w:color w:val="000000" w:themeColor="text1"/>
        </w:rPr>
        <w:t>:</w:t>
      </w:r>
      <w:r w:rsidR="00CD4D98" w:rsidRPr="00514BAE">
        <w:rPr>
          <w:rFonts w:ascii="Palatino Linotype" w:eastAsia="Palatino Linotype" w:hAnsi="Palatino Linotype" w:cs="Palatino Linotype"/>
          <w:i/>
          <w:iCs/>
          <w:color w:val="000000" w:themeColor="text1"/>
        </w:rPr>
        <w:t xml:space="preserve"> “Solicitud de comprobantes de nómina” (Sic)</w:t>
      </w: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CC2598" w:rsidRPr="00514BAE" w:rsidRDefault="00514BAE" w:rsidP="00514BAE">
      <w:pPr>
        <w:pStyle w:val="Prrafodelista"/>
        <w:numPr>
          <w:ilvl w:val="0"/>
          <w:numId w:val="8"/>
        </w:numPr>
        <w:pBdr>
          <w:top w:val="nil"/>
          <w:left w:val="nil"/>
          <w:bottom w:val="nil"/>
          <w:right w:val="nil"/>
          <w:between w:val="nil"/>
        </w:pBdr>
        <w:jc w:val="both"/>
        <w:rPr>
          <w:rFonts w:ascii="Palatino Linotype" w:eastAsia="Palatino Linotype" w:hAnsi="Palatino Linotype" w:cs="Palatino Linotype"/>
          <w:i/>
          <w:iCs/>
          <w:color w:val="000000" w:themeColor="text1"/>
        </w:rPr>
      </w:pPr>
      <w:bookmarkStart w:id="3" w:name="_heading=h.1fob9te" w:colFirst="0" w:colLast="0"/>
      <w:bookmarkEnd w:id="3"/>
      <w:r w:rsidRPr="00514BAE">
        <w:rPr>
          <w:rFonts w:ascii="Palatino Linotype" w:eastAsia="Palatino Linotype" w:hAnsi="Palatino Linotype" w:cs="Palatino Linotype"/>
          <w:b/>
          <w:bCs/>
          <w:color w:val="000000" w:themeColor="text1"/>
        </w:rPr>
        <w:t>RAZONES O MOTIVOS DE INCONFORMIDAD</w:t>
      </w:r>
      <w:r w:rsidR="00CD4D98" w:rsidRPr="00514BAE">
        <w:rPr>
          <w:rFonts w:ascii="Palatino Linotype" w:eastAsia="Palatino Linotype" w:hAnsi="Palatino Linotype" w:cs="Palatino Linotype"/>
          <w:b/>
          <w:bCs/>
          <w:color w:val="000000" w:themeColor="text1"/>
        </w:rPr>
        <w:t xml:space="preserve">: </w:t>
      </w:r>
      <w:r w:rsidR="00CD4D98" w:rsidRPr="00514BAE">
        <w:rPr>
          <w:rFonts w:ascii="Palatino Linotype" w:eastAsia="Palatino Linotype" w:hAnsi="Palatino Linotype" w:cs="Palatino Linotype"/>
          <w:i/>
          <w:iCs/>
          <w:color w:val="000000" w:themeColor="text1"/>
        </w:rPr>
        <w:t>“No realiza contestación” (Sic)</w:t>
      </w: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CC2598" w:rsidRPr="00453C03" w:rsidRDefault="00CC2598" w:rsidP="00453C03">
      <w:pPr>
        <w:pBdr>
          <w:top w:val="nil"/>
          <w:left w:val="nil"/>
          <w:bottom w:val="nil"/>
          <w:right w:val="nil"/>
          <w:between w:val="nil"/>
        </w:pBdr>
        <w:tabs>
          <w:tab w:val="left" w:pos="0"/>
        </w:tabs>
        <w:jc w:val="both"/>
        <w:rPr>
          <w:rFonts w:ascii="Palatino Linotype" w:eastAsia="Palatino Linotype" w:hAnsi="Palatino Linotype" w:cs="Palatino Linotype"/>
          <w:i/>
          <w:iCs/>
          <w:color w:val="000000" w:themeColor="text1"/>
          <w:u w:val="single"/>
        </w:rPr>
      </w:pPr>
    </w:p>
    <w:p w:rsidR="00CC2598" w:rsidRPr="00453C03" w:rsidRDefault="00514BAE" w:rsidP="00453C03">
      <w:pPr>
        <w:numPr>
          <w:ilvl w:val="0"/>
          <w:numId w:val="5"/>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Pr>
          <w:rFonts w:ascii="Palatino Linotype" w:eastAsia="Palatino Linotype" w:hAnsi="Palatino Linotype" w:cs="Palatino Linotype"/>
          <w:color w:val="000000" w:themeColor="text1"/>
        </w:rPr>
        <w:t>La Comisionada p</w:t>
      </w:r>
      <w:r w:rsidR="00CD4D98" w:rsidRPr="00453C03">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CD4D98" w:rsidRPr="00453C03">
        <w:rPr>
          <w:rFonts w:ascii="Palatino Linotype" w:eastAsia="Palatino Linotype" w:hAnsi="Palatino Linotype" w:cs="Palatino Linotype"/>
          <w:b/>
          <w:bCs/>
          <w:color w:val="000000" w:themeColor="text1"/>
        </w:rPr>
        <w:t xml:space="preserve">acuerdo de admisión </w:t>
      </w:r>
      <w:r w:rsidR="00CD4D98" w:rsidRPr="00453C03">
        <w:rPr>
          <w:rFonts w:ascii="Palatino Linotype" w:eastAsia="Palatino Linotype" w:hAnsi="Palatino Linotype" w:cs="Palatino Linotype"/>
          <w:color w:val="000000" w:themeColor="text1"/>
        </w:rPr>
        <w:t xml:space="preserve">de fecha </w:t>
      </w:r>
      <w:r w:rsidR="00CD4D98" w:rsidRPr="00453C03">
        <w:rPr>
          <w:rFonts w:ascii="Palatino Linotype" w:eastAsia="Palatino Linotype" w:hAnsi="Palatino Linotype" w:cs="Palatino Linotype"/>
          <w:b/>
          <w:bCs/>
          <w:color w:val="000000" w:themeColor="text1"/>
        </w:rPr>
        <w:t xml:space="preserve">veintitrés de junio de dos mil veinticinco, </w:t>
      </w:r>
      <w:r w:rsidR="00CD4D98" w:rsidRPr="00453C03">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00CD4D98" w:rsidRPr="00453C03">
        <w:rPr>
          <w:rFonts w:ascii="Palatino Linotype" w:eastAsia="Palatino Linotype" w:hAnsi="Palatino Linotype" w:cs="Palatino Linotype"/>
          <w:b/>
          <w:bCs/>
          <w:color w:val="000000" w:themeColor="text1"/>
        </w:rPr>
        <w:t xml:space="preserve">SUJETO OBLIGADO </w:t>
      </w:r>
      <w:r w:rsidR="00CD4D98" w:rsidRPr="00453C03">
        <w:rPr>
          <w:rFonts w:ascii="Palatino Linotype" w:eastAsia="Palatino Linotype" w:hAnsi="Palatino Linotype" w:cs="Palatino Linotype"/>
          <w:color w:val="000000" w:themeColor="text1"/>
        </w:rPr>
        <w:t>presentará el Informe Justificado procedente.</w:t>
      </w:r>
    </w:p>
    <w:p w:rsidR="00CC2598" w:rsidRPr="00453C03" w:rsidRDefault="00CC2598" w:rsidP="00453C0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iCs/>
          <w:color w:val="000000" w:themeColor="text1"/>
          <w:u w:val="single"/>
        </w:rPr>
      </w:pPr>
    </w:p>
    <w:p w:rsidR="00CC2598" w:rsidRPr="00453C03" w:rsidRDefault="00CD4D98" w:rsidP="00453C03">
      <w:pPr>
        <w:numPr>
          <w:ilvl w:val="0"/>
          <w:numId w:val="5"/>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color w:val="000000" w:themeColor="text1"/>
        </w:rPr>
        <w:t>El Recurrente</w:t>
      </w:r>
      <w:r w:rsidRPr="00453C03">
        <w:rPr>
          <w:rFonts w:ascii="Palatino Linotype" w:eastAsia="Palatino Linotype" w:hAnsi="Palatino Linotype" w:cs="Palatino Linotype"/>
          <w:b/>
          <w:bCs/>
          <w:color w:val="000000" w:themeColor="text1"/>
        </w:rPr>
        <w:t xml:space="preserve"> </w:t>
      </w:r>
      <w:r w:rsidRPr="00453C03">
        <w:rPr>
          <w:rFonts w:ascii="Palatino Linotype" w:eastAsia="Palatino Linotype" w:hAnsi="Palatino Linotype" w:cs="Palatino Linotype"/>
          <w:color w:val="000000" w:themeColor="text1"/>
        </w:rPr>
        <w:t xml:space="preserve">dejó de realizar manifestaciones que a su derecho le conviniera o asistiera. Por su parte, el Sujeto Obligado rindió </w:t>
      </w:r>
      <w:r w:rsidRPr="00453C03">
        <w:rPr>
          <w:rFonts w:ascii="Palatino Linotype" w:eastAsia="Palatino Linotype" w:hAnsi="Palatino Linotype" w:cs="Palatino Linotype"/>
          <w:b/>
          <w:bCs/>
          <w:color w:val="000000" w:themeColor="text1"/>
        </w:rPr>
        <w:t>Informe Justificado</w:t>
      </w:r>
      <w:r w:rsidRPr="00453C03">
        <w:rPr>
          <w:rFonts w:ascii="Palatino Linotype" w:eastAsia="Palatino Linotype" w:hAnsi="Palatino Linotype" w:cs="Palatino Linotype"/>
          <w:color w:val="000000" w:themeColor="text1"/>
        </w:rPr>
        <w:t xml:space="preserve"> en fechas </w:t>
      </w:r>
      <w:r w:rsidRPr="00453C03">
        <w:rPr>
          <w:rFonts w:ascii="Palatino Linotype" w:eastAsia="Palatino Linotype" w:hAnsi="Palatino Linotype" w:cs="Palatino Linotype"/>
          <w:b/>
          <w:bCs/>
          <w:color w:val="000000" w:themeColor="text1"/>
        </w:rPr>
        <w:t>dos y tres de julio de dos mil veinticinco</w:t>
      </w:r>
      <w:r w:rsidRPr="00453C03">
        <w:rPr>
          <w:rFonts w:ascii="Palatino Linotype" w:eastAsia="Palatino Linotype" w:hAnsi="Palatino Linotype" w:cs="Palatino Linotype"/>
          <w:color w:val="000000" w:themeColor="text1"/>
        </w:rPr>
        <w:t>, adjuntando archivos electrónicos que se describen a continuación:</w:t>
      </w:r>
    </w:p>
    <w:p w:rsidR="00CC2598" w:rsidRPr="00453C03" w:rsidRDefault="00CC2598" w:rsidP="00453C03">
      <w:pPr>
        <w:pBdr>
          <w:top w:val="nil"/>
          <w:left w:val="nil"/>
          <w:bottom w:val="nil"/>
          <w:right w:val="nil"/>
          <w:between w:val="nil"/>
        </w:pBdr>
        <w:tabs>
          <w:tab w:val="left" w:pos="0"/>
        </w:tabs>
        <w:jc w:val="both"/>
        <w:rPr>
          <w:rFonts w:ascii="Palatino Linotype" w:eastAsia="Palatino Linotype" w:hAnsi="Palatino Linotype" w:cs="Palatino Linotype"/>
          <w:b/>
          <w:bCs/>
          <w:color w:val="000000" w:themeColor="text1"/>
        </w:rPr>
      </w:pP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lastRenderedPageBreak/>
        <w:t xml:space="preserve">INFORME JUSTIFICADO 7418.pdf </w:t>
      </w: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Oficio número CT/UT/ECA/844/2025 de fecha 02 de julio de 2025, suscrito por el Titular de la Unidad de Transparencia a través del cual refiere que el Servidor Público Habilitado de la </w:t>
      </w:r>
      <w:r w:rsidRPr="00453C03">
        <w:rPr>
          <w:rFonts w:ascii="Palatino Linotype" w:eastAsia="Palatino Linotype" w:hAnsi="Palatino Linotype" w:cs="Palatino Linotype"/>
          <w:b/>
          <w:bCs/>
          <w:color w:val="000000" w:themeColor="text1"/>
        </w:rPr>
        <w:t>Dirección de Administración</w:t>
      </w:r>
      <w:r w:rsidRPr="00453C03">
        <w:rPr>
          <w:rFonts w:ascii="Palatino Linotype" w:eastAsia="Palatino Linotype" w:hAnsi="Palatino Linotype" w:cs="Palatino Linotype"/>
          <w:color w:val="000000" w:themeColor="text1"/>
        </w:rPr>
        <w:t xml:space="preserve">, como área competente se pronunció en el sentido de </w:t>
      </w:r>
      <w:r w:rsidRPr="00453C03">
        <w:rPr>
          <w:rFonts w:ascii="Palatino Linotype" w:eastAsia="Palatino Linotype" w:hAnsi="Palatino Linotype" w:cs="Palatino Linotype"/>
          <w:b/>
          <w:bCs/>
          <w:color w:val="000000" w:themeColor="text1"/>
        </w:rPr>
        <w:t>anexar los recibos solicitados correspondientes del personal adscrito que engloban la Dirección de Administración y la Tesorería Municipal, de la primera y segunda quincena de mayo del año 2025.</w:t>
      </w: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color w:val="000000" w:themeColor="text1"/>
        </w:rPr>
      </w:pP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Asimismo, señala anexar el Acta de la Décimo Séptima Sesión Extraordinaria, celebrada en fecha treinta de junio de la presente anualidad, mediante la cual se aprueba las Versiones Públicas requeridas por la Dirección de Administración.</w:t>
      </w: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color w:val="000000" w:themeColor="text1"/>
        </w:rPr>
      </w:pP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t xml:space="preserve">1RA MAYO 2025.pdf </w:t>
      </w: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Documento compuesto por 521 fojas, en las que se advierten </w:t>
      </w:r>
      <w:r w:rsidRPr="00453C03">
        <w:rPr>
          <w:rFonts w:ascii="Palatino Linotype" w:eastAsia="Palatino Linotype" w:hAnsi="Palatino Linotype" w:cs="Palatino Linotype"/>
          <w:b/>
          <w:bCs/>
          <w:color w:val="000000" w:themeColor="text1"/>
        </w:rPr>
        <w:t>recibos de nómina</w:t>
      </w:r>
      <w:r w:rsidRPr="00453C03">
        <w:rPr>
          <w:rFonts w:ascii="Palatino Linotype" w:eastAsia="Palatino Linotype" w:hAnsi="Palatino Linotype" w:cs="Palatino Linotype"/>
          <w:color w:val="000000" w:themeColor="text1"/>
        </w:rPr>
        <w:t xml:space="preserve"> correspondientes a la </w:t>
      </w:r>
      <w:r w:rsidRPr="00453C03">
        <w:rPr>
          <w:rFonts w:ascii="Palatino Linotype" w:eastAsia="Palatino Linotype" w:hAnsi="Palatino Linotype" w:cs="Palatino Linotype"/>
          <w:b/>
          <w:bCs/>
          <w:color w:val="000000" w:themeColor="text1"/>
        </w:rPr>
        <w:t>primera quincena de mayo de 2025</w:t>
      </w:r>
      <w:r w:rsidRPr="00453C03">
        <w:rPr>
          <w:rFonts w:ascii="Palatino Linotype" w:eastAsia="Palatino Linotype" w:hAnsi="Palatino Linotype" w:cs="Palatino Linotype"/>
          <w:color w:val="000000" w:themeColor="text1"/>
        </w:rPr>
        <w:t>, en versión pública.</w:t>
      </w: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color w:val="000000" w:themeColor="text1"/>
        </w:rPr>
      </w:pP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t>RESPUESTA SPH.pdf</w:t>
      </w: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Oficio DA/ECA/4472/2025 de fecha 27 de junio de 2025, firmado por la </w:t>
      </w:r>
      <w:r w:rsidRPr="00453C03">
        <w:rPr>
          <w:rFonts w:ascii="Palatino Linotype" w:eastAsia="Palatino Linotype" w:hAnsi="Palatino Linotype" w:cs="Palatino Linotype"/>
          <w:b/>
          <w:bCs/>
          <w:color w:val="000000" w:themeColor="text1"/>
        </w:rPr>
        <w:t>Directora de Administración</w:t>
      </w:r>
      <w:r w:rsidRPr="00453C03">
        <w:rPr>
          <w:rFonts w:ascii="Palatino Linotype" w:eastAsia="Palatino Linotype" w:hAnsi="Palatino Linotype" w:cs="Palatino Linotype"/>
          <w:color w:val="000000" w:themeColor="text1"/>
        </w:rPr>
        <w:t xml:space="preserve"> a través del cual refiere </w:t>
      </w:r>
      <w:r w:rsidRPr="00453C03">
        <w:rPr>
          <w:rFonts w:ascii="Palatino Linotype" w:eastAsia="Palatino Linotype" w:hAnsi="Palatino Linotype" w:cs="Palatino Linotype"/>
          <w:i/>
          <w:iCs/>
          <w:color w:val="000000" w:themeColor="text1"/>
        </w:rPr>
        <w:t xml:space="preserve">“…de acuerdo con la competencia atribuida a esta Dirección a mi cargo, en el artículo 50 del Bando Municipal 2025, </w:t>
      </w:r>
      <w:r w:rsidRPr="00453C03">
        <w:rPr>
          <w:rFonts w:ascii="Palatino Linotype" w:eastAsia="Palatino Linotype" w:hAnsi="Palatino Linotype" w:cs="Palatino Linotype"/>
          <w:b/>
          <w:bCs/>
          <w:i/>
          <w:iCs/>
          <w:color w:val="000000" w:themeColor="text1"/>
        </w:rPr>
        <w:t>anexo</w:t>
      </w:r>
      <w:r w:rsidRPr="00453C03">
        <w:rPr>
          <w:rFonts w:ascii="Palatino Linotype" w:eastAsia="Palatino Linotype" w:hAnsi="Palatino Linotype" w:cs="Palatino Linotype"/>
          <w:i/>
          <w:iCs/>
          <w:color w:val="000000" w:themeColor="text1"/>
        </w:rPr>
        <w:t xml:space="preserve"> al presente un CD con </w:t>
      </w:r>
      <w:r w:rsidRPr="00453C03">
        <w:rPr>
          <w:rFonts w:ascii="Palatino Linotype" w:eastAsia="Palatino Linotype" w:hAnsi="Palatino Linotype" w:cs="Palatino Linotype"/>
          <w:b/>
          <w:bCs/>
          <w:i/>
          <w:iCs/>
          <w:color w:val="000000" w:themeColor="text1"/>
        </w:rPr>
        <w:t>los recibos solicitados correspondientes del personal adscrito que engloban la Dirección de Administración y la Tesorería Municipal, de la primera y segunda quincena de mayo del año 2025.</w:t>
      </w:r>
      <w:r w:rsidRPr="00453C03">
        <w:rPr>
          <w:rFonts w:ascii="Palatino Linotype" w:eastAsia="Palatino Linotype" w:hAnsi="Palatino Linotype" w:cs="Palatino Linotype"/>
          <w:i/>
          <w:iCs/>
          <w:color w:val="000000" w:themeColor="text1"/>
        </w:rPr>
        <w:t>” (Sic)</w:t>
      </w: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t xml:space="preserve"> </w:t>
      </w: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t xml:space="preserve">2DA MAYO 2025.pdf </w:t>
      </w: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Documento compuesto por 514 fojas, en las que se advierten </w:t>
      </w:r>
      <w:r w:rsidRPr="00453C03">
        <w:rPr>
          <w:rFonts w:ascii="Palatino Linotype" w:eastAsia="Palatino Linotype" w:hAnsi="Palatino Linotype" w:cs="Palatino Linotype"/>
          <w:b/>
          <w:bCs/>
          <w:color w:val="000000" w:themeColor="text1"/>
        </w:rPr>
        <w:t>recibos de nómina</w:t>
      </w:r>
      <w:r w:rsidRPr="00453C03">
        <w:rPr>
          <w:rFonts w:ascii="Palatino Linotype" w:eastAsia="Palatino Linotype" w:hAnsi="Palatino Linotype" w:cs="Palatino Linotype"/>
          <w:color w:val="000000" w:themeColor="text1"/>
        </w:rPr>
        <w:t xml:space="preserve"> correspondientes a la </w:t>
      </w:r>
      <w:r w:rsidRPr="00453C03">
        <w:rPr>
          <w:rFonts w:ascii="Palatino Linotype" w:eastAsia="Palatino Linotype" w:hAnsi="Palatino Linotype" w:cs="Palatino Linotype"/>
          <w:b/>
          <w:bCs/>
          <w:color w:val="000000" w:themeColor="text1"/>
        </w:rPr>
        <w:t>segunda quincena de mayo de 2025</w:t>
      </w:r>
      <w:r w:rsidRPr="00453C03">
        <w:rPr>
          <w:rFonts w:ascii="Palatino Linotype" w:eastAsia="Palatino Linotype" w:hAnsi="Palatino Linotype" w:cs="Palatino Linotype"/>
          <w:color w:val="000000" w:themeColor="text1"/>
        </w:rPr>
        <w:t>, en versión pública.</w:t>
      </w: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b/>
          <w:bCs/>
          <w:i/>
          <w:iCs/>
          <w:color w:val="000000" w:themeColor="text1"/>
        </w:rPr>
      </w:pP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t xml:space="preserve">DÉCIMA SÉPTIMA SESION EXTRAORDINARIA.pdf </w:t>
      </w: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Acta de la Décima Séptima Sesión Extraordinaria del Comité de Transparencia del Ayuntamiento de Ecatepec de Morelos, en cuyo 4º punto del orden del día  se somete a consideración el Acuerdo de la Clasificación de la información como confidencial y autorización de la elaboración de la versión pública de recibos de nómina testando datos personales respecto a la información contenida y derivada en respuesta a la solicitud de acceso a la información con folio: 00467/ECATEPEC/IP/2025, en el que se motiva y fundamenta la clasificación de los datos personales como RFC, Código QR, CURP, Cuenta </w:t>
      </w:r>
      <w:r w:rsidRPr="00453C03">
        <w:rPr>
          <w:rFonts w:ascii="Palatino Linotype" w:eastAsia="Palatino Linotype" w:hAnsi="Palatino Linotype" w:cs="Palatino Linotype"/>
          <w:color w:val="000000" w:themeColor="text1"/>
        </w:rPr>
        <w:lastRenderedPageBreak/>
        <w:t xml:space="preserve">de Banco (Cuenta bancaria), Número de seguridad social del Instituto de Seguridad y Servicios Sociales del Estado de México y Municipios, Deducciones; así como diversos datos identificables de particulares, siendo aprobada la clasificación de información confidencial, a través del acuerdo ACT/ECA/CT/EXT/17/2025/SEGUNDO. </w:t>
      </w: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color w:val="000000" w:themeColor="text1"/>
        </w:rPr>
      </w:pP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t>INFORME JUSTIFICADO 7418.pdf</w:t>
      </w: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Oficio número CT/UT/ECA/844/2025, firmado por el Titular de la Unidad de Transparencia en los mismos términos que el primero ya descrito.</w:t>
      </w:r>
    </w:p>
    <w:p w:rsidR="00CC2598" w:rsidRPr="00453C03" w:rsidRDefault="00CC2598" w:rsidP="00453C03">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p>
    <w:p w:rsidR="00CC2598" w:rsidRPr="00453C03" w:rsidRDefault="00CD4D98" w:rsidP="00453C03">
      <w:pPr>
        <w:numPr>
          <w:ilvl w:val="0"/>
          <w:numId w:val="5"/>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453C03">
        <w:rPr>
          <w:rFonts w:ascii="Palatino Linotype" w:eastAsia="Palatino Linotype" w:hAnsi="Palatino Linotype" w:cs="Palatino Linotype"/>
          <w:color w:val="000000" w:themeColor="text1"/>
        </w:rPr>
        <w:t>El</w:t>
      </w:r>
      <w:r w:rsidRPr="00453C03">
        <w:rPr>
          <w:rFonts w:ascii="Palatino Linotype" w:eastAsia="Palatino Linotype" w:hAnsi="Palatino Linotype" w:cs="Palatino Linotype"/>
          <w:b/>
          <w:bCs/>
          <w:color w:val="000000" w:themeColor="text1"/>
        </w:rPr>
        <w:t xml:space="preserve"> catorce de agosto de dos mil veinticinco</w:t>
      </w:r>
      <w:r w:rsidRPr="00453C03">
        <w:rPr>
          <w:rFonts w:ascii="Palatino Linotype" w:eastAsia="Palatino Linotype" w:hAnsi="Palatino Linotype" w:cs="Palatino Linotype"/>
          <w:color w:val="000000" w:themeColor="text1"/>
        </w:rPr>
        <w:t xml:space="preserve"> se acordó </w:t>
      </w:r>
      <w:r w:rsidRPr="00453C03">
        <w:rPr>
          <w:rFonts w:ascii="Palatino Linotype" w:eastAsia="Palatino Linotype" w:hAnsi="Palatino Linotype" w:cs="Palatino Linotype"/>
          <w:b/>
          <w:bCs/>
          <w:color w:val="000000" w:themeColor="text1"/>
        </w:rPr>
        <w:t>ampliar el término para resolver</w:t>
      </w:r>
      <w:r w:rsidRPr="00453C03">
        <w:rPr>
          <w:rFonts w:ascii="Palatino Linotype" w:eastAsia="Palatino Linotype" w:hAnsi="Palatino Linotype" w:cs="Palatino Linotype"/>
          <w:color w:val="000000" w:themeColor="text1"/>
        </w:rPr>
        <w:t xml:space="preserve"> el presente asunto.</w:t>
      </w:r>
    </w:p>
    <w:p w:rsidR="00CC2598" w:rsidRPr="00453C03" w:rsidRDefault="00CC2598" w:rsidP="00453C0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CC2598" w:rsidRPr="00453C03" w:rsidRDefault="00CD4D98" w:rsidP="00453C03">
      <w:pPr>
        <w:numPr>
          <w:ilvl w:val="0"/>
          <w:numId w:val="5"/>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bCs/>
          <w:color w:val="000000" w:themeColor="text1"/>
        </w:rPr>
      </w:pPr>
      <w:bookmarkStart w:id="4" w:name="_heading=h.3znysh7" w:colFirst="0" w:colLast="0"/>
      <w:bookmarkEnd w:id="4"/>
      <w:r w:rsidRPr="00453C03">
        <w:rPr>
          <w:rFonts w:ascii="Palatino Linotype" w:eastAsia="Palatino Linotype" w:hAnsi="Palatino Linotype" w:cs="Palatino Linotype"/>
          <w:color w:val="000000" w:themeColor="text1"/>
        </w:rPr>
        <w:t xml:space="preserve">Seguidamente, en fecha </w:t>
      </w:r>
      <w:r w:rsidRPr="00453C03">
        <w:rPr>
          <w:rFonts w:ascii="Palatino Linotype" w:eastAsia="Palatino Linotype" w:hAnsi="Palatino Linotype" w:cs="Palatino Linotype"/>
          <w:b/>
          <w:bCs/>
          <w:color w:val="000000" w:themeColor="text1"/>
        </w:rPr>
        <w:t>veinticinco de noviembre de dos mil veinticinco</w:t>
      </w:r>
      <w:r w:rsidRPr="00453C03">
        <w:rPr>
          <w:rFonts w:ascii="Palatino Linotype" w:eastAsia="Palatino Linotype" w:hAnsi="Palatino Linotype" w:cs="Palatino Linotype"/>
          <w:color w:val="000000" w:themeColor="text1"/>
        </w:rPr>
        <w:t xml:space="preserve">, la Comisionada Ponente dictó el </w:t>
      </w:r>
      <w:r w:rsidRPr="00453C03">
        <w:rPr>
          <w:rFonts w:ascii="Palatino Linotype" w:eastAsia="Palatino Linotype" w:hAnsi="Palatino Linotype" w:cs="Palatino Linotype"/>
          <w:b/>
          <w:bCs/>
          <w:color w:val="000000" w:themeColor="text1"/>
        </w:rPr>
        <w:t>cierre del periodo de instrucción</w:t>
      </w:r>
      <w:r w:rsidRPr="00453C03">
        <w:rPr>
          <w:rFonts w:ascii="Palatino Linotype" w:eastAsia="Palatino Linotype" w:hAnsi="Palatino Linotype" w:cs="Palatino Linotype"/>
          <w:color w:val="000000" w:themeColor="text1"/>
        </w:rPr>
        <w:t xml:space="preserve"> y, ordenó la resolución que conforme a Derecho proceda.</w:t>
      </w: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CC2598" w:rsidRPr="00453C03" w:rsidRDefault="00CD4D98" w:rsidP="00453C03">
      <w:pPr>
        <w:keepNext/>
        <w:keepLines/>
        <w:spacing w:line="360" w:lineRule="auto"/>
        <w:jc w:val="center"/>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b/>
          <w:bCs/>
          <w:color w:val="000000" w:themeColor="text1"/>
        </w:rPr>
        <w:t xml:space="preserve">C O N S I D E R A N D O </w:t>
      </w:r>
    </w:p>
    <w:p w:rsidR="00CC2598" w:rsidRPr="00453C03" w:rsidRDefault="00CC2598" w:rsidP="00453C03">
      <w:pPr>
        <w:spacing w:line="360" w:lineRule="auto"/>
        <w:rPr>
          <w:rFonts w:ascii="Palatino Linotype" w:eastAsia="Palatino Linotype" w:hAnsi="Palatino Linotype" w:cs="Palatino Linotype"/>
          <w:color w:val="000000" w:themeColor="text1"/>
        </w:rPr>
      </w:pPr>
    </w:p>
    <w:p w:rsidR="00CC2598" w:rsidRPr="00453C03" w:rsidRDefault="00CD4D98" w:rsidP="00453C03">
      <w:pPr>
        <w:keepNext/>
        <w:keepLines/>
        <w:spacing w:line="360" w:lineRule="auto"/>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b/>
          <w:bCs/>
          <w:color w:val="000000" w:themeColor="text1"/>
        </w:rPr>
        <w:t>PRIMERO. De la competencia</w:t>
      </w:r>
    </w:p>
    <w:p w:rsidR="00CC2598" w:rsidRPr="00453C03" w:rsidRDefault="00CD4D98" w:rsidP="00453C03">
      <w:pPr>
        <w:numPr>
          <w:ilvl w:val="0"/>
          <w:numId w:val="5"/>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noveno, cuadragésimo y cuadragésimo primero,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w:t>
      </w:r>
      <w:r w:rsidRPr="00453C03">
        <w:rPr>
          <w:rFonts w:ascii="Palatino Linotype" w:eastAsia="Palatino Linotype" w:hAnsi="Palatino Linotype" w:cs="Palatino Linotype"/>
          <w:color w:val="000000" w:themeColor="text1"/>
        </w:rPr>
        <w:lastRenderedPageBreak/>
        <w:t>y 11 del Reglamento Interior del Instituto de Transparencia, Acceso a la Información Pública y Protección de Datos Personales del Estado de México y Municipios.</w:t>
      </w:r>
    </w:p>
    <w:p w:rsidR="00CC2598" w:rsidRPr="00453C03" w:rsidRDefault="00CC2598" w:rsidP="00453C03">
      <w:pPr>
        <w:tabs>
          <w:tab w:val="left" w:pos="426"/>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keepNext/>
        <w:keepLines/>
        <w:spacing w:line="360" w:lineRule="auto"/>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b/>
          <w:bCs/>
          <w:color w:val="000000" w:themeColor="text1"/>
        </w:rPr>
        <w:t>SEGUNDO. De la oportunidad y procedencia.</w:t>
      </w:r>
    </w:p>
    <w:p w:rsidR="00CC2598" w:rsidRPr="00453C03" w:rsidRDefault="00CD4D98" w:rsidP="00453C03">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color w:val="000000" w:themeColor="text1"/>
        </w:rPr>
        <w:t xml:space="preserve">El artículo 178 de la Ley de Transparencia y Acceso a la Información Pública del Estado de México y Municipios establece que el solicitante podrá interponer, por sí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y que </w:t>
      </w:r>
      <w:r w:rsidRPr="00453C03">
        <w:rPr>
          <w:rFonts w:ascii="Palatino Linotype" w:eastAsia="Palatino Linotype" w:hAnsi="Palatino Linotype" w:cs="Palatino Linotype"/>
          <w:b/>
          <w:bCs/>
          <w:color w:val="000000" w:themeColor="text1"/>
        </w:rPr>
        <w:t>ante la falta de respuesta</w:t>
      </w:r>
      <w:r w:rsidRPr="00453C03">
        <w:rPr>
          <w:rFonts w:ascii="Palatino Linotype" w:eastAsia="Palatino Linotype" w:hAnsi="Palatino Linotype" w:cs="Palatino Linotype"/>
          <w:color w:val="000000" w:themeColor="text1"/>
        </w:rPr>
        <w:t xml:space="preserve"> del sujeto obligado, dentro de los plazos establecidos en la Ley de Transparencia Local, a una solicitud de acceso a la información pública, </w:t>
      </w:r>
      <w:r w:rsidRPr="00453C03">
        <w:rPr>
          <w:rFonts w:ascii="Palatino Linotype" w:eastAsia="Palatino Linotype" w:hAnsi="Palatino Linotype" w:cs="Palatino Linotype"/>
          <w:b/>
          <w:bCs/>
          <w:color w:val="000000" w:themeColor="text1"/>
        </w:rPr>
        <w:t>el recurso podrá ser interpuesto en cualquier momento</w:t>
      </w:r>
      <w:r w:rsidRPr="00453C03">
        <w:rPr>
          <w:rFonts w:ascii="Palatino Linotype" w:eastAsia="Palatino Linotype" w:hAnsi="Palatino Linotype" w:cs="Palatino Linotype"/>
          <w:color w:val="000000" w:themeColor="text1"/>
        </w:rPr>
        <w:t>, por lo que la interposición del presente recurso de revisión resulta oportuna.</w:t>
      </w:r>
    </w:p>
    <w:p w:rsidR="00CC2598" w:rsidRPr="00453C03" w:rsidRDefault="00CC2598" w:rsidP="00453C0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bCs/>
          <w:color w:val="000000" w:themeColor="text1"/>
        </w:rPr>
      </w:pPr>
    </w:p>
    <w:p w:rsidR="00CC2598" w:rsidRPr="00453C03" w:rsidRDefault="00CD4D98" w:rsidP="00453C03">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Por ende, se constituye la figura jurídica de la </w:t>
      </w:r>
      <w:r w:rsidRPr="00453C03">
        <w:rPr>
          <w:rFonts w:ascii="Palatino Linotype" w:eastAsia="Palatino Linotype" w:hAnsi="Palatino Linotype" w:cs="Palatino Linotype"/>
          <w:b/>
          <w:bCs/>
          <w:i/>
          <w:iCs/>
          <w:color w:val="000000" w:themeColor="text1"/>
        </w:rPr>
        <w:t>negativa ficta</w:t>
      </w:r>
      <w:r w:rsidRPr="00453C03">
        <w:rPr>
          <w:rFonts w:ascii="Palatino Linotype" w:eastAsia="Palatino Linotype" w:hAnsi="Palatino Linotype" w:cs="Palatino Linotype"/>
          <w:color w:val="000000" w:themeColor="text1"/>
        </w:rPr>
        <w:t xml:space="preserve">, cuya esencia es atribuir un efecto negativo al silencio de la autoridad administrativa frente a las instancias y solicitudes que hagan los particulares, lo cual encuentra sustento en lo que establece el artículo </w:t>
      </w:r>
      <w:r w:rsidRPr="00453C03">
        <w:rPr>
          <w:rFonts w:ascii="Palatino Linotype" w:eastAsia="Palatino Linotype" w:hAnsi="Palatino Linotype" w:cs="Palatino Linotype"/>
          <w:b/>
          <w:bCs/>
          <w:color w:val="000000" w:themeColor="text1"/>
        </w:rPr>
        <w:t>178, segundo párrafo, de Ley de Transparencia y Acceso a la Información Pública del Estado de México y Municipios</w:t>
      </w:r>
      <w:r w:rsidRPr="00453C03">
        <w:rPr>
          <w:rFonts w:ascii="Palatino Linotype" w:eastAsia="Palatino Linotype" w:hAnsi="Palatino Linotype" w:cs="Palatino Linotype"/>
          <w:color w:val="000000" w:themeColor="text1"/>
        </w:rPr>
        <w:t xml:space="preserve">, que dispone; </w:t>
      </w:r>
      <w:r w:rsidRPr="00453C03">
        <w:rPr>
          <w:rFonts w:ascii="Palatino Linotype" w:eastAsia="Palatino Linotype" w:hAnsi="Palatino Linotype" w:cs="Palatino Linotype"/>
          <w:b/>
          <w:bCs/>
          <w:color w:val="000000" w:themeColor="text1"/>
        </w:rPr>
        <w:t>ante la falta de respuesta</w:t>
      </w:r>
      <w:r w:rsidRPr="00453C03">
        <w:rPr>
          <w:rFonts w:ascii="Palatino Linotype" w:eastAsia="Palatino Linotype" w:hAnsi="Palatino Linotype" w:cs="Palatino Linotype"/>
          <w:color w:val="000000" w:themeColor="text1"/>
        </w:rPr>
        <w:t xml:space="preserve"> del SUJETO OBLIGADO, dentro de los plazos establecidos en esta Ley, a una solicitud de acceso a la información pública, </w:t>
      </w:r>
      <w:r w:rsidRPr="00453C03">
        <w:rPr>
          <w:rFonts w:ascii="Palatino Linotype" w:eastAsia="Palatino Linotype" w:hAnsi="Palatino Linotype" w:cs="Palatino Linotype"/>
          <w:b/>
          <w:bCs/>
          <w:color w:val="000000" w:themeColor="text1"/>
        </w:rPr>
        <w:t>el recurso podrá ser interpuesto en cualquier momento</w:t>
      </w:r>
      <w:r w:rsidRPr="00453C03">
        <w:rPr>
          <w:rFonts w:ascii="Palatino Linotype" w:eastAsia="Palatino Linotype" w:hAnsi="Palatino Linotype" w:cs="Palatino Linotype"/>
          <w:color w:val="000000" w:themeColor="text1"/>
        </w:rPr>
        <w:t xml:space="preserve">. </w:t>
      </w:r>
    </w:p>
    <w:p w:rsidR="00CC2598" w:rsidRPr="00453C03" w:rsidRDefault="00CC2598" w:rsidP="00453C03">
      <w:pPr>
        <w:tabs>
          <w:tab w:val="left" w:pos="284"/>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Por lo que, tratándose de la </w:t>
      </w:r>
      <w:r w:rsidRPr="00453C03">
        <w:rPr>
          <w:rFonts w:ascii="Palatino Linotype" w:eastAsia="Palatino Linotype" w:hAnsi="Palatino Linotype" w:cs="Palatino Linotype"/>
          <w:b/>
          <w:bCs/>
          <w:i/>
          <w:iCs/>
          <w:color w:val="000000" w:themeColor="text1"/>
        </w:rPr>
        <w:t>negativa ficta</w:t>
      </w:r>
      <w:r w:rsidRPr="00453C03">
        <w:rPr>
          <w:rFonts w:ascii="Palatino Linotype" w:eastAsia="Palatino Linotype" w:hAnsi="Palatino Linotype" w:cs="Palatino Linotype"/>
          <w:color w:val="000000" w:themeColor="text1"/>
        </w:rPr>
        <w:t xml:space="preserve"> no existe respuesta que se haga del conocimiento al particular, a partir de la cual pueda computarse el plazo legal establecido, </w:t>
      </w:r>
      <w:r w:rsidRPr="00453C03">
        <w:rPr>
          <w:rFonts w:ascii="Palatino Linotype" w:eastAsia="Palatino Linotype" w:hAnsi="Palatino Linotype" w:cs="Palatino Linotype"/>
          <w:color w:val="000000" w:themeColor="text1"/>
        </w:rPr>
        <w:lastRenderedPageBreak/>
        <w:t xml:space="preserve">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453C03">
        <w:rPr>
          <w:rFonts w:ascii="Palatino Linotype" w:eastAsia="Palatino Linotype" w:hAnsi="Palatino Linotype" w:cs="Palatino Linotype"/>
          <w:b/>
          <w:bCs/>
          <w:i/>
          <w:iCs/>
          <w:color w:val="000000" w:themeColor="text1"/>
        </w:rPr>
        <w:t>negativa ficta</w:t>
      </w:r>
      <w:r w:rsidRPr="00453C03">
        <w:rPr>
          <w:rFonts w:ascii="Palatino Linotype" w:eastAsia="Palatino Linotype" w:hAnsi="Palatino Linotype" w:cs="Palatino Linotype"/>
          <w:color w:val="000000" w:themeColor="text1"/>
        </w:rPr>
        <w:t>, que señala:</w:t>
      </w:r>
    </w:p>
    <w:p w:rsidR="00CC2598" w:rsidRPr="00453C03" w:rsidRDefault="00CD4D98" w:rsidP="00453C03">
      <w:pPr>
        <w:pBdr>
          <w:top w:val="nil"/>
          <w:left w:val="nil"/>
          <w:bottom w:val="nil"/>
          <w:right w:val="nil"/>
          <w:between w:val="nil"/>
        </w:pBdr>
        <w:spacing w:line="360" w:lineRule="auto"/>
        <w:jc w:val="center"/>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b/>
          <w:bCs/>
          <w:color w:val="000000" w:themeColor="text1"/>
        </w:rPr>
        <w:t>Criterio 0001-15</w:t>
      </w:r>
    </w:p>
    <w:p w:rsidR="00CC2598" w:rsidRPr="00453C03" w:rsidRDefault="00CD4D98" w:rsidP="00453C03">
      <w:pPr>
        <w:tabs>
          <w:tab w:val="left" w:pos="284"/>
          <w:tab w:val="left" w:pos="7655"/>
        </w:tabs>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NEGATIVA FICTA. PLAZO PARA INTERPONER EL RECURSO DE REVISIÓN TRATÁNDOSE DE.</w:t>
      </w:r>
      <w:r w:rsidRPr="00453C03">
        <w:rPr>
          <w:rFonts w:ascii="Palatino Linotype" w:eastAsia="Palatino Linotype" w:hAnsi="Palatino Linotype" w:cs="Palatino Linotype"/>
          <w:i/>
          <w:iCs/>
          <w:color w:val="000000" w:themeColor="text1"/>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CC2598" w:rsidRPr="00453C03" w:rsidRDefault="00CC2598" w:rsidP="00453C03">
      <w:pPr>
        <w:tabs>
          <w:tab w:val="left" w:pos="284"/>
          <w:tab w:val="left" w:pos="7655"/>
          <w:tab w:val="left" w:pos="7938"/>
        </w:tabs>
        <w:jc w:val="both"/>
        <w:rPr>
          <w:rFonts w:ascii="Palatino Linotype" w:eastAsia="Palatino Linotype" w:hAnsi="Palatino Linotype" w:cs="Palatino Linotype"/>
          <w:i/>
          <w:iCs/>
          <w:color w:val="000000" w:themeColor="text1"/>
        </w:rPr>
      </w:pPr>
    </w:p>
    <w:p w:rsidR="00CC2598" w:rsidRPr="00453C03" w:rsidRDefault="00CD4D98" w:rsidP="00453C03">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Lo anterior, se explica porque la </w:t>
      </w:r>
      <w:r w:rsidRPr="00453C03">
        <w:rPr>
          <w:rFonts w:ascii="Palatino Linotype" w:eastAsia="Palatino Linotype" w:hAnsi="Palatino Linotype" w:cs="Palatino Linotype"/>
          <w:b/>
          <w:bCs/>
          <w:color w:val="000000" w:themeColor="text1"/>
          <w:u w:val="single"/>
        </w:rPr>
        <w:t>posible ausencia</w:t>
      </w:r>
      <w:r w:rsidRPr="00453C03">
        <w:rPr>
          <w:rFonts w:ascii="Palatino Linotype" w:eastAsia="Palatino Linotype" w:hAnsi="Palatino Linotype" w:cs="Palatino Linotype"/>
          <w:color w:val="000000" w:themeColor="text1"/>
        </w:rPr>
        <w:t xml:space="preserve"> de una respuesta en la solicitud constituye un acto que vulnera el derecho de manera continua y actualizable cada día en tanto, no se emita la respuesta a la que esté impuesto 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w:t>
      </w: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El artículo 180 de la Ley de Transparencia y Acceso a la Información Pública del Estado de México y Municipios, señala los requisitos que deberán contener los recursos de revisión, como lo es, el nombre del solicitante que recurre; sin embargo, en su último párrafo </w:t>
      </w:r>
      <w:r w:rsidRPr="00453C03">
        <w:rPr>
          <w:rFonts w:ascii="Palatino Linotype" w:eastAsia="Palatino Linotype" w:hAnsi="Palatino Linotype" w:cs="Palatino Linotype"/>
          <w:color w:val="000000" w:themeColor="text1"/>
        </w:rPr>
        <w:lastRenderedPageBreak/>
        <w:t xml:space="preserve">establece que cuando el recurso se interponga de manera electrónica, no será indispensable que contenga determinados requisitos, entre ellos, el nombre de la parte </w:t>
      </w:r>
      <w:r w:rsidRPr="00453C03">
        <w:rPr>
          <w:rFonts w:ascii="Palatino Linotype" w:eastAsia="Palatino Linotype" w:hAnsi="Palatino Linotype" w:cs="Palatino Linotype"/>
          <w:b/>
          <w:bCs/>
          <w:color w:val="000000" w:themeColor="text1"/>
        </w:rPr>
        <w:t>Recurrente</w:t>
      </w:r>
      <w:r w:rsidRPr="00453C03">
        <w:rPr>
          <w:rFonts w:ascii="Palatino Linotype" w:eastAsia="Palatino Linotype" w:hAnsi="Palatino Linotype" w:cs="Palatino Linotype"/>
          <w:color w:val="000000" w:themeColor="text1"/>
        </w:rPr>
        <w:t xml:space="preserve">, por lo que, en el presente caso, al haber sido presentado el recurso de revisión vía </w:t>
      </w:r>
      <w:r w:rsidRPr="00453C03">
        <w:rPr>
          <w:rFonts w:ascii="Palatino Linotype" w:eastAsia="Palatino Linotype" w:hAnsi="Palatino Linotype" w:cs="Palatino Linotype"/>
          <w:b/>
          <w:bCs/>
          <w:color w:val="000000" w:themeColor="text1"/>
        </w:rPr>
        <w:t>SAIMEX</w:t>
      </w:r>
      <w:r w:rsidRPr="00453C03">
        <w:rPr>
          <w:rFonts w:ascii="Palatino Linotype" w:eastAsia="Palatino Linotype" w:hAnsi="Palatino Linotype" w:cs="Palatino Linotype"/>
          <w:color w:val="000000" w:themeColor="text1"/>
        </w:rPr>
        <w:t>, dicho requisito resulta innecesario.</w:t>
      </w: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color w:val="000000" w:themeColor="text1"/>
        </w:rPr>
        <w:t xml:space="preserve">El artículo 179, fracción VII, de la Ley de Transparencia y Acceso a la Información Pública del Estado de México y Municipios, establece como supuesto de procedencia del recurso de revisión, la falta de respuesta a una solicitud de información por 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 xml:space="preserve">, hipótesis jurídica que se actualiza en este caso, aunado a que la parte </w:t>
      </w:r>
      <w:r w:rsidRPr="00453C03">
        <w:rPr>
          <w:rFonts w:ascii="Palatino Linotype" w:eastAsia="Palatino Linotype" w:hAnsi="Palatino Linotype" w:cs="Palatino Linotype"/>
          <w:b/>
          <w:bCs/>
          <w:color w:val="000000" w:themeColor="text1"/>
        </w:rPr>
        <w:t>Recurrente</w:t>
      </w:r>
      <w:r w:rsidRPr="00453C03">
        <w:rPr>
          <w:rFonts w:ascii="Palatino Linotype" w:eastAsia="Palatino Linotype" w:hAnsi="Palatino Linotype" w:cs="Palatino Linotype"/>
          <w:color w:val="000000" w:themeColor="text1"/>
        </w:rPr>
        <w:t xml:space="preserve"> combate la falta de respuesta por 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w:t>
      </w: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Asimismo,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procedimentales para atender el fondo del asunto, en los términos del considerando posterior.</w:t>
      </w:r>
    </w:p>
    <w:p w:rsidR="00CC2598" w:rsidRPr="00453C03" w:rsidRDefault="00CC2598" w:rsidP="00453C03">
      <w:pPr>
        <w:pStyle w:val="Ttulo2"/>
        <w:spacing w:before="0" w:line="360" w:lineRule="auto"/>
        <w:rPr>
          <w:rFonts w:ascii="Palatino Linotype" w:eastAsia="Palatino Linotype" w:hAnsi="Palatino Linotype" w:cs="Palatino Linotype"/>
          <w:color w:val="000000" w:themeColor="text1"/>
          <w:sz w:val="24"/>
          <w:szCs w:val="24"/>
        </w:rPr>
      </w:pPr>
    </w:p>
    <w:p w:rsidR="00CC2598" w:rsidRPr="00453C03" w:rsidRDefault="00CD4D98" w:rsidP="00453C03">
      <w:pPr>
        <w:pStyle w:val="Ttulo2"/>
        <w:rPr>
          <w:rFonts w:ascii="Palatino Linotype" w:eastAsia="Palatino Linotype" w:hAnsi="Palatino Linotype" w:cs="Palatino Linotype"/>
          <w:b/>
          <w:bCs/>
          <w:i/>
          <w:iCs/>
          <w:color w:val="000000" w:themeColor="text1"/>
          <w:sz w:val="24"/>
          <w:szCs w:val="24"/>
        </w:rPr>
      </w:pPr>
      <w:bookmarkStart w:id="5" w:name="_heading=h.3dy6vkm" w:colFirst="0" w:colLast="0"/>
      <w:bookmarkEnd w:id="5"/>
      <w:r w:rsidRPr="00453C03">
        <w:rPr>
          <w:rFonts w:ascii="Palatino Linotype" w:eastAsia="Palatino Linotype" w:hAnsi="Palatino Linotype" w:cs="Palatino Linotype"/>
          <w:b/>
          <w:bCs/>
          <w:color w:val="000000" w:themeColor="text1"/>
          <w:sz w:val="24"/>
          <w:szCs w:val="24"/>
        </w:rPr>
        <w:t xml:space="preserve">TERCERO. Del planteamiento de la </w:t>
      </w:r>
      <w:r w:rsidRPr="00453C03">
        <w:rPr>
          <w:rFonts w:ascii="Palatino Linotype" w:eastAsia="Palatino Linotype" w:hAnsi="Palatino Linotype" w:cs="Palatino Linotype"/>
          <w:b/>
          <w:bCs/>
          <w:i/>
          <w:iCs/>
          <w:color w:val="000000" w:themeColor="text1"/>
          <w:sz w:val="24"/>
          <w:szCs w:val="24"/>
        </w:rPr>
        <w:t>Litis.</w:t>
      </w:r>
    </w:p>
    <w:p w:rsidR="00CC2598" w:rsidRPr="00453C03" w:rsidRDefault="00CD4D98" w:rsidP="00453C03">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Se solicitó tener acceso, a la información que a continuación se simplifica:</w:t>
      </w:r>
    </w:p>
    <w:p w:rsidR="00CC2598" w:rsidRDefault="00CD4D98" w:rsidP="00453C03">
      <w:pPr>
        <w:numPr>
          <w:ilvl w:val="0"/>
          <w:numId w:val="7"/>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Comprobantes de nómina de los Servidores Públicos que integran la Dirección de Administración y la Tesorería Municipal, de la primera y segunda quincena de mayo de 2025.</w:t>
      </w:r>
    </w:p>
    <w:p w:rsidR="00032BE8" w:rsidRPr="00453C03" w:rsidRDefault="00032BE8" w:rsidP="00032BE8">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CC2598" w:rsidRPr="00453C03" w:rsidRDefault="00CC2598" w:rsidP="00453C03">
      <w:pPr>
        <w:jc w:val="both"/>
        <w:rPr>
          <w:rFonts w:ascii="Palatino Linotype" w:eastAsia="Palatino Linotype" w:hAnsi="Palatino Linotype" w:cs="Palatino Linotype"/>
          <w:b/>
          <w:bCs/>
          <w:color w:val="000000" w:themeColor="text1"/>
        </w:rPr>
      </w:pPr>
    </w:p>
    <w:p w:rsidR="00CC2598" w:rsidRPr="00453C03" w:rsidRDefault="00CD4D98" w:rsidP="00453C03">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Toda vez que 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 xml:space="preserve"> no emitió respuesta, el particular se dolió por la falta de la misma.</w:t>
      </w: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lastRenderedPageBreak/>
        <w:t xml:space="preserve">En dichas condiciones, la controversia a resolver en el presente proveído, corresponde a determinar si se actualiza la causal de procedencia prevista en el artículo </w:t>
      </w:r>
      <w:r w:rsidRPr="00453C03">
        <w:rPr>
          <w:rFonts w:ascii="Palatino Linotype" w:eastAsia="Palatino Linotype" w:hAnsi="Palatino Linotype" w:cs="Palatino Linotype"/>
          <w:b/>
          <w:bCs/>
          <w:color w:val="000000" w:themeColor="text1"/>
        </w:rPr>
        <w:t>179, fracción VII, de la Ley de Transparencia y Acceso a la Información Pública del Estado de México y Municipios</w:t>
      </w:r>
      <w:r w:rsidRPr="00453C03">
        <w:rPr>
          <w:rFonts w:ascii="Palatino Linotype" w:eastAsia="Palatino Linotype" w:hAnsi="Palatino Linotype" w:cs="Palatino Linotype"/>
          <w:color w:val="000000" w:themeColor="text1"/>
        </w:rPr>
        <w:t xml:space="preserve">; fracción que determina la hipótesis relativa a la </w:t>
      </w:r>
      <w:r w:rsidRPr="00453C03">
        <w:rPr>
          <w:rFonts w:ascii="Palatino Linotype" w:eastAsia="Palatino Linotype" w:hAnsi="Palatino Linotype" w:cs="Palatino Linotype"/>
          <w:b/>
          <w:bCs/>
          <w:color w:val="000000" w:themeColor="text1"/>
        </w:rPr>
        <w:t>falta de respuesta a una solicitud de acceso a la información</w:t>
      </w:r>
      <w:r w:rsidRPr="00453C03">
        <w:rPr>
          <w:rFonts w:ascii="Palatino Linotype" w:eastAsia="Palatino Linotype" w:hAnsi="Palatino Linotype" w:cs="Palatino Linotype"/>
          <w:color w:val="000000" w:themeColor="text1"/>
        </w:rPr>
        <w:t>; contexto del cual se dolió el Recurrente al momento de interponer su inconformidad. De modo tal que el presente recurso de revisión se abocará en determinar si el Sujeto Obligado con su respuesta ciertamente actualiza la causal de procedencia</w:t>
      </w:r>
      <w:r w:rsidRPr="00453C03">
        <w:rPr>
          <w:rFonts w:ascii="Palatino Linotype" w:eastAsia="Palatino Linotype" w:hAnsi="Palatino Linotype" w:cs="Palatino Linotype"/>
          <w:b/>
          <w:bCs/>
          <w:color w:val="000000" w:themeColor="text1"/>
        </w:rPr>
        <w:t xml:space="preserve"> </w:t>
      </w:r>
      <w:r w:rsidRPr="00453C03">
        <w:rPr>
          <w:rFonts w:ascii="Palatino Linotype" w:eastAsia="Palatino Linotype" w:hAnsi="Palatino Linotype" w:cs="Palatino Linotype"/>
          <w:color w:val="000000" w:themeColor="text1"/>
        </w:rPr>
        <w:t xml:space="preserve">señalada. </w:t>
      </w:r>
    </w:p>
    <w:p w:rsidR="00CC2598" w:rsidRPr="00453C03" w:rsidRDefault="00CC2598" w:rsidP="00453C03">
      <w:pPr>
        <w:spacing w:line="360" w:lineRule="auto"/>
        <w:rPr>
          <w:rFonts w:ascii="Palatino Linotype" w:eastAsia="Palatino Linotype" w:hAnsi="Palatino Linotype" w:cs="Palatino Linotype"/>
          <w:color w:val="000000" w:themeColor="text1"/>
        </w:rPr>
      </w:pPr>
    </w:p>
    <w:p w:rsidR="00CC2598" w:rsidRPr="00453C03" w:rsidRDefault="00CD4D98" w:rsidP="00453C03">
      <w:pPr>
        <w:pStyle w:val="Ttulo2"/>
        <w:rPr>
          <w:rFonts w:ascii="Palatino Linotype" w:eastAsia="Palatino Linotype" w:hAnsi="Palatino Linotype" w:cs="Palatino Linotype"/>
          <w:b/>
          <w:bCs/>
          <w:color w:val="000000" w:themeColor="text1"/>
          <w:sz w:val="24"/>
          <w:szCs w:val="24"/>
        </w:rPr>
      </w:pPr>
      <w:bookmarkStart w:id="6" w:name="_heading=h.1t3h5sf" w:colFirst="0" w:colLast="0"/>
      <w:bookmarkEnd w:id="6"/>
      <w:r w:rsidRPr="00453C03">
        <w:rPr>
          <w:rFonts w:ascii="Palatino Linotype" w:eastAsia="Palatino Linotype" w:hAnsi="Palatino Linotype" w:cs="Palatino Linotype"/>
          <w:b/>
          <w:bCs/>
          <w:color w:val="000000" w:themeColor="text1"/>
          <w:sz w:val="24"/>
          <w:szCs w:val="24"/>
        </w:rPr>
        <w:t>CUARTO. Del estudio y resolución del asunto.</w:t>
      </w: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lastRenderedPageBreak/>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6"/>
        </w:numPr>
        <w:pBdr>
          <w:top w:val="nil"/>
          <w:left w:val="nil"/>
          <w:bottom w:val="nil"/>
          <w:right w:val="nil"/>
          <w:between w:val="nil"/>
        </w:pBdr>
        <w:spacing w:line="360" w:lineRule="auto"/>
        <w:ind w:left="0" w:firstLine="0"/>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b/>
          <w:bCs/>
          <w:color w:val="000000" w:themeColor="text1"/>
        </w:rPr>
        <w:t>Del Sujeto Obligado.</w:t>
      </w:r>
    </w:p>
    <w:p w:rsidR="00CC2598" w:rsidRPr="00453C03" w:rsidRDefault="00CD4D98" w:rsidP="00453C03">
      <w:pPr>
        <w:numPr>
          <w:ilvl w:val="0"/>
          <w:numId w:val="5"/>
        </w:numPr>
        <w:spacing w:line="360" w:lineRule="auto"/>
        <w:ind w:left="0" w:firstLine="0"/>
        <w:jc w:val="both"/>
        <w:rPr>
          <w:rFonts w:ascii="Palatino Linotype" w:hAnsi="Palatino Linotype"/>
          <w:color w:val="000000" w:themeColor="text1"/>
        </w:rPr>
      </w:pPr>
      <w:r w:rsidRPr="00453C03">
        <w:rPr>
          <w:rFonts w:ascii="Palatino Linotype" w:eastAsia="Palatino Linotype" w:hAnsi="Palatino Linotype" w:cs="Palatino Linotype"/>
          <w:color w:val="000000" w:themeColor="text1"/>
        </w:rPr>
        <w:t>Para el ejercicio de sus atribuciones, tanto el H. Ayuntamiento como la Presidenta Municipal, se auxiliarán de las siguientes dependencias que estarán subordinadas a esta última, de conformidad con el artículo 44, fracción IV, inciso a, del Bando Municipal vigente:</w:t>
      </w:r>
    </w:p>
    <w:p w:rsidR="00CC2598" w:rsidRPr="00453C03" w:rsidRDefault="00CD4D98" w:rsidP="00453C03">
      <w:pPr>
        <w:jc w:val="center"/>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t>Bando Municipal 2025</w:t>
      </w:r>
    </w:p>
    <w:p w:rsidR="00CC2598" w:rsidRPr="00453C03" w:rsidRDefault="00CC2598" w:rsidP="00453C03">
      <w:pPr>
        <w:jc w:val="center"/>
        <w:rPr>
          <w:rFonts w:ascii="Palatino Linotype" w:eastAsia="Palatino Linotype" w:hAnsi="Palatino Linotype" w:cs="Palatino Linotype"/>
          <w:b/>
          <w:bCs/>
          <w:i/>
          <w:iCs/>
          <w:color w:val="000000" w:themeColor="text1"/>
        </w:rPr>
      </w:pP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 xml:space="preserve">Artículo 44. </w:t>
      </w:r>
      <w:r w:rsidRPr="00453C03">
        <w:rPr>
          <w:rFonts w:ascii="Palatino Linotype" w:eastAsia="Palatino Linotype" w:hAnsi="Palatino Linotype" w:cs="Palatino Linotype"/>
          <w:i/>
          <w:iCs/>
          <w:color w:val="000000" w:themeColor="text1"/>
        </w:rPr>
        <w:t>Para el ejercicio de sus atribuciones, tanto el H. Ayuntamiento como la Presidenta</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 xml:space="preserve">Municipal, se auxiliarán de las siguientes dependencias que estarán subordinadas a esta última: </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I. Secretaría del Ayuntamiento;</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II. Tesorería Municipal;</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III. Contraloría Municipal;</w:t>
      </w:r>
    </w:p>
    <w:p w:rsidR="00CC2598" w:rsidRPr="00453C03" w:rsidRDefault="00CD4D98" w:rsidP="00453C03">
      <w:pPr>
        <w:jc w:val="both"/>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t>IV. Las Direcciones de:</w:t>
      </w:r>
    </w:p>
    <w:p w:rsidR="00CC2598" w:rsidRPr="00453C03" w:rsidRDefault="00CC2598" w:rsidP="00453C03">
      <w:pPr>
        <w:jc w:val="both"/>
        <w:rPr>
          <w:rFonts w:ascii="Palatino Linotype" w:eastAsia="Palatino Linotype" w:hAnsi="Palatino Linotype" w:cs="Palatino Linotype"/>
          <w:i/>
          <w:iCs/>
          <w:color w:val="000000" w:themeColor="text1"/>
        </w:rPr>
      </w:pP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a. Administración</w:t>
      </w:r>
      <w:r w:rsidRPr="00453C03">
        <w:rPr>
          <w:rFonts w:ascii="Palatino Linotype" w:eastAsia="Palatino Linotype" w:hAnsi="Palatino Linotype" w:cs="Palatino Linotype"/>
          <w:i/>
          <w:iCs/>
          <w:color w:val="000000" w:themeColor="text1"/>
        </w:rPr>
        <w:t>;</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 xml:space="preserve"> …</w:t>
      </w:r>
    </w:p>
    <w:p w:rsidR="00CC2598" w:rsidRPr="00453C03" w:rsidRDefault="00CC2598" w:rsidP="00453C03">
      <w:pPr>
        <w:jc w:val="both"/>
        <w:rPr>
          <w:rFonts w:ascii="Palatino Linotype" w:eastAsia="Palatino Linotype" w:hAnsi="Palatino Linotype" w:cs="Palatino Linotype"/>
          <w:b/>
          <w:bCs/>
          <w:i/>
          <w:iCs/>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lastRenderedPageBreak/>
        <w:t xml:space="preserve">La </w:t>
      </w:r>
      <w:r w:rsidRPr="00453C03">
        <w:rPr>
          <w:rFonts w:ascii="Palatino Linotype" w:eastAsia="Palatino Linotype" w:hAnsi="Palatino Linotype" w:cs="Palatino Linotype"/>
          <w:b/>
          <w:bCs/>
          <w:color w:val="000000" w:themeColor="text1"/>
        </w:rPr>
        <w:t xml:space="preserve"> Dirección de Administración proveerá los recursos humanos</w:t>
      </w:r>
      <w:r w:rsidRPr="00453C03">
        <w:rPr>
          <w:rFonts w:ascii="Palatino Linotype" w:eastAsia="Palatino Linotype" w:hAnsi="Palatino Linotype" w:cs="Palatino Linotype"/>
          <w:color w:val="000000" w:themeColor="text1"/>
        </w:rPr>
        <w:t xml:space="preserve">, materiales y servicios </w:t>
      </w:r>
      <w:r w:rsidRPr="00453C03">
        <w:rPr>
          <w:rFonts w:ascii="Palatino Linotype" w:eastAsia="Palatino Linotype" w:hAnsi="Palatino Linotype" w:cs="Palatino Linotype"/>
          <w:b/>
          <w:bCs/>
          <w:color w:val="000000" w:themeColor="text1"/>
        </w:rPr>
        <w:t>a las diversas áreas que conforman la Administración Pública Municipal</w:t>
      </w:r>
      <w:r w:rsidRPr="00453C03">
        <w:rPr>
          <w:rFonts w:ascii="Palatino Linotype" w:eastAsia="Palatino Linotype" w:hAnsi="Palatino Linotype" w:cs="Palatino Linotype"/>
          <w:color w:val="000000" w:themeColor="text1"/>
        </w:rPr>
        <w:t xml:space="preserve"> y asignará a éstas, previa autorización de la Presidenta Municipal Constitucional, el personal capacitado que requiera para el cumplimiento de sus atribuciones, llevando el registro del mismo. </w:t>
      </w:r>
      <w:r w:rsidRPr="00453C03">
        <w:rPr>
          <w:rFonts w:ascii="Palatino Linotype" w:eastAsia="Palatino Linotype" w:hAnsi="Palatino Linotype" w:cs="Palatino Linotype"/>
          <w:b/>
          <w:bCs/>
          <w:color w:val="000000" w:themeColor="text1"/>
        </w:rPr>
        <w:t>También calculará el monto de los salarios</w:t>
      </w:r>
      <w:r w:rsidRPr="00453C03">
        <w:rPr>
          <w:rFonts w:ascii="Palatino Linotype" w:eastAsia="Palatino Linotype" w:hAnsi="Palatino Linotype" w:cs="Palatino Linotype"/>
          <w:color w:val="000000" w:themeColor="text1"/>
        </w:rPr>
        <w:t xml:space="preserve">, establecerá programas de capacitación, </w:t>
      </w:r>
      <w:r w:rsidRPr="00453C03">
        <w:rPr>
          <w:rFonts w:ascii="Palatino Linotype" w:eastAsia="Palatino Linotype" w:hAnsi="Palatino Linotype" w:cs="Palatino Linotype"/>
          <w:b/>
          <w:bCs/>
          <w:color w:val="000000" w:themeColor="text1"/>
        </w:rPr>
        <w:t>atenderá las relaciones laborales</w:t>
      </w:r>
      <w:r w:rsidRPr="00453C03">
        <w:rPr>
          <w:rFonts w:ascii="Palatino Linotype" w:eastAsia="Palatino Linotype" w:hAnsi="Palatino Linotype" w:cs="Palatino Linotype"/>
          <w:color w:val="000000" w:themeColor="text1"/>
        </w:rPr>
        <w:t xml:space="preserve"> en coordinación con la Consejería Jurídica; asimismo, llevará a cabo los procedimientos de adquisiciones de bienes y servicios y, en general, cumplirá con todas las atribuciones que le otorguen las disposiciones legales que regulen sus actividades, de conformidad con el artículo 50 del Bando Municipal 2025.</w:t>
      </w:r>
    </w:p>
    <w:p w:rsidR="00CC2598" w:rsidRPr="00453C03" w:rsidRDefault="00CC2598" w:rsidP="00453C03">
      <w:pPr>
        <w:jc w:val="both"/>
        <w:rPr>
          <w:rFonts w:ascii="Palatino Linotype" w:eastAsia="Palatino Linotype" w:hAnsi="Palatino Linotype" w:cs="Palatino Linotype"/>
          <w:i/>
          <w:iCs/>
          <w:color w:val="000000" w:themeColor="text1"/>
        </w:rPr>
      </w:pPr>
    </w:p>
    <w:p w:rsidR="00CC2598" w:rsidRPr="00453C03" w:rsidRDefault="00CD4D98" w:rsidP="00453C03">
      <w:pPr>
        <w:numPr>
          <w:ilvl w:val="0"/>
          <w:numId w:val="5"/>
        </w:numPr>
        <w:spacing w:line="360" w:lineRule="auto"/>
        <w:ind w:left="0" w:firstLine="0"/>
        <w:jc w:val="both"/>
        <w:rPr>
          <w:rFonts w:ascii="Palatino Linotype" w:hAnsi="Palatino Linotype"/>
          <w:color w:val="000000" w:themeColor="text1"/>
        </w:rPr>
      </w:pPr>
      <w:r w:rsidRPr="00453C03">
        <w:rPr>
          <w:rFonts w:ascii="Palatino Linotype" w:eastAsia="Palatino Linotype" w:hAnsi="Palatino Linotype" w:cs="Palatino Linotype"/>
          <w:color w:val="000000" w:themeColor="text1"/>
        </w:rPr>
        <w:t xml:space="preserve">De lo expuesto es de precisar que la información emitida en informe justificado fue remitida por la unidad administrativa competente, a través de la </w:t>
      </w:r>
      <w:r w:rsidRPr="00453C03">
        <w:rPr>
          <w:rFonts w:ascii="Palatino Linotype" w:eastAsia="Palatino Linotype" w:hAnsi="Palatino Linotype" w:cs="Palatino Linotype"/>
          <w:b/>
          <w:bCs/>
          <w:color w:val="000000" w:themeColor="text1"/>
        </w:rPr>
        <w:t>Dirección de Administración</w:t>
      </w:r>
      <w:r w:rsidRPr="00453C03">
        <w:rPr>
          <w:rFonts w:ascii="Palatino Linotype" w:eastAsia="Palatino Linotype" w:hAnsi="Palatino Linotype" w:cs="Palatino Linotype"/>
          <w:color w:val="000000" w:themeColor="text1"/>
        </w:rPr>
        <w:t xml:space="preserve">, por lo que podemos advertir que </w:t>
      </w:r>
      <w:r w:rsidRPr="00453C03">
        <w:rPr>
          <w:rFonts w:ascii="Palatino Linotype" w:eastAsia="Palatino Linotype" w:hAnsi="Palatino Linotype" w:cs="Palatino Linotype"/>
          <w:b/>
          <w:bCs/>
          <w:color w:val="000000" w:themeColor="text1"/>
        </w:rPr>
        <w:t xml:space="preserve">EL SUJETO OBLIGADO </w:t>
      </w:r>
      <w:r w:rsidRPr="00453C03">
        <w:rPr>
          <w:rFonts w:ascii="Palatino Linotype" w:eastAsia="Palatino Linotype" w:hAnsi="Palatino Linotype" w:cs="Palatino Linotype"/>
          <w:color w:val="000000" w:themeColor="text1"/>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XXXIX.</w:t>
      </w:r>
      <w:r w:rsidRPr="00453C03">
        <w:rPr>
          <w:rFonts w:ascii="Palatino Linotype" w:eastAsia="Palatino Linotype" w:hAnsi="Palatino Linotype" w:cs="Palatino Linotype"/>
          <w:i/>
          <w:iCs/>
          <w:color w:val="000000" w:themeColor="text1"/>
        </w:rPr>
        <w:t xml:space="preserve"> </w:t>
      </w:r>
      <w:r w:rsidRPr="00453C03">
        <w:rPr>
          <w:rFonts w:ascii="Palatino Linotype" w:eastAsia="Palatino Linotype" w:hAnsi="Palatino Linotype" w:cs="Palatino Linotype"/>
          <w:b/>
          <w:bCs/>
          <w:i/>
          <w:iCs/>
          <w:color w:val="000000" w:themeColor="text1"/>
        </w:rPr>
        <w:t>Servidor público habilitado</w:t>
      </w:r>
      <w:r w:rsidRPr="00453C03">
        <w:rPr>
          <w:rFonts w:ascii="Palatino Linotype" w:eastAsia="Palatino Linotype" w:hAnsi="Palatino Linotype" w:cs="Palatino Linotype"/>
          <w:i/>
          <w:iCs/>
          <w:color w:val="000000" w:themeColor="text1"/>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hAnsi="Palatino Linotype"/>
          <w:color w:val="000000" w:themeColor="text1"/>
        </w:rPr>
      </w:pPr>
      <w:r w:rsidRPr="00453C03">
        <w:rPr>
          <w:rFonts w:ascii="Palatino Linotype" w:eastAsia="Palatino Linotype" w:hAnsi="Palatino Linotype" w:cs="Palatino Linotype"/>
          <w:color w:val="000000" w:themeColor="text1"/>
        </w:rPr>
        <w:lastRenderedPageBreak/>
        <w:t>Así las cosas, se advierte que efectivamente la Unidad de Transparencia cumplió con lo establecido en el artículo 162 de la Ley de Transparencia y Acceso a la Información Pública del Estado de México y Municipios, el cual menciona lo siguiente:</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w:t>
      </w:r>
      <w:r w:rsidRPr="00453C03">
        <w:rPr>
          <w:rFonts w:ascii="Palatino Linotype" w:eastAsia="Palatino Linotype" w:hAnsi="Palatino Linotype" w:cs="Palatino Linotype"/>
          <w:b/>
          <w:bCs/>
          <w:i/>
          <w:iCs/>
          <w:color w:val="000000" w:themeColor="text1"/>
        </w:rPr>
        <w:t>Artículo 162.</w:t>
      </w:r>
      <w:r w:rsidRPr="00453C03">
        <w:rPr>
          <w:rFonts w:ascii="Palatino Linotype" w:eastAsia="Palatino Linotype" w:hAnsi="Palatino Linotype" w:cs="Palatino Linotype"/>
          <w:i/>
          <w:iCs/>
          <w:color w:val="000000" w:themeColor="text1"/>
        </w:rPr>
        <w:t xml:space="preserve"> Las unidades de transparencia deberán garantizar que las solicitudes se turnen a </w:t>
      </w:r>
      <w:r w:rsidRPr="00453C03">
        <w:rPr>
          <w:rFonts w:ascii="Palatino Linotype" w:eastAsia="Palatino Linotype" w:hAnsi="Palatino Linotype" w:cs="Palatino Linotype"/>
          <w:b/>
          <w:bCs/>
          <w:i/>
          <w:iCs/>
          <w:color w:val="000000" w:themeColor="text1"/>
        </w:rPr>
        <w:t>todas las Áreas competentes</w:t>
      </w:r>
      <w:r w:rsidRPr="00453C03">
        <w:rPr>
          <w:rFonts w:ascii="Palatino Linotype" w:eastAsia="Palatino Linotype" w:hAnsi="Palatino Linotype" w:cs="Palatino Linotype"/>
          <w:i/>
          <w:iCs/>
          <w:color w:val="000000" w:themeColor="text1"/>
        </w:rPr>
        <w:t xml:space="preserve"> que cuenten con la información o deban tenerla de acuerdo a sus facultades, competencias y funciones, con el objeto de que realicen una búsqueda exhaustiva y razonable de la información solicitada.”</w:t>
      </w: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hAnsi="Palatino Linotype"/>
          <w:color w:val="000000" w:themeColor="text1"/>
        </w:rPr>
      </w:pPr>
      <w:r w:rsidRPr="00453C03">
        <w:rPr>
          <w:rFonts w:ascii="Palatino Linotype" w:eastAsia="Palatino Linotype" w:hAnsi="Palatino Linotype" w:cs="Palatino Linotype"/>
          <w:color w:val="000000" w:themeColor="text1"/>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w:t>
      </w:r>
      <w:r w:rsidRPr="00453C03">
        <w:rPr>
          <w:rFonts w:ascii="Palatino Linotype" w:eastAsia="Palatino Linotype" w:hAnsi="Palatino Linotype" w:cs="Palatino Linotype"/>
          <w:b/>
          <w:bCs/>
          <w:i/>
          <w:iCs/>
          <w:color w:val="000000" w:themeColor="text1"/>
        </w:rPr>
        <w:t xml:space="preserve">Artículo 3. </w:t>
      </w:r>
      <w:r w:rsidRPr="00453C03">
        <w:rPr>
          <w:rFonts w:ascii="Palatino Linotype" w:eastAsia="Palatino Linotype" w:hAnsi="Palatino Linotype" w:cs="Palatino Linotype"/>
          <w:i/>
          <w:iCs/>
          <w:color w:val="000000" w:themeColor="text1"/>
        </w:rPr>
        <w:t>Para los efectos de la presente Ley se entenderá por:</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XI. Documento:</w:t>
      </w:r>
      <w:r w:rsidRPr="00453C03">
        <w:rPr>
          <w:rFonts w:ascii="Palatino Linotype" w:eastAsia="Palatino Linotype" w:hAnsi="Palatino Linotype" w:cs="Palatino Linotype"/>
          <w:i/>
          <w:iCs/>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C2598" w:rsidRPr="00453C03" w:rsidRDefault="00CD4D98" w:rsidP="00453C03">
      <w:pPr>
        <w:spacing w:line="360" w:lineRule="auto"/>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w:t>
      </w:r>
    </w:p>
    <w:p w:rsidR="00CC2598" w:rsidRPr="00453C03" w:rsidRDefault="00CC2598" w:rsidP="00453C03">
      <w:pPr>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hAnsi="Palatino Linotype"/>
          <w:color w:val="000000" w:themeColor="text1"/>
        </w:rPr>
      </w:pPr>
      <w:r w:rsidRPr="00453C03">
        <w:rPr>
          <w:rFonts w:ascii="Palatino Linotype" w:eastAsia="Palatino Linotype" w:hAnsi="Palatino Linotype" w:cs="Palatino Linotype"/>
          <w:color w:val="000000" w:themeColor="text1"/>
        </w:rPr>
        <w:t xml:space="preserve">Siendo aplicable el Criterio de interpretación en el orden administrativo número 0002-11, emitido por Acuerdo del Pleno del Instituto de Transparencia y Acceso a la </w:t>
      </w:r>
      <w:r w:rsidRPr="00453C03">
        <w:rPr>
          <w:rFonts w:ascii="Palatino Linotype" w:eastAsia="Palatino Linotype" w:hAnsi="Palatino Linotype" w:cs="Palatino Linotype"/>
          <w:color w:val="000000" w:themeColor="text1"/>
        </w:rPr>
        <w:lastRenderedPageBreak/>
        <w:t>Información Pública del Estado de México y Municipios; publicado en el Periódico Oficial del Gobierno del Estado Libre y Soberano de México “Gaceta del Gobierno”, el diecinueve de octubre de dos mil once, cuyo rubro y texto dispone:</w:t>
      </w:r>
    </w:p>
    <w:p w:rsidR="00CC2598" w:rsidRPr="00453C03" w:rsidRDefault="00CD4D98" w:rsidP="00453C03">
      <w:pPr>
        <w:jc w:val="both"/>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color w:val="000000" w:themeColor="text1"/>
        </w:rPr>
        <w:t>“</w:t>
      </w:r>
      <w:r w:rsidRPr="00453C03">
        <w:rPr>
          <w:rFonts w:ascii="Palatino Linotype" w:eastAsia="Palatino Linotype" w:hAnsi="Palatino Linotype" w:cs="Palatino Linotype"/>
          <w:b/>
          <w:bCs/>
          <w:i/>
          <w:iCs/>
          <w:color w:val="000000" w:themeColor="text1"/>
        </w:rPr>
        <w:t>CRITERIO 0002-11</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INFORMACIÓN PÚBLICA, CONCEPTO DE, EN MATERIA DE TRANSPARENCIA. INTERPRETACIÓN SISTEMÁTICA DE LOS ARTÍCULOS 2°, FRACCIÓN V, XV, Y XVI, 3°, 4°, 11 Y 41.</w:t>
      </w:r>
      <w:r w:rsidRPr="00453C03">
        <w:rPr>
          <w:rFonts w:ascii="Palatino Linotype" w:eastAsia="Palatino Linotype" w:hAnsi="Palatino Linotype" w:cs="Palatino Linotype"/>
          <w:i/>
          <w:iCs/>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En consecuencia el acceso a la información se refiere a que se cumplan cualquiera de los siguientes tres supuestos:</w:t>
      </w:r>
    </w:p>
    <w:p w:rsidR="00CC2598" w:rsidRPr="00453C03" w:rsidRDefault="00CD4D98" w:rsidP="00453C03">
      <w:pPr>
        <w:jc w:val="both"/>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t xml:space="preserve">1) </w:t>
      </w:r>
      <w:r w:rsidRPr="00453C03">
        <w:rPr>
          <w:rFonts w:ascii="Palatino Linotype" w:eastAsia="Palatino Linotype" w:hAnsi="Palatino Linotype" w:cs="Palatino Linotype"/>
          <w:b/>
          <w:bCs/>
          <w:i/>
          <w:iCs/>
          <w:color w:val="000000" w:themeColor="text1"/>
          <w:u w:val="single"/>
        </w:rPr>
        <w:t>Que se trate de información registrada en cualquier soporte documental, que en ejercicio de las atribuciones conferidas, sea generada por los Sujetos Obligados;</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2) Que se trate de información registrada en cualquier soporte documental, que en ejercicio de las atribuciones conferidas, sea administrada por los Sujetos Obligados, y</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3) Que se trate de información registrada en cualquier soporte documental, que en ejercicio de las atribuciones conferidas, se encuentre en posesión de los Sujetos Obligados.”</w:t>
      </w:r>
    </w:p>
    <w:p w:rsidR="00CC2598" w:rsidRPr="00453C03" w:rsidRDefault="00CD4D98" w:rsidP="00453C03">
      <w:pPr>
        <w:tabs>
          <w:tab w:val="left" w:pos="851"/>
        </w:tabs>
        <w:spacing w:line="360" w:lineRule="auto"/>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(Énfasis Añadido)</w:t>
      </w: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hAnsi="Palatino Linotype"/>
          <w:color w:val="000000" w:themeColor="text1"/>
        </w:rPr>
      </w:pPr>
      <w:r w:rsidRPr="00453C03">
        <w:rPr>
          <w:rFonts w:ascii="Palatino Linotype" w:eastAsia="Palatino Linotype" w:hAnsi="Palatino Linotype" w:cs="Palatino Linotype"/>
          <w:color w:val="000000" w:themeColor="text1"/>
        </w:rPr>
        <w:t>Por su parte los artículos 160 y 166, de la Ley local en la materia, que se reproduce de la siguiente forma:</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w:t>
      </w:r>
      <w:r w:rsidRPr="00453C03">
        <w:rPr>
          <w:rFonts w:ascii="Palatino Linotype" w:eastAsia="Palatino Linotype" w:hAnsi="Palatino Linotype" w:cs="Palatino Linotype"/>
          <w:b/>
          <w:bCs/>
          <w:i/>
          <w:iCs/>
          <w:color w:val="000000" w:themeColor="text1"/>
        </w:rPr>
        <w:t>Artículo 160.</w:t>
      </w:r>
      <w:r w:rsidRPr="00453C03">
        <w:rPr>
          <w:rFonts w:ascii="Palatino Linotype" w:eastAsia="Palatino Linotype" w:hAnsi="Palatino Linotype" w:cs="Palatino Linotype"/>
          <w:i/>
          <w:iCs/>
          <w:color w:val="000000" w:themeColor="text1"/>
        </w:rPr>
        <w:t xml:space="preserve"> </w:t>
      </w:r>
      <w:r w:rsidRPr="00453C03">
        <w:rPr>
          <w:rFonts w:ascii="Palatino Linotype" w:eastAsia="Palatino Linotype" w:hAnsi="Palatino Linotype" w:cs="Palatino Linotype"/>
          <w:i/>
          <w:iCs/>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453C03">
        <w:rPr>
          <w:rFonts w:ascii="Palatino Linotype" w:eastAsia="Palatino Linotype" w:hAnsi="Palatino Linotype" w:cs="Palatino Linotype"/>
          <w:i/>
          <w:iCs/>
          <w:color w:val="000000" w:themeColor="text1"/>
        </w:rPr>
        <w:t>.</w:t>
      </w:r>
    </w:p>
    <w:p w:rsidR="00CC2598" w:rsidRPr="00453C03" w:rsidRDefault="00CC2598" w:rsidP="00453C03">
      <w:pPr>
        <w:jc w:val="both"/>
        <w:rPr>
          <w:rFonts w:ascii="Palatino Linotype" w:eastAsia="Palatino Linotype" w:hAnsi="Palatino Linotype" w:cs="Palatino Linotype"/>
          <w:i/>
          <w:iCs/>
          <w:color w:val="000000" w:themeColor="text1"/>
        </w:rPr>
      </w:pP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En caso que la información solicitada consista en bases de datos se deberá privilegiar la entrega de la misma en formatos abiertos.</w:t>
      </w:r>
    </w:p>
    <w:p w:rsidR="00CC2598" w:rsidRPr="00453C03" w:rsidRDefault="00CD4D98" w:rsidP="00453C03">
      <w:pPr>
        <w:jc w:val="both"/>
        <w:rPr>
          <w:rFonts w:ascii="Palatino Linotype" w:eastAsia="Palatino Linotype" w:hAnsi="Palatino Linotype" w:cs="Palatino Linotype"/>
          <w:i/>
          <w:iCs/>
          <w:color w:val="000000" w:themeColor="text1"/>
          <w:u w:val="single"/>
        </w:rPr>
      </w:pPr>
      <w:r w:rsidRPr="00453C03">
        <w:rPr>
          <w:rFonts w:ascii="Palatino Linotype" w:eastAsia="Palatino Linotype" w:hAnsi="Palatino Linotype" w:cs="Palatino Linotype"/>
          <w:b/>
          <w:bCs/>
          <w:i/>
          <w:iCs/>
          <w:color w:val="000000" w:themeColor="text1"/>
        </w:rPr>
        <w:t>Artículo 166.</w:t>
      </w:r>
      <w:r w:rsidRPr="00453C03">
        <w:rPr>
          <w:rFonts w:ascii="Palatino Linotype" w:eastAsia="Palatino Linotype" w:hAnsi="Palatino Linotype" w:cs="Palatino Linotype"/>
          <w:i/>
          <w:iCs/>
          <w:color w:val="000000" w:themeColor="text1"/>
        </w:rPr>
        <w:t xml:space="preserve"> </w:t>
      </w:r>
      <w:r w:rsidRPr="00453C03">
        <w:rPr>
          <w:rFonts w:ascii="Palatino Linotype" w:eastAsia="Palatino Linotype" w:hAnsi="Palatino Linotype" w:cs="Palatino Linotype"/>
          <w:i/>
          <w:iCs/>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rsidR="00CC2598" w:rsidRPr="00453C03" w:rsidRDefault="00CD4D98" w:rsidP="00453C03">
      <w:pPr>
        <w:spacing w:line="360" w:lineRule="auto"/>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lastRenderedPageBreak/>
        <w:t>(Énfasis añadido)</w:t>
      </w:r>
    </w:p>
    <w:p w:rsidR="00CC2598" w:rsidRPr="00453C03" w:rsidRDefault="00CC2598" w:rsidP="00453C03">
      <w:pPr>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hAnsi="Palatino Linotype"/>
          <w:color w:val="000000" w:themeColor="text1"/>
        </w:rPr>
      </w:pPr>
      <w:r w:rsidRPr="00453C03">
        <w:rPr>
          <w:rFonts w:ascii="Palatino Linotype" w:eastAsia="Palatino Linotype" w:hAnsi="Palatino Linotype" w:cs="Palatino Linotype"/>
          <w:color w:val="000000" w:themeColor="text1"/>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CC2598" w:rsidRPr="00453C03" w:rsidRDefault="00CC2598" w:rsidP="00453C03">
      <w:pPr>
        <w:spacing w:line="360" w:lineRule="auto"/>
        <w:jc w:val="both"/>
        <w:rPr>
          <w:rFonts w:ascii="Palatino Linotype" w:hAnsi="Palatino Linotype"/>
          <w:color w:val="000000" w:themeColor="text1"/>
        </w:rPr>
      </w:pPr>
    </w:p>
    <w:p w:rsidR="00CC2598" w:rsidRPr="00453C03" w:rsidRDefault="00CD4D98" w:rsidP="00453C03">
      <w:pPr>
        <w:numPr>
          <w:ilvl w:val="0"/>
          <w:numId w:val="2"/>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b/>
          <w:bCs/>
          <w:color w:val="000000" w:themeColor="text1"/>
        </w:rPr>
        <w:t xml:space="preserve">De la naturaleza de la información solicitada. </w:t>
      </w: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Se precisa que se obvia el análisis de la competencia por parte del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 xml:space="preserve">, para generar, administrar o poseer la información solicitada, dado que éste ha asumido la misma, en razón que en informe justificado remitió los </w:t>
      </w:r>
      <w:r w:rsidRPr="00453C03">
        <w:rPr>
          <w:rFonts w:ascii="Palatino Linotype" w:eastAsia="Palatino Linotype" w:hAnsi="Palatino Linotype" w:cs="Palatino Linotype"/>
          <w:b/>
          <w:bCs/>
          <w:i/>
          <w:iCs/>
          <w:color w:val="000000" w:themeColor="text1"/>
        </w:rPr>
        <w:t>recibos de nómina correspondientes del personal adscrito a la Dirección de Administración y la Tesorería Municipal, de la primera y segunda quincena de mayo del año 2025.</w:t>
      </w:r>
    </w:p>
    <w:p w:rsidR="00CC2598" w:rsidRPr="00453C03" w:rsidRDefault="00CC2598" w:rsidP="00453C03">
      <w:pPr>
        <w:tabs>
          <w:tab w:val="left" w:pos="0"/>
          <w:tab w:val="left" w:pos="567"/>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hAnsi="Palatino Linotype"/>
          <w:color w:val="000000" w:themeColor="text1"/>
        </w:rPr>
      </w:pPr>
      <w:bookmarkStart w:id="7" w:name="_heading=h.2s8eyo1" w:colFirst="0" w:colLast="0"/>
      <w:bookmarkEnd w:id="7"/>
      <w:r w:rsidRPr="00453C03">
        <w:rPr>
          <w:rFonts w:ascii="Palatino Linotype" w:eastAsia="Palatino Linotype" w:hAnsi="Palatino Linotype" w:cs="Palatino Linotype"/>
          <w:color w:val="000000" w:themeColor="text1"/>
        </w:rPr>
        <w:t xml:space="preserve">En efecto, el hecho de que </w:t>
      </w:r>
      <w:r w:rsidRPr="00453C03">
        <w:rPr>
          <w:rFonts w:ascii="Palatino Linotype" w:eastAsia="Palatino Linotype" w:hAnsi="Palatino Linotype" w:cs="Palatino Linotype"/>
          <w:b/>
          <w:bCs/>
          <w:color w:val="000000" w:themeColor="text1"/>
        </w:rPr>
        <w:t>EL SUJETO OBLIGADO</w:t>
      </w:r>
      <w:r w:rsidRPr="00453C03">
        <w:rPr>
          <w:rFonts w:ascii="Palatino Linotype" w:eastAsia="Palatino Linotype" w:hAnsi="Palatino Linotype" w:cs="Palatino Linotype"/>
          <w:color w:val="000000" w:themeColor="text1"/>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CC2598" w:rsidRPr="00453C03" w:rsidRDefault="00CD4D98" w:rsidP="00453C03">
      <w:pPr>
        <w:tabs>
          <w:tab w:val="left" w:pos="8505"/>
        </w:tabs>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w:t>
      </w:r>
      <w:r w:rsidRPr="00453C03">
        <w:rPr>
          <w:rFonts w:ascii="Palatino Linotype" w:eastAsia="Palatino Linotype" w:hAnsi="Palatino Linotype" w:cs="Palatino Linotype"/>
          <w:b/>
          <w:bCs/>
          <w:i/>
          <w:iCs/>
          <w:color w:val="000000" w:themeColor="text1"/>
        </w:rPr>
        <w:t>Artículo 12.</w:t>
      </w:r>
      <w:r w:rsidRPr="00453C03">
        <w:rPr>
          <w:rFonts w:ascii="Palatino Linotype" w:eastAsia="Palatino Linotype" w:hAnsi="Palatino Linotype" w:cs="Palatino Linotype"/>
          <w:i/>
          <w:iCs/>
          <w:color w:val="000000" w:themeColor="text1"/>
        </w:rPr>
        <w:t> Quienes generen, recopilen, administren, manejen, procesen, archiven o conserven información pública serán responsables de la misma en los términos de las disposiciones jurídicas aplicables.</w:t>
      </w:r>
    </w:p>
    <w:p w:rsidR="00CC2598" w:rsidRPr="00453C03" w:rsidRDefault="00CC2598" w:rsidP="00453C03">
      <w:pPr>
        <w:tabs>
          <w:tab w:val="left" w:pos="8505"/>
        </w:tabs>
        <w:jc w:val="both"/>
        <w:rPr>
          <w:rFonts w:ascii="Palatino Linotype" w:eastAsia="Palatino Linotype" w:hAnsi="Palatino Linotype" w:cs="Palatino Linotype"/>
          <w:i/>
          <w:iCs/>
          <w:color w:val="000000" w:themeColor="text1"/>
        </w:rPr>
      </w:pPr>
    </w:p>
    <w:p w:rsidR="00CC2598" w:rsidRPr="00453C03" w:rsidRDefault="00CD4D98" w:rsidP="00453C03">
      <w:pPr>
        <w:tabs>
          <w:tab w:val="left" w:pos="8505"/>
        </w:tabs>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i/>
          <w:iCs/>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C2598" w:rsidRPr="00453C03" w:rsidRDefault="00CD4D98" w:rsidP="00453C03">
      <w:pPr>
        <w:numPr>
          <w:ilvl w:val="0"/>
          <w:numId w:val="5"/>
        </w:numPr>
        <w:spacing w:line="360" w:lineRule="auto"/>
        <w:ind w:left="0" w:firstLine="0"/>
        <w:jc w:val="both"/>
        <w:rPr>
          <w:rFonts w:ascii="Palatino Linotype" w:hAnsi="Palatino Linotype"/>
          <w:color w:val="000000" w:themeColor="text1"/>
        </w:rPr>
      </w:pPr>
      <w:r w:rsidRPr="00453C03">
        <w:rPr>
          <w:rFonts w:ascii="Palatino Linotype" w:eastAsia="Palatino Linotype" w:hAnsi="Palatino Linotype" w:cs="Palatino Linotype"/>
          <w:color w:val="000000" w:themeColor="text1"/>
        </w:rPr>
        <w:lastRenderedPageBreak/>
        <w:t>Así, el estudio de la naturaleza jurídica de la información pública solicitada, tiene por objeto determinar si ésta la genera, posee o administra </w:t>
      </w:r>
      <w:r w:rsidRPr="00453C03">
        <w:rPr>
          <w:rFonts w:ascii="Palatino Linotype" w:eastAsia="Palatino Linotype" w:hAnsi="Palatino Linotype" w:cs="Palatino Linotype"/>
          <w:b/>
          <w:bCs/>
          <w:color w:val="000000" w:themeColor="text1"/>
        </w:rPr>
        <w:t>EL SUJETO OBLIGADO</w:t>
      </w:r>
      <w:r w:rsidRPr="00453C03">
        <w:rPr>
          <w:rFonts w:ascii="Palatino Linotype" w:eastAsia="Palatino Linotype" w:hAnsi="Palatino Linotype" w:cs="Palatino Linotype"/>
          <w:color w:val="000000" w:themeColor="text1"/>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CC2598" w:rsidRPr="00453C03" w:rsidRDefault="00CC2598" w:rsidP="00453C03">
      <w:pPr>
        <w:spacing w:line="360" w:lineRule="auto"/>
        <w:jc w:val="both"/>
        <w:rPr>
          <w:rFonts w:ascii="Palatino Linotype" w:hAnsi="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hAnsi="Palatino Linotype"/>
          <w:color w:val="000000" w:themeColor="text1"/>
        </w:rPr>
      </w:pPr>
      <w:r w:rsidRPr="00453C03">
        <w:rPr>
          <w:rFonts w:ascii="Palatino Linotype" w:eastAsia="Palatino Linotype" w:hAnsi="Palatino Linotype" w:cs="Palatino Linotype"/>
          <w:color w:val="000000" w:themeColor="text1"/>
        </w:rPr>
        <w:t xml:space="preserve">Ahora bien es de recordar que particular solicitó </w:t>
      </w:r>
      <w:r w:rsidRPr="00453C03">
        <w:rPr>
          <w:rFonts w:ascii="Palatino Linotype" w:eastAsia="Palatino Linotype" w:hAnsi="Palatino Linotype" w:cs="Palatino Linotype"/>
          <w:color w:val="000000" w:themeColor="text1"/>
          <w:u w:val="single"/>
        </w:rPr>
        <w:t>“</w:t>
      </w:r>
      <w:r w:rsidRPr="00453C03">
        <w:rPr>
          <w:rFonts w:ascii="Palatino Linotype" w:eastAsia="Palatino Linotype" w:hAnsi="Palatino Linotype" w:cs="Palatino Linotype"/>
          <w:i/>
          <w:iCs/>
          <w:color w:val="000000" w:themeColor="text1"/>
          <w:u w:val="single"/>
        </w:rPr>
        <w:t>Comprobantes de nómina de los Servidores Públicos que integran la Dirección de Administración y la Tesorería Municipal, de la primera y segunda quincena de mayo de 2025.”</w:t>
      </w:r>
      <w:r w:rsidRPr="00453C03">
        <w:rPr>
          <w:rFonts w:ascii="Palatino Linotype" w:eastAsia="Palatino Linotype" w:hAnsi="Palatino Linotype" w:cs="Palatino Linotype"/>
          <w:i/>
          <w:iCs/>
          <w:color w:val="000000" w:themeColor="text1"/>
        </w:rPr>
        <w:t xml:space="preserve"> </w:t>
      </w:r>
      <w:r w:rsidRPr="00453C03">
        <w:rPr>
          <w:rFonts w:ascii="Palatino Linotype" w:eastAsia="Palatino Linotype" w:hAnsi="Palatino Linotype" w:cs="Palatino Linotype"/>
          <w:color w:val="000000" w:themeColor="text1"/>
        </w:rPr>
        <w:t xml:space="preserve">de la falta de respuesta se interpuso el recurso de revisión, consecuentemente en informe justificado el Sujeto Obligado refirió a través de la Directora de Administración, remitir los </w:t>
      </w:r>
      <w:r w:rsidRPr="00453C03">
        <w:rPr>
          <w:rFonts w:ascii="Palatino Linotype" w:eastAsia="Palatino Linotype" w:hAnsi="Palatino Linotype" w:cs="Palatino Linotype"/>
          <w:b/>
          <w:bCs/>
          <w:i/>
          <w:iCs/>
          <w:color w:val="000000" w:themeColor="text1"/>
        </w:rPr>
        <w:t>recibos solicitados correspondientes del personal adscrito que engloban la Dirección de Administración y la Tesorería Municipal, de la primera y segunda quincena de mayo del año 2025.</w:t>
      </w: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En razón de lo anterior, el Sujeto Obligado ciertamente remitió recibos de nómina de </w:t>
      </w:r>
      <w:r w:rsidRPr="00453C03">
        <w:rPr>
          <w:rFonts w:ascii="Palatino Linotype" w:eastAsia="Palatino Linotype" w:hAnsi="Palatino Linotype" w:cs="Palatino Linotype"/>
          <w:b/>
          <w:bCs/>
          <w:color w:val="000000" w:themeColor="text1"/>
        </w:rPr>
        <w:t>la primera y segunda quincena de mayo del año 2025</w:t>
      </w:r>
      <w:r w:rsidRPr="00453C03">
        <w:rPr>
          <w:rFonts w:ascii="Palatino Linotype" w:eastAsia="Palatino Linotype" w:hAnsi="Palatino Linotype" w:cs="Palatino Linotype"/>
          <w:color w:val="000000" w:themeColor="text1"/>
        </w:rPr>
        <w:t>, mismos que se aprecian en versión pública, tal como se muestra en la imagen siguiente:</w:t>
      </w:r>
    </w:p>
    <w:p w:rsidR="00CC2598" w:rsidRDefault="00CD4D98" w:rsidP="00453C03">
      <w:pPr>
        <w:spacing w:line="360" w:lineRule="auto"/>
        <w:jc w:val="center"/>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noProof/>
          <w:color w:val="000000" w:themeColor="text1"/>
          <w:lang w:val="es-MX"/>
        </w:rPr>
        <w:lastRenderedPageBreak/>
        <w:drawing>
          <wp:inline distT="0" distB="0" distL="0" distR="0">
            <wp:extent cx="4606553" cy="24148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06553" cy="2414820"/>
                    </a:xfrm>
                    <a:prstGeom prst="rect">
                      <a:avLst/>
                    </a:prstGeom>
                    <a:ln/>
                  </pic:spPr>
                </pic:pic>
              </a:graphicData>
            </a:graphic>
          </wp:inline>
        </w:drawing>
      </w:r>
    </w:p>
    <w:p w:rsidR="00514BAE" w:rsidRPr="00453C03" w:rsidRDefault="00514BAE" w:rsidP="00453C03">
      <w:pPr>
        <w:spacing w:line="360" w:lineRule="auto"/>
        <w:jc w:val="center"/>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Asimismo anexó el Acta de la Décima Séptima Sesión Extraordinaria del Comité de Transparencia del Ayuntamiento de Ecatepec de Morelos, en la que se motiva y fundamenta la clasificación de los datos personales como RFC, Código QR, CURP, Cuenta de Banco (Cuenta bancaria), Número de seguridad social del Instituto de Seguridad y Servicios Sociales del Estado de México y Municipios, Deducciones; fundamentando la clasificación de manera toral en el artículo 142 fracción I, de la Ley de Transparencia y Acceso a la Información Pública del Estado de México y Municipios, mismo que señala:</w:t>
      </w:r>
    </w:p>
    <w:p w:rsidR="00CC2598" w:rsidRPr="00453C03" w:rsidRDefault="00CD4D98" w:rsidP="00453C03">
      <w:pPr>
        <w:tabs>
          <w:tab w:val="left" w:pos="8505"/>
        </w:tabs>
        <w:jc w:val="center"/>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t>De la Información Confidencial</w:t>
      </w:r>
    </w:p>
    <w:p w:rsidR="00CC2598" w:rsidRPr="00453C03" w:rsidRDefault="00CC2598" w:rsidP="00453C03">
      <w:pPr>
        <w:tabs>
          <w:tab w:val="left" w:pos="8505"/>
        </w:tabs>
        <w:jc w:val="center"/>
        <w:rPr>
          <w:rFonts w:ascii="Palatino Linotype" w:eastAsia="Palatino Linotype" w:hAnsi="Palatino Linotype" w:cs="Palatino Linotype"/>
          <w:i/>
          <w:iCs/>
          <w:color w:val="000000" w:themeColor="text1"/>
        </w:rPr>
      </w:pPr>
    </w:p>
    <w:p w:rsidR="00CC2598" w:rsidRPr="00453C03" w:rsidRDefault="00CD4D98" w:rsidP="00453C03">
      <w:pPr>
        <w:tabs>
          <w:tab w:val="left" w:pos="8505"/>
        </w:tabs>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Artículo 143</w:t>
      </w:r>
      <w:r w:rsidRPr="00453C03">
        <w:rPr>
          <w:rFonts w:ascii="Palatino Linotype" w:eastAsia="Palatino Linotype" w:hAnsi="Palatino Linotype" w:cs="Palatino Linotype"/>
          <w:i/>
          <w:iCs/>
          <w:color w:val="000000" w:themeColor="text1"/>
        </w:rPr>
        <w:t xml:space="preserve">. Para los efectos de esta Ley se considera </w:t>
      </w:r>
      <w:r w:rsidRPr="00453C03">
        <w:rPr>
          <w:rFonts w:ascii="Palatino Linotype" w:eastAsia="Palatino Linotype" w:hAnsi="Palatino Linotype" w:cs="Palatino Linotype"/>
          <w:b/>
          <w:bCs/>
          <w:i/>
          <w:iCs/>
          <w:color w:val="000000" w:themeColor="text1"/>
        </w:rPr>
        <w:t>información confidencial</w:t>
      </w:r>
      <w:r w:rsidRPr="00453C03">
        <w:rPr>
          <w:rFonts w:ascii="Palatino Linotype" w:eastAsia="Palatino Linotype" w:hAnsi="Palatino Linotype" w:cs="Palatino Linotype"/>
          <w:i/>
          <w:iCs/>
          <w:color w:val="000000" w:themeColor="text1"/>
        </w:rPr>
        <w:t xml:space="preserve">, la clasificada como tal, de manera permanente, por su naturaleza, cuando: </w:t>
      </w:r>
    </w:p>
    <w:p w:rsidR="00CC2598" w:rsidRPr="00453C03" w:rsidRDefault="00CC2598" w:rsidP="00453C03">
      <w:pPr>
        <w:tabs>
          <w:tab w:val="left" w:pos="8505"/>
        </w:tabs>
        <w:jc w:val="both"/>
        <w:rPr>
          <w:rFonts w:ascii="Palatino Linotype" w:eastAsia="Palatino Linotype" w:hAnsi="Palatino Linotype" w:cs="Palatino Linotype"/>
          <w:i/>
          <w:iCs/>
          <w:color w:val="000000" w:themeColor="text1"/>
        </w:rPr>
      </w:pPr>
    </w:p>
    <w:p w:rsidR="00CC2598" w:rsidRPr="00453C03" w:rsidRDefault="00CD4D98" w:rsidP="00453C03">
      <w:pPr>
        <w:tabs>
          <w:tab w:val="left" w:pos="8505"/>
        </w:tabs>
        <w:jc w:val="both"/>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t>I. Se refiera a la información privada y los datos personales concernientes a una persona física o jurídico colectiva identificada o identificable;</w:t>
      </w:r>
    </w:p>
    <w:p w:rsidR="00CC2598" w:rsidRPr="00453C03" w:rsidRDefault="00CD4D98" w:rsidP="00453C03">
      <w:pPr>
        <w:tabs>
          <w:tab w:val="left" w:pos="8505"/>
        </w:tabs>
        <w:jc w:val="both"/>
        <w:rPr>
          <w:rFonts w:ascii="Palatino Linotype" w:eastAsia="Palatino Linotype" w:hAnsi="Palatino Linotype" w:cs="Palatino Linotype"/>
          <w:b/>
          <w:bCs/>
          <w:i/>
          <w:iCs/>
          <w:color w:val="000000" w:themeColor="text1"/>
        </w:rPr>
      </w:pPr>
      <w:r w:rsidRPr="00453C03">
        <w:rPr>
          <w:rFonts w:ascii="Palatino Linotype" w:eastAsia="Palatino Linotype" w:hAnsi="Palatino Linotype" w:cs="Palatino Linotype"/>
          <w:b/>
          <w:bCs/>
          <w:i/>
          <w:iCs/>
          <w:color w:val="000000" w:themeColor="text1"/>
        </w:rPr>
        <w:t>…</w:t>
      </w:r>
    </w:p>
    <w:p w:rsidR="00CC2598" w:rsidRPr="00453C03" w:rsidRDefault="00CC2598" w:rsidP="00453C03">
      <w:pPr>
        <w:spacing w:line="360" w:lineRule="auto"/>
        <w:jc w:val="both"/>
        <w:rPr>
          <w:rFonts w:ascii="Palatino Linotype" w:eastAsia="Palatino Linotype" w:hAnsi="Palatino Linotype" w:cs="Palatino Linotype"/>
          <w:b/>
          <w:bCs/>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En razón de lo expuesto se debe de puntualizar que los recibos de nómina y/o comprobantes de pago de cualquier índole, contienen datos personales de los servidores </w:t>
      </w:r>
      <w:r w:rsidRPr="00453C03">
        <w:rPr>
          <w:rFonts w:ascii="Palatino Linotype" w:eastAsia="Palatino Linotype" w:hAnsi="Palatino Linotype" w:cs="Palatino Linotype"/>
          <w:color w:val="000000" w:themeColor="text1"/>
        </w:rPr>
        <w:lastRenderedPageBreak/>
        <w:t>públicos o empleados,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y la seguridad de dichas personas.</w:t>
      </w:r>
    </w:p>
    <w:p w:rsidR="00CC2598" w:rsidRPr="00453C03" w:rsidRDefault="00CC2598" w:rsidP="00453C03">
      <w:pPr>
        <w:tabs>
          <w:tab w:val="left" w:pos="284"/>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Por cuanto hace al </w:t>
      </w:r>
      <w:r w:rsidRPr="00453C03">
        <w:rPr>
          <w:rFonts w:ascii="Palatino Linotype" w:eastAsia="Palatino Linotype" w:hAnsi="Palatino Linotype" w:cs="Palatino Linotype"/>
          <w:b/>
          <w:bCs/>
          <w:color w:val="000000" w:themeColor="text1"/>
        </w:rPr>
        <w:t>Registro Federal de Contribuyentes (RFC),</w:t>
      </w:r>
      <w:r w:rsidRPr="00453C03">
        <w:rPr>
          <w:rFonts w:ascii="Palatino Linotype" w:eastAsia="Palatino Linotype" w:hAnsi="Palatino Linotype" w:cs="Palatino Linotype"/>
          <w:color w:val="000000" w:themeColor="text1"/>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CC2598" w:rsidRPr="00453C03" w:rsidRDefault="00CC2598" w:rsidP="00453C03">
      <w:pPr>
        <w:tabs>
          <w:tab w:val="left" w:pos="284"/>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CC2598" w:rsidRPr="00453C03" w:rsidRDefault="00CC2598" w:rsidP="00453C03">
      <w:pPr>
        <w:tabs>
          <w:tab w:val="left" w:pos="284"/>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lastRenderedPageBreak/>
        <w:t>Lo anterior es compartido por el entonces Instituto Federal de Acceso a la Información Pública y Protección de Datos Personales (IFAI) a través del Criterio orientador 19/17, el cual es del tenor literal siguiente:</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“Registro Federal de Contribuyentes (RFC) de personas físicas</w:t>
      </w:r>
      <w:r w:rsidRPr="00453C03">
        <w:rPr>
          <w:rFonts w:ascii="Palatino Linotype" w:eastAsia="Palatino Linotype" w:hAnsi="Palatino Linotype" w:cs="Palatino Linotype"/>
          <w:i/>
          <w:iCs/>
          <w:color w:val="000000" w:themeColor="text1"/>
        </w:rPr>
        <w:t>. El RFC es una clave de carácter fiscal, única e irrepetible, que permite identificar al titular, su edad y fecha de nacimiento, por lo que es un dato personal de carácter confidencial.”</w:t>
      </w:r>
    </w:p>
    <w:p w:rsidR="00CC2598" w:rsidRPr="00453C03" w:rsidRDefault="00CC2598" w:rsidP="00453C03">
      <w:pPr>
        <w:jc w:val="both"/>
        <w:rPr>
          <w:rFonts w:ascii="Palatino Linotype" w:eastAsia="Palatino Linotype" w:hAnsi="Palatino Linotype" w:cs="Palatino Linotype"/>
          <w:i/>
          <w:iCs/>
          <w:color w:val="000000" w:themeColor="text1"/>
        </w:rPr>
      </w:pPr>
    </w:p>
    <w:p w:rsidR="00CC2598" w:rsidRPr="00453C03" w:rsidRDefault="00CC2598" w:rsidP="00453C03">
      <w:pPr>
        <w:jc w:val="both"/>
        <w:rPr>
          <w:rFonts w:ascii="Palatino Linotype" w:eastAsia="Palatino Linotype" w:hAnsi="Palatino Linotype" w:cs="Palatino Linotype"/>
          <w:i/>
          <w:iCs/>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Así, el </w:t>
      </w:r>
      <w:r w:rsidRPr="00453C03">
        <w:rPr>
          <w:rFonts w:ascii="Palatino Linotype" w:eastAsia="Palatino Linotype" w:hAnsi="Palatino Linotype" w:cs="Palatino Linotype"/>
          <w:b/>
          <w:bCs/>
          <w:color w:val="000000" w:themeColor="text1"/>
        </w:rPr>
        <w:t>Registro Federal de Contribuyentes, RFC</w:t>
      </w:r>
      <w:r w:rsidRPr="00453C03">
        <w:rPr>
          <w:rFonts w:ascii="Palatino Linotype" w:eastAsia="Palatino Linotype" w:hAnsi="Palatino Linotype" w:cs="Palatino Linotype"/>
          <w:color w:val="000000" w:themeColor="text1"/>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CC2598" w:rsidRPr="00453C03" w:rsidRDefault="00CC2598" w:rsidP="00453C03">
      <w:pPr>
        <w:tabs>
          <w:tab w:val="left" w:pos="284"/>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De igual manera la </w:t>
      </w:r>
      <w:r w:rsidRPr="00453C03">
        <w:rPr>
          <w:rFonts w:ascii="Palatino Linotype" w:eastAsia="Palatino Linotype" w:hAnsi="Palatino Linotype" w:cs="Palatino Linotype"/>
          <w:b/>
          <w:bCs/>
          <w:color w:val="000000" w:themeColor="text1"/>
        </w:rPr>
        <w:t>Clave Única de Registro de Población (CURP),</w:t>
      </w:r>
      <w:r w:rsidRPr="00453C03">
        <w:rPr>
          <w:rFonts w:ascii="Palatino Linotype" w:eastAsia="Palatino Linotype" w:hAnsi="Palatino Linotype" w:cs="Palatino Linotype"/>
          <w:color w:val="000000" w:themeColor="text1"/>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CC2598" w:rsidRPr="00453C03" w:rsidRDefault="00CC2598" w:rsidP="00453C03">
      <w:pPr>
        <w:tabs>
          <w:tab w:val="left" w:pos="284"/>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lastRenderedPageBreak/>
        <w:t xml:space="preserve">Argumento que es compartido por el Instituto Nacional de Transparencia, Acceso a la Información y Protección de Datos Personales, INAI, conforme al criterio orientador 18/17, el cual refiere: </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 xml:space="preserve">“Clave Única de Registro de Población (CURP). </w:t>
      </w:r>
      <w:r w:rsidRPr="00453C03">
        <w:rPr>
          <w:rFonts w:ascii="Palatino Linotype" w:eastAsia="Palatino Linotype" w:hAnsi="Palatino Linotype" w:cs="Palatino Linotype"/>
          <w:i/>
          <w:iCs/>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C2598" w:rsidRDefault="00CC2598" w:rsidP="00453C03">
      <w:pPr>
        <w:jc w:val="both"/>
        <w:rPr>
          <w:rFonts w:ascii="Palatino Linotype" w:eastAsia="Palatino Linotype" w:hAnsi="Palatino Linotype" w:cs="Palatino Linotype"/>
          <w:i/>
          <w:iCs/>
          <w:color w:val="000000" w:themeColor="text1"/>
        </w:rPr>
      </w:pPr>
    </w:p>
    <w:p w:rsidR="00514BAE" w:rsidRPr="00453C03" w:rsidRDefault="00514BAE" w:rsidP="00453C03">
      <w:pPr>
        <w:jc w:val="both"/>
        <w:rPr>
          <w:rFonts w:ascii="Palatino Linotype" w:eastAsia="Palatino Linotype" w:hAnsi="Palatino Linotype" w:cs="Palatino Linotype"/>
          <w:i/>
          <w:iCs/>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Por cuanto hace a la </w:t>
      </w:r>
      <w:r w:rsidRPr="00453C03">
        <w:rPr>
          <w:rFonts w:ascii="Palatino Linotype" w:eastAsia="Palatino Linotype" w:hAnsi="Palatino Linotype" w:cs="Palatino Linotype"/>
          <w:b/>
          <w:bCs/>
          <w:color w:val="000000" w:themeColor="text1"/>
        </w:rPr>
        <w:t>Clave de cualquier tipo de seguridad social (ISSEMyM, u otros</w:t>
      </w:r>
      <w:r w:rsidRPr="00453C03">
        <w:rPr>
          <w:rFonts w:ascii="Palatino Linotype" w:eastAsia="Palatino Linotype" w:hAnsi="Palatino Linotype" w:cs="Palatino Linotype"/>
          <w:color w:val="000000" w:themeColor="text1"/>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C2598" w:rsidRPr="00453C03" w:rsidRDefault="00CC2598" w:rsidP="00453C03">
      <w:pPr>
        <w:tabs>
          <w:tab w:val="left" w:pos="284"/>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Respecto de los </w:t>
      </w:r>
      <w:r w:rsidRPr="00453C03">
        <w:rPr>
          <w:rFonts w:ascii="Palatino Linotype" w:eastAsia="Palatino Linotype" w:hAnsi="Palatino Linotype" w:cs="Palatino Linotype"/>
          <w:b/>
          <w:bCs/>
          <w:color w:val="000000" w:themeColor="text1"/>
        </w:rPr>
        <w:t>préstamos o descuentos de carácter personal</w:t>
      </w:r>
      <w:r w:rsidRPr="00453C03">
        <w:rPr>
          <w:rFonts w:ascii="Palatino Linotype" w:eastAsia="Palatino Linotype" w:hAnsi="Palatino Linotype" w:cs="Palatino Linotype"/>
          <w:color w:val="000000" w:themeColor="text1"/>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lastRenderedPageBreak/>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CC2598" w:rsidRPr="00453C03" w:rsidRDefault="00CC2598" w:rsidP="00453C03">
      <w:pPr>
        <w:tabs>
          <w:tab w:val="left" w:pos="284"/>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Sirven de sustento a lo anterior, las tesis jurisprudenciales P. LX/2000 y 2a. XLIII/2008 emitidas por el Peno y la Segunda Sala de la Suprema Corte de Justicia de la Nación, respectivamente, que son del tenor literal siguiente:</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 xml:space="preserve">“DERECHO A LA INFORMACIÓN. SU EJERCICIO SE ENCUENTRA LIMITADO TANTO POR LOS INTERESES NACIONALES Y DE LA SOCIEDAD, COMO POR LOS DERECHOS DE TERCEROS. </w:t>
      </w:r>
      <w:r w:rsidRPr="00453C03">
        <w:rPr>
          <w:rFonts w:ascii="Palatino Linotype" w:eastAsia="Palatino Linotype" w:hAnsi="Palatino Linotype" w:cs="Palatino Linotype"/>
          <w:i/>
          <w:iCs/>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453C03">
        <w:rPr>
          <w:rFonts w:ascii="Palatino Linotype" w:eastAsia="Palatino Linotype" w:hAnsi="Palatino Linotype" w:cs="Palatino Linotype"/>
          <w:b/>
          <w:bCs/>
          <w:i/>
          <w:iCs/>
          <w:color w:val="000000" w:themeColor="text1"/>
        </w:rPr>
        <w:t>restringen el acceso a la información en esta materia, en razón de que su conocimiento público puede generar daños a los intereses nacionales y, por el otro, sancionan la inobservancia de esa reserva</w:t>
      </w:r>
      <w:r w:rsidRPr="00453C03">
        <w:rPr>
          <w:rFonts w:ascii="Palatino Linotype" w:eastAsia="Palatino Linotype" w:hAnsi="Palatino Linotype" w:cs="Palatino Linotype"/>
          <w:i/>
          <w:iCs/>
          <w:color w:val="000000" w:themeColor="text1"/>
        </w:rPr>
        <w:t xml:space="preserve">; por lo que hace al interés social, se cuenta con normas que tienden a proteger la averiguación de los delitos, la salud y la moral públicas, </w:t>
      </w:r>
      <w:r w:rsidRPr="00453C03">
        <w:rPr>
          <w:rFonts w:ascii="Palatino Linotype" w:eastAsia="Palatino Linotype" w:hAnsi="Palatino Linotype" w:cs="Palatino Linotype"/>
          <w:b/>
          <w:bCs/>
          <w:i/>
          <w:iCs/>
          <w:color w:val="000000" w:themeColor="text1"/>
        </w:rPr>
        <w:t>mientras que por lo que respecta a la protección de la persona existen normas que protegen el derecho a la vida o a la privacidad de los gobernados</w:t>
      </w:r>
      <w:r w:rsidRPr="00453C03">
        <w:rPr>
          <w:rFonts w:ascii="Palatino Linotype" w:eastAsia="Palatino Linotype" w:hAnsi="Palatino Linotype" w:cs="Palatino Linotype"/>
          <w:i/>
          <w:iCs/>
          <w:color w:val="000000" w:themeColor="text1"/>
        </w:rPr>
        <w:t>.”</w:t>
      </w:r>
    </w:p>
    <w:p w:rsidR="00CC2598" w:rsidRPr="00453C03" w:rsidRDefault="00CC2598" w:rsidP="00453C03">
      <w:pPr>
        <w:jc w:val="both"/>
        <w:rPr>
          <w:rFonts w:ascii="Palatino Linotype" w:eastAsia="Palatino Linotype" w:hAnsi="Palatino Linotype" w:cs="Palatino Linotype"/>
          <w:i/>
          <w:iCs/>
          <w:color w:val="000000" w:themeColor="text1"/>
        </w:rPr>
      </w:pP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 xml:space="preserve">“TRANSPARENCIA Y ACCESO A LA INFORMACIÓN PÚBLICA GUBERNAMENTAL. EL ARTÍCULO 14, FRACCIÓN I, DE LA LEY FEDERAL RELATIVA, NO VIOLA LA GARANTÍA DE ACCESO A LA INFORMACIÓN. </w:t>
      </w:r>
      <w:r w:rsidRPr="00453C03">
        <w:rPr>
          <w:rFonts w:ascii="Palatino Linotype" w:eastAsia="Palatino Linotype" w:hAnsi="Palatino Linotype" w:cs="Palatino Linotype"/>
          <w:i/>
          <w:iCs/>
          <w:color w:val="000000" w:themeColor="text1"/>
        </w:rPr>
        <w:t xml:space="preserve">El Tribunal en Pleno de la Suprema Corte de Justicia de la Nación en la tesis P. LX/2000 de rubro: "DERECHO A LA INFORMACIÓN. SU </w:t>
      </w:r>
      <w:r w:rsidRPr="00453C03">
        <w:rPr>
          <w:rFonts w:ascii="Palatino Linotype" w:eastAsia="Palatino Linotype" w:hAnsi="Palatino Linotype" w:cs="Palatino Linotype"/>
          <w:i/>
          <w:iCs/>
          <w:color w:val="000000" w:themeColor="text1"/>
        </w:rPr>
        <w:lastRenderedPageBreak/>
        <w:t xml:space="preserve">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453C03">
        <w:rPr>
          <w:rFonts w:ascii="Palatino Linotype" w:eastAsia="Palatino Linotype" w:hAnsi="Palatino Linotype" w:cs="Palatino Linotype"/>
          <w:b/>
          <w:bCs/>
          <w:i/>
          <w:iCs/>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453C03">
        <w:rPr>
          <w:rFonts w:ascii="Palatino Linotype" w:eastAsia="Palatino Linotype" w:hAnsi="Palatino Linotype" w:cs="Palatino Linotype"/>
          <w:i/>
          <w:iCs/>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CC2598" w:rsidRPr="00453C03" w:rsidRDefault="00CC2598" w:rsidP="00453C03">
      <w:pPr>
        <w:jc w:val="both"/>
        <w:rPr>
          <w:rFonts w:ascii="Palatino Linotype" w:eastAsia="Palatino Linotype" w:hAnsi="Palatino Linotype" w:cs="Palatino Linotype"/>
          <w:i/>
          <w:iCs/>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También, el </w:t>
      </w:r>
      <w:r w:rsidRPr="00453C03">
        <w:rPr>
          <w:rFonts w:ascii="Palatino Linotype" w:eastAsia="Palatino Linotype" w:hAnsi="Palatino Linotype" w:cs="Palatino Linotype"/>
          <w:b/>
          <w:bCs/>
          <w:color w:val="000000" w:themeColor="text1"/>
        </w:rPr>
        <w:t>número de cuenta bancario</w:t>
      </w:r>
      <w:r w:rsidRPr="00453C03">
        <w:rPr>
          <w:rFonts w:ascii="Palatino Linotype" w:eastAsia="Palatino Linotype" w:hAnsi="Palatino Linotype" w:cs="Palatino Linotype"/>
          <w:color w:val="000000" w:themeColor="text1"/>
        </w:rPr>
        <w:t>, conforme al el Criterio orientador 10/17 emitido por el Pleno del Instituto Nacional de Transparencia, Acceso a la Información y Protección de Datos Personales se establece lo siguiente:</w:t>
      </w:r>
    </w:p>
    <w:p w:rsidR="00CC2598" w:rsidRPr="00453C03" w:rsidRDefault="00CD4D98" w:rsidP="00453C03">
      <w:pPr>
        <w:shd w:val="clear" w:color="auto" w:fill="FFFFFF"/>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w:t>
      </w:r>
      <w:r w:rsidRPr="00453C03">
        <w:rPr>
          <w:rFonts w:ascii="Palatino Linotype" w:eastAsia="Palatino Linotype" w:hAnsi="Palatino Linotype" w:cs="Palatino Linotype"/>
          <w:b/>
          <w:bCs/>
          <w:i/>
          <w:iCs/>
          <w:color w:val="000000" w:themeColor="text1"/>
        </w:rPr>
        <w:t>Cuentas bancarias y/o CLABE interbancaria de personas físicas y morales privadas.</w:t>
      </w:r>
      <w:r w:rsidRPr="00453C03">
        <w:rPr>
          <w:rFonts w:ascii="Palatino Linotype" w:eastAsia="Palatino Linotype" w:hAnsi="Palatino Linotype" w:cs="Palatino Linotype"/>
          <w:i/>
          <w:iCs/>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453C03">
        <w:rPr>
          <w:rFonts w:ascii="Palatino Linotype" w:eastAsia="Palatino Linotype" w:hAnsi="Palatino Linotype" w:cs="Palatino Linotype"/>
          <w:color w:val="000000" w:themeColor="text1"/>
        </w:rPr>
        <w:t>.”</w:t>
      </w:r>
    </w:p>
    <w:p w:rsidR="00CC2598" w:rsidRPr="00453C03" w:rsidRDefault="00CC2598" w:rsidP="00453C03">
      <w:pPr>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o </w:t>
      </w:r>
      <w:r w:rsidRPr="00453C03">
        <w:rPr>
          <w:rFonts w:ascii="Palatino Linotype" w:eastAsia="Palatino Linotype" w:hAnsi="Palatino Linotype" w:cs="Palatino Linotype"/>
          <w:color w:val="000000" w:themeColor="text1"/>
        </w:rPr>
        <w:lastRenderedPageBreak/>
        <w:t>empleado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El </w:t>
      </w:r>
      <w:r w:rsidRPr="00453C03">
        <w:rPr>
          <w:rFonts w:ascii="Palatino Linotype" w:eastAsia="Palatino Linotype" w:hAnsi="Palatino Linotype" w:cs="Palatino Linotype"/>
          <w:b/>
          <w:bCs/>
          <w:color w:val="000000" w:themeColor="text1"/>
        </w:rPr>
        <w:t>Código de barras bidimensional (QR</w:t>
      </w:r>
      <w:r w:rsidRPr="00453C03">
        <w:rPr>
          <w:rFonts w:ascii="Palatino Linotype" w:eastAsia="Palatino Linotype" w:hAnsi="Palatino Linotype" w:cs="Palatino Linotype"/>
          <w:color w:val="000000" w:themeColor="text1"/>
        </w:rPr>
        <w:t xml:space="preserve">),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Resolución Miscelánea Fiscal para 2022, localizada en la página electrónica  </w:t>
      </w:r>
      <w:hyperlink r:id="rId9">
        <w:r w:rsidRPr="00453C03">
          <w:rPr>
            <w:rFonts w:ascii="Palatino Linotype" w:eastAsia="Palatino Linotype" w:hAnsi="Palatino Linotype" w:cs="Palatino Linotype"/>
            <w:color w:val="000000" w:themeColor="text1"/>
            <w:u w:val="single"/>
          </w:rPr>
          <w:t>http://omawww.sat.gob.mx/tramitesyservicios/paginas/documentos/anexo20_2022.pdf</w:t>
        </w:r>
      </w:hyperlink>
      <w:r w:rsidRPr="00453C03">
        <w:rPr>
          <w:rFonts w:ascii="Palatino Linotype" w:eastAsia="Palatino Linotype" w:hAnsi="Palatino Linotype" w:cs="Palatino Linotype"/>
          <w:color w:val="000000" w:themeColor="text1"/>
        </w:rPr>
        <w:t xml:space="preserve"> . Incluso con la captura de dicho código, a través de la aplicación móvil del Servicio de Administración Tributaria, permite el acceso al Registro Federal de Contribuyentes, como del Sujeto Obligado, como de la persona física o moral correspondiente.</w:t>
      </w:r>
    </w:p>
    <w:p w:rsidR="00CC2598" w:rsidRPr="00453C03" w:rsidRDefault="00CC2598" w:rsidP="00453C03">
      <w:pPr>
        <w:tabs>
          <w:tab w:val="left" w:pos="284"/>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De tales circunstancias, se considera que </w:t>
      </w:r>
      <w:r w:rsidRPr="00453C03">
        <w:rPr>
          <w:rFonts w:ascii="Palatino Linotype" w:eastAsia="Palatino Linotype" w:hAnsi="Palatino Linotype" w:cs="Palatino Linotype"/>
          <w:b/>
          <w:bCs/>
          <w:color w:val="000000" w:themeColor="text1"/>
        </w:rPr>
        <w:t>se actualiza la causal de clasificación</w:t>
      </w:r>
      <w:r w:rsidRPr="00453C03">
        <w:rPr>
          <w:rFonts w:ascii="Palatino Linotype" w:eastAsia="Palatino Linotype" w:hAnsi="Palatino Linotype" w:cs="Palatino Linotype"/>
          <w:color w:val="000000" w:themeColor="text1"/>
        </w:rPr>
        <w:t xml:space="preserve"> prevista en el artículo 143, fracción I de la Ley de la materia, toda vez que el Registro Federal de Contribuyentes corresponde a los servidores públicos, pues como se señaló en párrafos anteriores el mismo hace identificable o identificada al mismo.</w:t>
      </w:r>
    </w:p>
    <w:p w:rsidR="00CC2598" w:rsidRPr="00453C03" w:rsidRDefault="00CC2598" w:rsidP="00453C03">
      <w:pPr>
        <w:tabs>
          <w:tab w:val="left" w:pos="284"/>
        </w:tabs>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Por otra parte y respecto a la </w:t>
      </w:r>
      <w:r w:rsidRPr="00453C03">
        <w:rPr>
          <w:rFonts w:ascii="Palatino Linotype" w:eastAsia="Palatino Linotype" w:hAnsi="Palatino Linotype" w:cs="Palatino Linotype"/>
          <w:b/>
          <w:bCs/>
          <w:color w:val="000000" w:themeColor="text1"/>
        </w:rPr>
        <w:t>clave de seguridad social y en su caso clave o número del servidor público –trabajador</w:t>
      </w:r>
      <w:r w:rsidRPr="00453C03">
        <w:rPr>
          <w:rFonts w:ascii="Palatino Linotype" w:eastAsia="Palatino Linotype" w:hAnsi="Palatino Linotype" w:cs="Palatino Linotype"/>
          <w:color w:val="000000" w:themeColor="text1"/>
        </w:rPr>
        <w:t xml:space="preserve">-, en virtud de que su divulgación no aporta a la transparencia o a la rendición de cuentas y sí provoca una transgresión a la vida privada e </w:t>
      </w:r>
      <w:r w:rsidRPr="00453C03">
        <w:rPr>
          <w:rFonts w:ascii="Palatino Linotype" w:eastAsia="Palatino Linotype" w:hAnsi="Palatino Linotype" w:cs="Palatino Linotype"/>
          <w:color w:val="000000" w:themeColor="text1"/>
        </w:rPr>
        <w:lastRenderedPageBreak/>
        <w:t>intimidad de la persona, esta información también resulta ser de carácter confidencial; siendo aplicable como orientador el criterio orientador número 15/10 emitido por el entonces Instituto Federal de Transparencia y Acceso a la Información (INAI), cuyo texto y sentido literal es el siguiente:</w:t>
      </w:r>
    </w:p>
    <w:p w:rsidR="00CC2598" w:rsidRPr="00453C03" w:rsidRDefault="00CD4D98" w:rsidP="00453C03">
      <w:pPr>
        <w:shd w:val="clear" w:color="auto" w:fill="FFFFFF"/>
        <w:tabs>
          <w:tab w:val="left" w:pos="7938"/>
        </w:tabs>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“El número de ficha de identificación única de los trabajadores es información de carácter confidencial.</w:t>
      </w:r>
      <w:r w:rsidRPr="00453C03">
        <w:rPr>
          <w:rFonts w:ascii="Palatino Linotype" w:eastAsia="Palatino Linotype" w:hAnsi="Palatino Linotype" w:cs="Palatino Linotype"/>
          <w:i/>
          <w:iCs/>
          <w:color w:val="000000" w:themeColor="text1"/>
        </w:rPr>
        <w:t> </w:t>
      </w:r>
      <w:r w:rsidRPr="00453C03">
        <w:rPr>
          <w:rFonts w:ascii="Palatino Linotype" w:eastAsia="Palatino Linotype" w:hAnsi="Palatino Linotype" w:cs="Palatino Linotype"/>
          <w:i/>
          <w:iCs/>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53C03">
        <w:rPr>
          <w:rFonts w:ascii="Palatino Linotype" w:eastAsia="Palatino Linotype" w:hAnsi="Palatino Linotype" w:cs="Palatino Linotype"/>
          <w:i/>
          <w:iCs/>
          <w:color w:val="000000" w:themeColor="text1"/>
        </w:rPr>
        <w:t>, </w:t>
      </w:r>
      <w:r w:rsidRPr="00453C03">
        <w:rPr>
          <w:rFonts w:ascii="Palatino Linotype" w:eastAsia="Palatino Linotype" w:hAnsi="Palatino Linotype" w:cs="Palatino Linotype"/>
          <w:i/>
          <w:iCs/>
          <w:color w:val="000000" w:themeColor="text1"/>
          <w:u w:val="single"/>
        </w:rPr>
        <w:t>dicha información es susceptible de clasificarse con el carácter de confidencial</w:t>
      </w:r>
      <w:r w:rsidRPr="00453C03">
        <w:rPr>
          <w:rFonts w:ascii="Palatino Linotype" w:eastAsia="Palatino Linotype" w:hAnsi="Palatino Linotype" w:cs="Palatino Linotype"/>
          <w:i/>
          <w:iCs/>
          <w:color w:val="000000" w:themeColor="text1"/>
        </w:rPr>
        <w:t>, en términos de lo establecido en el artículo 18, fracción II de la Ley Federal de Transparencia y Acceso a la Información Pública Gubernamental, en virtud de que a través de la misma es posible conocer información personal de su titular.”</w:t>
      </w: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Bajo tales condiciones, se considera que </w:t>
      </w:r>
      <w:r w:rsidRPr="00453C03">
        <w:rPr>
          <w:rFonts w:ascii="Palatino Linotype" w:eastAsia="Palatino Linotype" w:hAnsi="Palatino Linotype" w:cs="Palatino Linotype"/>
          <w:b/>
          <w:bCs/>
          <w:color w:val="000000" w:themeColor="text1"/>
        </w:rPr>
        <w:t>se actualiza la causal de clasificación</w:t>
      </w:r>
      <w:r w:rsidRPr="00453C03">
        <w:rPr>
          <w:rFonts w:ascii="Palatino Linotype" w:eastAsia="Palatino Linotype" w:hAnsi="Palatino Linotype" w:cs="Palatino Linotype"/>
          <w:color w:val="000000" w:themeColor="text1"/>
        </w:rPr>
        <w:t xml:space="preserve"> prevista en el artículo 143, fracción I de la Ley de la materia, toda vez que la </w:t>
      </w:r>
      <w:r w:rsidRPr="00453C03">
        <w:rPr>
          <w:rFonts w:ascii="Palatino Linotype" w:eastAsia="Palatino Linotype" w:hAnsi="Palatino Linotype" w:cs="Palatino Linotype"/>
          <w:b/>
          <w:bCs/>
          <w:color w:val="000000" w:themeColor="text1"/>
        </w:rPr>
        <w:t>clave de seguridad social y en su caso clave o número del servidor público –trabajador</w:t>
      </w:r>
      <w:r w:rsidRPr="00453C03">
        <w:rPr>
          <w:rFonts w:ascii="Palatino Linotype" w:eastAsia="Palatino Linotype" w:hAnsi="Palatino Linotype" w:cs="Palatino Linotype"/>
          <w:color w:val="000000" w:themeColor="text1"/>
        </w:rPr>
        <w:t>-, hace identificable o identificada al mismo.</w:t>
      </w:r>
    </w:p>
    <w:p w:rsidR="00CC2598" w:rsidRPr="00453C03" w:rsidRDefault="00CC2598" w:rsidP="00453C03">
      <w:pPr>
        <w:spacing w:line="360" w:lineRule="auto"/>
        <w:jc w:val="both"/>
        <w:rPr>
          <w:rFonts w:ascii="Palatino Linotype" w:eastAsia="Palatino Linotype" w:hAnsi="Palatino Linotype" w:cs="Palatino Linotype"/>
          <w:b/>
          <w:bCs/>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b/>
          <w:bCs/>
          <w:color w:val="000000" w:themeColor="text1"/>
        </w:rPr>
      </w:pPr>
      <w:bookmarkStart w:id="8" w:name="_heading=h.amvhtp5jmv18" w:colFirst="0" w:colLast="0"/>
      <w:bookmarkEnd w:id="8"/>
      <w:r w:rsidRPr="00453C03">
        <w:rPr>
          <w:rFonts w:ascii="Palatino Linotype" w:eastAsia="Palatino Linotype" w:hAnsi="Palatino Linotype" w:cs="Palatino Linotype"/>
          <w:color w:val="000000" w:themeColor="text1"/>
        </w:rPr>
        <w:t xml:space="preserve">Es así que este Organismo logra vislumbrar que 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 xml:space="preserve"> </w:t>
      </w:r>
      <w:r w:rsidRPr="00453C03">
        <w:rPr>
          <w:rFonts w:ascii="Palatino Linotype" w:eastAsia="Palatino Linotype" w:hAnsi="Palatino Linotype" w:cs="Palatino Linotype"/>
          <w:b/>
          <w:bCs/>
          <w:color w:val="000000" w:themeColor="text1"/>
        </w:rPr>
        <w:t>emitió el Acuerdo del Comité de Transparencia</w:t>
      </w:r>
      <w:r w:rsidRPr="00453C03">
        <w:rPr>
          <w:rFonts w:ascii="Palatino Linotype" w:eastAsia="Palatino Linotype" w:hAnsi="Palatino Linotype" w:cs="Palatino Linotype"/>
          <w:color w:val="000000" w:themeColor="text1"/>
        </w:rPr>
        <w:t xml:space="preserve">, mediante el cual de manera fundada y motivada señaló las razones que lo llevaron a testar, suprimir o eliminar datos de dicho soporte documental, </w:t>
      </w:r>
      <w:r w:rsidRPr="00453C03">
        <w:rPr>
          <w:rFonts w:ascii="Palatino Linotype" w:eastAsia="Palatino Linotype" w:hAnsi="Palatino Linotype" w:cs="Palatino Linotype"/>
          <w:b/>
          <w:bCs/>
          <w:color w:val="000000" w:themeColor="text1"/>
        </w:rPr>
        <w:t>cumpliendo con las formalidades establecidas en las disposiciones legales en la materia, remitiendo el soporte documental requerido en versión pública correcta.</w:t>
      </w:r>
    </w:p>
    <w:p w:rsidR="00CC2598" w:rsidRPr="00453C03" w:rsidRDefault="00CC2598" w:rsidP="00453C03">
      <w:pPr>
        <w:spacing w:line="360" w:lineRule="auto"/>
        <w:jc w:val="both"/>
        <w:rPr>
          <w:rFonts w:ascii="Palatino Linotype" w:eastAsia="Palatino Linotype" w:hAnsi="Palatino Linotype" w:cs="Palatino Linotype"/>
          <w:b/>
          <w:bCs/>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color w:val="000000" w:themeColor="text1"/>
        </w:rPr>
        <w:t xml:space="preserve">Por lo </w:t>
      </w:r>
      <w:r w:rsidR="00453C03" w:rsidRPr="00453C03">
        <w:rPr>
          <w:rFonts w:ascii="Palatino Linotype" w:eastAsia="Palatino Linotype" w:hAnsi="Palatino Linotype" w:cs="Palatino Linotype"/>
          <w:color w:val="000000" w:themeColor="text1"/>
        </w:rPr>
        <w:t>anterior resulta</w:t>
      </w:r>
      <w:r w:rsidRPr="00453C03">
        <w:rPr>
          <w:rFonts w:ascii="Palatino Linotype" w:eastAsia="Palatino Linotype" w:hAnsi="Palatino Linotype" w:cs="Palatino Linotype"/>
          <w:color w:val="000000" w:themeColor="text1"/>
        </w:rPr>
        <w:t xml:space="preserve"> necesario puntualizar con claridad que éste Órgano Protector del Derecho de Acceso a la Información no está facultado para pronunciarse sobre la </w:t>
      </w:r>
      <w:r w:rsidRPr="00453C03">
        <w:rPr>
          <w:rFonts w:ascii="Palatino Linotype" w:eastAsia="Palatino Linotype" w:hAnsi="Palatino Linotype" w:cs="Palatino Linotype"/>
          <w:color w:val="000000" w:themeColor="text1"/>
        </w:rPr>
        <w:lastRenderedPageBreak/>
        <w:t>veracidad de la información que los Sujetos Obligados ponen a disposición de los solicitantes; situación que se aleja de las atribuciones de este Instituto.</w:t>
      </w:r>
    </w:p>
    <w:p w:rsidR="00CC2598" w:rsidRPr="00453C03" w:rsidRDefault="00CC2598" w:rsidP="00453C03">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Así mismo,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w:t>
      </w:r>
      <w:r w:rsidRPr="00453C03">
        <w:rPr>
          <w:rFonts w:ascii="Palatino Linotype" w:eastAsia="Palatino Linotype" w:hAnsi="Palatino Linotype" w:cs="Palatino Linotype"/>
          <w:b/>
          <w:bCs/>
          <w:color w:val="000000" w:themeColor="text1"/>
        </w:rPr>
        <w:t>veracidad</w:t>
      </w:r>
      <w:r w:rsidRPr="00453C03">
        <w:rPr>
          <w:rFonts w:ascii="Palatino Linotype" w:eastAsia="Palatino Linotype" w:hAnsi="Palatino Linotype" w:cs="Palatino Linotype"/>
          <w:color w:val="000000" w:themeColor="text1"/>
        </w:rPr>
        <w:t>, oportunidad entre otros, numeral en comento que a la letra señala;</w:t>
      </w:r>
    </w:p>
    <w:p w:rsidR="00CC2598" w:rsidRPr="00453C03" w:rsidRDefault="00CD4D98" w:rsidP="00453C03">
      <w:pPr>
        <w:pBdr>
          <w:top w:val="nil"/>
          <w:left w:val="nil"/>
          <w:bottom w:val="nil"/>
          <w:right w:val="nil"/>
          <w:between w:val="nil"/>
        </w:pBdr>
        <w:jc w:val="both"/>
        <w:rPr>
          <w:rFonts w:ascii="Palatino Linotype" w:eastAsia="Palatino Linotype" w:hAnsi="Palatino Linotype" w:cs="Palatino Linotype"/>
          <w:b/>
          <w:bCs/>
          <w:i/>
          <w:iCs/>
          <w:color w:val="000000" w:themeColor="text1"/>
        </w:rPr>
      </w:pPr>
      <w:bookmarkStart w:id="9" w:name="_heading=h.yn9k4mw6a50a" w:colFirst="0" w:colLast="0"/>
      <w:bookmarkEnd w:id="9"/>
      <w:r w:rsidRPr="00453C03">
        <w:rPr>
          <w:rFonts w:ascii="Palatino Linotype" w:eastAsia="Palatino Linotype" w:hAnsi="Palatino Linotype" w:cs="Palatino Linotype"/>
          <w:b/>
          <w:bCs/>
          <w:i/>
          <w:iCs/>
          <w:color w:val="000000" w:themeColor="text1"/>
        </w:rPr>
        <w:t>Artículo 3</w:t>
      </w:r>
      <w:r w:rsidRPr="00453C03">
        <w:rPr>
          <w:rFonts w:ascii="Palatino Linotype" w:eastAsia="Palatino Linotype" w:hAnsi="Palatino Linotype" w:cs="Palatino Linotype"/>
          <w:i/>
          <w:iCs/>
          <w:color w:val="000000" w:themeColor="text1"/>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453C03">
        <w:rPr>
          <w:rFonts w:ascii="Palatino Linotype" w:eastAsia="Palatino Linotype" w:hAnsi="Palatino Linotype" w:cs="Palatino Linotype"/>
          <w:b/>
          <w:bCs/>
          <w:i/>
          <w:iCs/>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CC2598" w:rsidRPr="00453C03" w:rsidRDefault="00CC2598" w:rsidP="00453C03">
      <w:pPr>
        <w:spacing w:line="360" w:lineRule="auto"/>
        <w:jc w:val="both"/>
        <w:rPr>
          <w:rFonts w:ascii="Palatino Linotype" w:hAnsi="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Por lo anterior, éste Órgano Protector del Derecho de Acceso a la Información no está facultado para pronunciarse sobre la veracidad de la información que los Sujetos Obligados ponen a disposición de los solicitantes; situación que se aleja de las atribuciones de este Instituto.</w:t>
      </w: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Expuesto todo lo anterior, se presume que, al haber existido un pronunciamiento por parte del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 xml:space="preserve">, aún más de la unidad administrativa competente, se dio atención a las manifestaciones vertidas en el recurso de revisión, advirtiendo que el </w:t>
      </w:r>
      <w:r w:rsidRPr="00453C03">
        <w:rPr>
          <w:rFonts w:ascii="Palatino Linotype" w:eastAsia="Palatino Linotype" w:hAnsi="Palatino Linotype" w:cs="Palatino Linotype"/>
          <w:b/>
          <w:bCs/>
          <w:color w:val="000000" w:themeColor="text1"/>
        </w:rPr>
        <w:t xml:space="preserve">SUJETO OBLIGADO </w:t>
      </w:r>
      <w:r w:rsidRPr="00453C03">
        <w:rPr>
          <w:rFonts w:ascii="Palatino Linotype" w:eastAsia="Palatino Linotype" w:hAnsi="Palatino Linotype" w:cs="Palatino Linotype"/>
          <w:color w:val="000000" w:themeColor="text1"/>
        </w:rPr>
        <w:t>modificó su acto al pronunciarse en informe justificado sobre la información requerida.</w:t>
      </w: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lastRenderedPageBreak/>
        <w:t xml:space="preserve">Luego entonces, al haberse pronunciado en informe justificado proporcionando la información que da atención a la solicitud, resulta necesario invocar la fracción III, del artículo 192, de la </w:t>
      </w:r>
      <w:r w:rsidRPr="00453C03">
        <w:rPr>
          <w:rFonts w:ascii="Palatino Linotype" w:eastAsia="Palatino Linotype" w:hAnsi="Palatino Linotype" w:cs="Palatino Linotype"/>
          <w:b/>
          <w:bCs/>
          <w:color w:val="000000" w:themeColor="text1"/>
        </w:rPr>
        <w:t>Ley de Transparencia y Acceso a la Información Pública del Estado de México y Municipios</w:t>
      </w:r>
      <w:r w:rsidRPr="00453C03">
        <w:rPr>
          <w:rFonts w:ascii="Palatino Linotype" w:eastAsia="Palatino Linotype" w:hAnsi="Palatino Linotype" w:cs="Palatino Linotype"/>
          <w:color w:val="000000" w:themeColor="text1"/>
        </w:rPr>
        <w:t xml:space="preserve">, por contener la causal de sobreseimiento relativa a que el Sujeto Obligado </w:t>
      </w:r>
      <w:r w:rsidRPr="00453C03">
        <w:rPr>
          <w:rFonts w:ascii="Palatino Linotype" w:eastAsia="Palatino Linotype" w:hAnsi="Palatino Linotype" w:cs="Palatino Linotype"/>
          <w:b/>
          <w:bCs/>
          <w:color w:val="000000" w:themeColor="text1"/>
          <w:u w:val="single"/>
        </w:rPr>
        <w:t>modifique o revoque el acto</w:t>
      </w:r>
      <w:r w:rsidRPr="00453C03">
        <w:rPr>
          <w:rFonts w:ascii="Palatino Linotype" w:eastAsia="Palatino Linotype" w:hAnsi="Palatino Linotype" w:cs="Palatino Linotype"/>
          <w:color w:val="000000" w:themeColor="text1"/>
        </w:rPr>
        <w:t>; de ahí que la actualización de alguno de éstos trae como consecuencia que el medio de impugnación se concluya sin que se analice el objeto de estudio planteado, es decir se sobresea.</w:t>
      </w:r>
    </w:p>
    <w:p w:rsidR="00CC2598" w:rsidRPr="00453C03" w:rsidRDefault="00CC2598" w:rsidP="00453C03">
      <w:pPr>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Para los efectos de esta resolución, es oportuno precisar los alcances jurídicos de la fracción III de referencia, a saber:</w:t>
      </w:r>
    </w:p>
    <w:p w:rsidR="00CC2598" w:rsidRPr="00453C03" w:rsidRDefault="00CD4D98" w:rsidP="00453C0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b/>
          <w:bCs/>
          <w:color w:val="000000" w:themeColor="text1"/>
        </w:rPr>
        <w:t>Modifique el acto impugnado:</w:t>
      </w:r>
      <w:r w:rsidRPr="00453C03">
        <w:rPr>
          <w:rFonts w:ascii="Palatino Linotype" w:eastAsia="Palatino Linotype" w:hAnsi="Palatino Linotype" w:cs="Palatino Linotype"/>
          <w:color w:val="000000" w:themeColor="text1"/>
        </w:rPr>
        <w:t xml:space="preserve"> Se actualiza cuando 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 xml:space="preserve"> después de haber otorgado una respuesta y hasta antes de dictada la resolución del recurso de revisión, emite una diversa en la que subsane las deficiencias que hubiera tenido.</w:t>
      </w:r>
    </w:p>
    <w:p w:rsidR="00CC2598" w:rsidRPr="00453C03" w:rsidRDefault="00CD4D98" w:rsidP="00453C03">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b/>
          <w:bCs/>
          <w:color w:val="000000" w:themeColor="text1"/>
        </w:rPr>
        <w:t>Revoque el acto impugnado:</w:t>
      </w:r>
      <w:r w:rsidRPr="00453C03">
        <w:rPr>
          <w:rFonts w:ascii="Palatino Linotype" w:eastAsia="Palatino Linotype" w:hAnsi="Palatino Linotype" w:cs="Palatino Linotype"/>
          <w:color w:val="000000" w:themeColor="text1"/>
        </w:rPr>
        <w:t xml:space="preserve"> En este supuesto, 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 xml:space="preserve"> deja sin efectos la primera respuesta y en su lugar emite otra que satisfaga lo solicitado por el particular en un primer momento.</w:t>
      </w:r>
    </w:p>
    <w:p w:rsidR="00CC2598" w:rsidRPr="00453C03" w:rsidRDefault="00CC2598" w:rsidP="00453C03">
      <w:pPr>
        <w:pBdr>
          <w:top w:val="nil"/>
          <w:left w:val="nil"/>
          <w:bottom w:val="nil"/>
          <w:right w:val="nil"/>
          <w:between w:val="nil"/>
        </w:pBdr>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CC2598" w:rsidRPr="00453C03" w:rsidRDefault="00CC2598" w:rsidP="00453C03">
      <w:pPr>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 xml:space="preserve">En el presente asunto, este Pleno advierte que el Sujeto Obligado con la información precisada a través del informe de justificado, </w:t>
      </w:r>
      <w:r w:rsidRPr="00453C03">
        <w:rPr>
          <w:rFonts w:ascii="Palatino Linotype" w:eastAsia="Palatino Linotype" w:hAnsi="Palatino Linotype" w:cs="Palatino Linotype"/>
          <w:b/>
          <w:bCs/>
          <w:color w:val="000000" w:themeColor="text1"/>
        </w:rPr>
        <w:t>revoca</w:t>
      </w:r>
      <w:r w:rsidRPr="00453C03">
        <w:rPr>
          <w:rFonts w:ascii="Palatino Linotype" w:eastAsia="Palatino Linotype" w:hAnsi="Palatino Linotype" w:cs="Palatino Linotype"/>
          <w:color w:val="000000" w:themeColor="text1"/>
        </w:rPr>
        <w:t xml:space="preserve"> el acto que le dio origen al recurso de </w:t>
      </w:r>
      <w:r w:rsidRPr="00453C03">
        <w:rPr>
          <w:rFonts w:ascii="Palatino Linotype" w:eastAsia="Palatino Linotype" w:hAnsi="Palatino Linotype" w:cs="Palatino Linotype"/>
          <w:color w:val="000000" w:themeColor="text1"/>
        </w:rPr>
        <w:lastRenderedPageBreak/>
        <w:t>revisión, lo que trae como consecuencia que el mismo quede sin materia, actualizándose de este modo, la hipótesis jurídica contenida en la fracción III, del citado artículo 192.</w:t>
      </w:r>
    </w:p>
    <w:p w:rsidR="00CC2598" w:rsidRPr="00453C03" w:rsidRDefault="00CC2598" w:rsidP="00453C03">
      <w:pPr>
        <w:spacing w:line="360" w:lineRule="auto"/>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De este modo, cuando el Sujeto Obligado</w:t>
      </w:r>
      <w:r w:rsidRPr="00453C03">
        <w:rPr>
          <w:rFonts w:ascii="Palatino Linotype" w:eastAsia="Palatino Linotype" w:hAnsi="Palatino Linotype" w:cs="Palatino Linotype"/>
          <w:b/>
          <w:bCs/>
          <w:color w:val="000000" w:themeColor="text1"/>
        </w:rPr>
        <w:t xml:space="preserve">, </w:t>
      </w:r>
      <w:r w:rsidRPr="00453C03">
        <w:rPr>
          <w:rFonts w:ascii="Palatino Linotype" w:eastAsia="Palatino Linotype" w:hAnsi="Palatino Linotype" w:cs="Palatino Linotype"/>
          <w:color w:val="000000" w:themeColor="text1"/>
        </w:rPr>
        <w:t>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controversia planteada, debido a que la afectación en su esfera de derechos fue restituida por la propia autoridad que emitió el acto motivo de impugnación.</w:t>
      </w:r>
    </w:p>
    <w:p w:rsidR="00CC2598" w:rsidRPr="00453C03" w:rsidRDefault="00CC2598" w:rsidP="00453C03">
      <w:pPr>
        <w:spacing w:line="360" w:lineRule="auto"/>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Sirve de sustento a lo anterior la siguiente jurisprudencia por contradicción, cuyo rubro, texto y datos de identificación son los siguientes:</w:t>
      </w:r>
    </w:p>
    <w:p w:rsidR="00CC2598" w:rsidRPr="00453C03" w:rsidRDefault="00CD4D98" w:rsidP="00453C03">
      <w:pPr>
        <w:jc w:val="both"/>
        <w:rPr>
          <w:rFonts w:ascii="Palatino Linotype" w:eastAsia="Palatino Linotype" w:hAnsi="Palatino Linotype" w:cs="Palatino Linotype"/>
          <w:i/>
          <w:iCs/>
          <w:color w:val="000000" w:themeColor="text1"/>
        </w:rPr>
      </w:pPr>
      <w:r w:rsidRPr="00453C03">
        <w:rPr>
          <w:rFonts w:ascii="Palatino Linotype" w:eastAsia="Palatino Linotype" w:hAnsi="Palatino Linotype" w:cs="Palatino Linotype"/>
          <w:b/>
          <w:bCs/>
          <w:i/>
          <w:iCs/>
          <w:color w:val="000000" w:themeColor="text1"/>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453C03">
        <w:rPr>
          <w:rFonts w:ascii="Palatino Linotype" w:eastAsia="Palatino Linotype" w:hAnsi="Palatino Linotype" w:cs="Palatino Linotype"/>
          <w:i/>
          <w:iCs/>
          <w:color w:val="000000" w:themeColor="text1"/>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lastRenderedPageBreak/>
        <w:t>La anterior jurisprudencia resulta aplicable al presente asunto, en dos aspectos:</w:t>
      </w:r>
    </w:p>
    <w:p w:rsidR="00CC2598" w:rsidRPr="00453C03" w:rsidRDefault="00CD4D98" w:rsidP="00453C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b/>
          <w:bCs/>
          <w:color w:val="000000" w:themeColor="text1"/>
        </w:rPr>
        <w:t>La cesación de los efectos perniciosos del acto de autoridad:</w:t>
      </w:r>
      <w:r w:rsidRPr="00453C03">
        <w:rPr>
          <w:rFonts w:ascii="Palatino Linotype" w:eastAsia="Palatino Linotype" w:hAnsi="Palatino Linotype" w:cs="Palatino Linotype"/>
          <w:color w:val="000000" w:themeColor="text1"/>
        </w:rPr>
        <w:t xml:space="preserve"> Al respecto, la Ley de Transparencia contempla la figura jurídica del sobreseimiento cuando 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 xml:space="preserve"> de </w:t>
      </w:r>
      <w:r w:rsidRPr="00453C03">
        <w:rPr>
          <w:rFonts w:ascii="Palatino Linotype" w:eastAsia="Palatino Linotype" w:hAnsi="Palatino Linotype" w:cs="Palatino Linotype"/>
          <w:i/>
          <w:iCs/>
          <w:color w:val="000000" w:themeColor="text1"/>
        </w:rPr>
        <w:t>motu proprio</w:t>
      </w:r>
      <w:r w:rsidRPr="00453C03">
        <w:rPr>
          <w:rFonts w:ascii="Palatino Linotype" w:eastAsia="Palatino Linotype" w:hAnsi="Palatino Linotype" w:cs="Palatino Linotype"/>
          <w:color w:val="000000" w:themeColor="text1"/>
        </w:rPr>
        <w:t xml:space="preserve"> modifica o revoca de tal manera el acto motivo de la impugnación que lo deja sin materia; es decir, cesan los efectos de éste y el derecho de acceso a la información pública se encuentra satisfecho.</w:t>
      </w:r>
    </w:p>
    <w:p w:rsidR="00CC2598" w:rsidRPr="00453C03" w:rsidRDefault="00CD4D98" w:rsidP="00453C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b/>
          <w:bCs/>
          <w:color w:val="000000" w:themeColor="text1"/>
        </w:rPr>
        <w:t>El momento procesal para modificar el acto impugnado:</w:t>
      </w:r>
      <w:r w:rsidRPr="00453C03">
        <w:rPr>
          <w:rFonts w:ascii="Palatino Linotype" w:eastAsia="Palatino Linotype" w:hAnsi="Palatino Linotype" w:cs="Palatino Linotype"/>
          <w:color w:val="000000" w:themeColor="text1"/>
        </w:rPr>
        <w:t xml:space="preserve"> Para que se actualice el sobreseimiento de un recurso de revisión, el </w:t>
      </w:r>
      <w:r w:rsidRPr="00453C03">
        <w:rPr>
          <w:rFonts w:ascii="Palatino Linotype" w:eastAsia="Palatino Linotype" w:hAnsi="Palatino Linotype" w:cs="Palatino Linotype"/>
          <w:b/>
          <w:bCs/>
          <w:color w:val="000000" w:themeColor="text1"/>
        </w:rPr>
        <w:t>SUJETO OBLIGADO</w:t>
      </w:r>
      <w:r w:rsidRPr="00453C03">
        <w:rPr>
          <w:rFonts w:ascii="Palatino Linotype" w:eastAsia="Palatino Linotype" w:hAnsi="Palatino Linotype" w:cs="Palatino Linotype"/>
          <w:color w:val="000000" w:themeColor="text1"/>
        </w:rPr>
        <w:t xml:space="preserve"> puede entregar o completar la información al momento de rendir su informe de justificación o </w:t>
      </w:r>
      <w:r w:rsidRPr="00453C03">
        <w:rPr>
          <w:rFonts w:ascii="Palatino Linotype" w:eastAsia="Palatino Linotype" w:hAnsi="Palatino Linotype" w:cs="Palatino Linotype"/>
          <w:b/>
          <w:bCs/>
          <w:color w:val="000000" w:themeColor="text1"/>
          <w:u w:val="single"/>
        </w:rPr>
        <w:t>posteriormente</w:t>
      </w:r>
      <w:r w:rsidRPr="00453C03">
        <w:rPr>
          <w:rFonts w:ascii="Palatino Linotype" w:eastAsia="Palatino Linotype" w:hAnsi="Palatino Linotype" w:cs="Palatino Linotype"/>
          <w:color w:val="000000" w:themeColor="text1"/>
        </w:rPr>
        <w:t xml:space="preserve"> a éste, siempre y cuando el Pleno del Instituto no haya dictado resolución definitiva.</w:t>
      </w: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numPr>
          <w:ilvl w:val="0"/>
          <w:numId w:val="5"/>
        </w:numPr>
        <w:spacing w:line="360" w:lineRule="auto"/>
        <w:ind w:left="0" w:firstLine="0"/>
        <w:jc w:val="both"/>
        <w:rPr>
          <w:rFonts w:ascii="Palatino Linotype" w:eastAsia="Palatino Linotype" w:hAnsi="Palatino Linotype" w:cs="Palatino Linotype"/>
          <w:b/>
          <w:bCs/>
          <w:color w:val="000000" w:themeColor="text1"/>
          <w:u w:val="single"/>
        </w:rPr>
      </w:pPr>
      <w:r w:rsidRPr="00453C03">
        <w:rPr>
          <w:rFonts w:ascii="Palatino Linotype" w:eastAsia="Palatino Linotype" w:hAnsi="Palatino Linotype" w:cs="Palatino Linotype"/>
          <w:color w:val="000000" w:themeColor="text1"/>
        </w:rPr>
        <w:t xml:space="preserve">Bajo ese tenor con fundamento en la segunda hipótesis de la fracción I, del artículo 186, de la Ley de Transparencia y Acceso a la Información Pública del Estado de México y Municipios, se </w:t>
      </w:r>
      <w:r w:rsidRPr="00453C03">
        <w:rPr>
          <w:rFonts w:ascii="Palatino Linotype" w:eastAsia="Palatino Linotype" w:hAnsi="Palatino Linotype" w:cs="Palatino Linotype"/>
          <w:b/>
          <w:bCs/>
          <w:color w:val="000000" w:themeColor="text1"/>
        </w:rPr>
        <w:t xml:space="preserve">Sobresee </w:t>
      </w:r>
      <w:r w:rsidRPr="00453C03">
        <w:rPr>
          <w:rFonts w:ascii="Palatino Linotype" w:eastAsia="Palatino Linotype" w:hAnsi="Palatino Linotype" w:cs="Palatino Linotype"/>
          <w:color w:val="000000" w:themeColor="text1"/>
        </w:rPr>
        <w:t xml:space="preserve">el recurso de revisión </w:t>
      </w:r>
      <w:r w:rsidRPr="00453C03">
        <w:rPr>
          <w:rFonts w:ascii="Palatino Linotype" w:eastAsia="Palatino Linotype" w:hAnsi="Palatino Linotype" w:cs="Palatino Linotype"/>
          <w:b/>
          <w:bCs/>
          <w:color w:val="000000" w:themeColor="text1"/>
        </w:rPr>
        <w:t>01378/INFOEM/IP/RR/2025</w:t>
      </w:r>
      <w:r w:rsidRPr="00453C03">
        <w:rPr>
          <w:rFonts w:ascii="Palatino Linotype" w:eastAsia="Palatino Linotype" w:hAnsi="Palatino Linotype" w:cs="Palatino Linotype"/>
          <w:color w:val="000000" w:themeColor="text1"/>
        </w:rPr>
        <w:t>, que ha sido materia del presente fallo.</w:t>
      </w:r>
    </w:p>
    <w:p w:rsidR="00CC2598" w:rsidRPr="00453C03" w:rsidRDefault="00CC2598" w:rsidP="00453C03">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CC2598" w:rsidRDefault="00CD4D98" w:rsidP="00453C03">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Por lo expuesto, y con fundamento en lo prescrito en los artículos 5, párrafos trigésimo noveno, cuadragésimo y cuadragésimo primero, fracciones IV y V, de la Constitución Política del Estado Libre y Soberano de México; 2, fracción II; 29, 36 fracciones I y II; 176, 178, 179, 181 y 185 de la Ley de Transparencia y Acceso a la Información Pública del Estado de México y Municipios, este Pleno:</w:t>
      </w:r>
      <w:r w:rsidR="00514BAE">
        <w:rPr>
          <w:rFonts w:ascii="Palatino Linotype" w:eastAsia="Palatino Linotype" w:hAnsi="Palatino Linotype" w:cs="Palatino Linotype"/>
          <w:color w:val="000000" w:themeColor="text1"/>
        </w:rPr>
        <w:t xml:space="preserve"> ---------------------------------------------------------</w:t>
      </w:r>
    </w:p>
    <w:p w:rsidR="00453C03" w:rsidRDefault="00453C03" w:rsidP="00453C03">
      <w:pPr>
        <w:spacing w:line="360" w:lineRule="auto"/>
        <w:jc w:val="both"/>
        <w:rPr>
          <w:rFonts w:ascii="Palatino Linotype" w:eastAsia="Palatino Linotype" w:hAnsi="Palatino Linotype" w:cs="Palatino Linotype"/>
          <w:color w:val="000000" w:themeColor="text1"/>
        </w:rPr>
      </w:pPr>
    </w:p>
    <w:p w:rsidR="00453C03" w:rsidRPr="00453C03" w:rsidRDefault="00453C03" w:rsidP="00453C03">
      <w:pPr>
        <w:spacing w:line="360" w:lineRule="auto"/>
        <w:jc w:val="both"/>
        <w:rPr>
          <w:rFonts w:ascii="Palatino Linotype" w:eastAsia="Palatino Linotype" w:hAnsi="Palatino Linotype" w:cs="Palatino Linotype"/>
          <w:color w:val="000000" w:themeColor="text1"/>
        </w:rPr>
      </w:pPr>
    </w:p>
    <w:p w:rsidR="00CC2598" w:rsidRPr="00453C03" w:rsidRDefault="00CD4D98" w:rsidP="00453C03">
      <w:pPr>
        <w:spacing w:line="360" w:lineRule="auto"/>
        <w:jc w:val="center"/>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b/>
          <w:bCs/>
          <w:color w:val="000000" w:themeColor="text1"/>
        </w:rPr>
        <w:lastRenderedPageBreak/>
        <w:t>R E S U E L V E</w:t>
      </w:r>
    </w:p>
    <w:p w:rsidR="00CC2598" w:rsidRPr="00453C03" w:rsidRDefault="00CC2598" w:rsidP="00453C03">
      <w:pPr>
        <w:spacing w:line="360" w:lineRule="auto"/>
        <w:jc w:val="center"/>
        <w:rPr>
          <w:rFonts w:ascii="Palatino Linotype" w:eastAsia="Palatino Linotype" w:hAnsi="Palatino Linotype" w:cs="Palatino Linotype"/>
          <w:b/>
          <w:bCs/>
          <w:color w:val="000000" w:themeColor="text1"/>
        </w:rPr>
      </w:pPr>
    </w:p>
    <w:p w:rsidR="00CC2598" w:rsidRPr="00453C03" w:rsidRDefault="00CD4D98" w:rsidP="00453C03">
      <w:pPr>
        <w:spacing w:line="360" w:lineRule="auto"/>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b/>
          <w:bCs/>
          <w:color w:val="000000" w:themeColor="text1"/>
        </w:rPr>
        <w:t>PRIMERO</w:t>
      </w:r>
      <w:r w:rsidRPr="00453C03">
        <w:rPr>
          <w:rFonts w:ascii="Palatino Linotype" w:eastAsia="Palatino Linotype" w:hAnsi="Palatino Linotype" w:cs="Palatino Linotype"/>
          <w:color w:val="000000" w:themeColor="text1"/>
        </w:rPr>
        <w:t xml:space="preserve">. Se </w:t>
      </w:r>
      <w:r w:rsidRPr="00453C03">
        <w:rPr>
          <w:rFonts w:ascii="Palatino Linotype" w:eastAsia="Palatino Linotype" w:hAnsi="Palatino Linotype" w:cs="Palatino Linotype"/>
          <w:b/>
          <w:bCs/>
          <w:color w:val="000000" w:themeColor="text1"/>
        </w:rPr>
        <w:t>SOBRESEE</w:t>
      </w:r>
      <w:r w:rsidRPr="00453C03">
        <w:rPr>
          <w:rFonts w:ascii="Palatino Linotype" w:eastAsia="Palatino Linotype" w:hAnsi="Palatino Linotype" w:cs="Palatino Linotype"/>
          <w:color w:val="000000" w:themeColor="text1"/>
        </w:rPr>
        <w:t xml:space="preserve"> el Recurso de Revisión número </w:t>
      </w:r>
      <w:r w:rsidRPr="00453C03">
        <w:rPr>
          <w:rFonts w:ascii="Palatino Linotype" w:eastAsia="Palatino Linotype" w:hAnsi="Palatino Linotype" w:cs="Palatino Linotype"/>
          <w:b/>
          <w:bCs/>
          <w:color w:val="000000" w:themeColor="text1"/>
        </w:rPr>
        <w:t>07418/INFOEM/IP/RR/2025</w:t>
      </w:r>
      <w:r w:rsidRPr="00453C03">
        <w:rPr>
          <w:rFonts w:ascii="Palatino Linotype" w:eastAsia="Palatino Linotype" w:hAnsi="Palatino Linotype" w:cs="Palatino Linotype"/>
          <w:color w:val="000000" w:themeColor="text1"/>
        </w:rPr>
        <w:t xml:space="preserve">, conforme al artículo 192, fracción III, de la Ley de la Materia, porque al revocar el acto que dio origen al presente medio de impugnación, el Recurso de Revisión quedó sin materia en términos del  </w:t>
      </w:r>
      <w:r w:rsidRPr="00453C03">
        <w:rPr>
          <w:rFonts w:ascii="Palatino Linotype" w:eastAsia="Palatino Linotype" w:hAnsi="Palatino Linotype" w:cs="Palatino Linotype"/>
          <w:b/>
          <w:bCs/>
          <w:color w:val="000000" w:themeColor="text1"/>
        </w:rPr>
        <w:t>Considerando Cuarto</w:t>
      </w:r>
      <w:r w:rsidRPr="00453C03">
        <w:rPr>
          <w:rFonts w:ascii="Palatino Linotype" w:eastAsia="Palatino Linotype" w:hAnsi="Palatino Linotype" w:cs="Palatino Linotype"/>
          <w:color w:val="000000" w:themeColor="text1"/>
        </w:rPr>
        <w:t xml:space="preserve"> de la presente resolución.</w:t>
      </w:r>
    </w:p>
    <w:p w:rsidR="00CC2598" w:rsidRPr="00453C03" w:rsidRDefault="00CC2598" w:rsidP="00453C03">
      <w:pPr>
        <w:spacing w:line="360" w:lineRule="auto"/>
        <w:jc w:val="both"/>
        <w:rPr>
          <w:rFonts w:ascii="Palatino Linotype" w:eastAsia="Palatino Linotype" w:hAnsi="Palatino Linotype" w:cs="Palatino Linotype"/>
          <w:b/>
          <w:bCs/>
          <w:color w:val="000000" w:themeColor="text1"/>
        </w:rPr>
      </w:pPr>
    </w:p>
    <w:p w:rsidR="00CC2598" w:rsidRPr="00453C03" w:rsidRDefault="00CD4D98" w:rsidP="00453C03">
      <w:pPr>
        <w:spacing w:line="360" w:lineRule="auto"/>
        <w:jc w:val="both"/>
        <w:rPr>
          <w:rFonts w:ascii="Palatino Linotype" w:eastAsia="Palatino Linotype" w:hAnsi="Palatino Linotype" w:cs="Palatino Linotype"/>
          <w:color w:val="000000" w:themeColor="text1"/>
          <w:highlight w:val="white"/>
        </w:rPr>
      </w:pPr>
      <w:r w:rsidRPr="00453C03">
        <w:rPr>
          <w:rFonts w:ascii="Palatino Linotype" w:eastAsia="Palatino Linotype" w:hAnsi="Palatino Linotype" w:cs="Palatino Linotype"/>
          <w:b/>
          <w:bCs/>
          <w:color w:val="000000" w:themeColor="text1"/>
        </w:rPr>
        <w:t xml:space="preserve">SEGUNDO. Notifíquese </w:t>
      </w:r>
      <w:r w:rsidRPr="00453C03">
        <w:rPr>
          <w:rFonts w:ascii="Palatino Linotype" w:eastAsia="Palatino Linotype" w:hAnsi="Palatino Linotype" w:cs="Palatino Linotype"/>
          <w:color w:val="000000" w:themeColor="text1"/>
        </w:rPr>
        <w:t xml:space="preserve">al Titular de la Unidad de Transparencia del </w:t>
      </w:r>
      <w:r w:rsidRPr="00453C03">
        <w:rPr>
          <w:rFonts w:ascii="Palatino Linotype" w:eastAsia="Palatino Linotype" w:hAnsi="Palatino Linotype" w:cs="Palatino Linotype"/>
          <w:b/>
          <w:bCs/>
          <w:color w:val="000000" w:themeColor="text1"/>
        </w:rPr>
        <w:t xml:space="preserve">SUJETO OBLIGADO </w:t>
      </w:r>
      <w:r w:rsidRPr="00453C03">
        <w:rPr>
          <w:rFonts w:ascii="Palatino Linotype" w:eastAsia="Palatino Linotype" w:hAnsi="Palatino Linotype" w:cs="Palatino Linotype"/>
          <w:color w:val="000000" w:themeColor="text1"/>
        </w:rPr>
        <w:t>vía SAIMEX, para su conocimiento</w:t>
      </w:r>
      <w:r w:rsidRPr="00453C03">
        <w:rPr>
          <w:rFonts w:ascii="Palatino Linotype" w:eastAsia="Palatino Linotype" w:hAnsi="Palatino Linotype" w:cs="Palatino Linotype"/>
          <w:color w:val="000000" w:themeColor="text1"/>
          <w:highlight w:val="white"/>
        </w:rPr>
        <w:t>.</w:t>
      </w:r>
    </w:p>
    <w:p w:rsidR="00CC2598" w:rsidRPr="00453C03" w:rsidRDefault="00CC2598" w:rsidP="00453C03">
      <w:pPr>
        <w:shd w:val="clear" w:color="auto" w:fill="FFFFFF"/>
        <w:spacing w:line="360" w:lineRule="auto"/>
        <w:jc w:val="both"/>
        <w:rPr>
          <w:rFonts w:ascii="Palatino Linotype" w:eastAsia="Palatino Linotype" w:hAnsi="Palatino Linotype" w:cs="Palatino Linotype"/>
          <w:color w:val="000000" w:themeColor="text1"/>
          <w:highlight w:val="white"/>
        </w:rPr>
      </w:pPr>
    </w:p>
    <w:p w:rsidR="00CC2598" w:rsidRPr="00453C03" w:rsidRDefault="00CD4D98" w:rsidP="00453C03">
      <w:pPr>
        <w:spacing w:line="360" w:lineRule="auto"/>
        <w:jc w:val="both"/>
        <w:rPr>
          <w:rFonts w:ascii="Palatino Linotype" w:eastAsia="Palatino Linotype" w:hAnsi="Palatino Linotype" w:cs="Palatino Linotype"/>
          <w:color w:val="000000" w:themeColor="text1"/>
          <w:highlight w:val="white"/>
        </w:rPr>
      </w:pPr>
      <w:r w:rsidRPr="00453C03">
        <w:rPr>
          <w:rFonts w:ascii="Palatino Linotype" w:eastAsia="Palatino Linotype" w:hAnsi="Palatino Linotype" w:cs="Palatino Linotype"/>
          <w:b/>
          <w:bCs/>
          <w:color w:val="000000" w:themeColor="text1"/>
        </w:rPr>
        <w:t xml:space="preserve">TERCERO. Notifíquese </w:t>
      </w:r>
      <w:r w:rsidRPr="00453C03">
        <w:rPr>
          <w:rFonts w:ascii="Palatino Linotype" w:eastAsia="Palatino Linotype" w:hAnsi="Palatino Linotype" w:cs="Palatino Linotype"/>
          <w:color w:val="000000" w:themeColor="text1"/>
        </w:rPr>
        <w:t xml:space="preserve">a </w:t>
      </w:r>
      <w:r w:rsidRPr="00453C03">
        <w:rPr>
          <w:rFonts w:ascii="Palatino Linotype" w:eastAsia="Palatino Linotype" w:hAnsi="Palatino Linotype" w:cs="Palatino Linotype"/>
          <w:b/>
          <w:bCs/>
          <w:color w:val="000000" w:themeColor="text1"/>
        </w:rPr>
        <w:t>EL RECURRENTE</w:t>
      </w:r>
      <w:r w:rsidRPr="00453C03">
        <w:rPr>
          <w:rFonts w:ascii="Palatino Linotype" w:eastAsia="Palatino Linotype" w:hAnsi="Palatino Linotype" w:cs="Palatino Linotype"/>
          <w:color w:val="000000" w:themeColor="text1"/>
        </w:rPr>
        <w:t xml:space="preserve"> la presente resolución vía SAIMEX</w:t>
      </w:r>
      <w:r w:rsidRPr="00453C03">
        <w:rPr>
          <w:rFonts w:ascii="Palatino Linotype" w:eastAsia="Palatino Linotype" w:hAnsi="Palatino Linotype" w:cs="Palatino Linotype"/>
          <w:color w:val="000000" w:themeColor="text1"/>
          <w:highlight w:val="white"/>
        </w:rPr>
        <w:t>.</w:t>
      </w:r>
    </w:p>
    <w:p w:rsidR="00CC2598" w:rsidRPr="00453C03" w:rsidRDefault="00CC2598" w:rsidP="00453C03">
      <w:pPr>
        <w:shd w:val="clear" w:color="auto" w:fill="FFFFFF"/>
        <w:spacing w:line="360" w:lineRule="auto"/>
        <w:jc w:val="both"/>
        <w:rPr>
          <w:rFonts w:ascii="Palatino Linotype" w:eastAsia="Palatino Linotype" w:hAnsi="Palatino Linotype" w:cs="Palatino Linotype"/>
          <w:b/>
          <w:bCs/>
          <w:color w:val="000000" w:themeColor="text1"/>
        </w:rPr>
      </w:pPr>
    </w:p>
    <w:p w:rsidR="00CC2598" w:rsidRPr="00453C03" w:rsidRDefault="00CD4D98" w:rsidP="00453C03">
      <w:pPr>
        <w:spacing w:line="360" w:lineRule="auto"/>
        <w:jc w:val="both"/>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b/>
          <w:bCs/>
          <w:color w:val="000000" w:themeColor="text1"/>
        </w:rPr>
        <w:t>CUARTO.</w:t>
      </w:r>
      <w:r w:rsidRPr="00453C03">
        <w:rPr>
          <w:rFonts w:ascii="Palatino Linotype" w:eastAsia="Palatino Linotype" w:hAnsi="Palatino Linotype" w:cs="Palatino Linotype"/>
          <w:color w:val="000000" w:themeColor="text1"/>
        </w:rPr>
        <w:t xml:space="preserve"> Se hace del conocimiento del </w:t>
      </w:r>
      <w:r w:rsidRPr="00453C03">
        <w:rPr>
          <w:rFonts w:ascii="Palatino Linotype" w:eastAsia="Palatino Linotype" w:hAnsi="Palatino Linotype" w:cs="Palatino Linotype"/>
          <w:b/>
          <w:bCs/>
          <w:color w:val="000000" w:themeColor="text1"/>
        </w:rPr>
        <w:t>RECURRENTE</w:t>
      </w:r>
      <w:r w:rsidRPr="00453C03">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453C03" w:rsidRPr="00453C03" w:rsidRDefault="00453C03" w:rsidP="00453C03">
      <w:pPr>
        <w:spacing w:line="360" w:lineRule="auto"/>
        <w:jc w:val="both"/>
        <w:rPr>
          <w:rFonts w:ascii="Palatino Linotype" w:eastAsia="Palatino Linotype" w:hAnsi="Palatino Linotype" w:cs="Palatino Linotype"/>
          <w:color w:val="000000" w:themeColor="text1"/>
        </w:rPr>
      </w:pPr>
    </w:p>
    <w:p w:rsidR="00453C03" w:rsidRPr="00444783" w:rsidRDefault="00453C03" w:rsidP="00453C03">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SEGUNDA </w:t>
      </w:r>
      <w:r w:rsidRPr="00575AE2">
        <w:rPr>
          <w:rFonts w:ascii="Palatino Linotype" w:eastAsia="Palatino Linotype" w:hAnsi="Palatino Linotype" w:cs="Palatino Linotype"/>
        </w:rPr>
        <w:lastRenderedPageBreak/>
        <w:t>SESIÓN ORDINARIA, CELEBRADA EL</w:t>
      </w:r>
      <w:r>
        <w:rPr>
          <w:rFonts w:ascii="Palatino Linotype" w:eastAsia="Palatino Linotype" w:hAnsi="Palatino Linotype" w:cs="Palatino Linotype"/>
        </w:rPr>
        <w:t xml:space="preserve"> VEINTICINCO (25)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CC2598" w:rsidRPr="00453C03" w:rsidRDefault="00CC2598" w:rsidP="00453C03">
      <w:pPr>
        <w:spacing w:before="240" w:after="240"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Default="00CC2598" w:rsidP="00453C03">
      <w:pPr>
        <w:spacing w:line="360" w:lineRule="auto"/>
        <w:jc w:val="both"/>
        <w:rPr>
          <w:rFonts w:ascii="Palatino Linotype" w:eastAsia="Palatino Linotype" w:hAnsi="Palatino Linotype" w:cs="Palatino Linotype"/>
          <w:color w:val="000000" w:themeColor="text1"/>
        </w:rPr>
      </w:pPr>
    </w:p>
    <w:p w:rsidR="00514BAE" w:rsidRDefault="00514BAE" w:rsidP="00453C03">
      <w:pPr>
        <w:spacing w:line="360" w:lineRule="auto"/>
        <w:jc w:val="both"/>
        <w:rPr>
          <w:rFonts w:ascii="Palatino Linotype" w:eastAsia="Palatino Linotype" w:hAnsi="Palatino Linotype" w:cs="Palatino Linotype"/>
          <w:color w:val="000000" w:themeColor="text1"/>
        </w:rPr>
      </w:pPr>
    </w:p>
    <w:p w:rsidR="00514BAE" w:rsidRDefault="00514BAE" w:rsidP="00453C03">
      <w:pPr>
        <w:spacing w:line="360" w:lineRule="auto"/>
        <w:jc w:val="both"/>
        <w:rPr>
          <w:rFonts w:ascii="Palatino Linotype" w:eastAsia="Palatino Linotype" w:hAnsi="Palatino Linotype" w:cs="Palatino Linotype"/>
          <w:color w:val="000000" w:themeColor="text1"/>
        </w:rPr>
      </w:pPr>
    </w:p>
    <w:p w:rsidR="00514BAE" w:rsidRDefault="00514BAE" w:rsidP="00453C03">
      <w:pPr>
        <w:spacing w:line="360" w:lineRule="auto"/>
        <w:jc w:val="both"/>
        <w:rPr>
          <w:rFonts w:ascii="Palatino Linotype" w:eastAsia="Palatino Linotype" w:hAnsi="Palatino Linotype" w:cs="Palatino Linotype"/>
          <w:color w:val="000000" w:themeColor="text1"/>
        </w:rPr>
      </w:pPr>
    </w:p>
    <w:p w:rsidR="00514BAE" w:rsidRDefault="00514BAE" w:rsidP="00453C03">
      <w:pPr>
        <w:spacing w:line="360" w:lineRule="auto"/>
        <w:jc w:val="both"/>
        <w:rPr>
          <w:rFonts w:ascii="Palatino Linotype" w:eastAsia="Palatino Linotype" w:hAnsi="Palatino Linotype" w:cs="Palatino Linotype"/>
          <w:color w:val="000000" w:themeColor="text1"/>
        </w:rPr>
      </w:pPr>
    </w:p>
    <w:p w:rsidR="00514BAE" w:rsidRDefault="00514BAE" w:rsidP="00453C03">
      <w:pPr>
        <w:spacing w:line="360" w:lineRule="auto"/>
        <w:jc w:val="both"/>
        <w:rPr>
          <w:rFonts w:ascii="Palatino Linotype" w:eastAsia="Palatino Linotype" w:hAnsi="Palatino Linotype" w:cs="Palatino Linotype"/>
          <w:color w:val="000000" w:themeColor="text1"/>
        </w:rPr>
      </w:pPr>
    </w:p>
    <w:p w:rsidR="00514BAE" w:rsidRDefault="00514BAE" w:rsidP="00453C03">
      <w:pPr>
        <w:spacing w:line="360" w:lineRule="auto"/>
        <w:jc w:val="both"/>
        <w:rPr>
          <w:rFonts w:ascii="Palatino Linotype" w:eastAsia="Palatino Linotype" w:hAnsi="Palatino Linotype" w:cs="Palatino Linotype"/>
          <w:color w:val="000000" w:themeColor="text1"/>
        </w:rPr>
      </w:pPr>
    </w:p>
    <w:p w:rsidR="00514BAE" w:rsidRDefault="00514BAE" w:rsidP="00453C03">
      <w:pPr>
        <w:spacing w:line="360" w:lineRule="auto"/>
        <w:jc w:val="both"/>
        <w:rPr>
          <w:rFonts w:ascii="Palatino Linotype" w:eastAsia="Palatino Linotype" w:hAnsi="Palatino Linotype" w:cs="Palatino Linotype"/>
          <w:color w:val="000000" w:themeColor="text1"/>
        </w:rPr>
      </w:pPr>
    </w:p>
    <w:p w:rsidR="00514BAE" w:rsidRDefault="00514BAE" w:rsidP="00453C03">
      <w:pPr>
        <w:spacing w:line="360" w:lineRule="auto"/>
        <w:jc w:val="both"/>
        <w:rPr>
          <w:rFonts w:ascii="Palatino Linotype" w:eastAsia="Palatino Linotype" w:hAnsi="Palatino Linotype" w:cs="Palatino Linotype"/>
          <w:color w:val="000000" w:themeColor="text1"/>
        </w:rPr>
      </w:pPr>
    </w:p>
    <w:p w:rsidR="00514BAE" w:rsidRDefault="00514BAE" w:rsidP="00453C03">
      <w:pPr>
        <w:spacing w:line="360" w:lineRule="auto"/>
        <w:jc w:val="both"/>
        <w:rPr>
          <w:rFonts w:ascii="Palatino Linotype" w:eastAsia="Palatino Linotype" w:hAnsi="Palatino Linotype" w:cs="Palatino Linotype"/>
          <w:color w:val="000000" w:themeColor="text1"/>
        </w:rPr>
      </w:pPr>
    </w:p>
    <w:p w:rsidR="00514BAE" w:rsidRDefault="00514BAE" w:rsidP="00453C03">
      <w:pPr>
        <w:spacing w:line="360" w:lineRule="auto"/>
        <w:jc w:val="both"/>
        <w:rPr>
          <w:rFonts w:ascii="Palatino Linotype" w:eastAsia="Palatino Linotype" w:hAnsi="Palatino Linotype" w:cs="Palatino Linotype"/>
          <w:color w:val="000000" w:themeColor="text1"/>
        </w:rPr>
      </w:pPr>
    </w:p>
    <w:p w:rsidR="00514BAE" w:rsidRPr="00453C03" w:rsidRDefault="00514BAE"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jc w:val="both"/>
        <w:rPr>
          <w:rFonts w:ascii="Palatino Linotype" w:eastAsia="Palatino Linotype" w:hAnsi="Palatino Linotype" w:cs="Palatino Linotype"/>
          <w:color w:val="000000" w:themeColor="text1"/>
        </w:rPr>
      </w:pPr>
    </w:p>
    <w:p w:rsidR="00CC2598" w:rsidRPr="00453C03" w:rsidRDefault="00CC2598" w:rsidP="00453C03">
      <w:pPr>
        <w:spacing w:line="360" w:lineRule="auto"/>
        <w:rPr>
          <w:rFonts w:ascii="Palatino Linotype" w:eastAsia="Palatino Linotype" w:hAnsi="Palatino Linotype" w:cs="Palatino Linotype"/>
          <w:color w:val="000000" w:themeColor="text1"/>
        </w:rPr>
      </w:pPr>
    </w:p>
    <w:p w:rsidR="00CC2598" w:rsidRDefault="00CC2598" w:rsidP="00453C03">
      <w:pPr>
        <w:tabs>
          <w:tab w:val="left" w:pos="3374"/>
        </w:tabs>
        <w:spacing w:line="360" w:lineRule="auto"/>
        <w:rPr>
          <w:rFonts w:ascii="Palatino Linotype" w:eastAsia="Palatino Linotype" w:hAnsi="Palatino Linotype" w:cs="Palatino Linotype"/>
          <w:color w:val="000000" w:themeColor="text1"/>
        </w:rPr>
      </w:pPr>
      <w:bookmarkStart w:id="10" w:name="_heading=h.lnxbz9" w:colFirst="0" w:colLast="0"/>
      <w:bookmarkEnd w:id="10"/>
    </w:p>
    <w:p w:rsidR="00453C03" w:rsidRDefault="00453C03" w:rsidP="00453C03">
      <w:pPr>
        <w:tabs>
          <w:tab w:val="left" w:pos="3374"/>
        </w:tabs>
        <w:spacing w:line="360" w:lineRule="auto"/>
        <w:rPr>
          <w:rFonts w:ascii="Palatino Linotype" w:eastAsia="Palatino Linotype" w:hAnsi="Palatino Linotype" w:cs="Palatino Linotype"/>
          <w:color w:val="000000" w:themeColor="text1"/>
        </w:rPr>
      </w:pPr>
    </w:p>
    <w:p w:rsidR="00453C03" w:rsidRPr="00453C03" w:rsidRDefault="00453C03" w:rsidP="00453C03">
      <w:pPr>
        <w:tabs>
          <w:tab w:val="left" w:pos="3374"/>
        </w:tabs>
        <w:spacing w:line="360" w:lineRule="auto"/>
        <w:rPr>
          <w:rFonts w:ascii="Palatino Linotype" w:eastAsia="Palatino Linotype" w:hAnsi="Palatino Linotype" w:cs="Palatino Linotype"/>
          <w:color w:val="000000" w:themeColor="text1"/>
        </w:rPr>
      </w:pPr>
    </w:p>
    <w:sectPr w:rsidR="00453C03" w:rsidRPr="00453C03" w:rsidSect="00514BAE">
      <w:headerReference w:type="even" r:id="rId10"/>
      <w:headerReference w:type="default" r:id="rId11"/>
      <w:footerReference w:type="default" r:id="rId12"/>
      <w:headerReference w:type="first" r:id="rId13"/>
      <w:footerReference w:type="first" r:id="rId14"/>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C62" w:rsidRDefault="00903C62">
      <w:r>
        <w:separator/>
      </w:r>
    </w:p>
  </w:endnote>
  <w:endnote w:type="continuationSeparator" w:id="0">
    <w:p w:rsidR="00903C62" w:rsidRDefault="00903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6AF6A40-E752-4306-A764-863EBA6CBFAE}"/>
  </w:font>
  <w:font w:name="Palatino Linotype">
    <w:panose1 w:val="02040502050505030304"/>
    <w:charset w:val="00"/>
    <w:family w:val="roman"/>
    <w:pitch w:val="variable"/>
    <w:sig w:usb0="E0000287" w:usb1="40000013" w:usb2="00000000" w:usb3="00000000" w:csb0="0000019F" w:csb1="00000000"/>
    <w:embedRegular r:id="rId2" w:fontKey="{E6C3E57E-317E-46B7-A2BA-009ADAE99CAC}"/>
    <w:embedBold r:id="rId3" w:fontKey="{10FA28F0-0734-4526-99ED-224492DBBA68}"/>
    <w:embedItalic r:id="rId4" w:fontKey="{736A3594-95B4-4CF6-80B7-353DB7E07854}"/>
    <w:embedBoldItalic r:id="rId5" w:fontKey="{FE3AE45B-E985-4B98-8535-269854FAA4CA}"/>
  </w:font>
  <w:font w:name="Calibri">
    <w:panose1 w:val="020F0502020204030204"/>
    <w:charset w:val="00"/>
    <w:family w:val="swiss"/>
    <w:pitch w:val="variable"/>
    <w:sig w:usb0="E4002EFF" w:usb1="C200247B" w:usb2="00000009" w:usb3="00000000" w:csb0="000001FF" w:csb1="00000000"/>
    <w:embedRegular r:id="rId6" w:fontKey="{A03818CF-94BE-42E1-B789-6C277B8EA4C7}"/>
    <w:embedBold r:id="rId7" w:fontKey="{A45F48CD-F46E-4431-A6D6-64CAC3BBE0C1}"/>
  </w:font>
  <w:font w:name="Calibri Light">
    <w:panose1 w:val="020F0302020204030204"/>
    <w:charset w:val="00"/>
    <w:family w:val="swiss"/>
    <w:pitch w:val="variable"/>
    <w:sig w:usb0="E4002EFF" w:usb1="C200247B" w:usb2="00000009" w:usb3="00000000" w:csb0="000001FF" w:csb1="00000000"/>
    <w:embedRegular r:id="rId8" w:fontKey="{EFE93C2F-D0E1-43ED-A992-182DF4E083A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976A0A73-D6EB-458C-8900-0D7214D508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598" w:rsidRDefault="00CD4D9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032BE8">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032BE8">
      <w:rPr>
        <w:rFonts w:ascii="Palatino Linotype" w:eastAsia="Palatino Linotype" w:hAnsi="Palatino Linotype" w:cs="Palatino Linotype"/>
        <w:noProof/>
        <w:color w:val="000000"/>
        <w:sz w:val="20"/>
        <w:szCs w:val="20"/>
      </w:rPr>
      <w:t>29</w:t>
    </w:r>
    <w:r>
      <w:rPr>
        <w:rFonts w:ascii="Palatino Linotype" w:eastAsia="Palatino Linotype" w:hAnsi="Palatino Linotype" w:cs="Palatino Linotype"/>
        <w:color w:val="000000"/>
        <w:sz w:val="20"/>
        <w:szCs w:val="20"/>
      </w:rPr>
      <w:fldChar w:fldCharType="end"/>
    </w:r>
  </w:p>
  <w:p w:rsidR="00CC2598" w:rsidRDefault="00CC259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598" w:rsidRDefault="00CD4D9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032BE8">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032BE8">
      <w:rPr>
        <w:rFonts w:ascii="Palatino Linotype" w:eastAsia="Palatino Linotype" w:hAnsi="Palatino Linotype" w:cs="Palatino Linotype"/>
        <w:noProof/>
        <w:color w:val="000000"/>
        <w:sz w:val="20"/>
        <w:szCs w:val="20"/>
      </w:rPr>
      <w:t>29</w:t>
    </w:r>
    <w:r>
      <w:rPr>
        <w:rFonts w:ascii="Palatino Linotype" w:eastAsia="Palatino Linotype" w:hAnsi="Palatino Linotype" w:cs="Palatino Linotype"/>
        <w:color w:val="000000"/>
        <w:sz w:val="20"/>
        <w:szCs w:val="20"/>
      </w:rPr>
      <w:fldChar w:fldCharType="end"/>
    </w:r>
  </w:p>
  <w:p w:rsidR="00CC2598" w:rsidRDefault="00CC259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C62" w:rsidRDefault="00903C62">
      <w:r>
        <w:separator/>
      </w:r>
    </w:p>
  </w:footnote>
  <w:footnote w:type="continuationSeparator" w:id="0">
    <w:p w:rsidR="00903C62" w:rsidRDefault="00903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598" w:rsidRDefault="00903C62">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6945" w:type="dxa"/>
      <w:tblInd w:w="2835" w:type="dxa"/>
      <w:tblLayout w:type="fixed"/>
      <w:tblLook w:val="0400" w:firstRow="0" w:lastRow="0" w:firstColumn="0" w:lastColumn="0" w:noHBand="0" w:noVBand="1"/>
    </w:tblPr>
    <w:tblGrid>
      <w:gridCol w:w="2693"/>
      <w:gridCol w:w="4252"/>
    </w:tblGrid>
    <w:tr w:rsidR="00CC2598" w:rsidTr="00514BAE">
      <w:trPr>
        <w:trHeight w:val="227"/>
      </w:trPr>
      <w:tc>
        <w:tcPr>
          <w:tcW w:w="2693" w:type="dxa"/>
        </w:tcPr>
        <w:p w:rsidR="00CC2598" w:rsidRPr="00453C03" w:rsidRDefault="00CD4D98" w:rsidP="00453C03">
          <w:pPr>
            <w:jc w:val="right"/>
            <w:rPr>
              <w:rFonts w:ascii="Palatino Linotype" w:eastAsia="Palatino Linotype" w:hAnsi="Palatino Linotype" w:cs="Palatino Linotype"/>
              <w:b/>
              <w:bCs/>
            </w:rPr>
          </w:pPr>
          <w:r w:rsidRPr="00453C03">
            <w:rPr>
              <w:rFonts w:ascii="Palatino Linotype" w:eastAsia="Palatino Linotype" w:hAnsi="Palatino Linotype" w:cs="Palatino Linotype"/>
              <w:b/>
              <w:bCs/>
            </w:rPr>
            <w:t>Recurso de Revisión:</w:t>
          </w:r>
        </w:p>
      </w:tc>
      <w:tc>
        <w:tcPr>
          <w:tcW w:w="4252" w:type="dxa"/>
        </w:tcPr>
        <w:p w:rsidR="00CC2598" w:rsidRPr="00453C03" w:rsidRDefault="00CD4D98" w:rsidP="00453C03">
          <w:pPr>
            <w:pBdr>
              <w:top w:val="nil"/>
              <w:left w:val="nil"/>
              <w:bottom w:val="nil"/>
              <w:right w:val="nil"/>
              <w:between w:val="nil"/>
            </w:pBdr>
            <w:tabs>
              <w:tab w:val="right" w:pos="8838"/>
            </w:tabs>
            <w:ind w:right="-354"/>
            <w:rPr>
              <w:rFonts w:ascii="Palatino Linotype" w:eastAsia="Palatino Linotype" w:hAnsi="Palatino Linotype" w:cs="Palatino Linotype"/>
              <w:color w:val="000000"/>
              <w:highlight w:val="green"/>
            </w:rPr>
          </w:pPr>
          <w:r w:rsidRPr="00453C03">
            <w:rPr>
              <w:rFonts w:ascii="Palatino Linotype" w:eastAsia="Palatino Linotype" w:hAnsi="Palatino Linotype" w:cs="Palatino Linotype"/>
              <w:color w:val="000000"/>
            </w:rPr>
            <w:t>07418/INFOEM/IP/RR/2025</w:t>
          </w:r>
        </w:p>
      </w:tc>
    </w:tr>
    <w:tr w:rsidR="00CC2598" w:rsidTr="00514BAE">
      <w:trPr>
        <w:trHeight w:val="342"/>
      </w:trPr>
      <w:tc>
        <w:tcPr>
          <w:tcW w:w="2693" w:type="dxa"/>
        </w:tcPr>
        <w:p w:rsidR="00CC2598" w:rsidRPr="00453C03" w:rsidRDefault="00CD4D98" w:rsidP="00453C03">
          <w:pPr>
            <w:jc w:val="right"/>
            <w:rPr>
              <w:rFonts w:ascii="Palatino Linotype" w:eastAsia="Palatino Linotype" w:hAnsi="Palatino Linotype" w:cs="Palatino Linotype"/>
              <w:b/>
              <w:bCs/>
            </w:rPr>
          </w:pPr>
          <w:r w:rsidRPr="00453C03">
            <w:rPr>
              <w:rFonts w:ascii="Palatino Linotype" w:eastAsia="Palatino Linotype" w:hAnsi="Palatino Linotype" w:cs="Palatino Linotype"/>
              <w:b/>
              <w:bCs/>
            </w:rPr>
            <w:t>Sujeto Obligado:</w:t>
          </w:r>
        </w:p>
      </w:tc>
      <w:tc>
        <w:tcPr>
          <w:tcW w:w="4252" w:type="dxa"/>
        </w:tcPr>
        <w:p w:rsidR="00CC2598" w:rsidRPr="00453C03" w:rsidRDefault="00CD4D98" w:rsidP="00453C03">
          <w:pPr>
            <w:pBdr>
              <w:top w:val="nil"/>
              <w:left w:val="nil"/>
              <w:bottom w:val="nil"/>
              <w:right w:val="nil"/>
              <w:between w:val="nil"/>
            </w:pBdr>
            <w:tabs>
              <w:tab w:val="right" w:pos="8838"/>
            </w:tabs>
            <w:ind w:right="-354"/>
            <w:jc w:val="both"/>
            <w:rPr>
              <w:rFonts w:ascii="Palatino Linotype" w:eastAsia="Palatino Linotype" w:hAnsi="Palatino Linotype" w:cs="Palatino Linotype"/>
              <w:color w:val="000000"/>
              <w:highlight w:val="green"/>
            </w:rPr>
          </w:pPr>
          <w:r w:rsidRPr="00453C03">
            <w:rPr>
              <w:rFonts w:ascii="Palatino Linotype" w:eastAsia="Palatino Linotype" w:hAnsi="Palatino Linotype" w:cs="Palatino Linotype"/>
              <w:color w:val="000000"/>
            </w:rPr>
            <w:t>Ayuntamiento de Ecatepec de Morelos</w:t>
          </w:r>
        </w:p>
      </w:tc>
    </w:tr>
    <w:tr w:rsidR="00CC2598" w:rsidTr="00514BAE">
      <w:trPr>
        <w:trHeight w:val="342"/>
      </w:trPr>
      <w:tc>
        <w:tcPr>
          <w:tcW w:w="2693" w:type="dxa"/>
        </w:tcPr>
        <w:p w:rsidR="00CC2598" w:rsidRPr="00453C03" w:rsidRDefault="00CD4D98" w:rsidP="00453C03">
          <w:pPr>
            <w:jc w:val="right"/>
            <w:rPr>
              <w:rFonts w:ascii="Palatino Linotype" w:eastAsia="Palatino Linotype" w:hAnsi="Palatino Linotype" w:cs="Palatino Linotype"/>
              <w:b/>
              <w:bCs/>
            </w:rPr>
          </w:pPr>
          <w:r w:rsidRPr="00453C03">
            <w:rPr>
              <w:rFonts w:ascii="Palatino Linotype" w:eastAsia="Palatino Linotype" w:hAnsi="Palatino Linotype" w:cs="Palatino Linotype"/>
              <w:b/>
              <w:bCs/>
            </w:rPr>
            <w:t>Comisionada Ponente:</w:t>
          </w:r>
        </w:p>
      </w:tc>
      <w:tc>
        <w:tcPr>
          <w:tcW w:w="4252" w:type="dxa"/>
        </w:tcPr>
        <w:p w:rsidR="00CC2598" w:rsidRPr="00453C03" w:rsidRDefault="00CD4D98" w:rsidP="00453C03">
          <w:pPr>
            <w:pBdr>
              <w:top w:val="nil"/>
              <w:left w:val="nil"/>
              <w:bottom w:val="nil"/>
              <w:right w:val="nil"/>
              <w:between w:val="nil"/>
            </w:pBdr>
            <w:tabs>
              <w:tab w:val="right" w:pos="8838"/>
            </w:tabs>
            <w:ind w:right="-354"/>
            <w:rPr>
              <w:rFonts w:ascii="Palatino Linotype" w:eastAsia="Palatino Linotype" w:hAnsi="Palatino Linotype" w:cs="Palatino Linotype"/>
              <w:color w:val="000000"/>
            </w:rPr>
          </w:pPr>
          <w:r w:rsidRPr="00453C03">
            <w:rPr>
              <w:rFonts w:ascii="Palatino Linotype" w:eastAsia="Palatino Linotype" w:hAnsi="Palatino Linotype" w:cs="Palatino Linotype"/>
              <w:color w:val="000000"/>
            </w:rPr>
            <w:t>María del Rosario Mejía Ayala</w:t>
          </w:r>
        </w:p>
      </w:tc>
    </w:tr>
  </w:tbl>
  <w:p w:rsidR="00CC2598" w:rsidRDefault="00903C62">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6945" w:type="dxa"/>
      <w:tblInd w:w="2694" w:type="dxa"/>
      <w:tblLayout w:type="fixed"/>
      <w:tblLook w:val="0400" w:firstRow="0" w:lastRow="0" w:firstColumn="0" w:lastColumn="0" w:noHBand="0" w:noVBand="1"/>
    </w:tblPr>
    <w:tblGrid>
      <w:gridCol w:w="2693"/>
      <w:gridCol w:w="4252"/>
    </w:tblGrid>
    <w:tr w:rsidR="00453C03" w:rsidRPr="00453C03" w:rsidTr="00514BAE">
      <w:trPr>
        <w:trHeight w:val="227"/>
      </w:trPr>
      <w:tc>
        <w:tcPr>
          <w:tcW w:w="2693" w:type="dxa"/>
        </w:tcPr>
        <w:p w:rsidR="00CC2598" w:rsidRPr="00453C03" w:rsidRDefault="00CD4D98" w:rsidP="00453C03">
          <w:pPr>
            <w:jc w:val="right"/>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b/>
              <w:bCs/>
              <w:color w:val="000000" w:themeColor="text1"/>
            </w:rPr>
            <w:t>Recurso de Revisión:</w:t>
          </w:r>
        </w:p>
      </w:tc>
      <w:tc>
        <w:tcPr>
          <w:tcW w:w="4252" w:type="dxa"/>
        </w:tcPr>
        <w:p w:rsidR="00CC2598" w:rsidRPr="00453C03" w:rsidRDefault="00CD4D98" w:rsidP="00453C03">
          <w:pPr>
            <w:pBdr>
              <w:top w:val="nil"/>
              <w:left w:val="nil"/>
              <w:bottom w:val="nil"/>
              <w:right w:val="nil"/>
              <w:between w:val="nil"/>
            </w:pBdr>
            <w:tabs>
              <w:tab w:val="right" w:pos="8838"/>
            </w:tabs>
            <w:ind w:right="-1285"/>
            <w:rPr>
              <w:rFonts w:ascii="Palatino Linotype" w:eastAsia="Palatino Linotype" w:hAnsi="Palatino Linotype" w:cs="Palatino Linotype"/>
              <w:color w:val="000000" w:themeColor="text1"/>
              <w:highlight w:val="green"/>
            </w:rPr>
          </w:pPr>
          <w:r w:rsidRPr="00453C03">
            <w:rPr>
              <w:rFonts w:ascii="Palatino Linotype" w:eastAsia="Palatino Linotype" w:hAnsi="Palatino Linotype" w:cs="Palatino Linotype"/>
              <w:color w:val="000000" w:themeColor="text1"/>
            </w:rPr>
            <w:t>07418/INFOEM/IP/RR/2025</w:t>
          </w:r>
        </w:p>
      </w:tc>
    </w:tr>
    <w:tr w:rsidR="00453C03" w:rsidRPr="00453C03" w:rsidTr="00514BAE">
      <w:trPr>
        <w:trHeight w:val="242"/>
      </w:trPr>
      <w:tc>
        <w:tcPr>
          <w:tcW w:w="2693" w:type="dxa"/>
        </w:tcPr>
        <w:p w:rsidR="00CC2598" w:rsidRPr="00453C03" w:rsidRDefault="00CD4D98" w:rsidP="00453C03">
          <w:pPr>
            <w:jc w:val="right"/>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b/>
              <w:bCs/>
              <w:color w:val="000000" w:themeColor="text1"/>
            </w:rPr>
            <w:t>Recurrente:</w:t>
          </w:r>
        </w:p>
      </w:tc>
      <w:tc>
        <w:tcPr>
          <w:tcW w:w="4252" w:type="dxa"/>
        </w:tcPr>
        <w:p w:rsidR="00CC2598" w:rsidRPr="00453C03" w:rsidRDefault="00032BE8" w:rsidP="00453C03">
          <w:pPr>
            <w:pBdr>
              <w:top w:val="nil"/>
              <w:left w:val="nil"/>
              <w:bottom w:val="nil"/>
              <w:right w:val="nil"/>
              <w:between w:val="nil"/>
            </w:pBdr>
            <w:tabs>
              <w:tab w:val="right" w:pos="8838"/>
              <w:tab w:val="left" w:pos="521"/>
            </w:tabs>
            <w:rPr>
              <w:rFonts w:ascii="Palatino Linotype" w:eastAsia="Palatino Linotype" w:hAnsi="Palatino Linotype" w:cs="Palatino Linotype"/>
              <w:color w:val="000000" w:themeColor="text1"/>
              <w:highlight w:val="green"/>
            </w:rPr>
          </w:pPr>
          <w:r>
            <w:rPr>
              <w:rFonts w:ascii="Palatino Linotype" w:eastAsia="Palatino Linotype" w:hAnsi="Palatino Linotype" w:cs="Palatino Linotype"/>
              <w:color w:val="000000" w:themeColor="text1"/>
            </w:rPr>
            <w:t>XXXX</w:t>
          </w:r>
        </w:p>
      </w:tc>
    </w:tr>
    <w:tr w:rsidR="00453C03" w:rsidRPr="00453C03" w:rsidTr="00514BAE">
      <w:trPr>
        <w:trHeight w:val="342"/>
      </w:trPr>
      <w:tc>
        <w:tcPr>
          <w:tcW w:w="2693" w:type="dxa"/>
        </w:tcPr>
        <w:p w:rsidR="00CC2598" w:rsidRPr="00453C03" w:rsidRDefault="00CD4D98" w:rsidP="00453C03">
          <w:pPr>
            <w:jc w:val="right"/>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b/>
              <w:bCs/>
              <w:color w:val="000000" w:themeColor="text1"/>
            </w:rPr>
            <w:t>Sujeto Obligado:</w:t>
          </w:r>
        </w:p>
      </w:tc>
      <w:tc>
        <w:tcPr>
          <w:tcW w:w="4252" w:type="dxa"/>
        </w:tcPr>
        <w:p w:rsidR="00CC2598" w:rsidRPr="00453C03" w:rsidRDefault="00CD4D98" w:rsidP="00453C03">
          <w:pPr>
            <w:pBdr>
              <w:top w:val="nil"/>
              <w:left w:val="nil"/>
              <w:bottom w:val="nil"/>
              <w:right w:val="nil"/>
              <w:between w:val="nil"/>
            </w:pBdr>
            <w:tabs>
              <w:tab w:val="right" w:pos="8838"/>
            </w:tabs>
            <w:jc w:val="both"/>
            <w:rPr>
              <w:rFonts w:ascii="Palatino Linotype" w:eastAsia="Palatino Linotype" w:hAnsi="Palatino Linotype" w:cs="Palatino Linotype"/>
              <w:color w:val="000000" w:themeColor="text1"/>
              <w:highlight w:val="green"/>
            </w:rPr>
          </w:pPr>
          <w:r w:rsidRPr="00453C03">
            <w:rPr>
              <w:rFonts w:ascii="Palatino Linotype" w:eastAsia="Palatino Linotype" w:hAnsi="Palatino Linotype" w:cs="Palatino Linotype"/>
              <w:color w:val="000000" w:themeColor="text1"/>
            </w:rPr>
            <w:t>Ayuntamiento de Ecatepec de Morelos</w:t>
          </w:r>
        </w:p>
      </w:tc>
    </w:tr>
    <w:tr w:rsidR="00453C03" w:rsidRPr="00453C03" w:rsidTr="00514BAE">
      <w:trPr>
        <w:trHeight w:val="342"/>
      </w:trPr>
      <w:tc>
        <w:tcPr>
          <w:tcW w:w="2693" w:type="dxa"/>
        </w:tcPr>
        <w:p w:rsidR="00CC2598" w:rsidRPr="00453C03" w:rsidRDefault="00CD4D98" w:rsidP="00453C03">
          <w:pPr>
            <w:jc w:val="right"/>
            <w:rPr>
              <w:rFonts w:ascii="Palatino Linotype" w:eastAsia="Palatino Linotype" w:hAnsi="Palatino Linotype" w:cs="Palatino Linotype"/>
              <w:b/>
              <w:bCs/>
              <w:color w:val="000000" w:themeColor="text1"/>
            </w:rPr>
          </w:pPr>
          <w:r w:rsidRPr="00453C03">
            <w:rPr>
              <w:rFonts w:ascii="Palatino Linotype" w:eastAsia="Palatino Linotype" w:hAnsi="Palatino Linotype" w:cs="Palatino Linotype"/>
              <w:b/>
              <w:bCs/>
              <w:color w:val="000000" w:themeColor="text1"/>
            </w:rPr>
            <w:t>Comisionada Ponente:</w:t>
          </w:r>
        </w:p>
      </w:tc>
      <w:tc>
        <w:tcPr>
          <w:tcW w:w="4252" w:type="dxa"/>
        </w:tcPr>
        <w:p w:rsidR="00CC2598" w:rsidRPr="00453C03" w:rsidRDefault="00CD4D98" w:rsidP="00453C03">
          <w:pPr>
            <w:pBdr>
              <w:top w:val="nil"/>
              <w:left w:val="nil"/>
              <w:bottom w:val="nil"/>
              <w:right w:val="nil"/>
              <w:between w:val="nil"/>
            </w:pBdr>
            <w:tabs>
              <w:tab w:val="right" w:pos="8838"/>
            </w:tabs>
            <w:ind w:right="-1285"/>
            <w:rPr>
              <w:rFonts w:ascii="Palatino Linotype" w:eastAsia="Palatino Linotype" w:hAnsi="Palatino Linotype" w:cs="Palatino Linotype"/>
              <w:color w:val="000000" w:themeColor="text1"/>
            </w:rPr>
          </w:pPr>
          <w:r w:rsidRPr="00453C03">
            <w:rPr>
              <w:rFonts w:ascii="Palatino Linotype" w:eastAsia="Palatino Linotype" w:hAnsi="Palatino Linotype" w:cs="Palatino Linotype"/>
              <w:color w:val="000000" w:themeColor="text1"/>
            </w:rPr>
            <w:t>María del Rosario Mejía Ayala</w:t>
          </w:r>
        </w:p>
      </w:tc>
    </w:tr>
  </w:tbl>
  <w:p w:rsidR="00CC2598" w:rsidRDefault="00903C62">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3pt;margin-top:-115.9pt;width:609.4pt;height:793.75pt;z-index:-251658752;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A5FF4"/>
    <w:multiLevelType w:val="hybridMultilevel"/>
    <w:tmpl w:val="B99AF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C02CCC"/>
    <w:multiLevelType w:val="multilevel"/>
    <w:tmpl w:val="A77A5EB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 w15:restartNumberingAfterBreak="0">
    <w:nsid w:val="1EC80770"/>
    <w:multiLevelType w:val="multilevel"/>
    <w:tmpl w:val="15BC448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4A044818"/>
    <w:multiLevelType w:val="multilevel"/>
    <w:tmpl w:val="1A70B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A820FF"/>
    <w:multiLevelType w:val="multilevel"/>
    <w:tmpl w:val="2244EBF4"/>
    <w:lvl w:ilvl="0">
      <w:start w:val="1"/>
      <w:numFmt w:val="decimal"/>
      <w:pStyle w:val="Listaconvietas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56177644"/>
    <w:multiLevelType w:val="multilevel"/>
    <w:tmpl w:val="A228760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62F524E5"/>
    <w:multiLevelType w:val="multilevel"/>
    <w:tmpl w:val="24BA4D52"/>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7" w15:restartNumberingAfterBreak="0">
    <w:nsid w:val="6E00492C"/>
    <w:multiLevelType w:val="multilevel"/>
    <w:tmpl w:val="BD420FF2"/>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6"/>
  </w:num>
  <w:num w:numId="4">
    <w:abstractNumId w:val="5"/>
  </w:num>
  <w:num w:numId="5">
    <w:abstractNumId w:val="7"/>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598"/>
    <w:rsid w:val="00032BE8"/>
    <w:rsid w:val="00433075"/>
    <w:rsid w:val="00453C03"/>
    <w:rsid w:val="00514BAE"/>
    <w:rsid w:val="00903C62"/>
    <w:rsid w:val="00CC2598"/>
    <w:rsid w:val="00CD4D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BA8BCD8-6A99-42AB-A232-633559AC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5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7"/>
      </w:numPr>
      <w:contextualSpacing/>
    </w:pPr>
    <w:rPr>
      <w:rFonts w:ascii="Times New Roman" w:eastAsia="Times New Roman" w:hAnsi="Times New Roman" w:cs="Times New Roman"/>
      <w:sz w:val="20"/>
      <w:szCs w:val="20"/>
    </w:r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paragraph" w:customStyle="1" w:styleId="Default">
    <w:name w:val="Default"/>
    <w:rsid w:val="00381D55"/>
    <w:pPr>
      <w:autoSpaceDE w:val="0"/>
      <w:autoSpaceDN w:val="0"/>
      <w:adjustRightInd w:val="0"/>
    </w:pPr>
    <w:rPr>
      <w:rFonts w:ascii="Arial" w:eastAsiaTheme="minorHAnsi" w:hAnsi="Arial" w:cs="Arial"/>
      <w:color w:val="000000"/>
      <w:lang w:val="es-MX" w:eastAsia="en-US"/>
    </w:r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omawww.sat.gob.mx/tramitesyservicios/paginas/documentos/anexo20_2022.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0YtLunr0O5ZbNnsWBuSaKCLWIw==">CgMxLjAyCGguZ2pkZ3hzMgloLjMwajB6bGwyCWguMWZvYjl0ZTIJaC4zem55c2g3MgloLjNkeTZ2a20yCWguMXQzaDVzZjIJaC4yczhleW8xMg5oLmFtdmh0cDVqbXYxODIOaC55bjlrNG13NmE1MGEyCGgubG54Yno5OAByITF3ang3U3AwU2xHNjhfRFJhMVVfMzY2ajdpVlUzUVZnYw==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7585</Words>
  <Characters>41719</Characters>
  <Application>Microsoft Office Word</Application>
  <DocSecurity>0</DocSecurity>
  <Lines>347</Lines>
  <Paragraphs>98</Paragraphs>
  <ScaleCrop>false</ScaleCrop>
  <Company>HP Inc.</Company>
  <LinksUpToDate>false</LinksUpToDate>
  <CharactersWithSpaces>49206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4</cp:revision>
  <dcterms:created xsi:type="dcterms:W3CDTF">2025-11-20T01:52:00Z</dcterms:created>
  <dcterms:modified xsi:type="dcterms:W3CDTF">2025-12-08T23:12:00Z</dcterms:modified>
</cp:coreProperties>
</file>