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82" w:rsidRPr="006E4E95" w:rsidRDefault="00C25882" w:rsidP="006E4E95">
      <w:pPr>
        <w:spacing w:line="360" w:lineRule="auto"/>
        <w:jc w:val="both"/>
        <w:rPr>
          <w:rFonts w:ascii="Palatino Linotype" w:eastAsia="Palatino Linotype" w:hAnsi="Palatino Linotype" w:cs="Palatino Linotype"/>
          <w:color w:val="000000" w:themeColor="text1"/>
        </w:rPr>
      </w:pPr>
      <w:bookmarkStart w:id="0" w:name="_GoBack"/>
      <w:bookmarkEnd w:id="0"/>
      <w:r w:rsidRPr="006E4E9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07906">
        <w:rPr>
          <w:rFonts w:ascii="Palatino Linotype" w:eastAsia="Palatino Linotype" w:hAnsi="Palatino Linotype" w:cs="Palatino Linotype"/>
          <w:b/>
          <w:color w:val="000000" w:themeColor="text1"/>
        </w:rPr>
        <w:t xml:space="preserve">de fecha </w:t>
      </w:r>
      <w:r w:rsidR="00AC5D01" w:rsidRPr="00607906">
        <w:rPr>
          <w:rFonts w:ascii="Palatino Linotype" w:eastAsia="Palatino Linotype" w:hAnsi="Palatino Linotype" w:cs="Palatino Linotype"/>
          <w:b/>
          <w:color w:val="000000" w:themeColor="text1"/>
        </w:rPr>
        <w:t>diez</w:t>
      </w:r>
      <w:r w:rsidR="00AC6618">
        <w:rPr>
          <w:rFonts w:ascii="Palatino Linotype" w:eastAsia="Palatino Linotype" w:hAnsi="Palatino Linotype" w:cs="Palatino Linotype"/>
          <w:b/>
          <w:color w:val="000000" w:themeColor="text1"/>
        </w:rPr>
        <w:t xml:space="preserve"> (10)</w:t>
      </w:r>
      <w:r w:rsidR="00AC5D01" w:rsidRPr="00607906">
        <w:rPr>
          <w:rFonts w:ascii="Palatino Linotype" w:eastAsia="Palatino Linotype" w:hAnsi="Palatino Linotype" w:cs="Palatino Linotype"/>
          <w:b/>
          <w:color w:val="000000" w:themeColor="text1"/>
        </w:rPr>
        <w:t xml:space="preserve"> de diciembre</w:t>
      </w:r>
      <w:r w:rsidRPr="00607906">
        <w:rPr>
          <w:rFonts w:ascii="Palatino Linotype" w:eastAsia="Palatino Linotype" w:hAnsi="Palatino Linotype" w:cs="Palatino Linotype"/>
          <w:b/>
          <w:color w:val="000000" w:themeColor="text1"/>
        </w:rPr>
        <w:t xml:space="preserve"> de dos mil veinticinco</w:t>
      </w:r>
      <w:r w:rsidRPr="006E4E95">
        <w:rPr>
          <w:rFonts w:ascii="Palatino Linotype" w:eastAsia="Palatino Linotype" w:hAnsi="Palatino Linotype" w:cs="Palatino Linotype"/>
          <w:color w:val="000000" w:themeColor="text1"/>
        </w:rPr>
        <w:t>.</w:t>
      </w:r>
    </w:p>
    <w:p w:rsidR="00C25882" w:rsidRPr="006E4E95" w:rsidRDefault="00C25882" w:rsidP="006E4E95">
      <w:pP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b/>
          <w:color w:val="000000" w:themeColor="text1"/>
        </w:rPr>
        <w:t>VISTO</w:t>
      </w:r>
      <w:r w:rsidRPr="006E4E95">
        <w:rPr>
          <w:rFonts w:ascii="Palatino Linotype" w:eastAsia="Palatino Linotype" w:hAnsi="Palatino Linotype" w:cs="Palatino Linotype"/>
          <w:color w:val="000000" w:themeColor="text1"/>
        </w:rPr>
        <w:t xml:space="preserve"> el expediente electrónico formado con motivo del recurso de revisión </w:t>
      </w:r>
      <w:r w:rsidR="00AC5D01" w:rsidRPr="006E4E95">
        <w:rPr>
          <w:rFonts w:ascii="Palatino Linotype" w:eastAsia="Palatino Linotype" w:hAnsi="Palatino Linotype" w:cs="Palatino Linotype"/>
          <w:b/>
          <w:color w:val="000000" w:themeColor="text1"/>
        </w:rPr>
        <w:t>12268</w:t>
      </w:r>
      <w:r w:rsidRPr="006E4E95">
        <w:rPr>
          <w:rFonts w:ascii="Palatino Linotype" w:eastAsia="Palatino Linotype" w:hAnsi="Palatino Linotype" w:cs="Palatino Linotype"/>
          <w:b/>
          <w:color w:val="000000" w:themeColor="text1"/>
        </w:rPr>
        <w:t xml:space="preserve">/INFOEM/IP/RR/2025, </w:t>
      </w:r>
      <w:r w:rsidRPr="006E4E95">
        <w:rPr>
          <w:rFonts w:ascii="Palatino Linotype" w:eastAsia="Palatino Linotype" w:hAnsi="Palatino Linotype" w:cs="Palatino Linotype"/>
          <w:color w:val="000000" w:themeColor="text1"/>
        </w:rPr>
        <w:t xml:space="preserve">promovido por </w:t>
      </w:r>
      <w:r w:rsidR="00AC5D01" w:rsidRPr="006E4E95">
        <w:rPr>
          <w:rFonts w:ascii="Palatino Linotype" w:eastAsia="Palatino Linotype" w:hAnsi="Palatino Linotype" w:cs="Palatino Linotype"/>
          <w:b/>
          <w:bCs/>
          <w:color w:val="000000" w:themeColor="text1"/>
        </w:rPr>
        <w:t>un usuario que no proporcionó nombre</w:t>
      </w:r>
      <w:r w:rsidRPr="006E4E95">
        <w:rPr>
          <w:rFonts w:ascii="Palatino Linotype" w:eastAsia="Palatino Linotype" w:hAnsi="Palatino Linotype" w:cs="Palatino Linotype"/>
          <w:b/>
          <w:color w:val="000000" w:themeColor="text1"/>
        </w:rPr>
        <w:t>,</w:t>
      </w:r>
      <w:r w:rsidRPr="006E4E95">
        <w:rPr>
          <w:rFonts w:ascii="Palatino Linotype" w:eastAsia="Palatino Linotype" w:hAnsi="Palatino Linotype" w:cs="Palatino Linotype"/>
          <w:color w:val="000000" w:themeColor="text1"/>
        </w:rPr>
        <w:t xml:space="preserve"> </w:t>
      </w:r>
      <w:r w:rsidR="00AC6618">
        <w:rPr>
          <w:rFonts w:ascii="Palatino Linotype" w:eastAsia="Palatino Linotype" w:hAnsi="Palatino Linotype" w:cs="Palatino Linotype"/>
          <w:color w:val="000000" w:themeColor="text1"/>
        </w:rPr>
        <w:t xml:space="preserve">a </w:t>
      </w:r>
      <w:r w:rsidRPr="006E4E95">
        <w:rPr>
          <w:rFonts w:ascii="Palatino Linotype" w:eastAsia="Palatino Linotype" w:hAnsi="Palatino Linotype" w:cs="Palatino Linotype"/>
          <w:color w:val="000000" w:themeColor="text1"/>
        </w:rPr>
        <w:t xml:space="preserve">quien en lo sucesivo se identificará como </w:t>
      </w:r>
      <w:r w:rsidRPr="006E4E95">
        <w:rPr>
          <w:rFonts w:ascii="Palatino Linotype" w:eastAsia="Palatino Linotype" w:hAnsi="Palatino Linotype" w:cs="Palatino Linotype"/>
          <w:b/>
          <w:color w:val="000000" w:themeColor="text1"/>
        </w:rPr>
        <w:t>EL RECURRENTE</w:t>
      </w:r>
      <w:r w:rsidRPr="006E4E95">
        <w:rPr>
          <w:rFonts w:ascii="Palatino Linotype" w:eastAsia="Palatino Linotype" w:hAnsi="Palatino Linotype" w:cs="Palatino Linotype"/>
          <w:color w:val="000000" w:themeColor="text1"/>
        </w:rPr>
        <w:t xml:space="preserve">, en contra de la respuesta de la </w:t>
      </w:r>
      <w:r w:rsidR="00AC5D01" w:rsidRPr="006E4E95">
        <w:rPr>
          <w:rFonts w:ascii="Palatino Linotype" w:eastAsia="Palatino Linotype" w:hAnsi="Palatino Linotype" w:cs="Palatino Linotype"/>
          <w:b/>
          <w:bCs/>
          <w:color w:val="000000" w:themeColor="text1"/>
        </w:rPr>
        <w:t>Consejo Estatal para el Desarrollo Integral de Los Pueblos Indígenas del Estado de México</w:t>
      </w:r>
      <w:r w:rsidRPr="006E4E95">
        <w:rPr>
          <w:rFonts w:ascii="Palatino Linotype" w:eastAsia="Palatino Linotype" w:hAnsi="Palatino Linotype" w:cs="Palatino Linotype"/>
          <w:b/>
          <w:color w:val="000000" w:themeColor="text1"/>
        </w:rPr>
        <w:t xml:space="preserve">, </w:t>
      </w:r>
      <w:r w:rsidRPr="006E4E95">
        <w:rPr>
          <w:rFonts w:ascii="Palatino Linotype" w:eastAsia="Palatino Linotype" w:hAnsi="Palatino Linotype" w:cs="Palatino Linotype"/>
          <w:color w:val="000000" w:themeColor="text1"/>
        </w:rPr>
        <w:t>en adelante el</w:t>
      </w:r>
      <w:r w:rsidRPr="006E4E95">
        <w:rPr>
          <w:rFonts w:ascii="Palatino Linotype" w:eastAsia="Palatino Linotype" w:hAnsi="Palatino Linotype" w:cs="Palatino Linotype"/>
          <w:b/>
          <w:color w:val="000000" w:themeColor="text1"/>
        </w:rPr>
        <w:t xml:space="preserve"> SUJETO OBLIGADO</w:t>
      </w:r>
      <w:r w:rsidRPr="006E4E95">
        <w:rPr>
          <w:rFonts w:ascii="Palatino Linotype" w:eastAsia="Palatino Linotype" w:hAnsi="Palatino Linotype" w:cs="Palatino Linotype"/>
          <w:color w:val="000000" w:themeColor="text1"/>
        </w:rPr>
        <w:t>, por lo que se procede a dictar la presente resolución, con base en los siguientes:</w:t>
      </w:r>
    </w:p>
    <w:p w:rsidR="00C25882" w:rsidRPr="006E4E95" w:rsidRDefault="00C25882" w:rsidP="006E4E95">
      <w:pPr>
        <w:spacing w:line="360" w:lineRule="auto"/>
        <w:jc w:val="both"/>
        <w:rPr>
          <w:rFonts w:ascii="Palatino Linotype" w:eastAsia="Palatino Linotype" w:hAnsi="Palatino Linotype" w:cs="Palatino Linotype"/>
          <w:b/>
          <w:color w:val="000000" w:themeColor="text1"/>
        </w:rPr>
      </w:pPr>
    </w:p>
    <w:p w:rsidR="00C25882" w:rsidRPr="006E4E95" w:rsidRDefault="00C25882" w:rsidP="006E4E95">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6E4E95">
        <w:rPr>
          <w:rFonts w:ascii="Palatino Linotype" w:eastAsia="Palatino Linotype" w:hAnsi="Palatino Linotype" w:cs="Palatino Linotype"/>
          <w:b/>
          <w:color w:val="000000" w:themeColor="text1"/>
        </w:rPr>
        <w:t>A N T E C E D E N T E S</w:t>
      </w:r>
    </w:p>
    <w:p w:rsidR="00C25882" w:rsidRPr="006E4E95" w:rsidRDefault="00C25882" w:rsidP="006E4E95">
      <w:pPr>
        <w:spacing w:line="360" w:lineRule="auto"/>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El </w:t>
      </w:r>
      <w:r w:rsidR="00AC5D01" w:rsidRPr="006E4E95">
        <w:rPr>
          <w:rFonts w:ascii="Palatino Linotype" w:eastAsia="Palatino Linotype" w:hAnsi="Palatino Linotype" w:cs="Palatino Linotype"/>
          <w:b/>
          <w:color w:val="000000" w:themeColor="text1"/>
        </w:rPr>
        <w:t>veintidós</w:t>
      </w:r>
      <w:r w:rsidRPr="006E4E95">
        <w:rPr>
          <w:rFonts w:ascii="Palatino Linotype" w:eastAsia="Palatino Linotype" w:hAnsi="Palatino Linotype" w:cs="Palatino Linotype"/>
          <w:b/>
          <w:color w:val="000000" w:themeColor="text1"/>
        </w:rPr>
        <w:t xml:space="preserve"> de septiembre de dos mil veinticinco</w:t>
      </w:r>
      <w:r w:rsidRPr="006E4E95">
        <w:rPr>
          <w:rFonts w:ascii="Palatino Linotype" w:eastAsia="Palatino Linotype" w:hAnsi="Palatino Linotype" w:cs="Palatino Linotype"/>
          <w:color w:val="000000" w:themeColor="text1"/>
        </w:rPr>
        <w:t xml:space="preserve">, </w:t>
      </w:r>
      <w:r w:rsidRPr="006E4E95">
        <w:rPr>
          <w:rFonts w:ascii="Palatino Linotype" w:eastAsia="Palatino Linotype" w:hAnsi="Palatino Linotype" w:cs="Palatino Linotype"/>
          <w:b/>
          <w:color w:val="000000" w:themeColor="text1"/>
        </w:rPr>
        <w:t>EL RECURRENTE,</w:t>
      </w:r>
      <w:r w:rsidRPr="006E4E95">
        <w:rPr>
          <w:rFonts w:ascii="Palatino Linotype" w:eastAsia="Palatino Linotype" w:hAnsi="Palatino Linotype" w:cs="Palatino Linotype"/>
          <w:color w:val="000000" w:themeColor="text1"/>
        </w:rPr>
        <w:t xml:space="preserve"> ante el </w:t>
      </w:r>
      <w:r w:rsidRPr="006E4E95">
        <w:rPr>
          <w:rFonts w:ascii="Palatino Linotype" w:eastAsia="Palatino Linotype" w:hAnsi="Palatino Linotype" w:cs="Palatino Linotype"/>
          <w:b/>
          <w:color w:val="000000" w:themeColor="text1"/>
        </w:rPr>
        <w:t>SUJETO OBLIGADO</w:t>
      </w:r>
      <w:r w:rsidRPr="006E4E95">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6E4E95">
        <w:rPr>
          <w:rFonts w:ascii="Palatino Linotype" w:eastAsia="Palatino Linotype" w:hAnsi="Palatino Linotype" w:cs="Palatino Linotype"/>
          <w:b/>
          <w:bCs/>
          <w:color w:val="000000" w:themeColor="text1"/>
        </w:rPr>
        <w:t> </w:t>
      </w:r>
      <w:r w:rsidR="00AC5D01" w:rsidRPr="006E4E95">
        <w:rPr>
          <w:rFonts w:ascii="Palatino Linotype" w:eastAsia="Palatino Linotype" w:hAnsi="Palatino Linotype" w:cs="Palatino Linotype"/>
          <w:b/>
          <w:bCs/>
          <w:color w:val="000000" w:themeColor="text1"/>
        </w:rPr>
        <w:t>00067/CEDIPIEM/IP/2025</w:t>
      </w:r>
      <w:r w:rsidRPr="006E4E95">
        <w:rPr>
          <w:rFonts w:ascii="Palatino Linotype" w:eastAsia="Palatino Linotype" w:hAnsi="Palatino Linotype" w:cs="Palatino Linotype"/>
          <w:b/>
          <w:color w:val="000000" w:themeColor="text1"/>
        </w:rPr>
        <w:t xml:space="preserve">, </w:t>
      </w:r>
      <w:r w:rsidRPr="006E4E95">
        <w:rPr>
          <w:rFonts w:ascii="Palatino Linotype" w:eastAsia="Palatino Linotype" w:hAnsi="Palatino Linotype" w:cs="Palatino Linotype"/>
          <w:color w:val="000000" w:themeColor="text1"/>
        </w:rPr>
        <w:t>en la que se solicitó lo siguiente:</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i/>
          <w:color w:val="000000" w:themeColor="text1"/>
        </w:rPr>
        <w:t>“</w:t>
      </w:r>
      <w:r w:rsidR="00AC5D01" w:rsidRPr="006E4E95">
        <w:rPr>
          <w:rFonts w:ascii="Palatino Linotype" w:eastAsia="Palatino Linotype" w:hAnsi="Palatino Linotype" w:cs="Palatino Linotype"/>
          <w:i/>
          <w:color w:val="000000" w:themeColor="text1"/>
        </w:rPr>
        <w:t>Solicito actas o documentos donde conste la elección o ratificación de los actuales respresentantes indígenas ante la Junta de Gobierno del CEDIPIEM</w:t>
      </w:r>
      <w:r w:rsidRPr="006E4E95">
        <w:rPr>
          <w:rFonts w:ascii="Palatino Linotype" w:eastAsia="Palatino Linotype" w:hAnsi="Palatino Linotype" w:cs="Palatino Linotype"/>
          <w:i/>
          <w:color w:val="000000" w:themeColor="text1"/>
        </w:rPr>
        <w:t xml:space="preserve">” (Sic) </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Se señaló como modalidad de entrega a través de SAIMEX.  </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lastRenderedPageBreak/>
        <w:t xml:space="preserve">El </w:t>
      </w:r>
      <w:r w:rsidR="00AC5D01" w:rsidRPr="006E4E95">
        <w:rPr>
          <w:rFonts w:ascii="Palatino Linotype" w:eastAsia="Palatino Linotype" w:hAnsi="Palatino Linotype" w:cs="Palatino Linotype"/>
          <w:b/>
          <w:color w:val="000000" w:themeColor="text1"/>
        </w:rPr>
        <w:t>dos de octubre</w:t>
      </w:r>
      <w:r w:rsidRPr="006E4E95">
        <w:rPr>
          <w:rFonts w:ascii="Palatino Linotype" w:eastAsia="Palatino Linotype" w:hAnsi="Palatino Linotype" w:cs="Palatino Linotype"/>
          <w:b/>
          <w:color w:val="000000" w:themeColor="text1"/>
        </w:rPr>
        <w:t xml:space="preserve"> de dos mil veinticinco</w:t>
      </w:r>
      <w:r w:rsidRPr="006E4E95">
        <w:rPr>
          <w:rFonts w:ascii="Palatino Linotype" w:eastAsia="Palatino Linotype" w:hAnsi="Palatino Linotype" w:cs="Palatino Linotype"/>
          <w:color w:val="000000" w:themeColor="text1"/>
        </w:rPr>
        <w:t xml:space="preserve">, se realizó un requerimiento de información al servidor público habilitado. </w:t>
      </w:r>
    </w:p>
    <w:p w:rsidR="00C25882" w:rsidRPr="006E4E95" w:rsidRDefault="00C25882" w:rsidP="006E4E95">
      <w:pPr>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El </w:t>
      </w:r>
      <w:r w:rsidR="00AC5D01" w:rsidRPr="006E4E95">
        <w:rPr>
          <w:rFonts w:ascii="Palatino Linotype" w:eastAsia="Palatino Linotype" w:hAnsi="Palatino Linotype" w:cs="Palatino Linotype"/>
          <w:b/>
          <w:color w:val="000000" w:themeColor="text1"/>
        </w:rPr>
        <w:t>trece</w:t>
      </w:r>
      <w:r w:rsidRPr="006E4E95">
        <w:rPr>
          <w:rFonts w:ascii="Palatino Linotype" w:eastAsia="Palatino Linotype" w:hAnsi="Palatino Linotype" w:cs="Palatino Linotype"/>
          <w:b/>
          <w:color w:val="000000" w:themeColor="text1"/>
        </w:rPr>
        <w:t xml:space="preserve"> de octubre de dos mil veinticinco</w:t>
      </w:r>
      <w:r w:rsidRPr="006E4E95">
        <w:rPr>
          <w:rFonts w:ascii="Palatino Linotype" w:eastAsia="Palatino Linotype" w:hAnsi="Palatino Linotype" w:cs="Palatino Linotype"/>
          <w:color w:val="000000" w:themeColor="text1"/>
        </w:rPr>
        <w:t>, el Sujeto Obligado dio respuesta a la solicitud de información en los siguientes términos:</w:t>
      </w:r>
    </w:p>
    <w:tbl>
      <w:tblPr>
        <w:tblW w:w="7682" w:type="dxa"/>
        <w:jc w:val="center"/>
        <w:tblCellSpacing w:w="0" w:type="dxa"/>
        <w:tblCellMar>
          <w:left w:w="0" w:type="dxa"/>
          <w:right w:w="0" w:type="dxa"/>
        </w:tblCellMar>
        <w:tblLook w:val="04A0" w:firstRow="1" w:lastRow="0" w:firstColumn="1" w:lastColumn="0" w:noHBand="0" w:noVBand="1"/>
      </w:tblPr>
      <w:tblGrid>
        <w:gridCol w:w="7682"/>
      </w:tblGrid>
      <w:tr w:rsidR="006E4E95" w:rsidRPr="006E4E95" w:rsidTr="00AC5D01">
        <w:trPr>
          <w:trHeight w:val="303"/>
          <w:tblCellSpacing w:w="0" w:type="dxa"/>
          <w:jc w:val="center"/>
        </w:trPr>
        <w:tc>
          <w:tcPr>
            <w:tcW w:w="0" w:type="auto"/>
            <w:vAlign w:val="center"/>
            <w:hideMark/>
          </w:tcPr>
          <w:p w:rsidR="00AC5D01" w:rsidRPr="006E4E95" w:rsidRDefault="00AC5D01" w:rsidP="006E4E95">
            <w:pPr>
              <w:jc w:val="right"/>
              <w:rPr>
                <w:rFonts w:ascii="Palatino Linotype" w:hAnsi="Palatino Linotype"/>
                <w:i/>
                <w:color w:val="000000" w:themeColor="text1"/>
              </w:rPr>
            </w:pPr>
            <w:r w:rsidRPr="006E4E95">
              <w:rPr>
                <w:rFonts w:ascii="Palatino Linotype" w:hAnsi="Palatino Linotype"/>
                <w:i/>
                <w:color w:val="000000" w:themeColor="text1"/>
              </w:rPr>
              <w:br/>
              <w:t>“Metepec, México a 13 de Octubre de 2025</w:t>
            </w:r>
          </w:p>
        </w:tc>
      </w:tr>
      <w:tr w:rsidR="006E4E95" w:rsidRPr="006E4E95" w:rsidTr="00AC5D01">
        <w:trPr>
          <w:trHeight w:val="303"/>
          <w:tblCellSpacing w:w="0" w:type="dxa"/>
          <w:jc w:val="center"/>
        </w:trPr>
        <w:tc>
          <w:tcPr>
            <w:tcW w:w="0" w:type="auto"/>
            <w:vAlign w:val="center"/>
            <w:hideMark/>
          </w:tcPr>
          <w:p w:rsidR="00AC5D01" w:rsidRPr="006E4E95" w:rsidRDefault="00AC5D01" w:rsidP="006E4E95">
            <w:pPr>
              <w:jc w:val="right"/>
              <w:rPr>
                <w:rFonts w:ascii="Palatino Linotype" w:hAnsi="Palatino Linotype"/>
                <w:i/>
                <w:color w:val="000000" w:themeColor="text1"/>
              </w:rPr>
            </w:pPr>
            <w:r w:rsidRPr="006E4E95">
              <w:rPr>
                <w:rFonts w:ascii="Palatino Linotype" w:hAnsi="Palatino Linotype"/>
                <w:i/>
                <w:color w:val="000000" w:themeColor="text1"/>
              </w:rPr>
              <w:t>Nombre del solicitante: C. Solicitante</w:t>
            </w:r>
          </w:p>
        </w:tc>
      </w:tr>
      <w:tr w:rsidR="006E4E95" w:rsidRPr="006E4E95" w:rsidTr="00AC5D01">
        <w:trPr>
          <w:trHeight w:val="303"/>
          <w:tblCellSpacing w:w="0" w:type="dxa"/>
          <w:jc w:val="center"/>
        </w:trPr>
        <w:tc>
          <w:tcPr>
            <w:tcW w:w="0" w:type="auto"/>
            <w:vAlign w:val="center"/>
            <w:hideMark/>
          </w:tcPr>
          <w:p w:rsidR="00AC5D01" w:rsidRPr="006E4E95" w:rsidRDefault="00AC5D01" w:rsidP="006E4E95">
            <w:pPr>
              <w:jc w:val="right"/>
              <w:rPr>
                <w:rFonts w:ascii="Palatino Linotype" w:hAnsi="Palatino Linotype"/>
                <w:i/>
                <w:color w:val="000000" w:themeColor="text1"/>
              </w:rPr>
            </w:pPr>
            <w:r w:rsidRPr="006E4E95">
              <w:rPr>
                <w:rFonts w:ascii="Palatino Linotype" w:hAnsi="Palatino Linotype"/>
                <w:i/>
                <w:color w:val="000000" w:themeColor="text1"/>
              </w:rPr>
              <w:t>Folio de la solicitud: 00067/CEDIPIEM/IP/2025</w:t>
            </w:r>
          </w:p>
        </w:tc>
      </w:tr>
      <w:tr w:rsidR="006E4E95" w:rsidRPr="006E4E95" w:rsidTr="00AC5D01">
        <w:trPr>
          <w:trHeight w:val="454"/>
          <w:tblCellSpacing w:w="0" w:type="dxa"/>
          <w:jc w:val="center"/>
        </w:trPr>
        <w:tc>
          <w:tcPr>
            <w:tcW w:w="0" w:type="auto"/>
            <w:vAlign w:val="center"/>
            <w:hideMark/>
          </w:tcPr>
          <w:p w:rsidR="00AC5D01" w:rsidRPr="006E4E95" w:rsidRDefault="00AC5D01" w:rsidP="006E4E95">
            <w:pPr>
              <w:jc w:val="right"/>
              <w:rPr>
                <w:rFonts w:ascii="Palatino Linotype" w:hAnsi="Palatino Linotype"/>
                <w:i/>
                <w:color w:val="000000" w:themeColor="text1"/>
              </w:rPr>
            </w:pPr>
          </w:p>
        </w:tc>
      </w:tr>
      <w:tr w:rsidR="006E4E95" w:rsidRPr="006E4E95" w:rsidTr="00AC5D01">
        <w:trPr>
          <w:trHeight w:val="151"/>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r w:rsidRPr="006E4E9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E4E95" w:rsidRPr="006E4E95" w:rsidTr="00AC5D01">
        <w:trPr>
          <w:trHeight w:val="378"/>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p>
        </w:tc>
      </w:tr>
      <w:tr w:rsidR="006E4E95" w:rsidRPr="006E4E95" w:rsidTr="00AC5D01">
        <w:trPr>
          <w:trHeight w:val="151"/>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r w:rsidRPr="006E4E95">
              <w:rPr>
                <w:rFonts w:ascii="Palatino Linotype" w:hAnsi="Palatino Linotype"/>
                <w:i/>
                <w:color w:val="000000" w:themeColor="text1"/>
              </w:rPr>
              <w:t>Se anexa oficio número 299C01010300S/713/2025.</w:t>
            </w:r>
          </w:p>
        </w:tc>
      </w:tr>
      <w:tr w:rsidR="006E4E95" w:rsidRPr="006E4E95" w:rsidTr="00AC5D01">
        <w:trPr>
          <w:trHeight w:val="378"/>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p>
        </w:tc>
      </w:tr>
      <w:tr w:rsidR="006E4E95" w:rsidRPr="006E4E95" w:rsidTr="00AC5D01">
        <w:trPr>
          <w:trHeight w:val="151"/>
          <w:tblCellSpacing w:w="0" w:type="dxa"/>
          <w:jc w:val="center"/>
        </w:trPr>
        <w:tc>
          <w:tcPr>
            <w:tcW w:w="0" w:type="auto"/>
            <w:vAlign w:val="center"/>
            <w:hideMark/>
          </w:tcPr>
          <w:p w:rsidR="00AC5D01" w:rsidRPr="006E4E95" w:rsidRDefault="00AC5D01" w:rsidP="006E4E95">
            <w:pPr>
              <w:jc w:val="center"/>
              <w:rPr>
                <w:rFonts w:ascii="Palatino Linotype" w:hAnsi="Palatino Linotype"/>
                <w:i/>
                <w:color w:val="000000" w:themeColor="text1"/>
              </w:rPr>
            </w:pPr>
          </w:p>
        </w:tc>
      </w:tr>
      <w:tr w:rsidR="006E4E95" w:rsidRPr="006E4E95" w:rsidTr="00AC5D01">
        <w:trPr>
          <w:trHeight w:val="151"/>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p>
        </w:tc>
      </w:tr>
      <w:tr w:rsidR="006E4E95" w:rsidRPr="006E4E95" w:rsidTr="00AC5D01">
        <w:trPr>
          <w:trHeight w:val="151"/>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r w:rsidRPr="006E4E95">
              <w:rPr>
                <w:rFonts w:ascii="Palatino Linotype" w:hAnsi="Palatino Linotype"/>
                <w:i/>
                <w:color w:val="000000" w:themeColor="text1"/>
              </w:rPr>
              <w:t>ATENTAMENTE</w:t>
            </w:r>
          </w:p>
        </w:tc>
      </w:tr>
      <w:tr w:rsidR="006E4E95" w:rsidRPr="006E4E95" w:rsidTr="00AC5D01">
        <w:trPr>
          <w:trHeight w:val="227"/>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p>
        </w:tc>
      </w:tr>
      <w:tr w:rsidR="00AC5D01" w:rsidRPr="006E4E95" w:rsidTr="00AC5D01">
        <w:trPr>
          <w:trHeight w:val="151"/>
          <w:tblCellSpacing w:w="0" w:type="dxa"/>
          <w:jc w:val="center"/>
        </w:trPr>
        <w:tc>
          <w:tcPr>
            <w:tcW w:w="0" w:type="auto"/>
            <w:vAlign w:val="center"/>
            <w:hideMark/>
          </w:tcPr>
          <w:p w:rsidR="00AC5D01" w:rsidRPr="006E4E95" w:rsidRDefault="00AC5D01" w:rsidP="006E4E95">
            <w:pPr>
              <w:rPr>
                <w:rFonts w:ascii="Palatino Linotype" w:hAnsi="Palatino Linotype"/>
                <w:i/>
                <w:color w:val="000000" w:themeColor="text1"/>
              </w:rPr>
            </w:pPr>
            <w:r w:rsidRPr="006E4E95">
              <w:rPr>
                <w:rFonts w:ascii="Palatino Linotype" w:hAnsi="Palatino Linotype"/>
                <w:i/>
                <w:color w:val="000000" w:themeColor="text1"/>
              </w:rPr>
              <w:t>Mtro. Carmelo Rosales Valle”</w:t>
            </w:r>
          </w:p>
        </w:tc>
      </w:tr>
    </w:tbl>
    <w:p w:rsidR="00C25882" w:rsidRPr="006E4E95" w:rsidRDefault="00C25882" w:rsidP="006E4E95">
      <w:pP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color w:val="000000" w:themeColor="text1"/>
        </w:rPr>
        <w:t xml:space="preserve">A la respuesta se adjuntó el archivo denominado </w:t>
      </w:r>
      <w:hyperlink r:id="rId7" w:tgtFrame="_blank" w:history="1">
        <w:r w:rsidR="00AC5D01" w:rsidRPr="006E4E95">
          <w:rPr>
            <w:rStyle w:val="Hipervnculo"/>
            <w:rFonts w:ascii="Palatino Linotype" w:eastAsiaTheme="majorEastAsia" w:hAnsi="Palatino Linotype" w:cs="Arial"/>
            <w:b/>
            <w:bCs/>
            <w:color w:val="000000" w:themeColor="text1"/>
            <w:u w:val="none"/>
          </w:rPr>
          <w:t>OTUT 67.pdf</w:t>
        </w:r>
      </w:hyperlink>
      <w:r w:rsidR="00AC5D01" w:rsidRPr="006E4E95">
        <w:rPr>
          <w:rFonts w:ascii="Palatino Linotype" w:eastAsiaTheme="majorEastAsia" w:hAnsi="Palatino Linotype" w:cs="Arial"/>
          <w:b/>
          <w:bCs/>
          <w:color w:val="000000" w:themeColor="text1"/>
        </w:rPr>
        <w:t>,</w:t>
      </w:r>
      <w:r w:rsidR="00AC5D01" w:rsidRPr="006E4E95">
        <w:rPr>
          <w:rFonts w:ascii="Palatino Linotype" w:eastAsiaTheme="majorEastAsia" w:hAnsi="Palatino Linotype" w:cs="Arial"/>
          <w:bCs/>
          <w:color w:val="000000" w:themeColor="text1"/>
        </w:rPr>
        <w:t xml:space="preserve"> en el que se advierte el oficio número 299C0101000300S/713/2025 de fecha trece de octubre de dos mil veinticinco, suscrito por el Jefe de la Unidad de Información, Planeación, Programación y Evaluación y Titular de la Unidad de Transparencia del CEDIPIEM, quien señaló que se adjunta acta de la Sexta Sesión Ordinaria de la Junta de Gobierno de este organismo público descentralizado de fecha 17 de diciembre de 2021, en donde se llevó a cabo la Toma de Protesta de Ley a los Vocales representes de los pueblos indígenas originarios y migrantes que se integraran al órgano colegiado.</w:t>
      </w: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lastRenderedPageBreak/>
        <w:t xml:space="preserve">El </w:t>
      </w:r>
      <w:r w:rsidR="00AC5D01" w:rsidRPr="006E4E95">
        <w:rPr>
          <w:rFonts w:ascii="Palatino Linotype" w:eastAsia="Palatino Linotype" w:hAnsi="Palatino Linotype" w:cs="Palatino Linotype"/>
          <w:b/>
          <w:color w:val="000000" w:themeColor="text1"/>
        </w:rPr>
        <w:t>veintisiete</w:t>
      </w:r>
      <w:r w:rsidRPr="006E4E95">
        <w:rPr>
          <w:rFonts w:ascii="Palatino Linotype" w:eastAsia="Palatino Linotype" w:hAnsi="Palatino Linotype" w:cs="Palatino Linotype"/>
          <w:b/>
          <w:color w:val="000000" w:themeColor="text1"/>
        </w:rPr>
        <w:t xml:space="preserve"> de octubre de dos mil veinticinco</w:t>
      </w:r>
      <w:r w:rsidRPr="006E4E95">
        <w:rPr>
          <w:rFonts w:ascii="Palatino Linotype" w:eastAsia="Palatino Linotype" w:hAnsi="Palatino Linotype" w:cs="Palatino Linotype"/>
          <w:color w:val="000000" w:themeColor="text1"/>
        </w:rPr>
        <w:t xml:space="preserve">, </w:t>
      </w:r>
      <w:r w:rsidRPr="006E4E95">
        <w:rPr>
          <w:rFonts w:ascii="Palatino Linotype" w:eastAsia="Palatino Linotype" w:hAnsi="Palatino Linotype" w:cs="Palatino Linotype"/>
          <w:b/>
          <w:color w:val="000000" w:themeColor="text1"/>
        </w:rPr>
        <w:t>El Recurrente</w:t>
      </w:r>
      <w:r w:rsidRPr="006E4E95">
        <w:rPr>
          <w:rFonts w:ascii="Palatino Linotype" w:eastAsia="Palatino Linotype" w:hAnsi="Palatino Linotype" w:cs="Palatino Linotype"/>
          <w:color w:val="000000" w:themeColor="text1"/>
        </w:rPr>
        <w:t xml:space="preserve"> interpuso el recurso de revisión, en contra de la respuesta, señalando como:</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AC6618" w:rsidP="006E4E95">
      <w:pPr>
        <w:numPr>
          <w:ilvl w:val="0"/>
          <w:numId w:val="1"/>
        </w:numPr>
        <w:spacing w:line="360" w:lineRule="auto"/>
        <w:ind w:left="0" w:firstLine="0"/>
        <w:jc w:val="both"/>
        <w:rPr>
          <w:rFonts w:ascii="Palatino Linotype" w:hAnsi="Palatino Linotype"/>
          <w:color w:val="000000" w:themeColor="text1"/>
        </w:rPr>
      </w:pPr>
      <w:r w:rsidRPr="006E4E95">
        <w:rPr>
          <w:rFonts w:ascii="Palatino Linotype" w:eastAsia="Palatino Linotype" w:hAnsi="Palatino Linotype" w:cs="Palatino Linotype"/>
          <w:b/>
          <w:color w:val="000000" w:themeColor="text1"/>
        </w:rPr>
        <w:t>ACTO IMPUGNADO</w:t>
      </w:r>
      <w:r w:rsidR="00C25882" w:rsidRPr="006E4E95">
        <w:rPr>
          <w:rFonts w:ascii="Palatino Linotype" w:eastAsia="Palatino Linotype" w:hAnsi="Palatino Linotype" w:cs="Palatino Linotype"/>
          <w:b/>
          <w:i/>
          <w:color w:val="000000" w:themeColor="text1"/>
        </w:rPr>
        <w:t>:</w:t>
      </w:r>
      <w:r w:rsidR="00C25882" w:rsidRPr="006E4E95">
        <w:rPr>
          <w:rFonts w:ascii="Palatino Linotype" w:eastAsia="Palatino Linotype" w:hAnsi="Palatino Linotype" w:cs="Palatino Linotype"/>
          <w:i/>
          <w:color w:val="000000" w:themeColor="text1"/>
        </w:rPr>
        <w:t xml:space="preserve"> "</w:t>
      </w:r>
      <w:r w:rsidR="00AC5D01" w:rsidRPr="006E4E95">
        <w:rPr>
          <w:rFonts w:ascii="Palatino Linotype" w:hAnsi="Palatino Linotype"/>
          <w:color w:val="000000" w:themeColor="text1"/>
        </w:rPr>
        <w:t xml:space="preserve"> </w:t>
      </w:r>
      <w:r w:rsidR="00AC5D01" w:rsidRPr="006E4E95">
        <w:rPr>
          <w:rFonts w:ascii="Palatino Linotype" w:eastAsia="Palatino Linotype" w:hAnsi="Palatino Linotype" w:cs="Palatino Linotype"/>
          <w:i/>
          <w:color w:val="000000" w:themeColor="text1"/>
        </w:rPr>
        <w:t>La información entregada no corresponde al periodo actual, ni acredita la ratificación o elección de los representantes indígenas vigentes en 2025, por lo que la respuesta resulta incompleta, ambigua y contraria al principio de máxima publicidad.</w:t>
      </w:r>
      <w:r w:rsidR="00C25882" w:rsidRPr="006E4E95">
        <w:rPr>
          <w:rFonts w:ascii="Palatino Linotype" w:eastAsia="Palatino Linotype" w:hAnsi="Palatino Linotype" w:cs="Palatino Linotype"/>
          <w:i/>
          <w:color w:val="000000" w:themeColor="text1"/>
        </w:rPr>
        <w:t>" (Sic)</w:t>
      </w:r>
    </w:p>
    <w:p w:rsidR="00C25882" w:rsidRPr="006E4E95" w:rsidRDefault="00C25882" w:rsidP="006E4E95">
      <w:pPr>
        <w:spacing w:line="360" w:lineRule="auto"/>
        <w:jc w:val="both"/>
        <w:rPr>
          <w:rFonts w:ascii="Palatino Linotype" w:hAnsi="Palatino Linotype"/>
          <w:color w:val="000000" w:themeColor="text1"/>
        </w:rPr>
      </w:pPr>
    </w:p>
    <w:p w:rsidR="00C25882" w:rsidRPr="006E4E95" w:rsidRDefault="00AC6618" w:rsidP="006E4E9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b/>
          <w:color w:val="000000" w:themeColor="text1"/>
        </w:rPr>
        <w:t>RAZONES O MOTIVOS DE INCONFORMIDAD</w:t>
      </w:r>
      <w:r w:rsidR="00C25882" w:rsidRPr="006E4E95">
        <w:rPr>
          <w:rFonts w:ascii="Palatino Linotype" w:eastAsia="Palatino Linotype" w:hAnsi="Palatino Linotype" w:cs="Palatino Linotype"/>
          <w:b/>
          <w:color w:val="000000" w:themeColor="text1"/>
        </w:rPr>
        <w:t xml:space="preserve">: </w:t>
      </w:r>
      <w:r w:rsidR="00C25882" w:rsidRPr="006E4E95">
        <w:rPr>
          <w:rFonts w:ascii="Palatino Linotype" w:eastAsia="Palatino Linotype" w:hAnsi="Palatino Linotype" w:cs="Palatino Linotype"/>
          <w:i/>
          <w:color w:val="000000" w:themeColor="text1"/>
        </w:rPr>
        <w:t>"</w:t>
      </w:r>
      <w:r w:rsidR="00AC5D01" w:rsidRPr="006E4E95">
        <w:rPr>
          <w:rFonts w:ascii="Palatino Linotype" w:hAnsi="Palatino Linotype"/>
          <w:color w:val="000000" w:themeColor="text1"/>
        </w:rPr>
        <w:t xml:space="preserve"> </w:t>
      </w:r>
      <w:r w:rsidR="00AC5D01" w:rsidRPr="006E4E95">
        <w:rPr>
          <w:rFonts w:ascii="Palatino Linotype" w:eastAsia="Palatino Linotype" w:hAnsi="Palatino Linotype" w:cs="Palatino Linotype"/>
          <w:i/>
          <w:color w:val="000000" w:themeColor="text1"/>
        </w:rPr>
        <w:t>La respuesta emitida por el CEDIPIEM, se limitar al entregar un documento de 2021, sin incluir actas o instrumentos posteriores que den cuenta de la ratificación o continuidad de los representantes indígenas actualmente en funciones. El sujeto obligado omite realizar una búsqueda exhaustiva y actualizada. Dado que han transcurrido más de tres años desde la última acta proporcionada (2021), es evidente que debieron haberse realizado nuevas sesiones de Junta de Gobierno en las que se trataran o actualizaran los nombramientos o ratificaciones de los representantes indígenas, por lo que la falta de entrega de dichos documentos constituye una negativa parcial de información. Si efectivamente no existen actas de ratificación, el CEDIPIEM debió emitir el acta de inexistencia correspondiente,</w:t>
      </w:r>
      <w:r w:rsidR="00C25882" w:rsidRPr="006E4E95">
        <w:rPr>
          <w:rFonts w:ascii="Palatino Linotype" w:eastAsia="Palatino Linotype" w:hAnsi="Palatino Linotype" w:cs="Palatino Linotype"/>
          <w:i/>
          <w:color w:val="000000" w:themeColor="text1"/>
        </w:rPr>
        <w:t>" (Sic)</w:t>
      </w:r>
    </w:p>
    <w:p w:rsidR="00C25882" w:rsidRPr="006E4E95" w:rsidRDefault="00C25882" w:rsidP="006E4E95">
      <w:pP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6E4E9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E4E95">
        <w:rPr>
          <w:rFonts w:ascii="Palatino Linotype" w:eastAsia="Palatino Linotype" w:hAnsi="Palatino Linotype" w:cs="Palatino Linotype"/>
          <w:color w:val="000000" w:themeColor="text1"/>
        </w:rPr>
        <w:t xml:space="preserve">se turna a la </w:t>
      </w:r>
      <w:r w:rsidRPr="006E4E95">
        <w:rPr>
          <w:rFonts w:ascii="Palatino Linotype" w:eastAsia="Palatino Linotype" w:hAnsi="Palatino Linotype" w:cs="Palatino Linotype"/>
          <w:b/>
          <w:color w:val="000000" w:themeColor="text1"/>
        </w:rPr>
        <w:t xml:space="preserve">Comisionada María del Rosario Mejía Ayala, </w:t>
      </w:r>
      <w:r w:rsidRPr="006E4E95">
        <w:rPr>
          <w:rFonts w:ascii="Palatino Linotype" w:eastAsia="Palatino Linotype" w:hAnsi="Palatino Linotype" w:cs="Palatino Linotype"/>
          <w:color w:val="000000" w:themeColor="text1"/>
        </w:rPr>
        <w:t xml:space="preserve">para su análisis. </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AC6618"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C25882" w:rsidRPr="006E4E95">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AC5D01" w:rsidRPr="006E4E95">
        <w:rPr>
          <w:rFonts w:ascii="Palatino Linotype" w:eastAsia="Palatino Linotype" w:hAnsi="Palatino Linotype" w:cs="Palatino Linotype"/>
          <w:b/>
          <w:color w:val="000000" w:themeColor="text1"/>
        </w:rPr>
        <w:t>treinta</w:t>
      </w:r>
      <w:r w:rsidR="00C25882" w:rsidRPr="006E4E95">
        <w:rPr>
          <w:rFonts w:ascii="Palatino Linotype" w:eastAsia="Palatino Linotype" w:hAnsi="Palatino Linotype" w:cs="Palatino Linotype"/>
          <w:b/>
          <w:color w:val="000000" w:themeColor="text1"/>
        </w:rPr>
        <w:t xml:space="preserve"> de octubre de dos mil </w:t>
      </w:r>
      <w:r w:rsidR="00C25882" w:rsidRPr="006E4E95">
        <w:rPr>
          <w:rFonts w:ascii="Palatino Linotype" w:eastAsia="Palatino Linotype" w:hAnsi="Palatino Linotype" w:cs="Palatino Linotype"/>
          <w:b/>
          <w:color w:val="000000" w:themeColor="text1"/>
        </w:rPr>
        <w:lastRenderedPageBreak/>
        <w:t>veinticinco</w:t>
      </w:r>
      <w:r w:rsidR="00C25882" w:rsidRPr="006E4E95">
        <w:rPr>
          <w:rFonts w:ascii="Palatino Linotype" w:eastAsia="Palatino Linotype" w:hAnsi="Palatino Linotype" w:cs="Palatino Linotype"/>
          <w:color w:val="000000" w:themeColor="text1"/>
        </w:rPr>
        <w:t xml:space="preserve">, puso a disposición de las partes el expediente electrónico vía </w:t>
      </w:r>
      <w:r w:rsidR="00C25882" w:rsidRPr="006E4E95">
        <w:rPr>
          <w:rFonts w:ascii="Palatino Linotype" w:eastAsia="Palatino Linotype" w:hAnsi="Palatino Linotype" w:cs="Palatino Linotype"/>
          <w:b/>
          <w:color w:val="000000" w:themeColor="text1"/>
        </w:rPr>
        <w:t xml:space="preserve">SAIMEX </w:t>
      </w:r>
      <w:r w:rsidR="00C25882" w:rsidRPr="006E4E9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C25882" w:rsidRPr="006E4E95">
        <w:rPr>
          <w:rFonts w:ascii="Palatino Linotype" w:eastAsia="Palatino Linotype" w:hAnsi="Palatino Linotype" w:cs="Palatino Linotype"/>
          <w:b/>
          <w:color w:val="000000" w:themeColor="text1"/>
        </w:rPr>
        <w:t>SUJETO OBLIGADO</w:t>
      </w:r>
      <w:r w:rsidR="00C25882" w:rsidRPr="006E4E95">
        <w:rPr>
          <w:rFonts w:ascii="Palatino Linotype" w:eastAsia="Palatino Linotype" w:hAnsi="Palatino Linotype" w:cs="Palatino Linotype"/>
          <w:color w:val="000000" w:themeColor="text1"/>
        </w:rPr>
        <w:t xml:space="preserve"> presentará el informe justificado procedente. </w:t>
      </w:r>
    </w:p>
    <w:p w:rsidR="00C25882" w:rsidRPr="006E4E95" w:rsidRDefault="00C25882" w:rsidP="006E4E95">
      <w:pPr>
        <w:pBdr>
          <w:top w:val="nil"/>
          <w:left w:val="nil"/>
          <w:bottom w:val="nil"/>
          <w:right w:val="nil"/>
          <w:between w:val="nil"/>
        </w:pBdr>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6E4E95">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AC5D01" w:rsidRPr="006E4E95">
        <w:rPr>
          <w:rFonts w:ascii="Palatino Linotype" w:eastAsia="Palatino Linotype" w:hAnsi="Palatino Linotype" w:cs="Palatino Linotype"/>
          <w:b/>
          <w:color w:val="000000" w:themeColor="text1"/>
        </w:rPr>
        <w:t>once de noviembre</w:t>
      </w:r>
      <w:r w:rsidRPr="006E4E95">
        <w:rPr>
          <w:rFonts w:ascii="Palatino Linotype" w:eastAsia="Palatino Linotype" w:hAnsi="Palatino Linotype" w:cs="Palatino Linotype"/>
          <w:b/>
          <w:color w:val="000000" w:themeColor="text1"/>
        </w:rPr>
        <w:t xml:space="preserve"> de dos mil veinticinco</w:t>
      </w:r>
      <w:r w:rsidRPr="006E4E95">
        <w:rPr>
          <w:rFonts w:ascii="Palatino Linotype" w:eastAsia="Palatino Linotype" w:hAnsi="Palatino Linotype" w:cs="Palatino Linotype"/>
          <w:color w:val="000000" w:themeColor="text1"/>
        </w:rPr>
        <w:t xml:space="preserve">, el cual se puso a la vista del particular el </w:t>
      </w:r>
      <w:r w:rsidR="00AC5D01" w:rsidRPr="006E4E95">
        <w:rPr>
          <w:rFonts w:ascii="Palatino Linotype" w:eastAsia="Palatino Linotype" w:hAnsi="Palatino Linotype" w:cs="Palatino Linotype"/>
          <w:b/>
          <w:color w:val="000000" w:themeColor="text1"/>
        </w:rPr>
        <w:t>cuatro de diciembre</w:t>
      </w:r>
      <w:r w:rsidRPr="006E4E95">
        <w:rPr>
          <w:rFonts w:ascii="Palatino Linotype" w:eastAsia="Palatino Linotype" w:hAnsi="Palatino Linotype" w:cs="Palatino Linotype"/>
          <w:b/>
          <w:color w:val="000000" w:themeColor="text1"/>
        </w:rPr>
        <w:t xml:space="preserve"> del mismo año</w:t>
      </w:r>
      <w:r w:rsidR="00AD6050" w:rsidRPr="006E4E95">
        <w:rPr>
          <w:rFonts w:ascii="Palatino Linotype" w:eastAsia="Palatino Linotype" w:hAnsi="Palatino Linotype" w:cs="Palatino Linotype"/>
          <w:color w:val="000000" w:themeColor="text1"/>
        </w:rPr>
        <w:t xml:space="preserve">, y que consta del archivo electrónico </w:t>
      </w:r>
      <w:hyperlink r:id="rId8" w:history="1">
        <w:r w:rsidR="00AD6050" w:rsidRPr="006E4E95">
          <w:rPr>
            <w:rStyle w:val="Hipervnculo"/>
            <w:rFonts w:ascii="Palatino Linotype" w:eastAsia="Palatino Linotype" w:hAnsi="Palatino Linotype" w:cs="Palatino Linotype"/>
            <w:b/>
            <w:bCs/>
            <w:color w:val="000000" w:themeColor="text1"/>
          </w:rPr>
          <w:t>IJ_RV 012268-INFOEM-IP-RR-2025.pdf</w:t>
        </w:r>
      </w:hyperlink>
      <w:r w:rsidR="00AD6050" w:rsidRPr="006E4E95">
        <w:rPr>
          <w:rFonts w:ascii="Palatino Linotype" w:eastAsia="Palatino Linotype" w:hAnsi="Palatino Linotype" w:cs="Palatino Linotype"/>
          <w:color w:val="000000" w:themeColor="text1"/>
        </w:rPr>
        <w:t xml:space="preserve">, en el que se ratificó la respuesta. </w:t>
      </w:r>
    </w:p>
    <w:p w:rsidR="00C25882" w:rsidRPr="006E4E95" w:rsidRDefault="00C25882" w:rsidP="006E4E95">
      <w:pPr>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El </w:t>
      </w:r>
      <w:r w:rsidR="00AD6050" w:rsidRPr="006E4E95">
        <w:rPr>
          <w:rFonts w:ascii="Palatino Linotype" w:eastAsia="Palatino Linotype" w:hAnsi="Palatino Linotype" w:cs="Palatino Linotype"/>
          <w:b/>
          <w:color w:val="000000" w:themeColor="text1"/>
        </w:rPr>
        <w:t>diez de diciembre</w:t>
      </w:r>
      <w:r w:rsidRPr="006E4E95">
        <w:rPr>
          <w:rFonts w:ascii="Palatino Linotype" w:eastAsia="Palatino Linotype" w:hAnsi="Palatino Linotype" w:cs="Palatino Linotype"/>
          <w:b/>
          <w:color w:val="000000" w:themeColor="text1"/>
        </w:rPr>
        <w:t xml:space="preserve"> de dos mil veinticinco</w:t>
      </w:r>
      <w:r w:rsidRPr="006E4E95">
        <w:rPr>
          <w:rFonts w:ascii="Palatino Linotype" w:eastAsia="Palatino Linotype" w:hAnsi="Palatino Linotype" w:cs="Palatino Linotype"/>
          <w:color w:val="000000" w:themeColor="text1"/>
        </w:rPr>
        <w:t xml:space="preserve">, se notificó el acuerdo mediante el cual se decretó el cierre de instrucción. </w:t>
      </w:r>
    </w:p>
    <w:p w:rsidR="00C25882" w:rsidRPr="006E4E95" w:rsidRDefault="00C25882" w:rsidP="006E4E95">
      <w:pPr>
        <w:spacing w:line="360" w:lineRule="auto"/>
        <w:rPr>
          <w:rFonts w:ascii="Palatino Linotype" w:eastAsia="Palatino Linotype" w:hAnsi="Palatino Linotype" w:cs="Palatino Linotype"/>
          <w:color w:val="000000" w:themeColor="text1"/>
        </w:rPr>
      </w:pPr>
    </w:p>
    <w:p w:rsidR="00C25882" w:rsidRPr="006E4E95" w:rsidRDefault="00C25882" w:rsidP="006E4E95">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6E4E95">
        <w:rPr>
          <w:rFonts w:ascii="Palatino Linotype" w:eastAsia="Palatino Linotype" w:hAnsi="Palatino Linotype" w:cs="Palatino Linotype"/>
          <w:b/>
          <w:color w:val="000000" w:themeColor="text1"/>
        </w:rPr>
        <w:t>C O N S I D E R A N D O</w:t>
      </w:r>
    </w:p>
    <w:p w:rsidR="00C25882" w:rsidRPr="006E4E95" w:rsidRDefault="00C25882" w:rsidP="006E4E95">
      <w:pPr>
        <w:spacing w:line="360" w:lineRule="auto"/>
        <w:jc w:val="center"/>
        <w:rPr>
          <w:rFonts w:ascii="Palatino Linotype" w:eastAsia="Palatino Linotype" w:hAnsi="Palatino Linotype" w:cs="Palatino Linotype"/>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6E4E95">
        <w:rPr>
          <w:rFonts w:ascii="Palatino Linotype" w:eastAsia="Palatino Linotype" w:hAnsi="Palatino Linotype" w:cs="Palatino Linotype"/>
          <w:b/>
          <w:color w:val="000000" w:themeColor="text1"/>
        </w:rPr>
        <w:t>PRIMERO. De la competencia</w:t>
      </w:r>
    </w:p>
    <w:p w:rsidR="00AD6050" w:rsidRPr="006E4E95" w:rsidRDefault="00C25882" w:rsidP="006E4E95">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w:t>
      </w:r>
      <w:r w:rsidRPr="006E4E95">
        <w:rPr>
          <w:rFonts w:ascii="Palatino Linotype" w:eastAsia="Palatino Linotype" w:hAnsi="Palatino Linotype" w:cs="Palatino Linotype"/>
          <w:color w:val="000000" w:themeColor="text1"/>
        </w:rPr>
        <w:lastRenderedPageBreak/>
        <w:t>de México y Municipios; y 7, 9 fracciones I y XXIII, y 11 del Reglamento Interior del Instituto de Transparencia, Acceso a la Información Pública y Protección de Datos Personales del Estado de México y Municipios.</w:t>
      </w:r>
    </w:p>
    <w:p w:rsidR="00AD6050" w:rsidRPr="006E4E95" w:rsidRDefault="00AD6050" w:rsidP="006E4E95">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C25882" w:rsidRPr="006E4E95" w:rsidRDefault="00C25882" w:rsidP="006E4E95">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6E4E95">
        <w:rPr>
          <w:rFonts w:ascii="Palatino Linotype" w:eastAsia="Palatino Linotype" w:hAnsi="Palatino Linotype" w:cs="Palatino Linotype"/>
          <w:b/>
          <w:color w:val="000000" w:themeColor="text1"/>
        </w:rPr>
        <w:t>SEGUNDO. De la oportunidad y procedencia.</w:t>
      </w: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El medio de impugnación fue presentado a través del </w:t>
      </w:r>
      <w:r w:rsidRPr="006E4E95">
        <w:rPr>
          <w:rFonts w:ascii="Palatino Linotype" w:eastAsia="Palatino Linotype" w:hAnsi="Palatino Linotype" w:cs="Palatino Linotype"/>
          <w:b/>
          <w:color w:val="000000" w:themeColor="text1"/>
        </w:rPr>
        <w:t>SAIMEX,</w:t>
      </w:r>
      <w:r w:rsidRPr="006E4E9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6E4E95">
        <w:rPr>
          <w:rFonts w:ascii="Palatino Linotype" w:eastAsia="Palatino Linotype" w:hAnsi="Palatino Linotype" w:cs="Palatino Linotype"/>
          <w:b/>
          <w:color w:val="000000" w:themeColor="text1"/>
        </w:rPr>
        <w:t>SUJETO OBLIGADO</w:t>
      </w:r>
      <w:r w:rsidRPr="006E4E95">
        <w:rPr>
          <w:rFonts w:ascii="Palatino Linotype" w:eastAsia="Palatino Linotype" w:hAnsi="Palatino Linotype" w:cs="Palatino Linotype"/>
          <w:color w:val="000000" w:themeColor="text1"/>
        </w:rPr>
        <w:t xml:space="preserve"> entregó respuesta a la solicitud el día </w:t>
      </w:r>
      <w:r w:rsidR="00AD6050" w:rsidRPr="006E4E95">
        <w:rPr>
          <w:rFonts w:ascii="Palatino Linotype" w:eastAsia="Palatino Linotype" w:hAnsi="Palatino Linotype" w:cs="Palatino Linotype"/>
          <w:b/>
          <w:color w:val="000000" w:themeColor="text1"/>
        </w:rPr>
        <w:t xml:space="preserve">trece </w:t>
      </w:r>
      <w:r w:rsidRPr="006E4E95">
        <w:rPr>
          <w:rFonts w:ascii="Palatino Linotype" w:eastAsia="Palatino Linotype" w:hAnsi="Palatino Linotype" w:cs="Palatino Linotype"/>
          <w:b/>
          <w:color w:val="000000" w:themeColor="text1"/>
        </w:rPr>
        <w:t>de octubre de dos mil veinticinco</w:t>
      </w:r>
      <w:r w:rsidRPr="006E4E95">
        <w:rPr>
          <w:rFonts w:ascii="Palatino Linotype" w:eastAsia="Palatino Linotype" w:hAnsi="Palatino Linotype" w:cs="Palatino Linotype"/>
          <w:color w:val="000000" w:themeColor="text1"/>
        </w:rPr>
        <w:t>, de tal forma que el plazo para interponer el recurso de revisión transcurrió del</w:t>
      </w:r>
      <w:r w:rsidRPr="006E4E95">
        <w:rPr>
          <w:rFonts w:ascii="Palatino Linotype" w:eastAsia="Palatino Linotype" w:hAnsi="Palatino Linotype" w:cs="Palatino Linotype"/>
          <w:b/>
          <w:color w:val="000000" w:themeColor="text1"/>
        </w:rPr>
        <w:t xml:space="preserve"> </w:t>
      </w:r>
      <w:r w:rsidR="00AD6050" w:rsidRPr="006E4E95">
        <w:rPr>
          <w:rFonts w:ascii="Palatino Linotype" w:eastAsia="Palatino Linotype" w:hAnsi="Palatino Linotype" w:cs="Palatino Linotype"/>
          <w:b/>
          <w:color w:val="000000" w:themeColor="text1"/>
        </w:rPr>
        <w:t>cuatro de octubre al tres de noviembre</w:t>
      </w:r>
      <w:r w:rsidRPr="006E4E95">
        <w:rPr>
          <w:rFonts w:ascii="Palatino Linotype" w:eastAsia="Palatino Linotype" w:hAnsi="Palatino Linotype" w:cs="Palatino Linotype"/>
          <w:b/>
          <w:color w:val="000000" w:themeColor="text1"/>
        </w:rPr>
        <w:t xml:space="preserve"> de dos mil veinticinco</w:t>
      </w:r>
      <w:r w:rsidRPr="006E4E95">
        <w:rPr>
          <w:rFonts w:ascii="Palatino Linotype" w:eastAsia="Palatino Linotype" w:hAnsi="Palatino Linotype" w:cs="Palatino Linotype"/>
          <w:color w:val="000000" w:themeColor="text1"/>
        </w:rPr>
        <w:t xml:space="preserve">; en consecuencia, presentó su inconformidad el día </w:t>
      </w:r>
      <w:r w:rsidR="00AD6050" w:rsidRPr="006E4E95">
        <w:rPr>
          <w:rFonts w:ascii="Palatino Linotype" w:eastAsia="Palatino Linotype" w:hAnsi="Palatino Linotype" w:cs="Palatino Linotype"/>
          <w:b/>
          <w:color w:val="000000" w:themeColor="text1"/>
        </w:rPr>
        <w:t>veintisiete</w:t>
      </w:r>
      <w:r w:rsidRPr="006E4E95">
        <w:rPr>
          <w:rFonts w:ascii="Palatino Linotype" w:eastAsia="Palatino Linotype" w:hAnsi="Palatino Linotype" w:cs="Palatino Linotype"/>
          <w:b/>
          <w:color w:val="000000" w:themeColor="text1"/>
        </w:rPr>
        <w:t xml:space="preserve"> de octubre de dos mil veinticinco</w:t>
      </w:r>
      <w:r w:rsidRPr="006E4E9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6E4E9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E4E95">
        <w:rPr>
          <w:rFonts w:ascii="Palatino Linotype" w:eastAsia="Palatino Linotype" w:hAnsi="Palatino Linotype" w:cs="Palatino Linotype"/>
          <w:color w:val="000000" w:themeColor="text1"/>
        </w:rPr>
        <w:t>vigente.</w:t>
      </w:r>
    </w:p>
    <w:p w:rsidR="00AD6050" w:rsidRPr="006E4E95" w:rsidRDefault="00AD6050"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D6050" w:rsidRPr="006E4E95" w:rsidRDefault="00AD6050" w:rsidP="006E4E9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E4E95">
        <w:rPr>
          <w:rFonts w:ascii="Palatino Linotype" w:eastAsia="Calibri" w:hAnsi="Palatino Linotype" w:cs="Arial"/>
          <w:color w:val="000000" w:themeColor="text1"/>
          <w:lang w:val="es-ES_tradnl" w:eastAsia="es-ES"/>
        </w:rPr>
        <w:t xml:space="preserve">Por otra parte, de la revisión al expediente electrónico del </w:t>
      </w:r>
      <w:r w:rsidRPr="006E4E95">
        <w:rPr>
          <w:rFonts w:ascii="Palatino Linotype" w:eastAsia="Calibri" w:hAnsi="Palatino Linotype" w:cs="Arial"/>
          <w:b/>
          <w:color w:val="000000" w:themeColor="text1"/>
          <w:lang w:val="es-ES_tradnl" w:eastAsia="es-ES"/>
        </w:rPr>
        <w:t>SAIMEX</w:t>
      </w:r>
      <w:r w:rsidRPr="006E4E95">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D6050" w:rsidRPr="006E4E95" w:rsidRDefault="00AD6050" w:rsidP="006E4E95">
      <w:pPr>
        <w:pStyle w:val="Prrafodelista"/>
        <w:ind w:left="0"/>
        <w:rPr>
          <w:rFonts w:ascii="Palatino Linotype" w:eastAsia="Calibri" w:hAnsi="Palatino Linotype" w:cs="Arial"/>
          <w:color w:val="000000" w:themeColor="text1"/>
          <w:lang w:val="es-ES_tradnl" w:eastAsia="es-ES"/>
        </w:rPr>
      </w:pPr>
    </w:p>
    <w:p w:rsidR="00AD6050" w:rsidRPr="006E4E95" w:rsidRDefault="00AD6050" w:rsidP="006E4E9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E4E95">
        <w:rPr>
          <w:rFonts w:ascii="Palatino Linotype" w:eastAsia="Calibri" w:hAnsi="Palatino Linotype" w:cs="Arial"/>
          <w:color w:val="000000" w:themeColor="text1"/>
          <w:lang w:val="es-ES_tradnl" w:eastAsia="es-ES"/>
        </w:rPr>
        <w:lastRenderedPageBreak/>
        <w:t xml:space="preserve">Esto es así, ya que de conformidad con los artículos 6, Apartado A, fracciones III y IV de la Constitución Política de los Estados Unidos Mexicanos y </w:t>
      </w:r>
      <w:r w:rsidRPr="006E4E95">
        <w:rPr>
          <w:rFonts w:ascii="Palatino Linotype" w:eastAsia="Calibri" w:hAnsi="Palatino Linotype" w:cs="Arial"/>
          <w:bCs/>
          <w:color w:val="000000" w:themeColor="text1"/>
          <w:lang w:val="es-ES" w:eastAsia="es-ES"/>
        </w:rPr>
        <w:t>5, párrafos vigésimo, vigésimo primero y vigésimo segundo fracciones IV y V </w:t>
      </w:r>
      <w:r w:rsidRPr="006E4E95">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D6050" w:rsidRPr="006E4E95" w:rsidRDefault="00AD6050" w:rsidP="006E4E95">
      <w:pPr>
        <w:pStyle w:val="Prrafodelista"/>
        <w:ind w:left="0"/>
        <w:rPr>
          <w:rFonts w:ascii="Palatino Linotype" w:eastAsia="Calibri" w:hAnsi="Palatino Linotype" w:cs="Arial"/>
          <w:color w:val="000000" w:themeColor="text1"/>
          <w:lang w:val="es-ES_tradnl" w:eastAsia="es-ES"/>
        </w:rPr>
      </w:pPr>
    </w:p>
    <w:p w:rsidR="00AD6050" w:rsidRPr="006E4E95" w:rsidRDefault="00AD6050" w:rsidP="006E4E9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E4E95">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D6050" w:rsidRPr="006E4E95" w:rsidRDefault="00AD6050" w:rsidP="006E4E95">
      <w:pPr>
        <w:pStyle w:val="Prrafodelista"/>
        <w:ind w:left="0"/>
        <w:rPr>
          <w:rFonts w:ascii="Palatino Linotype" w:eastAsia="Calibri" w:hAnsi="Palatino Linotype" w:cs="Arial"/>
          <w:color w:val="000000" w:themeColor="text1"/>
          <w:lang w:val="es-ES_tradnl" w:eastAsia="es-ES"/>
        </w:rPr>
      </w:pPr>
    </w:p>
    <w:p w:rsidR="00AD6050" w:rsidRPr="006E4E95" w:rsidRDefault="00AD6050" w:rsidP="006E4E9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E4E95">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D6050" w:rsidRPr="006E4E95" w:rsidRDefault="00AD6050" w:rsidP="006E4E95">
      <w:pPr>
        <w:pStyle w:val="Prrafodelista"/>
        <w:ind w:left="0"/>
        <w:rPr>
          <w:rFonts w:ascii="Palatino Linotype" w:eastAsia="Calibri" w:hAnsi="Palatino Linotype" w:cs="Arial"/>
          <w:color w:val="000000" w:themeColor="text1"/>
          <w:lang w:val="es-ES_tradnl" w:eastAsia="es-ES"/>
        </w:rPr>
      </w:pPr>
    </w:p>
    <w:p w:rsidR="00AD6050" w:rsidRPr="006E4E95" w:rsidRDefault="00AD6050" w:rsidP="006E4E9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E4E95">
        <w:rPr>
          <w:rFonts w:ascii="Palatino Linotype" w:eastAsia="Calibri" w:hAnsi="Palatino Linotype" w:cs="Arial"/>
          <w:color w:val="000000" w:themeColor="text1"/>
          <w:lang w:val="es-ES_tradnl" w:eastAsia="es-ES"/>
        </w:rPr>
        <w:t xml:space="preserve">Por lo que el nombre del solicitando y recurrente no puede ser considerado un requisito indispensable de procedibilidad del recurso de revisión que nos ocupa, ya que el acceso a la </w:t>
      </w:r>
      <w:r w:rsidRPr="006E4E95">
        <w:rPr>
          <w:rFonts w:ascii="Palatino Linotype" w:eastAsia="Calibri" w:hAnsi="Palatino Linotype" w:cs="Arial"/>
          <w:color w:val="000000" w:themeColor="text1"/>
          <w:lang w:val="es-ES_tradnl" w:eastAsia="es-ES"/>
        </w:rPr>
        <w:lastRenderedPageBreak/>
        <w:t>información no está condicionado a acreditar algún interés ya sea jurídico o legítimo, máxime que es un elemento subsanable por este Órgano Resolutor.</w:t>
      </w: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25882" w:rsidRPr="006E4E95" w:rsidRDefault="00C25882" w:rsidP="006E4E95">
      <w:pPr>
        <w:pBdr>
          <w:top w:val="nil"/>
          <w:left w:val="nil"/>
          <w:bottom w:val="nil"/>
          <w:right w:val="nil"/>
          <w:between w:val="nil"/>
        </w:pBdr>
        <w:rPr>
          <w:rFonts w:ascii="Palatino Linotype" w:eastAsia="Palatino Linotype" w:hAnsi="Palatino Linotype" w:cs="Palatino Linotype"/>
          <w:color w:val="000000" w:themeColor="text1"/>
        </w:rPr>
      </w:pPr>
    </w:p>
    <w:p w:rsidR="00C25882" w:rsidRPr="006E4E95" w:rsidRDefault="00C25882" w:rsidP="006E4E95">
      <w:pPr>
        <w:pStyle w:val="Ttulo1"/>
        <w:rPr>
          <w:rFonts w:ascii="Palatino Linotype" w:eastAsia="MS Mincho" w:hAnsi="Palatino Linotype" w:cs="Times New Roman"/>
          <w:b/>
          <w:color w:val="000000" w:themeColor="text1"/>
          <w:sz w:val="24"/>
          <w:szCs w:val="24"/>
        </w:rPr>
      </w:pPr>
      <w:r w:rsidRPr="006E4E95">
        <w:rPr>
          <w:rFonts w:ascii="Palatino Linotype" w:hAnsi="Palatino Linotype"/>
          <w:b/>
          <w:color w:val="000000" w:themeColor="text1"/>
          <w:sz w:val="24"/>
          <w:szCs w:val="24"/>
        </w:rPr>
        <w:t xml:space="preserve">TERCERO. Planteamiento de la Litis </w:t>
      </w:r>
    </w:p>
    <w:p w:rsidR="00C25882" w:rsidRPr="006E4E95" w:rsidRDefault="00C25882" w:rsidP="006E4E9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E4E95">
        <w:rPr>
          <w:rFonts w:ascii="Palatino Linotype" w:hAnsi="Palatino Linotype"/>
          <w:bCs/>
          <w:color w:val="000000" w:themeColor="text1"/>
        </w:rPr>
        <w:t xml:space="preserve">El recurrente solicitó </w:t>
      </w:r>
      <w:r w:rsidR="00AD6050" w:rsidRPr="006E4E95">
        <w:rPr>
          <w:rFonts w:ascii="Palatino Linotype" w:eastAsia="Palatino Linotype" w:hAnsi="Palatino Linotype" w:cs="Palatino Linotype"/>
          <w:color w:val="000000" w:themeColor="text1"/>
        </w:rPr>
        <w:t xml:space="preserve">acta o documento donde conste la elección o ratificación de los actuales representantes indígenas ante la Junta de Gobierno del CEDIPIEM. </w:t>
      </w:r>
    </w:p>
    <w:p w:rsidR="00C25882" w:rsidRPr="006E4E95" w:rsidRDefault="00C25882" w:rsidP="006E4E95">
      <w:pPr>
        <w:pStyle w:val="Prrafodelista"/>
        <w:spacing w:before="240" w:after="240" w:line="360" w:lineRule="auto"/>
        <w:ind w:left="0"/>
        <w:jc w:val="both"/>
        <w:rPr>
          <w:rFonts w:ascii="Palatino Linotype" w:hAnsi="Palatino Linotype"/>
          <w:i/>
          <w:color w:val="000000" w:themeColor="text1"/>
        </w:rPr>
      </w:pPr>
    </w:p>
    <w:p w:rsidR="00AD6050" w:rsidRPr="006E4E95" w:rsidRDefault="00C25882" w:rsidP="006E4E9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E4E95">
        <w:rPr>
          <w:rFonts w:ascii="Palatino Linotype" w:eastAsia="Palatino Linotype" w:hAnsi="Palatino Linotype" w:cs="Palatino Linotype"/>
          <w:color w:val="000000" w:themeColor="text1"/>
        </w:rPr>
        <w:t>E</w:t>
      </w:r>
      <w:r w:rsidR="00AD6050" w:rsidRPr="006E4E95">
        <w:rPr>
          <w:rFonts w:ascii="Palatino Linotype" w:eastAsia="Palatino Linotype" w:hAnsi="Palatino Linotype" w:cs="Palatino Linotype"/>
          <w:color w:val="000000" w:themeColor="text1"/>
        </w:rPr>
        <w:t xml:space="preserve">n respuesta, el Sujeto Obligado entregó </w:t>
      </w:r>
      <w:r w:rsidR="008E06A8" w:rsidRPr="006E4E95">
        <w:rPr>
          <w:rFonts w:ascii="Palatino Linotype" w:eastAsia="Palatino Linotype" w:hAnsi="Palatino Linotype" w:cs="Palatino Linotype"/>
          <w:color w:val="000000" w:themeColor="text1"/>
        </w:rPr>
        <w:t>el Acta de la Sexta Sesión Ordinaria de la Junta de Gobierno del Consejo Estatal para el Desarrollo Integral de los Pueblos Indígenas del ejercicio fiscal 2021,</w:t>
      </w:r>
      <w:r w:rsidR="00AD6050" w:rsidRPr="006E4E95">
        <w:rPr>
          <w:rFonts w:ascii="Palatino Linotype" w:eastAsia="Palatino Linotype" w:hAnsi="Palatino Linotype" w:cs="Palatino Linotype"/>
          <w:color w:val="000000" w:themeColor="text1"/>
        </w:rPr>
        <w:t xml:space="preserve"> en la </w:t>
      </w:r>
      <w:r w:rsidR="008E06A8" w:rsidRPr="006E4E95">
        <w:rPr>
          <w:rFonts w:ascii="Palatino Linotype" w:eastAsia="Palatino Linotype" w:hAnsi="Palatino Linotype" w:cs="Palatino Linotype"/>
          <w:color w:val="000000" w:themeColor="text1"/>
        </w:rPr>
        <w:t xml:space="preserve">que tomaron protesta </w:t>
      </w:r>
      <w:r w:rsidR="00AD6050" w:rsidRPr="006E4E95">
        <w:rPr>
          <w:rFonts w:ascii="Palatino Linotype" w:eastAsia="Palatino Linotype" w:hAnsi="Palatino Linotype" w:cs="Palatino Linotype"/>
          <w:color w:val="000000" w:themeColor="text1"/>
        </w:rPr>
        <w:t xml:space="preserve">los vocales representantes de los pueblos indígenas originarios y migrantes. </w:t>
      </w:r>
      <w:r w:rsidR="008E06A8" w:rsidRPr="006E4E95">
        <w:rPr>
          <w:rFonts w:ascii="Palatino Linotype" w:eastAsia="Palatino Linotype" w:hAnsi="Palatino Linotype" w:cs="Palatino Linotype"/>
          <w:color w:val="000000" w:themeColor="text1"/>
        </w:rPr>
        <w:t xml:space="preserve">Posteriormente, el Recurrente se inconformó por la entrega de información que no corresponde a los solicitado. </w:t>
      </w:r>
    </w:p>
    <w:p w:rsidR="00C25882" w:rsidRPr="006E4E95" w:rsidRDefault="00C25882" w:rsidP="006E4E95">
      <w:pPr>
        <w:pStyle w:val="Prrafodelista"/>
        <w:spacing w:before="240" w:after="240" w:line="360" w:lineRule="auto"/>
        <w:ind w:left="0"/>
        <w:jc w:val="both"/>
        <w:rPr>
          <w:rFonts w:ascii="Palatino Linotype" w:hAnsi="Palatino Linotype"/>
          <w:i/>
          <w:color w:val="000000" w:themeColor="text1"/>
        </w:rPr>
      </w:pPr>
    </w:p>
    <w:p w:rsidR="00C25882" w:rsidRPr="006E4E95" w:rsidRDefault="00C25882" w:rsidP="006E4E9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E4E95">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6E4E95">
        <w:rPr>
          <w:rFonts w:ascii="Palatino Linotype" w:hAnsi="Palatino Linotype"/>
          <w:color w:val="000000" w:themeColor="text1"/>
          <w:lang w:val="es-ES_tradnl"/>
        </w:rPr>
        <w:t>actualiza la causal de procedencia</w:t>
      </w:r>
      <w:r w:rsidRPr="006E4E95">
        <w:rPr>
          <w:rFonts w:ascii="Palatino Linotype" w:hAnsi="Palatino Linotype"/>
          <w:b/>
          <w:color w:val="000000" w:themeColor="text1"/>
          <w:lang w:val="es-ES_tradnl"/>
        </w:rPr>
        <w:t xml:space="preserve"> </w:t>
      </w:r>
      <w:r w:rsidRPr="006E4E95">
        <w:rPr>
          <w:rFonts w:ascii="Palatino Linotype" w:hAnsi="Palatino Linotype" w:cs="Arial"/>
          <w:color w:val="000000" w:themeColor="text1"/>
          <w:lang w:val="es-ES_tradnl"/>
        </w:rPr>
        <w:t xml:space="preserve">contenida en </w:t>
      </w:r>
      <w:r w:rsidRPr="006E4E95">
        <w:rPr>
          <w:rFonts w:ascii="Palatino Linotype" w:hAnsi="Palatino Linotype" w:cs="Arial"/>
          <w:color w:val="000000" w:themeColor="text1"/>
          <w:lang w:val="es-ES"/>
        </w:rPr>
        <w:t>el artículo 179 fracción V</w:t>
      </w:r>
      <w:r w:rsidR="008E06A8" w:rsidRPr="006E4E95">
        <w:rPr>
          <w:rFonts w:ascii="Palatino Linotype" w:hAnsi="Palatino Linotype" w:cs="Arial"/>
          <w:color w:val="000000" w:themeColor="text1"/>
          <w:lang w:val="es-ES"/>
        </w:rPr>
        <w:t>I</w:t>
      </w:r>
      <w:r w:rsidRPr="006E4E95">
        <w:rPr>
          <w:rFonts w:ascii="Palatino Linotype" w:hAnsi="Palatino Linotype" w:cs="Arial"/>
          <w:color w:val="000000" w:themeColor="text1"/>
          <w:lang w:val="es-ES"/>
        </w:rPr>
        <w:t xml:space="preserve">, de la </w:t>
      </w:r>
      <w:r w:rsidRPr="006E4E95">
        <w:rPr>
          <w:rFonts w:ascii="Palatino Linotype" w:eastAsia="Calibri" w:hAnsi="Palatino Linotype" w:cs="Arial"/>
          <w:b/>
          <w:color w:val="000000" w:themeColor="text1"/>
          <w:lang w:val="es-ES"/>
        </w:rPr>
        <w:t>Ley de Transparencia y Acceso a la Información Pública del Estado de México y Municipios</w:t>
      </w:r>
      <w:r w:rsidRPr="006E4E95">
        <w:rPr>
          <w:rFonts w:ascii="Palatino Linotype" w:hAnsi="Palatino Linotype" w:cs="Arial"/>
          <w:color w:val="000000" w:themeColor="text1"/>
          <w:lang w:val="es-ES"/>
        </w:rPr>
        <w:t xml:space="preserve">, relativo a la entrega de información </w:t>
      </w:r>
      <w:r w:rsidR="008E06A8" w:rsidRPr="006E4E95">
        <w:rPr>
          <w:rFonts w:ascii="Palatino Linotype" w:hAnsi="Palatino Linotype" w:cs="Arial"/>
          <w:color w:val="000000" w:themeColor="text1"/>
          <w:lang w:val="es-ES"/>
        </w:rPr>
        <w:t xml:space="preserve">que no corresponde con los solicitado. </w:t>
      </w:r>
    </w:p>
    <w:p w:rsidR="00C25882" w:rsidRPr="006E4E95" w:rsidRDefault="00C25882" w:rsidP="006E4E95">
      <w:pPr>
        <w:pStyle w:val="Ttulo2"/>
        <w:tabs>
          <w:tab w:val="left" w:pos="426"/>
        </w:tabs>
        <w:rPr>
          <w:rFonts w:ascii="Palatino Linotype" w:hAnsi="Palatino Linotype" w:cs="Arial"/>
          <w:b/>
          <w:color w:val="000000" w:themeColor="text1"/>
          <w:sz w:val="24"/>
          <w:szCs w:val="24"/>
        </w:rPr>
      </w:pPr>
      <w:bookmarkStart w:id="5" w:name="_Toc87456489"/>
      <w:r w:rsidRPr="006E4E95">
        <w:rPr>
          <w:rFonts w:ascii="Palatino Linotype" w:hAnsi="Palatino Linotype" w:cs="Arial"/>
          <w:b/>
          <w:color w:val="000000" w:themeColor="text1"/>
          <w:sz w:val="24"/>
          <w:szCs w:val="24"/>
        </w:rPr>
        <w:lastRenderedPageBreak/>
        <w:t>CUARTO. Estudio y Resolución del asunto.</w:t>
      </w:r>
      <w:bookmarkEnd w:id="5"/>
    </w:p>
    <w:p w:rsidR="00C25882" w:rsidRPr="006E4E95" w:rsidRDefault="00C25882" w:rsidP="006E4E95">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6E4E95">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25882" w:rsidRPr="006E4E95" w:rsidRDefault="00C25882" w:rsidP="006E4E95">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C25882" w:rsidRPr="006E4E95" w:rsidRDefault="00C25882" w:rsidP="006E4E9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6E4E95">
        <w:rPr>
          <w:rFonts w:ascii="Palatino Linotype" w:eastAsia="Palatino Linotype" w:hAnsi="Palatino Linotype" w:cs="Palatino Linotype"/>
          <w:color w:val="000000" w:themeColor="text1"/>
        </w:rPr>
        <w:t xml:space="preserve">En el presente caso, </w:t>
      </w:r>
      <w:r w:rsidR="008E06A8" w:rsidRPr="006E4E95">
        <w:rPr>
          <w:rFonts w:ascii="Palatino Linotype" w:eastAsia="Palatino Linotype" w:hAnsi="Palatino Linotype" w:cs="Palatino Linotype"/>
          <w:color w:val="000000" w:themeColor="text1"/>
        </w:rPr>
        <w:t xml:space="preserve">el Recurrente solicitó acta o documento donde conste la elección o ratificación de los actuales representantes indígenas ante la Junta de Gobierno del CEDIPIEM. </w:t>
      </w:r>
    </w:p>
    <w:p w:rsidR="00C25882" w:rsidRPr="006E4E95" w:rsidRDefault="00C25882" w:rsidP="006E4E95">
      <w:pPr>
        <w:pStyle w:val="Prrafodelista"/>
        <w:ind w:left="0"/>
        <w:rPr>
          <w:rFonts w:ascii="Palatino Linotype" w:eastAsia="Palatino Linotype" w:hAnsi="Palatino Linotype" w:cs="Palatino Linotype"/>
          <w:b/>
          <w:color w:val="000000" w:themeColor="text1"/>
        </w:rPr>
      </w:pPr>
    </w:p>
    <w:p w:rsidR="00C25882" w:rsidRPr="006E4E95" w:rsidRDefault="00C25882" w:rsidP="006E4E9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En cuanto al derecho de acceso a la información, la Ley de Transparencia y Acceso a la Información Pública del Estado de México y Municipios prevé establece que</w:t>
      </w:r>
      <w:r w:rsidRPr="006E4E95">
        <w:rPr>
          <w:rFonts w:ascii="Palatino Linotype" w:eastAsia="Palatino Linotype" w:hAnsi="Palatino Linotype" w:cs="Palatino Linotype"/>
          <w:b/>
          <w:i/>
          <w:color w:val="000000" w:themeColor="text1"/>
        </w:rPr>
        <w:t xml:space="preserve"> e</w:t>
      </w:r>
      <w:r w:rsidRPr="006E4E95">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6E4E95">
        <w:rPr>
          <w:rFonts w:ascii="Palatino Linotype" w:eastAsia="Palatino Linotype" w:hAnsi="Palatino Linotype" w:cs="Palatino Linotype"/>
          <w:i/>
          <w:color w:val="000000" w:themeColor="text1"/>
          <w:vertAlign w:val="superscript"/>
        </w:rPr>
        <w:footnoteReference w:id="1"/>
      </w:r>
      <w:r w:rsidRPr="006E4E95">
        <w:rPr>
          <w:rFonts w:ascii="Palatino Linotype" w:eastAsia="Palatino Linotype" w:hAnsi="Palatino Linotype" w:cs="Palatino Linotype"/>
          <w:i/>
          <w:color w:val="000000" w:themeColor="text1"/>
        </w:rPr>
        <w:t xml:space="preserve">, </w:t>
      </w:r>
      <w:r w:rsidRPr="006E4E95">
        <w:rPr>
          <w:rFonts w:ascii="Palatino Linotype" w:eastAsia="Palatino Linotype" w:hAnsi="Palatino Linotype" w:cs="Palatino Linotype"/>
          <w:color w:val="000000" w:themeColor="text1"/>
        </w:rPr>
        <w:t>asimismo establece</w:t>
      </w:r>
      <w:r w:rsidRPr="006E4E95">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25882" w:rsidRPr="006E4E95" w:rsidRDefault="00C25882" w:rsidP="006E4E95">
      <w:pPr>
        <w:pStyle w:val="Prrafodelista"/>
        <w:ind w:left="0"/>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w:t>
      </w:r>
      <w:r w:rsidRPr="006E4E95">
        <w:rPr>
          <w:rFonts w:ascii="Palatino Linotype" w:eastAsia="Palatino Linotype" w:hAnsi="Palatino Linotype" w:cs="Palatino Linotype"/>
          <w:color w:val="000000" w:themeColor="text1"/>
        </w:rPr>
        <w:lastRenderedPageBreak/>
        <w:t xml:space="preserve">puesto que los ordenamientos citados concurren refiriendo que </w:t>
      </w:r>
      <w:r w:rsidRPr="006E4E95">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6E4E95">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C25882" w:rsidRPr="006E4E95" w:rsidRDefault="00C25882" w:rsidP="006E4E95">
      <w:pPr>
        <w:pStyle w:val="Prrafodelista"/>
        <w:ind w:left="0"/>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b/>
          <w:i/>
          <w:color w:val="000000" w:themeColor="text1"/>
        </w:rPr>
        <w:t xml:space="preserve">Artículo 4. </w:t>
      </w:r>
      <w:r w:rsidRPr="006E4E9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b/>
          <w:i/>
          <w:color w:val="000000" w:themeColor="text1"/>
        </w:rPr>
        <w:lastRenderedPageBreak/>
        <w:t xml:space="preserve">Artículo 12. </w:t>
      </w:r>
      <w:r w:rsidRPr="006E4E95">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spacing w:line="360" w:lineRule="auto"/>
        <w:jc w:val="both"/>
        <w:rPr>
          <w:rFonts w:ascii="Palatino Linotype" w:eastAsia="Palatino Linotype" w:hAnsi="Palatino Linotype" w:cs="Palatino Linotype"/>
          <w:b/>
          <w:i/>
          <w:color w:val="000000" w:themeColor="text1"/>
        </w:rPr>
      </w:pPr>
      <w:r w:rsidRPr="006E4E95">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6E4E95">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C25882" w:rsidRPr="006E4E95" w:rsidRDefault="00C25882" w:rsidP="006E4E95">
      <w:pPr>
        <w:spacing w:line="360" w:lineRule="auto"/>
        <w:jc w:val="both"/>
        <w:rPr>
          <w:rFonts w:ascii="Palatino Linotype" w:eastAsia="Palatino Linotype" w:hAnsi="Palatino Linotype" w:cs="Palatino Linotype"/>
          <w:b/>
          <w:i/>
          <w:color w:val="000000" w:themeColor="text1"/>
        </w:rPr>
      </w:pPr>
    </w:p>
    <w:p w:rsidR="00C25882" w:rsidRPr="006E4E95" w:rsidRDefault="00C25882" w:rsidP="006E4E95">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6E4E9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E4E95">
        <w:rPr>
          <w:rFonts w:ascii="Palatino Linotype" w:eastAsia="Palatino Linotype" w:hAnsi="Palatino Linotype" w:cs="Palatino Linotype"/>
          <w:color w:val="000000" w:themeColor="text1"/>
          <w:vertAlign w:val="superscript"/>
        </w:rPr>
        <w:footnoteReference w:id="2"/>
      </w:r>
      <w:r w:rsidRPr="006E4E9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hAnsi="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6E4E9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hAnsi="Palatino Linotype"/>
          <w:color w:val="000000" w:themeColor="text1"/>
        </w:rPr>
      </w:pP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6E4E9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i/>
          <w:color w:val="000000" w:themeColor="text1"/>
        </w:rPr>
        <w:t xml:space="preserve">CUARTO TRIBUNAL COLEGIADO EN MATERIA ADMINISTRATIVA DEL PRIMER CIRCUITO. </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i/>
          <w:color w:val="000000" w:themeColor="text1"/>
        </w:rPr>
        <w:lastRenderedPageBreak/>
        <w:t>Amparo en revisión 257/2012. Ruth Corona Muñoz. 6 de diciembre de 2012. Unanimidad de votos. Ponente: Jean Claude Tron Petit. Secretaria: Mayra Susana Martínez López.</w:t>
      </w:r>
    </w:p>
    <w:p w:rsidR="00C25882" w:rsidRPr="006E4E95" w:rsidRDefault="00C25882" w:rsidP="006E4E9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851"/>
        </w:tabs>
        <w:spacing w:after="240" w:line="360" w:lineRule="auto"/>
        <w:ind w:left="0" w:firstLine="0"/>
        <w:jc w:val="both"/>
        <w:rPr>
          <w:rFonts w:ascii="Palatino Linotype" w:hAnsi="Palatino Linotype"/>
          <w:color w:val="000000" w:themeColor="text1"/>
        </w:rPr>
      </w:pPr>
      <w:r w:rsidRPr="006E4E95">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C25882" w:rsidRPr="006E4E95" w:rsidRDefault="00C25882" w:rsidP="006E4E95">
      <w:pPr>
        <w:spacing w:line="360" w:lineRule="auto"/>
        <w:jc w:val="both"/>
        <w:rPr>
          <w:rFonts w:ascii="Palatino Linotype" w:eastAsia="Palatino Linotype" w:hAnsi="Palatino Linotype" w:cs="Palatino Linotype"/>
          <w:i/>
          <w:color w:val="000000" w:themeColor="text1"/>
        </w:rPr>
      </w:pPr>
      <w:r w:rsidRPr="006E4E95">
        <w:rPr>
          <w:rFonts w:ascii="Palatino Linotype" w:eastAsia="Palatino Linotype" w:hAnsi="Palatino Linotype" w:cs="Palatino Linotype"/>
          <w:b/>
          <w:i/>
          <w:color w:val="000000" w:themeColor="text1"/>
        </w:rPr>
        <w:t xml:space="preserve">XI. Documento: </w:t>
      </w:r>
      <w:r w:rsidRPr="006E4E95">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6E4E95">
        <w:rPr>
          <w:rFonts w:ascii="Palatino Linotype" w:eastAsia="Palatino Linotype" w:hAnsi="Palatino Linotype" w:cs="Palatino Linotype"/>
          <w:b/>
          <w:i/>
          <w:color w:val="000000" w:themeColor="text1"/>
        </w:rPr>
        <w:t>cualquier otro registro</w:t>
      </w:r>
      <w:r w:rsidRPr="006E4E95">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6E4E95">
        <w:rPr>
          <w:rFonts w:ascii="Palatino Linotype" w:eastAsia="Palatino Linotype" w:hAnsi="Palatino Linotype" w:cs="Palatino Linotype"/>
          <w:color w:val="000000" w:themeColor="text1"/>
        </w:rPr>
        <w:t xml:space="preserve">Es así que, todos los actos de autoridad que realicen los Sujetos </w:t>
      </w:r>
      <w:r w:rsidRPr="006E4E95">
        <w:rPr>
          <w:rFonts w:ascii="Palatino Linotype" w:eastAsia="Palatino Linotype" w:hAnsi="Palatino Linotype" w:cs="Palatino Linotype"/>
          <w:b/>
          <w:color w:val="000000" w:themeColor="text1"/>
        </w:rPr>
        <w:t>Obligados deben estar documentados y, bajo el más alto estándar de transparencia</w:t>
      </w:r>
      <w:r w:rsidRPr="006E4E95">
        <w:rPr>
          <w:rFonts w:ascii="Palatino Linotype" w:eastAsia="Palatino Linotype" w:hAnsi="Palatino Linotype" w:cs="Palatino Linotype"/>
          <w:color w:val="000000" w:themeColor="text1"/>
        </w:rPr>
        <w:t xml:space="preserve"> deberán poner toda la información que se encuentre en su posesión, a disposición de los particulares que la soliciten.</w:t>
      </w:r>
    </w:p>
    <w:p w:rsidR="00C25882" w:rsidRPr="006E4E95" w:rsidRDefault="00C25882" w:rsidP="006E4E95">
      <w:pPr>
        <w:pBdr>
          <w:top w:val="nil"/>
          <w:left w:val="nil"/>
          <w:bottom w:val="nil"/>
          <w:right w:val="nil"/>
          <w:between w:val="nil"/>
        </w:pBdr>
        <w:tabs>
          <w:tab w:val="left" w:pos="851"/>
        </w:tabs>
        <w:spacing w:line="360" w:lineRule="auto"/>
        <w:jc w:val="both"/>
        <w:rPr>
          <w:rFonts w:ascii="Palatino Linotype" w:hAnsi="Palatino Linotype"/>
          <w:color w:val="000000" w:themeColor="text1"/>
        </w:rPr>
      </w:pPr>
    </w:p>
    <w:p w:rsidR="00C25882" w:rsidRPr="006E4E95" w:rsidRDefault="008E06A8" w:rsidP="006E4E95">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6E4E95">
        <w:rPr>
          <w:rFonts w:ascii="Palatino Linotype" w:hAnsi="Palatino Linotype" w:cs="Arial"/>
          <w:color w:val="000000" w:themeColor="text1"/>
        </w:rPr>
        <w:t>En ese sentido, recordemos que el Sujeto Obligado adjuntó</w:t>
      </w:r>
      <w:r w:rsidR="005B42A8" w:rsidRPr="006E4E95">
        <w:rPr>
          <w:rFonts w:ascii="Palatino Linotype" w:hAnsi="Palatino Linotype" w:cs="Arial"/>
          <w:color w:val="000000" w:themeColor="text1"/>
        </w:rPr>
        <w:t xml:space="preserve"> en respuesta</w:t>
      </w:r>
      <w:r w:rsidRPr="006E4E95">
        <w:rPr>
          <w:rFonts w:ascii="Palatino Linotype" w:hAnsi="Palatino Linotype" w:cs="Arial"/>
          <w:color w:val="000000" w:themeColor="text1"/>
        </w:rPr>
        <w:t xml:space="preserve"> el Acta de la Sexta Sesión Ordinaria de la Junta de Gobierno del Consejo Estatal para el Desarrollo Integran de los Pueblos Indígenas del Ejercicio 2021, en</w:t>
      </w:r>
      <w:r w:rsidR="005B42A8" w:rsidRPr="006E4E95">
        <w:rPr>
          <w:rFonts w:ascii="Palatino Linotype" w:hAnsi="Palatino Linotype" w:cs="Arial"/>
          <w:color w:val="000000" w:themeColor="text1"/>
        </w:rPr>
        <w:t xml:space="preserve"> la que se tomó protesta a los vocales representantes de los pueblos indígenas originarios y migrantes, asimismo, ratificó su respuesta a través de informe justificado, en el que señaló que es la información que poseen en sus archivos en términos del artículo 12 de la Ley de Transparencia Local. </w:t>
      </w:r>
    </w:p>
    <w:p w:rsidR="00041CB4" w:rsidRPr="006E4E95" w:rsidRDefault="00041CB4" w:rsidP="006E4E95">
      <w:pPr>
        <w:pStyle w:val="Prrafodelista"/>
        <w:ind w:left="0"/>
        <w:rPr>
          <w:rFonts w:ascii="Palatino Linotype" w:hAnsi="Palatino Linotype"/>
          <w:color w:val="000000" w:themeColor="text1"/>
        </w:rPr>
      </w:pPr>
    </w:p>
    <w:p w:rsidR="00041CB4" w:rsidRPr="006E4E95" w:rsidRDefault="00041CB4" w:rsidP="006E4E95">
      <w:pPr>
        <w:numPr>
          <w:ilvl w:val="0"/>
          <w:numId w:val="2"/>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6E4E95">
        <w:rPr>
          <w:rFonts w:ascii="Palatino Linotype" w:hAnsi="Palatino Linotype"/>
          <w:color w:val="000000" w:themeColor="text1"/>
        </w:rPr>
        <w:lastRenderedPageBreak/>
        <w:t>Ahora bien, conviene señalar que el artículo 6 de la Ley que Crea el Organismo Público Descentralizado Denominado Consejo Estatal Para El Desarrollo Integral De Los Pueblos Indígenas Del Estado De México, establece los siguiente:</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“Artículo 6.- La Junta de Gobierno es la máxima autoridad del CEDIPIEM y estará integrada por: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I. Una Presidencia, que estará a cargo de la persona titular de la Secretaría de Bienestar;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II. Una Secretaría Técnica, que estará a cargo de la persona Titular de la Vocalía Ejecutiva;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III. Una Comisaría, que estará a cargo de la persona representante de la Secretaría de la Contraloría;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IV. Veinte vocales, quienes serán las personas titulares de: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a) La Secretaría de Finanzas.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b) La Secretaría del Campo.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c) La Secretaría de Desarrollo Urbano e Infraestructura.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d) La Secretaría de Cultura y Turismo.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e) La Secretaría de Desarrollo Económico.</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f) La Secretaría de Educación, Ciencia, Tecnología e Innovación.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g) La Fiscalía General de Justicia del Estado de México.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h) La Secretaría de Salud.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i) La Secretaría del Medio Ambiente y Desarrollo Sostenible.</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 j) Una persona representante del Poder Legislativo. A invitación del Presidente: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k) Una persona representante del Gobierno Federal.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b/>
          <w:i/>
          <w:color w:val="000000" w:themeColor="text1"/>
          <w:u w:val="single"/>
        </w:rPr>
      </w:pPr>
      <w:r w:rsidRPr="006E4E95">
        <w:rPr>
          <w:rFonts w:ascii="Palatino Linotype" w:hAnsi="Palatino Linotype"/>
          <w:i/>
          <w:color w:val="000000" w:themeColor="text1"/>
          <w:u w:val="single"/>
        </w:rPr>
        <w:t>l</w:t>
      </w:r>
      <w:r w:rsidRPr="006E4E95">
        <w:rPr>
          <w:rFonts w:ascii="Palatino Linotype" w:hAnsi="Palatino Linotype"/>
          <w:b/>
          <w:i/>
          <w:color w:val="000000" w:themeColor="text1"/>
          <w:u w:val="single"/>
        </w:rPr>
        <w:t xml:space="preserve">) Siete representantes de los pueblos indígenas originarios del Estado de México, de los cuales dos corresponderán al pueblo Mazahua, dos al pueblo Otomí y uno por cada uno de los pueblos Nahua, Tlahuica y Matlazinca, los cuales durarán en su cargo tres años.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b/>
          <w:i/>
          <w:color w:val="000000" w:themeColor="text1"/>
          <w:u w:val="single"/>
        </w:rPr>
      </w:pPr>
      <w:r w:rsidRPr="006E4E95">
        <w:rPr>
          <w:rFonts w:ascii="Palatino Linotype" w:hAnsi="Palatino Linotype"/>
          <w:b/>
          <w:i/>
          <w:color w:val="000000" w:themeColor="text1"/>
          <w:u w:val="single"/>
        </w:rPr>
        <w:t xml:space="preserve">m) Dos representantes de los pueblos indígenas migrantes asentados en el Estado de México, y cuenten con mayor representatividad, los cuales durarán en su cargo tres años.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La persona titular de la Presidencia deberá designar a las personas representantes que refieren los incisos l) y m), del presente artículo considerando las propuestas que le presenten los ayuntamientos que cuenten con comisiones de asuntos indígenas, las organizaciones sociales con clara orientación en la materia, los pueblos y las comunidades indígenas, buscando que en su designación se respeten los criterios de pluralidad política y social de la región en que vivan. Para tal efecto, el presidente deberá </w:t>
      </w:r>
      <w:r w:rsidRPr="006E4E95">
        <w:rPr>
          <w:rFonts w:ascii="Palatino Linotype" w:hAnsi="Palatino Linotype"/>
          <w:i/>
          <w:color w:val="000000" w:themeColor="text1"/>
        </w:rPr>
        <w:lastRenderedPageBreak/>
        <w:t xml:space="preserve">emitir una convocatoria pública que establezca los requisitos y criterios de selección, la que deberá difundirse entre los pueblos y las comunidades indígenas originarias del estado y migrantes.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Estos espacios de representación deberán recaer sobre autoridades tradicionales reconocidas por las comunidades o líderes representativos y deberán reunir los siguientes requisitos: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1.- Pertenecer a un pueblo indígena y ser hablante de la lengua materna.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2.- Tener una relación permanente con el pueblo indígena al que pertenece.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3.- Poseer calidad moral y compromiso con sus pueblos y que esta sea socialmente reconocida.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4.-Tener amplia experiencia en el trabajo a favor de los pueblos indígenas.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 xml:space="preserve">5.- No haber desempeñado cargo partidista, un año antes de la designación. </w:t>
      </w: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p>
    <w:p w:rsidR="00041CB4" w:rsidRPr="006E4E95" w:rsidRDefault="00041CB4" w:rsidP="006E4E95">
      <w:pPr>
        <w:pBdr>
          <w:top w:val="nil"/>
          <w:left w:val="nil"/>
          <w:bottom w:val="nil"/>
          <w:right w:val="nil"/>
          <w:between w:val="nil"/>
        </w:pBdr>
        <w:tabs>
          <w:tab w:val="left" w:pos="851"/>
        </w:tabs>
        <w:spacing w:line="276" w:lineRule="auto"/>
        <w:jc w:val="both"/>
        <w:rPr>
          <w:rFonts w:ascii="Palatino Linotype" w:hAnsi="Palatino Linotype"/>
          <w:i/>
          <w:color w:val="000000" w:themeColor="text1"/>
        </w:rPr>
      </w:pPr>
      <w:r w:rsidRPr="006E4E95">
        <w:rPr>
          <w:rFonts w:ascii="Palatino Linotype" w:hAnsi="Palatino Linotype"/>
          <w:i/>
          <w:color w:val="000000" w:themeColor="text1"/>
        </w:rPr>
        <w:t>En la selección de las personas vocales indígenas se procurará aplicar un criterio de equidad de tal manera que se cuente con la presencia de consejeros hombres y mujeres. Se procurará que en el caso de las personas representantes de los pueblos Mazahua y Otomí, la selección deberá de tomar en cuenta la distribución geográfica y regional de sus integrantes, así como en el caso de los migrantes, que correspondan a pueblos diferentes.”</w:t>
      </w:r>
    </w:p>
    <w:p w:rsidR="00C25882" w:rsidRPr="006E4E95" w:rsidRDefault="008E06A8" w:rsidP="006E4E95">
      <w:pPr>
        <w:pBdr>
          <w:top w:val="nil"/>
          <w:left w:val="nil"/>
          <w:bottom w:val="nil"/>
          <w:right w:val="nil"/>
          <w:between w:val="nil"/>
        </w:pBdr>
        <w:tabs>
          <w:tab w:val="left" w:pos="6770"/>
        </w:tabs>
        <w:spacing w:line="360" w:lineRule="auto"/>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ab/>
      </w:r>
    </w:p>
    <w:p w:rsidR="00041CB4" w:rsidRPr="006E4E95" w:rsidRDefault="00041CB4" w:rsidP="006E4E9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eastAsia="Palatino Linotype" w:hAnsi="Palatino Linotype" w:cs="Palatino Linotype"/>
          <w:color w:val="000000" w:themeColor="text1"/>
        </w:rPr>
        <w:t>Como se advierte, los representantes duran en su cargo tres años, por lo tanto, se puede concluir que si tomaron protesta en diciembre de dos mil veintiuno, concluyeron su cargo en diciembre de dos mil veinticuatro, sin embargo, a la fecha de la solicitud, no se advierte una nueva convocatoria para la elección de representantes, la última convocatoria publicada fue en el año de dos mil veintiuno</w:t>
      </w:r>
      <w:r w:rsidR="005F308F" w:rsidRPr="006E4E95">
        <w:rPr>
          <w:rFonts w:ascii="Palatino Linotype" w:eastAsia="Palatino Linotype" w:hAnsi="Palatino Linotype" w:cs="Palatino Linotype"/>
          <w:color w:val="000000" w:themeColor="text1"/>
        </w:rPr>
        <w:t xml:space="preserve">. Por ello, se puede concluir que el Sujeto Obligado remitió el documento que al momento de la solicitud, generaba, poseía y administraba. </w:t>
      </w:r>
      <w:r w:rsidRPr="006E4E95">
        <w:rPr>
          <w:rFonts w:ascii="Palatino Linotype" w:eastAsia="Palatino Linotype" w:hAnsi="Palatino Linotype" w:cs="Palatino Linotype"/>
          <w:color w:val="000000" w:themeColor="text1"/>
        </w:rPr>
        <w:t xml:space="preserve"> </w:t>
      </w:r>
    </w:p>
    <w:p w:rsidR="00041CB4" w:rsidRPr="006E4E95" w:rsidRDefault="00041CB4" w:rsidP="006E4E9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E4E95">
        <w:rPr>
          <w:rFonts w:ascii="Palatino Linotype" w:hAnsi="Palatino Linotype"/>
          <w:color w:val="000000" w:themeColor="text1"/>
        </w:rPr>
        <w:t xml:space="preserve">Asimismo, la </w:t>
      </w:r>
      <w:r w:rsidRPr="006E4E95">
        <w:rPr>
          <w:rFonts w:ascii="Palatino Linotype" w:hAnsi="Palatino Linotype"/>
          <w:b/>
          <w:color w:val="000000" w:themeColor="text1"/>
        </w:rPr>
        <w:t>Ley de Transparencia y Acceso a la Información Pública del Estado de México y Municipios</w:t>
      </w:r>
      <w:r w:rsidRPr="006E4E95">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6E4E95">
        <w:rPr>
          <w:rFonts w:ascii="Palatino Linotype" w:hAnsi="Palatino Linotype"/>
          <w:color w:val="000000" w:themeColor="text1"/>
        </w:rPr>
        <w:lastRenderedPageBreak/>
        <w:t xml:space="preserve">información, por lo que deberán apegarse en todo momento a los criterios de publicidad, </w:t>
      </w:r>
      <w:r w:rsidRPr="006E4E95">
        <w:rPr>
          <w:rFonts w:ascii="Palatino Linotype" w:hAnsi="Palatino Linotype"/>
          <w:b/>
          <w:color w:val="000000" w:themeColor="text1"/>
        </w:rPr>
        <w:t>veracidad</w:t>
      </w:r>
      <w:r w:rsidRPr="006E4E95">
        <w:rPr>
          <w:rFonts w:ascii="Palatino Linotype" w:hAnsi="Palatino Linotype"/>
          <w:color w:val="000000" w:themeColor="text1"/>
        </w:rPr>
        <w:t>, oportunidad entre otros, numeral en comento que a la letra señala:</w:t>
      </w:r>
    </w:p>
    <w:p w:rsidR="00C25882" w:rsidRPr="006E4E95" w:rsidRDefault="00C25882" w:rsidP="006E4E95">
      <w:pPr>
        <w:pStyle w:val="Prrafodelista"/>
        <w:spacing w:line="276" w:lineRule="auto"/>
        <w:ind w:left="0"/>
        <w:jc w:val="both"/>
        <w:rPr>
          <w:rFonts w:ascii="Palatino Linotype" w:hAnsi="Palatino Linotype" w:cs="Arial"/>
          <w:i/>
          <w:color w:val="000000" w:themeColor="text1"/>
        </w:rPr>
      </w:pPr>
      <w:r w:rsidRPr="006E4E95">
        <w:rPr>
          <w:rFonts w:ascii="Palatino Linotype" w:hAnsi="Palatino Linotype" w:cs="Arial"/>
          <w:i/>
          <w:color w:val="000000" w:themeColor="text1"/>
        </w:rPr>
        <w:t xml:space="preserve">“Artículo 4.- </w:t>
      </w:r>
    </w:p>
    <w:p w:rsidR="00C25882" w:rsidRPr="006E4E95" w:rsidRDefault="00C25882" w:rsidP="006E4E95">
      <w:pPr>
        <w:pStyle w:val="Prrafodelista"/>
        <w:spacing w:line="276" w:lineRule="auto"/>
        <w:ind w:left="0"/>
        <w:jc w:val="both"/>
        <w:rPr>
          <w:rFonts w:ascii="Palatino Linotype" w:hAnsi="Palatino Linotype" w:cs="Arial"/>
          <w:i/>
          <w:color w:val="000000" w:themeColor="text1"/>
        </w:rPr>
      </w:pPr>
      <w:r w:rsidRPr="006E4E95">
        <w:rPr>
          <w:rFonts w:ascii="Palatino Linotype" w:hAnsi="Palatino Linotype" w:cs="Arial"/>
          <w:i/>
          <w:color w:val="000000" w:themeColor="text1"/>
        </w:rPr>
        <w:t>..</w:t>
      </w:r>
    </w:p>
    <w:p w:rsidR="00C25882" w:rsidRPr="006E4E95" w:rsidRDefault="00C25882" w:rsidP="006E4E95">
      <w:pPr>
        <w:pStyle w:val="Prrafodelista"/>
        <w:spacing w:line="276" w:lineRule="auto"/>
        <w:ind w:left="0"/>
        <w:jc w:val="both"/>
        <w:rPr>
          <w:rFonts w:ascii="Palatino Linotype" w:hAnsi="Palatino Linotype" w:cs="Arial"/>
          <w:i/>
          <w:color w:val="000000" w:themeColor="text1"/>
        </w:rPr>
      </w:pPr>
      <w:r w:rsidRPr="006E4E95">
        <w:rPr>
          <w:rFonts w:ascii="Palatino Linotype" w:hAnsi="Palatino Linotype" w:cs="Arial"/>
          <w:i/>
          <w:color w:val="000000" w:themeColor="text1"/>
        </w:rPr>
        <w:t xml:space="preserve">Los sujetos obligados deben poner en práctica, políticas y programas de acceso a la información que se apeguen a criterios de publicidad, </w:t>
      </w:r>
      <w:r w:rsidRPr="006E4E95">
        <w:rPr>
          <w:rFonts w:ascii="Palatino Linotype" w:hAnsi="Palatino Linotype" w:cs="Arial"/>
          <w:b/>
          <w:i/>
          <w:color w:val="000000" w:themeColor="text1"/>
          <w:u w:val="single"/>
        </w:rPr>
        <w:t>veracidad,</w:t>
      </w:r>
      <w:r w:rsidRPr="006E4E95">
        <w:rPr>
          <w:rFonts w:ascii="Palatino Linotype" w:hAnsi="Palatino Linotype" w:cs="Arial"/>
          <w:i/>
          <w:color w:val="000000" w:themeColor="text1"/>
        </w:rPr>
        <w:t xml:space="preserve"> oportunidad, precisión y suficiencia en beneficio de los solicitantes.</w:t>
      </w:r>
    </w:p>
    <w:p w:rsidR="00C25882" w:rsidRPr="006E4E95" w:rsidRDefault="00C25882" w:rsidP="006E4E95">
      <w:pPr>
        <w:pStyle w:val="Prrafodelista"/>
        <w:spacing w:line="276" w:lineRule="auto"/>
        <w:ind w:left="0"/>
        <w:jc w:val="both"/>
        <w:rPr>
          <w:rFonts w:ascii="Palatino Linotype" w:hAnsi="Palatino Linotype" w:cs="Arial"/>
          <w:b/>
          <w:i/>
          <w:color w:val="000000" w:themeColor="text1"/>
        </w:rPr>
      </w:pPr>
      <w:r w:rsidRPr="006E4E95">
        <w:rPr>
          <w:rFonts w:ascii="Palatino Linotype" w:hAnsi="Palatino Linotype" w:cs="Arial"/>
          <w:i/>
          <w:color w:val="000000" w:themeColor="text1"/>
        </w:rPr>
        <w:t>…”</w:t>
      </w:r>
    </w:p>
    <w:p w:rsidR="00C25882" w:rsidRPr="006E4E95" w:rsidRDefault="00C25882" w:rsidP="006E4E95">
      <w:pPr>
        <w:pStyle w:val="Prrafodelista"/>
        <w:tabs>
          <w:tab w:val="left" w:pos="709"/>
        </w:tabs>
        <w:spacing w:line="360" w:lineRule="auto"/>
        <w:ind w:left="0"/>
        <w:jc w:val="both"/>
        <w:rPr>
          <w:rFonts w:ascii="Palatino Linotype" w:hAnsi="Palatino Linotype" w:cs="Arial"/>
          <w:noProof/>
          <w:color w:val="000000" w:themeColor="text1"/>
        </w:rPr>
      </w:pPr>
    </w:p>
    <w:p w:rsidR="00C25882" w:rsidRPr="006E4E95" w:rsidRDefault="00C25882" w:rsidP="006E4E95">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6E4E95">
        <w:rPr>
          <w:rFonts w:ascii="Palatino Linotype" w:hAnsi="Palatino Linotype" w:cs="Arial"/>
          <w:noProof/>
          <w:color w:val="000000" w:themeColor="text1"/>
        </w:rPr>
        <w:t xml:space="preserve">Numerales que compelen al </w:t>
      </w:r>
      <w:r w:rsidRPr="006E4E95">
        <w:rPr>
          <w:rFonts w:ascii="Palatino Linotype" w:hAnsi="Palatino Linotype" w:cs="Arial"/>
          <w:b/>
          <w:noProof/>
          <w:color w:val="000000" w:themeColor="text1"/>
        </w:rPr>
        <w:t>SUJETO OBLIGADO</w:t>
      </w:r>
      <w:r w:rsidRPr="006E4E95">
        <w:rPr>
          <w:rFonts w:ascii="Palatino Linotype" w:hAnsi="Palatino Linotype" w:cs="Arial"/>
          <w:noProof/>
          <w:color w:val="000000" w:themeColor="text1"/>
        </w:rPr>
        <w:t xml:space="preserve"> a apegarse en todo momento a los criterios ya expuestos, imipidiendo a este Órgano Colegiado cuestionar </w:t>
      </w:r>
      <w:r w:rsidRPr="006E4E95">
        <w:rPr>
          <w:rFonts w:ascii="Palatino Linotype" w:hAnsi="Palatino Linotype" w:cs="Arial"/>
          <w:b/>
          <w:noProof/>
          <w:color w:val="000000" w:themeColor="text1"/>
          <w:u w:val="single"/>
        </w:rPr>
        <w:t>la veracidad</w:t>
      </w:r>
      <w:r w:rsidRPr="006E4E95">
        <w:rPr>
          <w:rFonts w:ascii="Palatino Linotype" w:hAnsi="Palatino Linotype" w:cs="Arial"/>
          <w:noProof/>
          <w:color w:val="000000" w:themeColor="text1"/>
        </w:rPr>
        <w:t xml:space="preserve"> de la información.</w:t>
      </w:r>
    </w:p>
    <w:p w:rsidR="00C25882" w:rsidRPr="006E4E95" w:rsidRDefault="00C25882" w:rsidP="006E4E95">
      <w:pPr>
        <w:pStyle w:val="Prrafodelista"/>
        <w:tabs>
          <w:tab w:val="left" w:pos="0"/>
        </w:tabs>
        <w:spacing w:line="360" w:lineRule="auto"/>
        <w:ind w:left="0"/>
        <w:jc w:val="both"/>
        <w:rPr>
          <w:rFonts w:ascii="Palatino Linotype" w:hAnsi="Palatino Linotype" w:cs="Arial"/>
          <w:noProof/>
          <w:color w:val="000000" w:themeColor="text1"/>
        </w:rPr>
      </w:pPr>
    </w:p>
    <w:p w:rsidR="00C25882" w:rsidRPr="006E4E95" w:rsidRDefault="00C25882" w:rsidP="006E4E95">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6E4E95">
        <w:rPr>
          <w:rFonts w:ascii="Palatino Linotype" w:hAnsi="Palatino Linotype" w:cs="Arial"/>
          <w:color w:val="000000" w:themeColor="text1"/>
        </w:rPr>
        <w:t xml:space="preserve">En conclusión, el </w:t>
      </w:r>
      <w:r w:rsidRPr="006E4E95">
        <w:rPr>
          <w:rFonts w:ascii="Palatino Linotype" w:hAnsi="Palatino Linotype" w:cs="Arial"/>
          <w:b/>
          <w:color w:val="000000" w:themeColor="text1"/>
        </w:rPr>
        <w:t xml:space="preserve">SUJETO OBLIGADO </w:t>
      </w:r>
      <w:r w:rsidRPr="006E4E95">
        <w:rPr>
          <w:rFonts w:ascii="Palatino Linotype" w:hAnsi="Palatino Linotype" w:cs="Arial"/>
          <w:color w:val="000000" w:themeColor="text1"/>
        </w:rPr>
        <w:t>emitió</w:t>
      </w:r>
      <w:r w:rsidRPr="006E4E95">
        <w:rPr>
          <w:rFonts w:ascii="Palatino Linotype" w:hAnsi="Palatino Linotype" w:cs="Arial"/>
          <w:b/>
          <w:color w:val="000000" w:themeColor="text1"/>
        </w:rPr>
        <w:t xml:space="preserve"> </w:t>
      </w:r>
      <w:r w:rsidRPr="006E4E95">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6E4E95">
        <w:rPr>
          <w:rFonts w:ascii="Palatino Linotype" w:hAnsi="Palatino Linotype" w:cs="Arial"/>
          <w:b/>
          <w:color w:val="000000" w:themeColor="text1"/>
        </w:rPr>
        <w:t xml:space="preserve">CONFIRMAR </w:t>
      </w:r>
      <w:r w:rsidRPr="006E4E95">
        <w:rPr>
          <w:rFonts w:ascii="Palatino Linotype" w:hAnsi="Palatino Linotype" w:cs="Arial"/>
          <w:color w:val="000000" w:themeColor="text1"/>
        </w:rPr>
        <w:t>la respuesta.</w:t>
      </w:r>
    </w:p>
    <w:p w:rsidR="00C25882" w:rsidRPr="006E4E95" w:rsidRDefault="00C25882" w:rsidP="006E4E95">
      <w:pPr>
        <w:pStyle w:val="Prrafodelista"/>
        <w:ind w:left="0"/>
        <w:rPr>
          <w:rFonts w:ascii="Palatino Linotype" w:hAnsi="Palatino Linotype" w:cs="Arial"/>
          <w:color w:val="000000" w:themeColor="text1"/>
        </w:rPr>
      </w:pPr>
    </w:p>
    <w:p w:rsidR="00C25882" w:rsidRPr="006E4E95" w:rsidRDefault="00C25882" w:rsidP="006E4E95">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6E4E95">
        <w:rPr>
          <w:rFonts w:ascii="Palatino Linotype" w:hAnsi="Palatino Linotype" w:cs="Arial"/>
          <w:color w:val="000000" w:themeColor="text1"/>
        </w:rPr>
        <w:t xml:space="preserve">Por lo anteriormente expuesto y fundado, este </w:t>
      </w:r>
      <w:r w:rsidRPr="006E4E95">
        <w:rPr>
          <w:rFonts w:ascii="Palatino Linotype" w:hAnsi="Palatino Linotype" w:cs="Arial"/>
          <w:b/>
          <w:bCs/>
          <w:color w:val="000000" w:themeColor="text1"/>
        </w:rPr>
        <w:t>ÓRGANO GARANTE</w:t>
      </w:r>
      <w:r w:rsidRPr="006E4E95">
        <w:rPr>
          <w:rFonts w:ascii="Palatino Linotype" w:hAnsi="Palatino Linotype" w:cs="Arial"/>
          <w:color w:val="000000" w:themeColor="text1"/>
        </w:rPr>
        <w:t xml:space="preserve"> emite los siguientes:</w:t>
      </w:r>
    </w:p>
    <w:p w:rsidR="00C25882" w:rsidRPr="006E4E95" w:rsidRDefault="00C25882" w:rsidP="006E4E95">
      <w:pPr>
        <w:pStyle w:val="Ttulo1"/>
        <w:jc w:val="center"/>
        <w:rPr>
          <w:rFonts w:ascii="Palatino Linotype" w:hAnsi="Palatino Linotype"/>
          <w:b/>
          <w:color w:val="000000" w:themeColor="text1"/>
          <w:sz w:val="24"/>
          <w:szCs w:val="24"/>
        </w:rPr>
      </w:pPr>
      <w:bookmarkStart w:id="6" w:name="_Toc4061692"/>
      <w:bookmarkStart w:id="7" w:name="_Toc486525261"/>
      <w:bookmarkStart w:id="8" w:name="_Toc445745148"/>
      <w:bookmarkStart w:id="9" w:name="_Toc447699324"/>
      <w:bookmarkStart w:id="10" w:name="_Toc87549684"/>
      <w:r w:rsidRPr="006E4E95">
        <w:rPr>
          <w:rFonts w:ascii="Palatino Linotype" w:hAnsi="Palatino Linotype"/>
          <w:b/>
          <w:color w:val="000000" w:themeColor="text1"/>
          <w:sz w:val="24"/>
          <w:szCs w:val="24"/>
        </w:rPr>
        <w:t>R E S O L U T I V O S</w:t>
      </w:r>
      <w:bookmarkEnd w:id="6"/>
      <w:bookmarkEnd w:id="7"/>
      <w:bookmarkEnd w:id="8"/>
      <w:bookmarkEnd w:id="9"/>
      <w:bookmarkEnd w:id="10"/>
    </w:p>
    <w:p w:rsidR="00C25882" w:rsidRPr="006E4E95" w:rsidRDefault="00C25882" w:rsidP="006E4E95">
      <w:pPr>
        <w:keepNext/>
        <w:keepLines/>
        <w:spacing w:line="360" w:lineRule="auto"/>
        <w:jc w:val="center"/>
        <w:outlineLvl w:val="0"/>
        <w:rPr>
          <w:rFonts w:ascii="Palatino Linotype" w:hAnsi="Palatino Linotype" w:cstheme="majorBidi"/>
          <w:b/>
          <w:bCs/>
          <w:color w:val="000000" w:themeColor="text1"/>
        </w:rPr>
      </w:pPr>
    </w:p>
    <w:p w:rsidR="00C25882" w:rsidRPr="006E4E95" w:rsidRDefault="00C25882" w:rsidP="006E4E95">
      <w:pPr>
        <w:spacing w:line="360" w:lineRule="auto"/>
        <w:jc w:val="both"/>
        <w:rPr>
          <w:rFonts w:ascii="Palatino Linotype" w:hAnsi="Palatino Linotype"/>
          <w:color w:val="000000" w:themeColor="text1"/>
        </w:rPr>
      </w:pPr>
      <w:r w:rsidRPr="006E4E95">
        <w:rPr>
          <w:rFonts w:ascii="Palatino Linotype" w:hAnsi="Palatino Linotype" w:cs="Arial"/>
          <w:b/>
          <w:color w:val="000000" w:themeColor="text1"/>
        </w:rPr>
        <w:t xml:space="preserve">PRIMERO. </w:t>
      </w:r>
      <w:r w:rsidRPr="006E4E95">
        <w:rPr>
          <w:rFonts w:ascii="Palatino Linotype" w:hAnsi="Palatino Linotype" w:cs="Arial"/>
          <w:color w:val="000000" w:themeColor="text1"/>
        </w:rPr>
        <w:t>Resultan infundadas las</w:t>
      </w:r>
      <w:r w:rsidRPr="006E4E95">
        <w:rPr>
          <w:rFonts w:ascii="Palatino Linotype" w:hAnsi="Palatino Linotype" w:cs="Arial"/>
          <w:b/>
          <w:color w:val="000000" w:themeColor="text1"/>
        </w:rPr>
        <w:t xml:space="preserve"> </w:t>
      </w:r>
      <w:r w:rsidRPr="006E4E95">
        <w:rPr>
          <w:rFonts w:ascii="Palatino Linotype" w:hAnsi="Palatino Linotype" w:cs="Arial"/>
          <w:color w:val="000000" w:themeColor="text1"/>
          <w:lang w:val="es-ES"/>
        </w:rPr>
        <w:t xml:space="preserve">razones o motivos de inconformidad hechos valer </w:t>
      </w:r>
      <w:r w:rsidRPr="006E4E95">
        <w:rPr>
          <w:rFonts w:ascii="Palatino Linotype" w:eastAsia="Calibri" w:hAnsi="Palatino Linotype" w:cs="Arial"/>
          <w:color w:val="000000" w:themeColor="text1"/>
          <w:lang w:val="es-ES"/>
        </w:rPr>
        <w:t xml:space="preserve">en el recurso de revisión </w:t>
      </w:r>
      <w:r w:rsidR="00FA7E63" w:rsidRPr="006E4E95">
        <w:rPr>
          <w:rFonts w:ascii="Palatino Linotype" w:eastAsia="Calibri" w:hAnsi="Palatino Linotype" w:cs="Tahoma"/>
          <w:b/>
          <w:color w:val="000000" w:themeColor="text1"/>
          <w:lang w:eastAsia="en-US"/>
        </w:rPr>
        <w:t>12268</w:t>
      </w:r>
      <w:r w:rsidRPr="006E4E95">
        <w:rPr>
          <w:rFonts w:ascii="Palatino Linotype" w:eastAsia="Calibri" w:hAnsi="Palatino Linotype" w:cs="Tahoma"/>
          <w:b/>
          <w:color w:val="000000" w:themeColor="text1"/>
          <w:lang w:eastAsia="en-US"/>
        </w:rPr>
        <w:t>/INFOEM/IP/RR/2025</w:t>
      </w:r>
      <w:r w:rsidRPr="006E4E95">
        <w:rPr>
          <w:rFonts w:ascii="Palatino Linotype" w:hAnsi="Palatino Linotype"/>
          <w:b/>
          <w:color w:val="000000" w:themeColor="text1"/>
        </w:rPr>
        <w:t xml:space="preserve"> </w:t>
      </w:r>
      <w:r w:rsidRPr="006E4E95">
        <w:rPr>
          <w:rFonts w:ascii="Palatino Linotype" w:hAnsi="Palatino Linotype"/>
          <w:color w:val="000000" w:themeColor="text1"/>
        </w:rPr>
        <w:t>en términos del</w:t>
      </w:r>
      <w:r w:rsidRPr="006E4E95">
        <w:rPr>
          <w:rFonts w:ascii="Palatino Linotype" w:hAnsi="Palatino Linotype"/>
          <w:b/>
          <w:bCs/>
          <w:color w:val="000000" w:themeColor="text1"/>
        </w:rPr>
        <w:t xml:space="preserve"> Considerando</w:t>
      </w:r>
      <w:r w:rsidRPr="006E4E95">
        <w:rPr>
          <w:rFonts w:ascii="Palatino Linotype" w:hAnsi="Palatino Linotype"/>
          <w:color w:val="000000" w:themeColor="text1"/>
        </w:rPr>
        <w:t xml:space="preserve"> </w:t>
      </w:r>
      <w:r w:rsidRPr="006E4E95">
        <w:rPr>
          <w:rFonts w:ascii="Palatino Linotype" w:hAnsi="Palatino Linotype"/>
          <w:b/>
          <w:color w:val="000000" w:themeColor="text1"/>
        </w:rPr>
        <w:t>CUARTO</w:t>
      </w:r>
      <w:r w:rsidRPr="006E4E95">
        <w:rPr>
          <w:rFonts w:ascii="Palatino Linotype" w:hAnsi="Palatino Linotype"/>
          <w:color w:val="000000" w:themeColor="text1"/>
        </w:rPr>
        <w:t xml:space="preserve"> de la presente resolución.</w:t>
      </w:r>
    </w:p>
    <w:p w:rsidR="00C25882" w:rsidRPr="006E4E95" w:rsidRDefault="00C25882" w:rsidP="006E4E95">
      <w:pPr>
        <w:spacing w:line="360" w:lineRule="auto"/>
        <w:contextualSpacing/>
        <w:jc w:val="both"/>
        <w:rPr>
          <w:rFonts w:ascii="Palatino Linotype" w:eastAsia="Calibri" w:hAnsi="Palatino Linotype" w:cs="Arial"/>
          <w:b/>
          <w:bCs/>
          <w:color w:val="000000" w:themeColor="text1"/>
          <w:lang w:val="es-ES"/>
        </w:rPr>
      </w:pPr>
    </w:p>
    <w:p w:rsidR="00C25882" w:rsidRPr="006E4E95" w:rsidRDefault="00C25882" w:rsidP="006E4E95">
      <w:pPr>
        <w:spacing w:line="360" w:lineRule="auto"/>
        <w:contextualSpacing/>
        <w:jc w:val="both"/>
        <w:rPr>
          <w:rFonts w:ascii="Palatino Linotype" w:eastAsia="Calibri" w:hAnsi="Palatino Linotype" w:cs="Arial"/>
          <w:b/>
          <w:bCs/>
          <w:color w:val="000000" w:themeColor="text1"/>
        </w:rPr>
      </w:pPr>
      <w:r w:rsidRPr="006E4E95">
        <w:rPr>
          <w:rFonts w:ascii="Palatino Linotype" w:eastAsia="Calibri" w:hAnsi="Palatino Linotype" w:cs="Arial"/>
          <w:b/>
          <w:bCs/>
          <w:color w:val="000000" w:themeColor="text1"/>
          <w:lang w:val="es-ES"/>
        </w:rPr>
        <w:lastRenderedPageBreak/>
        <w:t xml:space="preserve">SEGUNDO. </w:t>
      </w:r>
      <w:r w:rsidRPr="006E4E95">
        <w:rPr>
          <w:rFonts w:ascii="Palatino Linotype" w:eastAsia="Calibri" w:hAnsi="Palatino Linotype" w:cs="Arial"/>
          <w:color w:val="000000" w:themeColor="text1"/>
          <w:lang w:val="es-ES"/>
        </w:rPr>
        <w:t xml:space="preserve">Se </w:t>
      </w:r>
      <w:r w:rsidRPr="006E4E95">
        <w:rPr>
          <w:rFonts w:ascii="Palatino Linotype" w:eastAsia="Calibri" w:hAnsi="Palatino Linotype" w:cs="Arial"/>
          <w:b/>
          <w:color w:val="000000" w:themeColor="text1"/>
          <w:lang w:val="es-ES"/>
        </w:rPr>
        <w:t>CONFIRMA</w:t>
      </w:r>
      <w:r w:rsidR="005F308F" w:rsidRPr="006E4E95">
        <w:rPr>
          <w:rFonts w:ascii="Palatino Linotype" w:eastAsia="Calibri" w:hAnsi="Palatino Linotype" w:cs="Arial"/>
          <w:color w:val="000000" w:themeColor="text1"/>
          <w:lang w:val="es-ES"/>
        </w:rPr>
        <w:t xml:space="preserve"> la respuesta emitida por el</w:t>
      </w:r>
      <w:r w:rsidRPr="006E4E95">
        <w:rPr>
          <w:rFonts w:ascii="Palatino Linotype" w:eastAsia="Calibri" w:hAnsi="Palatino Linotype" w:cs="Arial"/>
          <w:b/>
          <w:color w:val="000000" w:themeColor="text1"/>
          <w:lang w:val="es-ES"/>
        </w:rPr>
        <w:t xml:space="preserve"> </w:t>
      </w:r>
      <w:r w:rsidR="005F308F" w:rsidRPr="006E4E95">
        <w:rPr>
          <w:rFonts w:ascii="Palatino Linotype" w:eastAsia="Calibri" w:hAnsi="Palatino Linotype" w:cs="Arial"/>
          <w:b/>
          <w:bCs/>
          <w:color w:val="000000" w:themeColor="text1"/>
        </w:rPr>
        <w:t xml:space="preserve">Consejo Estatal para el Desarrollo Integral de Los Pueblos Indígenas del Estado de México </w:t>
      </w:r>
      <w:r w:rsidRPr="006E4E95">
        <w:rPr>
          <w:rFonts w:ascii="Palatino Linotype" w:eastAsia="Calibri" w:hAnsi="Palatino Linotype" w:cs="Arial"/>
          <w:bCs/>
          <w:color w:val="000000" w:themeColor="text1"/>
        </w:rPr>
        <w:t xml:space="preserve">a la solicitud </w:t>
      </w:r>
      <w:bookmarkStart w:id="11" w:name="_Toc460947013"/>
      <w:r w:rsidR="00FA7E63" w:rsidRPr="006E4E95">
        <w:rPr>
          <w:rFonts w:ascii="Palatino Linotype" w:hAnsi="Palatino Linotype" w:cs="Arial"/>
          <w:b/>
          <w:bCs/>
          <w:color w:val="000000" w:themeColor="text1"/>
        </w:rPr>
        <w:t>00067/CEDIPIEM/IP/2025</w:t>
      </w:r>
      <w:r w:rsidRPr="006E4E95">
        <w:rPr>
          <w:rFonts w:ascii="Palatino Linotype" w:eastAsia="Calibri" w:hAnsi="Palatino Linotype" w:cs="Arial"/>
          <w:color w:val="000000" w:themeColor="text1"/>
        </w:rPr>
        <w:t>.</w:t>
      </w:r>
    </w:p>
    <w:p w:rsidR="00C25882" w:rsidRPr="006E4E95" w:rsidRDefault="00C25882" w:rsidP="006E4E95">
      <w:pPr>
        <w:tabs>
          <w:tab w:val="left" w:pos="993"/>
        </w:tabs>
        <w:spacing w:line="360" w:lineRule="auto"/>
        <w:jc w:val="both"/>
        <w:rPr>
          <w:rFonts w:ascii="Palatino Linotype" w:eastAsia="Calibri" w:hAnsi="Palatino Linotype" w:cs="Arial"/>
          <w:color w:val="000000" w:themeColor="text1"/>
        </w:rPr>
      </w:pPr>
    </w:p>
    <w:p w:rsidR="00C25882" w:rsidRPr="006E4E95" w:rsidRDefault="00C25882" w:rsidP="006E4E95">
      <w:pPr>
        <w:tabs>
          <w:tab w:val="left" w:pos="8080"/>
        </w:tabs>
        <w:spacing w:line="360" w:lineRule="auto"/>
        <w:contextualSpacing/>
        <w:jc w:val="both"/>
        <w:rPr>
          <w:rFonts w:ascii="Palatino Linotype" w:eastAsia="Palatino Linotype" w:hAnsi="Palatino Linotype" w:cs="Palatino Linotype"/>
          <w:b/>
          <w:color w:val="000000" w:themeColor="text1"/>
        </w:rPr>
      </w:pPr>
      <w:r w:rsidRPr="006E4E95">
        <w:rPr>
          <w:rFonts w:ascii="Palatino Linotype" w:eastAsia="MS Mincho" w:hAnsi="Palatino Linotype"/>
          <w:b/>
          <w:color w:val="000000" w:themeColor="text1"/>
        </w:rPr>
        <w:t>TERCERO.</w:t>
      </w:r>
      <w:r w:rsidRPr="006E4E95">
        <w:rPr>
          <w:rFonts w:ascii="Palatino Linotype" w:eastAsia="MS Mincho" w:hAnsi="Palatino Linotype"/>
          <w:color w:val="000000" w:themeColor="text1"/>
        </w:rPr>
        <w:t xml:space="preserve"> </w:t>
      </w:r>
      <w:bookmarkEnd w:id="11"/>
      <w:r w:rsidRPr="006E4E95">
        <w:rPr>
          <w:rFonts w:ascii="Palatino Linotype" w:eastAsia="Palatino Linotype" w:hAnsi="Palatino Linotype" w:cs="Palatino Linotype"/>
          <w:b/>
          <w:color w:val="000000" w:themeColor="text1"/>
        </w:rPr>
        <w:t xml:space="preserve">Notifíquese, </w:t>
      </w:r>
      <w:r w:rsidRPr="006E4E95">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6E4E95">
        <w:rPr>
          <w:rFonts w:ascii="Palatino Linotype" w:eastAsia="Palatino Linotype" w:hAnsi="Palatino Linotype" w:cs="Palatino Linotype"/>
          <w:b/>
          <w:color w:val="000000" w:themeColor="text1"/>
        </w:rPr>
        <w:t>SUJETO OBLIGADO.</w:t>
      </w:r>
    </w:p>
    <w:p w:rsidR="00C25882" w:rsidRPr="006E4E95" w:rsidRDefault="00C25882" w:rsidP="006E4E95">
      <w:pPr>
        <w:tabs>
          <w:tab w:val="left" w:pos="8080"/>
        </w:tabs>
        <w:spacing w:line="360" w:lineRule="auto"/>
        <w:contextualSpacing/>
        <w:jc w:val="both"/>
        <w:rPr>
          <w:rFonts w:ascii="Palatino Linotype" w:eastAsia="Palatino Linotype" w:hAnsi="Palatino Linotype" w:cs="Palatino Linotype"/>
          <w:b/>
          <w:color w:val="000000" w:themeColor="text1"/>
        </w:rPr>
      </w:pPr>
    </w:p>
    <w:p w:rsidR="00C25882" w:rsidRPr="006E4E95" w:rsidRDefault="00C25882" w:rsidP="006E4E95">
      <w:pPr>
        <w:shd w:val="clear" w:color="auto" w:fill="FFFFFF"/>
        <w:spacing w:line="360" w:lineRule="auto"/>
        <w:jc w:val="both"/>
        <w:rPr>
          <w:rFonts w:ascii="Palatino Linotype" w:hAnsi="Palatino Linotype"/>
          <w:color w:val="000000" w:themeColor="text1"/>
        </w:rPr>
      </w:pPr>
      <w:r w:rsidRPr="006E4E95">
        <w:rPr>
          <w:rFonts w:ascii="Palatino Linotype" w:hAnsi="Palatino Linotype" w:cs="Arial"/>
          <w:b/>
          <w:color w:val="000000" w:themeColor="text1"/>
        </w:rPr>
        <w:t xml:space="preserve">CUARTO. </w:t>
      </w:r>
      <w:r w:rsidRPr="006E4E95">
        <w:rPr>
          <w:rFonts w:ascii="Palatino Linotype" w:hAnsi="Palatino Linotype"/>
          <w:b/>
          <w:bCs/>
          <w:color w:val="000000" w:themeColor="text1"/>
          <w:lang w:val="es-ES"/>
        </w:rPr>
        <w:t>Notifíquese al</w:t>
      </w:r>
      <w:r w:rsidRPr="006E4E95">
        <w:rPr>
          <w:rFonts w:ascii="Palatino Linotype" w:hAnsi="Palatino Linotype"/>
          <w:b/>
          <w:color w:val="000000" w:themeColor="text1"/>
        </w:rPr>
        <w:t xml:space="preserve"> RECURRENTE</w:t>
      </w:r>
      <w:r w:rsidRPr="006E4E95">
        <w:rPr>
          <w:rFonts w:ascii="Palatino Linotype" w:hAnsi="Palatino Linotype"/>
          <w:color w:val="000000" w:themeColor="text1"/>
        </w:rPr>
        <w:t xml:space="preserve"> la presente resolución, </w:t>
      </w:r>
      <w:r w:rsidRPr="006E4E95">
        <w:rPr>
          <w:rFonts w:ascii="Palatino Linotype" w:eastAsia="Palatino Linotype" w:hAnsi="Palatino Linotype" w:cs="Palatino Linotype"/>
          <w:color w:val="000000" w:themeColor="text1"/>
        </w:rPr>
        <w:t>vía Sistema de Acceso a la Información Mexiquense (SAIMEX).</w:t>
      </w:r>
    </w:p>
    <w:p w:rsidR="00C25882" w:rsidRPr="006E4E95" w:rsidRDefault="00C25882" w:rsidP="006E4E95">
      <w:pPr>
        <w:shd w:val="clear" w:color="auto" w:fill="FFFFFF"/>
        <w:spacing w:line="360" w:lineRule="auto"/>
        <w:jc w:val="both"/>
        <w:rPr>
          <w:rFonts w:ascii="Palatino Linotype" w:hAnsi="Palatino Linotype"/>
          <w:color w:val="000000" w:themeColor="text1"/>
        </w:rPr>
      </w:pPr>
    </w:p>
    <w:p w:rsidR="00C25882" w:rsidRDefault="00C25882" w:rsidP="006E4E95">
      <w:pPr>
        <w:spacing w:line="360" w:lineRule="auto"/>
        <w:jc w:val="both"/>
        <w:rPr>
          <w:rFonts w:ascii="Palatino Linotype" w:eastAsia="MS Mincho" w:hAnsi="Palatino Linotype"/>
          <w:color w:val="000000" w:themeColor="text1"/>
          <w:lang w:val="es-ES"/>
        </w:rPr>
      </w:pPr>
      <w:r w:rsidRPr="006E4E95">
        <w:rPr>
          <w:rFonts w:ascii="Palatino Linotype" w:eastAsia="MS Mincho" w:hAnsi="Palatino Linotype"/>
          <w:b/>
          <w:color w:val="000000" w:themeColor="text1"/>
        </w:rPr>
        <w:t>QUINTO.</w:t>
      </w:r>
      <w:r w:rsidRPr="006E4E95">
        <w:rPr>
          <w:rFonts w:ascii="Palatino Linotype" w:eastAsia="MS Mincho" w:hAnsi="Palatino Linotype"/>
          <w:color w:val="000000" w:themeColor="text1"/>
        </w:rPr>
        <w:t xml:space="preserve"> </w:t>
      </w:r>
      <w:r w:rsidRPr="006E4E95">
        <w:rPr>
          <w:rFonts w:ascii="Palatino Linotype" w:eastAsia="MS Mincho" w:hAnsi="Palatino Linotype"/>
          <w:color w:val="000000" w:themeColor="text1"/>
          <w:lang w:val="es-ES"/>
        </w:rPr>
        <w:t xml:space="preserve">Se hace del conocimiento del </w:t>
      </w:r>
      <w:r w:rsidRPr="006E4E95">
        <w:rPr>
          <w:rFonts w:ascii="Palatino Linotype" w:eastAsia="MS Mincho" w:hAnsi="Palatino Linotype"/>
          <w:b/>
          <w:color w:val="000000" w:themeColor="text1"/>
          <w:lang w:val="es-ES"/>
        </w:rPr>
        <w:t>RECURRENTE</w:t>
      </w:r>
      <w:r w:rsidRPr="006E4E95">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E4E95">
        <w:rPr>
          <w:rFonts w:ascii="Palatino Linotype" w:eastAsia="MS Mincho" w:hAnsi="Palatino Linotype"/>
          <w:bCs/>
          <w:color w:val="000000" w:themeColor="text1"/>
          <w:lang w:val="es-ES"/>
        </w:rPr>
        <w:t>vía juicio de amparo</w:t>
      </w:r>
      <w:r w:rsidRPr="006E4E95">
        <w:rPr>
          <w:rFonts w:ascii="Palatino Linotype" w:eastAsia="MS Mincho" w:hAnsi="Palatino Linotype"/>
          <w:color w:val="000000" w:themeColor="text1"/>
          <w:lang w:val="es-ES"/>
        </w:rPr>
        <w:t xml:space="preserve"> en los términos de las leyes aplicables.</w:t>
      </w:r>
    </w:p>
    <w:p w:rsidR="00AC6618" w:rsidRDefault="00AC6618" w:rsidP="00607906">
      <w:pPr>
        <w:tabs>
          <w:tab w:val="left" w:pos="5387"/>
        </w:tabs>
        <w:spacing w:line="360" w:lineRule="auto"/>
        <w:ind w:right="49"/>
        <w:jc w:val="both"/>
        <w:rPr>
          <w:rFonts w:ascii="Palatino Linotype" w:eastAsia="Palatino Linotype" w:hAnsi="Palatino Linotype" w:cs="Palatino Linotype"/>
        </w:rPr>
      </w:pPr>
    </w:p>
    <w:p w:rsidR="00607906" w:rsidRPr="00444783" w:rsidRDefault="00607906" w:rsidP="0060790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C25882" w:rsidRPr="006E4E95" w:rsidRDefault="00C25882" w:rsidP="006E4E95">
      <w:pPr>
        <w:tabs>
          <w:tab w:val="left" w:pos="284"/>
        </w:tabs>
        <w:spacing w:before="240" w:after="240"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rPr>
          <w:rFonts w:ascii="Palatino Linotype" w:eastAsia="Palatino Linotype" w:hAnsi="Palatino Linotype" w:cs="Palatino Linotype"/>
          <w:color w:val="000000" w:themeColor="text1"/>
        </w:rPr>
      </w:pPr>
    </w:p>
    <w:p w:rsidR="00C25882" w:rsidRPr="006E4E95" w:rsidRDefault="00C25882" w:rsidP="006E4E9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882" w:rsidRPr="006E4E95" w:rsidRDefault="00C25882" w:rsidP="006E4E95">
      <w:pPr>
        <w:rPr>
          <w:rFonts w:ascii="Palatino Linotype" w:hAnsi="Palatino Linotype"/>
          <w:color w:val="000000" w:themeColor="text1"/>
        </w:rPr>
      </w:pPr>
    </w:p>
    <w:p w:rsidR="00C25882" w:rsidRPr="006E4E95" w:rsidRDefault="00C25882" w:rsidP="006E4E95">
      <w:pPr>
        <w:rPr>
          <w:rFonts w:ascii="Palatino Linotype" w:hAnsi="Palatino Linotype"/>
          <w:color w:val="000000" w:themeColor="text1"/>
        </w:rPr>
      </w:pPr>
    </w:p>
    <w:p w:rsidR="00C25882" w:rsidRPr="006E4E95" w:rsidRDefault="00C25882" w:rsidP="006E4E95">
      <w:pPr>
        <w:rPr>
          <w:rFonts w:ascii="Palatino Linotype" w:hAnsi="Palatino Linotype"/>
          <w:color w:val="000000" w:themeColor="text1"/>
        </w:rPr>
      </w:pPr>
    </w:p>
    <w:p w:rsidR="00C25882" w:rsidRPr="006E4E95" w:rsidRDefault="00C25882" w:rsidP="006E4E95">
      <w:pPr>
        <w:rPr>
          <w:rFonts w:ascii="Palatino Linotype" w:hAnsi="Palatino Linotype"/>
          <w:color w:val="000000" w:themeColor="text1"/>
        </w:rPr>
      </w:pPr>
    </w:p>
    <w:p w:rsidR="00C25882" w:rsidRPr="006E4E95" w:rsidRDefault="00C25882" w:rsidP="006E4E95">
      <w:pPr>
        <w:rPr>
          <w:rFonts w:ascii="Palatino Linotype" w:hAnsi="Palatino Linotype"/>
          <w:color w:val="000000" w:themeColor="text1"/>
        </w:rPr>
      </w:pPr>
    </w:p>
    <w:p w:rsidR="00C25882" w:rsidRPr="006E4E95" w:rsidRDefault="00C25882" w:rsidP="006E4E95">
      <w:pPr>
        <w:rPr>
          <w:rFonts w:ascii="Palatino Linotype" w:hAnsi="Palatino Linotype"/>
          <w:color w:val="000000" w:themeColor="text1"/>
        </w:rPr>
      </w:pPr>
    </w:p>
    <w:p w:rsidR="005A0DE3" w:rsidRPr="006E4E95" w:rsidRDefault="005A0DE3" w:rsidP="006E4E95">
      <w:pPr>
        <w:rPr>
          <w:rFonts w:ascii="Palatino Linotype" w:hAnsi="Palatino Linotype"/>
          <w:color w:val="000000" w:themeColor="text1"/>
        </w:rPr>
      </w:pPr>
    </w:p>
    <w:sectPr w:rsidR="005A0DE3" w:rsidRPr="006E4E95" w:rsidSect="00AC6618">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B68" w:rsidRDefault="004B7B68" w:rsidP="00C25882">
      <w:r>
        <w:separator/>
      </w:r>
    </w:p>
  </w:endnote>
  <w:endnote w:type="continuationSeparator" w:id="0">
    <w:p w:rsidR="004B7B68" w:rsidRDefault="004B7B68" w:rsidP="00C2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4" w:rsidRPr="00AC6618" w:rsidRDefault="00041CB4">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C6618">
      <w:rPr>
        <w:rFonts w:ascii="Palatino Linotype" w:hAnsi="Palatino Linotype"/>
        <w:color w:val="000000"/>
        <w:sz w:val="22"/>
      </w:rPr>
      <w:t xml:space="preserve">Página </w:t>
    </w:r>
    <w:r w:rsidRPr="00AC6618">
      <w:rPr>
        <w:rFonts w:ascii="Palatino Linotype" w:hAnsi="Palatino Linotype"/>
        <w:b/>
        <w:color w:val="000000"/>
        <w:sz w:val="22"/>
      </w:rPr>
      <w:fldChar w:fldCharType="begin"/>
    </w:r>
    <w:r w:rsidRPr="00AC6618">
      <w:rPr>
        <w:rFonts w:ascii="Palatino Linotype" w:hAnsi="Palatino Linotype"/>
        <w:b/>
        <w:color w:val="000000"/>
        <w:sz w:val="22"/>
      </w:rPr>
      <w:instrText>PAGE</w:instrText>
    </w:r>
    <w:r w:rsidRPr="00AC6618">
      <w:rPr>
        <w:rFonts w:ascii="Palatino Linotype" w:hAnsi="Palatino Linotype"/>
        <w:b/>
        <w:color w:val="000000"/>
        <w:sz w:val="22"/>
      </w:rPr>
      <w:fldChar w:fldCharType="separate"/>
    </w:r>
    <w:r w:rsidR="00AC6618">
      <w:rPr>
        <w:rFonts w:ascii="Palatino Linotype" w:hAnsi="Palatino Linotype"/>
        <w:b/>
        <w:noProof/>
        <w:color w:val="000000"/>
        <w:sz w:val="22"/>
      </w:rPr>
      <w:t>17</w:t>
    </w:r>
    <w:r w:rsidRPr="00AC6618">
      <w:rPr>
        <w:rFonts w:ascii="Palatino Linotype" w:hAnsi="Palatino Linotype"/>
        <w:b/>
        <w:color w:val="000000"/>
        <w:sz w:val="22"/>
      </w:rPr>
      <w:fldChar w:fldCharType="end"/>
    </w:r>
    <w:r w:rsidRPr="00AC6618">
      <w:rPr>
        <w:rFonts w:ascii="Palatino Linotype" w:hAnsi="Palatino Linotype"/>
        <w:color w:val="000000"/>
        <w:sz w:val="22"/>
      </w:rPr>
      <w:t xml:space="preserve"> de </w:t>
    </w:r>
    <w:r w:rsidRPr="00AC6618">
      <w:rPr>
        <w:rFonts w:ascii="Palatino Linotype" w:hAnsi="Palatino Linotype"/>
        <w:b/>
        <w:color w:val="000000"/>
        <w:sz w:val="22"/>
      </w:rPr>
      <w:fldChar w:fldCharType="begin"/>
    </w:r>
    <w:r w:rsidRPr="00AC6618">
      <w:rPr>
        <w:rFonts w:ascii="Palatino Linotype" w:hAnsi="Palatino Linotype"/>
        <w:b/>
        <w:color w:val="000000"/>
        <w:sz w:val="22"/>
      </w:rPr>
      <w:instrText>NUMPAGES</w:instrText>
    </w:r>
    <w:r w:rsidRPr="00AC6618">
      <w:rPr>
        <w:rFonts w:ascii="Palatino Linotype" w:hAnsi="Palatino Linotype"/>
        <w:b/>
        <w:color w:val="000000"/>
        <w:sz w:val="22"/>
      </w:rPr>
      <w:fldChar w:fldCharType="separate"/>
    </w:r>
    <w:r w:rsidR="00AC6618">
      <w:rPr>
        <w:rFonts w:ascii="Palatino Linotype" w:hAnsi="Palatino Linotype"/>
        <w:b/>
        <w:noProof/>
        <w:color w:val="000000"/>
        <w:sz w:val="22"/>
      </w:rPr>
      <w:t>17</w:t>
    </w:r>
    <w:r w:rsidRPr="00AC6618">
      <w:rPr>
        <w:rFonts w:ascii="Palatino Linotype" w:hAnsi="Palatino Linotype"/>
        <w:b/>
        <w:color w:val="000000"/>
        <w:sz w:val="22"/>
      </w:rPr>
      <w:fldChar w:fldCharType="end"/>
    </w:r>
  </w:p>
  <w:p w:rsidR="00041CB4" w:rsidRDefault="00041CB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4" w:rsidRPr="00AC6618" w:rsidRDefault="00041CB4">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C6618">
      <w:rPr>
        <w:rFonts w:ascii="Palatino Linotype" w:hAnsi="Palatino Linotype"/>
        <w:color w:val="000000"/>
        <w:sz w:val="22"/>
      </w:rPr>
      <w:t xml:space="preserve">Página </w:t>
    </w:r>
    <w:r w:rsidRPr="00AC6618">
      <w:rPr>
        <w:rFonts w:ascii="Palatino Linotype" w:hAnsi="Palatino Linotype"/>
        <w:b/>
        <w:color w:val="000000"/>
        <w:sz w:val="22"/>
      </w:rPr>
      <w:fldChar w:fldCharType="begin"/>
    </w:r>
    <w:r w:rsidRPr="00AC6618">
      <w:rPr>
        <w:rFonts w:ascii="Palatino Linotype" w:hAnsi="Palatino Linotype"/>
        <w:b/>
        <w:color w:val="000000"/>
        <w:sz w:val="22"/>
      </w:rPr>
      <w:instrText>PAGE</w:instrText>
    </w:r>
    <w:r w:rsidRPr="00AC6618">
      <w:rPr>
        <w:rFonts w:ascii="Palatino Linotype" w:hAnsi="Palatino Linotype"/>
        <w:b/>
        <w:color w:val="000000"/>
        <w:sz w:val="22"/>
      </w:rPr>
      <w:fldChar w:fldCharType="separate"/>
    </w:r>
    <w:r w:rsidR="00AC6618">
      <w:rPr>
        <w:rFonts w:ascii="Palatino Linotype" w:hAnsi="Palatino Linotype"/>
        <w:b/>
        <w:noProof/>
        <w:color w:val="000000"/>
        <w:sz w:val="22"/>
      </w:rPr>
      <w:t>1</w:t>
    </w:r>
    <w:r w:rsidRPr="00AC6618">
      <w:rPr>
        <w:rFonts w:ascii="Palatino Linotype" w:hAnsi="Palatino Linotype"/>
        <w:b/>
        <w:color w:val="000000"/>
        <w:sz w:val="22"/>
      </w:rPr>
      <w:fldChar w:fldCharType="end"/>
    </w:r>
    <w:r w:rsidRPr="00AC6618">
      <w:rPr>
        <w:rFonts w:ascii="Palatino Linotype" w:hAnsi="Palatino Linotype"/>
        <w:color w:val="000000"/>
        <w:sz w:val="22"/>
      </w:rPr>
      <w:t xml:space="preserve"> de </w:t>
    </w:r>
    <w:r w:rsidRPr="00AC6618">
      <w:rPr>
        <w:rFonts w:ascii="Palatino Linotype" w:hAnsi="Palatino Linotype"/>
        <w:b/>
        <w:color w:val="000000"/>
        <w:sz w:val="22"/>
      </w:rPr>
      <w:fldChar w:fldCharType="begin"/>
    </w:r>
    <w:r w:rsidRPr="00AC6618">
      <w:rPr>
        <w:rFonts w:ascii="Palatino Linotype" w:hAnsi="Palatino Linotype"/>
        <w:b/>
        <w:color w:val="000000"/>
        <w:sz w:val="22"/>
      </w:rPr>
      <w:instrText>NUMPAGES</w:instrText>
    </w:r>
    <w:r w:rsidRPr="00AC6618">
      <w:rPr>
        <w:rFonts w:ascii="Palatino Linotype" w:hAnsi="Palatino Linotype"/>
        <w:b/>
        <w:color w:val="000000"/>
        <w:sz w:val="22"/>
      </w:rPr>
      <w:fldChar w:fldCharType="separate"/>
    </w:r>
    <w:r w:rsidR="00AC6618">
      <w:rPr>
        <w:rFonts w:ascii="Palatino Linotype" w:hAnsi="Palatino Linotype"/>
        <w:b/>
        <w:noProof/>
        <w:color w:val="000000"/>
        <w:sz w:val="22"/>
      </w:rPr>
      <w:t>17</w:t>
    </w:r>
    <w:r w:rsidRPr="00AC6618">
      <w:rPr>
        <w:rFonts w:ascii="Palatino Linotype" w:hAnsi="Palatino Linotype"/>
        <w:b/>
        <w:color w:val="000000"/>
        <w:sz w:val="22"/>
      </w:rPr>
      <w:fldChar w:fldCharType="end"/>
    </w:r>
  </w:p>
  <w:p w:rsidR="00041CB4" w:rsidRDefault="00041CB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B68" w:rsidRDefault="004B7B68" w:rsidP="00C25882">
      <w:r>
        <w:separator/>
      </w:r>
    </w:p>
  </w:footnote>
  <w:footnote w:type="continuationSeparator" w:id="0">
    <w:p w:rsidR="004B7B68" w:rsidRDefault="004B7B68" w:rsidP="00C25882">
      <w:r>
        <w:continuationSeparator/>
      </w:r>
    </w:p>
  </w:footnote>
  <w:footnote w:id="1">
    <w:p w:rsidR="00041CB4" w:rsidRDefault="00041CB4" w:rsidP="00C2588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041CB4" w:rsidRDefault="00041CB4" w:rsidP="00C2588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041CB4" w:rsidRDefault="00041CB4" w:rsidP="00C2588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041CB4" w:rsidRDefault="00041CB4" w:rsidP="00C2588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041CB4" w:rsidRDefault="00041CB4" w:rsidP="00C2588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B4" w:rsidRDefault="004B7B6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09" w:type="dxa"/>
      <w:tblInd w:w="2539" w:type="dxa"/>
      <w:tblLayout w:type="fixed"/>
      <w:tblLook w:val="0400" w:firstRow="0" w:lastRow="0" w:firstColumn="0" w:lastColumn="0" w:noHBand="0" w:noVBand="1"/>
    </w:tblPr>
    <w:tblGrid>
      <w:gridCol w:w="2706"/>
      <w:gridCol w:w="5103"/>
    </w:tblGrid>
    <w:tr w:rsidR="006E4E95" w:rsidTr="00AC6618">
      <w:trPr>
        <w:trHeight w:val="150"/>
      </w:trPr>
      <w:tc>
        <w:tcPr>
          <w:tcW w:w="2706" w:type="dxa"/>
          <w:shd w:val="clear" w:color="auto" w:fill="auto"/>
        </w:tcPr>
        <w:p w:rsidR="006E4E95" w:rsidRPr="006E4E95" w:rsidRDefault="006E4E95" w:rsidP="006E4E95">
          <w:pPr>
            <w:tabs>
              <w:tab w:val="right" w:pos="8838"/>
            </w:tabs>
            <w:ind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Recurso de Revisión:</w:t>
          </w:r>
        </w:p>
      </w:tc>
      <w:tc>
        <w:tcPr>
          <w:tcW w:w="5103" w:type="dxa"/>
          <w:shd w:val="clear" w:color="auto" w:fill="auto"/>
        </w:tcPr>
        <w:p w:rsidR="006E4E95" w:rsidRPr="006E4E95" w:rsidRDefault="006E4E95" w:rsidP="00AC6618">
          <w:pPr>
            <w:tabs>
              <w:tab w:val="right" w:pos="8838"/>
            </w:tabs>
            <w:rPr>
              <w:rFonts w:ascii="Palatino Linotype" w:eastAsia="Palatino Linotype" w:hAnsi="Palatino Linotype" w:cs="Palatino Linotype"/>
            </w:rPr>
          </w:pPr>
          <w:r w:rsidRPr="006E4E95">
            <w:rPr>
              <w:rFonts w:ascii="Palatino Linotype" w:eastAsia="Palatino Linotype" w:hAnsi="Palatino Linotype" w:cs="Palatino Linotype"/>
            </w:rPr>
            <w:t>12268/INFOEM/IP/RR/2025</w:t>
          </w:r>
          <w:r w:rsidRPr="006E4E95">
            <w:rPr>
              <w:rFonts w:ascii="Palatino Linotype" w:eastAsia="Palatino Linotype" w:hAnsi="Palatino Linotype" w:cs="Palatino Linotype"/>
              <w:b/>
            </w:rPr>
            <w:t xml:space="preserve"> </w:t>
          </w:r>
        </w:p>
      </w:tc>
    </w:tr>
    <w:tr w:rsidR="006E4E95" w:rsidTr="00AC6618">
      <w:trPr>
        <w:trHeight w:val="295"/>
      </w:trPr>
      <w:tc>
        <w:tcPr>
          <w:tcW w:w="2706" w:type="dxa"/>
          <w:shd w:val="clear" w:color="auto" w:fill="auto"/>
        </w:tcPr>
        <w:p w:rsidR="006E4E95" w:rsidRPr="006E4E95" w:rsidRDefault="006E4E95" w:rsidP="006E4E95">
          <w:pPr>
            <w:tabs>
              <w:tab w:val="right" w:pos="8838"/>
            </w:tabs>
            <w:ind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Sujeto Obligado:</w:t>
          </w:r>
        </w:p>
      </w:tc>
      <w:tc>
        <w:tcPr>
          <w:tcW w:w="5103" w:type="dxa"/>
          <w:shd w:val="clear" w:color="auto" w:fill="auto"/>
        </w:tcPr>
        <w:p w:rsidR="006E4E95" w:rsidRPr="006E4E95" w:rsidRDefault="006E4E95" w:rsidP="00AC6618">
          <w:pPr>
            <w:tabs>
              <w:tab w:val="right" w:pos="8838"/>
            </w:tabs>
            <w:rPr>
              <w:rFonts w:ascii="Palatino Linotype" w:eastAsia="Palatino Linotype" w:hAnsi="Palatino Linotype" w:cs="Palatino Linotype"/>
            </w:rPr>
          </w:pPr>
          <w:r w:rsidRPr="006E4E95">
            <w:rPr>
              <w:rFonts w:ascii="Palatino Linotype" w:eastAsia="Palatino Linotype" w:hAnsi="Palatino Linotype" w:cs="Palatino Linotype"/>
              <w:bCs/>
            </w:rPr>
            <w:t>Consejo Estatal para el Desarrollo Integral de Los Pueblos Indígenas del Estado de México</w:t>
          </w:r>
        </w:p>
      </w:tc>
    </w:tr>
    <w:tr w:rsidR="006E4E95" w:rsidTr="00AC6618">
      <w:trPr>
        <w:trHeight w:val="295"/>
      </w:trPr>
      <w:tc>
        <w:tcPr>
          <w:tcW w:w="2706" w:type="dxa"/>
          <w:shd w:val="clear" w:color="auto" w:fill="auto"/>
        </w:tcPr>
        <w:p w:rsidR="006E4E95" w:rsidRPr="006E4E95" w:rsidRDefault="006E4E95" w:rsidP="006E4E95">
          <w:pPr>
            <w:tabs>
              <w:tab w:val="right" w:pos="8838"/>
            </w:tabs>
            <w:ind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Comisionado ponente:</w:t>
          </w:r>
        </w:p>
      </w:tc>
      <w:tc>
        <w:tcPr>
          <w:tcW w:w="5103" w:type="dxa"/>
          <w:shd w:val="clear" w:color="auto" w:fill="auto"/>
        </w:tcPr>
        <w:p w:rsidR="006E4E95" w:rsidRPr="006E4E95" w:rsidRDefault="006E4E95" w:rsidP="00AC6618">
          <w:pPr>
            <w:tabs>
              <w:tab w:val="right" w:pos="8838"/>
            </w:tabs>
            <w:rPr>
              <w:rFonts w:ascii="Palatino Linotype" w:eastAsia="Palatino Linotype" w:hAnsi="Palatino Linotype" w:cs="Palatino Linotype"/>
            </w:rPr>
          </w:pPr>
          <w:r w:rsidRPr="006E4E95">
            <w:rPr>
              <w:rFonts w:ascii="Palatino Linotype" w:eastAsia="Palatino Linotype" w:hAnsi="Palatino Linotype" w:cs="Palatino Linotype"/>
            </w:rPr>
            <w:t>María del Rosario Mejía Ayala</w:t>
          </w:r>
        </w:p>
        <w:p w:rsidR="006E4E95" w:rsidRPr="006E4E95" w:rsidRDefault="006E4E95" w:rsidP="00AC6618">
          <w:pPr>
            <w:tabs>
              <w:tab w:val="right" w:pos="8838"/>
            </w:tabs>
            <w:rPr>
              <w:rFonts w:ascii="Palatino Linotype" w:eastAsia="Palatino Linotype" w:hAnsi="Palatino Linotype" w:cs="Palatino Linotype"/>
              <w:b/>
            </w:rPr>
          </w:pPr>
        </w:p>
      </w:tc>
    </w:tr>
  </w:tbl>
  <w:p w:rsidR="00041CB4" w:rsidRDefault="004B7B68" w:rsidP="00AC6618">
    <w:pPr>
      <w:widowControl w:val="0"/>
      <w:pBdr>
        <w:top w:val="nil"/>
        <w:left w:val="nil"/>
        <w:bottom w:val="nil"/>
        <w:right w:val="nil"/>
        <w:between w:val="nil"/>
      </w:pBdr>
      <w:spacing w:line="276"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3.7pt;margin-top:-136.6pt;width:610.05pt;height:785.25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26" w:type="dxa"/>
      <w:tblInd w:w="2522" w:type="dxa"/>
      <w:tblLayout w:type="fixed"/>
      <w:tblLook w:val="0400" w:firstRow="0" w:lastRow="0" w:firstColumn="0" w:lastColumn="0" w:noHBand="0" w:noVBand="1"/>
    </w:tblPr>
    <w:tblGrid>
      <w:gridCol w:w="2549"/>
      <w:gridCol w:w="5277"/>
    </w:tblGrid>
    <w:tr w:rsidR="006E4E95" w:rsidTr="00AC6618">
      <w:trPr>
        <w:trHeight w:val="144"/>
      </w:trPr>
      <w:tc>
        <w:tcPr>
          <w:tcW w:w="2549" w:type="dxa"/>
          <w:shd w:val="clear" w:color="auto" w:fill="auto"/>
        </w:tcPr>
        <w:p w:rsidR="006E4E95" w:rsidRPr="006E4E95" w:rsidRDefault="006E4E95" w:rsidP="006E4E95">
          <w:pPr>
            <w:tabs>
              <w:tab w:val="right" w:pos="8838"/>
            </w:tabs>
            <w:ind w:left="-264" w:right="-105" w:firstLine="195"/>
            <w:jc w:val="right"/>
            <w:rPr>
              <w:rFonts w:ascii="Palatino Linotype" w:eastAsia="Palatino Linotype" w:hAnsi="Palatino Linotype" w:cs="Palatino Linotype"/>
              <w:b/>
            </w:rPr>
          </w:pPr>
          <w:r w:rsidRPr="006E4E95">
            <w:rPr>
              <w:rFonts w:ascii="Palatino Linotype" w:eastAsia="Palatino Linotype" w:hAnsi="Palatino Linotype" w:cs="Palatino Linotype"/>
              <w:b/>
            </w:rPr>
            <w:t>Recurso de Revisión:</w:t>
          </w:r>
        </w:p>
      </w:tc>
      <w:tc>
        <w:tcPr>
          <w:tcW w:w="5277" w:type="dxa"/>
          <w:shd w:val="clear" w:color="auto" w:fill="auto"/>
        </w:tcPr>
        <w:p w:rsidR="006E4E95" w:rsidRPr="006E4E95" w:rsidRDefault="006E4E95" w:rsidP="00AC6618">
          <w:pPr>
            <w:tabs>
              <w:tab w:val="right" w:pos="8838"/>
            </w:tabs>
            <w:ind w:right="-104"/>
            <w:rPr>
              <w:rFonts w:ascii="Palatino Linotype" w:eastAsia="Palatino Linotype" w:hAnsi="Palatino Linotype" w:cs="Palatino Linotype"/>
            </w:rPr>
          </w:pPr>
          <w:r w:rsidRPr="006E4E95">
            <w:rPr>
              <w:rFonts w:ascii="Palatino Linotype" w:eastAsia="Palatino Linotype" w:hAnsi="Palatino Linotype" w:cs="Palatino Linotype"/>
            </w:rPr>
            <w:t>12268/INFOEM/IP/RR/2025</w:t>
          </w:r>
        </w:p>
      </w:tc>
    </w:tr>
    <w:tr w:rsidR="006E4E95" w:rsidTr="00AC6618">
      <w:trPr>
        <w:trHeight w:val="144"/>
      </w:trPr>
      <w:tc>
        <w:tcPr>
          <w:tcW w:w="2549" w:type="dxa"/>
          <w:shd w:val="clear" w:color="auto" w:fill="auto"/>
        </w:tcPr>
        <w:p w:rsidR="006E4E95" w:rsidRPr="006E4E95" w:rsidRDefault="006E4E95" w:rsidP="006E4E95">
          <w:pPr>
            <w:tabs>
              <w:tab w:val="right" w:pos="8838"/>
            </w:tabs>
            <w:ind w:left="-74"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Recurrente:</w:t>
          </w:r>
        </w:p>
      </w:tc>
      <w:tc>
        <w:tcPr>
          <w:tcW w:w="5277" w:type="dxa"/>
          <w:shd w:val="clear" w:color="auto" w:fill="auto"/>
        </w:tcPr>
        <w:p w:rsidR="006E4E95" w:rsidRPr="006E4E95" w:rsidRDefault="006E4E95" w:rsidP="00AC6618">
          <w:pPr>
            <w:tabs>
              <w:tab w:val="right" w:pos="8838"/>
            </w:tabs>
            <w:ind w:right="-104"/>
            <w:rPr>
              <w:rFonts w:ascii="Palatino Linotype" w:eastAsia="Palatino Linotype" w:hAnsi="Palatino Linotype" w:cs="Palatino Linotype"/>
            </w:rPr>
          </w:pPr>
        </w:p>
      </w:tc>
    </w:tr>
    <w:tr w:rsidR="006E4E95" w:rsidTr="00AC6618">
      <w:trPr>
        <w:trHeight w:val="283"/>
      </w:trPr>
      <w:tc>
        <w:tcPr>
          <w:tcW w:w="2549" w:type="dxa"/>
          <w:shd w:val="clear" w:color="auto" w:fill="auto"/>
        </w:tcPr>
        <w:p w:rsidR="006E4E95" w:rsidRPr="006E4E95" w:rsidRDefault="006E4E95" w:rsidP="006E4E95">
          <w:pPr>
            <w:tabs>
              <w:tab w:val="right" w:pos="8838"/>
            </w:tabs>
            <w:ind w:left="-74"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Sujeto Obligado:</w:t>
          </w:r>
        </w:p>
      </w:tc>
      <w:tc>
        <w:tcPr>
          <w:tcW w:w="5277" w:type="dxa"/>
          <w:shd w:val="clear" w:color="auto" w:fill="auto"/>
        </w:tcPr>
        <w:p w:rsidR="006E4E95" w:rsidRPr="006E4E95" w:rsidRDefault="006E4E95" w:rsidP="00AC6618">
          <w:pPr>
            <w:tabs>
              <w:tab w:val="right" w:pos="8838"/>
            </w:tabs>
            <w:ind w:right="-104"/>
            <w:rPr>
              <w:rFonts w:ascii="Palatino Linotype" w:eastAsia="Palatino Linotype" w:hAnsi="Palatino Linotype" w:cs="Palatino Linotype"/>
            </w:rPr>
          </w:pPr>
          <w:r w:rsidRPr="006E4E95">
            <w:rPr>
              <w:rFonts w:ascii="Palatino Linotype" w:eastAsia="Palatino Linotype" w:hAnsi="Palatino Linotype" w:cs="Palatino Linotype"/>
              <w:bCs/>
            </w:rPr>
            <w:t>Consejo Estatal para el Desarrollo</w:t>
          </w:r>
          <w:r>
            <w:rPr>
              <w:rFonts w:ascii="Palatino Linotype" w:eastAsia="Palatino Linotype" w:hAnsi="Palatino Linotype" w:cs="Palatino Linotype"/>
              <w:bCs/>
            </w:rPr>
            <w:t xml:space="preserve"> </w:t>
          </w:r>
          <w:r w:rsidRPr="006E4E95">
            <w:rPr>
              <w:rFonts w:ascii="Palatino Linotype" w:eastAsia="Palatino Linotype" w:hAnsi="Palatino Linotype" w:cs="Palatino Linotype"/>
              <w:bCs/>
            </w:rPr>
            <w:t xml:space="preserve"> Integral de Los Pueblos Indígenas del Estado de México</w:t>
          </w:r>
        </w:p>
      </w:tc>
    </w:tr>
    <w:tr w:rsidR="006E4E95" w:rsidTr="00AC6618">
      <w:trPr>
        <w:trHeight w:val="283"/>
      </w:trPr>
      <w:tc>
        <w:tcPr>
          <w:tcW w:w="2549" w:type="dxa"/>
          <w:shd w:val="clear" w:color="auto" w:fill="auto"/>
        </w:tcPr>
        <w:p w:rsidR="006E4E95" w:rsidRPr="006E4E95" w:rsidRDefault="006E4E95" w:rsidP="006E4E95">
          <w:pPr>
            <w:tabs>
              <w:tab w:val="right" w:pos="8838"/>
            </w:tabs>
            <w:ind w:left="-74" w:right="-105"/>
            <w:jc w:val="right"/>
            <w:rPr>
              <w:rFonts w:ascii="Palatino Linotype" w:eastAsia="Palatino Linotype" w:hAnsi="Palatino Linotype" w:cs="Palatino Linotype"/>
              <w:b/>
            </w:rPr>
          </w:pPr>
          <w:r w:rsidRPr="006E4E95">
            <w:rPr>
              <w:rFonts w:ascii="Palatino Linotype" w:eastAsia="Palatino Linotype" w:hAnsi="Palatino Linotype" w:cs="Palatino Linotype"/>
              <w:b/>
            </w:rPr>
            <w:t>Comisionado ponente:</w:t>
          </w:r>
        </w:p>
      </w:tc>
      <w:tc>
        <w:tcPr>
          <w:tcW w:w="5277" w:type="dxa"/>
          <w:shd w:val="clear" w:color="auto" w:fill="auto"/>
        </w:tcPr>
        <w:p w:rsidR="006E4E95" w:rsidRPr="006E4E95" w:rsidRDefault="006E4E95" w:rsidP="00AC6618">
          <w:pPr>
            <w:tabs>
              <w:tab w:val="right" w:pos="8838"/>
            </w:tabs>
            <w:ind w:right="-104"/>
            <w:rPr>
              <w:rFonts w:ascii="Palatino Linotype" w:eastAsia="Palatino Linotype" w:hAnsi="Palatino Linotype" w:cs="Palatino Linotype"/>
            </w:rPr>
          </w:pPr>
          <w:r w:rsidRPr="006E4E95">
            <w:rPr>
              <w:rFonts w:ascii="Palatino Linotype" w:eastAsia="Palatino Linotype" w:hAnsi="Palatino Linotype" w:cs="Palatino Linotype"/>
            </w:rPr>
            <w:t>María del Rosario Mejía Ayala</w:t>
          </w:r>
        </w:p>
        <w:p w:rsidR="006E4E95" w:rsidRPr="006E4E95" w:rsidRDefault="006E4E95" w:rsidP="00AC6618">
          <w:pPr>
            <w:tabs>
              <w:tab w:val="right" w:pos="8838"/>
            </w:tabs>
            <w:ind w:right="-104"/>
            <w:rPr>
              <w:rFonts w:ascii="Palatino Linotype" w:eastAsia="Palatino Linotype" w:hAnsi="Palatino Linotype" w:cs="Palatino Linotype"/>
              <w:b/>
            </w:rPr>
          </w:pPr>
        </w:p>
      </w:tc>
    </w:tr>
  </w:tbl>
  <w:p w:rsidR="00041CB4" w:rsidRDefault="004B7B68">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4.75pt;margin-top:-143.15pt;width:608.9pt;height:768pt;z-index:-251655168;mso-position-horizontal-relative:margin;mso-position-vertical-relative:margin">
          <v:imagedata r:id="rId1" o:title="image1"/>
          <w10:wrap anchorx="margin" anchory="margin"/>
        </v:shape>
      </w:pict>
    </w:r>
  </w:p>
  <w:p w:rsidR="00041CB4" w:rsidRDefault="00041CB4">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A7728A"/>
    <w:multiLevelType w:val="hybridMultilevel"/>
    <w:tmpl w:val="C20E1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82"/>
    <w:rsid w:val="00041CB4"/>
    <w:rsid w:val="004B7B68"/>
    <w:rsid w:val="005A0DE3"/>
    <w:rsid w:val="005B42A8"/>
    <w:rsid w:val="005F308F"/>
    <w:rsid w:val="00607906"/>
    <w:rsid w:val="006E4E95"/>
    <w:rsid w:val="008E06A8"/>
    <w:rsid w:val="00AC5D01"/>
    <w:rsid w:val="00AC6618"/>
    <w:rsid w:val="00AD6050"/>
    <w:rsid w:val="00B65CAA"/>
    <w:rsid w:val="00C05321"/>
    <w:rsid w:val="00C25882"/>
    <w:rsid w:val="00C33944"/>
    <w:rsid w:val="00E949DF"/>
    <w:rsid w:val="00FA7E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93951A-8EE1-40A2-912B-82BC0D12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25882"/>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C258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5882"/>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C25882"/>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25882"/>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588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5882"/>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C2588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2588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25882"/>
    <w:pPr>
      <w:tabs>
        <w:tab w:val="center" w:pos="4419"/>
        <w:tab w:val="right" w:pos="8838"/>
      </w:tabs>
    </w:pPr>
  </w:style>
  <w:style w:type="character" w:customStyle="1" w:styleId="PiedepginaCar">
    <w:name w:val="Pie de página Car"/>
    <w:basedOn w:val="Fuentedeprrafopredeter"/>
    <w:link w:val="Piedepgina"/>
    <w:uiPriority w:val="99"/>
    <w:rsid w:val="00C2588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1612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590247.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17</Pages>
  <Words>4042</Words>
  <Characters>22234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2025-12-11T22:07:00Z</cp:lastPrinted>
  <dcterms:created xsi:type="dcterms:W3CDTF">2025-12-04T19:33:00Z</dcterms:created>
  <dcterms:modified xsi:type="dcterms:W3CDTF">2026-01-20T20:25:00Z</dcterms:modified>
</cp:coreProperties>
</file>