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C3538" w14:textId="77777777" w:rsidR="007E412E" w:rsidRPr="008E2EBD" w:rsidRDefault="00476B48">
      <w:pPr>
        <w:spacing w:line="360" w:lineRule="auto"/>
        <w:ind w:right="49" w:hanging="22"/>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Pr="008E2EBD">
        <w:rPr>
          <w:rFonts w:ascii="Palatino Linotype" w:eastAsia="Palatino Linotype" w:hAnsi="Palatino Linotype" w:cs="Palatino Linotype"/>
          <w:b/>
          <w:sz w:val="22"/>
          <w:szCs w:val="22"/>
        </w:rPr>
        <w:t>cinco de noviembre</w:t>
      </w:r>
      <w:r w:rsidRPr="008E2EBD">
        <w:rPr>
          <w:rFonts w:ascii="Palatino Linotype" w:eastAsia="Palatino Linotype" w:hAnsi="Palatino Linotype" w:cs="Palatino Linotype"/>
          <w:sz w:val="22"/>
          <w:szCs w:val="22"/>
        </w:rPr>
        <w:t xml:space="preserve"> </w:t>
      </w:r>
      <w:r w:rsidRPr="008E2EBD">
        <w:rPr>
          <w:rFonts w:ascii="Palatino Linotype" w:eastAsia="Palatino Linotype" w:hAnsi="Palatino Linotype" w:cs="Palatino Linotype"/>
          <w:b/>
          <w:sz w:val="22"/>
          <w:szCs w:val="22"/>
        </w:rPr>
        <w:t>de dos mil veinticinco.</w:t>
      </w:r>
    </w:p>
    <w:p w14:paraId="4932450A" w14:textId="77777777" w:rsidR="007E412E" w:rsidRPr="008E2EBD" w:rsidRDefault="007E412E">
      <w:pPr>
        <w:spacing w:line="360" w:lineRule="auto"/>
        <w:ind w:right="49"/>
        <w:jc w:val="both"/>
        <w:rPr>
          <w:rFonts w:ascii="Palatino Linotype" w:eastAsia="Palatino Linotype" w:hAnsi="Palatino Linotype" w:cs="Palatino Linotype"/>
          <w:sz w:val="22"/>
          <w:szCs w:val="22"/>
        </w:rPr>
      </w:pPr>
    </w:p>
    <w:p w14:paraId="288F641B" w14:textId="69371B5E" w:rsidR="007E412E" w:rsidRPr="008E2EBD" w:rsidRDefault="00476B48">
      <w:pPr>
        <w:spacing w:line="360" w:lineRule="auto"/>
        <w:ind w:right="49"/>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b/>
          <w:sz w:val="22"/>
          <w:szCs w:val="22"/>
        </w:rPr>
        <w:t xml:space="preserve">VISTO </w:t>
      </w:r>
      <w:r w:rsidRPr="008E2EBD">
        <w:rPr>
          <w:rFonts w:ascii="Palatino Linotype" w:eastAsia="Palatino Linotype" w:hAnsi="Palatino Linotype" w:cs="Palatino Linotype"/>
          <w:sz w:val="22"/>
          <w:szCs w:val="22"/>
        </w:rPr>
        <w:t xml:space="preserve">el expediente relativo al recurso de revisión </w:t>
      </w:r>
      <w:r w:rsidRPr="008E2EBD">
        <w:rPr>
          <w:rFonts w:ascii="Palatino Linotype" w:eastAsia="Palatino Linotype" w:hAnsi="Palatino Linotype" w:cs="Palatino Linotype"/>
          <w:b/>
          <w:sz w:val="22"/>
          <w:szCs w:val="22"/>
        </w:rPr>
        <w:t xml:space="preserve">07404/INFOEM/IP/RR/2025, </w:t>
      </w:r>
      <w:r w:rsidRPr="008E2EBD">
        <w:rPr>
          <w:rFonts w:ascii="Palatino Linotype" w:eastAsia="Palatino Linotype" w:hAnsi="Palatino Linotype" w:cs="Palatino Linotype"/>
          <w:sz w:val="22"/>
          <w:szCs w:val="22"/>
        </w:rPr>
        <w:t xml:space="preserve">interpuesto por un </w:t>
      </w:r>
      <w:r w:rsidRPr="008E2EBD">
        <w:rPr>
          <w:rFonts w:ascii="Palatino Linotype" w:eastAsia="Palatino Linotype" w:hAnsi="Palatino Linotype" w:cs="Palatino Linotype"/>
          <w:b/>
          <w:sz w:val="22"/>
          <w:szCs w:val="22"/>
        </w:rPr>
        <w:t>X</w:t>
      </w:r>
      <w:r w:rsidR="00EC6745">
        <w:rPr>
          <w:rFonts w:ascii="Palatino Linotype" w:eastAsia="Palatino Linotype" w:hAnsi="Palatino Linotype" w:cs="Palatino Linotype"/>
          <w:b/>
          <w:sz w:val="22"/>
          <w:szCs w:val="22"/>
        </w:rPr>
        <w:t>X</w:t>
      </w:r>
      <w:r w:rsidRPr="008E2EBD">
        <w:rPr>
          <w:rFonts w:ascii="Palatino Linotype" w:eastAsia="Palatino Linotype" w:hAnsi="Palatino Linotype" w:cs="Palatino Linotype"/>
          <w:b/>
          <w:sz w:val="22"/>
          <w:szCs w:val="22"/>
        </w:rPr>
        <w:t>XX X</w:t>
      </w:r>
      <w:r w:rsidR="00EC6745">
        <w:rPr>
          <w:rFonts w:ascii="Palatino Linotype" w:eastAsia="Palatino Linotype" w:hAnsi="Palatino Linotype" w:cs="Palatino Linotype"/>
          <w:b/>
          <w:sz w:val="22"/>
          <w:szCs w:val="22"/>
        </w:rPr>
        <w:t>X</w:t>
      </w:r>
      <w:r w:rsidRPr="008E2EBD">
        <w:rPr>
          <w:rFonts w:ascii="Palatino Linotype" w:eastAsia="Palatino Linotype" w:hAnsi="Palatino Linotype" w:cs="Palatino Linotype"/>
          <w:b/>
          <w:sz w:val="22"/>
          <w:szCs w:val="22"/>
        </w:rPr>
        <w:t xml:space="preserve">X </w:t>
      </w:r>
      <w:r w:rsidR="00EC6745">
        <w:rPr>
          <w:rFonts w:ascii="Palatino Linotype" w:eastAsia="Palatino Linotype" w:hAnsi="Palatino Linotype" w:cs="Palatino Linotype"/>
          <w:b/>
          <w:sz w:val="22"/>
          <w:szCs w:val="22"/>
        </w:rPr>
        <w:t>XX</w:t>
      </w:r>
      <w:r w:rsidRPr="008E2EBD">
        <w:rPr>
          <w:rFonts w:ascii="Palatino Linotype" w:eastAsia="Palatino Linotype" w:hAnsi="Palatino Linotype" w:cs="Palatino Linotype"/>
          <w:b/>
          <w:sz w:val="22"/>
          <w:szCs w:val="22"/>
        </w:rPr>
        <w:t>XX</w:t>
      </w:r>
      <w:r w:rsidRPr="008E2EBD">
        <w:rPr>
          <w:rFonts w:ascii="Palatino Linotype" w:eastAsia="Palatino Linotype" w:hAnsi="Palatino Linotype" w:cs="Palatino Linotype"/>
          <w:sz w:val="22"/>
          <w:szCs w:val="22"/>
        </w:rPr>
        <w:t xml:space="preserve">, en lo sucesivo la parte </w:t>
      </w:r>
      <w:r w:rsidRPr="008E2EBD">
        <w:rPr>
          <w:rFonts w:ascii="Palatino Linotype" w:eastAsia="Palatino Linotype" w:hAnsi="Palatino Linotype" w:cs="Palatino Linotype"/>
          <w:b/>
          <w:sz w:val="22"/>
          <w:szCs w:val="22"/>
        </w:rPr>
        <w:t>Recurrente</w:t>
      </w:r>
      <w:r w:rsidRPr="008E2EBD">
        <w:rPr>
          <w:rFonts w:ascii="Palatino Linotype" w:eastAsia="Palatino Linotype" w:hAnsi="Palatino Linotype" w:cs="Palatino Linotype"/>
          <w:sz w:val="22"/>
          <w:szCs w:val="22"/>
        </w:rPr>
        <w:t xml:space="preserve">, en contra de la respuesta a la solicitud de información por parte del </w:t>
      </w:r>
      <w:r w:rsidRPr="008E2EBD">
        <w:rPr>
          <w:rFonts w:ascii="Palatino Linotype" w:eastAsia="Palatino Linotype" w:hAnsi="Palatino Linotype" w:cs="Palatino Linotype"/>
          <w:b/>
          <w:sz w:val="22"/>
          <w:szCs w:val="22"/>
        </w:rPr>
        <w:t>Sistema Municipal para el Desarrollo Integral de la Familia de Lerma</w:t>
      </w:r>
      <w:r w:rsidRPr="008E2EBD">
        <w:rPr>
          <w:rFonts w:ascii="Palatino Linotype" w:eastAsia="Palatino Linotype" w:hAnsi="Palatino Linotype" w:cs="Palatino Linotype"/>
          <w:sz w:val="22"/>
          <w:szCs w:val="22"/>
        </w:rPr>
        <w:t xml:space="preserve">, en lo sucesivo el </w:t>
      </w:r>
      <w:r w:rsidRPr="008E2EBD">
        <w:rPr>
          <w:rFonts w:ascii="Palatino Linotype" w:eastAsia="Palatino Linotype" w:hAnsi="Palatino Linotype" w:cs="Palatino Linotype"/>
          <w:b/>
          <w:sz w:val="22"/>
          <w:szCs w:val="22"/>
        </w:rPr>
        <w:t xml:space="preserve">Sujeto Obligado; </w:t>
      </w:r>
      <w:r w:rsidRPr="008E2EBD">
        <w:rPr>
          <w:rFonts w:ascii="Palatino Linotype" w:eastAsia="Palatino Linotype" w:hAnsi="Palatino Linotype" w:cs="Palatino Linotype"/>
          <w:sz w:val="22"/>
          <w:szCs w:val="22"/>
        </w:rPr>
        <w:t>se procede a dictar la presente resolución, con base en lo siguiente.</w:t>
      </w:r>
    </w:p>
    <w:p w14:paraId="200020A0" w14:textId="77777777" w:rsidR="007E412E" w:rsidRPr="008E2EBD" w:rsidRDefault="007E412E">
      <w:pPr>
        <w:spacing w:line="360" w:lineRule="auto"/>
        <w:ind w:right="49"/>
        <w:jc w:val="both"/>
        <w:rPr>
          <w:rFonts w:ascii="Palatino Linotype" w:eastAsia="Palatino Linotype" w:hAnsi="Palatino Linotype" w:cs="Palatino Linotype"/>
          <w:sz w:val="22"/>
          <w:szCs w:val="22"/>
        </w:rPr>
      </w:pPr>
    </w:p>
    <w:p w14:paraId="3FF0522C" w14:textId="77777777" w:rsidR="007E412E" w:rsidRPr="008E2EBD" w:rsidRDefault="00476B48">
      <w:pPr>
        <w:spacing w:line="360" w:lineRule="auto"/>
        <w:ind w:right="49"/>
        <w:jc w:val="center"/>
        <w:rPr>
          <w:rFonts w:ascii="Palatino Linotype" w:eastAsia="Palatino Linotype" w:hAnsi="Palatino Linotype" w:cs="Palatino Linotype"/>
          <w:b/>
          <w:sz w:val="22"/>
          <w:szCs w:val="22"/>
        </w:rPr>
      </w:pPr>
      <w:r w:rsidRPr="008E2EBD">
        <w:rPr>
          <w:rFonts w:ascii="Palatino Linotype" w:eastAsia="Palatino Linotype" w:hAnsi="Palatino Linotype" w:cs="Palatino Linotype"/>
          <w:b/>
          <w:sz w:val="22"/>
          <w:szCs w:val="22"/>
        </w:rPr>
        <w:t>I.</w:t>
      </w:r>
      <w:r w:rsidRPr="008E2EBD">
        <w:rPr>
          <w:rFonts w:ascii="Palatino Linotype" w:eastAsia="Palatino Linotype" w:hAnsi="Palatino Linotype" w:cs="Palatino Linotype"/>
          <w:b/>
          <w:sz w:val="22"/>
          <w:szCs w:val="22"/>
        </w:rPr>
        <w:tab/>
        <w:t>A N T E C E D E N T E S</w:t>
      </w:r>
    </w:p>
    <w:p w14:paraId="018D36BB" w14:textId="77777777" w:rsidR="007E412E" w:rsidRPr="008E2EBD" w:rsidRDefault="007E412E">
      <w:pPr>
        <w:spacing w:line="360" w:lineRule="auto"/>
        <w:ind w:right="49"/>
        <w:jc w:val="both"/>
        <w:rPr>
          <w:rFonts w:ascii="Palatino Linotype" w:eastAsia="Palatino Linotype" w:hAnsi="Palatino Linotype" w:cs="Palatino Linotype"/>
          <w:sz w:val="22"/>
          <w:szCs w:val="22"/>
        </w:rPr>
      </w:pPr>
    </w:p>
    <w:p w14:paraId="2179681F" w14:textId="77777777" w:rsidR="007E412E" w:rsidRPr="008E2EBD" w:rsidRDefault="00476B48">
      <w:pPr>
        <w:spacing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b/>
          <w:sz w:val="22"/>
          <w:szCs w:val="22"/>
        </w:rPr>
        <w:t>1.</w:t>
      </w:r>
      <w:r w:rsidRPr="008E2EBD">
        <w:rPr>
          <w:rFonts w:ascii="Palatino Linotype" w:eastAsia="Palatino Linotype" w:hAnsi="Palatino Linotype" w:cs="Palatino Linotype"/>
          <w:sz w:val="22"/>
          <w:szCs w:val="22"/>
        </w:rPr>
        <w:t xml:space="preserve"> </w:t>
      </w:r>
      <w:r w:rsidRPr="008E2EBD">
        <w:rPr>
          <w:rFonts w:ascii="Palatino Linotype" w:eastAsia="Palatino Linotype" w:hAnsi="Palatino Linotype" w:cs="Palatino Linotype"/>
          <w:b/>
          <w:sz w:val="22"/>
          <w:szCs w:val="22"/>
        </w:rPr>
        <w:t xml:space="preserve">Solicitud de Acceso a la Información. El </w:t>
      </w:r>
      <w:r w:rsidRPr="008E2EBD">
        <w:rPr>
          <w:rFonts w:ascii="Palatino Linotype" w:eastAsia="Palatino Linotype" w:hAnsi="Palatino Linotype" w:cs="Palatino Linotype"/>
          <w:b/>
          <w:sz w:val="22"/>
          <w:szCs w:val="22"/>
        </w:rPr>
        <w:tab/>
        <w:t>veintisiete de mayo de dos mil veinticinco</w:t>
      </w:r>
      <w:r w:rsidRPr="008E2EBD">
        <w:rPr>
          <w:rFonts w:ascii="Palatino Linotype" w:eastAsia="Palatino Linotype" w:hAnsi="Palatino Linotype" w:cs="Palatino Linotype"/>
          <w:sz w:val="22"/>
          <w:szCs w:val="22"/>
        </w:rPr>
        <w:t xml:space="preserve">, </w:t>
      </w:r>
      <w:r w:rsidRPr="008E2EBD">
        <w:rPr>
          <w:rFonts w:ascii="Palatino Linotype" w:eastAsia="Palatino Linotype" w:hAnsi="Palatino Linotype" w:cs="Palatino Linotype"/>
          <w:b/>
          <w:sz w:val="22"/>
          <w:szCs w:val="22"/>
        </w:rPr>
        <w:t>LA PARTE</w:t>
      </w:r>
      <w:r w:rsidRPr="008E2EBD">
        <w:rPr>
          <w:rFonts w:ascii="Palatino Linotype" w:eastAsia="Palatino Linotype" w:hAnsi="Palatino Linotype" w:cs="Palatino Linotype"/>
          <w:sz w:val="22"/>
          <w:szCs w:val="22"/>
        </w:rPr>
        <w:t xml:space="preserve"> </w:t>
      </w:r>
      <w:r w:rsidRPr="008E2EBD">
        <w:rPr>
          <w:rFonts w:ascii="Palatino Linotype" w:eastAsia="Palatino Linotype" w:hAnsi="Palatino Linotype" w:cs="Palatino Linotype"/>
          <w:b/>
          <w:sz w:val="22"/>
          <w:szCs w:val="22"/>
        </w:rPr>
        <w:t>RECURRENTE</w:t>
      </w:r>
      <w:r w:rsidRPr="008E2EBD">
        <w:rPr>
          <w:rFonts w:ascii="Palatino Linotype" w:eastAsia="Palatino Linotype" w:hAnsi="Palatino Linotype" w:cs="Palatino Linotype"/>
          <w:sz w:val="22"/>
          <w:szCs w:val="22"/>
        </w:rPr>
        <w:t xml:space="preserve"> formuló solicitud de acceso a información pública a través del </w:t>
      </w:r>
      <w:r w:rsidRPr="008E2EBD">
        <w:rPr>
          <w:rFonts w:ascii="Palatino Linotype" w:eastAsia="Palatino Linotype" w:hAnsi="Palatino Linotype" w:cs="Palatino Linotype"/>
          <w:b/>
          <w:sz w:val="22"/>
          <w:szCs w:val="22"/>
        </w:rPr>
        <w:t>SAIMEX</w:t>
      </w:r>
      <w:r w:rsidRPr="008E2EBD">
        <w:rPr>
          <w:rFonts w:ascii="Palatino Linotype" w:eastAsia="Palatino Linotype" w:hAnsi="Palatino Linotype" w:cs="Palatino Linotype"/>
          <w:sz w:val="22"/>
          <w:szCs w:val="22"/>
        </w:rPr>
        <w:t xml:space="preserve">, en la que requirió lo siguiente: </w:t>
      </w:r>
    </w:p>
    <w:p w14:paraId="499C2BFA" w14:textId="77777777" w:rsidR="007E412E" w:rsidRPr="008E2EBD" w:rsidRDefault="007E412E">
      <w:pPr>
        <w:spacing w:line="360" w:lineRule="auto"/>
        <w:jc w:val="both"/>
        <w:rPr>
          <w:rFonts w:ascii="Palatino Linotype" w:eastAsia="Palatino Linotype" w:hAnsi="Palatino Linotype" w:cs="Palatino Linotype"/>
          <w:sz w:val="22"/>
          <w:szCs w:val="22"/>
        </w:rPr>
      </w:pPr>
    </w:p>
    <w:p w14:paraId="074FFC70" w14:textId="77777777" w:rsidR="007E412E" w:rsidRPr="008E2EBD" w:rsidRDefault="00476B48">
      <w:pPr>
        <w:numPr>
          <w:ilvl w:val="0"/>
          <w:numId w:val="3"/>
        </w:numPr>
        <w:pBdr>
          <w:top w:val="nil"/>
          <w:left w:val="nil"/>
          <w:bottom w:val="nil"/>
          <w:right w:val="nil"/>
          <w:between w:val="nil"/>
        </w:pBdr>
        <w:spacing w:line="360" w:lineRule="auto"/>
        <w:ind w:left="426" w:right="49"/>
        <w:jc w:val="both"/>
        <w:rPr>
          <w:rFonts w:ascii="Palatino Linotype" w:eastAsia="Palatino Linotype" w:hAnsi="Palatino Linotype" w:cs="Palatino Linotype"/>
          <w:b/>
          <w:sz w:val="22"/>
          <w:szCs w:val="22"/>
        </w:rPr>
      </w:pPr>
      <w:bookmarkStart w:id="0" w:name="_heading=h.3znysh7" w:colFirst="0" w:colLast="0"/>
      <w:bookmarkEnd w:id="0"/>
      <w:r w:rsidRPr="008E2EBD">
        <w:rPr>
          <w:rFonts w:ascii="Palatino Linotype" w:eastAsia="Palatino Linotype" w:hAnsi="Palatino Linotype" w:cs="Palatino Linotype"/>
          <w:b/>
          <w:sz w:val="22"/>
          <w:szCs w:val="22"/>
        </w:rPr>
        <w:t>00005/DIFLERMA/IP/2025</w:t>
      </w:r>
    </w:p>
    <w:p w14:paraId="229411FB" w14:textId="77777777" w:rsidR="007E412E" w:rsidRPr="008E2EBD" w:rsidRDefault="00476B48">
      <w:pPr>
        <w:spacing w:line="276" w:lineRule="auto"/>
        <w:ind w:left="567" w:right="843"/>
        <w:jc w:val="both"/>
        <w:rPr>
          <w:rFonts w:ascii="Palatino Linotype" w:eastAsia="Palatino Linotype" w:hAnsi="Palatino Linotype" w:cs="Palatino Linotype"/>
          <w:b/>
          <w:i/>
          <w:sz w:val="22"/>
          <w:szCs w:val="22"/>
        </w:rPr>
      </w:pPr>
      <w:r w:rsidRPr="008E2EBD">
        <w:rPr>
          <w:rFonts w:ascii="Palatino Linotype" w:eastAsia="Palatino Linotype" w:hAnsi="Palatino Linotype" w:cs="Palatino Linotype"/>
          <w:i/>
          <w:sz w:val="22"/>
          <w:szCs w:val="22"/>
        </w:rPr>
        <w:t xml:space="preserve">"Me puede dar información si ha recibido donaciones de instituciones privadas de la fecha 01/01/2020 a la fecha 31/12/2024 y que se hace con ellas? </w:t>
      </w:r>
      <w:proofErr w:type="gramStart"/>
      <w:r w:rsidRPr="008E2EBD">
        <w:rPr>
          <w:rFonts w:ascii="Palatino Linotype" w:eastAsia="Palatino Linotype" w:hAnsi="Palatino Linotype" w:cs="Palatino Linotype"/>
          <w:i/>
          <w:sz w:val="22"/>
          <w:szCs w:val="22"/>
        </w:rPr>
        <w:t xml:space="preserve">Si es el caso de que si ha recibido su institución puede indicar </w:t>
      </w:r>
      <w:proofErr w:type="spellStart"/>
      <w:r w:rsidRPr="008E2EBD">
        <w:rPr>
          <w:rFonts w:ascii="Palatino Linotype" w:eastAsia="Palatino Linotype" w:hAnsi="Palatino Linotype" w:cs="Palatino Linotype"/>
          <w:i/>
          <w:sz w:val="22"/>
          <w:szCs w:val="22"/>
        </w:rPr>
        <w:t>cual</w:t>
      </w:r>
      <w:proofErr w:type="spellEnd"/>
      <w:r w:rsidRPr="008E2EBD">
        <w:rPr>
          <w:rFonts w:ascii="Palatino Linotype" w:eastAsia="Palatino Linotype" w:hAnsi="Palatino Linotype" w:cs="Palatino Linotype"/>
          <w:i/>
          <w:sz w:val="22"/>
          <w:szCs w:val="22"/>
        </w:rPr>
        <w:t xml:space="preserve"> es su destino?</w:t>
      </w:r>
      <w:proofErr w:type="gramEnd"/>
      <w:r w:rsidRPr="008E2EBD">
        <w:rPr>
          <w:rFonts w:ascii="Palatino Linotype" w:eastAsia="Palatino Linotype" w:hAnsi="Palatino Linotype" w:cs="Palatino Linotype"/>
          <w:b/>
          <w:i/>
          <w:sz w:val="22"/>
          <w:szCs w:val="22"/>
        </w:rPr>
        <w:t>” (Sic.)</w:t>
      </w:r>
    </w:p>
    <w:p w14:paraId="258293FD" w14:textId="77777777" w:rsidR="007E412E" w:rsidRPr="008E2EBD" w:rsidRDefault="007E412E">
      <w:pPr>
        <w:spacing w:line="360" w:lineRule="auto"/>
        <w:ind w:left="567" w:right="843"/>
        <w:jc w:val="both"/>
        <w:rPr>
          <w:rFonts w:ascii="Palatino Linotype" w:eastAsia="Palatino Linotype" w:hAnsi="Palatino Linotype" w:cs="Palatino Linotype"/>
          <w:i/>
          <w:sz w:val="22"/>
          <w:szCs w:val="22"/>
        </w:rPr>
      </w:pPr>
    </w:p>
    <w:p w14:paraId="1D742788" w14:textId="77777777" w:rsidR="007E412E" w:rsidRPr="008E2EBD" w:rsidRDefault="00476B48">
      <w:pPr>
        <w:spacing w:line="360" w:lineRule="auto"/>
        <w:ind w:right="49"/>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b/>
          <w:sz w:val="22"/>
          <w:szCs w:val="22"/>
        </w:rPr>
        <w:t>Modalidad elegida para la entrega de la información:</w:t>
      </w:r>
      <w:r w:rsidRPr="008E2EBD">
        <w:rPr>
          <w:rFonts w:ascii="Palatino Linotype" w:eastAsia="Palatino Linotype" w:hAnsi="Palatino Linotype" w:cs="Palatino Linotype"/>
          <w:sz w:val="22"/>
          <w:szCs w:val="22"/>
        </w:rPr>
        <w:t xml:space="preserve"> a través del Sistema de Acceso a la Información Mexiquense (SAIMEX) y correo electrónico.</w:t>
      </w:r>
    </w:p>
    <w:p w14:paraId="0C1D3EFD" w14:textId="77777777" w:rsidR="007E412E" w:rsidRPr="008E2EBD" w:rsidRDefault="007E412E">
      <w:pPr>
        <w:widowControl w:val="0"/>
        <w:spacing w:line="360" w:lineRule="auto"/>
        <w:jc w:val="both"/>
        <w:rPr>
          <w:rFonts w:ascii="Palatino Linotype" w:eastAsia="Palatino Linotype" w:hAnsi="Palatino Linotype" w:cs="Palatino Linotype"/>
          <w:b/>
          <w:sz w:val="22"/>
          <w:szCs w:val="22"/>
        </w:rPr>
      </w:pPr>
    </w:p>
    <w:p w14:paraId="59061453" w14:textId="77777777" w:rsidR="007E412E" w:rsidRPr="008E2EBD" w:rsidRDefault="00476B48">
      <w:pPr>
        <w:widowControl w:val="0"/>
        <w:spacing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b/>
          <w:sz w:val="22"/>
          <w:szCs w:val="22"/>
        </w:rPr>
        <w:t>2. Respuesta.</w:t>
      </w:r>
      <w:r w:rsidRPr="008E2EBD">
        <w:rPr>
          <w:rFonts w:ascii="Palatino Linotype" w:eastAsia="Palatino Linotype" w:hAnsi="Palatino Linotype" w:cs="Palatino Linotype"/>
          <w:sz w:val="22"/>
          <w:szCs w:val="22"/>
        </w:rPr>
        <w:t xml:space="preserve"> El </w:t>
      </w:r>
      <w:r w:rsidRPr="008E2EBD">
        <w:rPr>
          <w:rFonts w:ascii="Palatino Linotype" w:eastAsia="Palatino Linotype" w:hAnsi="Palatino Linotype" w:cs="Palatino Linotype"/>
          <w:b/>
          <w:sz w:val="22"/>
          <w:szCs w:val="22"/>
        </w:rPr>
        <w:t>diecisiete de junio de dos mil veinticinco</w:t>
      </w:r>
      <w:r w:rsidRPr="008E2EBD">
        <w:rPr>
          <w:rFonts w:ascii="Palatino Linotype" w:eastAsia="Palatino Linotype" w:hAnsi="Palatino Linotype" w:cs="Palatino Linotype"/>
          <w:sz w:val="22"/>
          <w:szCs w:val="22"/>
        </w:rPr>
        <w:t xml:space="preserve">, el Sujeto Obligado dio respuesta </w:t>
      </w:r>
      <w:r w:rsidRPr="008E2EBD">
        <w:rPr>
          <w:rFonts w:ascii="Palatino Linotype" w:eastAsia="Palatino Linotype" w:hAnsi="Palatino Linotype" w:cs="Palatino Linotype"/>
          <w:sz w:val="22"/>
          <w:szCs w:val="22"/>
        </w:rPr>
        <w:lastRenderedPageBreak/>
        <w:t>a la solicitud en los siguientes términos:</w:t>
      </w:r>
    </w:p>
    <w:p w14:paraId="594698A1" w14:textId="77777777" w:rsidR="007E412E" w:rsidRPr="008E2EBD" w:rsidRDefault="007E412E">
      <w:pPr>
        <w:widowControl w:val="0"/>
        <w:spacing w:line="360" w:lineRule="auto"/>
        <w:jc w:val="both"/>
        <w:rPr>
          <w:rFonts w:ascii="Palatino Linotype" w:eastAsia="Palatino Linotype" w:hAnsi="Palatino Linotype" w:cs="Palatino Linotype"/>
          <w:sz w:val="22"/>
          <w:szCs w:val="22"/>
        </w:rPr>
      </w:pPr>
    </w:p>
    <w:p w14:paraId="045A4896" w14:textId="77777777" w:rsidR="007E412E" w:rsidRPr="008E2EBD" w:rsidRDefault="00476B48">
      <w:pPr>
        <w:widowControl w:val="0"/>
        <w:spacing w:line="360" w:lineRule="auto"/>
        <w:ind w:left="567" w:right="843"/>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69F4BC8" w14:textId="45DF39EA" w:rsidR="007E412E" w:rsidRPr="008E2EBD" w:rsidRDefault="00EC6745">
      <w:pPr>
        <w:widowControl w:val="0"/>
        <w:spacing w:line="360" w:lineRule="auto"/>
        <w:ind w:left="567" w:right="8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XXXXXXXXXXX</w:t>
      </w:r>
      <w:bookmarkStart w:id="1" w:name="_GoBack"/>
      <w:bookmarkEnd w:id="1"/>
      <w:r w:rsidR="00476B48" w:rsidRPr="008E2EBD">
        <w:rPr>
          <w:rFonts w:ascii="Palatino Linotype" w:eastAsia="Palatino Linotype" w:hAnsi="Palatino Linotype" w:cs="Palatino Linotype"/>
          <w:i/>
          <w:sz w:val="22"/>
          <w:szCs w:val="22"/>
        </w:rPr>
        <w:t xml:space="preserve"> P R E S E N T E. En atención a su solicitud de información pública presentada en fecha veintisiete de mayo del año en curso, a través de la Plataforma Nacional de Transparencia con el número de folio 00005/DIFLERMA/IP/2025, con fundamento en lo establecido por los lineamientos para la recepción, tramite y resolución de las solicitudes de acceso a la información pública, acceso, modificación, sustitución y revisión que deberán observar los Sujetos Obligados por la Ley de Transparencia y Acceso a la Información Pública del Estado de México y Municipios, se emite el presente oficio de respuesta de acuerdo a lo siguiente: INFORMACIÓN SOLICITADA DESCRIPCIÓN CLARA Y PRECISA DE LA INFORMACIÓN SOLICITADA: “Me puede dar información si ha recibido donaciones de instituciones privadas de la fecha 01/01/2020 a la fecha 31/12/2024 y que se hace con ellas? ¿Si es el caso de que si ha recibido su institución puede indicar cuál es su destino?” (sic) Al respecto y con fundamento en lo dispuesto por los artículos 6, 16, 122, apartado A, fracciones III y V, de la Constitución Política de los Estados Unidos Mexicanos, 3 fracción XXXIX, 12 párrafo segundo, 59 fracciones I, II y III, 19 párrafo primero, 23 fracción IV, 53 fracciones II, V, VI, 59 fracciones I, II, III, 162 y 163 de la Ley de Transparencia y Acceso a la Información Pública del Estado de México y Municipios, me permito notificarle que se efectuó una búsqueda exhaustiva y razonable de la información solicitada en los archivos que obran en poder de la Subdirección de Finanzas del SMDIF Lerma, respecto de la información solicitada, encontrándose lo siguiente: Relativo a la petición sobre: Me </w:t>
      </w:r>
      <w:r w:rsidR="00476B48" w:rsidRPr="008E2EBD">
        <w:rPr>
          <w:rFonts w:ascii="Palatino Linotype" w:eastAsia="Palatino Linotype" w:hAnsi="Palatino Linotype" w:cs="Palatino Linotype"/>
          <w:i/>
          <w:sz w:val="22"/>
          <w:szCs w:val="22"/>
        </w:rPr>
        <w:lastRenderedPageBreak/>
        <w:t>puede dar información si ha recibido donaciones de instituciones privadas de la fecha 01/01/2020 a la fecha 31/12/2024</w:t>
      </w:r>
      <w:r w:rsidR="00476B48" w:rsidRPr="008E2EBD">
        <w:rPr>
          <w:rFonts w:ascii="Palatino Linotype" w:eastAsia="Palatino Linotype" w:hAnsi="Palatino Linotype" w:cs="Palatino Linotype"/>
          <w:b/>
          <w:i/>
          <w:sz w:val="22"/>
          <w:szCs w:val="22"/>
        </w:rPr>
        <w:t>, se informa que el SMDIF, municipal si ha recibido diversas donaciones del periodo comprendido del 01 de enero de 2020 al 31 de diciembre del 2024. Por otra parte, en referencia a los puntos ¿qué se hace con ellas? ¿Si es el caso de que si ha recibido su institución puede indicar cuál es su destino?, se precisa que las donaciones recibidas son destinadas para la implementación de acciones en beneficio de la población de los grupos vulnerables del municipio de Lerma, tales como menores de edad, adultos mayores y mujeres; por lo que su uso y destino final, se traducen en la entrega de beneficios directos a la población y estos pueden variar de acuerdo al tipo de productos recibidos por las instituciones</w:t>
      </w:r>
      <w:r w:rsidR="00476B48" w:rsidRPr="008E2EBD">
        <w:rPr>
          <w:rFonts w:ascii="Palatino Linotype" w:eastAsia="Palatino Linotype" w:hAnsi="Palatino Linotype" w:cs="Palatino Linotype"/>
          <w:i/>
          <w:sz w:val="22"/>
          <w:szCs w:val="22"/>
        </w:rPr>
        <w:t>. Asimismo, de conformidad con lo establecido en los artículos 12 y 24 de la Ley de Transparencia y Acceso a la Información Pública del Estado de México y Municipios, mismos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requiere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 Los sujetos obligados solo proporcionarán la información pública que generen, administren o posean en el ejercicio de sus atribuciones.” Aunado a ello, el Pleno del Instituto de Transparencia y Acceso a la Información Pública del Estado de México y Municipios, aprobó el Criterio de Interpretación en el Orden Administrativo número 0002-11, el cual se describe a continuación: “CRITERIO 0002-11 INFORMACIÓN PÚBLICA, CONCEPTO DE, EN MATERIA DE TRANSPARENCIA, INTERPRETACIÓN 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dé información registrada en cualquier soporte documental, que, en ejercicio de las atribuciones conferidas, se encuentre en posesión de los Sujetos Obligados”. Por último, se le informa que queda a salvo su derecho a presentar una nueva solicitud de acceso a la información en caso de requerir datos adicionales u otra información relacionada a las atribuciones de este sujeto obligado, a través del mismo medio. Haciendo de su conocimiento que, en caso de no estar conforme con la respuesta proporcionada, tiene el derecho de interponer el recurso de revisión respectivo, dentro del plazo de 15 días hábiles contados a partir del día siguiente de la notificación del presente; de conformidad con lo dispuesto por los artículos 177 y 178 de la Ley de Transparencia y Acceso a la Información Pública del Estado de México y Municipios. Sin otro particular, reciba un cordial saludo.</w:t>
      </w:r>
    </w:p>
    <w:p w14:paraId="782AEE5A" w14:textId="77777777" w:rsidR="007E412E" w:rsidRPr="008E2EBD" w:rsidRDefault="007E412E">
      <w:pPr>
        <w:widowControl w:val="0"/>
        <w:spacing w:line="360" w:lineRule="auto"/>
        <w:jc w:val="both"/>
        <w:rPr>
          <w:rFonts w:ascii="Palatino Linotype" w:eastAsia="Palatino Linotype" w:hAnsi="Palatino Linotype" w:cs="Palatino Linotype"/>
          <w:sz w:val="22"/>
          <w:szCs w:val="22"/>
        </w:rPr>
      </w:pPr>
    </w:p>
    <w:p w14:paraId="2206E377" w14:textId="77777777" w:rsidR="007E412E" w:rsidRPr="008E2EBD" w:rsidRDefault="007E412E">
      <w:pPr>
        <w:widowControl w:val="0"/>
        <w:spacing w:line="360" w:lineRule="auto"/>
        <w:jc w:val="both"/>
        <w:rPr>
          <w:rFonts w:ascii="Palatino Linotype" w:eastAsia="Palatino Linotype" w:hAnsi="Palatino Linotype" w:cs="Palatino Linotype"/>
          <w:sz w:val="22"/>
          <w:szCs w:val="22"/>
        </w:rPr>
      </w:pPr>
    </w:p>
    <w:p w14:paraId="7D510DF0" w14:textId="77777777" w:rsidR="007E412E" w:rsidRPr="008E2EBD" w:rsidRDefault="007E412E">
      <w:pPr>
        <w:widowControl w:val="0"/>
        <w:spacing w:line="360" w:lineRule="auto"/>
        <w:jc w:val="both"/>
        <w:rPr>
          <w:rFonts w:ascii="Palatino Linotype" w:eastAsia="Palatino Linotype" w:hAnsi="Palatino Linotype" w:cs="Palatino Linotype"/>
          <w:sz w:val="22"/>
          <w:szCs w:val="22"/>
        </w:rPr>
      </w:pPr>
    </w:p>
    <w:p w14:paraId="2990BBDB" w14:textId="77777777" w:rsidR="007E412E" w:rsidRPr="008E2EBD" w:rsidRDefault="00476B48">
      <w:pPr>
        <w:widowControl w:val="0"/>
        <w:spacing w:line="360" w:lineRule="auto"/>
        <w:jc w:val="both"/>
        <w:rPr>
          <w:rFonts w:ascii="Palatino Linotype" w:eastAsia="Palatino Linotype" w:hAnsi="Palatino Linotype" w:cs="Palatino Linotype"/>
          <w:b/>
          <w:sz w:val="22"/>
          <w:szCs w:val="22"/>
        </w:rPr>
      </w:pPr>
      <w:r w:rsidRPr="008E2EBD">
        <w:rPr>
          <w:rFonts w:ascii="Palatino Linotype" w:eastAsia="Palatino Linotype" w:hAnsi="Palatino Linotype" w:cs="Palatino Linotype"/>
          <w:sz w:val="22"/>
          <w:szCs w:val="22"/>
        </w:rPr>
        <w:t xml:space="preserve"> El Sujeto Obligado adjuntó el documento electrónico </w:t>
      </w:r>
      <w:r w:rsidRPr="008E2EBD">
        <w:rPr>
          <w:rFonts w:ascii="Palatino Linotype" w:eastAsia="Palatino Linotype" w:hAnsi="Palatino Linotype" w:cs="Palatino Linotype"/>
          <w:b/>
          <w:sz w:val="22"/>
          <w:szCs w:val="22"/>
        </w:rPr>
        <w:t xml:space="preserve">006_00005 OFICIO RESPUESTA SOLICITUD DONACIONES.pdf </w:t>
      </w:r>
      <w:r w:rsidRPr="008E2EBD">
        <w:rPr>
          <w:rFonts w:ascii="Palatino Linotype" w:eastAsia="Palatino Linotype" w:hAnsi="Palatino Linotype" w:cs="Palatino Linotype"/>
          <w:sz w:val="22"/>
          <w:szCs w:val="22"/>
        </w:rPr>
        <w:t>suscrito por el Titular de la Unidad de Transparencia mediante el cual medularmente refiere</w:t>
      </w:r>
      <w:r w:rsidRPr="008E2EBD">
        <w:rPr>
          <w:rFonts w:ascii="Palatino Linotype" w:eastAsia="Palatino Linotype" w:hAnsi="Palatino Linotype" w:cs="Palatino Linotype"/>
          <w:b/>
          <w:sz w:val="22"/>
          <w:szCs w:val="22"/>
        </w:rPr>
        <w:t xml:space="preserve"> </w:t>
      </w:r>
      <w:r w:rsidRPr="008E2EBD">
        <w:rPr>
          <w:rFonts w:ascii="Palatino Linotype" w:eastAsia="Palatino Linotype" w:hAnsi="Palatino Linotype" w:cs="Palatino Linotype"/>
          <w:i/>
          <w:sz w:val="22"/>
          <w:szCs w:val="22"/>
        </w:rPr>
        <w:t>se informa que el SMDIF, municipal si ha recibido diversas donaciones del periodo comprendido del 01 de enero de 2020 al 31 de diciembre del 2024. Por otra parte, en referencia a los puntos ¿qué se hace con ellas? ¿Si es el caso de que si ha recibido su institución puede indicar cuál es su destino?, se precisa que las donaciones recibidas son destinadas para la implementación de acciones en beneficio de la población de los grupos vulnerables del municipio de Lerma, tales como menores de edad, adultos mayores y mujeres; por lo que su uso y destino final, se traducen en la entrega de beneficios directos a la población y estos pueden variar de acuerdo al tipo de productos recibidos por las instituciones.</w:t>
      </w:r>
    </w:p>
    <w:p w14:paraId="30838A37" w14:textId="77777777" w:rsidR="007E412E" w:rsidRPr="008E2EBD" w:rsidRDefault="007E412E">
      <w:pPr>
        <w:widowControl w:val="0"/>
        <w:spacing w:line="360" w:lineRule="auto"/>
        <w:jc w:val="both"/>
        <w:rPr>
          <w:rFonts w:ascii="Palatino Linotype" w:eastAsia="Palatino Linotype" w:hAnsi="Palatino Linotype" w:cs="Palatino Linotype"/>
          <w:b/>
          <w:sz w:val="22"/>
          <w:szCs w:val="22"/>
        </w:rPr>
      </w:pPr>
    </w:p>
    <w:p w14:paraId="415A28A9" w14:textId="77777777" w:rsidR="007E412E" w:rsidRPr="008E2EBD" w:rsidRDefault="00476B48">
      <w:pPr>
        <w:spacing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b/>
          <w:sz w:val="22"/>
          <w:szCs w:val="22"/>
        </w:rPr>
        <w:t xml:space="preserve">3. Del Recurso de Revisión. </w:t>
      </w:r>
      <w:r w:rsidRPr="008E2EBD">
        <w:rPr>
          <w:rFonts w:ascii="Palatino Linotype" w:eastAsia="Palatino Linotype" w:hAnsi="Palatino Linotype" w:cs="Palatino Linotype"/>
          <w:sz w:val="22"/>
          <w:szCs w:val="22"/>
        </w:rPr>
        <w:t>Inconforme con la respuesta del</w:t>
      </w:r>
      <w:r w:rsidRPr="008E2EBD">
        <w:rPr>
          <w:rFonts w:ascii="Palatino Linotype" w:eastAsia="Palatino Linotype" w:hAnsi="Palatino Linotype" w:cs="Palatino Linotype"/>
          <w:b/>
          <w:sz w:val="22"/>
          <w:szCs w:val="22"/>
        </w:rPr>
        <w:t xml:space="preserve"> SUJETO OBLIGADO, </w:t>
      </w:r>
      <w:r w:rsidRPr="008E2EBD">
        <w:rPr>
          <w:rFonts w:ascii="Palatino Linotype" w:eastAsia="Palatino Linotype" w:hAnsi="Palatino Linotype" w:cs="Palatino Linotype"/>
          <w:sz w:val="22"/>
          <w:szCs w:val="22"/>
        </w:rPr>
        <w:t xml:space="preserve">el </w:t>
      </w:r>
      <w:r w:rsidRPr="008E2EBD">
        <w:rPr>
          <w:rFonts w:ascii="Palatino Linotype" w:eastAsia="Palatino Linotype" w:hAnsi="Palatino Linotype" w:cs="Palatino Linotype"/>
          <w:b/>
          <w:sz w:val="22"/>
          <w:szCs w:val="22"/>
        </w:rPr>
        <w:t xml:space="preserve">dieciocho de junio de dos mil veinticinco, LA PARTE RECURRENTE </w:t>
      </w:r>
      <w:r w:rsidRPr="008E2EBD">
        <w:rPr>
          <w:rFonts w:ascii="Palatino Linotype" w:eastAsia="Palatino Linotype" w:hAnsi="Palatino Linotype" w:cs="Palatino Linotype"/>
          <w:sz w:val="22"/>
          <w:szCs w:val="22"/>
        </w:rPr>
        <w:t xml:space="preserve">interpuso el recurso de revisión; sin embargo, mediante el cual y manifestó lo siguiente: </w:t>
      </w:r>
    </w:p>
    <w:p w14:paraId="3AD6BC94" w14:textId="77777777" w:rsidR="007E412E" w:rsidRPr="008E2EBD" w:rsidRDefault="007E412E">
      <w:pPr>
        <w:spacing w:line="360" w:lineRule="auto"/>
        <w:jc w:val="both"/>
        <w:rPr>
          <w:rFonts w:ascii="Palatino Linotype" w:eastAsia="Palatino Linotype" w:hAnsi="Palatino Linotype" w:cs="Palatino Linotype"/>
          <w:sz w:val="22"/>
          <w:szCs w:val="22"/>
        </w:rPr>
      </w:pPr>
    </w:p>
    <w:p w14:paraId="5B0D43CB" w14:textId="77777777" w:rsidR="007E412E" w:rsidRPr="008E2EBD" w:rsidRDefault="00476B48">
      <w:pPr>
        <w:numPr>
          <w:ilvl w:val="0"/>
          <w:numId w:val="2"/>
        </w:numPr>
        <w:pBdr>
          <w:top w:val="nil"/>
          <w:left w:val="nil"/>
          <w:bottom w:val="nil"/>
          <w:right w:val="nil"/>
          <w:between w:val="nil"/>
        </w:pBdr>
        <w:spacing w:line="276" w:lineRule="auto"/>
        <w:ind w:right="560"/>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b/>
          <w:i/>
          <w:sz w:val="22"/>
          <w:szCs w:val="22"/>
        </w:rPr>
        <w:t>Acto Impugnado:</w:t>
      </w:r>
      <w:r w:rsidRPr="008E2EBD">
        <w:rPr>
          <w:rFonts w:ascii="Palatino Linotype" w:eastAsia="Palatino Linotype" w:hAnsi="Palatino Linotype" w:cs="Palatino Linotype"/>
          <w:i/>
          <w:sz w:val="22"/>
          <w:szCs w:val="22"/>
        </w:rPr>
        <w:t xml:space="preserve"> “negativa parcial de información y/o la entrega de información incompleta/insuficiente y no debidamente fundamentada.” (Sic.)</w:t>
      </w:r>
    </w:p>
    <w:p w14:paraId="26EEAE45" w14:textId="77777777" w:rsidR="007E412E" w:rsidRPr="008E2EBD" w:rsidRDefault="007E412E">
      <w:pPr>
        <w:pBdr>
          <w:top w:val="nil"/>
          <w:left w:val="nil"/>
          <w:bottom w:val="nil"/>
          <w:right w:val="nil"/>
          <w:between w:val="nil"/>
        </w:pBdr>
        <w:spacing w:line="276" w:lineRule="auto"/>
        <w:ind w:left="720" w:right="560"/>
        <w:jc w:val="both"/>
        <w:rPr>
          <w:rFonts w:ascii="Palatino Linotype" w:eastAsia="Palatino Linotype" w:hAnsi="Palatino Linotype" w:cs="Palatino Linotype"/>
          <w:i/>
          <w:sz w:val="22"/>
          <w:szCs w:val="22"/>
        </w:rPr>
      </w:pPr>
    </w:p>
    <w:p w14:paraId="2DA059A5" w14:textId="77777777" w:rsidR="007E412E" w:rsidRPr="008E2EBD" w:rsidRDefault="00476B48">
      <w:pPr>
        <w:numPr>
          <w:ilvl w:val="0"/>
          <w:numId w:val="2"/>
        </w:numPr>
        <w:pBdr>
          <w:top w:val="nil"/>
          <w:left w:val="nil"/>
          <w:bottom w:val="nil"/>
          <w:right w:val="nil"/>
          <w:between w:val="nil"/>
        </w:pBdr>
        <w:spacing w:line="276" w:lineRule="auto"/>
        <w:ind w:right="560"/>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b/>
          <w:i/>
          <w:sz w:val="22"/>
          <w:szCs w:val="22"/>
        </w:rPr>
        <w:t>Motivo de inconformidad:</w:t>
      </w:r>
      <w:r w:rsidRPr="008E2EBD">
        <w:rPr>
          <w:rFonts w:ascii="Palatino Linotype" w:eastAsia="Palatino Linotype" w:hAnsi="Palatino Linotype" w:cs="Palatino Linotype"/>
          <w:i/>
          <w:sz w:val="22"/>
          <w:szCs w:val="22"/>
        </w:rPr>
        <w:t xml:space="preserve"> “"Para mayor claridad y para complementar los argumentos aquí vertidos, me permito adjuntar un documento en formato Word que detalla de manera concisa y estructurada la información solicitada."” (Sic.)</w:t>
      </w:r>
    </w:p>
    <w:p w14:paraId="7B9BDAD7" w14:textId="77777777" w:rsidR="007E412E" w:rsidRPr="008E2EBD" w:rsidRDefault="007E412E">
      <w:pPr>
        <w:pBdr>
          <w:top w:val="nil"/>
          <w:left w:val="nil"/>
          <w:bottom w:val="nil"/>
          <w:right w:val="nil"/>
          <w:between w:val="nil"/>
        </w:pBdr>
        <w:ind w:left="720"/>
        <w:rPr>
          <w:rFonts w:ascii="Palatino Linotype" w:eastAsia="Palatino Linotype" w:hAnsi="Palatino Linotype" w:cs="Palatino Linotype"/>
          <w:i/>
          <w:sz w:val="22"/>
          <w:szCs w:val="22"/>
        </w:rPr>
      </w:pPr>
    </w:p>
    <w:p w14:paraId="25276A62" w14:textId="77777777" w:rsidR="007E412E" w:rsidRPr="008E2EBD" w:rsidRDefault="007E412E">
      <w:pPr>
        <w:pBdr>
          <w:top w:val="nil"/>
          <w:left w:val="nil"/>
          <w:bottom w:val="nil"/>
          <w:right w:val="nil"/>
          <w:between w:val="nil"/>
        </w:pBdr>
        <w:spacing w:line="276" w:lineRule="auto"/>
        <w:ind w:left="720" w:right="560"/>
        <w:jc w:val="both"/>
        <w:rPr>
          <w:rFonts w:ascii="Palatino Linotype" w:eastAsia="Palatino Linotype" w:hAnsi="Palatino Linotype" w:cs="Palatino Linotype"/>
          <w:i/>
          <w:sz w:val="22"/>
          <w:szCs w:val="22"/>
        </w:rPr>
      </w:pPr>
    </w:p>
    <w:p w14:paraId="74290A3D" w14:textId="77777777" w:rsidR="007E412E" w:rsidRPr="008E2EBD" w:rsidRDefault="00476B48">
      <w:pPr>
        <w:spacing w:line="360" w:lineRule="auto"/>
        <w:ind w:left="142" w:right="560"/>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El Recurrente adjuntó el documento electrónico denominado Respuesta a Donaciones.docx, cuyo contenido será motivo de análisis en el Considerando correspondiente.</w:t>
      </w:r>
    </w:p>
    <w:p w14:paraId="657AC1CA" w14:textId="77777777" w:rsidR="007E412E" w:rsidRPr="008E2EBD" w:rsidRDefault="00476B48">
      <w:pPr>
        <w:spacing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b/>
          <w:sz w:val="22"/>
          <w:szCs w:val="22"/>
        </w:rPr>
        <w:t xml:space="preserve">4. Turno. </w:t>
      </w:r>
      <w:r w:rsidRPr="008E2EBD">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8E2EBD">
        <w:rPr>
          <w:rFonts w:ascii="Palatino Linotype" w:eastAsia="Palatino Linotype" w:hAnsi="Palatino Linotype" w:cs="Palatino Linotype"/>
          <w:b/>
          <w:sz w:val="22"/>
          <w:szCs w:val="22"/>
        </w:rPr>
        <w:t>07404/INFOEM/IP/RR/2025</w:t>
      </w:r>
      <w:r w:rsidRPr="008E2EBD">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8E2EBD">
        <w:rPr>
          <w:rFonts w:ascii="Palatino Linotype" w:eastAsia="Palatino Linotype" w:hAnsi="Palatino Linotype" w:cs="Palatino Linotype"/>
          <w:b/>
          <w:sz w:val="22"/>
          <w:szCs w:val="22"/>
        </w:rPr>
        <w:t>Guadalupe Ramírez Peña</w:t>
      </w:r>
      <w:r w:rsidRPr="008E2EBD">
        <w:rPr>
          <w:rFonts w:ascii="Palatino Linotype" w:eastAsia="Palatino Linotype" w:hAnsi="Palatino Linotype" w:cs="Palatino Linotype"/>
          <w:sz w:val="22"/>
          <w:szCs w:val="22"/>
        </w:rPr>
        <w:t>, para su análisis, estudio, elaboración del proyecto y presentación ante el Pleno de este Instituto.</w:t>
      </w:r>
    </w:p>
    <w:p w14:paraId="3169577F" w14:textId="77777777" w:rsidR="007E412E" w:rsidRPr="008E2EBD" w:rsidRDefault="007E412E">
      <w:pPr>
        <w:spacing w:line="360" w:lineRule="auto"/>
        <w:jc w:val="both"/>
        <w:rPr>
          <w:rFonts w:ascii="Palatino Linotype" w:eastAsia="Palatino Linotype" w:hAnsi="Palatino Linotype" w:cs="Palatino Linotype"/>
          <w:sz w:val="22"/>
          <w:szCs w:val="22"/>
        </w:rPr>
      </w:pPr>
    </w:p>
    <w:p w14:paraId="314E794E" w14:textId="77777777" w:rsidR="007E412E" w:rsidRPr="008E2EBD" w:rsidRDefault="00476B48">
      <w:pPr>
        <w:spacing w:line="360" w:lineRule="auto"/>
        <w:jc w:val="both"/>
        <w:rPr>
          <w:rFonts w:ascii="Palatino Linotype" w:eastAsia="Palatino Linotype" w:hAnsi="Palatino Linotype" w:cs="Palatino Linotype"/>
          <w:b/>
          <w:sz w:val="22"/>
          <w:szCs w:val="22"/>
        </w:rPr>
      </w:pPr>
      <w:r w:rsidRPr="008E2EBD">
        <w:rPr>
          <w:rFonts w:ascii="Palatino Linotype" w:eastAsia="Palatino Linotype" w:hAnsi="Palatino Linotype" w:cs="Palatino Linotype"/>
          <w:b/>
          <w:sz w:val="22"/>
          <w:szCs w:val="22"/>
        </w:rPr>
        <w:t xml:space="preserve">5. Admisión. </w:t>
      </w:r>
      <w:r w:rsidRPr="008E2EBD">
        <w:rPr>
          <w:rFonts w:ascii="Palatino Linotype" w:eastAsia="Palatino Linotype" w:hAnsi="Palatino Linotype" w:cs="Palatino Linotype"/>
          <w:sz w:val="22"/>
          <w:szCs w:val="22"/>
        </w:rPr>
        <w:t xml:space="preserve">El </w:t>
      </w:r>
      <w:r w:rsidRPr="008E2EBD">
        <w:rPr>
          <w:rFonts w:ascii="Palatino Linotype" w:eastAsia="Palatino Linotype" w:hAnsi="Palatino Linotype" w:cs="Palatino Linotype"/>
          <w:b/>
          <w:sz w:val="22"/>
          <w:szCs w:val="22"/>
        </w:rPr>
        <w:t>veintitrés de junio de dos mil veinticinco</w:t>
      </w:r>
      <w:r w:rsidRPr="008E2EBD">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w:t>
      </w:r>
      <w:r w:rsidRPr="008E2EBD">
        <w:rPr>
          <w:rFonts w:ascii="Palatino Linotype" w:eastAsia="Palatino Linotype" w:hAnsi="Palatino Linotype" w:cs="Palatino Linotype"/>
          <w:b/>
          <w:sz w:val="22"/>
          <w:szCs w:val="22"/>
        </w:rPr>
        <w:t>.</w:t>
      </w:r>
    </w:p>
    <w:p w14:paraId="2A907AD5" w14:textId="77777777" w:rsidR="007E412E" w:rsidRPr="008E2EBD" w:rsidRDefault="007E412E">
      <w:pPr>
        <w:spacing w:line="360" w:lineRule="auto"/>
        <w:jc w:val="both"/>
        <w:rPr>
          <w:rFonts w:ascii="Palatino Linotype" w:eastAsia="Palatino Linotype" w:hAnsi="Palatino Linotype" w:cs="Palatino Linotype"/>
          <w:b/>
          <w:sz w:val="22"/>
          <w:szCs w:val="22"/>
        </w:rPr>
      </w:pPr>
    </w:p>
    <w:p w14:paraId="03C4FA86" w14:textId="77777777" w:rsidR="007E412E" w:rsidRPr="008E2EBD" w:rsidRDefault="00476B48">
      <w:pPr>
        <w:spacing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b/>
          <w:sz w:val="22"/>
          <w:szCs w:val="22"/>
        </w:rPr>
        <w:t>6. Manifestaciones.</w:t>
      </w:r>
      <w:r w:rsidRPr="008E2EBD">
        <w:rPr>
          <w:rFonts w:ascii="Palatino Linotype" w:eastAsia="Palatino Linotype" w:hAnsi="Palatino Linotype" w:cs="Palatino Linotype"/>
          <w:sz w:val="22"/>
          <w:szCs w:val="22"/>
        </w:rPr>
        <w:t xml:space="preserve"> De las constancias que obran en el expediente electrónico del SAIMEX, se advierte que el Sujeto Obligado no rindió su informe justificado.</w:t>
      </w:r>
    </w:p>
    <w:p w14:paraId="36CBA28C" w14:textId="77777777" w:rsidR="007E412E" w:rsidRPr="008E2EBD" w:rsidRDefault="007E412E">
      <w:pPr>
        <w:spacing w:line="360" w:lineRule="auto"/>
        <w:jc w:val="both"/>
        <w:rPr>
          <w:rFonts w:ascii="Palatino Linotype" w:eastAsia="Palatino Linotype" w:hAnsi="Palatino Linotype" w:cs="Palatino Linotype"/>
          <w:sz w:val="22"/>
          <w:szCs w:val="22"/>
        </w:rPr>
      </w:pPr>
    </w:p>
    <w:p w14:paraId="3D27B3B8" w14:textId="77777777" w:rsidR="007E412E" w:rsidRPr="008E2EBD" w:rsidRDefault="00476B48">
      <w:pPr>
        <w:spacing w:line="360" w:lineRule="auto"/>
        <w:jc w:val="both"/>
        <w:rPr>
          <w:rFonts w:ascii="Palatino Linotype" w:eastAsia="Palatino Linotype" w:hAnsi="Palatino Linotype" w:cs="Palatino Linotype"/>
          <w:sz w:val="22"/>
          <w:szCs w:val="22"/>
        </w:rPr>
      </w:pPr>
      <w:bookmarkStart w:id="2" w:name="_heading=h.z4e3ez3g95w" w:colFirst="0" w:colLast="0"/>
      <w:bookmarkEnd w:id="2"/>
      <w:r w:rsidRPr="008E2EBD">
        <w:rPr>
          <w:rFonts w:ascii="Palatino Linotype" w:eastAsia="Palatino Linotype" w:hAnsi="Palatino Linotype" w:cs="Palatino Linotype"/>
          <w:sz w:val="22"/>
          <w:szCs w:val="22"/>
        </w:rPr>
        <w:t xml:space="preserve">Por su parte, el Recurrente, </w:t>
      </w:r>
      <w:r w:rsidRPr="008E2EBD">
        <w:rPr>
          <w:rFonts w:ascii="Palatino Linotype" w:eastAsia="Palatino Linotype" w:hAnsi="Palatino Linotype" w:cs="Palatino Linotype"/>
          <w:b/>
          <w:sz w:val="22"/>
          <w:szCs w:val="22"/>
        </w:rPr>
        <w:t>el uno de agosto de dos mil veinticinco</w:t>
      </w:r>
      <w:r w:rsidRPr="008E2EBD">
        <w:rPr>
          <w:rFonts w:ascii="Palatino Linotype" w:eastAsia="Palatino Linotype" w:hAnsi="Palatino Linotype" w:cs="Palatino Linotype"/>
          <w:sz w:val="22"/>
          <w:szCs w:val="22"/>
        </w:rPr>
        <w:t xml:space="preserve">, adjuntó el documento electrónico denominado Respuesta a Donaciones.docx, cuyo contenido corresponde con el documento que adjuntó el Recurrente en el recurso de revisión. </w:t>
      </w:r>
    </w:p>
    <w:p w14:paraId="37267209" w14:textId="77777777" w:rsidR="007E412E" w:rsidRPr="008E2EBD" w:rsidRDefault="007E412E">
      <w:pPr>
        <w:spacing w:line="360" w:lineRule="auto"/>
        <w:jc w:val="both"/>
        <w:rPr>
          <w:rFonts w:ascii="Palatino Linotype" w:eastAsia="Palatino Linotype" w:hAnsi="Palatino Linotype" w:cs="Palatino Linotype"/>
          <w:sz w:val="22"/>
          <w:szCs w:val="22"/>
        </w:rPr>
      </w:pPr>
    </w:p>
    <w:p w14:paraId="58F19517" w14:textId="77777777" w:rsidR="007E412E" w:rsidRPr="008E2EBD" w:rsidRDefault="00476B4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b/>
          <w:sz w:val="22"/>
          <w:szCs w:val="22"/>
        </w:rPr>
        <w:t>7. Ampliación de plazo. El veintidós de octubre de dos mil veinticinco</w:t>
      </w:r>
      <w:r w:rsidRPr="008E2EBD">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46F17AAE" w14:textId="77777777" w:rsidR="007E412E" w:rsidRPr="008E2EBD" w:rsidRDefault="00476B48">
      <w:pPr>
        <w:spacing w:before="240" w:after="240"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8FC518F" w14:textId="77777777" w:rsidR="007E412E" w:rsidRPr="008E2EBD" w:rsidRDefault="00476B48">
      <w:pPr>
        <w:spacing w:before="240" w:after="240"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 xml:space="preserve">Por ello, es menester precisar </w:t>
      </w:r>
      <w:proofErr w:type="gramStart"/>
      <w:r w:rsidRPr="008E2EBD">
        <w:rPr>
          <w:rFonts w:ascii="Palatino Linotype" w:eastAsia="Palatino Linotype" w:hAnsi="Palatino Linotype" w:cs="Palatino Linotype"/>
          <w:sz w:val="22"/>
          <w:szCs w:val="22"/>
        </w:rPr>
        <w:t>que</w:t>
      </w:r>
      <w:proofErr w:type="gramEnd"/>
      <w:r w:rsidRPr="008E2EBD">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42D1A773" w14:textId="77777777" w:rsidR="007E412E" w:rsidRPr="008E2EBD" w:rsidRDefault="00476B48">
      <w:pPr>
        <w:spacing w:before="240" w:after="240"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011D214" w14:textId="77777777" w:rsidR="007E412E" w:rsidRPr="008E2EBD" w:rsidRDefault="00476B48">
      <w:pPr>
        <w:spacing w:before="240" w:after="240"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6B500F0" w14:textId="77777777" w:rsidR="007E412E" w:rsidRPr="008E2EBD" w:rsidRDefault="00476B48">
      <w:pPr>
        <w:spacing w:before="240" w:after="240"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28F1CF75" w14:textId="77777777" w:rsidR="007E412E" w:rsidRPr="008E2EBD" w:rsidRDefault="00476B48">
      <w:pPr>
        <w:numPr>
          <w:ilvl w:val="0"/>
          <w:numId w:val="4"/>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b/>
          <w:sz w:val="22"/>
          <w:szCs w:val="22"/>
        </w:rPr>
        <w:t>Complejidad del Asunto:</w:t>
      </w:r>
      <w:r w:rsidRPr="008E2EBD">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5FB07B91" w14:textId="77777777" w:rsidR="007E412E" w:rsidRPr="008E2EBD" w:rsidRDefault="00476B48">
      <w:pPr>
        <w:numPr>
          <w:ilvl w:val="0"/>
          <w:numId w:val="4"/>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b/>
          <w:sz w:val="22"/>
          <w:szCs w:val="22"/>
        </w:rPr>
        <w:t>Actividad Procesal del interesado</w:t>
      </w:r>
      <w:r w:rsidRPr="008E2EBD">
        <w:rPr>
          <w:rFonts w:ascii="Palatino Linotype" w:eastAsia="Palatino Linotype" w:hAnsi="Palatino Linotype" w:cs="Palatino Linotype"/>
          <w:sz w:val="22"/>
          <w:szCs w:val="22"/>
        </w:rPr>
        <w:t>. Acciones u omisiones del interesado.</w:t>
      </w:r>
    </w:p>
    <w:p w14:paraId="10814F22" w14:textId="77777777" w:rsidR="007E412E" w:rsidRPr="008E2EBD" w:rsidRDefault="00476B48">
      <w:pPr>
        <w:numPr>
          <w:ilvl w:val="0"/>
          <w:numId w:val="4"/>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b/>
          <w:sz w:val="22"/>
          <w:szCs w:val="22"/>
        </w:rPr>
        <w:t>Conducta de la Autoridad:</w:t>
      </w:r>
      <w:r w:rsidRPr="008E2EBD">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BC57C94" w14:textId="77777777" w:rsidR="007E412E" w:rsidRPr="008E2EBD" w:rsidRDefault="00476B48">
      <w:pPr>
        <w:numPr>
          <w:ilvl w:val="0"/>
          <w:numId w:val="4"/>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b/>
          <w:sz w:val="22"/>
          <w:szCs w:val="22"/>
        </w:rPr>
        <w:t>La afectación generada en la situación jurídica de la persona involucrada en el proceso:</w:t>
      </w:r>
      <w:r w:rsidRPr="008E2EBD">
        <w:rPr>
          <w:rFonts w:ascii="Palatino Linotype" w:eastAsia="Palatino Linotype" w:hAnsi="Palatino Linotype" w:cs="Palatino Linotype"/>
          <w:sz w:val="22"/>
          <w:szCs w:val="22"/>
        </w:rPr>
        <w:t xml:space="preserve"> Violación a sus derechos humanos.</w:t>
      </w:r>
    </w:p>
    <w:p w14:paraId="72492091" w14:textId="77777777" w:rsidR="007E412E" w:rsidRPr="008E2EBD" w:rsidRDefault="00476B48">
      <w:pPr>
        <w:spacing w:before="240" w:after="240"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A733C9B" w14:textId="77777777" w:rsidR="007E412E" w:rsidRPr="008E2EBD" w:rsidRDefault="00476B48">
      <w:pPr>
        <w:spacing w:before="240" w:after="240"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8E2EBD">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8E2EBD">
        <w:rPr>
          <w:rFonts w:ascii="Palatino Linotype" w:eastAsia="Palatino Linotype" w:hAnsi="Palatino Linotype" w:cs="Palatino Linotype"/>
          <w:sz w:val="22"/>
          <w:szCs w:val="22"/>
        </w:rPr>
        <w:t>, visible en la Gaceta del Seminario Judicial de la Federación con el registro digital 205635.</w:t>
      </w:r>
    </w:p>
    <w:p w14:paraId="31E8EFBC" w14:textId="77777777" w:rsidR="007E412E" w:rsidRPr="008E2EBD" w:rsidRDefault="00476B48">
      <w:pPr>
        <w:spacing w:before="240" w:after="240"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041C8A7" w14:textId="77777777" w:rsidR="007E412E" w:rsidRPr="008E2EBD" w:rsidRDefault="00476B48">
      <w:pPr>
        <w:spacing w:before="240" w:after="240"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06BB81D8" w14:textId="77777777" w:rsidR="007E412E" w:rsidRPr="008E2EBD" w:rsidRDefault="00476B48">
      <w:pPr>
        <w:spacing w:before="240" w:after="240" w:line="360" w:lineRule="auto"/>
        <w:ind w:left="851" w:right="900"/>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 xml:space="preserve"> </w:t>
      </w:r>
      <w:r w:rsidRPr="008E2EBD">
        <w:rPr>
          <w:rFonts w:ascii="Palatino Linotype" w:eastAsia="Palatino Linotype" w:hAnsi="Palatino Linotype" w:cs="Palatino Linotype"/>
          <w:b/>
          <w:i/>
          <w:sz w:val="22"/>
          <w:szCs w:val="22"/>
        </w:rPr>
        <w:t>“PLAZO RAZONABLE PARA RESOLVER. DIMENSIÓN Y EFECTOS DE ESTE CONCEPTO CUANDO SE ADUCE EXCESIVA CARGA DE TRABAJO</w:t>
      </w:r>
      <w:r w:rsidRPr="008E2EBD">
        <w:rPr>
          <w:rFonts w:ascii="Palatino Linotype" w:eastAsia="Palatino Linotype" w:hAnsi="Palatino Linotype" w:cs="Palatino Linotype"/>
          <w:i/>
          <w:sz w:val="22"/>
          <w:szCs w:val="22"/>
        </w:rPr>
        <w:t>.”</w:t>
      </w:r>
      <w:r w:rsidRPr="008E2EBD">
        <w:rPr>
          <w:rFonts w:ascii="Palatino Linotype" w:eastAsia="Palatino Linotype" w:hAnsi="Palatino Linotype" w:cs="Palatino Linotype"/>
          <w:sz w:val="22"/>
          <w:szCs w:val="22"/>
        </w:rPr>
        <w:t xml:space="preserve"> consultable en el Seminario Judicial de la Federación y su gaceta, con el registro digital 2002351.</w:t>
      </w:r>
    </w:p>
    <w:p w14:paraId="6270E068" w14:textId="77777777" w:rsidR="007E412E" w:rsidRPr="008E2EBD" w:rsidRDefault="00476B48">
      <w:pPr>
        <w:spacing w:before="240" w:after="240" w:line="360" w:lineRule="auto"/>
        <w:ind w:left="851" w:right="900"/>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8E2EBD">
        <w:rPr>
          <w:rFonts w:ascii="Palatino Linotype" w:eastAsia="Palatino Linotype" w:hAnsi="Palatino Linotype" w:cs="Palatino Linotype"/>
          <w:sz w:val="22"/>
          <w:szCs w:val="22"/>
        </w:rPr>
        <w:t>, visible en el Seminario Judicial de la Federación y su gaceta, con el registro digital 2002350.</w:t>
      </w:r>
    </w:p>
    <w:p w14:paraId="1F5DE4AD" w14:textId="77777777" w:rsidR="007E412E" w:rsidRPr="008E2EBD" w:rsidRDefault="00476B48">
      <w:pPr>
        <w:spacing w:before="240" w:after="240"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701A9417" w14:textId="77777777" w:rsidR="007E412E" w:rsidRPr="008E2EBD" w:rsidRDefault="00476B4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b/>
          <w:sz w:val="22"/>
          <w:szCs w:val="22"/>
        </w:rPr>
        <w:t>8. Cierre de instrucción</w:t>
      </w:r>
      <w:r w:rsidRPr="008E2EBD">
        <w:rPr>
          <w:rFonts w:ascii="Palatino Linotype" w:eastAsia="Palatino Linotype" w:hAnsi="Palatino Linotype" w:cs="Palatino Linotype"/>
          <w:sz w:val="22"/>
          <w:szCs w:val="22"/>
        </w:rPr>
        <w:t xml:space="preserve">. En fecha </w:t>
      </w:r>
      <w:r w:rsidRPr="008E2EBD">
        <w:rPr>
          <w:rFonts w:ascii="Palatino Linotype" w:eastAsia="Palatino Linotype" w:hAnsi="Palatino Linotype" w:cs="Palatino Linotype"/>
          <w:b/>
          <w:sz w:val="22"/>
          <w:szCs w:val="22"/>
        </w:rPr>
        <w:t>veintidós</w:t>
      </w:r>
      <w:r w:rsidRPr="008E2EBD">
        <w:rPr>
          <w:rFonts w:ascii="Palatino Linotype" w:eastAsia="Palatino Linotype" w:hAnsi="Palatino Linotype" w:cs="Palatino Linotype"/>
          <w:sz w:val="22"/>
          <w:szCs w:val="22"/>
        </w:rPr>
        <w:t xml:space="preserve"> </w:t>
      </w:r>
      <w:r w:rsidRPr="008E2EBD">
        <w:rPr>
          <w:rFonts w:ascii="Palatino Linotype" w:eastAsia="Palatino Linotype" w:hAnsi="Palatino Linotype" w:cs="Palatino Linotype"/>
          <w:b/>
          <w:sz w:val="22"/>
          <w:szCs w:val="22"/>
        </w:rPr>
        <w:t>de octubre de dos mil veinticinco</w:t>
      </w:r>
      <w:r w:rsidRPr="008E2EBD">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46B02EFD" w14:textId="77777777" w:rsidR="007E412E" w:rsidRPr="008E2EBD" w:rsidRDefault="007E412E">
      <w:pPr>
        <w:spacing w:line="360" w:lineRule="auto"/>
        <w:ind w:right="49"/>
        <w:jc w:val="both"/>
        <w:rPr>
          <w:rFonts w:ascii="Palatino Linotype" w:eastAsia="Palatino Linotype" w:hAnsi="Palatino Linotype" w:cs="Palatino Linotype"/>
          <w:sz w:val="22"/>
          <w:szCs w:val="22"/>
        </w:rPr>
      </w:pPr>
    </w:p>
    <w:p w14:paraId="70078AD5" w14:textId="77777777" w:rsidR="007E412E" w:rsidRPr="008E2EBD" w:rsidRDefault="00476B48">
      <w:pPr>
        <w:spacing w:line="360" w:lineRule="auto"/>
        <w:ind w:right="49"/>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6C65EEEF" w14:textId="77777777" w:rsidR="007E412E" w:rsidRPr="008E2EBD" w:rsidRDefault="007E412E">
      <w:pPr>
        <w:spacing w:line="360" w:lineRule="auto"/>
        <w:ind w:right="49"/>
        <w:jc w:val="both"/>
        <w:rPr>
          <w:rFonts w:ascii="Palatino Linotype" w:eastAsia="Palatino Linotype" w:hAnsi="Palatino Linotype" w:cs="Palatino Linotype"/>
          <w:sz w:val="22"/>
          <w:szCs w:val="22"/>
        </w:rPr>
      </w:pPr>
    </w:p>
    <w:p w14:paraId="1D8C33D9" w14:textId="77777777" w:rsidR="007E412E" w:rsidRPr="008E2EBD" w:rsidRDefault="00476B48">
      <w:pPr>
        <w:spacing w:line="360" w:lineRule="auto"/>
        <w:ind w:right="49"/>
        <w:jc w:val="center"/>
        <w:rPr>
          <w:rFonts w:ascii="Palatino Linotype" w:eastAsia="Palatino Linotype" w:hAnsi="Palatino Linotype" w:cs="Palatino Linotype"/>
          <w:b/>
          <w:sz w:val="22"/>
          <w:szCs w:val="22"/>
        </w:rPr>
      </w:pPr>
      <w:r w:rsidRPr="008E2EBD">
        <w:rPr>
          <w:rFonts w:ascii="Palatino Linotype" w:eastAsia="Palatino Linotype" w:hAnsi="Palatino Linotype" w:cs="Palatino Linotype"/>
          <w:b/>
          <w:sz w:val="22"/>
          <w:szCs w:val="22"/>
        </w:rPr>
        <w:t>II.</w:t>
      </w:r>
      <w:r w:rsidRPr="008E2EBD">
        <w:rPr>
          <w:rFonts w:ascii="Palatino Linotype" w:eastAsia="Palatino Linotype" w:hAnsi="Palatino Linotype" w:cs="Palatino Linotype"/>
          <w:b/>
          <w:sz w:val="22"/>
          <w:szCs w:val="22"/>
        </w:rPr>
        <w:tab/>
        <w:t>C O N S I D E R A N D O:</w:t>
      </w:r>
    </w:p>
    <w:p w14:paraId="26ADCA66" w14:textId="77777777" w:rsidR="007E412E" w:rsidRPr="008E2EBD" w:rsidRDefault="007E412E">
      <w:pPr>
        <w:spacing w:line="360" w:lineRule="auto"/>
        <w:ind w:right="49"/>
        <w:jc w:val="both"/>
        <w:rPr>
          <w:rFonts w:ascii="Palatino Linotype" w:eastAsia="Palatino Linotype" w:hAnsi="Palatino Linotype" w:cs="Palatino Linotype"/>
          <w:sz w:val="22"/>
          <w:szCs w:val="22"/>
        </w:rPr>
      </w:pPr>
    </w:p>
    <w:p w14:paraId="743A783A" w14:textId="04AFD46F" w:rsidR="007E412E" w:rsidRPr="008E2EBD" w:rsidRDefault="00476B48">
      <w:pPr>
        <w:spacing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b/>
          <w:sz w:val="22"/>
          <w:szCs w:val="22"/>
        </w:rPr>
        <w:t>Primero. Competencia.</w:t>
      </w:r>
      <w:r w:rsidRPr="008E2EB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A1FA8" w:rsidRPr="008E2EBD">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8E2EBD">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2234CB9" w14:textId="77777777" w:rsidR="007E412E" w:rsidRPr="008E2EBD" w:rsidRDefault="00476B48">
      <w:pPr>
        <w:spacing w:before="240" w:after="240"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b/>
          <w:sz w:val="22"/>
          <w:szCs w:val="22"/>
        </w:rPr>
        <w:t xml:space="preserve">Segundo. Oportunidad y </w:t>
      </w:r>
      <w:proofErr w:type="spellStart"/>
      <w:r w:rsidRPr="008E2EBD">
        <w:rPr>
          <w:rFonts w:ascii="Palatino Linotype" w:eastAsia="Palatino Linotype" w:hAnsi="Palatino Linotype" w:cs="Palatino Linotype"/>
          <w:b/>
          <w:sz w:val="22"/>
          <w:szCs w:val="22"/>
        </w:rPr>
        <w:t>Procedibilidad</w:t>
      </w:r>
      <w:proofErr w:type="spellEnd"/>
      <w:r w:rsidRPr="008E2EBD">
        <w:rPr>
          <w:rFonts w:ascii="Palatino Linotype" w:eastAsia="Palatino Linotype" w:hAnsi="Palatino Linotype" w:cs="Palatino Linotype"/>
          <w:b/>
          <w:sz w:val="22"/>
          <w:szCs w:val="22"/>
        </w:rPr>
        <w:t xml:space="preserve"> del Recurso de Revisión. </w:t>
      </w:r>
      <w:r w:rsidRPr="008E2EBD">
        <w:rPr>
          <w:rFonts w:ascii="Palatino Linotype" w:eastAsia="Palatino Linotype" w:hAnsi="Palatino Linotype" w:cs="Palatino Linotype"/>
          <w:sz w:val="22"/>
          <w:szCs w:val="22"/>
        </w:rPr>
        <w:t xml:space="preserve">Previo al estudio del fondo del asunto, se procede a analizar los requisitos de oportunidad y </w:t>
      </w:r>
      <w:proofErr w:type="spellStart"/>
      <w:r w:rsidRPr="008E2EBD">
        <w:rPr>
          <w:rFonts w:ascii="Palatino Linotype" w:eastAsia="Palatino Linotype" w:hAnsi="Palatino Linotype" w:cs="Palatino Linotype"/>
          <w:sz w:val="22"/>
          <w:szCs w:val="22"/>
        </w:rPr>
        <w:t>procedibilidad</w:t>
      </w:r>
      <w:proofErr w:type="spellEnd"/>
      <w:r w:rsidRPr="008E2EBD">
        <w:rPr>
          <w:rFonts w:ascii="Palatino Linotype" w:eastAsia="Palatino Linotype" w:hAnsi="Palatino Linotype" w:cs="Palatino Linotype"/>
          <w:sz w:val="22"/>
          <w:szCs w:val="22"/>
        </w:rPr>
        <w:t xml:space="preserve"> que debe reunir el recurso de revisión interpuesto, previstos en los artículos 178 y 180 de la Ley de Transparencia y Acceso a la Información Pública del Estado de México y Municipios.</w:t>
      </w:r>
    </w:p>
    <w:p w14:paraId="1F430E3B" w14:textId="77777777" w:rsidR="007E412E" w:rsidRPr="008E2EBD" w:rsidRDefault="00476B48">
      <w:pPr>
        <w:spacing w:before="240" w:after="240"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6A85A9AD" w14:textId="77777777" w:rsidR="007E412E" w:rsidRPr="008E2EBD" w:rsidRDefault="00476B48">
      <w:pPr>
        <w:spacing w:line="360" w:lineRule="auto"/>
        <w:ind w:left="851" w:right="900"/>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b/>
          <w:i/>
          <w:sz w:val="22"/>
          <w:szCs w:val="22"/>
        </w:rPr>
        <w:t xml:space="preserve">“Artículo 178. </w:t>
      </w:r>
      <w:r w:rsidRPr="008E2EBD">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4CB4431" w14:textId="77777777" w:rsidR="007E412E" w:rsidRPr="008E2EBD" w:rsidRDefault="00476B48">
      <w:pPr>
        <w:spacing w:before="240" w:after="240" w:line="360" w:lineRule="auto"/>
        <w:ind w:right="49"/>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8E2EBD">
        <w:rPr>
          <w:rFonts w:ascii="Palatino Linotype" w:eastAsia="Palatino Linotype" w:hAnsi="Palatino Linotype" w:cs="Palatino Linotype"/>
          <w:b/>
          <w:sz w:val="22"/>
          <w:szCs w:val="22"/>
        </w:rPr>
        <w:t>SUJETO OBLIGADO</w:t>
      </w:r>
      <w:r w:rsidRPr="008E2EBD">
        <w:rPr>
          <w:rFonts w:ascii="Palatino Linotype" w:eastAsia="Palatino Linotype" w:hAnsi="Palatino Linotype" w:cs="Palatino Linotype"/>
          <w:sz w:val="22"/>
          <w:szCs w:val="22"/>
        </w:rPr>
        <w:t xml:space="preserve"> remitió la respuesta a la solicitud de información el día </w:t>
      </w:r>
      <w:r w:rsidRPr="008E2EBD">
        <w:rPr>
          <w:rFonts w:ascii="Palatino Linotype" w:eastAsia="Palatino Linotype" w:hAnsi="Palatino Linotype" w:cs="Palatino Linotype"/>
          <w:b/>
          <w:sz w:val="22"/>
          <w:szCs w:val="22"/>
        </w:rPr>
        <w:t xml:space="preserve">diecisiete de junio de dos mil veinticinco, </w:t>
      </w:r>
      <w:r w:rsidRPr="008E2EBD">
        <w:rPr>
          <w:rFonts w:ascii="Palatino Linotype" w:eastAsia="Palatino Linotype" w:hAnsi="Palatino Linotype" w:cs="Palatino Linotype"/>
          <w:sz w:val="22"/>
          <w:szCs w:val="22"/>
        </w:rPr>
        <w:t xml:space="preserve">mientras que el recurso de revisión interpuesto por la parte </w:t>
      </w:r>
      <w:r w:rsidRPr="008E2EBD">
        <w:rPr>
          <w:rFonts w:ascii="Palatino Linotype" w:eastAsia="Palatino Linotype" w:hAnsi="Palatino Linotype" w:cs="Palatino Linotype"/>
          <w:b/>
          <w:sz w:val="22"/>
          <w:szCs w:val="22"/>
        </w:rPr>
        <w:t>RECURRENTE</w:t>
      </w:r>
      <w:r w:rsidRPr="008E2EBD">
        <w:rPr>
          <w:rFonts w:ascii="Palatino Linotype" w:eastAsia="Palatino Linotype" w:hAnsi="Palatino Linotype" w:cs="Palatino Linotype"/>
          <w:sz w:val="22"/>
          <w:szCs w:val="22"/>
        </w:rPr>
        <w:t xml:space="preserve">, se tuvo por presentado el </w:t>
      </w:r>
      <w:r w:rsidRPr="008E2EBD">
        <w:rPr>
          <w:rFonts w:ascii="Palatino Linotype" w:eastAsia="Palatino Linotype" w:hAnsi="Palatino Linotype" w:cs="Palatino Linotype"/>
          <w:b/>
          <w:sz w:val="22"/>
          <w:szCs w:val="22"/>
        </w:rPr>
        <w:t>dieciocho de junio del año dos mil veinticinco</w:t>
      </w:r>
      <w:r w:rsidRPr="008E2EBD">
        <w:rPr>
          <w:rFonts w:ascii="Palatino Linotype" w:eastAsia="Palatino Linotype" w:hAnsi="Palatino Linotype" w:cs="Palatino Linotype"/>
          <w:sz w:val="22"/>
          <w:szCs w:val="22"/>
        </w:rPr>
        <w:t xml:space="preserve">; esto es, al </w:t>
      </w:r>
      <w:r w:rsidRPr="008E2EBD">
        <w:rPr>
          <w:rFonts w:ascii="Palatino Linotype" w:eastAsia="Palatino Linotype" w:hAnsi="Palatino Linotype" w:cs="Palatino Linotype"/>
          <w:b/>
          <w:sz w:val="22"/>
          <w:szCs w:val="22"/>
        </w:rPr>
        <w:t xml:space="preserve">primer día hábil </w:t>
      </w:r>
      <w:r w:rsidRPr="008E2EBD">
        <w:rPr>
          <w:rFonts w:ascii="Palatino Linotype" w:eastAsia="Palatino Linotype" w:hAnsi="Palatino Linotype" w:cs="Palatino Linotype"/>
          <w:sz w:val="22"/>
          <w:szCs w:val="22"/>
        </w:rPr>
        <w:t>siguiente al que se tuvo conocimiento de la respuesta respectivamente.</w:t>
      </w:r>
    </w:p>
    <w:p w14:paraId="2503C652" w14:textId="77777777" w:rsidR="007E412E" w:rsidRPr="008E2EBD" w:rsidRDefault="00476B48">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 xml:space="preserve">Asimismo por cuanto hace a la </w:t>
      </w:r>
      <w:proofErr w:type="spellStart"/>
      <w:r w:rsidRPr="008E2EBD">
        <w:rPr>
          <w:rFonts w:ascii="Palatino Linotype" w:eastAsia="Palatino Linotype" w:hAnsi="Palatino Linotype" w:cs="Palatino Linotype"/>
          <w:sz w:val="22"/>
          <w:szCs w:val="22"/>
        </w:rPr>
        <w:t>procedibilidad</w:t>
      </w:r>
      <w:proofErr w:type="spellEnd"/>
      <w:r w:rsidRPr="008E2EBD">
        <w:rPr>
          <w:rFonts w:ascii="Palatino Linotype" w:eastAsia="Palatino Linotype" w:hAnsi="Palatino Linotype" w:cs="Palatino Linotype"/>
          <w:sz w:val="22"/>
          <w:szCs w:val="22"/>
        </w:rPr>
        <w:t xml:space="preserve"> del recurso de revisión, es de suma importancia señalar que </w:t>
      </w:r>
      <w:r w:rsidRPr="008E2EBD">
        <w:rPr>
          <w:rFonts w:ascii="Palatino Linotype" w:eastAsia="Palatino Linotype" w:hAnsi="Palatino Linotype" w:cs="Palatino Linotype"/>
          <w:b/>
          <w:sz w:val="22"/>
          <w:szCs w:val="22"/>
        </w:rPr>
        <w:t>la parte</w:t>
      </w:r>
      <w:r w:rsidRPr="008E2EBD">
        <w:rPr>
          <w:rFonts w:ascii="Palatino Linotype" w:eastAsia="Palatino Linotype" w:hAnsi="Palatino Linotype" w:cs="Palatino Linotype"/>
          <w:sz w:val="22"/>
          <w:szCs w:val="22"/>
        </w:rPr>
        <w:t xml:space="preserve"> </w:t>
      </w:r>
      <w:r w:rsidRPr="008E2EBD">
        <w:rPr>
          <w:rFonts w:ascii="Palatino Linotype" w:eastAsia="Palatino Linotype" w:hAnsi="Palatino Linotype" w:cs="Palatino Linotype"/>
          <w:b/>
          <w:sz w:val="22"/>
          <w:szCs w:val="22"/>
        </w:rPr>
        <w:t>Recurrente</w:t>
      </w:r>
      <w:r w:rsidRPr="008E2EBD">
        <w:rPr>
          <w:rFonts w:ascii="Palatino Linotype" w:eastAsia="Palatino Linotype" w:hAnsi="Palatino Linotype" w:cs="Palatino Linotype"/>
          <w:sz w:val="22"/>
          <w:szCs w:val="22"/>
        </w:rPr>
        <w:t xml:space="preserve"> </w:t>
      </w:r>
      <w:r w:rsidRPr="008E2EBD">
        <w:rPr>
          <w:rFonts w:ascii="Palatino Linotype" w:eastAsia="Palatino Linotype" w:hAnsi="Palatino Linotype" w:cs="Palatino Linotype"/>
          <w:b/>
          <w:sz w:val="22"/>
          <w:szCs w:val="22"/>
          <w:u w:val="single"/>
        </w:rPr>
        <w:t>no proporcionó nombre</w:t>
      </w:r>
      <w:r w:rsidRPr="008E2EBD">
        <w:rPr>
          <w:rFonts w:ascii="Palatino Linotype" w:eastAsia="Palatino Linotype" w:hAnsi="Palatino Linotype" w:cs="Palatino Linotype"/>
          <w:b/>
          <w:sz w:val="22"/>
          <w:szCs w:val="22"/>
        </w:rPr>
        <w:t xml:space="preserve"> </w:t>
      </w:r>
      <w:r w:rsidRPr="008E2EBD">
        <w:rPr>
          <w:rFonts w:ascii="Palatino Linotype" w:eastAsia="Palatino Linotype" w:hAnsi="Palatino Linotype" w:cs="Palatino Linotype"/>
          <w:sz w:val="22"/>
          <w:szCs w:val="22"/>
        </w:rPr>
        <w:t>con el que desea que se le identifique</w:t>
      </w:r>
      <w:r w:rsidRPr="008E2EBD">
        <w:rPr>
          <w:rFonts w:ascii="Palatino Linotype" w:eastAsia="Palatino Linotype" w:hAnsi="Palatino Linotype" w:cs="Palatino Linotype"/>
          <w:b/>
          <w:sz w:val="22"/>
          <w:szCs w:val="22"/>
        </w:rPr>
        <w:t>,</w:t>
      </w:r>
      <w:r w:rsidRPr="008E2EBD">
        <w:rPr>
          <w:rFonts w:ascii="Palatino Linotype" w:eastAsia="Palatino Linotype" w:hAnsi="Palatino Linotype" w:cs="Palatino Linotype"/>
          <w:sz w:val="22"/>
          <w:szCs w:val="22"/>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CDC0C50" w14:textId="77777777" w:rsidR="007E412E" w:rsidRPr="008E2EBD" w:rsidRDefault="00476B48">
      <w:pPr>
        <w:pBdr>
          <w:top w:val="nil"/>
          <w:left w:val="nil"/>
          <w:bottom w:val="nil"/>
          <w:right w:val="nil"/>
          <w:between w:val="nil"/>
        </w:pBdr>
        <w:spacing w:before="240" w:after="240" w:line="360" w:lineRule="auto"/>
        <w:ind w:left="851" w:right="902"/>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i/>
          <w:sz w:val="22"/>
          <w:szCs w:val="22"/>
        </w:rPr>
        <w:t>"</w:t>
      </w:r>
      <w:r w:rsidRPr="008E2EBD">
        <w:rPr>
          <w:rFonts w:ascii="Palatino Linotype" w:eastAsia="Palatino Linotype" w:hAnsi="Palatino Linotype" w:cs="Palatino Linotype"/>
          <w:b/>
          <w:i/>
          <w:sz w:val="22"/>
          <w:szCs w:val="22"/>
        </w:rPr>
        <w:t xml:space="preserve">Las solicitudes </w:t>
      </w:r>
      <w:r w:rsidRPr="008E2EBD">
        <w:rPr>
          <w:rFonts w:ascii="Palatino Linotype" w:eastAsia="Palatino Linotype" w:hAnsi="Palatino Linotype" w:cs="Palatino Linotype"/>
          <w:i/>
          <w:sz w:val="22"/>
          <w:szCs w:val="22"/>
        </w:rPr>
        <w:t xml:space="preserve">anónimas, con </w:t>
      </w:r>
      <w:r w:rsidRPr="008E2EBD">
        <w:rPr>
          <w:rFonts w:ascii="Palatino Linotype" w:eastAsia="Palatino Linotype" w:hAnsi="Palatino Linotype" w:cs="Palatino Linotype"/>
          <w:b/>
          <w:i/>
          <w:sz w:val="22"/>
          <w:szCs w:val="22"/>
        </w:rPr>
        <w:t>nombre incompleto o seudónimo</w:t>
      </w:r>
      <w:r w:rsidRPr="008E2EBD">
        <w:rPr>
          <w:rFonts w:ascii="Palatino Linotype" w:eastAsia="Palatino Linotype" w:hAnsi="Palatino Linotype" w:cs="Palatino Linotype"/>
          <w:i/>
          <w:sz w:val="22"/>
          <w:szCs w:val="22"/>
        </w:rPr>
        <w:t xml:space="preserve"> </w:t>
      </w:r>
      <w:r w:rsidRPr="008E2EBD">
        <w:rPr>
          <w:rFonts w:ascii="Palatino Linotype" w:eastAsia="Palatino Linotype" w:hAnsi="Palatino Linotype" w:cs="Palatino Linotype"/>
          <w:b/>
          <w:i/>
          <w:sz w:val="22"/>
          <w:szCs w:val="22"/>
        </w:rPr>
        <w:t>serán procedentes para su trámite por parte del sujeto obligado ante quien se presente</w:t>
      </w:r>
      <w:r w:rsidRPr="008E2EBD">
        <w:rPr>
          <w:rFonts w:ascii="Palatino Linotype" w:eastAsia="Palatino Linotype" w:hAnsi="Palatino Linotype" w:cs="Palatino Linotype"/>
          <w:i/>
          <w:sz w:val="22"/>
          <w:szCs w:val="22"/>
        </w:rPr>
        <w:t>. No podrá requerirse información adicional con motivo del nombre proporcionado por el solicitante."(Énfasis añadido)</w:t>
      </w:r>
    </w:p>
    <w:p w14:paraId="40D10858" w14:textId="77777777" w:rsidR="007E412E" w:rsidRPr="008E2EBD" w:rsidRDefault="00476B48">
      <w:pPr>
        <w:spacing w:before="240" w:after="240" w:line="360" w:lineRule="auto"/>
        <w:ind w:right="49"/>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 xml:space="preserve">Así también, por cuanto hace a la </w:t>
      </w:r>
      <w:proofErr w:type="spellStart"/>
      <w:r w:rsidRPr="008E2EBD">
        <w:rPr>
          <w:rFonts w:ascii="Palatino Linotype" w:eastAsia="Palatino Linotype" w:hAnsi="Palatino Linotype" w:cs="Palatino Linotype"/>
          <w:sz w:val="22"/>
          <w:szCs w:val="22"/>
        </w:rPr>
        <w:t>procedibilidad</w:t>
      </w:r>
      <w:proofErr w:type="spellEnd"/>
      <w:r w:rsidRPr="008E2EBD">
        <w:rPr>
          <w:rFonts w:ascii="Palatino Linotype" w:eastAsia="Palatino Linotype" w:hAnsi="Palatino Linotype" w:cs="Palatino Linotype"/>
          <w:sz w:val="22"/>
          <w:szCs w:val="22"/>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E39E30C" w14:textId="77777777" w:rsidR="007E412E" w:rsidRPr="008E2EBD" w:rsidRDefault="00476B48">
      <w:pPr>
        <w:spacing w:before="240" w:after="240"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V de la ley de la materia, que a la letra dice:</w:t>
      </w:r>
    </w:p>
    <w:p w14:paraId="7DC81D58" w14:textId="77777777" w:rsidR="007E412E" w:rsidRPr="008E2EBD" w:rsidRDefault="00476B48">
      <w:pPr>
        <w:spacing w:line="360" w:lineRule="auto"/>
        <w:ind w:left="851" w:right="1041"/>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w:t>
      </w:r>
      <w:r w:rsidRPr="008E2EBD">
        <w:rPr>
          <w:rFonts w:ascii="Palatino Linotype" w:eastAsia="Palatino Linotype" w:hAnsi="Palatino Linotype" w:cs="Palatino Linotype"/>
          <w:b/>
          <w:i/>
          <w:sz w:val="22"/>
          <w:szCs w:val="22"/>
        </w:rPr>
        <w:t xml:space="preserve">Artículo 179. </w:t>
      </w:r>
      <w:r w:rsidRPr="008E2EBD">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11ABEF2" w14:textId="77777777" w:rsidR="007E412E" w:rsidRPr="008E2EBD" w:rsidRDefault="00476B48">
      <w:pPr>
        <w:spacing w:line="360" w:lineRule="auto"/>
        <w:ind w:left="851" w:right="1041"/>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w:t>
      </w:r>
    </w:p>
    <w:p w14:paraId="7A1BF4B2" w14:textId="77777777" w:rsidR="007E412E" w:rsidRPr="008E2EBD" w:rsidRDefault="00476B48">
      <w:pPr>
        <w:spacing w:line="360" w:lineRule="auto"/>
        <w:ind w:left="851" w:right="1041"/>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V. La entrega de información incompleta;</w:t>
      </w:r>
    </w:p>
    <w:p w14:paraId="1D874601" w14:textId="77777777" w:rsidR="007E412E" w:rsidRPr="008E2EBD" w:rsidRDefault="00476B48">
      <w:pPr>
        <w:spacing w:line="360" w:lineRule="auto"/>
        <w:ind w:left="851" w:right="1041"/>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w:t>
      </w:r>
    </w:p>
    <w:p w14:paraId="6995649C" w14:textId="77777777" w:rsidR="007E412E" w:rsidRPr="008E2EBD" w:rsidRDefault="00476B48">
      <w:pPr>
        <w:spacing w:before="240" w:after="240"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b/>
          <w:sz w:val="22"/>
          <w:szCs w:val="22"/>
        </w:rPr>
        <w:t xml:space="preserve">Tercero. Materia de la revisión. </w:t>
      </w:r>
      <w:r w:rsidRPr="008E2EBD">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8E2EBD">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8E2EBD">
        <w:rPr>
          <w:rFonts w:ascii="Palatino Linotype" w:eastAsia="Palatino Linotype" w:hAnsi="Palatino Linotype" w:cs="Palatino Linotype"/>
          <w:sz w:val="22"/>
          <w:szCs w:val="22"/>
        </w:rPr>
        <w:t xml:space="preserve">de la parte </w:t>
      </w:r>
      <w:r w:rsidRPr="008E2EBD">
        <w:rPr>
          <w:rFonts w:ascii="Palatino Linotype" w:eastAsia="Palatino Linotype" w:hAnsi="Palatino Linotype" w:cs="Palatino Linotype"/>
          <w:b/>
          <w:sz w:val="22"/>
          <w:szCs w:val="22"/>
        </w:rPr>
        <w:t>Recurrente</w:t>
      </w:r>
      <w:r w:rsidRPr="008E2EBD">
        <w:rPr>
          <w:rFonts w:ascii="Palatino Linotype" w:eastAsia="Palatino Linotype" w:hAnsi="Palatino Linotype" w:cs="Palatino Linotype"/>
          <w:sz w:val="22"/>
          <w:szCs w:val="22"/>
        </w:rPr>
        <w:t>, o en su defecto, en caso de ser procedente, ordenar la entrega de información.</w:t>
      </w:r>
    </w:p>
    <w:p w14:paraId="2341A31E" w14:textId="77777777" w:rsidR="007E412E" w:rsidRPr="008E2EBD" w:rsidRDefault="00476B48">
      <w:pPr>
        <w:spacing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b/>
          <w:sz w:val="22"/>
          <w:szCs w:val="22"/>
        </w:rPr>
        <w:t xml:space="preserve">Cuarto. Estudio del asunto. </w:t>
      </w:r>
      <w:r w:rsidRPr="008E2EBD">
        <w:rPr>
          <w:rFonts w:ascii="Palatino Linotype" w:eastAsia="Palatino Linotype" w:hAnsi="Palatino Linotype" w:cs="Palatino Linotype"/>
          <w:sz w:val="22"/>
          <w:szCs w:val="22"/>
        </w:rPr>
        <w:t xml:space="preserve">En principio, es conveniente analizar si la respuesta del </w:t>
      </w:r>
      <w:r w:rsidRPr="008E2EBD">
        <w:rPr>
          <w:rFonts w:ascii="Palatino Linotype" w:eastAsia="Palatino Linotype" w:hAnsi="Palatino Linotype" w:cs="Palatino Linotype"/>
          <w:b/>
          <w:sz w:val="22"/>
          <w:szCs w:val="22"/>
        </w:rPr>
        <w:t>SUJETO OBLIGADO</w:t>
      </w:r>
      <w:r w:rsidRPr="008E2EBD">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81B85B3" w14:textId="77777777" w:rsidR="007E412E" w:rsidRPr="008E2EBD" w:rsidRDefault="007E412E">
      <w:pPr>
        <w:spacing w:line="360" w:lineRule="auto"/>
        <w:jc w:val="both"/>
        <w:rPr>
          <w:rFonts w:ascii="Palatino Linotype" w:eastAsia="Palatino Linotype" w:hAnsi="Palatino Linotype" w:cs="Palatino Linotype"/>
          <w:sz w:val="22"/>
          <w:szCs w:val="22"/>
        </w:rPr>
      </w:pPr>
    </w:p>
    <w:p w14:paraId="42E4E8A9" w14:textId="77777777" w:rsidR="007E412E" w:rsidRPr="008E2EBD" w:rsidRDefault="00476B48">
      <w:pPr>
        <w:spacing w:line="276" w:lineRule="auto"/>
        <w:ind w:left="567" w:right="616"/>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w:t>
      </w:r>
      <w:r w:rsidRPr="008E2EBD">
        <w:rPr>
          <w:rFonts w:ascii="Palatino Linotype" w:eastAsia="Palatino Linotype" w:hAnsi="Palatino Linotype" w:cs="Palatino Linotype"/>
          <w:b/>
          <w:i/>
          <w:sz w:val="22"/>
          <w:szCs w:val="22"/>
        </w:rPr>
        <w:t>Artículo 4</w:t>
      </w:r>
      <w:r w:rsidRPr="008E2EB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2BE83EB" w14:textId="77777777" w:rsidR="007E412E" w:rsidRPr="008E2EBD" w:rsidRDefault="00476B48">
      <w:pPr>
        <w:spacing w:line="276" w:lineRule="auto"/>
        <w:ind w:left="567" w:right="616"/>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E2EBD">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1D7B71F" w14:textId="77777777" w:rsidR="007E412E" w:rsidRPr="008E2EBD" w:rsidRDefault="00476B48">
      <w:pPr>
        <w:spacing w:line="276" w:lineRule="auto"/>
        <w:ind w:left="567" w:right="616"/>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8E2EBD">
        <w:rPr>
          <w:rFonts w:ascii="Palatino Linotype" w:eastAsia="Palatino Linotype" w:hAnsi="Palatino Linotype" w:cs="Palatino Linotype"/>
          <w:i/>
          <w:sz w:val="22"/>
          <w:szCs w:val="22"/>
        </w:rPr>
        <w:t>.”</w:t>
      </w:r>
    </w:p>
    <w:p w14:paraId="0B98F78F" w14:textId="77777777" w:rsidR="007E412E" w:rsidRPr="008E2EBD" w:rsidRDefault="007E412E">
      <w:pPr>
        <w:spacing w:line="276" w:lineRule="auto"/>
        <w:jc w:val="both"/>
        <w:rPr>
          <w:rFonts w:ascii="Palatino Linotype" w:eastAsia="Palatino Linotype" w:hAnsi="Palatino Linotype" w:cs="Palatino Linotype"/>
          <w:sz w:val="22"/>
          <w:szCs w:val="22"/>
        </w:rPr>
      </w:pPr>
    </w:p>
    <w:p w14:paraId="065DCD85" w14:textId="77777777" w:rsidR="007E412E" w:rsidRPr="008E2EBD" w:rsidRDefault="00476B48">
      <w:pPr>
        <w:spacing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7A20D01" w14:textId="77777777" w:rsidR="007E412E" w:rsidRPr="008E2EBD" w:rsidRDefault="007E412E">
      <w:pPr>
        <w:spacing w:line="360" w:lineRule="auto"/>
        <w:jc w:val="both"/>
        <w:rPr>
          <w:rFonts w:ascii="Palatino Linotype" w:eastAsia="Palatino Linotype" w:hAnsi="Palatino Linotype" w:cs="Palatino Linotype"/>
          <w:sz w:val="22"/>
          <w:szCs w:val="22"/>
        </w:rPr>
      </w:pPr>
    </w:p>
    <w:p w14:paraId="7ED9C736" w14:textId="77777777" w:rsidR="007E412E" w:rsidRPr="008E2EBD" w:rsidRDefault="00476B48">
      <w:pPr>
        <w:spacing w:line="276" w:lineRule="auto"/>
        <w:ind w:left="567" w:right="616"/>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b/>
          <w:i/>
          <w:sz w:val="22"/>
          <w:szCs w:val="22"/>
        </w:rPr>
        <w:t>“Artículo 12.-</w:t>
      </w:r>
      <w:r w:rsidRPr="008E2EB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3BC5962" w14:textId="77777777" w:rsidR="007E412E" w:rsidRPr="008E2EBD" w:rsidRDefault="007E412E">
      <w:pPr>
        <w:spacing w:line="276" w:lineRule="auto"/>
        <w:ind w:left="567" w:right="616"/>
        <w:jc w:val="both"/>
        <w:rPr>
          <w:rFonts w:ascii="Palatino Linotype" w:eastAsia="Palatino Linotype" w:hAnsi="Palatino Linotype" w:cs="Palatino Linotype"/>
          <w:i/>
          <w:sz w:val="22"/>
          <w:szCs w:val="22"/>
        </w:rPr>
      </w:pPr>
    </w:p>
    <w:p w14:paraId="6BBDB454" w14:textId="77777777" w:rsidR="007E412E" w:rsidRPr="008E2EBD" w:rsidRDefault="00476B48">
      <w:pPr>
        <w:spacing w:line="276" w:lineRule="auto"/>
        <w:ind w:left="567" w:right="616"/>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E2EBD">
        <w:rPr>
          <w:rFonts w:ascii="Palatino Linotype" w:eastAsia="Palatino Linotype" w:hAnsi="Palatino Linotype" w:cs="Palatino Linotype"/>
          <w:i/>
          <w:sz w:val="22"/>
          <w:szCs w:val="22"/>
        </w:rPr>
        <w:t xml:space="preserve">. </w:t>
      </w:r>
      <w:r w:rsidRPr="008E2EBD">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67BBEF67" w14:textId="77777777" w:rsidR="007E412E" w:rsidRPr="008E2EBD" w:rsidRDefault="007E412E">
      <w:pPr>
        <w:spacing w:line="360" w:lineRule="auto"/>
        <w:ind w:right="-93"/>
        <w:jc w:val="both"/>
        <w:rPr>
          <w:rFonts w:ascii="Palatino Linotype" w:eastAsia="Palatino Linotype" w:hAnsi="Palatino Linotype" w:cs="Palatino Linotype"/>
          <w:sz w:val="22"/>
          <w:szCs w:val="22"/>
        </w:rPr>
      </w:pPr>
    </w:p>
    <w:p w14:paraId="2FDC2A0C" w14:textId="77777777" w:rsidR="007E412E" w:rsidRPr="008E2EBD" w:rsidRDefault="00476B48">
      <w:pPr>
        <w:spacing w:line="360" w:lineRule="auto"/>
        <w:ind w:right="-93"/>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2C45C9DB" w14:textId="77777777" w:rsidR="007E412E" w:rsidRPr="008E2EBD" w:rsidRDefault="007E412E">
      <w:pPr>
        <w:spacing w:line="360" w:lineRule="auto"/>
        <w:ind w:right="-93"/>
        <w:jc w:val="both"/>
        <w:rPr>
          <w:rFonts w:ascii="Palatino Linotype" w:eastAsia="Palatino Linotype" w:hAnsi="Palatino Linotype" w:cs="Palatino Linotype"/>
          <w:sz w:val="22"/>
          <w:szCs w:val="22"/>
        </w:rPr>
      </w:pPr>
    </w:p>
    <w:p w14:paraId="0C5D9294" w14:textId="77777777" w:rsidR="007E412E" w:rsidRPr="008E2EBD" w:rsidRDefault="00476B48">
      <w:pPr>
        <w:spacing w:line="360" w:lineRule="auto"/>
        <w:ind w:right="-93"/>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8E2EBD">
        <w:rPr>
          <w:rFonts w:ascii="Palatino Linotype" w:eastAsia="Palatino Linotype" w:hAnsi="Palatino Linotype" w:cs="Palatino Linotype"/>
          <w:b/>
          <w:sz w:val="22"/>
          <w:szCs w:val="22"/>
        </w:rPr>
        <w:t xml:space="preserve"> </w:t>
      </w:r>
    </w:p>
    <w:p w14:paraId="7CCCFE32" w14:textId="77777777" w:rsidR="007E412E" w:rsidRPr="008E2EBD" w:rsidRDefault="007E412E">
      <w:pPr>
        <w:spacing w:line="360" w:lineRule="auto"/>
        <w:jc w:val="both"/>
        <w:rPr>
          <w:rFonts w:ascii="Palatino Linotype" w:eastAsia="Palatino Linotype" w:hAnsi="Palatino Linotype" w:cs="Palatino Linotype"/>
          <w:b/>
          <w:sz w:val="22"/>
          <w:szCs w:val="22"/>
        </w:rPr>
      </w:pPr>
    </w:p>
    <w:p w14:paraId="5F40BA79" w14:textId="77777777" w:rsidR="007E412E" w:rsidRPr="008E2EBD" w:rsidRDefault="00476B48">
      <w:pPr>
        <w:ind w:left="567" w:right="616"/>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w:t>
      </w:r>
      <w:r w:rsidRPr="008E2EBD">
        <w:rPr>
          <w:rFonts w:ascii="Palatino Linotype" w:eastAsia="Palatino Linotype" w:hAnsi="Palatino Linotype" w:cs="Palatino Linotype"/>
          <w:b/>
          <w:i/>
          <w:sz w:val="22"/>
          <w:szCs w:val="22"/>
        </w:rPr>
        <w:t>No existe obligación de elaborar documentos ad hoc para atender las solicitudes de acceso a la información.</w:t>
      </w:r>
      <w:r w:rsidRPr="008E2EBD">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13EACF7" w14:textId="77777777" w:rsidR="007E412E" w:rsidRPr="008E2EBD" w:rsidRDefault="007E412E">
      <w:pPr>
        <w:spacing w:line="360" w:lineRule="auto"/>
        <w:ind w:right="-93"/>
        <w:jc w:val="both"/>
        <w:rPr>
          <w:rFonts w:ascii="Palatino Linotype" w:eastAsia="Palatino Linotype" w:hAnsi="Palatino Linotype" w:cs="Palatino Linotype"/>
          <w:sz w:val="22"/>
          <w:szCs w:val="22"/>
        </w:rPr>
      </w:pPr>
    </w:p>
    <w:p w14:paraId="6C7E66FB" w14:textId="77777777" w:rsidR="007E412E" w:rsidRPr="008E2EBD" w:rsidRDefault="00476B48">
      <w:pPr>
        <w:spacing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8419090" w14:textId="77777777" w:rsidR="007E412E" w:rsidRPr="008E2EBD" w:rsidRDefault="007E412E">
      <w:pPr>
        <w:spacing w:line="360" w:lineRule="auto"/>
        <w:jc w:val="both"/>
        <w:rPr>
          <w:rFonts w:ascii="Palatino Linotype" w:eastAsia="Palatino Linotype" w:hAnsi="Palatino Linotype" w:cs="Palatino Linotype"/>
          <w:sz w:val="22"/>
          <w:szCs w:val="22"/>
        </w:rPr>
      </w:pPr>
    </w:p>
    <w:p w14:paraId="1653B503" w14:textId="77777777" w:rsidR="007E412E" w:rsidRPr="008E2EBD" w:rsidRDefault="00476B48">
      <w:pPr>
        <w:spacing w:line="360" w:lineRule="auto"/>
        <w:ind w:right="49"/>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453FF9F" w14:textId="77777777" w:rsidR="007E412E" w:rsidRPr="008E2EBD" w:rsidRDefault="007E412E">
      <w:pPr>
        <w:spacing w:line="360" w:lineRule="auto"/>
        <w:ind w:right="49"/>
        <w:jc w:val="both"/>
        <w:rPr>
          <w:rFonts w:ascii="Palatino Linotype" w:eastAsia="Palatino Linotype" w:hAnsi="Palatino Linotype" w:cs="Palatino Linotype"/>
          <w:sz w:val="22"/>
          <w:szCs w:val="22"/>
        </w:rPr>
      </w:pPr>
    </w:p>
    <w:p w14:paraId="45822DD6" w14:textId="77777777" w:rsidR="007E412E" w:rsidRPr="008E2EBD" w:rsidRDefault="00476B48">
      <w:pPr>
        <w:spacing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E2531A0" w14:textId="77777777" w:rsidR="007E412E" w:rsidRPr="008E2EBD" w:rsidRDefault="007E412E">
      <w:pPr>
        <w:spacing w:line="360" w:lineRule="auto"/>
        <w:ind w:left="567" w:right="616"/>
        <w:jc w:val="both"/>
        <w:rPr>
          <w:rFonts w:ascii="Palatino Linotype" w:eastAsia="Palatino Linotype" w:hAnsi="Palatino Linotype" w:cs="Palatino Linotype"/>
          <w:i/>
          <w:sz w:val="22"/>
          <w:szCs w:val="22"/>
        </w:rPr>
      </w:pPr>
    </w:p>
    <w:p w14:paraId="63ED9A85" w14:textId="77777777" w:rsidR="007E412E" w:rsidRPr="008E2EBD" w:rsidRDefault="00476B48">
      <w:pPr>
        <w:ind w:left="567" w:right="616"/>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w:t>
      </w:r>
      <w:r w:rsidRPr="008E2EBD">
        <w:rPr>
          <w:rFonts w:ascii="Palatino Linotype" w:eastAsia="Palatino Linotype" w:hAnsi="Palatino Linotype" w:cs="Palatino Linotype"/>
          <w:b/>
          <w:i/>
          <w:sz w:val="22"/>
          <w:szCs w:val="22"/>
        </w:rPr>
        <w:t xml:space="preserve">Artículo 3. </w:t>
      </w:r>
      <w:r w:rsidRPr="008E2EBD">
        <w:rPr>
          <w:rFonts w:ascii="Palatino Linotype" w:eastAsia="Palatino Linotype" w:hAnsi="Palatino Linotype" w:cs="Palatino Linotype"/>
          <w:i/>
          <w:sz w:val="22"/>
          <w:szCs w:val="22"/>
        </w:rPr>
        <w:t>Para los efectos de la presente Ley se entenderá por:</w:t>
      </w:r>
    </w:p>
    <w:p w14:paraId="2D4DC087" w14:textId="77777777" w:rsidR="007E412E" w:rsidRPr="008E2EBD" w:rsidRDefault="00476B48">
      <w:pPr>
        <w:ind w:left="567" w:right="616"/>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w:t>
      </w:r>
    </w:p>
    <w:p w14:paraId="1ADFB737" w14:textId="77777777" w:rsidR="007E412E" w:rsidRPr="008E2EBD" w:rsidRDefault="00476B48">
      <w:pPr>
        <w:ind w:left="567" w:right="616"/>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b/>
          <w:i/>
          <w:sz w:val="22"/>
          <w:szCs w:val="22"/>
        </w:rPr>
        <w:t>XI. Documento:</w:t>
      </w:r>
      <w:r w:rsidRPr="008E2EBD">
        <w:rPr>
          <w:rFonts w:ascii="Palatino Linotype" w:eastAsia="Palatino Linotype" w:hAnsi="Palatino Linotype" w:cs="Palatino Linotype"/>
          <w:i/>
          <w:sz w:val="22"/>
          <w:szCs w:val="22"/>
        </w:rPr>
        <w:t xml:space="preserve"> Los expedientes, reportes, estudios, actas</w:t>
      </w:r>
      <w:r w:rsidRPr="008E2EBD">
        <w:rPr>
          <w:rFonts w:ascii="Palatino Linotype" w:eastAsia="Palatino Linotype" w:hAnsi="Palatino Linotype" w:cs="Palatino Linotype"/>
          <w:b/>
          <w:i/>
          <w:sz w:val="22"/>
          <w:szCs w:val="22"/>
        </w:rPr>
        <w:t>,</w:t>
      </w:r>
      <w:r w:rsidRPr="008E2EBD">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38466FD" w14:textId="77777777" w:rsidR="007E412E" w:rsidRPr="008E2EBD" w:rsidRDefault="007E412E">
      <w:pPr>
        <w:spacing w:line="360" w:lineRule="auto"/>
        <w:ind w:left="851" w:right="899"/>
        <w:jc w:val="both"/>
        <w:rPr>
          <w:rFonts w:ascii="Palatino Linotype" w:eastAsia="Palatino Linotype" w:hAnsi="Palatino Linotype" w:cs="Palatino Linotype"/>
          <w:sz w:val="22"/>
          <w:szCs w:val="22"/>
        </w:rPr>
      </w:pPr>
    </w:p>
    <w:p w14:paraId="596FBF9E" w14:textId="77777777" w:rsidR="007E412E" w:rsidRPr="008E2EBD" w:rsidRDefault="00476B48">
      <w:pPr>
        <w:spacing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F16E3B8" w14:textId="77777777" w:rsidR="007E412E" w:rsidRPr="008E2EBD" w:rsidRDefault="007E412E">
      <w:pPr>
        <w:spacing w:line="360" w:lineRule="auto"/>
        <w:jc w:val="both"/>
        <w:rPr>
          <w:rFonts w:ascii="Palatino Linotype" w:eastAsia="Palatino Linotype" w:hAnsi="Palatino Linotype" w:cs="Palatino Linotype"/>
          <w:sz w:val="22"/>
          <w:szCs w:val="22"/>
        </w:rPr>
      </w:pPr>
    </w:p>
    <w:p w14:paraId="1C2AE316" w14:textId="77777777" w:rsidR="007E412E" w:rsidRPr="008E2EBD" w:rsidRDefault="00476B48">
      <w:pPr>
        <w:ind w:left="567" w:right="616"/>
        <w:jc w:val="both"/>
        <w:rPr>
          <w:rFonts w:ascii="Palatino Linotype" w:eastAsia="Palatino Linotype" w:hAnsi="Palatino Linotype" w:cs="Palatino Linotype"/>
          <w:b/>
          <w:i/>
          <w:sz w:val="22"/>
          <w:szCs w:val="22"/>
        </w:rPr>
      </w:pPr>
      <w:r w:rsidRPr="008E2EBD">
        <w:rPr>
          <w:rFonts w:ascii="Palatino Linotype" w:eastAsia="Palatino Linotype" w:hAnsi="Palatino Linotype" w:cs="Palatino Linotype"/>
          <w:b/>
          <w:sz w:val="22"/>
          <w:szCs w:val="22"/>
        </w:rPr>
        <w:t>“</w:t>
      </w:r>
      <w:r w:rsidRPr="008E2EBD">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8E2EB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568348" w14:textId="77777777" w:rsidR="007E412E" w:rsidRPr="008E2EBD" w:rsidRDefault="00476B48">
      <w:pPr>
        <w:ind w:left="567" w:right="616"/>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 xml:space="preserve">En </w:t>
      </w:r>
      <w:proofErr w:type="gramStart"/>
      <w:r w:rsidRPr="008E2EBD">
        <w:rPr>
          <w:rFonts w:ascii="Palatino Linotype" w:eastAsia="Palatino Linotype" w:hAnsi="Palatino Linotype" w:cs="Palatino Linotype"/>
          <w:i/>
          <w:sz w:val="22"/>
          <w:szCs w:val="22"/>
        </w:rPr>
        <w:t>consecuencia</w:t>
      </w:r>
      <w:proofErr w:type="gramEnd"/>
      <w:r w:rsidRPr="008E2EBD">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75F73526" w14:textId="77777777" w:rsidR="007E412E" w:rsidRPr="008E2EBD" w:rsidRDefault="00476B48">
      <w:pPr>
        <w:ind w:left="567" w:right="616"/>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 xml:space="preserve">1) Que se trate de información registrada en cualquier soporte documental, </w:t>
      </w:r>
      <w:proofErr w:type="gramStart"/>
      <w:r w:rsidRPr="008E2EBD">
        <w:rPr>
          <w:rFonts w:ascii="Palatino Linotype" w:eastAsia="Palatino Linotype" w:hAnsi="Palatino Linotype" w:cs="Palatino Linotype"/>
          <w:i/>
          <w:sz w:val="22"/>
          <w:szCs w:val="22"/>
        </w:rPr>
        <w:t>que</w:t>
      </w:r>
      <w:proofErr w:type="gramEnd"/>
      <w:r w:rsidRPr="008E2EBD">
        <w:rPr>
          <w:rFonts w:ascii="Palatino Linotype" w:eastAsia="Palatino Linotype" w:hAnsi="Palatino Linotype" w:cs="Palatino Linotype"/>
          <w:i/>
          <w:sz w:val="22"/>
          <w:szCs w:val="22"/>
        </w:rPr>
        <w:t xml:space="preserve"> en ejercicio de las atribuciones conferidas, sea generada por los Sujetos Obligados;</w:t>
      </w:r>
    </w:p>
    <w:p w14:paraId="27BEE466" w14:textId="77777777" w:rsidR="007E412E" w:rsidRPr="008E2EBD" w:rsidRDefault="00476B48">
      <w:pPr>
        <w:ind w:left="567" w:right="616"/>
        <w:jc w:val="both"/>
        <w:rPr>
          <w:rFonts w:ascii="Palatino Linotype" w:eastAsia="Palatino Linotype" w:hAnsi="Palatino Linotype" w:cs="Palatino Linotype"/>
          <w:b/>
          <w:i/>
          <w:sz w:val="22"/>
          <w:szCs w:val="22"/>
        </w:rPr>
      </w:pPr>
      <w:r w:rsidRPr="008E2EBD">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8E2EBD">
        <w:rPr>
          <w:rFonts w:ascii="Palatino Linotype" w:eastAsia="Palatino Linotype" w:hAnsi="Palatino Linotype" w:cs="Palatino Linotype"/>
          <w:b/>
          <w:i/>
          <w:sz w:val="22"/>
          <w:szCs w:val="22"/>
        </w:rPr>
        <w:t>que</w:t>
      </w:r>
      <w:proofErr w:type="gramEnd"/>
      <w:r w:rsidRPr="008E2EBD">
        <w:rPr>
          <w:rFonts w:ascii="Palatino Linotype" w:eastAsia="Palatino Linotype" w:hAnsi="Palatino Linotype" w:cs="Palatino Linotype"/>
          <w:b/>
          <w:i/>
          <w:sz w:val="22"/>
          <w:szCs w:val="22"/>
        </w:rPr>
        <w:t xml:space="preserve"> en ejercicio de las atribuciones conferidas, sea administrada por los Sujetos Obligados, y</w:t>
      </w:r>
    </w:p>
    <w:p w14:paraId="614CDE9E" w14:textId="77777777" w:rsidR="007E412E" w:rsidRPr="008E2EBD" w:rsidRDefault="00476B48">
      <w:pPr>
        <w:ind w:left="567" w:right="616"/>
        <w:jc w:val="both"/>
        <w:rPr>
          <w:rFonts w:ascii="Palatino Linotype" w:eastAsia="Palatino Linotype" w:hAnsi="Palatino Linotype" w:cs="Palatino Linotype"/>
          <w:b/>
          <w:i/>
          <w:sz w:val="22"/>
          <w:szCs w:val="22"/>
        </w:rPr>
      </w:pPr>
      <w:r w:rsidRPr="008E2EBD">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8E2EBD">
        <w:rPr>
          <w:rFonts w:ascii="Palatino Linotype" w:eastAsia="Palatino Linotype" w:hAnsi="Palatino Linotype" w:cs="Palatino Linotype"/>
          <w:b/>
          <w:i/>
          <w:sz w:val="22"/>
          <w:szCs w:val="22"/>
        </w:rPr>
        <w:t>que</w:t>
      </w:r>
      <w:proofErr w:type="gramEnd"/>
      <w:r w:rsidRPr="008E2EBD">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D052AC3" w14:textId="77777777" w:rsidR="007E412E" w:rsidRPr="008E2EBD" w:rsidRDefault="007E412E">
      <w:pPr>
        <w:tabs>
          <w:tab w:val="left" w:pos="8647"/>
        </w:tabs>
        <w:spacing w:line="360" w:lineRule="auto"/>
        <w:jc w:val="both"/>
        <w:rPr>
          <w:rFonts w:ascii="Palatino Linotype" w:eastAsia="Palatino Linotype" w:hAnsi="Palatino Linotype" w:cs="Palatino Linotype"/>
          <w:b/>
          <w:sz w:val="22"/>
          <w:szCs w:val="22"/>
        </w:rPr>
      </w:pPr>
    </w:p>
    <w:p w14:paraId="2A46731A" w14:textId="77777777" w:rsidR="007E412E" w:rsidRPr="008E2EBD" w:rsidRDefault="00476B48">
      <w:pPr>
        <w:spacing w:after="240" w:line="360" w:lineRule="auto"/>
        <w:jc w:val="both"/>
        <w:rPr>
          <w:rFonts w:ascii="Palatino Linotype" w:eastAsia="Palatino Linotype" w:hAnsi="Palatino Linotype" w:cs="Palatino Linotype"/>
          <w:b/>
          <w:sz w:val="22"/>
          <w:szCs w:val="22"/>
        </w:rPr>
      </w:pPr>
      <w:r w:rsidRPr="008E2EBD">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Pr="008E2EBD">
        <w:rPr>
          <w:rFonts w:ascii="Palatino Linotype" w:eastAsia="Palatino Linotype" w:hAnsi="Palatino Linotype" w:cs="Palatino Linotype"/>
          <w:b/>
          <w:sz w:val="22"/>
          <w:szCs w:val="22"/>
        </w:rPr>
        <w:t>Sistema Municipal para el Desarrollo Integral de la Familia de Lerma, la siguiente información:</w:t>
      </w:r>
    </w:p>
    <w:p w14:paraId="6BBA7460" w14:textId="77777777" w:rsidR="007E412E" w:rsidRPr="008E2EBD" w:rsidRDefault="00476B4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8E2EBD">
        <w:rPr>
          <w:rFonts w:ascii="Palatino Linotype" w:eastAsia="Palatino Linotype" w:hAnsi="Palatino Linotype" w:cs="Palatino Linotype"/>
          <w:b/>
          <w:sz w:val="22"/>
          <w:szCs w:val="22"/>
        </w:rPr>
        <w:t>Si ha recibido donaciones de instituciones privadas en el periodo comprendido del uno de enero de dos mil veinte al treinta y uno de diciembre de dos mil veinticuatro.</w:t>
      </w:r>
    </w:p>
    <w:p w14:paraId="6B0F6F19" w14:textId="77777777" w:rsidR="007E412E" w:rsidRPr="008E2EBD" w:rsidRDefault="00476B4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8E2EBD">
        <w:rPr>
          <w:rFonts w:ascii="Palatino Linotype" w:eastAsia="Palatino Linotype" w:hAnsi="Palatino Linotype" w:cs="Palatino Linotype"/>
          <w:b/>
          <w:sz w:val="22"/>
          <w:szCs w:val="22"/>
        </w:rPr>
        <w:t>¿Qué se hace con ellas?</w:t>
      </w:r>
    </w:p>
    <w:p w14:paraId="4A260565" w14:textId="77777777" w:rsidR="007E412E" w:rsidRPr="008E2EBD" w:rsidRDefault="00476B48">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sz w:val="22"/>
          <w:szCs w:val="22"/>
        </w:rPr>
      </w:pPr>
      <w:r w:rsidRPr="008E2EBD">
        <w:rPr>
          <w:rFonts w:ascii="Palatino Linotype" w:eastAsia="Palatino Linotype" w:hAnsi="Palatino Linotype" w:cs="Palatino Linotype"/>
          <w:b/>
          <w:sz w:val="22"/>
          <w:szCs w:val="22"/>
        </w:rPr>
        <w:t>Destino de las donaciones recibidas.</w:t>
      </w:r>
    </w:p>
    <w:p w14:paraId="4FA03808" w14:textId="77777777" w:rsidR="007E412E" w:rsidRPr="008E2EBD" w:rsidRDefault="00476B48">
      <w:pPr>
        <w:spacing w:after="240"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Derivado de la naturaleza de la información requerida, es necesario traer a contexto la Ley que Crea a los Organismos Públicos Descentralizados de Asistencia Social, de Carácter Municipal, Denominado “Sistemas Municipales para el Desarrollo Integral de la Familia”, la cual dispone lo siguiente:</w:t>
      </w:r>
    </w:p>
    <w:p w14:paraId="5092620C" w14:textId="77777777" w:rsidR="007E412E" w:rsidRPr="008E2EBD" w:rsidRDefault="00476B48">
      <w:pPr>
        <w:spacing w:after="240"/>
        <w:ind w:left="567" w:right="843"/>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CAPITULO SEGUNDO Patrimonio Artículo 4.- El Patrimonio de los Organismos Públicos Descentralizados Municipales, se integrará con los siguientes recursos:</w:t>
      </w:r>
    </w:p>
    <w:p w14:paraId="1AC849B8" w14:textId="77777777" w:rsidR="007E412E" w:rsidRPr="008E2EBD" w:rsidRDefault="00476B48">
      <w:pPr>
        <w:spacing w:after="240"/>
        <w:ind w:left="567" w:right="843"/>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w:t>
      </w:r>
    </w:p>
    <w:p w14:paraId="10C0C5C7" w14:textId="77777777" w:rsidR="007E412E" w:rsidRPr="008E2EBD" w:rsidRDefault="00476B48">
      <w:pPr>
        <w:spacing w:after="240"/>
        <w:ind w:left="567" w:right="843"/>
        <w:jc w:val="both"/>
        <w:rPr>
          <w:rFonts w:ascii="Palatino Linotype" w:eastAsia="Palatino Linotype" w:hAnsi="Palatino Linotype" w:cs="Palatino Linotype"/>
          <w:b/>
          <w:i/>
          <w:sz w:val="22"/>
          <w:szCs w:val="22"/>
        </w:rPr>
      </w:pPr>
      <w:r w:rsidRPr="008E2EBD">
        <w:rPr>
          <w:rFonts w:ascii="Palatino Linotype" w:eastAsia="Palatino Linotype" w:hAnsi="Palatino Linotype" w:cs="Palatino Linotype"/>
          <w:b/>
          <w:i/>
          <w:sz w:val="22"/>
          <w:szCs w:val="22"/>
        </w:rPr>
        <w:t>III. Las aportaciones, donaciones, legados y las liberalidades que reciba de personas físicas o morales;</w:t>
      </w:r>
    </w:p>
    <w:p w14:paraId="4E702408" w14:textId="77777777" w:rsidR="007E412E" w:rsidRPr="008E2EBD" w:rsidRDefault="00476B48">
      <w:pPr>
        <w:spacing w:after="240"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Es así que, el patrimonio de los Sistemas Municipales para el Desarrollo Integral de la Familia integrará su patrimonio, entre otras cosas, por las donaciones de personas físicas o morales, mismas que fueron proporcionadas directamente a la población.</w:t>
      </w:r>
    </w:p>
    <w:p w14:paraId="3F231E59" w14:textId="77777777" w:rsidR="007E412E" w:rsidRPr="008E2EBD" w:rsidRDefault="00476B48">
      <w:pPr>
        <w:spacing w:after="240"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Al respecto y derivado de la manifestación hecha por el Sujeto Obligado a través de su respuesta, es necesario traer a contexto la Ley de Transparencia y Acceso a la Información Pública del Estado de México y Municipios refiere lo siguiente:</w:t>
      </w:r>
    </w:p>
    <w:p w14:paraId="41501532" w14:textId="77777777" w:rsidR="007E412E" w:rsidRPr="008E2EBD" w:rsidRDefault="00476B48">
      <w:pPr>
        <w:spacing w:after="240"/>
        <w:ind w:left="567" w:right="843"/>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 xml:space="preserve">Capítulo II </w:t>
      </w:r>
    </w:p>
    <w:p w14:paraId="384A0957" w14:textId="77777777" w:rsidR="007E412E" w:rsidRPr="008E2EBD" w:rsidRDefault="00476B48">
      <w:pPr>
        <w:spacing w:after="240"/>
        <w:ind w:left="567" w:right="843"/>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 xml:space="preserve">De las Obligaciones de Transparencia Comunes </w:t>
      </w:r>
    </w:p>
    <w:p w14:paraId="0B5510D8" w14:textId="77777777" w:rsidR="007E412E" w:rsidRPr="008E2EBD" w:rsidRDefault="00476B48">
      <w:pPr>
        <w:spacing w:after="240"/>
        <w:ind w:left="567" w:right="843"/>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973F7D3" w14:textId="77777777" w:rsidR="007E412E" w:rsidRPr="008E2EBD" w:rsidRDefault="00476B48">
      <w:pPr>
        <w:spacing w:after="240"/>
        <w:ind w:left="567" w:right="843"/>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w:t>
      </w:r>
    </w:p>
    <w:p w14:paraId="50F72CD2" w14:textId="77777777" w:rsidR="007E412E" w:rsidRPr="008E2EBD" w:rsidRDefault="00476B48">
      <w:pPr>
        <w:ind w:left="567" w:right="843"/>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 xml:space="preserve">XIV. La información de los programas de subsidios, estímulos y apoyos, en el que se deberá informar respecto de los programas de transferencia, de servicios, de infraestructura social y de subsidio, en los que se deberá contener lo siguiente: </w:t>
      </w:r>
    </w:p>
    <w:p w14:paraId="357F65F5" w14:textId="77777777" w:rsidR="007E412E" w:rsidRPr="008E2EBD" w:rsidRDefault="00476B48">
      <w:pPr>
        <w:ind w:left="851" w:right="843"/>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 xml:space="preserve">a) Área; </w:t>
      </w:r>
    </w:p>
    <w:p w14:paraId="73773088" w14:textId="77777777" w:rsidR="007E412E" w:rsidRPr="008E2EBD" w:rsidRDefault="00476B48">
      <w:pPr>
        <w:ind w:left="851" w:right="843"/>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 xml:space="preserve">b) Denominación del programa; </w:t>
      </w:r>
    </w:p>
    <w:p w14:paraId="3E8DCB04" w14:textId="77777777" w:rsidR="007E412E" w:rsidRPr="008E2EBD" w:rsidRDefault="00476B48">
      <w:pPr>
        <w:ind w:left="851" w:right="843"/>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 xml:space="preserve">c) Periodo de vigencia; </w:t>
      </w:r>
    </w:p>
    <w:p w14:paraId="60B22ACC" w14:textId="77777777" w:rsidR="007E412E" w:rsidRPr="008E2EBD" w:rsidRDefault="00476B48">
      <w:pPr>
        <w:ind w:left="851" w:right="843"/>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d) Diseño, objetivos y alcances;</w:t>
      </w:r>
    </w:p>
    <w:p w14:paraId="2E20C5DA" w14:textId="77777777" w:rsidR="007E412E" w:rsidRPr="008E2EBD" w:rsidRDefault="00476B48">
      <w:pPr>
        <w:ind w:left="851" w:right="843"/>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 xml:space="preserve">e) Metas físicas; </w:t>
      </w:r>
    </w:p>
    <w:p w14:paraId="3A530BB2" w14:textId="77777777" w:rsidR="007E412E" w:rsidRPr="008E2EBD" w:rsidRDefault="00476B48">
      <w:pPr>
        <w:ind w:left="851" w:right="843"/>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 xml:space="preserve">f) Población beneficiada estimada; </w:t>
      </w:r>
    </w:p>
    <w:p w14:paraId="1EF47ACA" w14:textId="77777777" w:rsidR="007E412E" w:rsidRPr="008E2EBD" w:rsidRDefault="00476B48">
      <w:pPr>
        <w:ind w:left="851" w:right="843"/>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 xml:space="preserve">g) Monto aprobado, modificado y ejercido, así como los calendarios de su programación presupuestal; </w:t>
      </w:r>
    </w:p>
    <w:p w14:paraId="24176A08" w14:textId="77777777" w:rsidR="007E412E" w:rsidRPr="008E2EBD" w:rsidRDefault="00476B48">
      <w:pPr>
        <w:ind w:left="851" w:right="843"/>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 xml:space="preserve">h) Requisitos y procedimientos de acceso; </w:t>
      </w:r>
    </w:p>
    <w:p w14:paraId="314B75CC" w14:textId="77777777" w:rsidR="007E412E" w:rsidRPr="008E2EBD" w:rsidRDefault="00476B48">
      <w:pPr>
        <w:ind w:left="851" w:right="843"/>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 xml:space="preserve">i) Procedimiento de queja o inconformidad ciudadana; </w:t>
      </w:r>
    </w:p>
    <w:p w14:paraId="36F2D220" w14:textId="77777777" w:rsidR="007E412E" w:rsidRPr="008E2EBD" w:rsidRDefault="00476B48">
      <w:pPr>
        <w:ind w:left="851" w:right="843"/>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 xml:space="preserve">j) Mecanismos de exigibilidad; </w:t>
      </w:r>
    </w:p>
    <w:p w14:paraId="1C73E640" w14:textId="77777777" w:rsidR="007E412E" w:rsidRPr="008E2EBD" w:rsidRDefault="00476B48">
      <w:pPr>
        <w:ind w:left="851" w:right="843"/>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 xml:space="preserve">k) Mecanismos e informes de evaluación y seguimiento de recomendaciones; </w:t>
      </w:r>
    </w:p>
    <w:p w14:paraId="2554E9D0" w14:textId="77777777" w:rsidR="007E412E" w:rsidRPr="008E2EBD" w:rsidRDefault="00476B48">
      <w:pPr>
        <w:ind w:left="851" w:right="843"/>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 xml:space="preserve">l) Indicadores con nombre, definición, método de cálculo, unidad de medida; dimensión, frecuencia de medición, nombre de las bases de datos utilizadas para su cálculo; </w:t>
      </w:r>
    </w:p>
    <w:p w14:paraId="459A8BC1" w14:textId="77777777" w:rsidR="007E412E" w:rsidRPr="008E2EBD" w:rsidRDefault="00476B48">
      <w:pPr>
        <w:ind w:left="851" w:right="843"/>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 xml:space="preserve">m)Formas de participación social; </w:t>
      </w:r>
    </w:p>
    <w:p w14:paraId="54F057FC" w14:textId="77777777" w:rsidR="007E412E" w:rsidRPr="008E2EBD" w:rsidRDefault="00476B48">
      <w:pPr>
        <w:ind w:left="851" w:right="843"/>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 xml:space="preserve">n) Articulación con otros programas sociales; </w:t>
      </w:r>
    </w:p>
    <w:p w14:paraId="236C3577" w14:textId="77777777" w:rsidR="007E412E" w:rsidRPr="008E2EBD" w:rsidRDefault="00476B48">
      <w:pPr>
        <w:ind w:left="851" w:right="843"/>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 xml:space="preserve">ñ) Vínculo a las reglas de operación o documento equivalente; </w:t>
      </w:r>
    </w:p>
    <w:p w14:paraId="094BE4AF" w14:textId="77777777" w:rsidR="007E412E" w:rsidRPr="008E2EBD" w:rsidRDefault="00476B48">
      <w:pPr>
        <w:ind w:left="851" w:right="843"/>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 xml:space="preserve">o) Informes periódicos sobre la ejecución y los resultados de las evaluaciones realizadas; y </w:t>
      </w:r>
    </w:p>
    <w:p w14:paraId="3F90C7DE" w14:textId="77777777" w:rsidR="007E412E" w:rsidRPr="008E2EBD" w:rsidRDefault="00476B48">
      <w:pPr>
        <w:ind w:left="851" w:right="843"/>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14:paraId="305075A1" w14:textId="77777777" w:rsidR="007E412E" w:rsidRPr="008E2EBD" w:rsidRDefault="00476B48">
      <w:pPr>
        <w:spacing w:after="240"/>
        <w:ind w:left="567" w:right="843"/>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w:t>
      </w:r>
    </w:p>
    <w:p w14:paraId="19BD5D22" w14:textId="77777777" w:rsidR="007E412E" w:rsidRPr="008E2EBD" w:rsidRDefault="00476B48">
      <w:pPr>
        <w:spacing w:after="240"/>
        <w:ind w:left="567" w:right="843"/>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XLVIII. Donaciones hechas a terceros en dinero o en especie;</w:t>
      </w:r>
    </w:p>
    <w:p w14:paraId="10AAAB4F" w14:textId="77777777" w:rsidR="007E412E" w:rsidRPr="008E2EBD" w:rsidRDefault="00476B48">
      <w:pPr>
        <w:spacing w:after="240"/>
        <w:ind w:left="567" w:right="843"/>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w:t>
      </w:r>
    </w:p>
    <w:p w14:paraId="7E7AB3E3" w14:textId="77777777" w:rsidR="007E412E" w:rsidRPr="008E2EBD" w:rsidRDefault="00476B48">
      <w:pPr>
        <w:spacing w:after="240" w:line="360" w:lineRule="auto"/>
        <w:ind w:right="134"/>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Es así que, la legislación en materia de transparencia en el Estado de México establece que será pública toda aquella información relacionada con estímulos, apoyos o donaciones hechas por los Sujetos Obligados, debiendo complementar la información con las fracciones antes referidas, mientras que, para el caso de las donaciones,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indican lo siguiente:</w:t>
      </w:r>
    </w:p>
    <w:p w14:paraId="44540287" w14:textId="77777777" w:rsidR="007E412E" w:rsidRPr="008E2EBD" w:rsidRDefault="00476B48">
      <w:pPr>
        <w:spacing w:after="240"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noProof/>
          <w:sz w:val="22"/>
          <w:szCs w:val="22"/>
        </w:rPr>
        <w:drawing>
          <wp:inline distT="0" distB="0" distL="0" distR="0" wp14:anchorId="7F0A42CD" wp14:editId="47B19D18">
            <wp:extent cx="5756275" cy="3576320"/>
            <wp:effectExtent l="0" t="0" r="0" b="0"/>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56275" cy="3576320"/>
                    </a:xfrm>
                    <a:prstGeom prst="rect">
                      <a:avLst/>
                    </a:prstGeom>
                    <a:ln/>
                  </pic:spPr>
                </pic:pic>
              </a:graphicData>
            </a:graphic>
          </wp:inline>
        </w:drawing>
      </w:r>
    </w:p>
    <w:p w14:paraId="65F1C0A5" w14:textId="77777777" w:rsidR="007E412E" w:rsidRPr="008E2EBD" w:rsidRDefault="007E412E">
      <w:pPr>
        <w:spacing w:after="240" w:line="360" w:lineRule="auto"/>
        <w:jc w:val="both"/>
        <w:rPr>
          <w:rFonts w:ascii="Palatino Linotype" w:eastAsia="Palatino Linotype" w:hAnsi="Palatino Linotype" w:cs="Palatino Linotype"/>
          <w:sz w:val="22"/>
          <w:szCs w:val="22"/>
        </w:rPr>
      </w:pPr>
    </w:p>
    <w:p w14:paraId="06785E59" w14:textId="77777777" w:rsidR="007E412E" w:rsidRPr="008E2EBD" w:rsidRDefault="00476B48">
      <w:pPr>
        <w:spacing w:after="240"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 xml:space="preserve">Además, cabe mencionar que, al corresponder a donaciones hechas al Sujeto Obligado por instituciones privadas, una vez recibidas por éste se constituyen o tienen la naturaleza de recursos públicos, entendiendo este último término como los bienes o recursos económicos de los que dispone un ente para satisfacer los servicios públicos, los cuales provienen impuestos, donaciones, arrendamientos, trámites, servicios, entre otros. </w:t>
      </w:r>
    </w:p>
    <w:p w14:paraId="52C83F18" w14:textId="77777777" w:rsidR="007E412E" w:rsidRPr="008E2EBD" w:rsidRDefault="00476B48">
      <w:pPr>
        <w:spacing w:after="240"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Dicho lo anterior, la Ley de Transparencia antes citada, para el caso en general de los recursos públicos dispone lo siguiente:</w:t>
      </w:r>
    </w:p>
    <w:p w14:paraId="67294F7D" w14:textId="77777777" w:rsidR="007E412E" w:rsidRPr="008E2EBD" w:rsidRDefault="00476B48">
      <w:pPr>
        <w:spacing w:after="240"/>
        <w:ind w:left="567" w:right="843"/>
        <w:jc w:val="center"/>
        <w:rPr>
          <w:rFonts w:ascii="Palatino Linotype" w:eastAsia="Palatino Linotype" w:hAnsi="Palatino Linotype" w:cs="Palatino Linotype"/>
          <w:b/>
          <w:i/>
          <w:sz w:val="22"/>
          <w:szCs w:val="22"/>
        </w:rPr>
      </w:pPr>
      <w:r w:rsidRPr="008E2EBD">
        <w:rPr>
          <w:rFonts w:ascii="Palatino Linotype" w:eastAsia="Palatino Linotype" w:hAnsi="Palatino Linotype" w:cs="Palatino Linotype"/>
          <w:b/>
          <w:i/>
          <w:sz w:val="22"/>
          <w:szCs w:val="22"/>
        </w:rPr>
        <w:t>Capítulo III</w:t>
      </w:r>
    </w:p>
    <w:p w14:paraId="36DB4B19" w14:textId="77777777" w:rsidR="007E412E" w:rsidRPr="008E2EBD" w:rsidRDefault="00476B48">
      <w:pPr>
        <w:spacing w:after="240"/>
        <w:ind w:left="567" w:right="843"/>
        <w:jc w:val="center"/>
        <w:rPr>
          <w:rFonts w:ascii="Palatino Linotype" w:eastAsia="Palatino Linotype" w:hAnsi="Palatino Linotype" w:cs="Palatino Linotype"/>
          <w:b/>
          <w:i/>
          <w:sz w:val="22"/>
          <w:szCs w:val="22"/>
        </w:rPr>
      </w:pPr>
      <w:r w:rsidRPr="008E2EBD">
        <w:rPr>
          <w:rFonts w:ascii="Palatino Linotype" w:eastAsia="Palatino Linotype" w:hAnsi="Palatino Linotype" w:cs="Palatino Linotype"/>
          <w:b/>
          <w:i/>
          <w:sz w:val="22"/>
          <w:szCs w:val="22"/>
        </w:rPr>
        <w:t>De los Sujetos Obligados</w:t>
      </w:r>
    </w:p>
    <w:p w14:paraId="15DCCC03" w14:textId="77777777" w:rsidR="007E412E" w:rsidRPr="008E2EBD" w:rsidRDefault="00476B48">
      <w:pPr>
        <w:spacing w:after="240"/>
        <w:ind w:left="567" w:right="843"/>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Artículo 23. Son sujetos obligados a transparentar y permitir el acceso a su información y proteger los datos personales que obren en su poder:</w:t>
      </w:r>
    </w:p>
    <w:p w14:paraId="528B3EF8" w14:textId="77777777" w:rsidR="007E412E" w:rsidRPr="008E2EBD" w:rsidRDefault="00476B48">
      <w:pPr>
        <w:spacing w:after="240"/>
        <w:ind w:left="567" w:right="843"/>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w:t>
      </w:r>
    </w:p>
    <w:p w14:paraId="42FB8C8E" w14:textId="77777777" w:rsidR="007E412E" w:rsidRPr="008E2EBD" w:rsidRDefault="00476B48">
      <w:pPr>
        <w:spacing w:after="240"/>
        <w:ind w:left="567" w:right="843"/>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74C02F8" w14:textId="77777777" w:rsidR="007E412E" w:rsidRPr="008E2EBD" w:rsidRDefault="00476B48">
      <w:pPr>
        <w:spacing w:after="240"/>
        <w:ind w:left="567" w:right="843"/>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Artículo 24. Para el cumplimiento de los objetivos de esta Ley, los sujetos obligados deberán cumplir con las siguientes obligaciones, según corresponda, de acuerdo a su naturaleza:</w:t>
      </w:r>
    </w:p>
    <w:p w14:paraId="4A1AC6B3" w14:textId="77777777" w:rsidR="007E412E" w:rsidRPr="008E2EBD" w:rsidRDefault="00476B48">
      <w:pPr>
        <w:spacing w:after="240"/>
        <w:ind w:left="567" w:right="843"/>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w:t>
      </w:r>
    </w:p>
    <w:p w14:paraId="00459C5F" w14:textId="77777777" w:rsidR="007E412E" w:rsidRPr="008E2EBD" w:rsidRDefault="00476B48">
      <w:pPr>
        <w:spacing w:after="240"/>
        <w:ind w:left="567" w:right="843"/>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XVIII. Hacer pública toda aquella información relativa a los montos y las personas a quienes entreguen, por cualquier motivo, recursos públicos, así como los informes que dichas personas les entreguen sobre el uso y destino de dichos recursos;</w:t>
      </w:r>
    </w:p>
    <w:p w14:paraId="098C85BD" w14:textId="77777777" w:rsidR="007E412E" w:rsidRPr="008E2EBD" w:rsidRDefault="007E412E">
      <w:pPr>
        <w:spacing w:after="240"/>
        <w:ind w:left="567" w:right="843"/>
        <w:jc w:val="both"/>
        <w:rPr>
          <w:rFonts w:ascii="Palatino Linotype" w:eastAsia="Palatino Linotype" w:hAnsi="Palatino Linotype" w:cs="Palatino Linotype"/>
          <w:i/>
          <w:sz w:val="22"/>
          <w:szCs w:val="22"/>
        </w:rPr>
      </w:pPr>
    </w:p>
    <w:p w14:paraId="6EF350FE" w14:textId="77777777" w:rsidR="007E412E" w:rsidRPr="008E2EBD" w:rsidRDefault="00476B48">
      <w:pPr>
        <w:spacing w:after="240"/>
        <w:ind w:left="567" w:right="843"/>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Artículo 27. Las personas físicas o jurídicas colectivas que, en el ejercicio de sus actividades, coadyuven en auxilio o colaboración de las entidades públicas, o aquellas que ejerzan gasto público, reciban, utilicen o dispongan de recursos públicos, subsidios, o estímulos fiscales o realicen actos de autoridad, estarán obligadas a entregar la información relacionada con el uso, destino y actividades al sujeto obligado que entregue el recurso, subsidio u otorgue el estímulo, supervise o coordine estas actividades.</w:t>
      </w:r>
    </w:p>
    <w:p w14:paraId="0777045F" w14:textId="77777777" w:rsidR="007E412E" w:rsidRPr="008E2EBD" w:rsidRDefault="00476B48">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En virtud de lo dispuesto se determina que toda aquella información de persona física o jurídica que reciba recursos públicos, ya sea en forma de subsidios, estímulos o cualquier otro tipo de apoyo económico o en especie, está sujeta a transparencia y rendición de cuentas, por constituirse como una obligación de transparencia común.</w:t>
      </w:r>
    </w:p>
    <w:p w14:paraId="7BEF6EA0" w14:textId="77777777" w:rsidR="007E412E" w:rsidRPr="008E2EBD" w:rsidRDefault="00476B48">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En este sentido, se concluye que los recursos públicos entregados a particulares no pierden su carácter de públicos aún y cuando correspondan a donaciones hechas por particulares. Por ello, el uso y destino es de interés colectivo, siendo procedente ordenar la entrega de toda la información que al respecto se genere.</w:t>
      </w:r>
    </w:p>
    <w:p w14:paraId="77E3B625" w14:textId="614FDFEA" w:rsidR="003D7DDF" w:rsidRPr="008E2EBD" w:rsidRDefault="008F701A" w:rsidP="003D7DDF">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 xml:space="preserve">Ahora bien, </w:t>
      </w:r>
      <w:r w:rsidR="003D7DDF" w:rsidRPr="008E2EBD">
        <w:rPr>
          <w:rFonts w:ascii="Palatino Linotype" w:eastAsia="Palatino Linotype" w:hAnsi="Palatino Linotype" w:cs="Palatino Linotype"/>
          <w:sz w:val="22"/>
          <w:szCs w:val="22"/>
        </w:rPr>
        <w:t>no pasa inadvertido que el Recurrente al momento de formular los requerimientos lo hizo en forma de cuestionamiento, por lo que se advierte que la solicitud no constituye un derecho de acceso a la información y por lo tanto, no es atendible mediante una solicitud de acceso a la información pública, ya que se tratan de una petición del Particular, situación que conlleva a afirmar que se está en presencia del ejercicio del derecho a la libre expresión y en todo caso a un derecho de petición, esto al ser atendidos a través de una manifestación por parte del Sujeto Obligado.</w:t>
      </w:r>
    </w:p>
    <w:p w14:paraId="75CF95C9" w14:textId="77777777" w:rsidR="003D7DDF" w:rsidRPr="008E2EBD" w:rsidRDefault="003D7DDF" w:rsidP="003D7DDF">
      <w:pPr>
        <w:spacing w:line="360" w:lineRule="auto"/>
        <w:jc w:val="both"/>
        <w:rPr>
          <w:rFonts w:ascii="Palatino Linotype" w:eastAsia="Palatino Linotype" w:hAnsi="Palatino Linotype" w:cs="Palatino Linotype"/>
          <w:sz w:val="22"/>
          <w:szCs w:val="22"/>
        </w:rPr>
      </w:pPr>
    </w:p>
    <w:p w14:paraId="37B23309" w14:textId="77777777" w:rsidR="003D7DDF" w:rsidRPr="008E2EBD" w:rsidRDefault="003D7DDF" w:rsidP="003D7DDF">
      <w:pPr>
        <w:spacing w:line="360" w:lineRule="auto"/>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sz w:val="22"/>
          <w:szCs w:val="22"/>
        </w:rPr>
        <w:t xml:space="preserve">A efecto de sustentar lo anterior, es preciso mencionar que David Cienfuegos Salgado, concibe al derecho de petición como </w:t>
      </w:r>
      <w:r w:rsidRPr="008E2EBD">
        <w:rPr>
          <w:rFonts w:ascii="Palatino Linotype" w:eastAsia="Palatino Linotype" w:hAnsi="Palatino Linotype" w:cs="Palatino Linotype"/>
          <w:i/>
          <w:sz w:val="22"/>
          <w:szCs w:val="22"/>
        </w:rPr>
        <w:t>“</w:t>
      </w:r>
      <w:r w:rsidRPr="008E2EBD">
        <w:rPr>
          <w:rFonts w:ascii="Palatino Linotype" w:eastAsia="Palatino Linotype" w:hAnsi="Palatino Linotype" w:cs="Palatino Linotype"/>
          <w:b/>
          <w:i/>
          <w:sz w:val="22"/>
          <w:szCs w:val="22"/>
          <w:u w:val="single"/>
        </w:rPr>
        <w:t>el derecho de toda persona a ser escuchado por quienes ejercen el poder públic</w:t>
      </w:r>
      <w:r w:rsidRPr="008E2EBD">
        <w:rPr>
          <w:rFonts w:ascii="Palatino Linotype" w:eastAsia="Palatino Linotype" w:hAnsi="Palatino Linotype" w:cs="Palatino Linotype"/>
          <w:i/>
          <w:sz w:val="22"/>
          <w:szCs w:val="22"/>
        </w:rPr>
        <w:t>o.</w:t>
      </w:r>
      <w:r w:rsidRPr="008E2EBD">
        <w:rPr>
          <w:rFonts w:ascii="Palatino Linotype" w:eastAsia="Palatino Linotype" w:hAnsi="Palatino Linotype" w:cs="Palatino Linotype"/>
          <w:i/>
          <w:sz w:val="22"/>
          <w:szCs w:val="22"/>
          <w:vertAlign w:val="superscript"/>
        </w:rPr>
        <w:t xml:space="preserve"> </w:t>
      </w:r>
      <w:r w:rsidRPr="008E2EBD">
        <w:rPr>
          <w:rFonts w:ascii="Palatino Linotype" w:eastAsia="Palatino Linotype" w:hAnsi="Palatino Linotype" w:cs="Palatino Linotype"/>
          <w:i/>
          <w:sz w:val="22"/>
          <w:szCs w:val="22"/>
          <w:vertAlign w:val="superscript"/>
        </w:rPr>
        <w:footnoteReference w:id="1"/>
      </w:r>
      <w:r w:rsidRPr="008E2EBD">
        <w:rPr>
          <w:rFonts w:ascii="Palatino Linotype" w:eastAsia="Palatino Linotype" w:hAnsi="Palatino Linotype" w:cs="Palatino Linotype"/>
          <w:i/>
          <w:sz w:val="22"/>
          <w:szCs w:val="22"/>
        </w:rPr>
        <w:t xml:space="preserve">”  </w:t>
      </w:r>
    </w:p>
    <w:p w14:paraId="4A5CB337" w14:textId="77777777" w:rsidR="003D7DDF" w:rsidRPr="008E2EBD" w:rsidRDefault="003D7DDF" w:rsidP="003D7DDF">
      <w:pPr>
        <w:spacing w:line="360" w:lineRule="auto"/>
        <w:jc w:val="both"/>
        <w:rPr>
          <w:rFonts w:ascii="Palatino Linotype" w:eastAsia="Palatino Linotype" w:hAnsi="Palatino Linotype" w:cs="Palatino Linotype"/>
          <w:i/>
          <w:sz w:val="22"/>
          <w:szCs w:val="22"/>
        </w:rPr>
      </w:pPr>
    </w:p>
    <w:p w14:paraId="615421BD" w14:textId="77777777" w:rsidR="003D7DDF" w:rsidRPr="008E2EBD" w:rsidRDefault="003D7DDF" w:rsidP="003D7DDF">
      <w:pPr>
        <w:spacing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 xml:space="preserve">De la misma manera, Miguel Carbonell en su libro “Los derechos fundamentales” refiere que el </w:t>
      </w:r>
      <w:r w:rsidRPr="008E2EBD">
        <w:rPr>
          <w:rFonts w:ascii="Palatino Linotype" w:eastAsia="Palatino Linotype" w:hAnsi="Palatino Linotype" w:cs="Palatino Linotype"/>
          <w:sz w:val="22"/>
          <w:szCs w:val="22"/>
          <w:u w:val="single"/>
        </w:rPr>
        <w:t>derecho de petición se ha entendido de dos distintitas maneras</w:t>
      </w:r>
      <w:r w:rsidRPr="008E2EBD">
        <w:rPr>
          <w:rFonts w:ascii="Palatino Linotype" w:eastAsia="Palatino Linotype" w:hAnsi="Palatino Linotype" w:cs="Palatino Linotype"/>
          <w:sz w:val="22"/>
          <w:szCs w:val="22"/>
        </w:rPr>
        <w:t xml:space="preserve">, a saber: como un derecho fundamental de participación política ya que </w:t>
      </w:r>
      <w:r w:rsidRPr="008E2EBD">
        <w:rPr>
          <w:rFonts w:ascii="Palatino Linotype" w:eastAsia="Palatino Linotype" w:hAnsi="Palatino Linotype" w:cs="Palatino Linotype"/>
          <w:sz w:val="22"/>
          <w:szCs w:val="22"/>
          <w:u w:val="single"/>
        </w:rPr>
        <w:t xml:space="preserve">permite a los </w:t>
      </w:r>
      <w:r w:rsidRPr="008E2EBD">
        <w:rPr>
          <w:rFonts w:ascii="Palatino Linotype" w:eastAsia="Palatino Linotype" w:hAnsi="Palatino Linotype" w:cs="Palatino Linotype"/>
          <w:sz w:val="22"/>
          <w:szCs w:val="22"/>
        </w:rPr>
        <w:t xml:space="preserve">particulares trasladar a las autoridades sus </w:t>
      </w:r>
      <w:r w:rsidRPr="008E2EBD">
        <w:rPr>
          <w:rFonts w:ascii="Palatino Linotype" w:eastAsia="Palatino Linotype" w:hAnsi="Palatino Linotype" w:cs="Palatino Linotype"/>
          <w:b/>
          <w:sz w:val="22"/>
          <w:szCs w:val="22"/>
        </w:rPr>
        <w:t>inquietudes, quejas</w:t>
      </w:r>
      <w:r w:rsidRPr="008E2EBD">
        <w:rPr>
          <w:rFonts w:ascii="Palatino Linotype" w:eastAsia="Palatino Linotype" w:hAnsi="Palatino Linotype" w:cs="Palatino Linotype"/>
          <w:sz w:val="22"/>
          <w:szCs w:val="22"/>
        </w:rPr>
        <w:t xml:space="preserve">, sugerencias y requerimientos en cualquier materia o asunto; y como una </w:t>
      </w:r>
      <w:r w:rsidRPr="008E2EBD">
        <w:rPr>
          <w:rFonts w:ascii="Palatino Linotype" w:eastAsia="Palatino Linotype" w:hAnsi="Palatino Linotype" w:cs="Palatino Linotype"/>
          <w:b/>
          <w:sz w:val="22"/>
          <w:szCs w:val="22"/>
        </w:rPr>
        <w:t>forma específica de la libertad de expresión</w:t>
      </w:r>
      <w:r w:rsidRPr="008E2EBD">
        <w:rPr>
          <w:rFonts w:ascii="Palatino Linotype" w:eastAsia="Palatino Linotype" w:hAnsi="Palatino Linotype" w:cs="Palatino Linotype"/>
          <w:sz w:val="22"/>
          <w:szCs w:val="22"/>
        </w:rPr>
        <w:t xml:space="preserve">, en tanto que permite expresarse frente a las autoridades. </w:t>
      </w:r>
    </w:p>
    <w:p w14:paraId="739F4AEA" w14:textId="77777777" w:rsidR="003D7DDF" w:rsidRPr="008E2EBD" w:rsidRDefault="003D7DDF" w:rsidP="003D7DDF">
      <w:pPr>
        <w:spacing w:line="360" w:lineRule="auto"/>
        <w:jc w:val="both"/>
        <w:rPr>
          <w:rFonts w:ascii="Palatino Linotype" w:eastAsia="Palatino Linotype" w:hAnsi="Palatino Linotype" w:cs="Palatino Linotype"/>
          <w:sz w:val="22"/>
          <w:szCs w:val="22"/>
        </w:rPr>
      </w:pPr>
    </w:p>
    <w:p w14:paraId="4109EB7E" w14:textId="77777777" w:rsidR="003D7DDF" w:rsidRPr="008E2EBD" w:rsidRDefault="003D7DDF" w:rsidP="003D7DDF">
      <w:pPr>
        <w:spacing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8E2EBD">
        <w:rPr>
          <w:rFonts w:ascii="Palatino Linotype" w:eastAsia="Palatino Linotype" w:hAnsi="Palatino Linotype" w:cs="Palatino Linotype"/>
          <w:sz w:val="22"/>
          <w:szCs w:val="22"/>
          <w:vertAlign w:val="superscript"/>
        </w:rPr>
        <w:footnoteReference w:id="2"/>
      </w:r>
    </w:p>
    <w:p w14:paraId="349C1D9C" w14:textId="77777777" w:rsidR="003D7DDF" w:rsidRPr="008E2EBD" w:rsidRDefault="003D7DDF" w:rsidP="003D7DDF">
      <w:pPr>
        <w:spacing w:line="360" w:lineRule="auto"/>
        <w:jc w:val="both"/>
        <w:rPr>
          <w:rFonts w:ascii="Palatino Linotype" w:eastAsia="Palatino Linotype" w:hAnsi="Palatino Linotype" w:cs="Palatino Linotype"/>
          <w:sz w:val="22"/>
          <w:szCs w:val="22"/>
        </w:rPr>
      </w:pPr>
    </w:p>
    <w:p w14:paraId="6428C588" w14:textId="77777777" w:rsidR="003D7DDF" w:rsidRPr="008E2EBD" w:rsidRDefault="003D7DDF" w:rsidP="003D7DDF">
      <w:pPr>
        <w:spacing w:line="360" w:lineRule="auto"/>
        <w:ind w:right="99"/>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 xml:space="preserve">Por otro lado, el autor anteriormente citado, indica que el </w:t>
      </w:r>
      <w:r w:rsidRPr="008E2EBD">
        <w:rPr>
          <w:rFonts w:ascii="Palatino Linotype" w:eastAsia="Palatino Linotype" w:hAnsi="Palatino Linotype" w:cs="Palatino Linotype"/>
          <w:b/>
          <w:sz w:val="22"/>
          <w:szCs w:val="22"/>
          <w:u w:val="single"/>
        </w:rPr>
        <w:t>derecho de acceso a la información pública</w:t>
      </w:r>
      <w:r w:rsidRPr="008E2EBD">
        <w:rPr>
          <w:rFonts w:ascii="Palatino Linotype" w:eastAsia="Palatino Linotype" w:hAnsi="Palatino Linotype" w:cs="Palatino Linotype"/>
          <w:sz w:val="22"/>
          <w:szCs w:val="22"/>
        </w:rPr>
        <w:t xml:space="preserve"> es el derecho de conocer la </w:t>
      </w:r>
      <w:r w:rsidRPr="008E2EBD">
        <w:rPr>
          <w:rFonts w:ascii="Palatino Linotype" w:eastAsia="Palatino Linotype" w:hAnsi="Palatino Linotype" w:cs="Palatino Linotype"/>
          <w:sz w:val="22"/>
          <w:szCs w:val="22"/>
          <w:u w:val="single"/>
        </w:rPr>
        <w:t>información de carácter público que se genera o está en posesión de los órganos del poder público</w:t>
      </w:r>
      <w:r w:rsidRPr="008E2EBD">
        <w:rPr>
          <w:rFonts w:ascii="Palatino Linotype" w:eastAsia="Palatino Linotype" w:hAnsi="Palatino Linotype" w:cs="Palatino Linotype"/>
          <w:sz w:val="22"/>
          <w:szCs w:val="22"/>
        </w:rPr>
        <w:t xml:space="preserve"> o de los sujetos que utilizan o se benefician con recursos provenientes del Estado, es el derecho que tienen los ciudadanos para acceder a documentos y datos que obren en el poder del gobierno.</w:t>
      </w:r>
    </w:p>
    <w:p w14:paraId="0B2EE6C6" w14:textId="77777777" w:rsidR="003D7DDF" w:rsidRPr="008E2EBD" w:rsidRDefault="003D7DDF" w:rsidP="003D7DDF">
      <w:pPr>
        <w:spacing w:line="360" w:lineRule="auto"/>
        <w:ind w:right="99"/>
        <w:jc w:val="both"/>
        <w:rPr>
          <w:rFonts w:ascii="Palatino Linotype" w:eastAsia="Palatino Linotype" w:hAnsi="Palatino Linotype" w:cs="Palatino Linotype"/>
          <w:sz w:val="22"/>
          <w:szCs w:val="22"/>
        </w:rPr>
      </w:pPr>
    </w:p>
    <w:p w14:paraId="2157F0C8" w14:textId="77777777" w:rsidR="003D7DDF" w:rsidRPr="008E2EBD" w:rsidRDefault="003D7DDF" w:rsidP="003D7DDF">
      <w:pPr>
        <w:spacing w:line="360" w:lineRule="auto"/>
        <w:ind w:right="99"/>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8E2EBD">
        <w:rPr>
          <w:rFonts w:ascii="Palatino Linotype" w:eastAsia="Palatino Linotype" w:hAnsi="Palatino Linotype" w:cs="Palatino Linotype"/>
          <w:sz w:val="22"/>
          <w:szCs w:val="22"/>
          <w:vertAlign w:val="superscript"/>
        </w:rPr>
        <w:footnoteReference w:id="3"/>
      </w:r>
    </w:p>
    <w:p w14:paraId="45BCDAA2" w14:textId="77777777" w:rsidR="003D7DDF" w:rsidRPr="008E2EBD" w:rsidRDefault="003D7DDF" w:rsidP="003D7DDF">
      <w:pPr>
        <w:spacing w:line="360" w:lineRule="auto"/>
        <w:ind w:right="99"/>
        <w:jc w:val="both"/>
        <w:rPr>
          <w:rFonts w:ascii="Palatino Linotype" w:eastAsia="Palatino Linotype" w:hAnsi="Palatino Linotype" w:cs="Palatino Linotype"/>
          <w:sz w:val="22"/>
          <w:szCs w:val="22"/>
        </w:rPr>
      </w:pPr>
    </w:p>
    <w:p w14:paraId="791C589B" w14:textId="77777777" w:rsidR="003D7DDF" w:rsidRPr="008E2EBD" w:rsidRDefault="003D7DDF" w:rsidP="003D7DDF">
      <w:pPr>
        <w:spacing w:line="360" w:lineRule="auto"/>
        <w:ind w:right="99"/>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 xml:space="preserve">De lo anterior se puede concluir que la distinción entre el </w:t>
      </w:r>
      <w:r w:rsidRPr="008E2EBD">
        <w:rPr>
          <w:rFonts w:ascii="Palatino Linotype" w:eastAsia="Palatino Linotype" w:hAnsi="Palatino Linotype" w:cs="Palatino Linotype"/>
          <w:b/>
          <w:sz w:val="22"/>
          <w:szCs w:val="22"/>
        </w:rPr>
        <w:t>derecho de petición</w:t>
      </w:r>
      <w:r w:rsidRPr="008E2EBD">
        <w:rPr>
          <w:rFonts w:ascii="Palatino Linotype" w:eastAsia="Palatino Linotype" w:hAnsi="Palatino Linotype" w:cs="Palatino Linotype"/>
          <w:sz w:val="22"/>
          <w:szCs w:val="22"/>
        </w:rPr>
        <w:t xml:space="preserve"> y el derecho de acceso a la información descansa, principalmente, en que </w:t>
      </w:r>
      <w:r w:rsidRPr="008E2EBD">
        <w:rPr>
          <w:rFonts w:ascii="Palatino Linotype" w:eastAsia="Palatino Linotype" w:hAnsi="Palatino Linotype" w:cs="Palatino Linotype"/>
          <w:sz w:val="22"/>
          <w:szCs w:val="22"/>
          <w:u w:val="single"/>
        </w:rPr>
        <w:t>la pretensión del peticionario consiste generalmente en obligar a la autoridad responsable a que actúe en el sentido de contestar lo solicitado</w:t>
      </w:r>
      <w:r w:rsidRPr="008E2EBD">
        <w:rPr>
          <w:rFonts w:ascii="Palatino Linotype" w:eastAsia="Palatino Linotype" w:hAnsi="Palatino Linotype" w:cs="Palatino Linotype"/>
          <w:sz w:val="22"/>
          <w:szCs w:val="22"/>
        </w:rPr>
        <w:t>,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338C4148" w14:textId="2B58D313" w:rsidR="003D7DDF" w:rsidRPr="008E2EBD" w:rsidRDefault="003D7DDF">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Sin embargo, el Sujeto Obligado dio atención a los requerimientos del particular en los siguientes términos:</w:t>
      </w:r>
    </w:p>
    <w:p w14:paraId="09A6387A" w14:textId="77777777" w:rsidR="003D7DDF" w:rsidRPr="008E2EBD" w:rsidRDefault="003D7DDF">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p>
    <w:tbl>
      <w:tblPr>
        <w:tblStyle w:val="Tablaconcuadrcula"/>
        <w:tblW w:w="0" w:type="auto"/>
        <w:tblLook w:val="04A0" w:firstRow="1" w:lastRow="0" w:firstColumn="1" w:lastColumn="0" w:noHBand="0" w:noVBand="1"/>
      </w:tblPr>
      <w:tblGrid>
        <w:gridCol w:w="574"/>
        <w:gridCol w:w="2256"/>
        <w:gridCol w:w="4678"/>
        <w:gridCol w:w="1418"/>
      </w:tblGrid>
      <w:tr w:rsidR="00AB2955" w:rsidRPr="008E2EBD" w14:paraId="298EB33E" w14:textId="529843C6" w:rsidTr="00FA33C9">
        <w:tc>
          <w:tcPr>
            <w:tcW w:w="574" w:type="dxa"/>
            <w:shd w:val="clear" w:color="auto" w:fill="D0CECE" w:themeFill="background2" w:themeFillShade="E6"/>
          </w:tcPr>
          <w:p w14:paraId="78825D88" w14:textId="0A7B60A9" w:rsidR="00420A8B" w:rsidRPr="008E2EBD" w:rsidRDefault="00420A8B">
            <w:pPr>
              <w:spacing w:before="280" w:after="280" w:line="360" w:lineRule="auto"/>
              <w:jc w:val="both"/>
              <w:rPr>
                <w:rFonts w:ascii="Palatino Linotype" w:eastAsia="Palatino Linotype" w:hAnsi="Palatino Linotype" w:cs="Palatino Linotype"/>
                <w:sz w:val="20"/>
                <w:szCs w:val="22"/>
              </w:rPr>
            </w:pPr>
            <w:r w:rsidRPr="008E2EBD">
              <w:rPr>
                <w:rFonts w:ascii="Palatino Linotype" w:eastAsia="Palatino Linotype" w:hAnsi="Palatino Linotype" w:cs="Palatino Linotype"/>
                <w:sz w:val="20"/>
                <w:szCs w:val="22"/>
              </w:rPr>
              <w:t>No.</w:t>
            </w:r>
          </w:p>
        </w:tc>
        <w:tc>
          <w:tcPr>
            <w:tcW w:w="2256" w:type="dxa"/>
            <w:shd w:val="clear" w:color="auto" w:fill="D0CECE" w:themeFill="background2" w:themeFillShade="E6"/>
          </w:tcPr>
          <w:p w14:paraId="3C4B1781" w14:textId="282172E5" w:rsidR="00420A8B" w:rsidRPr="008E2EBD" w:rsidRDefault="00420A8B">
            <w:pPr>
              <w:spacing w:before="280" w:after="280" w:line="360" w:lineRule="auto"/>
              <w:jc w:val="both"/>
              <w:rPr>
                <w:rFonts w:ascii="Palatino Linotype" w:eastAsia="Palatino Linotype" w:hAnsi="Palatino Linotype" w:cs="Palatino Linotype"/>
                <w:sz w:val="20"/>
                <w:szCs w:val="22"/>
              </w:rPr>
            </w:pPr>
            <w:r w:rsidRPr="008E2EBD">
              <w:rPr>
                <w:rFonts w:ascii="Palatino Linotype" w:eastAsia="Palatino Linotype" w:hAnsi="Palatino Linotype" w:cs="Palatino Linotype"/>
                <w:sz w:val="20"/>
                <w:szCs w:val="22"/>
              </w:rPr>
              <w:t>Requerimiento</w:t>
            </w:r>
          </w:p>
        </w:tc>
        <w:tc>
          <w:tcPr>
            <w:tcW w:w="4678" w:type="dxa"/>
            <w:shd w:val="clear" w:color="auto" w:fill="D0CECE" w:themeFill="background2" w:themeFillShade="E6"/>
          </w:tcPr>
          <w:p w14:paraId="27D17553" w14:textId="27B897AB" w:rsidR="00420A8B" w:rsidRPr="008E2EBD" w:rsidRDefault="00420A8B">
            <w:pPr>
              <w:spacing w:before="280" w:after="280" w:line="360" w:lineRule="auto"/>
              <w:jc w:val="both"/>
              <w:rPr>
                <w:rFonts w:ascii="Palatino Linotype" w:eastAsia="Palatino Linotype" w:hAnsi="Palatino Linotype" w:cs="Palatino Linotype"/>
                <w:sz w:val="20"/>
                <w:szCs w:val="22"/>
              </w:rPr>
            </w:pPr>
            <w:r w:rsidRPr="008E2EBD">
              <w:rPr>
                <w:rFonts w:ascii="Palatino Linotype" w:eastAsia="Palatino Linotype" w:hAnsi="Palatino Linotype" w:cs="Palatino Linotype"/>
                <w:sz w:val="20"/>
                <w:szCs w:val="22"/>
              </w:rPr>
              <w:t>Respuesta</w:t>
            </w:r>
          </w:p>
        </w:tc>
        <w:tc>
          <w:tcPr>
            <w:tcW w:w="1418" w:type="dxa"/>
            <w:shd w:val="clear" w:color="auto" w:fill="D0CECE" w:themeFill="background2" w:themeFillShade="E6"/>
          </w:tcPr>
          <w:p w14:paraId="366CF559" w14:textId="39B52725" w:rsidR="00420A8B" w:rsidRPr="008E2EBD" w:rsidRDefault="00420A8B">
            <w:pPr>
              <w:spacing w:before="280" w:after="280" w:line="360" w:lineRule="auto"/>
              <w:jc w:val="both"/>
              <w:rPr>
                <w:rFonts w:ascii="Palatino Linotype" w:eastAsia="Palatino Linotype" w:hAnsi="Palatino Linotype" w:cs="Palatino Linotype"/>
                <w:sz w:val="20"/>
                <w:szCs w:val="22"/>
              </w:rPr>
            </w:pPr>
            <w:r w:rsidRPr="008E2EBD">
              <w:rPr>
                <w:rFonts w:ascii="Palatino Linotype" w:eastAsia="Palatino Linotype" w:hAnsi="Palatino Linotype" w:cs="Palatino Linotype"/>
                <w:sz w:val="20"/>
                <w:szCs w:val="22"/>
              </w:rPr>
              <w:t>¿Colma?</w:t>
            </w:r>
          </w:p>
        </w:tc>
      </w:tr>
      <w:tr w:rsidR="00AB2955" w:rsidRPr="008E2EBD" w14:paraId="7B298A17" w14:textId="0D0D18D3" w:rsidTr="00FA33C9">
        <w:tc>
          <w:tcPr>
            <w:tcW w:w="574" w:type="dxa"/>
          </w:tcPr>
          <w:p w14:paraId="627F0CF1" w14:textId="3A37F029" w:rsidR="00420A8B" w:rsidRPr="008E2EBD" w:rsidRDefault="00420A8B">
            <w:pPr>
              <w:spacing w:before="280" w:after="280" w:line="360" w:lineRule="auto"/>
              <w:jc w:val="both"/>
              <w:rPr>
                <w:rFonts w:ascii="Palatino Linotype" w:eastAsia="Palatino Linotype" w:hAnsi="Palatino Linotype" w:cs="Palatino Linotype"/>
                <w:sz w:val="20"/>
                <w:szCs w:val="22"/>
              </w:rPr>
            </w:pPr>
            <w:r w:rsidRPr="008E2EBD">
              <w:rPr>
                <w:rFonts w:ascii="Palatino Linotype" w:eastAsia="Palatino Linotype" w:hAnsi="Palatino Linotype" w:cs="Palatino Linotype"/>
                <w:sz w:val="20"/>
                <w:szCs w:val="22"/>
              </w:rPr>
              <w:t>1</w:t>
            </w:r>
          </w:p>
        </w:tc>
        <w:tc>
          <w:tcPr>
            <w:tcW w:w="2256" w:type="dxa"/>
          </w:tcPr>
          <w:p w14:paraId="3F2054F7" w14:textId="576F12B2" w:rsidR="00420A8B" w:rsidRPr="008E2EBD" w:rsidRDefault="00420A8B">
            <w:pPr>
              <w:spacing w:before="280" w:after="280" w:line="360" w:lineRule="auto"/>
              <w:jc w:val="both"/>
              <w:rPr>
                <w:rFonts w:ascii="Palatino Linotype" w:eastAsia="Palatino Linotype" w:hAnsi="Palatino Linotype" w:cs="Palatino Linotype"/>
                <w:sz w:val="20"/>
                <w:szCs w:val="22"/>
              </w:rPr>
            </w:pPr>
            <w:r w:rsidRPr="008E2EBD">
              <w:rPr>
                <w:rFonts w:ascii="Palatino Linotype" w:eastAsia="Palatino Linotype" w:hAnsi="Palatino Linotype" w:cs="Palatino Linotype"/>
                <w:sz w:val="20"/>
                <w:szCs w:val="22"/>
              </w:rPr>
              <w:t>Me puede dar información si ha recibido donaciones de instituciones privadas de la fecha 01/01/2020 a la fecha 31/12/2024</w:t>
            </w:r>
          </w:p>
        </w:tc>
        <w:tc>
          <w:tcPr>
            <w:tcW w:w="4678" w:type="dxa"/>
          </w:tcPr>
          <w:p w14:paraId="56685248" w14:textId="3F66FF9D" w:rsidR="00420A8B" w:rsidRPr="008E2EBD" w:rsidRDefault="00420A8B">
            <w:pPr>
              <w:spacing w:before="280" w:after="280" w:line="360" w:lineRule="auto"/>
              <w:jc w:val="both"/>
              <w:rPr>
                <w:rFonts w:ascii="Palatino Linotype" w:eastAsia="Palatino Linotype" w:hAnsi="Palatino Linotype" w:cs="Palatino Linotype"/>
                <w:sz w:val="20"/>
                <w:szCs w:val="22"/>
              </w:rPr>
            </w:pPr>
            <w:r w:rsidRPr="008E2EBD">
              <w:rPr>
                <w:rFonts w:ascii="Palatino Linotype" w:eastAsia="Palatino Linotype" w:hAnsi="Palatino Linotype" w:cs="Palatino Linotype"/>
                <w:sz w:val="20"/>
                <w:szCs w:val="22"/>
              </w:rPr>
              <w:t xml:space="preserve">Si se han recibido donaciones </w:t>
            </w:r>
          </w:p>
        </w:tc>
        <w:tc>
          <w:tcPr>
            <w:tcW w:w="1418" w:type="dxa"/>
          </w:tcPr>
          <w:p w14:paraId="4A7E00B0" w14:textId="49D09252" w:rsidR="00420A8B" w:rsidRPr="008E2EBD" w:rsidRDefault="00420A8B">
            <w:pPr>
              <w:spacing w:before="280" w:after="280" w:line="360" w:lineRule="auto"/>
              <w:jc w:val="both"/>
              <w:rPr>
                <w:rFonts w:ascii="Palatino Linotype" w:eastAsia="Palatino Linotype" w:hAnsi="Palatino Linotype" w:cs="Palatino Linotype"/>
                <w:sz w:val="20"/>
                <w:szCs w:val="22"/>
              </w:rPr>
            </w:pPr>
            <w:r w:rsidRPr="008E2EBD">
              <w:rPr>
                <w:rFonts w:ascii="Palatino Linotype" w:eastAsia="Palatino Linotype" w:hAnsi="Palatino Linotype" w:cs="Palatino Linotype"/>
                <w:sz w:val="20"/>
                <w:szCs w:val="22"/>
              </w:rPr>
              <w:t>Si colma</w:t>
            </w:r>
          </w:p>
        </w:tc>
      </w:tr>
      <w:tr w:rsidR="00AB2955" w:rsidRPr="008E2EBD" w14:paraId="23AA9A26" w14:textId="5EED35F4" w:rsidTr="00FA33C9">
        <w:tc>
          <w:tcPr>
            <w:tcW w:w="574" w:type="dxa"/>
          </w:tcPr>
          <w:p w14:paraId="03A390D1" w14:textId="0F053AA7" w:rsidR="00420A8B" w:rsidRPr="008E2EBD" w:rsidRDefault="00420A8B">
            <w:pPr>
              <w:spacing w:before="280" w:after="280" w:line="360" w:lineRule="auto"/>
              <w:jc w:val="both"/>
              <w:rPr>
                <w:rFonts w:ascii="Palatino Linotype" w:eastAsia="Palatino Linotype" w:hAnsi="Palatino Linotype" w:cs="Palatino Linotype"/>
                <w:sz w:val="20"/>
                <w:szCs w:val="22"/>
              </w:rPr>
            </w:pPr>
            <w:r w:rsidRPr="008E2EBD">
              <w:rPr>
                <w:rFonts w:ascii="Palatino Linotype" w:eastAsia="Palatino Linotype" w:hAnsi="Palatino Linotype" w:cs="Palatino Linotype"/>
                <w:sz w:val="20"/>
                <w:szCs w:val="22"/>
              </w:rPr>
              <w:t>2</w:t>
            </w:r>
          </w:p>
        </w:tc>
        <w:tc>
          <w:tcPr>
            <w:tcW w:w="2256" w:type="dxa"/>
          </w:tcPr>
          <w:p w14:paraId="34F74A2A" w14:textId="45AE2FA6" w:rsidR="00420A8B" w:rsidRPr="008E2EBD" w:rsidRDefault="00FA33C9">
            <w:pPr>
              <w:spacing w:before="280" w:after="280" w:line="360" w:lineRule="auto"/>
              <w:jc w:val="both"/>
              <w:rPr>
                <w:rFonts w:ascii="Palatino Linotype" w:eastAsia="Palatino Linotype" w:hAnsi="Palatino Linotype" w:cs="Palatino Linotype"/>
                <w:sz w:val="20"/>
                <w:szCs w:val="22"/>
              </w:rPr>
            </w:pPr>
            <w:r w:rsidRPr="008E2EBD">
              <w:rPr>
                <w:rFonts w:ascii="Palatino Linotype" w:eastAsia="Palatino Linotype" w:hAnsi="Palatino Linotype" w:cs="Palatino Linotype"/>
                <w:sz w:val="20"/>
                <w:szCs w:val="22"/>
              </w:rPr>
              <w:t>¿Qué</w:t>
            </w:r>
            <w:r w:rsidR="00420A8B" w:rsidRPr="008E2EBD">
              <w:rPr>
                <w:rFonts w:ascii="Palatino Linotype" w:eastAsia="Palatino Linotype" w:hAnsi="Palatino Linotype" w:cs="Palatino Linotype"/>
                <w:sz w:val="20"/>
                <w:szCs w:val="22"/>
              </w:rPr>
              <w:t xml:space="preserve"> se hace con ellas?</w:t>
            </w:r>
          </w:p>
        </w:tc>
        <w:tc>
          <w:tcPr>
            <w:tcW w:w="4678" w:type="dxa"/>
          </w:tcPr>
          <w:p w14:paraId="0DE4F57E" w14:textId="2F557E35" w:rsidR="00420A8B" w:rsidRPr="008E2EBD" w:rsidRDefault="00FA33C9">
            <w:pPr>
              <w:spacing w:before="280" w:after="280" w:line="360" w:lineRule="auto"/>
              <w:jc w:val="both"/>
              <w:rPr>
                <w:rFonts w:ascii="Palatino Linotype" w:eastAsia="Palatino Linotype" w:hAnsi="Palatino Linotype" w:cs="Palatino Linotype"/>
                <w:sz w:val="20"/>
                <w:szCs w:val="22"/>
              </w:rPr>
            </w:pPr>
            <w:r w:rsidRPr="008E2EBD">
              <w:rPr>
                <w:rFonts w:ascii="Palatino Linotype" w:eastAsia="Palatino Linotype" w:hAnsi="Palatino Linotype" w:cs="Palatino Linotype"/>
                <w:sz w:val="20"/>
                <w:szCs w:val="22"/>
              </w:rPr>
              <w:t>Se</w:t>
            </w:r>
            <w:r w:rsidR="00420A8B" w:rsidRPr="008E2EBD">
              <w:rPr>
                <w:rFonts w:ascii="Palatino Linotype" w:eastAsia="Palatino Linotype" w:hAnsi="Palatino Linotype" w:cs="Palatino Linotype"/>
                <w:sz w:val="20"/>
                <w:szCs w:val="22"/>
              </w:rPr>
              <w:t xml:space="preserve"> precisa que las donaciones recibidas son destinadas para la implementación de acciones en beneficio de la población de los grupos vulnerables del municipio de Lerma, tales como menores de edad, adultos mayores y mujeres; por lo que su uso y destino final, se traducen en la entrega de beneficios directos a la población y estos pueden variar de acuerdo al tipo de productos recibidos por las instituciones.</w:t>
            </w:r>
          </w:p>
        </w:tc>
        <w:tc>
          <w:tcPr>
            <w:tcW w:w="1418" w:type="dxa"/>
          </w:tcPr>
          <w:p w14:paraId="4D3BBF8F" w14:textId="0AF4609E" w:rsidR="00420A8B" w:rsidRPr="008E2EBD" w:rsidRDefault="00420A8B">
            <w:pPr>
              <w:spacing w:before="280" w:after="280" w:line="360" w:lineRule="auto"/>
              <w:jc w:val="both"/>
              <w:rPr>
                <w:rFonts w:ascii="Palatino Linotype" w:eastAsia="Palatino Linotype" w:hAnsi="Palatino Linotype" w:cs="Palatino Linotype"/>
                <w:sz w:val="20"/>
                <w:szCs w:val="22"/>
              </w:rPr>
            </w:pPr>
            <w:r w:rsidRPr="008E2EBD">
              <w:rPr>
                <w:rFonts w:ascii="Palatino Linotype" w:eastAsia="Palatino Linotype" w:hAnsi="Palatino Linotype" w:cs="Palatino Linotype"/>
                <w:sz w:val="20"/>
                <w:szCs w:val="22"/>
              </w:rPr>
              <w:t>Si colma</w:t>
            </w:r>
          </w:p>
        </w:tc>
      </w:tr>
      <w:tr w:rsidR="00AB2955" w:rsidRPr="008E2EBD" w14:paraId="21B87823" w14:textId="0830BCB3" w:rsidTr="00FA33C9">
        <w:tc>
          <w:tcPr>
            <w:tcW w:w="574" w:type="dxa"/>
          </w:tcPr>
          <w:p w14:paraId="62E86032" w14:textId="0F23D584" w:rsidR="00420A8B" w:rsidRPr="008E2EBD" w:rsidRDefault="00420A8B">
            <w:pPr>
              <w:spacing w:before="280" w:after="280" w:line="360" w:lineRule="auto"/>
              <w:jc w:val="both"/>
              <w:rPr>
                <w:rFonts w:ascii="Palatino Linotype" w:eastAsia="Palatino Linotype" w:hAnsi="Palatino Linotype" w:cs="Palatino Linotype"/>
                <w:sz w:val="20"/>
                <w:szCs w:val="22"/>
              </w:rPr>
            </w:pPr>
            <w:r w:rsidRPr="008E2EBD">
              <w:rPr>
                <w:rFonts w:ascii="Palatino Linotype" w:eastAsia="Palatino Linotype" w:hAnsi="Palatino Linotype" w:cs="Palatino Linotype"/>
                <w:sz w:val="20"/>
                <w:szCs w:val="22"/>
              </w:rPr>
              <w:t>3</w:t>
            </w:r>
          </w:p>
        </w:tc>
        <w:tc>
          <w:tcPr>
            <w:tcW w:w="2256" w:type="dxa"/>
          </w:tcPr>
          <w:p w14:paraId="07BF4771" w14:textId="561FF8DA" w:rsidR="00420A8B" w:rsidRPr="008E2EBD" w:rsidRDefault="00420A8B" w:rsidP="006670FA">
            <w:pPr>
              <w:spacing w:before="280" w:after="280" w:line="360" w:lineRule="auto"/>
              <w:jc w:val="both"/>
              <w:rPr>
                <w:rFonts w:ascii="Palatino Linotype" w:eastAsia="Palatino Linotype" w:hAnsi="Palatino Linotype" w:cs="Palatino Linotype"/>
                <w:sz w:val="20"/>
                <w:szCs w:val="22"/>
              </w:rPr>
            </w:pPr>
            <w:r w:rsidRPr="008E2EBD">
              <w:rPr>
                <w:rFonts w:ascii="Palatino Linotype" w:eastAsia="Palatino Linotype" w:hAnsi="Palatino Linotype" w:cs="Palatino Linotype"/>
                <w:sz w:val="20"/>
                <w:szCs w:val="22"/>
              </w:rPr>
              <w:t xml:space="preserve">Si es el caso de que si ha recibido su institución puede indicar </w:t>
            </w:r>
            <w:r w:rsidR="006670FA" w:rsidRPr="008E2EBD">
              <w:rPr>
                <w:rFonts w:ascii="Palatino Linotype" w:eastAsia="Palatino Linotype" w:hAnsi="Palatino Linotype" w:cs="Palatino Linotype"/>
                <w:sz w:val="20"/>
                <w:szCs w:val="22"/>
              </w:rPr>
              <w:t>¿Cuá</w:t>
            </w:r>
            <w:r w:rsidRPr="008E2EBD">
              <w:rPr>
                <w:rFonts w:ascii="Palatino Linotype" w:eastAsia="Palatino Linotype" w:hAnsi="Palatino Linotype" w:cs="Palatino Linotype"/>
                <w:sz w:val="20"/>
                <w:szCs w:val="22"/>
              </w:rPr>
              <w:t>l es su destino?</w:t>
            </w:r>
          </w:p>
        </w:tc>
        <w:tc>
          <w:tcPr>
            <w:tcW w:w="4678" w:type="dxa"/>
          </w:tcPr>
          <w:p w14:paraId="50247565" w14:textId="7EB48B82" w:rsidR="00420A8B" w:rsidRPr="008E2EBD" w:rsidRDefault="006670FA">
            <w:pPr>
              <w:spacing w:before="280" w:after="280" w:line="360" w:lineRule="auto"/>
              <w:jc w:val="both"/>
              <w:rPr>
                <w:rFonts w:ascii="Palatino Linotype" w:eastAsia="Palatino Linotype" w:hAnsi="Palatino Linotype" w:cs="Palatino Linotype"/>
                <w:sz w:val="20"/>
                <w:szCs w:val="22"/>
              </w:rPr>
            </w:pPr>
            <w:r w:rsidRPr="008E2EBD">
              <w:rPr>
                <w:rFonts w:ascii="Palatino Linotype" w:eastAsia="Palatino Linotype" w:hAnsi="Palatino Linotype" w:cs="Palatino Linotype"/>
                <w:sz w:val="20"/>
                <w:szCs w:val="22"/>
              </w:rPr>
              <w:t>S</w:t>
            </w:r>
            <w:r w:rsidR="00420A8B" w:rsidRPr="008E2EBD">
              <w:rPr>
                <w:rFonts w:ascii="Palatino Linotype" w:eastAsia="Palatino Linotype" w:hAnsi="Palatino Linotype" w:cs="Palatino Linotype"/>
                <w:sz w:val="20"/>
                <w:szCs w:val="22"/>
              </w:rPr>
              <w:t>e precisa que las donaciones recibidas son destinadas para la implementación de acciones en beneficio de la población de los grupos vulnerables del municipio de Lerma, tales como menores de edad, adultos mayores y mujeres; por lo que su uso y destino final, se traducen en la entrega de beneficios directos a la población y estos pueden variar de acuerdo al tipo de productos recibidos por las instituciones.</w:t>
            </w:r>
          </w:p>
        </w:tc>
        <w:tc>
          <w:tcPr>
            <w:tcW w:w="1418" w:type="dxa"/>
          </w:tcPr>
          <w:p w14:paraId="50C3DA25" w14:textId="7512C76A" w:rsidR="00420A8B" w:rsidRPr="008E2EBD" w:rsidRDefault="00420A8B">
            <w:pPr>
              <w:spacing w:before="280" w:after="280" w:line="360" w:lineRule="auto"/>
              <w:jc w:val="both"/>
              <w:rPr>
                <w:rFonts w:ascii="Palatino Linotype" w:eastAsia="Palatino Linotype" w:hAnsi="Palatino Linotype" w:cs="Palatino Linotype"/>
                <w:sz w:val="20"/>
                <w:szCs w:val="22"/>
              </w:rPr>
            </w:pPr>
            <w:r w:rsidRPr="008E2EBD">
              <w:rPr>
                <w:rFonts w:ascii="Palatino Linotype" w:eastAsia="Palatino Linotype" w:hAnsi="Palatino Linotype" w:cs="Palatino Linotype"/>
                <w:sz w:val="20"/>
                <w:szCs w:val="22"/>
              </w:rPr>
              <w:t>Si colma</w:t>
            </w:r>
          </w:p>
        </w:tc>
      </w:tr>
    </w:tbl>
    <w:p w14:paraId="48D1591E" w14:textId="2B467153" w:rsidR="003D7DDF" w:rsidRPr="008E2EBD" w:rsidRDefault="00420A8B">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 xml:space="preserve">Es así que, </w:t>
      </w:r>
      <w:r w:rsidR="006670FA" w:rsidRPr="008E2EBD">
        <w:rPr>
          <w:rFonts w:ascii="Palatino Linotype" w:eastAsia="Palatino Linotype" w:hAnsi="Palatino Linotype" w:cs="Palatino Linotype"/>
          <w:sz w:val="22"/>
          <w:szCs w:val="22"/>
        </w:rPr>
        <w:t xml:space="preserve">aún y cuando los requerimientos del particular constituyen un derecho de petición, el Sujeto Obligado dio contestación a los mismos, proporcionando la información de interés para el particular. </w:t>
      </w:r>
    </w:p>
    <w:p w14:paraId="79B8AC48" w14:textId="77777777" w:rsidR="006670FA" w:rsidRPr="008E2EBD" w:rsidRDefault="006670FA" w:rsidP="006670FA">
      <w:pPr>
        <w:spacing w:line="360" w:lineRule="auto"/>
        <w:ind w:right="-7"/>
        <w:jc w:val="both"/>
        <w:rPr>
          <w:rFonts w:ascii="Palatino Linotype" w:hAnsi="Palatino Linotype"/>
          <w:sz w:val="22"/>
          <w:szCs w:val="22"/>
        </w:rPr>
      </w:pPr>
      <w:r w:rsidRPr="008E2EBD">
        <w:rPr>
          <w:rFonts w:ascii="Palatino Linotype" w:hAnsi="Palatino Linotype"/>
          <w:sz w:val="22"/>
          <w:szCs w:val="22"/>
        </w:rPr>
        <w:t xml:space="preserve">Por lo </w:t>
      </w:r>
      <w:proofErr w:type="gramStart"/>
      <w:r w:rsidRPr="008E2EBD">
        <w:rPr>
          <w:rFonts w:ascii="Palatino Linotype" w:hAnsi="Palatino Linotype"/>
          <w:sz w:val="22"/>
          <w:szCs w:val="22"/>
        </w:rPr>
        <w:t>que</w:t>
      </w:r>
      <w:proofErr w:type="gramEnd"/>
      <w:r w:rsidRPr="008E2EBD">
        <w:rPr>
          <w:rFonts w:ascii="Palatino Linotype" w:hAnsi="Palatino Linotype"/>
          <w:sz w:val="22"/>
          <w:szCs w:val="22"/>
        </w:rPr>
        <w:t xml:space="preserve"> al haber existido un pronunciamiento por parte del Sujeto Obligado, proporcionando la información que requirió el particular, </w:t>
      </w:r>
      <w:r w:rsidRPr="008E2EBD">
        <w:rPr>
          <w:rFonts w:ascii="Palatino Linotype" w:eastAsia="Palatino Linotype" w:hAnsi="Palatino Linotype" w:cs="Palatino Linotype"/>
          <w:sz w:val="22"/>
          <w:szCs w:val="22"/>
        </w:rPr>
        <w:t>es que no se puede dudar de la veracidad de la información proporcionada.</w:t>
      </w:r>
    </w:p>
    <w:p w14:paraId="3CB646BC" w14:textId="77777777" w:rsidR="006670FA" w:rsidRPr="008E2EBD" w:rsidRDefault="006670FA" w:rsidP="006670FA">
      <w:pPr>
        <w:spacing w:line="360" w:lineRule="auto"/>
        <w:ind w:right="-7"/>
        <w:jc w:val="both"/>
        <w:rPr>
          <w:rFonts w:ascii="Palatino Linotype" w:hAnsi="Palatino Linotype"/>
          <w:sz w:val="22"/>
          <w:szCs w:val="22"/>
        </w:rPr>
      </w:pPr>
    </w:p>
    <w:p w14:paraId="37C46873" w14:textId="77777777" w:rsidR="006670FA" w:rsidRPr="008E2EBD" w:rsidRDefault="006670FA" w:rsidP="006670F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Sirve de apoyo a lo anterior por analogía el criterio orientador 31-10 emitido por el entonces Instituto Federal de Acceso a la Información y Protección de Datos, que a la letra dice:</w:t>
      </w:r>
    </w:p>
    <w:p w14:paraId="04E7C891" w14:textId="77777777" w:rsidR="006670FA" w:rsidRPr="008E2EBD" w:rsidRDefault="006670FA" w:rsidP="006670FA">
      <w:pPr>
        <w:pBdr>
          <w:top w:val="nil"/>
          <w:left w:val="nil"/>
          <w:bottom w:val="nil"/>
          <w:right w:val="nil"/>
          <w:between w:val="nil"/>
        </w:pBdr>
        <w:ind w:left="720"/>
        <w:rPr>
          <w:rFonts w:ascii="Palatino Linotype" w:eastAsia="Palatino Linotype" w:hAnsi="Palatino Linotype" w:cs="Palatino Linotype"/>
          <w:sz w:val="22"/>
          <w:szCs w:val="22"/>
        </w:rPr>
      </w:pPr>
    </w:p>
    <w:p w14:paraId="4B060C69" w14:textId="77777777" w:rsidR="006670FA" w:rsidRPr="008E2EBD" w:rsidRDefault="006670FA" w:rsidP="006670FA">
      <w:pPr>
        <w:ind w:left="567" w:right="567"/>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8E2EBD">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216F8A7" w14:textId="77777777" w:rsidR="006670FA" w:rsidRPr="008E2EBD" w:rsidRDefault="006670FA" w:rsidP="006670FA">
      <w:pPr>
        <w:spacing w:line="360" w:lineRule="auto"/>
        <w:ind w:right="567"/>
        <w:jc w:val="both"/>
        <w:rPr>
          <w:rFonts w:ascii="Palatino Linotype" w:eastAsia="Palatino Linotype" w:hAnsi="Palatino Linotype" w:cs="Palatino Linotype"/>
          <w:sz w:val="22"/>
          <w:szCs w:val="22"/>
        </w:rPr>
      </w:pPr>
    </w:p>
    <w:p w14:paraId="064DF6B6" w14:textId="61E9C100" w:rsidR="006670FA" w:rsidRPr="008E2EBD" w:rsidRDefault="006670FA" w:rsidP="006670F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 xml:space="preserve">Este Órgano Garante carece de facultades para dudar de la veracidad sobre la información proporcionada por el Sujeto Obligado, en consecuencia, deben declararse atendidos dichos requerimientos. </w:t>
      </w:r>
    </w:p>
    <w:p w14:paraId="77FE6800" w14:textId="77777777" w:rsidR="006670FA" w:rsidRPr="008E2EBD" w:rsidRDefault="006670FA" w:rsidP="006670F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7608048" w14:textId="77777777" w:rsidR="007E412E" w:rsidRPr="008E2EBD" w:rsidRDefault="00476B4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Ahora bien, no escapa de la óptica de este Organismo Garante que el Recurrente, al momento de interponer el recurso de revisión adjuntó los siguientes agravios, los cuales fueron ratificados en la etapa de manifestaciones:</w:t>
      </w:r>
    </w:p>
    <w:p w14:paraId="0C260A00" w14:textId="77777777" w:rsidR="007E412E" w:rsidRPr="008E2EBD" w:rsidRDefault="00476B48">
      <w:pPr>
        <w:ind w:left="851" w:hanging="284"/>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b/>
          <w:i/>
          <w:sz w:val="22"/>
          <w:szCs w:val="22"/>
        </w:rPr>
        <w:t>Asunto del Recurso:</w:t>
      </w:r>
      <w:r w:rsidRPr="008E2EBD">
        <w:rPr>
          <w:rFonts w:ascii="Palatino Linotype" w:eastAsia="Palatino Linotype" w:hAnsi="Palatino Linotype" w:cs="Palatino Linotype"/>
          <w:i/>
          <w:sz w:val="22"/>
          <w:szCs w:val="22"/>
        </w:rPr>
        <w:t xml:space="preserve"> Inconformidad Absoluta con la Respuesta </w:t>
      </w:r>
    </w:p>
    <w:p w14:paraId="2A5A4C30" w14:textId="77777777" w:rsidR="007E412E" w:rsidRPr="008E2EBD" w:rsidRDefault="00476B48">
      <w:pPr>
        <w:ind w:left="851" w:hanging="284"/>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b/>
          <w:i/>
          <w:sz w:val="22"/>
          <w:szCs w:val="22"/>
        </w:rPr>
        <w:t>Folio de la solicitud original:</w:t>
      </w:r>
      <w:r w:rsidRPr="008E2EBD">
        <w:rPr>
          <w:rFonts w:ascii="Palatino Linotype" w:eastAsia="Palatino Linotype" w:hAnsi="Palatino Linotype" w:cs="Palatino Linotype"/>
          <w:i/>
          <w:sz w:val="22"/>
          <w:szCs w:val="22"/>
        </w:rPr>
        <w:t xml:space="preserve"> 00005/DIFLERMA/IP/2025</w:t>
      </w:r>
    </w:p>
    <w:p w14:paraId="65298B07" w14:textId="77777777" w:rsidR="007E412E" w:rsidRPr="008E2EBD" w:rsidRDefault="00476B48">
      <w:pPr>
        <w:ind w:left="851" w:hanging="284"/>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 xml:space="preserve">Con pleno apego a los principios de máxima publicidad, certeza, veracidad y exhaustividad que rigen el derecho fundamental de acceso a la información pública, manifiesto mi </w:t>
      </w:r>
      <w:r w:rsidRPr="008E2EBD">
        <w:rPr>
          <w:rFonts w:ascii="Palatino Linotype" w:eastAsia="Palatino Linotype" w:hAnsi="Palatino Linotype" w:cs="Palatino Linotype"/>
          <w:b/>
          <w:i/>
          <w:sz w:val="22"/>
          <w:szCs w:val="22"/>
        </w:rPr>
        <w:t>total inconformidad</w:t>
      </w:r>
      <w:r w:rsidRPr="008E2EBD">
        <w:rPr>
          <w:rFonts w:ascii="Palatino Linotype" w:eastAsia="Palatino Linotype" w:hAnsi="Palatino Linotype" w:cs="Palatino Linotype"/>
          <w:i/>
          <w:sz w:val="22"/>
          <w:szCs w:val="22"/>
        </w:rPr>
        <w:t xml:space="preserve"> con la respuesta proporcionada por el Sujeto Obligado [</w:t>
      </w:r>
      <w:r w:rsidRPr="008E2EBD">
        <w:rPr>
          <w:rFonts w:ascii="Palatino Linotype" w:eastAsia="Palatino Linotype" w:hAnsi="Palatino Linotype" w:cs="Palatino Linotype"/>
          <w:b/>
          <w:i/>
          <w:sz w:val="22"/>
          <w:szCs w:val="22"/>
        </w:rPr>
        <w:t>Sistema Municipal para el Desarrollo Integral de la Familia (DIF) de Lerma</w:t>
      </w:r>
      <w:r w:rsidRPr="008E2EBD">
        <w:rPr>
          <w:rFonts w:ascii="Palatino Linotype" w:eastAsia="Palatino Linotype" w:hAnsi="Palatino Linotype" w:cs="Palatino Linotype"/>
          <w:i/>
          <w:sz w:val="22"/>
          <w:szCs w:val="22"/>
        </w:rPr>
        <w:t>] por las siguientes razones de hecho y de derecho irrefutables:</w:t>
      </w:r>
    </w:p>
    <w:p w14:paraId="05C77139" w14:textId="77777777" w:rsidR="007E412E" w:rsidRPr="008E2EBD" w:rsidRDefault="00476B48">
      <w:pPr>
        <w:numPr>
          <w:ilvl w:val="0"/>
          <w:numId w:val="5"/>
        </w:numPr>
        <w:spacing w:after="160"/>
        <w:ind w:left="851" w:hanging="284"/>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b/>
          <w:i/>
          <w:sz w:val="22"/>
          <w:szCs w:val="22"/>
        </w:rPr>
        <w:t>Negativa Ilegítima de Información Inherente a la Gestión Pública y Uso Indebido de Excepciones Legales (Artículos 12 y 24 LTAIPEMM y Criterio 0002-11 INFOEM):</w:t>
      </w:r>
      <w:r w:rsidRPr="008E2EBD">
        <w:rPr>
          <w:rFonts w:ascii="Palatino Linotype" w:eastAsia="Palatino Linotype" w:hAnsi="Palatino Linotype" w:cs="Palatino Linotype"/>
          <w:i/>
          <w:sz w:val="22"/>
          <w:szCs w:val="22"/>
        </w:rPr>
        <w:t xml:space="preserve"> El Sujeto Obligado evade la entrega de la información detallada sobre sus ingresos y donaciones, arguyendo que implicaría "generación, procesamiento o investigación". Esta justificación es </w:t>
      </w:r>
      <w:r w:rsidRPr="008E2EBD">
        <w:rPr>
          <w:rFonts w:ascii="Palatino Linotype" w:eastAsia="Palatino Linotype" w:hAnsi="Palatino Linotype" w:cs="Palatino Linotype"/>
          <w:b/>
          <w:i/>
          <w:sz w:val="22"/>
          <w:szCs w:val="22"/>
        </w:rPr>
        <w:t>completamente improcedente y contraria a la ley</w:t>
      </w:r>
      <w:r w:rsidRPr="008E2EBD">
        <w:rPr>
          <w:rFonts w:ascii="Palatino Linotype" w:eastAsia="Palatino Linotype" w:hAnsi="Palatino Linotype" w:cs="Palatino Linotype"/>
          <w:i/>
          <w:sz w:val="22"/>
          <w:szCs w:val="22"/>
        </w:rPr>
        <w:t xml:space="preserve">. Los ingresos de una entidad pública, y de manera específica las donaciones que administra, son recursos sujetos a un estricto control y registro por mandato legal, por lo que su desglose y clasificación </w:t>
      </w:r>
      <w:r w:rsidRPr="008E2EBD">
        <w:rPr>
          <w:rFonts w:ascii="Palatino Linotype" w:eastAsia="Palatino Linotype" w:hAnsi="Palatino Linotype" w:cs="Palatino Linotype"/>
          <w:b/>
          <w:i/>
          <w:sz w:val="22"/>
          <w:szCs w:val="22"/>
        </w:rPr>
        <w:t>no es una creación nueva, sino un registro obligatorio y preexistente</w:t>
      </w:r>
      <w:r w:rsidRPr="008E2EBD">
        <w:rPr>
          <w:rFonts w:ascii="Palatino Linotype" w:eastAsia="Palatino Linotype" w:hAnsi="Palatino Linotype" w:cs="Palatino Linotype"/>
          <w:i/>
          <w:sz w:val="22"/>
          <w:szCs w:val="22"/>
        </w:rPr>
        <w:t xml:space="preserve"> que forma parte intrínseca de su contabilidad gubernamental y sus procesos de rendición de cuentas.</w:t>
      </w:r>
    </w:p>
    <w:p w14:paraId="4F4F5DD7" w14:textId="77777777" w:rsidR="007E412E" w:rsidRPr="008E2EBD" w:rsidRDefault="00476B48">
      <w:pPr>
        <w:ind w:left="851" w:hanging="284"/>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La obligación de generar y poseer esta información detallada se deriva directamente de:</w:t>
      </w:r>
    </w:p>
    <w:p w14:paraId="32CFDB8C" w14:textId="77777777" w:rsidR="007E412E" w:rsidRPr="008E2EBD" w:rsidRDefault="00476B48">
      <w:pPr>
        <w:numPr>
          <w:ilvl w:val="0"/>
          <w:numId w:val="6"/>
        </w:numPr>
        <w:pBdr>
          <w:top w:val="nil"/>
          <w:left w:val="nil"/>
          <w:bottom w:val="nil"/>
          <w:right w:val="nil"/>
          <w:between w:val="nil"/>
        </w:pBdr>
        <w:ind w:left="851" w:hanging="284"/>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b/>
          <w:i/>
          <w:sz w:val="22"/>
          <w:szCs w:val="22"/>
        </w:rPr>
        <w:t>Artículo 77, Fracción VII, de la Ley de Transparencia y Acceso a la Información Pública del Estado de México y Municipios</w:t>
      </w:r>
      <w:r w:rsidRPr="008E2EBD">
        <w:rPr>
          <w:rFonts w:ascii="Palatino Linotype" w:eastAsia="Palatino Linotype" w:hAnsi="Palatino Linotype" w:cs="Palatino Linotype"/>
          <w:i/>
          <w:sz w:val="22"/>
          <w:szCs w:val="22"/>
        </w:rPr>
        <w:t>: Exige explícitamente publicar "las donaciones recibidas y su destino", lo cual implica un registro pormenorizado y trazable.</w:t>
      </w:r>
    </w:p>
    <w:p w14:paraId="6B26468D" w14:textId="77777777" w:rsidR="007E412E" w:rsidRPr="008E2EBD" w:rsidRDefault="00476B48">
      <w:pPr>
        <w:numPr>
          <w:ilvl w:val="0"/>
          <w:numId w:val="6"/>
        </w:numPr>
        <w:pBdr>
          <w:top w:val="nil"/>
          <w:left w:val="nil"/>
          <w:bottom w:val="nil"/>
          <w:right w:val="nil"/>
          <w:between w:val="nil"/>
        </w:pBdr>
        <w:ind w:left="851" w:hanging="284"/>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b/>
          <w:i/>
          <w:sz w:val="22"/>
          <w:szCs w:val="22"/>
        </w:rPr>
        <w:t>Ley General de Contabilidad Gubernamental</w:t>
      </w:r>
      <w:r w:rsidRPr="008E2EBD">
        <w:rPr>
          <w:rFonts w:ascii="Palatino Linotype" w:eastAsia="Palatino Linotype" w:hAnsi="Palatino Linotype" w:cs="Palatino Linotype"/>
          <w:i/>
          <w:sz w:val="22"/>
          <w:szCs w:val="22"/>
        </w:rPr>
        <w:t xml:space="preserve">: Impone la obligación ineludible de armonizar, generar y registrar la información financiera de forma sistemática, desglosada y analítica por fuentes de ingresos (incluyendo donaciones, transferencias federales, estatales y municipales). </w:t>
      </w:r>
      <w:r w:rsidRPr="008E2EBD">
        <w:rPr>
          <w:rFonts w:ascii="Palatino Linotype" w:eastAsia="Palatino Linotype" w:hAnsi="Palatino Linotype" w:cs="Palatino Linotype"/>
          <w:b/>
          <w:i/>
          <w:sz w:val="22"/>
          <w:szCs w:val="22"/>
        </w:rPr>
        <w:t>La ausencia de tal detalle constituiría un incumplimiento grave a esta ley.</w:t>
      </w:r>
    </w:p>
    <w:p w14:paraId="366D6E02" w14:textId="77777777" w:rsidR="007E412E" w:rsidRPr="008E2EBD" w:rsidRDefault="00476B48">
      <w:pPr>
        <w:numPr>
          <w:ilvl w:val="0"/>
          <w:numId w:val="6"/>
        </w:numPr>
        <w:pBdr>
          <w:top w:val="nil"/>
          <w:left w:val="nil"/>
          <w:bottom w:val="nil"/>
          <w:right w:val="nil"/>
          <w:between w:val="nil"/>
        </w:pBdr>
        <w:ind w:left="851" w:hanging="284"/>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b/>
          <w:i/>
          <w:sz w:val="22"/>
          <w:szCs w:val="22"/>
        </w:rPr>
        <w:t>Ley de Disciplina Financiera de las Entidades Federativas y los Municipios</w:t>
      </w:r>
      <w:r w:rsidRPr="008E2EBD">
        <w:rPr>
          <w:rFonts w:ascii="Palatino Linotype" w:eastAsia="Palatino Linotype" w:hAnsi="Palatino Linotype" w:cs="Palatino Linotype"/>
          <w:i/>
          <w:sz w:val="22"/>
          <w:szCs w:val="22"/>
        </w:rPr>
        <w:t>: Exige transparencia en la gestión del gasto y los ingresos públicos, lo cual es inviable sin una contabilidad detallada del origen y aplicación de cada recurso.</w:t>
      </w:r>
    </w:p>
    <w:p w14:paraId="1F221407" w14:textId="77777777" w:rsidR="007E412E" w:rsidRPr="008E2EBD" w:rsidRDefault="00476B48">
      <w:pPr>
        <w:numPr>
          <w:ilvl w:val="0"/>
          <w:numId w:val="6"/>
        </w:numPr>
        <w:pBdr>
          <w:top w:val="nil"/>
          <w:left w:val="nil"/>
          <w:bottom w:val="nil"/>
          <w:right w:val="nil"/>
          <w:between w:val="nil"/>
        </w:pBdr>
        <w:ind w:left="851" w:hanging="284"/>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 xml:space="preserve">Los </w:t>
      </w:r>
      <w:r w:rsidRPr="008E2EBD">
        <w:rPr>
          <w:rFonts w:ascii="Palatino Linotype" w:eastAsia="Palatino Linotype" w:hAnsi="Palatino Linotype" w:cs="Palatino Linotype"/>
          <w:b/>
          <w:i/>
          <w:sz w:val="22"/>
          <w:szCs w:val="22"/>
        </w:rPr>
        <w:t>Manuales de Contabilidad Gubernamental emitidos por el CONAC</w:t>
      </w:r>
      <w:r w:rsidRPr="008E2EBD">
        <w:rPr>
          <w:rFonts w:ascii="Palatino Linotype" w:eastAsia="Palatino Linotype" w:hAnsi="Palatino Linotype" w:cs="Palatino Linotype"/>
          <w:i/>
          <w:sz w:val="22"/>
          <w:szCs w:val="22"/>
        </w:rPr>
        <w:t>: Desarrollan clasificadores de ingresos que requieren la distinción clara de donaciones por tipo y origen. La información solicitada es, por tanto, una desagregación esperada y obligatoria de sus registros contables primarios.</w:t>
      </w:r>
    </w:p>
    <w:p w14:paraId="79670716" w14:textId="77777777" w:rsidR="007E412E" w:rsidRPr="008E2EBD" w:rsidRDefault="00476B48">
      <w:pPr>
        <w:numPr>
          <w:ilvl w:val="0"/>
          <w:numId w:val="6"/>
        </w:numPr>
        <w:pBdr>
          <w:top w:val="nil"/>
          <w:left w:val="nil"/>
          <w:bottom w:val="nil"/>
          <w:right w:val="nil"/>
          <w:between w:val="nil"/>
        </w:pBdr>
        <w:spacing w:after="160"/>
        <w:ind w:left="851" w:hanging="284"/>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b/>
          <w:i/>
          <w:sz w:val="22"/>
          <w:szCs w:val="22"/>
        </w:rPr>
        <w:t>Artículo 1 de la Ley de Bienes del Estado de México y de sus Municipios</w:t>
      </w:r>
      <w:r w:rsidRPr="008E2EBD">
        <w:rPr>
          <w:rFonts w:ascii="Palatino Linotype" w:eastAsia="Palatino Linotype" w:hAnsi="Palatino Linotype" w:cs="Palatino Linotype"/>
          <w:i/>
          <w:sz w:val="22"/>
          <w:szCs w:val="22"/>
        </w:rPr>
        <w:t>: Regula el "registro, destino, administración, control, posesión, uso, aprovechamiento, desincorporación y destino final de los bienes" de los municipios, incluyendo las donaciones.</w:t>
      </w:r>
    </w:p>
    <w:p w14:paraId="0087E031" w14:textId="77777777" w:rsidR="007E412E" w:rsidRPr="008E2EBD" w:rsidRDefault="00476B48">
      <w:pPr>
        <w:ind w:left="851" w:hanging="284"/>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 xml:space="preserve">La respuesta del Sujeto Obligado denota una </w:t>
      </w:r>
      <w:r w:rsidRPr="008E2EBD">
        <w:rPr>
          <w:rFonts w:ascii="Palatino Linotype" w:eastAsia="Palatino Linotype" w:hAnsi="Palatino Linotype" w:cs="Palatino Linotype"/>
          <w:b/>
          <w:i/>
          <w:sz w:val="22"/>
          <w:szCs w:val="22"/>
        </w:rPr>
        <w:t>falta de diligencia y un incumplimiento de sus obligaciones contables y de transparencia</w:t>
      </w:r>
      <w:r w:rsidRPr="008E2EBD">
        <w:rPr>
          <w:rFonts w:ascii="Palatino Linotype" w:eastAsia="Palatino Linotype" w:hAnsi="Palatino Linotype" w:cs="Palatino Linotype"/>
          <w:i/>
          <w:sz w:val="22"/>
          <w:szCs w:val="22"/>
        </w:rPr>
        <w:t xml:space="preserve">, pretendiendo que el acceso a información fundamental de la gestión de recursos públicos se interprete como una carga indebida, cuando en realidad es un deber de su función. La información, si no se presenta en el formato solicitado, </w:t>
      </w:r>
      <w:r w:rsidRPr="008E2EBD">
        <w:rPr>
          <w:rFonts w:ascii="Palatino Linotype" w:eastAsia="Palatino Linotype" w:hAnsi="Palatino Linotype" w:cs="Palatino Linotype"/>
          <w:b/>
          <w:i/>
          <w:sz w:val="22"/>
          <w:szCs w:val="22"/>
        </w:rPr>
        <w:t>debe estar disponible en algún soporte documental</w:t>
      </w:r>
      <w:r w:rsidRPr="008E2EBD">
        <w:rPr>
          <w:rFonts w:ascii="Palatino Linotype" w:eastAsia="Palatino Linotype" w:hAnsi="Palatino Linotype" w:cs="Palatino Linotype"/>
          <w:i/>
          <w:sz w:val="22"/>
          <w:szCs w:val="22"/>
        </w:rPr>
        <w:t xml:space="preserve"> que permita su reconstrucción y comprensión, siendo responsabilidad del Sujeto Obligado facilitar dicho acceso.</w:t>
      </w:r>
    </w:p>
    <w:p w14:paraId="77B05B63" w14:textId="77777777" w:rsidR="007E412E" w:rsidRPr="008E2EBD" w:rsidRDefault="00476B48">
      <w:pPr>
        <w:numPr>
          <w:ilvl w:val="0"/>
          <w:numId w:val="5"/>
        </w:numPr>
        <w:spacing w:after="160"/>
        <w:ind w:left="851" w:hanging="284"/>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b/>
          <w:i/>
          <w:sz w:val="22"/>
          <w:szCs w:val="22"/>
        </w:rPr>
        <w:t>Omisión Inexcusable en la Búsqueda Exhaustiva y la Falta de Entrega de un Registro Indispensable de Donaciones:</w:t>
      </w:r>
      <w:r w:rsidRPr="008E2EBD">
        <w:rPr>
          <w:rFonts w:ascii="Palatino Linotype" w:eastAsia="Palatino Linotype" w:hAnsi="Palatino Linotype" w:cs="Palatino Linotype"/>
          <w:i/>
          <w:sz w:val="22"/>
          <w:szCs w:val="22"/>
        </w:rPr>
        <w:t xml:space="preserve"> La respuesta del Sujeto Obligado es evasiva y no acredita una búsqueda exhaustiva en todas las unidades administrativas que, por sus atribuciones sustantivas, </w:t>
      </w:r>
      <w:r w:rsidRPr="008E2EBD">
        <w:rPr>
          <w:rFonts w:ascii="Palatino Linotype" w:eastAsia="Palatino Linotype" w:hAnsi="Palatino Linotype" w:cs="Palatino Linotype"/>
          <w:b/>
          <w:i/>
          <w:sz w:val="22"/>
          <w:szCs w:val="22"/>
        </w:rPr>
        <w:t>tienen la obligación de generar, administrar y custodiar la información específica de donaciones solicitadas</w:t>
      </w:r>
      <w:r w:rsidRPr="008E2EBD">
        <w:rPr>
          <w:rFonts w:ascii="Palatino Linotype" w:eastAsia="Palatino Linotype" w:hAnsi="Palatino Linotype" w:cs="Palatino Linotype"/>
          <w:i/>
          <w:sz w:val="22"/>
          <w:szCs w:val="22"/>
        </w:rPr>
        <w:t>. La negativa a entregar un listado detallado de donaciones es particularmente alarmante y carente de fundamento, ya que dicho registro es fundamental para la transparencia y la rendición de cuentas. Se insiste en que el Sujeto Obligado realice una revisión exhaustiva y entregue la información de los siguientes departamentos:</w:t>
      </w:r>
    </w:p>
    <w:p w14:paraId="43AEEFE2" w14:textId="77777777" w:rsidR="007E412E" w:rsidRPr="008E2EBD" w:rsidRDefault="00476B48">
      <w:pPr>
        <w:numPr>
          <w:ilvl w:val="0"/>
          <w:numId w:val="7"/>
        </w:numPr>
        <w:pBdr>
          <w:top w:val="nil"/>
          <w:left w:val="nil"/>
          <w:bottom w:val="nil"/>
          <w:right w:val="nil"/>
          <w:between w:val="nil"/>
        </w:pBdr>
        <w:ind w:left="851" w:hanging="284"/>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b/>
          <w:i/>
          <w:sz w:val="22"/>
          <w:szCs w:val="22"/>
        </w:rPr>
        <w:t>Procuración de Fondos:</w:t>
      </w:r>
      <w:r w:rsidRPr="008E2EBD">
        <w:rPr>
          <w:rFonts w:ascii="Palatino Linotype" w:eastAsia="Palatino Linotype" w:hAnsi="Palatino Linotype" w:cs="Palatino Linotype"/>
          <w:i/>
          <w:sz w:val="22"/>
          <w:szCs w:val="22"/>
        </w:rPr>
        <w:t xml:space="preserve"> Este departamento, cuya función primordial es la captación de donativos, </w:t>
      </w:r>
      <w:r w:rsidRPr="008E2EBD">
        <w:rPr>
          <w:rFonts w:ascii="Palatino Linotype" w:eastAsia="Palatino Linotype" w:hAnsi="Palatino Linotype" w:cs="Palatino Linotype"/>
          <w:b/>
          <w:i/>
          <w:sz w:val="22"/>
          <w:szCs w:val="22"/>
        </w:rPr>
        <w:t>está obligado a mantener un registro exhaustivo de cada donación</w:t>
      </w:r>
      <w:r w:rsidRPr="008E2EBD">
        <w:rPr>
          <w:rFonts w:ascii="Palatino Linotype" w:eastAsia="Palatino Linotype" w:hAnsi="Palatino Linotype" w:cs="Palatino Linotype"/>
          <w:i/>
          <w:sz w:val="22"/>
          <w:szCs w:val="22"/>
        </w:rPr>
        <w:t>, su origen, tipo y la asignación inicial. La ausencia de tal registro sería un indicio de una gestión irregular.</w:t>
      </w:r>
    </w:p>
    <w:p w14:paraId="29358D57" w14:textId="77777777" w:rsidR="007E412E" w:rsidRPr="008E2EBD" w:rsidRDefault="00476B48">
      <w:pPr>
        <w:numPr>
          <w:ilvl w:val="0"/>
          <w:numId w:val="7"/>
        </w:numPr>
        <w:pBdr>
          <w:top w:val="nil"/>
          <w:left w:val="nil"/>
          <w:bottom w:val="nil"/>
          <w:right w:val="nil"/>
          <w:between w:val="nil"/>
        </w:pBdr>
        <w:ind w:left="851" w:hanging="284"/>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b/>
          <w:i/>
          <w:sz w:val="22"/>
          <w:szCs w:val="22"/>
        </w:rPr>
        <w:t>Área Financiera/Contabilidad:</w:t>
      </w:r>
      <w:r w:rsidRPr="008E2EBD">
        <w:rPr>
          <w:rFonts w:ascii="Palatino Linotype" w:eastAsia="Palatino Linotype" w:hAnsi="Palatino Linotype" w:cs="Palatino Linotype"/>
          <w:i/>
          <w:sz w:val="22"/>
          <w:szCs w:val="22"/>
        </w:rPr>
        <w:t xml:space="preserve"> Debe registrar la entrada de todos los recursos, incluyendo las donaciones en efectivo o valoradas.</w:t>
      </w:r>
    </w:p>
    <w:p w14:paraId="067C0D17" w14:textId="77777777" w:rsidR="007E412E" w:rsidRPr="008E2EBD" w:rsidRDefault="00476B48">
      <w:pPr>
        <w:numPr>
          <w:ilvl w:val="0"/>
          <w:numId w:val="7"/>
        </w:numPr>
        <w:pBdr>
          <w:top w:val="nil"/>
          <w:left w:val="nil"/>
          <w:bottom w:val="nil"/>
          <w:right w:val="nil"/>
          <w:between w:val="nil"/>
        </w:pBdr>
        <w:spacing w:after="160"/>
        <w:ind w:left="851" w:hanging="284"/>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b/>
          <w:i/>
          <w:sz w:val="22"/>
          <w:szCs w:val="22"/>
        </w:rPr>
        <w:t>Área de Servicios Generales/Almacén:</w:t>
      </w:r>
      <w:r w:rsidRPr="008E2EBD">
        <w:rPr>
          <w:rFonts w:ascii="Palatino Linotype" w:eastAsia="Palatino Linotype" w:hAnsi="Palatino Linotype" w:cs="Palatino Linotype"/>
          <w:i/>
          <w:sz w:val="22"/>
          <w:szCs w:val="22"/>
        </w:rPr>
        <w:t xml:space="preserve"> Debe llevar un estricto control de inventario de los bienes donados en especie, registrando su entrada, salida y destino final.</w:t>
      </w:r>
    </w:p>
    <w:p w14:paraId="600ECD99" w14:textId="77777777" w:rsidR="007E412E" w:rsidRPr="008E2EBD" w:rsidRDefault="00476B48">
      <w:pPr>
        <w:ind w:left="851" w:hanging="284"/>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 xml:space="preserve">Se requiere la entrega de un </w:t>
      </w:r>
      <w:r w:rsidRPr="008E2EBD">
        <w:rPr>
          <w:rFonts w:ascii="Palatino Linotype" w:eastAsia="Palatino Linotype" w:hAnsi="Palatino Linotype" w:cs="Palatino Linotype"/>
          <w:b/>
          <w:i/>
          <w:sz w:val="22"/>
          <w:szCs w:val="22"/>
        </w:rPr>
        <w:t xml:space="preserve">listado estructurado, preferentemente en formato editable Excel, o en su defecto en un PDF legible que permita la </w:t>
      </w:r>
      <w:proofErr w:type="spellStart"/>
      <w:r w:rsidRPr="008E2EBD">
        <w:rPr>
          <w:rFonts w:ascii="Palatino Linotype" w:eastAsia="Palatino Linotype" w:hAnsi="Palatino Linotype" w:cs="Palatino Linotype"/>
          <w:b/>
          <w:i/>
          <w:sz w:val="22"/>
          <w:szCs w:val="22"/>
        </w:rPr>
        <w:t>replicabilidad</w:t>
      </w:r>
      <w:proofErr w:type="spellEnd"/>
      <w:r w:rsidRPr="008E2EBD">
        <w:rPr>
          <w:rFonts w:ascii="Palatino Linotype" w:eastAsia="Palatino Linotype" w:hAnsi="Palatino Linotype" w:cs="Palatino Linotype"/>
          <w:b/>
          <w:i/>
          <w:sz w:val="22"/>
          <w:szCs w:val="22"/>
        </w:rPr>
        <w:t xml:space="preserve"> de datos,</w:t>
      </w:r>
      <w:r w:rsidRPr="008E2EBD">
        <w:rPr>
          <w:rFonts w:ascii="Palatino Linotype" w:eastAsia="Palatino Linotype" w:hAnsi="Palatino Linotype" w:cs="Palatino Linotype"/>
          <w:i/>
          <w:sz w:val="22"/>
          <w:szCs w:val="22"/>
        </w:rPr>
        <w:t xml:space="preserve"> de las donaciones recibidas por el SMDIF Lerma de instituciones privadas del 01/01/2020 al 31/12/2024, que </w:t>
      </w:r>
      <w:r w:rsidRPr="008E2EBD">
        <w:rPr>
          <w:rFonts w:ascii="Palatino Linotype" w:eastAsia="Palatino Linotype" w:hAnsi="Palatino Linotype" w:cs="Palatino Linotype"/>
          <w:b/>
          <w:i/>
          <w:sz w:val="22"/>
          <w:szCs w:val="22"/>
        </w:rPr>
        <w:t>obligatoriamente debe incluir:</w:t>
      </w:r>
    </w:p>
    <w:p w14:paraId="32F240CC" w14:textId="77777777" w:rsidR="007E412E" w:rsidRPr="008E2EBD" w:rsidRDefault="00476B48">
      <w:pPr>
        <w:numPr>
          <w:ilvl w:val="0"/>
          <w:numId w:val="8"/>
        </w:numPr>
        <w:pBdr>
          <w:top w:val="nil"/>
          <w:left w:val="nil"/>
          <w:bottom w:val="nil"/>
          <w:right w:val="nil"/>
          <w:between w:val="nil"/>
        </w:pBdr>
        <w:ind w:left="851" w:hanging="284"/>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b/>
          <w:i/>
          <w:sz w:val="22"/>
          <w:szCs w:val="22"/>
        </w:rPr>
        <w:t>Nombre completo o razón social del donante.</w:t>
      </w:r>
    </w:p>
    <w:p w14:paraId="12ACA043" w14:textId="77777777" w:rsidR="007E412E" w:rsidRPr="008E2EBD" w:rsidRDefault="00476B48">
      <w:pPr>
        <w:numPr>
          <w:ilvl w:val="0"/>
          <w:numId w:val="8"/>
        </w:numPr>
        <w:pBdr>
          <w:top w:val="nil"/>
          <w:left w:val="nil"/>
          <w:bottom w:val="nil"/>
          <w:right w:val="nil"/>
          <w:between w:val="nil"/>
        </w:pBdr>
        <w:ind w:left="851" w:hanging="284"/>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b/>
          <w:i/>
          <w:sz w:val="22"/>
          <w:szCs w:val="22"/>
        </w:rPr>
        <w:t>Fecha exacta de la donación.</w:t>
      </w:r>
    </w:p>
    <w:p w14:paraId="038CEF21" w14:textId="77777777" w:rsidR="007E412E" w:rsidRPr="008E2EBD" w:rsidRDefault="00476B48">
      <w:pPr>
        <w:numPr>
          <w:ilvl w:val="0"/>
          <w:numId w:val="8"/>
        </w:numPr>
        <w:pBdr>
          <w:top w:val="nil"/>
          <w:left w:val="nil"/>
          <w:bottom w:val="nil"/>
          <w:right w:val="nil"/>
          <w:between w:val="nil"/>
        </w:pBdr>
        <w:ind w:left="851" w:hanging="284"/>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b/>
          <w:i/>
          <w:sz w:val="22"/>
          <w:szCs w:val="22"/>
        </w:rPr>
        <w:t>Descripción detallada del tipo de producto/recurso donado</w:t>
      </w:r>
      <w:r w:rsidRPr="008E2EBD">
        <w:rPr>
          <w:rFonts w:ascii="Palatino Linotype" w:eastAsia="Palatino Linotype" w:hAnsi="Palatino Linotype" w:cs="Palatino Linotype"/>
          <w:i/>
          <w:sz w:val="22"/>
          <w:szCs w:val="22"/>
        </w:rPr>
        <w:t xml:space="preserve"> </w:t>
      </w:r>
    </w:p>
    <w:p w14:paraId="50BE6EB9" w14:textId="77777777" w:rsidR="007E412E" w:rsidRPr="008E2EBD" w:rsidRDefault="00476B48">
      <w:pPr>
        <w:numPr>
          <w:ilvl w:val="0"/>
          <w:numId w:val="8"/>
        </w:numPr>
        <w:pBdr>
          <w:top w:val="nil"/>
          <w:left w:val="nil"/>
          <w:bottom w:val="nil"/>
          <w:right w:val="nil"/>
          <w:between w:val="nil"/>
        </w:pBdr>
        <w:ind w:left="851" w:hanging="284"/>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b/>
          <w:i/>
          <w:sz w:val="22"/>
          <w:szCs w:val="22"/>
        </w:rPr>
        <w:t>Programa o tipo de población beneficiada directamente con esa donación específica</w:t>
      </w:r>
      <w:r w:rsidRPr="008E2EBD">
        <w:rPr>
          <w:rFonts w:ascii="Palatino Linotype" w:eastAsia="Palatino Linotype" w:hAnsi="Palatino Linotype" w:cs="Palatino Linotype"/>
          <w:i/>
          <w:sz w:val="22"/>
          <w:szCs w:val="22"/>
        </w:rPr>
        <w:t xml:space="preserve"> </w:t>
      </w:r>
    </w:p>
    <w:p w14:paraId="34AA8FB7" w14:textId="77777777" w:rsidR="007E412E" w:rsidRPr="008E2EBD" w:rsidRDefault="00476B48">
      <w:pPr>
        <w:numPr>
          <w:ilvl w:val="0"/>
          <w:numId w:val="8"/>
        </w:numPr>
        <w:pBdr>
          <w:top w:val="nil"/>
          <w:left w:val="nil"/>
          <w:bottom w:val="nil"/>
          <w:right w:val="nil"/>
          <w:between w:val="nil"/>
        </w:pBdr>
        <w:spacing w:after="160"/>
        <w:ind w:left="851" w:hanging="284"/>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b/>
          <w:i/>
          <w:sz w:val="22"/>
          <w:szCs w:val="22"/>
        </w:rPr>
        <w:t>(Opcional, si se considera relevante y exigible para donaciones en especie):</w:t>
      </w:r>
      <w:r w:rsidRPr="008E2EBD">
        <w:rPr>
          <w:rFonts w:ascii="Palatino Linotype" w:eastAsia="Palatino Linotype" w:hAnsi="Palatino Linotype" w:cs="Palatino Linotype"/>
          <w:i/>
          <w:sz w:val="22"/>
          <w:szCs w:val="22"/>
        </w:rPr>
        <w:t xml:space="preserve"> </w:t>
      </w:r>
      <w:r w:rsidRPr="008E2EBD">
        <w:rPr>
          <w:rFonts w:ascii="Palatino Linotype" w:eastAsia="Palatino Linotype" w:hAnsi="Palatino Linotype" w:cs="Palatino Linotype"/>
          <w:b/>
          <w:i/>
          <w:sz w:val="22"/>
          <w:szCs w:val="22"/>
        </w:rPr>
        <w:t>Valor estimado de la donación en especie</w:t>
      </w:r>
      <w:r w:rsidRPr="008E2EBD">
        <w:rPr>
          <w:rFonts w:ascii="Palatino Linotype" w:eastAsia="Palatino Linotype" w:hAnsi="Palatino Linotype" w:cs="Palatino Linotype"/>
          <w:i/>
          <w:sz w:val="22"/>
          <w:szCs w:val="22"/>
        </w:rPr>
        <w:t>, si obra en sus registros.</w:t>
      </w:r>
    </w:p>
    <w:p w14:paraId="0E583786" w14:textId="77777777" w:rsidR="007E412E" w:rsidRPr="008E2EBD" w:rsidRDefault="00476B48">
      <w:pPr>
        <w:ind w:left="851" w:hanging="284"/>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 xml:space="preserve">Finalmente, la </w:t>
      </w:r>
      <w:r w:rsidRPr="008E2EBD">
        <w:rPr>
          <w:rFonts w:ascii="Palatino Linotype" w:eastAsia="Palatino Linotype" w:hAnsi="Palatino Linotype" w:cs="Palatino Linotype"/>
          <w:b/>
          <w:i/>
          <w:sz w:val="22"/>
          <w:szCs w:val="22"/>
        </w:rPr>
        <w:t>reelección de la administración municipal</w:t>
      </w:r>
      <w:r w:rsidRPr="008E2EBD">
        <w:rPr>
          <w:rFonts w:ascii="Palatino Linotype" w:eastAsia="Palatino Linotype" w:hAnsi="Palatino Linotype" w:cs="Palatino Linotype"/>
          <w:i/>
          <w:sz w:val="22"/>
          <w:szCs w:val="22"/>
        </w:rPr>
        <w:t xml:space="preserve"> y la </w:t>
      </w:r>
      <w:r w:rsidRPr="008E2EBD">
        <w:rPr>
          <w:rFonts w:ascii="Palatino Linotype" w:eastAsia="Palatino Linotype" w:hAnsi="Palatino Linotype" w:cs="Palatino Linotype"/>
          <w:b/>
          <w:i/>
          <w:sz w:val="22"/>
          <w:szCs w:val="22"/>
        </w:rPr>
        <w:t>permanencia de numerosos servidores públicos en sus puestos clave</w:t>
      </w:r>
      <w:r w:rsidRPr="008E2EBD">
        <w:rPr>
          <w:rFonts w:ascii="Palatino Linotype" w:eastAsia="Palatino Linotype" w:hAnsi="Palatino Linotype" w:cs="Palatino Linotype"/>
          <w:i/>
          <w:sz w:val="22"/>
          <w:szCs w:val="22"/>
        </w:rPr>
        <w:t xml:space="preserve"> garantizan la continuidad de la memoria institucional y la disponibilidad de los archivos y expedientes correspondientes a los ejercicios fiscales solicitados. Es inaceptable que se aduzca desconocimiento o inexistencia de información que debería ser fundamental para la gestión continua de la institución.</w:t>
      </w:r>
    </w:p>
    <w:p w14:paraId="6956D390" w14:textId="77777777" w:rsidR="007E412E" w:rsidRPr="008E2EBD" w:rsidRDefault="00476B48">
      <w:pPr>
        <w:numPr>
          <w:ilvl w:val="0"/>
          <w:numId w:val="5"/>
        </w:numPr>
        <w:spacing w:after="160"/>
        <w:ind w:left="851" w:hanging="284"/>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b/>
          <w:i/>
          <w:sz w:val="22"/>
          <w:szCs w:val="22"/>
        </w:rPr>
        <w:t>Ambivalencia sobre la Disposición de Donaciones y Evasión en la Entrega de la Normatividad Aplicable a su Inalienabilidad y Prohibición de Venta:</w:t>
      </w:r>
      <w:r w:rsidRPr="008E2EBD">
        <w:rPr>
          <w:rFonts w:ascii="Palatino Linotype" w:eastAsia="Palatino Linotype" w:hAnsi="Palatino Linotype" w:cs="Palatino Linotype"/>
          <w:i/>
          <w:sz w:val="22"/>
          <w:szCs w:val="22"/>
        </w:rPr>
        <w:t xml:space="preserve"> La respuesta del Sujeto Obligado es claramente insuficiente al limitarse a una declaración general sobre el destino de las donaciones ("beneficio de la población vulnerable") y al omitir la entrega de la normativa que rige su disposición, especialmente aquella que prohíbe su venta o lucro. Esta omisión es grave, pues la gestión de bienes públicos donados debe estar rígidamente normada.</w:t>
      </w:r>
    </w:p>
    <w:p w14:paraId="42FF2AE2" w14:textId="77777777" w:rsidR="007E412E" w:rsidRPr="008E2EBD" w:rsidRDefault="00476B48">
      <w:pPr>
        <w:ind w:left="851" w:hanging="284"/>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 xml:space="preserve">Se exige al Sujeto Obligado que proporcione la </w:t>
      </w:r>
      <w:r w:rsidRPr="008E2EBD">
        <w:rPr>
          <w:rFonts w:ascii="Palatino Linotype" w:eastAsia="Palatino Linotype" w:hAnsi="Palatino Linotype" w:cs="Palatino Linotype"/>
          <w:b/>
          <w:i/>
          <w:sz w:val="22"/>
          <w:szCs w:val="22"/>
        </w:rPr>
        <w:t>normatividad interna o externa (legal, reglamentaria, manuales de procedimientos, lineamientos, acuerdos)</w:t>
      </w:r>
      <w:r w:rsidRPr="008E2EBD">
        <w:rPr>
          <w:rFonts w:ascii="Palatino Linotype" w:eastAsia="Palatino Linotype" w:hAnsi="Palatino Linotype" w:cs="Palatino Linotype"/>
          <w:i/>
          <w:sz w:val="22"/>
          <w:szCs w:val="22"/>
        </w:rPr>
        <w:t xml:space="preserve"> que establece que </w:t>
      </w:r>
      <w:r w:rsidRPr="008E2EBD">
        <w:rPr>
          <w:rFonts w:ascii="Palatino Linotype" w:eastAsia="Palatino Linotype" w:hAnsi="Palatino Linotype" w:cs="Palatino Linotype"/>
          <w:b/>
          <w:i/>
          <w:sz w:val="22"/>
          <w:szCs w:val="22"/>
        </w:rPr>
        <w:t>las donaciones recibidas por el SMDIF Lerma, destinado al servicio social, no pueden ser objeto de venta, comercialización o aprovechamiento lucrativo</w:t>
      </w:r>
      <w:r w:rsidRPr="008E2EBD">
        <w:rPr>
          <w:rFonts w:ascii="Palatino Linotype" w:eastAsia="Palatino Linotype" w:hAnsi="Palatino Linotype" w:cs="Palatino Linotype"/>
          <w:i/>
          <w:sz w:val="22"/>
          <w:szCs w:val="22"/>
        </w:rPr>
        <w:t>, sino que su destino final y exclusivo es la entrega directa a los beneficiarios o su utilización para los fines de asistencia social para los cuales fueron otorgadas. Lo anterior se fundamenta en:</w:t>
      </w:r>
    </w:p>
    <w:p w14:paraId="521CE556" w14:textId="77777777" w:rsidR="007E412E" w:rsidRPr="008E2EBD" w:rsidRDefault="00476B48">
      <w:pPr>
        <w:numPr>
          <w:ilvl w:val="0"/>
          <w:numId w:val="9"/>
        </w:numPr>
        <w:pBdr>
          <w:top w:val="nil"/>
          <w:left w:val="nil"/>
          <w:bottom w:val="nil"/>
          <w:right w:val="nil"/>
          <w:between w:val="nil"/>
        </w:pBdr>
        <w:ind w:left="851" w:hanging="284"/>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b/>
          <w:i/>
          <w:sz w:val="22"/>
          <w:szCs w:val="22"/>
        </w:rPr>
        <w:t>Artículo 4, Fracción XI, de la "LEY QUE CREA LOS ORGANISMOS PÚBLICOS DESCENTRALIZADOS DE ASISTENCIA SOCIAL, DE CARÁCTER MUNICIPAL, DENOMINADOS 'SISTEMAS MUNICIPALES PARA EL DESARROLLO INTEGRAL DE LA FAMILIA'",</w:t>
      </w:r>
      <w:r w:rsidRPr="008E2EBD">
        <w:rPr>
          <w:rFonts w:ascii="Palatino Linotype" w:eastAsia="Palatino Linotype" w:hAnsi="Palatino Linotype" w:cs="Palatino Linotype"/>
          <w:i/>
          <w:sz w:val="22"/>
          <w:szCs w:val="22"/>
        </w:rPr>
        <w:t xml:space="preserve"> que integra las donaciones al patrimonio de los organismos, implicando un control estricto.</w:t>
      </w:r>
    </w:p>
    <w:p w14:paraId="3996E7CA" w14:textId="77777777" w:rsidR="007E412E" w:rsidRPr="008E2EBD" w:rsidRDefault="00476B48">
      <w:pPr>
        <w:numPr>
          <w:ilvl w:val="0"/>
          <w:numId w:val="9"/>
        </w:numPr>
        <w:pBdr>
          <w:top w:val="nil"/>
          <w:left w:val="nil"/>
          <w:bottom w:val="nil"/>
          <w:right w:val="nil"/>
          <w:between w:val="nil"/>
        </w:pBdr>
        <w:ind w:left="851" w:hanging="284"/>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b/>
          <w:i/>
          <w:sz w:val="22"/>
          <w:szCs w:val="22"/>
        </w:rPr>
        <w:t>Artículos 17 y 21 de la Ley de Bienes del Estado de México y de sus Municipios</w:t>
      </w:r>
      <w:r w:rsidRPr="008E2EBD">
        <w:rPr>
          <w:rFonts w:ascii="Palatino Linotype" w:eastAsia="Palatino Linotype" w:hAnsi="Palatino Linotype" w:cs="Palatino Linotype"/>
          <w:i/>
          <w:sz w:val="22"/>
          <w:szCs w:val="22"/>
        </w:rPr>
        <w:t>, que clasifican los bienes destinados a un servicio público bajo el control de la ley de bienes.</w:t>
      </w:r>
    </w:p>
    <w:p w14:paraId="6D46F829" w14:textId="77777777" w:rsidR="007E412E" w:rsidRPr="008E2EBD" w:rsidRDefault="00476B48">
      <w:pPr>
        <w:numPr>
          <w:ilvl w:val="0"/>
          <w:numId w:val="9"/>
        </w:numPr>
        <w:pBdr>
          <w:top w:val="nil"/>
          <w:left w:val="nil"/>
          <w:bottom w:val="nil"/>
          <w:right w:val="nil"/>
          <w:between w:val="nil"/>
        </w:pBdr>
        <w:ind w:left="851" w:hanging="284"/>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b/>
          <w:i/>
          <w:sz w:val="22"/>
          <w:szCs w:val="22"/>
        </w:rPr>
        <w:t>Artículo 24 de la Ley de Bienes del Estado de México y de sus Municipios</w:t>
      </w:r>
      <w:r w:rsidRPr="008E2EBD">
        <w:rPr>
          <w:rFonts w:ascii="Palatino Linotype" w:eastAsia="Palatino Linotype" w:hAnsi="Palatino Linotype" w:cs="Palatino Linotype"/>
          <w:i/>
          <w:sz w:val="22"/>
          <w:szCs w:val="22"/>
        </w:rPr>
        <w:t xml:space="preserve">, que declara </w:t>
      </w:r>
      <w:r w:rsidRPr="008E2EBD">
        <w:rPr>
          <w:rFonts w:ascii="Palatino Linotype" w:eastAsia="Palatino Linotype" w:hAnsi="Palatino Linotype" w:cs="Palatino Linotype"/>
          <w:b/>
          <w:i/>
          <w:sz w:val="22"/>
          <w:szCs w:val="22"/>
        </w:rPr>
        <w:t>nulos de pleno derecho los actos por los que se constituyan o inscriban gravámenes sobre bienes de dominio público</w:t>
      </w:r>
      <w:r w:rsidRPr="008E2EBD">
        <w:rPr>
          <w:rFonts w:ascii="Palatino Linotype" w:eastAsia="Palatino Linotype" w:hAnsi="Palatino Linotype" w:cs="Palatino Linotype"/>
          <w:i/>
          <w:sz w:val="22"/>
          <w:szCs w:val="22"/>
        </w:rPr>
        <w:t>, lo que es un principio fundamental que prohíbe el uso comercial o lucrativo de bienes públicos, incluyendo donaciones destinadas al servicio social.</w:t>
      </w:r>
    </w:p>
    <w:p w14:paraId="56AB3D8C" w14:textId="77777777" w:rsidR="007E412E" w:rsidRPr="008E2EBD" w:rsidRDefault="00476B48">
      <w:pPr>
        <w:numPr>
          <w:ilvl w:val="0"/>
          <w:numId w:val="9"/>
        </w:numPr>
        <w:pBdr>
          <w:top w:val="nil"/>
          <w:left w:val="nil"/>
          <w:bottom w:val="nil"/>
          <w:right w:val="nil"/>
          <w:between w:val="nil"/>
        </w:pBdr>
        <w:ind w:left="851" w:hanging="284"/>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 xml:space="preserve">La </w:t>
      </w:r>
      <w:r w:rsidRPr="008E2EBD">
        <w:rPr>
          <w:rFonts w:ascii="Palatino Linotype" w:eastAsia="Palatino Linotype" w:hAnsi="Palatino Linotype" w:cs="Palatino Linotype"/>
          <w:b/>
          <w:i/>
          <w:sz w:val="22"/>
          <w:szCs w:val="22"/>
        </w:rPr>
        <w:t>Ley de Fiscalización Superior del Estado de México y Municipios</w:t>
      </w:r>
      <w:r w:rsidRPr="008E2EBD">
        <w:rPr>
          <w:rFonts w:ascii="Palatino Linotype" w:eastAsia="Palatino Linotype" w:hAnsi="Palatino Linotype" w:cs="Palatino Linotype"/>
          <w:i/>
          <w:sz w:val="22"/>
          <w:szCs w:val="22"/>
        </w:rPr>
        <w:t>, que vela por la correcta aplicación de recursos y bienes públicos, incluyendo donaciones.</w:t>
      </w:r>
    </w:p>
    <w:p w14:paraId="0264F90F" w14:textId="77777777" w:rsidR="007E412E" w:rsidRPr="008E2EBD" w:rsidRDefault="00476B48">
      <w:pPr>
        <w:numPr>
          <w:ilvl w:val="0"/>
          <w:numId w:val="9"/>
        </w:numPr>
        <w:pBdr>
          <w:top w:val="nil"/>
          <w:left w:val="nil"/>
          <w:bottom w:val="nil"/>
          <w:right w:val="nil"/>
          <w:between w:val="nil"/>
        </w:pBdr>
        <w:spacing w:after="160"/>
        <w:ind w:left="851" w:hanging="284"/>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 xml:space="preserve">La </w:t>
      </w:r>
      <w:r w:rsidRPr="008E2EBD">
        <w:rPr>
          <w:rFonts w:ascii="Palatino Linotype" w:eastAsia="Palatino Linotype" w:hAnsi="Palatino Linotype" w:cs="Palatino Linotype"/>
          <w:b/>
          <w:i/>
          <w:sz w:val="22"/>
          <w:szCs w:val="22"/>
        </w:rPr>
        <w:t>Ley Orgánica Municipal del Estado de México</w:t>
      </w:r>
      <w:r w:rsidRPr="008E2EBD">
        <w:rPr>
          <w:rFonts w:ascii="Palatino Linotype" w:eastAsia="Palatino Linotype" w:hAnsi="Palatino Linotype" w:cs="Palatino Linotype"/>
          <w:i/>
          <w:sz w:val="22"/>
          <w:szCs w:val="22"/>
        </w:rPr>
        <w:t xml:space="preserve"> y cualquier reglamento municipal o interno del DIF Lerma que especifique el manejo de donaciones y la prohibición de su enajenación.</w:t>
      </w:r>
    </w:p>
    <w:p w14:paraId="76B355B7" w14:textId="77777777" w:rsidR="007E412E" w:rsidRPr="008E2EBD" w:rsidRDefault="00476B48">
      <w:pPr>
        <w:ind w:left="851" w:hanging="284"/>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i/>
          <w:sz w:val="22"/>
          <w:szCs w:val="22"/>
        </w:rPr>
        <w:t>La entrega de esta normativa no es opcional, sino una obligación del Sujeto Obligado para demostrar la transparencia y legalidad en el manejo de las donaciones, así como para sustentar las afirmaciones sobre su destino.</w:t>
      </w:r>
    </w:p>
    <w:p w14:paraId="58EC4032" w14:textId="77777777" w:rsidR="007E412E" w:rsidRPr="008E2EBD" w:rsidRDefault="00476B48">
      <w:pPr>
        <w:ind w:left="851" w:hanging="284"/>
        <w:jc w:val="both"/>
        <w:rPr>
          <w:rFonts w:ascii="Palatino Linotype" w:eastAsia="Palatino Linotype" w:hAnsi="Palatino Linotype" w:cs="Palatino Linotype"/>
          <w:i/>
          <w:sz w:val="22"/>
          <w:szCs w:val="22"/>
        </w:rPr>
      </w:pPr>
      <w:r w:rsidRPr="008E2EBD">
        <w:rPr>
          <w:rFonts w:ascii="Palatino Linotype" w:eastAsia="Palatino Linotype" w:hAnsi="Palatino Linotype" w:cs="Palatino Linotype"/>
          <w:b/>
          <w:i/>
          <w:sz w:val="22"/>
          <w:szCs w:val="22"/>
        </w:rPr>
        <w:t>En virtud de lo expuesto, solicito al Instituto de Transparencia y Acceso a la Información Pública del Estado de México y Municipios (INFOEM) que, en pleno ejercicio de sus facultades, revoque en su totalidad la respuesta evasiva del Sujeto Obligado y le instruya a entregar la información detallada, estructurada y específica solicitada sobre los ingresos, el listado exhaustivo de donaciones de instituciones privadas del periodo 2020-2024 con todos los campos especificados, así como la normativa aplicable a la recepción, administración y estricta disposición de las mismas, tal como obra y debe obrar indefectiblemente en sus archivos y registros de las áreas competentes, en apego irrestricto al principio de máxima publicidad y a las obligaciones legales en materia de transparencia y contabilidad gubernamental.</w:t>
      </w:r>
    </w:p>
    <w:p w14:paraId="7A67B286" w14:textId="77777777" w:rsidR="007E412E" w:rsidRPr="008E2EBD" w:rsidRDefault="007E412E">
      <w:pPr>
        <w:jc w:val="both"/>
        <w:rPr>
          <w:rFonts w:ascii="Palatino Linotype" w:eastAsia="Palatino Linotype" w:hAnsi="Palatino Linotype" w:cs="Palatino Linotype"/>
          <w:sz w:val="22"/>
          <w:szCs w:val="22"/>
        </w:rPr>
      </w:pPr>
    </w:p>
    <w:p w14:paraId="7738C240" w14:textId="77777777" w:rsidR="007E412E" w:rsidRPr="008E2EBD" w:rsidRDefault="007E412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7810FF4" w14:textId="77777777" w:rsidR="007E412E" w:rsidRPr="008E2EBD" w:rsidRDefault="00476B4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 xml:space="preserve">Tal y como se aprecia, se advierte que el Recurrente, a través del recurso de revisión además de manifestar su inconformidad por la negativa de la información, requiere al Sujeto Obligado que le proporcione la información en un listado estructurado, preferentemente editable en Excel, o en su defecto en un PDF que permita la </w:t>
      </w:r>
      <w:proofErr w:type="spellStart"/>
      <w:r w:rsidRPr="008E2EBD">
        <w:rPr>
          <w:rFonts w:ascii="Palatino Linotype" w:eastAsia="Palatino Linotype" w:hAnsi="Palatino Linotype" w:cs="Palatino Linotype"/>
          <w:sz w:val="22"/>
          <w:szCs w:val="22"/>
        </w:rPr>
        <w:t>replicabilidad</w:t>
      </w:r>
      <w:proofErr w:type="spellEnd"/>
      <w:r w:rsidRPr="008E2EBD">
        <w:rPr>
          <w:rFonts w:ascii="Palatino Linotype" w:eastAsia="Palatino Linotype" w:hAnsi="Palatino Linotype" w:cs="Palatino Linotype"/>
          <w:sz w:val="22"/>
          <w:szCs w:val="22"/>
        </w:rPr>
        <w:t xml:space="preserve"> de datos de las Donaciones Recibidas por el SMDIF que contenga:</w:t>
      </w:r>
    </w:p>
    <w:p w14:paraId="0D4DE37A" w14:textId="77777777" w:rsidR="007E412E" w:rsidRPr="008E2EBD" w:rsidRDefault="00476B48">
      <w:pPr>
        <w:ind w:left="851" w:hanging="284"/>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 xml:space="preserve">Se requiere la entrega de un </w:t>
      </w:r>
      <w:r w:rsidRPr="008E2EBD">
        <w:rPr>
          <w:rFonts w:ascii="Palatino Linotype" w:eastAsia="Palatino Linotype" w:hAnsi="Palatino Linotype" w:cs="Palatino Linotype"/>
          <w:b/>
          <w:sz w:val="22"/>
          <w:szCs w:val="22"/>
        </w:rPr>
        <w:t xml:space="preserve">listado estructurado, preferentemente en formato editable Excel, o en su defecto en un PDF legible que permita la </w:t>
      </w:r>
      <w:proofErr w:type="spellStart"/>
      <w:r w:rsidRPr="008E2EBD">
        <w:rPr>
          <w:rFonts w:ascii="Palatino Linotype" w:eastAsia="Palatino Linotype" w:hAnsi="Palatino Linotype" w:cs="Palatino Linotype"/>
          <w:b/>
          <w:sz w:val="22"/>
          <w:szCs w:val="22"/>
        </w:rPr>
        <w:t>replicabilidad</w:t>
      </w:r>
      <w:proofErr w:type="spellEnd"/>
      <w:r w:rsidRPr="008E2EBD">
        <w:rPr>
          <w:rFonts w:ascii="Palatino Linotype" w:eastAsia="Palatino Linotype" w:hAnsi="Palatino Linotype" w:cs="Palatino Linotype"/>
          <w:b/>
          <w:sz w:val="22"/>
          <w:szCs w:val="22"/>
        </w:rPr>
        <w:t xml:space="preserve"> de datos,</w:t>
      </w:r>
      <w:r w:rsidRPr="008E2EBD">
        <w:rPr>
          <w:rFonts w:ascii="Palatino Linotype" w:eastAsia="Palatino Linotype" w:hAnsi="Palatino Linotype" w:cs="Palatino Linotype"/>
          <w:sz w:val="22"/>
          <w:szCs w:val="22"/>
        </w:rPr>
        <w:t xml:space="preserve"> de las donaciones recibidas por el SMDIF Lerma de instituciones privadas del 01/01/2020 al 31/12/2024, que </w:t>
      </w:r>
      <w:r w:rsidRPr="008E2EBD">
        <w:rPr>
          <w:rFonts w:ascii="Palatino Linotype" w:eastAsia="Palatino Linotype" w:hAnsi="Palatino Linotype" w:cs="Palatino Linotype"/>
          <w:b/>
          <w:sz w:val="22"/>
          <w:szCs w:val="22"/>
        </w:rPr>
        <w:t>obligatoriamente debe incluir:</w:t>
      </w:r>
    </w:p>
    <w:p w14:paraId="001C7F03" w14:textId="77777777" w:rsidR="007E412E" w:rsidRPr="008E2EBD" w:rsidRDefault="00476B48">
      <w:pPr>
        <w:numPr>
          <w:ilvl w:val="0"/>
          <w:numId w:val="8"/>
        </w:numPr>
        <w:pBdr>
          <w:top w:val="nil"/>
          <w:left w:val="nil"/>
          <w:bottom w:val="nil"/>
          <w:right w:val="nil"/>
          <w:between w:val="nil"/>
        </w:pBdr>
        <w:spacing w:line="259" w:lineRule="auto"/>
        <w:ind w:left="851" w:hanging="284"/>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b/>
          <w:sz w:val="22"/>
          <w:szCs w:val="22"/>
        </w:rPr>
        <w:t>Nombre completo o razón social del donante.</w:t>
      </w:r>
    </w:p>
    <w:p w14:paraId="604158B3" w14:textId="77777777" w:rsidR="007E412E" w:rsidRPr="008E2EBD" w:rsidRDefault="00476B48">
      <w:pPr>
        <w:numPr>
          <w:ilvl w:val="0"/>
          <w:numId w:val="8"/>
        </w:numPr>
        <w:pBdr>
          <w:top w:val="nil"/>
          <w:left w:val="nil"/>
          <w:bottom w:val="nil"/>
          <w:right w:val="nil"/>
          <w:between w:val="nil"/>
        </w:pBdr>
        <w:spacing w:line="259" w:lineRule="auto"/>
        <w:ind w:left="851" w:hanging="284"/>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b/>
          <w:sz w:val="22"/>
          <w:szCs w:val="22"/>
        </w:rPr>
        <w:t>Fecha exacta de la donación.</w:t>
      </w:r>
    </w:p>
    <w:p w14:paraId="45F4B73A" w14:textId="77777777" w:rsidR="007E412E" w:rsidRPr="008E2EBD" w:rsidRDefault="00476B48">
      <w:pPr>
        <w:numPr>
          <w:ilvl w:val="0"/>
          <w:numId w:val="8"/>
        </w:numPr>
        <w:pBdr>
          <w:top w:val="nil"/>
          <w:left w:val="nil"/>
          <w:bottom w:val="nil"/>
          <w:right w:val="nil"/>
          <w:between w:val="nil"/>
        </w:pBdr>
        <w:spacing w:line="259" w:lineRule="auto"/>
        <w:ind w:left="851" w:hanging="284"/>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b/>
          <w:sz w:val="22"/>
          <w:szCs w:val="22"/>
        </w:rPr>
        <w:t>Descripción detallada del tipo de producto/recurso donado</w:t>
      </w:r>
      <w:r w:rsidRPr="008E2EBD">
        <w:rPr>
          <w:rFonts w:ascii="Palatino Linotype" w:eastAsia="Palatino Linotype" w:hAnsi="Palatino Linotype" w:cs="Palatino Linotype"/>
          <w:sz w:val="22"/>
          <w:szCs w:val="22"/>
        </w:rPr>
        <w:t xml:space="preserve"> </w:t>
      </w:r>
    </w:p>
    <w:p w14:paraId="5825F905" w14:textId="77777777" w:rsidR="007E412E" w:rsidRPr="008E2EBD" w:rsidRDefault="00476B48">
      <w:pPr>
        <w:numPr>
          <w:ilvl w:val="0"/>
          <w:numId w:val="8"/>
        </w:numPr>
        <w:pBdr>
          <w:top w:val="nil"/>
          <w:left w:val="nil"/>
          <w:bottom w:val="nil"/>
          <w:right w:val="nil"/>
          <w:between w:val="nil"/>
        </w:pBdr>
        <w:spacing w:line="259" w:lineRule="auto"/>
        <w:ind w:left="851" w:hanging="284"/>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b/>
          <w:sz w:val="22"/>
          <w:szCs w:val="22"/>
        </w:rPr>
        <w:t>Programa o tipo de población beneficiada directamente con esa donación específica</w:t>
      </w:r>
      <w:r w:rsidRPr="008E2EBD">
        <w:rPr>
          <w:rFonts w:ascii="Palatino Linotype" w:eastAsia="Palatino Linotype" w:hAnsi="Palatino Linotype" w:cs="Palatino Linotype"/>
          <w:sz w:val="22"/>
          <w:szCs w:val="22"/>
        </w:rPr>
        <w:t xml:space="preserve"> </w:t>
      </w:r>
    </w:p>
    <w:p w14:paraId="43CF238F" w14:textId="77777777" w:rsidR="007E412E" w:rsidRPr="008E2EBD" w:rsidRDefault="00476B48">
      <w:pPr>
        <w:numPr>
          <w:ilvl w:val="0"/>
          <w:numId w:val="8"/>
        </w:numPr>
        <w:pBdr>
          <w:top w:val="nil"/>
          <w:left w:val="nil"/>
          <w:bottom w:val="nil"/>
          <w:right w:val="nil"/>
          <w:between w:val="nil"/>
        </w:pBdr>
        <w:spacing w:after="160" w:line="259" w:lineRule="auto"/>
        <w:ind w:left="851" w:hanging="284"/>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b/>
          <w:sz w:val="22"/>
          <w:szCs w:val="22"/>
        </w:rPr>
        <w:t>(Opcional, si se considera relevante y exigible para donaciones en especie):</w:t>
      </w:r>
      <w:r w:rsidRPr="008E2EBD">
        <w:rPr>
          <w:rFonts w:ascii="Palatino Linotype" w:eastAsia="Palatino Linotype" w:hAnsi="Palatino Linotype" w:cs="Palatino Linotype"/>
          <w:sz w:val="22"/>
          <w:szCs w:val="22"/>
        </w:rPr>
        <w:t xml:space="preserve"> </w:t>
      </w:r>
      <w:r w:rsidRPr="008E2EBD">
        <w:rPr>
          <w:rFonts w:ascii="Palatino Linotype" w:eastAsia="Palatino Linotype" w:hAnsi="Palatino Linotype" w:cs="Palatino Linotype"/>
          <w:b/>
          <w:sz w:val="22"/>
          <w:szCs w:val="22"/>
        </w:rPr>
        <w:t>Valor estimado de la donación en especie</w:t>
      </w:r>
      <w:r w:rsidRPr="008E2EBD">
        <w:rPr>
          <w:rFonts w:ascii="Palatino Linotype" w:eastAsia="Palatino Linotype" w:hAnsi="Palatino Linotype" w:cs="Palatino Linotype"/>
          <w:sz w:val="22"/>
          <w:szCs w:val="22"/>
        </w:rPr>
        <w:t>, si obra en sus registros.</w:t>
      </w:r>
    </w:p>
    <w:p w14:paraId="7C94109E" w14:textId="77777777" w:rsidR="007E412E" w:rsidRPr="008E2EBD" w:rsidRDefault="007E412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74E7E46" w14:textId="0C768EDD" w:rsidR="007E412E" w:rsidRPr="008E2EBD" w:rsidRDefault="00476B4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 xml:space="preserve">En primer término, es necesario precisar que el Recurrente, a través de su escrito de recurso de revisión pretende ampliar su solicitud, respecto </w:t>
      </w:r>
      <w:r w:rsidR="006670FA" w:rsidRPr="008E2EBD">
        <w:rPr>
          <w:rFonts w:ascii="Palatino Linotype" w:eastAsia="Palatino Linotype" w:hAnsi="Palatino Linotype" w:cs="Palatino Linotype"/>
          <w:sz w:val="22"/>
          <w:szCs w:val="22"/>
        </w:rPr>
        <w:t xml:space="preserve">los ingresos, </w:t>
      </w:r>
      <w:r w:rsidRPr="008E2EBD">
        <w:rPr>
          <w:rFonts w:ascii="Palatino Linotype" w:eastAsia="Palatino Linotype" w:hAnsi="Palatino Linotype" w:cs="Palatino Linotype"/>
          <w:sz w:val="22"/>
          <w:szCs w:val="22"/>
        </w:rPr>
        <w:t xml:space="preserve">nombre completo del donante, fecha de donación, descripción detallada de producto o recurso, y valor estimado de la donación, por lo que constituyen en su totalidad nuevos requerimientos de información, configurándose así lo que se conoce como </w:t>
      </w:r>
      <w:r w:rsidRPr="008E2EBD">
        <w:rPr>
          <w:rFonts w:ascii="Palatino Linotype" w:eastAsia="Palatino Linotype" w:hAnsi="Palatino Linotype" w:cs="Palatino Linotype"/>
          <w:i/>
          <w:sz w:val="22"/>
          <w:szCs w:val="22"/>
        </w:rPr>
        <w:t xml:space="preserve">plus </w:t>
      </w:r>
      <w:proofErr w:type="spellStart"/>
      <w:r w:rsidRPr="008E2EBD">
        <w:rPr>
          <w:rFonts w:ascii="Palatino Linotype" w:eastAsia="Palatino Linotype" w:hAnsi="Palatino Linotype" w:cs="Palatino Linotype"/>
          <w:i/>
          <w:sz w:val="22"/>
          <w:szCs w:val="22"/>
        </w:rPr>
        <w:t>petitio</w:t>
      </w:r>
      <w:proofErr w:type="spellEnd"/>
      <w:r w:rsidRPr="008E2EBD">
        <w:rPr>
          <w:rFonts w:ascii="Palatino Linotype" w:eastAsia="Palatino Linotype" w:hAnsi="Palatino Linotype" w:cs="Palatino Linotype"/>
          <w:b/>
          <w:i/>
          <w:sz w:val="22"/>
          <w:szCs w:val="22"/>
        </w:rPr>
        <w:t xml:space="preserve">, </w:t>
      </w:r>
      <w:r w:rsidRPr="008E2EBD">
        <w:rPr>
          <w:rFonts w:ascii="Palatino Linotype" w:eastAsia="Palatino Linotype" w:hAnsi="Palatino Linotype" w:cs="Palatino Linotype"/>
          <w:sz w:val="22"/>
          <w:szCs w:val="22"/>
        </w:rPr>
        <w:t xml:space="preserve">que consiste en una ampliación a su requerimiento informativo, argumentos que no son susceptibles de ser valorados en términos de la fracción VII del Artículo 191 de la Ley de Transparencia y Acceso a la Información Pública del Estado de México y Municipios,  pues la parte </w:t>
      </w:r>
      <w:r w:rsidRPr="008E2EBD">
        <w:rPr>
          <w:rFonts w:ascii="Palatino Linotype" w:eastAsia="Palatino Linotype" w:hAnsi="Palatino Linotype" w:cs="Palatino Linotype"/>
          <w:b/>
          <w:sz w:val="22"/>
          <w:szCs w:val="22"/>
        </w:rPr>
        <w:t>RECURRENTE</w:t>
      </w:r>
      <w:r w:rsidRPr="008E2EBD">
        <w:rPr>
          <w:rFonts w:ascii="Palatino Linotype" w:eastAsia="Palatino Linotype" w:hAnsi="Palatino Linotype" w:cs="Palatino Linotype"/>
          <w:sz w:val="22"/>
          <w:szCs w:val="22"/>
        </w:rPr>
        <w:t xml:space="preserve"> formuló nuevos cuestionamientos, en los que solicitó información que no formó parte de su solicitud inicial y por lo tanto son inatendibles a través del recurso de revisión. </w:t>
      </w:r>
    </w:p>
    <w:p w14:paraId="794F2D73" w14:textId="77777777" w:rsidR="007E412E" w:rsidRPr="008E2EBD" w:rsidRDefault="007E412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D8F95CD" w14:textId="77777777" w:rsidR="007E412E" w:rsidRPr="008E2EBD" w:rsidRDefault="00476B48">
      <w:pPr>
        <w:pBdr>
          <w:top w:val="nil"/>
          <w:left w:val="nil"/>
          <w:bottom w:val="nil"/>
          <w:right w:val="nil"/>
          <w:between w:val="nil"/>
        </w:pBdr>
        <w:spacing w:after="240"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En este tenor, es posible determinar que para el caso que nos ocupa, los argumentos formulados como motivos o razones de inconformidad son una ampliación a la solicitud inicial y corresponden a nuevos requerimientos de información, que no se encuentran relacionados con lo solicitado en un primer momento.</w:t>
      </w:r>
    </w:p>
    <w:p w14:paraId="3872D195" w14:textId="77777777" w:rsidR="007E412E" w:rsidRPr="008E2EBD" w:rsidRDefault="00476B48">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En este orden de ideas, una vez formulada su solicitud inicial,</w:t>
      </w:r>
      <w:r w:rsidRPr="008E2EBD">
        <w:rPr>
          <w:rFonts w:ascii="Palatino Linotype" w:eastAsia="Palatino Linotype" w:hAnsi="Palatino Linotype" w:cs="Palatino Linotype"/>
          <w:i/>
          <w:sz w:val="22"/>
          <w:szCs w:val="22"/>
        </w:rPr>
        <w:t xml:space="preserve"> </w:t>
      </w:r>
      <w:r w:rsidRPr="008E2EBD">
        <w:rPr>
          <w:rFonts w:ascii="Palatino Linotype" w:eastAsia="Palatino Linotype" w:hAnsi="Palatino Linotype" w:cs="Palatino Linotype"/>
          <w:sz w:val="22"/>
          <w:szCs w:val="22"/>
        </w:rPr>
        <w:t>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27DF2190" w14:textId="77777777" w:rsidR="007E412E" w:rsidRPr="008E2EBD" w:rsidRDefault="00476B48">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Robustece lo anterior lo plasmado en el criterio orientador número 01/17 emitido por el entonces Instituto Nacional de Transparencia, Acceso a la Información y Protección de Datos Personales, INAI, que lleva por rubro y texto lo que a continuación se transcribe:</w:t>
      </w:r>
    </w:p>
    <w:p w14:paraId="36176263" w14:textId="77777777" w:rsidR="007E412E" w:rsidRPr="008E2EBD" w:rsidRDefault="00476B48">
      <w:pPr>
        <w:pBdr>
          <w:top w:val="nil"/>
          <w:left w:val="nil"/>
          <w:bottom w:val="nil"/>
          <w:right w:val="nil"/>
          <w:between w:val="nil"/>
        </w:pBdr>
        <w:ind w:left="567" w:right="843"/>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i/>
          <w:sz w:val="22"/>
          <w:szCs w:val="22"/>
        </w:rPr>
        <w:t>“</w:t>
      </w:r>
      <w:r w:rsidRPr="008E2EBD">
        <w:rPr>
          <w:rFonts w:ascii="Palatino Linotype" w:eastAsia="Palatino Linotype" w:hAnsi="Palatino Linotype" w:cs="Palatino Linotype"/>
          <w:b/>
          <w:i/>
          <w:sz w:val="22"/>
          <w:szCs w:val="22"/>
        </w:rPr>
        <w:t xml:space="preserve">Es improcedente ampliar las solicitudes de acceso a información, a través de la interposición del recurso de revisión. </w:t>
      </w:r>
      <w:r w:rsidRPr="008E2EBD">
        <w:rPr>
          <w:rFonts w:ascii="Palatino Linotype" w:eastAsia="Palatino Linotype" w:hAnsi="Palatino Linotype" w:cs="Palatino Linotype"/>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8E2EBD">
        <w:rPr>
          <w:rFonts w:ascii="Palatino Linotype" w:eastAsia="Palatino Linotype" w:hAnsi="Palatino Linotype" w:cs="Palatino Linotype"/>
          <w:b/>
          <w:i/>
          <w:sz w:val="22"/>
          <w:szCs w:val="22"/>
        </w:rPr>
        <w:t>.</w:t>
      </w:r>
      <w:r w:rsidRPr="008E2EBD">
        <w:rPr>
          <w:rFonts w:ascii="Palatino Linotype" w:eastAsia="Palatino Linotype" w:hAnsi="Palatino Linotype" w:cs="Palatino Linotype"/>
          <w:i/>
          <w:sz w:val="22"/>
          <w:szCs w:val="22"/>
        </w:rPr>
        <w:t>”</w:t>
      </w:r>
    </w:p>
    <w:p w14:paraId="3A2637F9" w14:textId="77777777" w:rsidR="007E412E" w:rsidRPr="008E2EBD" w:rsidRDefault="007E412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73E1449" w14:textId="77777777" w:rsidR="007E412E" w:rsidRPr="008E2EBD" w:rsidRDefault="00476B48">
      <w:pPr>
        <w:spacing w:after="240"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En ese sentido, se dejan a salvo los derechos del particular para que, si así lo desea, formule una nueva solicitud requiriendo la información de su interés.</w:t>
      </w:r>
    </w:p>
    <w:p w14:paraId="00845FBC" w14:textId="4D7229A9" w:rsidR="006670FA" w:rsidRPr="008E2EBD" w:rsidRDefault="006670FA" w:rsidP="006670FA">
      <w:pPr>
        <w:spacing w:line="360" w:lineRule="auto"/>
        <w:ind w:right="49"/>
        <w:jc w:val="both"/>
        <w:rPr>
          <w:rFonts w:ascii="Palatino Linotype" w:eastAsia="Palatino Linotype" w:hAnsi="Palatino Linotype" w:cs="Palatino Linotype"/>
          <w:b/>
          <w:sz w:val="22"/>
          <w:szCs w:val="22"/>
        </w:rPr>
      </w:pPr>
      <w:r w:rsidRPr="008E2EBD">
        <w:rPr>
          <w:rFonts w:ascii="Palatino Linotype" w:eastAsia="Palatino Linotype" w:hAnsi="Palatino Linotype" w:cs="Palatino Linotype"/>
          <w:sz w:val="22"/>
          <w:szCs w:val="22"/>
        </w:rPr>
        <w:t xml:space="preserve">Es así como, en mérito de lo expuesto en líneas anteriores, resultan infundadas las razones o motivos de inconformidad hechos valer por la parte </w:t>
      </w:r>
      <w:r w:rsidRPr="008E2EBD">
        <w:rPr>
          <w:rFonts w:ascii="Palatino Linotype" w:eastAsia="Palatino Linotype" w:hAnsi="Palatino Linotype" w:cs="Palatino Linotype"/>
          <w:b/>
          <w:sz w:val="22"/>
          <w:szCs w:val="22"/>
        </w:rPr>
        <w:t>RECURRENTE</w:t>
      </w:r>
      <w:r w:rsidRPr="008E2EBD">
        <w:rPr>
          <w:rFonts w:ascii="Palatino Linotype" w:eastAsia="Palatino Linotype" w:hAnsi="Palatino Linotype" w:cs="Palatino Linotype"/>
          <w:sz w:val="22"/>
          <w:szCs w:val="22"/>
        </w:rPr>
        <w:t xml:space="preserve"> dentro del recurso de revisión </w:t>
      </w:r>
      <w:r w:rsidRPr="008E2EBD">
        <w:rPr>
          <w:rFonts w:ascii="Palatino Linotype" w:eastAsia="Palatino Linotype" w:hAnsi="Palatino Linotype" w:cs="Palatino Linotype"/>
          <w:b/>
          <w:sz w:val="22"/>
          <w:szCs w:val="22"/>
        </w:rPr>
        <w:t>07404/INFOEM/IP/RR/2025</w:t>
      </w:r>
      <w:r w:rsidRPr="008E2EBD">
        <w:rPr>
          <w:rFonts w:ascii="Palatino Linotype" w:eastAsia="Palatino Linotype" w:hAnsi="Palatino Linotype" w:cs="Palatino Linotype"/>
          <w:sz w:val="22"/>
          <w:szCs w:val="22"/>
        </w:rPr>
        <w:t xml:space="preserve">; por ello, y con fundamento en la fracción II del numeral 186 de la Ley de Transparencia y Acceso a la Información Pública del Estado de México y Municipios, por lo que se </w:t>
      </w:r>
      <w:r w:rsidRPr="008E2EBD">
        <w:rPr>
          <w:rFonts w:ascii="Palatino Linotype" w:eastAsia="Palatino Linotype" w:hAnsi="Palatino Linotype" w:cs="Palatino Linotype"/>
          <w:b/>
          <w:sz w:val="22"/>
          <w:szCs w:val="22"/>
        </w:rPr>
        <w:t xml:space="preserve">CONFIRMA </w:t>
      </w:r>
      <w:r w:rsidRPr="008E2EBD">
        <w:rPr>
          <w:rFonts w:ascii="Palatino Linotype" w:eastAsia="Palatino Linotype" w:hAnsi="Palatino Linotype" w:cs="Palatino Linotype"/>
          <w:sz w:val="22"/>
          <w:szCs w:val="22"/>
        </w:rPr>
        <w:t xml:space="preserve">la respuesta del </w:t>
      </w:r>
      <w:r w:rsidRPr="008E2EBD">
        <w:rPr>
          <w:rFonts w:ascii="Palatino Linotype" w:eastAsia="Palatino Linotype" w:hAnsi="Palatino Linotype" w:cs="Palatino Linotype"/>
          <w:b/>
          <w:sz w:val="22"/>
          <w:szCs w:val="22"/>
        </w:rPr>
        <w:t xml:space="preserve">SUJETO OBLIGADO </w:t>
      </w:r>
      <w:r w:rsidRPr="008E2EBD">
        <w:rPr>
          <w:rFonts w:ascii="Palatino Linotype" w:eastAsia="Palatino Linotype" w:hAnsi="Palatino Linotype" w:cs="Palatino Linotype"/>
          <w:sz w:val="22"/>
          <w:szCs w:val="22"/>
        </w:rPr>
        <w:t xml:space="preserve">a la solicitud de información </w:t>
      </w:r>
      <w:r w:rsidRPr="008E2EBD">
        <w:rPr>
          <w:rFonts w:ascii="Palatino Linotype" w:eastAsia="Palatino Linotype" w:hAnsi="Palatino Linotype" w:cs="Palatino Linotype"/>
          <w:b/>
          <w:sz w:val="22"/>
          <w:szCs w:val="22"/>
        </w:rPr>
        <w:t>00005/DIFLERMA/IP/2025.</w:t>
      </w:r>
    </w:p>
    <w:p w14:paraId="5D9475C6" w14:textId="77777777" w:rsidR="006670FA" w:rsidRPr="008E2EBD" w:rsidRDefault="006670FA" w:rsidP="006670FA">
      <w:pPr>
        <w:spacing w:line="360" w:lineRule="auto"/>
        <w:ind w:right="49"/>
        <w:jc w:val="both"/>
        <w:rPr>
          <w:rFonts w:ascii="Palatino Linotype" w:eastAsia="Palatino Linotype" w:hAnsi="Palatino Linotype" w:cs="Palatino Linotype"/>
          <w:sz w:val="22"/>
          <w:szCs w:val="22"/>
        </w:rPr>
      </w:pPr>
    </w:p>
    <w:p w14:paraId="237710D0" w14:textId="77777777" w:rsidR="006670FA" w:rsidRPr="008E2EBD" w:rsidRDefault="006670FA" w:rsidP="006670FA">
      <w:pPr>
        <w:spacing w:line="360" w:lineRule="auto"/>
        <w:ind w:right="49"/>
        <w:jc w:val="center"/>
        <w:rPr>
          <w:rFonts w:ascii="Palatino Linotype" w:eastAsia="Palatino Linotype" w:hAnsi="Palatino Linotype" w:cs="Palatino Linotype"/>
          <w:b/>
          <w:sz w:val="22"/>
          <w:szCs w:val="22"/>
        </w:rPr>
      </w:pPr>
      <w:r w:rsidRPr="008E2EBD">
        <w:rPr>
          <w:rFonts w:ascii="Palatino Linotype" w:eastAsia="Palatino Linotype" w:hAnsi="Palatino Linotype" w:cs="Palatino Linotype"/>
          <w:b/>
          <w:sz w:val="22"/>
          <w:szCs w:val="22"/>
        </w:rPr>
        <w:t>III.</w:t>
      </w:r>
      <w:r w:rsidRPr="008E2EBD">
        <w:rPr>
          <w:rFonts w:ascii="Palatino Linotype" w:eastAsia="Palatino Linotype" w:hAnsi="Palatino Linotype" w:cs="Palatino Linotype"/>
          <w:b/>
          <w:sz w:val="22"/>
          <w:szCs w:val="22"/>
        </w:rPr>
        <w:tab/>
        <w:t>R E S U E L V E:</w:t>
      </w:r>
    </w:p>
    <w:p w14:paraId="29CCB3E9" w14:textId="039CE482" w:rsidR="006670FA" w:rsidRPr="008E2EBD" w:rsidRDefault="006670FA" w:rsidP="006670FA">
      <w:pPr>
        <w:spacing w:before="240" w:after="240" w:line="360" w:lineRule="auto"/>
        <w:jc w:val="both"/>
        <w:rPr>
          <w:rFonts w:ascii="Palatino Linotype" w:hAnsi="Palatino Linotype"/>
          <w:sz w:val="22"/>
          <w:szCs w:val="22"/>
        </w:rPr>
      </w:pPr>
      <w:r w:rsidRPr="008E2EBD">
        <w:rPr>
          <w:rFonts w:ascii="Palatino Linotype" w:hAnsi="Palatino Linotype"/>
          <w:b/>
          <w:bCs/>
          <w:sz w:val="22"/>
          <w:szCs w:val="22"/>
        </w:rPr>
        <w:t xml:space="preserve">Primero. </w:t>
      </w:r>
      <w:r w:rsidRPr="008E2EBD">
        <w:rPr>
          <w:rFonts w:ascii="Palatino Linotype" w:hAnsi="Palatino Linotype"/>
          <w:sz w:val="22"/>
          <w:szCs w:val="22"/>
        </w:rPr>
        <w:t xml:space="preserve">Resultan </w:t>
      </w:r>
      <w:r w:rsidRPr="008E2EBD">
        <w:rPr>
          <w:rFonts w:ascii="Palatino Linotype" w:hAnsi="Palatino Linotype"/>
          <w:b/>
          <w:bCs/>
          <w:sz w:val="22"/>
          <w:szCs w:val="22"/>
        </w:rPr>
        <w:t>infundadas</w:t>
      </w:r>
      <w:r w:rsidRPr="008E2EBD">
        <w:rPr>
          <w:rFonts w:ascii="Palatino Linotype" w:hAnsi="Palatino Linotype"/>
          <w:sz w:val="22"/>
          <w:szCs w:val="22"/>
        </w:rPr>
        <w:t xml:space="preserve"> las</w:t>
      </w:r>
      <w:r w:rsidRPr="008E2EBD">
        <w:rPr>
          <w:rFonts w:ascii="Palatino Linotype" w:hAnsi="Palatino Linotype"/>
          <w:b/>
          <w:bCs/>
          <w:sz w:val="22"/>
          <w:szCs w:val="22"/>
        </w:rPr>
        <w:t xml:space="preserve"> </w:t>
      </w:r>
      <w:r w:rsidRPr="008E2EBD">
        <w:rPr>
          <w:rFonts w:ascii="Palatino Linotype" w:hAnsi="Palatino Linotype"/>
          <w:sz w:val="22"/>
          <w:szCs w:val="22"/>
        </w:rPr>
        <w:t xml:space="preserve">razones o motivos de inconformidad hechos valer por la parte </w:t>
      </w:r>
      <w:r w:rsidRPr="008E2EBD">
        <w:rPr>
          <w:rFonts w:ascii="Palatino Linotype" w:hAnsi="Palatino Linotype"/>
          <w:b/>
          <w:bCs/>
          <w:sz w:val="22"/>
          <w:szCs w:val="22"/>
        </w:rPr>
        <w:t>Recurrente</w:t>
      </w:r>
      <w:r w:rsidRPr="008E2EBD">
        <w:rPr>
          <w:rFonts w:ascii="Palatino Linotype" w:hAnsi="Palatino Linotype"/>
          <w:sz w:val="22"/>
          <w:szCs w:val="22"/>
        </w:rPr>
        <w:t xml:space="preserve"> en el Recurso de Revisión </w:t>
      </w:r>
      <w:r w:rsidRPr="008E2EBD">
        <w:rPr>
          <w:rFonts w:ascii="Palatino Linotype" w:eastAsia="Palatino Linotype" w:hAnsi="Palatino Linotype" w:cs="Palatino Linotype"/>
          <w:b/>
          <w:sz w:val="22"/>
          <w:szCs w:val="22"/>
        </w:rPr>
        <w:t>07404/INFOEM/IP/RR/2025</w:t>
      </w:r>
      <w:r w:rsidRPr="008E2EBD">
        <w:rPr>
          <w:rFonts w:ascii="Palatino Linotype" w:hAnsi="Palatino Linotype"/>
          <w:b/>
          <w:bCs/>
          <w:sz w:val="22"/>
          <w:szCs w:val="22"/>
        </w:rPr>
        <w:t xml:space="preserve"> </w:t>
      </w:r>
      <w:r w:rsidRPr="008E2EBD">
        <w:rPr>
          <w:rFonts w:ascii="Palatino Linotype" w:hAnsi="Palatino Linotype"/>
          <w:sz w:val="22"/>
          <w:szCs w:val="22"/>
        </w:rPr>
        <w:t xml:space="preserve">por lo que, en términos del Considerando </w:t>
      </w:r>
      <w:r w:rsidRPr="008E2EBD">
        <w:rPr>
          <w:rFonts w:ascii="Palatino Linotype" w:hAnsi="Palatino Linotype"/>
          <w:b/>
          <w:bCs/>
          <w:sz w:val="22"/>
          <w:szCs w:val="22"/>
        </w:rPr>
        <w:t>Cuarto</w:t>
      </w:r>
      <w:r w:rsidRPr="008E2EBD">
        <w:rPr>
          <w:rFonts w:ascii="Palatino Linotype" w:hAnsi="Palatino Linotype"/>
          <w:sz w:val="22"/>
          <w:szCs w:val="22"/>
        </w:rPr>
        <w:t xml:space="preserve"> de la presente resolución se </w:t>
      </w:r>
      <w:r w:rsidRPr="008E2EBD">
        <w:rPr>
          <w:rFonts w:ascii="Palatino Linotype" w:hAnsi="Palatino Linotype"/>
          <w:b/>
          <w:bCs/>
          <w:sz w:val="22"/>
          <w:szCs w:val="22"/>
        </w:rPr>
        <w:t xml:space="preserve">Confirma </w:t>
      </w:r>
      <w:r w:rsidRPr="008E2EBD">
        <w:rPr>
          <w:rFonts w:ascii="Palatino Linotype" w:hAnsi="Palatino Linotype"/>
          <w:sz w:val="22"/>
          <w:szCs w:val="22"/>
        </w:rPr>
        <w:t xml:space="preserve">la respuesta emitida por el </w:t>
      </w:r>
      <w:r w:rsidRPr="008E2EBD">
        <w:rPr>
          <w:rFonts w:ascii="Palatino Linotype" w:hAnsi="Palatino Linotype"/>
          <w:b/>
          <w:bCs/>
          <w:sz w:val="22"/>
          <w:szCs w:val="22"/>
        </w:rPr>
        <w:t>Sujeto Obligado. </w:t>
      </w:r>
    </w:p>
    <w:p w14:paraId="2D1EBBE6" w14:textId="77777777" w:rsidR="006670FA" w:rsidRPr="008E2EBD" w:rsidRDefault="006670FA" w:rsidP="006670FA">
      <w:pPr>
        <w:spacing w:before="240" w:after="240" w:line="360" w:lineRule="auto"/>
        <w:ind w:right="51"/>
        <w:jc w:val="both"/>
        <w:rPr>
          <w:rFonts w:ascii="Palatino Linotype" w:hAnsi="Palatino Linotype"/>
          <w:sz w:val="22"/>
          <w:szCs w:val="22"/>
        </w:rPr>
      </w:pPr>
      <w:r w:rsidRPr="008E2EBD">
        <w:rPr>
          <w:rFonts w:ascii="Palatino Linotype" w:hAnsi="Palatino Linotype"/>
          <w:b/>
          <w:bCs/>
          <w:sz w:val="22"/>
          <w:szCs w:val="22"/>
        </w:rPr>
        <w:t>Segundo. Notifíquese vía SAIMEX</w:t>
      </w:r>
      <w:r w:rsidRPr="008E2EBD">
        <w:rPr>
          <w:rFonts w:ascii="Palatino Linotype" w:hAnsi="Palatino Linotype"/>
          <w:sz w:val="22"/>
          <w:szCs w:val="22"/>
        </w:rPr>
        <w:t xml:space="preserve">, la presente resolución al Titular de la Unidad de Transparencia del </w:t>
      </w:r>
      <w:r w:rsidRPr="008E2EBD">
        <w:rPr>
          <w:rFonts w:ascii="Palatino Linotype" w:hAnsi="Palatino Linotype"/>
          <w:b/>
          <w:bCs/>
          <w:sz w:val="22"/>
          <w:szCs w:val="22"/>
        </w:rPr>
        <w:t>Sujeto Obligado</w:t>
      </w:r>
      <w:r w:rsidRPr="008E2EBD">
        <w:rPr>
          <w:rFonts w:ascii="Palatino Linotype" w:hAnsi="Palatino Linotype"/>
          <w:sz w:val="22"/>
          <w:szCs w:val="22"/>
        </w:rPr>
        <w:t>, para su conocimiento.</w:t>
      </w:r>
    </w:p>
    <w:p w14:paraId="0F1B409F" w14:textId="723A2B0C" w:rsidR="006670FA" w:rsidRPr="008E2EBD" w:rsidRDefault="006670FA" w:rsidP="006670FA">
      <w:pPr>
        <w:spacing w:before="240" w:after="240" w:line="360" w:lineRule="auto"/>
        <w:ind w:right="49"/>
        <w:jc w:val="both"/>
        <w:rPr>
          <w:rFonts w:ascii="Palatino Linotype" w:hAnsi="Palatino Linotype"/>
          <w:sz w:val="22"/>
          <w:szCs w:val="22"/>
        </w:rPr>
      </w:pPr>
      <w:r w:rsidRPr="008E2EBD">
        <w:rPr>
          <w:rFonts w:ascii="Palatino Linotype" w:hAnsi="Palatino Linotype"/>
          <w:b/>
          <w:bCs/>
          <w:sz w:val="22"/>
          <w:szCs w:val="22"/>
        </w:rPr>
        <w:t>Tercero. Notifíquese vía SAIMEX</w:t>
      </w:r>
      <w:r w:rsidRPr="008E2EBD">
        <w:rPr>
          <w:rFonts w:ascii="Palatino Linotype" w:hAnsi="Palatino Linotype"/>
          <w:sz w:val="22"/>
          <w:szCs w:val="22"/>
        </w:rPr>
        <w:t>,</w:t>
      </w:r>
      <w:r w:rsidRPr="008E2EBD">
        <w:rPr>
          <w:rFonts w:ascii="Palatino Linotype" w:hAnsi="Palatino Linotype"/>
          <w:b/>
          <w:bCs/>
          <w:sz w:val="22"/>
          <w:szCs w:val="22"/>
        </w:rPr>
        <w:t xml:space="preserve"> </w:t>
      </w:r>
      <w:r w:rsidRPr="008E2EBD">
        <w:rPr>
          <w:rFonts w:ascii="Palatino Linotype" w:hAnsi="Palatino Linotype"/>
          <w:sz w:val="22"/>
          <w:szCs w:val="22"/>
        </w:rPr>
        <w:t xml:space="preserve">a la parte </w:t>
      </w:r>
      <w:r w:rsidRPr="008E2EBD">
        <w:rPr>
          <w:rFonts w:ascii="Palatino Linotype" w:hAnsi="Palatino Linotype"/>
          <w:b/>
          <w:bCs/>
          <w:sz w:val="22"/>
          <w:szCs w:val="22"/>
        </w:rPr>
        <w:t>Recurrente</w:t>
      </w:r>
      <w:r w:rsidRPr="008E2EBD">
        <w:rPr>
          <w:rFonts w:ascii="Palatino Linotype" w:hAnsi="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 </w:t>
      </w:r>
    </w:p>
    <w:p w14:paraId="3C927228" w14:textId="77777777" w:rsidR="00AB2955" w:rsidRPr="008E2EBD" w:rsidRDefault="00AB2955" w:rsidP="006670FA">
      <w:pPr>
        <w:spacing w:before="240" w:after="240" w:line="360" w:lineRule="auto"/>
        <w:ind w:right="49"/>
        <w:jc w:val="both"/>
        <w:rPr>
          <w:rFonts w:ascii="Palatino Linotype" w:hAnsi="Palatino Linotype"/>
          <w:sz w:val="22"/>
          <w:szCs w:val="22"/>
        </w:rPr>
      </w:pPr>
    </w:p>
    <w:p w14:paraId="34F6FF42" w14:textId="1D9DB55E" w:rsidR="006670FA" w:rsidRPr="00AB2955" w:rsidRDefault="006670FA" w:rsidP="006670FA">
      <w:pPr>
        <w:spacing w:line="360" w:lineRule="auto"/>
        <w:jc w:val="both"/>
        <w:rPr>
          <w:rFonts w:ascii="Palatino Linotype" w:eastAsia="Palatino Linotype" w:hAnsi="Palatino Linotype" w:cs="Palatino Linotype"/>
          <w:sz w:val="22"/>
          <w:szCs w:val="22"/>
        </w:rPr>
      </w:pPr>
      <w:r w:rsidRPr="008E2EBD">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FA1FA8" w:rsidRPr="008E2EBD">
        <w:rPr>
          <w:rFonts w:ascii="Palatino Linotype" w:eastAsia="Palatino Linotype" w:hAnsi="Palatino Linotype" w:cs="Palatino Linotype"/>
          <w:sz w:val="22"/>
          <w:szCs w:val="22"/>
        </w:rPr>
        <w:t xml:space="preserve"> (AUSENCIA JUSTIFICADA)</w:t>
      </w:r>
      <w:r w:rsidRPr="008E2EBD">
        <w:rPr>
          <w:rFonts w:ascii="Palatino Linotype" w:eastAsia="Palatino Linotype" w:hAnsi="Palatino Linotype" w:cs="Palatino Linotype"/>
          <w:sz w:val="22"/>
          <w:szCs w:val="22"/>
        </w:rPr>
        <w:t>, SHARON CRISTINA MORALES MARTÍNEZ, LUIS GUSTAVO PARRA NORIEGA Y GUADALUPE RAMÍREZ PEÑA; EN LA TRIGÉSIMA NOVENA SESIÓN ORDINARIA CELEBRADA EL CINCO DE NOVIEMBRE DE DOS MIL VEINTICINCO, ANTE EL SECRETARIO TÉCNICO DEL PLENO ALEXIS TAPIA RAMÍREZ.</w:t>
      </w:r>
      <w:r w:rsidRPr="00AB2955">
        <w:rPr>
          <w:rFonts w:ascii="Palatino Linotype" w:eastAsia="Palatino Linotype" w:hAnsi="Palatino Linotype" w:cs="Palatino Linotype"/>
          <w:sz w:val="22"/>
          <w:szCs w:val="22"/>
        </w:rPr>
        <w:t xml:space="preserve">           </w:t>
      </w:r>
    </w:p>
    <w:p w14:paraId="0069893C" w14:textId="77777777" w:rsidR="006670FA" w:rsidRPr="00AB2955" w:rsidRDefault="006670FA" w:rsidP="006670FA">
      <w:pPr>
        <w:spacing w:line="360" w:lineRule="auto"/>
        <w:jc w:val="both"/>
        <w:rPr>
          <w:rFonts w:ascii="Palatino Linotype" w:eastAsia="Palatino Linotype" w:hAnsi="Palatino Linotype" w:cs="Palatino Linotype"/>
          <w:sz w:val="22"/>
          <w:szCs w:val="22"/>
        </w:rPr>
      </w:pPr>
    </w:p>
    <w:p w14:paraId="6BC27FCA" w14:textId="77777777" w:rsidR="006670FA" w:rsidRPr="00AB2955" w:rsidRDefault="006670FA" w:rsidP="006670FA">
      <w:pPr>
        <w:spacing w:line="360" w:lineRule="auto"/>
        <w:jc w:val="both"/>
        <w:rPr>
          <w:rFonts w:ascii="Palatino Linotype" w:eastAsia="Palatino Linotype" w:hAnsi="Palatino Linotype" w:cs="Palatino Linotype"/>
          <w:sz w:val="22"/>
          <w:szCs w:val="22"/>
        </w:rPr>
      </w:pPr>
    </w:p>
    <w:p w14:paraId="1FAD53AD" w14:textId="77777777" w:rsidR="006670FA" w:rsidRPr="00AB2955" w:rsidRDefault="006670FA" w:rsidP="006670FA">
      <w:pPr>
        <w:spacing w:line="360" w:lineRule="auto"/>
        <w:jc w:val="both"/>
        <w:rPr>
          <w:rFonts w:ascii="Palatino Linotype" w:eastAsia="Palatino Linotype" w:hAnsi="Palatino Linotype" w:cs="Palatino Linotype"/>
          <w:sz w:val="22"/>
          <w:szCs w:val="22"/>
        </w:rPr>
      </w:pPr>
    </w:p>
    <w:p w14:paraId="576FE1B2" w14:textId="77777777" w:rsidR="006670FA" w:rsidRPr="00AB2955" w:rsidRDefault="006670FA" w:rsidP="006670FA">
      <w:pPr>
        <w:spacing w:line="360" w:lineRule="auto"/>
        <w:jc w:val="both"/>
        <w:rPr>
          <w:rFonts w:ascii="Palatino Linotype" w:eastAsia="Palatino Linotype" w:hAnsi="Palatino Linotype" w:cs="Palatino Linotype"/>
          <w:sz w:val="22"/>
          <w:szCs w:val="22"/>
        </w:rPr>
      </w:pPr>
    </w:p>
    <w:p w14:paraId="7A325F4C" w14:textId="77777777" w:rsidR="006670FA" w:rsidRPr="00AB2955" w:rsidRDefault="006670FA" w:rsidP="006670FA">
      <w:pPr>
        <w:spacing w:line="360" w:lineRule="auto"/>
        <w:jc w:val="both"/>
        <w:rPr>
          <w:rFonts w:ascii="Palatino Linotype" w:eastAsia="Palatino Linotype" w:hAnsi="Palatino Linotype" w:cs="Palatino Linotype"/>
          <w:sz w:val="22"/>
          <w:szCs w:val="22"/>
        </w:rPr>
      </w:pPr>
    </w:p>
    <w:p w14:paraId="797EED8D" w14:textId="77777777" w:rsidR="006670FA" w:rsidRPr="00AB2955" w:rsidRDefault="006670FA" w:rsidP="006670FA">
      <w:pPr>
        <w:spacing w:line="360" w:lineRule="auto"/>
        <w:jc w:val="both"/>
        <w:rPr>
          <w:rFonts w:ascii="Palatino Linotype" w:eastAsia="Palatino Linotype" w:hAnsi="Palatino Linotype" w:cs="Palatino Linotype"/>
          <w:sz w:val="22"/>
          <w:szCs w:val="22"/>
        </w:rPr>
      </w:pPr>
    </w:p>
    <w:p w14:paraId="156C3FAC" w14:textId="77777777" w:rsidR="006670FA" w:rsidRPr="00AB2955" w:rsidRDefault="006670FA" w:rsidP="006670FA">
      <w:pPr>
        <w:spacing w:line="360" w:lineRule="auto"/>
        <w:jc w:val="both"/>
        <w:rPr>
          <w:rFonts w:ascii="Palatino Linotype" w:eastAsia="Palatino Linotype" w:hAnsi="Palatino Linotype" w:cs="Palatino Linotype"/>
          <w:sz w:val="22"/>
          <w:szCs w:val="22"/>
        </w:rPr>
      </w:pPr>
    </w:p>
    <w:p w14:paraId="74D3704A" w14:textId="77777777" w:rsidR="006670FA" w:rsidRPr="00AB2955" w:rsidRDefault="006670FA" w:rsidP="006670FA">
      <w:pPr>
        <w:spacing w:line="360" w:lineRule="auto"/>
        <w:jc w:val="both"/>
        <w:rPr>
          <w:rFonts w:ascii="Palatino Linotype" w:eastAsia="Palatino Linotype" w:hAnsi="Palatino Linotype" w:cs="Palatino Linotype"/>
          <w:sz w:val="22"/>
          <w:szCs w:val="22"/>
        </w:rPr>
      </w:pPr>
    </w:p>
    <w:p w14:paraId="6E87B9AC" w14:textId="77777777" w:rsidR="006670FA" w:rsidRPr="00AB2955" w:rsidRDefault="006670FA" w:rsidP="006670FA">
      <w:pPr>
        <w:spacing w:line="360" w:lineRule="auto"/>
        <w:jc w:val="both"/>
        <w:rPr>
          <w:rFonts w:ascii="Palatino Linotype" w:eastAsia="Palatino Linotype" w:hAnsi="Palatino Linotype" w:cs="Palatino Linotype"/>
          <w:sz w:val="22"/>
          <w:szCs w:val="22"/>
        </w:rPr>
      </w:pPr>
    </w:p>
    <w:p w14:paraId="67EADFD0" w14:textId="77777777" w:rsidR="006670FA" w:rsidRPr="00AB2955" w:rsidRDefault="006670FA" w:rsidP="006670FA">
      <w:pPr>
        <w:spacing w:line="360" w:lineRule="auto"/>
        <w:jc w:val="both"/>
        <w:rPr>
          <w:rFonts w:ascii="Palatino Linotype" w:eastAsia="Palatino Linotype" w:hAnsi="Palatino Linotype" w:cs="Palatino Linotype"/>
          <w:sz w:val="22"/>
          <w:szCs w:val="22"/>
        </w:rPr>
      </w:pPr>
    </w:p>
    <w:p w14:paraId="389910CB" w14:textId="77777777" w:rsidR="006670FA" w:rsidRPr="00AB2955" w:rsidRDefault="006670FA" w:rsidP="006670FA">
      <w:pPr>
        <w:spacing w:line="360" w:lineRule="auto"/>
        <w:jc w:val="both"/>
        <w:rPr>
          <w:rFonts w:ascii="Palatino Linotype" w:eastAsia="Palatino Linotype" w:hAnsi="Palatino Linotype" w:cs="Palatino Linotype"/>
          <w:sz w:val="22"/>
          <w:szCs w:val="22"/>
        </w:rPr>
      </w:pPr>
    </w:p>
    <w:p w14:paraId="63261A9A" w14:textId="77777777" w:rsidR="006670FA" w:rsidRPr="00AB2955" w:rsidRDefault="006670FA" w:rsidP="006670FA">
      <w:pPr>
        <w:spacing w:line="360" w:lineRule="auto"/>
        <w:jc w:val="both"/>
        <w:rPr>
          <w:rFonts w:ascii="Palatino Linotype" w:eastAsia="Palatino Linotype" w:hAnsi="Palatino Linotype" w:cs="Palatino Linotype"/>
          <w:sz w:val="22"/>
          <w:szCs w:val="22"/>
        </w:rPr>
      </w:pPr>
    </w:p>
    <w:p w14:paraId="47D78480" w14:textId="77777777" w:rsidR="006670FA" w:rsidRPr="00AB2955" w:rsidRDefault="006670FA" w:rsidP="006670FA">
      <w:pPr>
        <w:spacing w:line="360" w:lineRule="auto"/>
        <w:jc w:val="both"/>
        <w:rPr>
          <w:rFonts w:ascii="Palatino Linotype" w:eastAsia="Palatino Linotype" w:hAnsi="Palatino Linotype" w:cs="Palatino Linotype"/>
          <w:sz w:val="22"/>
          <w:szCs w:val="22"/>
        </w:rPr>
      </w:pPr>
    </w:p>
    <w:p w14:paraId="3202F453" w14:textId="77777777" w:rsidR="006670FA" w:rsidRPr="00AB2955" w:rsidRDefault="006670FA" w:rsidP="006670FA">
      <w:pPr>
        <w:spacing w:line="360" w:lineRule="auto"/>
        <w:jc w:val="both"/>
        <w:rPr>
          <w:rFonts w:ascii="Palatino Linotype" w:eastAsia="Palatino Linotype" w:hAnsi="Palatino Linotype" w:cs="Palatino Linotype"/>
          <w:sz w:val="22"/>
          <w:szCs w:val="22"/>
        </w:rPr>
      </w:pPr>
    </w:p>
    <w:p w14:paraId="3663D51E" w14:textId="77777777" w:rsidR="006670FA" w:rsidRPr="00AB2955" w:rsidRDefault="006670FA" w:rsidP="006670FA">
      <w:pPr>
        <w:spacing w:line="360" w:lineRule="auto"/>
        <w:jc w:val="both"/>
        <w:rPr>
          <w:rFonts w:ascii="Palatino Linotype" w:eastAsia="Palatino Linotype" w:hAnsi="Palatino Linotype" w:cs="Palatino Linotype"/>
          <w:sz w:val="22"/>
          <w:szCs w:val="22"/>
        </w:rPr>
      </w:pPr>
    </w:p>
    <w:p w14:paraId="2EF3A5E2" w14:textId="77777777" w:rsidR="006670FA" w:rsidRPr="00AB2955" w:rsidRDefault="006670FA" w:rsidP="006670FA">
      <w:pPr>
        <w:spacing w:line="360" w:lineRule="auto"/>
        <w:jc w:val="both"/>
        <w:rPr>
          <w:rFonts w:ascii="Palatino Linotype" w:eastAsia="Palatino Linotype" w:hAnsi="Palatino Linotype" w:cs="Palatino Linotype"/>
          <w:sz w:val="22"/>
          <w:szCs w:val="22"/>
        </w:rPr>
      </w:pPr>
    </w:p>
    <w:p w14:paraId="542F9B9A" w14:textId="77777777" w:rsidR="006670FA" w:rsidRPr="00AB2955" w:rsidRDefault="006670FA" w:rsidP="006670FA">
      <w:pPr>
        <w:spacing w:line="360" w:lineRule="auto"/>
        <w:jc w:val="both"/>
        <w:rPr>
          <w:rFonts w:ascii="Palatino Linotype" w:eastAsia="Palatino Linotype" w:hAnsi="Palatino Linotype" w:cs="Palatino Linotype"/>
          <w:sz w:val="22"/>
          <w:szCs w:val="22"/>
        </w:rPr>
      </w:pPr>
    </w:p>
    <w:p w14:paraId="41714E3E" w14:textId="77777777" w:rsidR="006670FA" w:rsidRPr="00AB2955" w:rsidRDefault="006670FA" w:rsidP="006670FA">
      <w:pPr>
        <w:spacing w:line="360" w:lineRule="auto"/>
        <w:jc w:val="both"/>
        <w:rPr>
          <w:rFonts w:ascii="Palatino Linotype" w:eastAsia="Palatino Linotype" w:hAnsi="Palatino Linotype" w:cs="Palatino Linotype"/>
          <w:sz w:val="22"/>
          <w:szCs w:val="22"/>
        </w:rPr>
      </w:pPr>
    </w:p>
    <w:p w14:paraId="32D37E8F" w14:textId="77777777" w:rsidR="006670FA" w:rsidRPr="00AB2955" w:rsidRDefault="006670FA" w:rsidP="006670FA">
      <w:pPr>
        <w:spacing w:line="360" w:lineRule="auto"/>
        <w:jc w:val="both"/>
        <w:rPr>
          <w:rFonts w:ascii="Palatino Linotype" w:eastAsia="Palatino Linotype" w:hAnsi="Palatino Linotype" w:cs="Palatino Linotype"/>
          <w:sz w:val="22"/>
          <w:szCs w:val="22"/>
        </w:rPr>
      </w:pPr>
    </w:p>
    <w:p w14:paraId="76AB0C36" w14:textId="77777777" w:rsidR="006670FA" w:rsidRPr="00AB2955" w:rsidRDefault="006670FA" w:rsidP="006670FA">
      <w:pPr>
        <w:spacing w:line="360" w:lineRule="auto"/>
        <w:jc w:val="both"/>
        <w:rPr>
          <w:rFonts w:ascii="Palatino Linotype" w:eastAsia="Palatino Linotype" w:hAnsi="Palatino Linotype" w:cs="Palatino Linotype"/>
          <w:sz w:val="22"/>
          <w:szCs w:val="22"/>
        </w:rPr>
      </w:pPr>
    </w:p>
    <w:sectPr w:rsidR="006670FA" w:rsidRPr="00AB2955">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C3DEF" w14:textId="77777777" w:rsidR="00D60E2C" w:rsidRDefault="00D60E2C">
      <w:r>
        <w:separator/>
      </w:r>
    </w:p>
  </w:endnote>
  <w:endnote w:type="continuationSeparator" w:id="0">
    <w:p w14:paraId="2D10EE4B" w14:textId="77777777" w:rsidR="00D60E2C" w:rsidRDefault="00D60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0A8A3" w14:textId="39E13B10" w:rsidR="00FA33C9" w:rsidRDefault="00FA33C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C6745">
      <w:rPr>
        <w:b/>
        <w:noProof/>
        <w:color w:val="000000"/>
      </w:rPr>
      <w:t>20</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C6745">
      <w:rPr>
        <w:b/>
        <w:noProof/>
        <w:color w:val="000000"/>
      </w:rPr>
      <w:t>34</w:t>
    </w:r>
    <w:r>
      <w:rPr>
        <w:b/>
        <w:color w:val="000000"/>
      </w:rPr>
      <w:fldChar w:fldCharType="end"/>
    </w:r>
  </w:p>
  <w:p w14:paraId="7F222D68" w14:textId="77777777" w:rsidR="00FA33C9" w:rsidRDefault="00FA33C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1F891" w14:textId="243B3493" w:rsidR="00FA33C9" w:rsidRDefault="00FA33C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C6745">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C6745">
      <w:rPr>
        <w:b/>
        <w:noProof/>
        <w:color w:val="000000"/>
      </w:rPr>
      <w:t>34</w:t>
    </w:r>
    <w:r>
      <w:rPr>
        <w:b/>
        <w:color w:val="000000"/>
      </w:rPr>
      <w:fldChar w:fldCharType="end"/>
    </w:r>
  </w:p>
  <w:p w14:paraId="7769A133" w14:textId="77777777" w:rsidR="00FA33C9" w:rsidRDefault="00FA33C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7AB13" w14:textId="77777777" w:rsidR="00D60E2C" w:rsidRDefault="00D60E2C">
      <w:r>
        <w:separator/>
      </w:r>
    </w:p>
  </w:footnote>
  <w:footnote w:type="continuationSeparator" w:id="0">
    <w:p w14:paraId="5203BE88" w14:textId="77777777" w:rsidR="00D60E2C" w:rsidRDefault="00D60E2C">
      <w:r>
        <w:continuationSeparator/>
      </w:r>
    </w:p>
  </w:footnote>
  <w:footnote w:id="1">
    <w:p w14:paraId="4F8037C1" w14:textId="77777777" w:rsidR="00FA33C9" w:rsidRDefault="00FA33C9" w:rsidP="003D7DDF">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2">
    <w:p w14:paraId="04E7D44A" w14:textId="77777777" w:rsidR="00FA33C9" w:rsidRDefault="00FA33C9" w:rsidP="003D7DDF">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3">
    <w:p w14:paraId="4CC7C0F2" w14:textId="77777777" w:rsidR="00FA33C9" w:rsidRDefault="00FA33C9" w:rsidP="003D7DDF">
      <w:pPr>
        <w:spacing w:after="120" w:line="196" w:lineRule="auto"/>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VILLANUEVA </w:t>
      </w:r>
      <w:proofErr w:type="spellStart"/>
      <w:r>
        <w:rPr>
          <w:rFonts w:ascii="Palatino Linotype" w:eastAsia="Palatino Linotype" w:hAnsi="Palatino Linotype" w:cs="Palatino Linotype"/>
          <w:color w:val="000000"/>
          <w:sz w:val="16"/>
          <w:szCs w:val="16"/>
        </w:rPr>
        <w:t>VILLANUEVA</w:t>
      </w:r>
      <w:proofErr w:type="spellEnd"/>
      <w:r>
        <w:rPr>
          <w:rFonts w:ascii="Palatino Linotype" w:eastAsia="Palatino Linotype" w:hAnsi="Palatino Linotype" w:cs="Palatino Linotype"/>
          <w:color w:val="000000"/>
          <w:sz w:val="16"/>
          <w:szCs w:val="16"/>
        </w:rPr>
        <w:t xml:space="preserve"> Ernesto, Derecho de la Información, Ed, Porrúa S.A., México. 2006, pág.270.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B2AAC" w14:textId="77777777" w:rsidR="00FA33C9" w:rsidRDefault="00FA33C9">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28D04B6F" wp14:editId="59EAA3A2">
          <wp:simplePos x="0" y="0"/>
          <wp:positionH relativeFrom="column">
            <wp:posOffset>0</wp:posOffset>
          </wp:positionH>
          <wp:positionV relativeFrom="paragraph">
            <wp:posOffset>-401953</wp:posOffset>
          </wp:positionV>
          <wp:extent cx="7809876" cy="10165823"/>
          <wp:effectExtent l="0" t="0" r="0" b="0"/>
          <wp:wrapNone/>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6"/>
      <w:tblW w:w="5603" w:type="dxa"/>
      <w:tblInd w:w="3611" w:type="dxa"/>
      <w:tblLayout w:type="fixed"/>
      <w:tblLook w:val="0400" w:firstRow="0" w:lastRow="0" w:firstColumn="0" w:lastColumn="0" w:noHBand="0" w:noVBand="1"/>
    </w:tblPr>
    <w:tblGrid>
      <w:gridCol w:w="2551"/>
      <w:gridCol w:w="3052"/>
    </w:tblGrid>
    <w:tr w:rsidR="00FA33C9" w14:paraId="0AB6135D" w14:textId="77777777">
      <w:tc>
        <w:tcPr>
          <w:tcW w:w="2551" w:type="dxa"/>
          <w:vAlign w:val="center"/>
        </w:tcPr>
        <w:p w14:paraId="14910997" w14:textId="77777777" w:rsidR="00FA33C9" w:rsidRDefault="00FA33C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1B299823" w14:textId="77777777" w:rsidR="00FA33C9" w:rsidRDefault="00FA33C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25BE259F" w14:textId="77777777" w:rsidR="00FA33C9" w:rsidRDefault="00FA33C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07404/INFOEM/IP/RR/2025</w:t>
          </w:r>
        </w:p>
      </w:tc>
    </w:tr>
    <w:tr w:rsidR="00FA33C9" w14:paraId="55DB2631" w14:textId="77777777">
      <w:trPr>
        <w:trHeight w:val="217"/>
      </w:trPr>
      <w:tc>
        <w:tcPr>
          <w:tcW w:w="2551" w:type="dxa"/>
          <w:vAlign w:val="center"/>
        </w:tcPr>
        <w:p w14:paraId="06119F05" w14:textId="77777777" w:rsidR="00FA33C9" w:rsidRDefault="00FA33C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6D0E3A30" w14:textId="77777777" w:rsidR="00FA33C9" w:rsidRDefault="00FA33C9">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z w:val="22"/>
              <w:szCs w:val="22"/>
            </w:rPr>
            <w:t>Sistema Municipal para el Desarrollo Integral de la Familia de Lerma</w:t>
          </w:r>
        </w:p>
      </w:tc>
    </w:tr>
    <w:tr w:rsidR="00FA33C9" w14:paraId="0CDF61E7" w14:textId="77777777">
      <w:tc>
        <w:tcPr>
          <w:tcW w:w="2551" w:type="dxa"/>
          <w:vAlign w:val="center"/>
        </w:tcPr>
        <w:p w14:paraId="53550F39" w14:textId="77777777" w:rsidR="00FA33C9" w:rsidRDefault="00FA33C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0135ED5B" w14:textId="77777777" w:rsidR="00FA33C9" w:rsidRDefault="00FA33C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70BB83FA" w14:textId="77777777" w:rsidR="00FA33C9" w:rsidRDefault="00FA33C9">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43C08" w14:textId="77777777" w:rsidR="00FA33C9" w:rsidRDefault="00FA33C9">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1994748A" wp14:editId="6F47A12E">
          <wp:simplePos x="0" y="0"/>
          <wp:positionH relativeFrom="column">
            <wp:posOffset>-929004</wp:posOffset>
          </wp:positionH>
          <wp:positionV relativeFrom="paragraph">
            <wp:posOffset>-644524</wp:posOffset>
          </wp:positionV>
          <wp:extent cx="7809865" cy="10165715"/>
          <wp:effectExtent l="0" t="0" r="0" b="0"/>
          <wp:wrapNone/>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603" w:type="dxa"/>
      <w:tblInd w:w="3611" w:type="dxa"/>
      <w:tblLayout w:type="fixed"/>
      <w:tblLook w:val="0400" w:firstRow="0" w:lastRow="0" w:firstColumn="0" w:lastColumn="0" w:noHBand="0" w:noVBand="1"/>
    </w:tblPr>
    <w:tblGrid>
      <w:gridCol w:w="2551"/>
      <w:gridCol w:w="3052"/>
    </w:tblGrid>
    <w:tr w:rsidR="00FA33C9" w14:paraId="57E9F2A1" w14:textId="77777777">
      <w:tc>
        <w:tcPr>
          <w:tcW w:w="2551" w:type="dxa"/>
          <w:vAlign w:val="center"/>
        </w:tcPr>
        <w:p w14:paraId="274FEBB4" w14:textId="77777777" w:rsidR="00FA33C9" w:rsidRDefault="00FA33C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40122857" w14:textId="77777777" w:rsidR="00FA33C9" w:rsidRDefault="00FA33C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13A2642E" w14:textId="77777777" w:rsidR="00FA33C9" w:rsidRDefault="00FA33C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07404/INFOEM/IP/RR/2025</w:t>
          </w:r>
        </w:p>
      </w:tc>
    </w:tr>
    <w:tr w:rsidR="00FA33C9" w14:paraId="557749F9" w14:textId="77777777">
      <w:tc>
        <w:tcPr>
          <w:tcW w:w="2551" w:type="dxa"/>
          <w:vAlign w:val="center"/>
        </w:tcPr>
        <w:p w14:paraId="450DF3FD" w14:textId="77777777" w:rsidR="00FA33C9" w:rsidRDefault="00FA33C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43560129" w14:textId="308DE480" w:rsidR="00FA33C9" w:rsidRDefault="00FA33C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XX</w:t>
          </w:r>
          <w:r w:rsidR="00EC6745">
            <w:rPr>
              <w:rFonts w:ascii="Palatino Linotype" w:eastAsia="Palatino Linotype" w:hAnsi="Palatino Linotype" w:cs="Palatino Linotype"/>
              <w:b/>
              <w:color w:val="000000"/>
              <w:sz w:val="20"/>
              <w:szCs w:val="20"/>
            </w:rPr>
            <w:t>X</w:t>
          </w:r>
          <w:r>
            <w:rPr>
              <w:rFonts w:ascii="Palatino Linotype" w:eastAsia="Palatino Linotype" w:hAnsi="Palatino Linotype" w:cs="Palatino Linotype"/>
              <w:b/>
              <w:color w:val="000000"/>
              <w:sz w:val="20"/>
              <w:szCs w:val="20"/>
            </w:rPr>
            <w:t>X X</w:t>
          </w:r>
          <w:r w:rsidR="00EC6745">
            <w:rPr>
              <w:rFonts w:ascii="Palatino Linotype" w:eastAsia="Palatino Linotype" w:hAnsi="Palatino Linotype" w:cs="Palatino Linotype"/>
              <w:b/>
              <w:color w:val="000000"/>
              <w:sz w:val="20"/>
              <w:szCs w:val="20"/>
            </w:rPr>
            <w:t>X</w:t>
          </w:r>
          <w:r>
            <w:rPr>
              <w:rFonts w:ascii="Palatino Linotype" w:eastAsia="Palatino Linotype" w:hAnsi="Palatino Linotype" w:cs="Palatino Linotype"/>
              <w:b/>
              <w:color w:val="000000"/>
              <w:sz w:val="20"/>
              <w:szCs w:val="20"/>
            </w:rPr>
            <w:t>X X</w:t>
          </w:r>
          <w:r w:rsidR="00EC6745">
            <w:rPr>
              <w:rFonts w:ascii="Palatino Linotype" w:eastAsia="Palatino Linotype" w:hAnsi="Palatino Linotype" w:cs="Palatino Linotype"/>
              <w:b/>
              <w:color w:val="000000"/>
              <w:sz w:val="20"/>
              <w:szCs w:val="20"/>
            </w:rPr>
            <w:t>XX</w:t>
          </w:r>
          <w:r>
            <w:rPr>
              <w:rFonts w:ascii="Palatino Linotype" w:eastAsia="Palatino Linotype" w:hAnsi="Palatino Linotype" w:cs="Palatino Linotype"/>
              <w:b/>
              <w:color w:val="000000"/>
              <w:sz w:val="20"/>
              <w:szCs w:val="20"/>
            </w:rPr>
            <w:t>X</w:t>
          </w:r>
        </w:p>
      </w:tc>
    </w:tr>
    <w:tr w:rsidR="00FA33C9" w14:paraId="3F4774BB" w14:textId="77777777">
      <w:trPr>
        <w:trHeight w:val="152"/>
      </w:trPr>
      <w:tc>
        <w:tcPr>
          <w:tcW w:w="2551" w:type="dxa"/>
          <w:vAlign w:val="center"/>
        </w:tcPr>
        <w:p w14:paraId="5C5DCB9E" w14:textId="77777777" w:rsidR="00FA33C9" w:rsidRDefault="00FA33C9">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15595766" w14:textId="77777777" w:rsidR="00FA33C9" w:rsidRDefault="00FA33C9">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1F7AA638" w14:textId="77777777" w:rsidR="00FA33C9" w:rsidRDefault="00FA33C9">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sz w:val="22"/>
              <w:szCs w:val="22"/>
            </w:rPr>
            <w:t>Sistema Municipal para el Desarrollo Integral de la Familia de Lerma</w:t>
          </w:r>
        </w:p>
      </w:tc>
    </w:tr>
    <w:tr w:rsidR="00FA33C9" w14:paraId="2E86A10E" w14:textId="77777777">
      <w:tc>
        <w:tcPr>
          <w:tcW w:w="2551" w:type="dxa"/>
          <w:vAlign w:val="center"/>
        </w:tcPr>
        <w:p w14:paraId="3356013A" w14:textId="77777777" w:rsidR="00FA33C9" w:rsidRDefault="00FA33C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0579D901" w14:textId="77777777" w:rsidR="00FA33C9" w:rsidRDefault="00FA33C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7DDD5792" w14:textId="77777777" w:rsidR="00FA33C9" w:rsidRDefault="00FA33C9">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A5975"/>
    <w:multiLevelType w:val="multilevel"/>
    <w:tmpl w:val="3E92B216"/>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 w15:restartNumberingAfterBreak="0">
    <w:nsid w:val="28AA2BC3"/>
    <w:multiLevelType w:val="multilevel"/>
    <w:tmpl w:val="23303B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2E006F2A"/>
    <w:multiLevelType w:val="multilevel"/>
    <w:tmpl w:val="BB28861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04F76EB"/>
    <w:multiLevelType w:val="multilevel"/>
    <w:tmpl w:val="B1382B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6E81329"/>
    <w:multiLevelType w:val="multilevel"/>
    <w:tmpl w:val="7740342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5" w15:restartNumberingAfterBreak="0">
    <w:nsid w:val="3C9030C2"/>
    <w:multiLevelType w:val="multilevel"/>
    <w:tmpl w:val="977E38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BFC55F6"/>
    <w:multiLevelType w:val="multilevel"/>
    <w:tmpl w:val="E71CCA36"/>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595F5517"/>
    <w:multiLevelType w:val="multilevel"/>
    <w:tmpl w:val="16EEF9B8"/>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60F0AFB"/>
    <w:multiLevelType w:val="multilevel"/>
    <w:tmpl w:val="C83633B6"/>
    <w:lvl w:ilvl="0">
      <w:start w:val="1"/>
      <w:numFmt w:val="bullet"/>
      <w:pStyle w:val="Listaconvietas"/>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9" w15:restartNumberingAfterBreak="0">
    <w:nsid w:val="6B1D165E"/>
    <w:multiLevelType w:val="multilevel"/>
    <w:tmpl w:val="A164F358"/>
    <w:lvl w:ilvl="0">
      <w:start w:val="18"/>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5"/>
  </w:num>
  <w:num w:numId="3">
    <w:abstractNumId w:val="3"/>
  </w:num>
  <w:num w:numId="4">
    <w:abstractNumId w:val="6"/>
  </w:num>
  <w:num w:numId="5">
    <w:abstractNumId w:val="2"/>
  </w:num>
  <w:num w:numId="6">
    <w:abstractNumId w:val="8"/>
  </w:num>
  <w:num w:numId="7">
    <w:abstractNumId w:val="1"/>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12E"/>
    <w:rsid w:val="00060521"/>
    <w:rsid w:val="00121A29"/>
    <w:rsid w:val="00294CC0"/>
    <w:rsid w:val="003D7DDF"/>
    <w:rsid w:val="00420A8B"/>
    <w:rsid w:val="00476B48"/>
    <w:rsid w:val="005E0702"/>
    <w:rsid w:val="006670FA"/>
    <w:rsid w:val="007D718C"/>
    <w:rsid w:val="007E412E"/>
    <w:rsid w:val="0080728E"/>
    <w:rsid w:val="008E2EBD"/>
    <w:rsid w:val="008F701A"/>
    <w:rsid w:val="00AB2955"/>
    <w:rsid w:val="00B335F9"/>
    <w:rsid w:val="00D60E2C"/>
    <w:rsid w:val="00EC6745"/>
    <w:rsid w:val="00FA1FA8"/>
    <w:rsid w:val="00FA33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CD846"/>
  <w15:docId w15:val="{913108A0-7DE2-4D7A-B8F1-FFB299B5E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top w:w="15" w:type="dxa"/>
        <w:left w:w="115" w:type="dxa"/>
        <w:bottom w:w="15" w:type="dxa"/>
        <w:right w:w="115" w:type="dxa"/>
      </w:tblCellMar>
    </w:tblPr>
  </w:style>
  <w:style w:type="table" w:customStyle="1" w:styleId="a4">
    <w:basedOn w:val="TableNormal4"/>
    <w:tblPr>
      <w:tblStyleRowBandSize w:val="1"/>
      <w:tblStyleColBandSize w:val="1"/>
      <w:tblCellMar>
        <w:top w:w="15" w:type="dxa"/>
        <w:left w:w="115" w:type="dxa"/>
        <w:bottom w:w="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top w:w="15" w:type="dxa"/>
        <w:left w:w="115" w:type="dxa"/>
        <w:bottom w:w="15" w:type="dxa"/>
        <w:right w:w="115" w:type="dxa"/>
      </w:tblCellMar>
    </w:tblPr>
  </w:style>
  <w:style w:type="table" w:customStyle="1" w:styleId="aa">
    <w:basedOn w:val="TableNormal3"/>
    <w:tblPr>
      <w:tblStyleRowBandSize w:val="1"/>
      <w:tblStyleColBandSize w:val="1"/>
      <w:tblCellMar>
        <w:top w:w="15" w:type="dxa"/>
        <w:left w:w="115" w:type="dxa"/>
        <w:bottom w:w="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top w:w="15" w:type="dxa"/>
        <w:left w:w="115" w:type="dxa"/>
        <w:bottom w:w="15" w:type="dxa"/>
        <w:right w:w="115" w:type="dxa"/>
      </w:tblCellMar>
    </w:tblPr>
  </w:style>
  <w:style w:type="table" w:customStyle="1" w:styleId="af2">
    <w:basedOn w:val="TableNormal2"/>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1"/>
      </w:numPr>
      <w:contextualSpacing/>
    </w:p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top w:w="15" w:type="dxa"/>
        <w:left w:w="115" w:type="dxa"/>
        <w:bottom w:w="15" w:type="dxa"/>
        <w:right w:w="115" w:type="dxa"/>
      </w:tblCellMar>
    </w:tblPr>
  </w:style>
  <w:style w:type="table" w:customStyle="1" w:styleId="af5">
    <w:basedOn w:val="TableNormal1"/>
    <w:tblPr>
      <w:tblStyleRowBandSize w:val="1"/>
      <w:tblStyleColBandSize w:val="1"/>
      <w:tblCellMar>
        <w:top w:w="15" w:type="dxa"/>
        <w:left w:w="115" w:type="dxa"/>
        <w:bottom w:w="15" w:type="dxa"/>
        <w:right w:w="115" w:type="dxa"/>
      </w:tblCellMar>
    </w:tblPr>
  </w:style>
  <w:style w:type="paragraph" w:styleId="Listaconvietas">
    <w:name w:val="List Bullet"/>
    <w:basedOn w:val="Normal"/>
    <w:uiPriority w:val="99"/>
    <w:unhideWhenUsed/>
    <w:rsid w:val="00E97D6F"/>
    <w:pPr>
      <w:numPr>
        <w:numId w:val="6"/>
      </w:numPr>
      <w:contextualSpacing/>
    </w:pPr>
    <w:rPr>
      <w:lang w:val="es-ES"/>
    </w:rPr>
  </w:style>
  <w:style w:type="character" w:customStyle="1" w:styleId="Mencinsinresolver4">
    <w:name w:val="Mención sin resolver4"/>
    <w:basedOn w:val="Fuentedeprrafopredeter"/>
    <w:uiPriority w:val="99"/>
    <w:semiHidden/>
    <w:unhideWhenUsed/>
    <w:rsid w:val="00E8288F"/>
    <w:rPr>
      <w:color w:val="605E5C"/>
      <w:shd w:val="clear" w:color="auto" w:fill="E1DFDD"/>
    </w:rPr>
  </w:style>
  <w:style w:type="paragraph" w:customStyle="1" w:styleId="xgmail-msonormal">
    <w:name w:val="x_gmail-msonormal"/>
    <w:basedOn w:val="Normal"/>
    <w:rsid w:val="009B2050"/>
    <w:pPr>
      <w:spacing w:before="100" w:beforeAutospacing="1" w:after="100" w:afterAutospacing="1"/>
    </w:pPr>
    <w:rPr>
      <w:lang w:val="en-US" w:eastAsia="en-US"/>
    </w:rPr>
  </w:style>
  <w:style w:type="table" w:customStyle="1" w:styleId="11">
    <w:name w:val="11"/>
    <w:basedOn w:val="Tablanormal"/>
    <w:rsid w:val="0087332C"/>
    <w:rPr>
      <w:lang w:val="es-ES"/>
    </w:rPr>
    <w:tblPr>
      <w:tblStyleRowBandSize w:val="1"/>
      <w:tblStyleColBandSize w:val="1"/>
      <w:tblInd w:w="0" w:type="nil"/>
      <w:tblCellMar>
        <w:left w:w="115" w:type="dxa"/>
        <w:right w:w="115" w:type="dxa"/>
      </w:tblCellMar>
    </w:tblPr>
  </w:style>
  <w:style w:type="table" w:customStyle="1" w:styleId="10">
    <w:name w:val="10"/>
    <w:basedOn w:val="Tablanormal"/>
    <w:rsid w:val="0087332C"/>
    <w:rPr>
      <w:lang w:val="es-ES"/>
    </w:rPr>
    <w:tblPr>
      <w:tblStyleRowBandSize w:val="1"/>
      <w:tblStyleColBandSize w:val="1"/>
      <w:tblInd w:w="0" w:type="nil"/>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top w:w="15" w:type="dxa"/>
        <w:left w:w="115" w:type="dxa"/>
        <w:bottom w:w="15" w:type="dxa"/>
        <w:right w:w="115" w:type="dxa"/>
      </w:tblCellMar>
    </w:tblPr>
  </w:style>
  <w:style w:type="table" w:customStyle="1" w:styleId="af7">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vqO95HPgb+Hm4foqjdV0HXkPxg==">CgMxLjAyCWguM3pueXNoNzINaC56NGUzZXozZzk1dzIOaC5qM3BweXh3bGIxczIyCGgudHlqY3d0Mg1oLmpsMGRsYXNvdDRmOAByITE1bmtPckVJV1BMRDM0SWdHVDBOOUtKeDRYeFc5cmxzRg==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8680</Words>
  <Characters>47741</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2025-11-07T17:01:00Z</cp:lastPrinted>
  <dcterms:created xsi:type="dcterms:W3CDTF">2025-12-08T16:17:00Z</dcterms:created>
  <dcterms:modified xsi:type="dcterms:W3CDTF">2025-12-08T16:17:00Z</dcterms:modified>
</cp:coreProperties>
</file>