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BF0294" w:rsidRDefault="00AE3DA7" w:rsidP="00BF0294">
          <w:pPr>
            <w:pStyle w:val="TtulodeTDC"/>
            <w:spacing w:before="0" w:line="240" w:lineRule="auto"/>
            <w:rPr>
              <w:rFonts w:ascii="Palatino Linotype" w:hAnsi="Palatino Linotype"/>
              <w:color w:val="auto"/>
              <w:sz w:val="24"/>
              <w:szCs w:val="24"/>
              <w:lang w:val="es-ES"/>
            </w:rPr>
          </w:pPr>
          <w:r w:rsidRPr="00BF0294">
            <w:rPr>
              <w:rFonts w:ascii="Palatino Linotype" w:hAnsi="Palatino Linotype"/>
              <w:color w:val="auto"/>
              <w:sz w:val="24"/>
              <w:szCs w:val="24"/>
              <w:lang w:val="es-ES"/>
            </w:rPr>
            <w:t>Contenido</w:t>
          </w:r>
        </w:p>
        <w:p w14:paraId="3EB312A7" w14:textId="77777777" w:rsidR="00AA6EA9" w:rsidRPr="00BF0294" w:rsidRDefault="00AA6EA9" w:rsidP="00BF0294">
          <w:pPr>
            <w:spacing w:line="240" w:lineRule="auto"/>
            <w:rPr>
              <w:sz w:val="16"/>
              <w:szCs w:val="16"/>
              <w:lang w:val="es-ES" w:eastAsia="es-MX"/>
            </w:rPr>
          </w:pPr>
        </w:p>
        <w:p w14:paraId="6DEF1E8A" w14:textId="40F6B19A" w:rsidR="00BF0294" w:rsidRPr="00BF0294" w:rsidRDefault="00AE3DA7" w:rsidP="00BF0294">
          <w:pPr>
            <w:pStyle w:val="TDC1"/>
            <w:tabs>
              <w:tab w:val="right" w:leader="dot" w:pos="9034"/>
            </w:tabs>
            <w:rPr>
              <w:rFonts w:asciiTheme="minorHAnsi" w:eastAsiaTheme="minorEastAsia" w:hAnsiTheme="minorHAnsi" w:cstheme="minorBidi"/>
              <w:noProof/>
              <w:szCs w:val="22"/>
              <w:lang w:eastAsia="es-MX"/>
            </w:rPr>
          </w:pPr>
          <w:r w:rsidRPr="00BF0294">
            <w:rPr>
              <w:sz w:val="16"/>
              <w:szCs w:val="16"/>
            </w:rPr>
            <w:fldChar w:fldCharType="begin"/>
          </w:r>
          <w:r w:rsidRPr="00BF0294">
            <w:rPr>
              <w:sz w:val="16"/>
              <w:szCs w:val="16"/>
            </w:rPr>
            <w:instrText xml:space="preserve"> TOC \o "1-3" \h \z \u </w:instrText>
          </w:r>
          <w:r w:rsidRPr="00BF0294">
            <w:rPr>
              <w:sz w:val="16"/>
              <w:szCs w:val="16"/>
            </w:rPr>
            <w:fldChar w:fldCharType="separate"/>
          </w:r>
          <w:hyperlink w:anchor="_Toc206617658" w:history="1">
            <w:r w:rsidR="00BF0294" w:rsidRPr="00BF0294">
              <w:rPr>
                <w:rStyle w:val="Hipervnculo"/>
                <w:noProof/>
                <w:color w:val="auto"/>
              </w:rPr>
              <w:t>ANTECEDENTES</w:t>
            </w:r>
            <w:r w:rsidR="00BF0294" w:rsidRPr="00BF0294">
              <w:rPr>
                <w:noProof/>
                <w:webHidden/>
              </w:rPr>
              <w:tab/>
            </w:r>
            <w:r w:rsidR="00BF0294" w:rsidRPr="00BF0294">
              <w:rPr>
                <w:noProof/>
                <w:webHidden/>
              </w:rPr>
              <w:fldChar w:fldCharType="begin"/>
            </w:r>
            <w:r w:rsidR="00BF0294" w:rsidRPr="00BF0294">
              <w:rPr>
                <w:noProof/>
                <w:webHidden/>
              </w:rPr>
              <w:instrText xml:space="preserve"> PAGEREF _Toc206617658 \h </w:instrText>
            </w:r>
            <w:r w:rsidR="00BF0294" w:rsidRPr="00BF0294">
              <w:rPr>
                <w:noProof/>
                <w:webHidden/>
              </w:rPr>
            </w:r>
            <w:r w:rsidR="00BF0294" w:rsidRPr="00BF0294">
              <w:rPr>
                <w:noProof/>
                <w:webHidden/>
              </w:rPr>
              <w:fldChar w:fldCharType="separate"/>
            </w:r>
            <w:r w:rsidR="00CC6C2F">
              <w:rPr>
                <w:noProof/>
                <w:webHidden/>
              </w:rPr>
              <w:t>1</w:t>
            </w:r>
            <w:r w:rsidR="00BF0294" w:rsidRPr="00BF0294">
              <w:rPr>
                <w:noProof/>
                <w:webHidden/>
              </w:rPr>
              <w:fldChar w:fldCharType="end"/>
            </w:r>
          </w:hyperlink>
        </w:p>
        <w:p w14:paraId="09737D09" w14:textId="4552CE1A" w:rsidR="00BF0294" w:rsidRPr="00BF0294" w:rsidRDefault="00CC6C2F" w:rsidP="00BF0294">
          <w:pPr>
            <w:pStyle w:val="TDC2"/>
            <w:rPr>
              <w:rFonts w:asciiTheme="minorHAnsi" w:eastAsiaTheme="minorEastAsia" w:hAnsiTheme="minorHAnsi" w:cstheme="minorBidi"/>
              <w:noProof/>
              <w:szCs w:val="22"/>
              <w:lang w:eastAsia="es-MX"/>
            </w:rPr>
          </w:pPr>
          <w:hyperlink w:anchor="_Toc206617659" w:history="1">
            <w:r w:rsidR="00BF0294" w:rsidRPr="00BF0294">
              <w:rPr>
                <w:rStyle w:val="Hipervnculo"/>
                <w:noProof/>
                <w:color w:val="auto"/>
              </w:rPr>
              <w:t>DE LA SOLICITUD DE INFORMACIÓN</w:t>
            </w:r>
            <w:r w:rsidR="00BF0294" w:rsidRPr="00BF0294">
              <w:rPr>
                <w:noProof/>
                <w:webHidden/>
              </w:rPr>
              <w:tab/>
            </w:r>
            <w:r w:rsidR="00BF0294" w:rsidRPr="00BF0294">
              <w:rPr>
                <w:noProof/>
                <w:webHidden/>
              </w:rPr>
              <w:fldChar w:fldCharType="begin"/>
            </w:r>
            <w:r w:rsidR="00BF0294" w:rsidRPr="00BF0294">
              <w:rPr>
                <w:noProof/>
                <w:webHidden/>
              </w:rPr>
              <w:instrText xml:space="preserve"> PAGEREF _Toc206617659 \h </w:instrText>
            </w:r>
            <w:r w:rsidR="00BF0294" w:rsidRPr="00BF0294">
              <w:rPr>
                <w:noProof/>
                <w:webHidden/>
              </w:rPr>
            </w:r>
            <w:r w:rsidR="00BF0294" w:rsidRPr="00BF0294">
              <w:rPr>
                <w:noProof/>
                <w:webHidden/>
              </w:rPr>
              <w:fldChar w:fldCharType="separate"/>
            </w:r>
            <w:r>
              <w:rPr>
                <w:noProof/>
                <w:webHidden/>
              </w:rPr>
              <w:t>1</w:t>
            </w:r>
            <w:r w:rsidR="00BF0294" w:rsidRPr="00BF0294">
              <w:rPr>
                <w:noProof/>
                <w:webHidden/>
              </w:rPr>
              <w:fldChar w:fldCharType="end"/>
            </w:r>
          </w:hyperlink>
        </w:p>
        <w:p w14:paraId="2E908123" w14:textId="1B9186D0" w:rsidR="00BF0294" w:rsidRPr="00BF0294" w:rsidRDefault="00CC6C2F" w:rsidP="00BF0294">
          <w:pPr>
            <w:pStyle w:val="TDC3"/>
            <w:rPr>
              <w:rFonts w:asciiTheme="minorHAnsi" w:eastAsiaTheme="minorEastAsia" w:hAnsiTheme="minorHAnsi" w:cstheme="minorBidi"/>
              <w:noProof/>
              <w:szCs w:val="22"/>
              <w:lang w:eastAsia="es-MX"/>
            </w:rPr>
          </w:pPr>
          <w:hyperlink w:anchor="_Toc206617660" w:history="1">
            <w:r w:rsidR="00BF0294" w:rsidRPr="00BF0294">
              <w:rPr>
                <w:rStyle w:val="Hipervnculo"/>
                <w:noProof/>
                <w:color w:val="auto"/>
              </w:rPr>
              <w:t>a) Solicitud de información</w:t>
            </w:r>
            <w:r w:rsidR="00BF0294" w:rsidRPr="00BF0294">
              <w:rPr>
                <w:noProof/>
                <w:webHidden/>
              </w:rPr>
              <w:tab/>
            </w:r>
            <w:r w:rsidR="00BF0294" w:rsidRPr="00BF0294">
              <w:rPr>
                <w:noProof/>
                <w:webHidden/>
              </w:rPr>
              <w:fldChar w:fldCharType="begin"/>
            </w:r>
            <w:r w:rsidR="00BF0294" w:rsidRPr="00BF0294">
              <w:rPr>
                <w:noProof/>
                <w:webHidden/>
              </w:rPr>
              <w:instrText xml:space="preserve"> PAGEREF _Toc206617660 \h </w:instrText>
            </w:r>
            <w:r w:rsidR="00BF0294" w:rsidRPr="00BF0294">
              <w:rPr>
                <w:noProof/>
                <w:webHidden/>
              </w:rPr>
            </w:r>
            <w:r w:rsidR="00BF0294" w:rsidRPr="00BF0294">
              <w:rPr>
                <w:noProof/>
                <w:webHidden/>
              </w:rPr>
              <w:fldChar w:fldCharType="separate"/>
            </w:r>
            <w:r>
              <w:rPr>
                <w:noProof/>
                <w:webHidden/>
              </w:rPr>
              <w:t>1</w:t>
            </w:r>
            <w:r w:rsidR="00BF0294" w:rsidRPr="00BF0294">
              <w:rPr>
                <w:noProof/>
                <w:webHidden/>
              </w:rPr>
              <w:fldChar w:fldCharType="end"/>
            </w:r>
          </w:hyperlink>
        </w:p>
        <w:p w14:paraId="78B6DE66" w14:textId="18118F4A" w:rsidR="00BF0294" w:rsidRPr="00BF0294" w:rsidRDefault="00CC6C2F" w:rsidP="00BF0294">
          <w:pPr>
            <w:pStyle w:val="TDC3"/>
            <w:rPr>
              <w:rFonts w:asciiTheme="minorHAnsi" w:eastAsiaTheme="minorEastAsia" w:hAnsiTheme="minorHAnsi" w:cstheme="minorBidi"/>
              <w:noProof/>
              <w:szCs w:val="22"/>
              <w:lang w:eastAsia="es-MX"/>
            </w:rPr>
          </w:pPr>
          <w:hyperlink w:anchor="_Toc206617661" w:history="1">
            <w:r w:rsidR="00BF0294" w:rsidRPr="00BF0294">
              <w:rPr>
                <w:rStyle w:val="Hipervnculo"/>
                <w:noProof/>
                <w:color w:val="auto"/>
              </w:rPr>
              <w:t>b) Turno de la solicitud de información</w:t>
            </w:r>
            <w:r w:rsidR="00BF0294" w:rsidRPr="00BF0294">
              <w:rPr>
                <w:noProof/>
                <w:webHidden/>
              </w:rPr>
              <w:tab/>
            </w:r>
            <w:r w:rsidR="00BF0294" w:rsidRPr="00BF0294">
              <w:rPr>
                <w:noProof/>
                <w:webHidden/>
              </w:rPr>
              <w:fldChar w:fldCharType="begin"/>
            </w:r>
            <w:r w:rsidR="00BF0294" w:rsidRPr="00BF0294">
              <w:rPr>
                <w:noProof/>
                <w:webHidden/>
              </w:rPr>
              <w:instrText xml:space="preserve"> PAGEREF _Toc206617661 \h </w:instrText>
            </w:r>
            <w:r w:rsidR="00BF0294" w:rsidRPr="00BF0294">
              <w:rPr>
                <w:noProof/>
                <w:webHidden/>
              </w:rPr>
            </w:r>
            <w:r w:rsidR="00BF0294" w:rsidRPr="00BF0294">
              <w:rPr>
                <w:noProof/>
                <w:webHidden/>
              </w:rPr>
              <w:fldChar w:fldCharType="separate"/>
            </w:r>
            <w:r>
              <w:rPr>
                <w:noProof/>
                <w:webHidden/>
              </w:rPr>
              <w:t>2</w:t>
            </w:r>
            <w:r w:rsidR="00BF0294" w:rsidRPr="00BF0294">
              <w:rPr>
                <w:noProof/>
                <w:webHidden/>
              </w:rPr>
              <w:fldChar w:fldCharType="end"/>
            </w:r>
          </w:hyperlink>
        </w:p>
        <w:p w14:paraId="1A7EE239" w14:textId="3AC32D40" w:rsidR="00BF0294" w:rsidRPr="00BF0294" w:rsidRDefault="00CC6C2F" w:rsidP="00BF0294">
          <w:pPr>
            <w:pStyle w:val="TDC3"/>
            <w:rPr>
              <w:rFonts w:asciiTheme="minorHAnsi" w:eastAsiaTheme="minorEastAsia" w:hAnsiTheme="minorHAnsi" w:cstheme="minorBidi"/>
              <w:noProof/>
              <w:szCs w:val="22"/>
              <w:lang w:eastAsia="es-MX"/>
            </w:rPr>
          </w:pPr>
          <w:hyperlink w:anchor="_Toc206617662" w:history="1">
            <w:r w:rsidR="00BF0294" w:rsidRPr="00BF0294">
              <w:rPr>
                <w:rStyle w:val="Hipervnculo"/>
                <w:noProof/>
                <w:color w:val="auto"/>
              </w:rPr>
              <w:t xml:space="preserve">c) </w:t>
            </w:r>
            <w:r w:rsidR="00BF0294" w:rsidRPr="00BF0294">
              <w:rPr>
                <w:rStyle w:val="Hipervnculo"/>
                <w:noProof/>
                <w:color w:val="auto"/>
                <w:lang w:val="es-ES"/>
              </w:rPr>
              <w:t xml:space="preserve">Respuesta </w:t>
            </w:r>
            <w:r w:rsidR="00BF0294" w:rsidRPr="00BF0294">
              <w:rPr>
                <w:rStyle w:val="Hipervnculo"/>
                <w:rFonts w:eastAsia="Calibri"/>
                <w:noProof/>
                <w:color w:val="auto"/>
                <w:lang w:eastAsia="en-US"/>
              </w:rPr>
              <w:t>del Sujeto Obligado</w:t>
            </w:r>
            <w:r w:rsidR="00BF0294" w:rsidRPr="00BF0294">
              <w:rPr>
                <w:noProof/>
                <w:webHidden/>
              </w:rPr>
              <w:tab/>
            </w:r>
            <w:r w:rsidR="00BF0294" w:rsidRPr="00BF0294">
              <w:rPr>
                <w:noProof/>
                <w:webHidden/>
              </w:rPr>
              <w:fldChar w:fldCharType="begin"/>
            </w:r>
            <w:r w:rsidR="00BF0294" w:rsidRPr="00BF0294">
              <w:rPr>
                <w:noProof/>
                <w:webHidden/>
              </w:rPr>
              <w:instrText xml:space="preserve"> PAGEREF _Toc206617662 \h </w:instrText>
            </w:r>
            <w:r w:rsidR="00BF0294" w:rsidRPr="00BF0294">
              <w:rPr>
                <w:noProof/>
                <w:webHidden/>
              </w:rPr>
            </w:r>
            <w:r w:rsidR="00BF0294" w:rsidRPr="00BF0294">
              <w:rPr>
                <w:noProof/>
                <w:webHidden/>
              </w:rPr>
              <w:fldChar w:fldCharType="separate"/>
            </w:r>
            <w:r>
              <w:rPr>
                <w:noProof/>
                <w:webHidden/>
              </w:rPr>
              <w:t>2</w:t>
            </w:r>
            <w:r w:rsidR="00BF0294" w:rsidRPr="00BF0294">
              <w:rPr>
                <w:noProof/>
                <w:webHidden/>
              </w:rPr>
              <w:fldChar w:fldCharType="end"/>
            </w:r>
          </w:hyperlink>
        </w:p>
        <w:p w14:paraId="10B95F3B" w14:textId="16C0BD4A" w:rsidR="00BF0294" w:rsidRPr="00BF0294" w:rsidRDefault="00CC6C2F" w:rsidP="00BF0294">
          <w:pPr>
            <w:pStyle w:val="TDC2"/>
            <w:rPr>
              <w:rFonts w:asciiTheme="minorHAnsi" w:eastAsiaTheme="minorEastAsia" w:hAnsiTheme="minorHAnsi" w:cstheme="minorBidi"/>
              <w:noProof/>
              <w:szCs w:val="22"/>
              <w:lang w:eastAsia="es-MX"/>
            </w:rPr>
          </w:pPr>
          <w:hyperlink w:anchor="_Toc206617663" w:history="1">
            <w:r w:rsidR="00BF0294" w:rsidRPr="00BF0294">
              <w:rPr>
                <w:rStyle w:val="Hipervnculo"/>
                <w:noProof/>
                <w:color w:val="auto"/>
              </w:rPr>
              <w:t>DEL RECURSO DE REVISIÓN</w:t>
            </w:r>
            <w:r w:rsidR="00BF0294" w:rsidRPr="00BF0294">
              <w:rPr>
                <w:noProof/>
                <w:webHidden/>
              </w:rPr>
              <w:tab/>
            </w:r>
            <w:r w:rsidR="00BF0294" w:rsidRPr="00BF0294">
              <w:rPr>
                <w:noProof/>
                <w:webHidden/>
              </w:rPr>
              <w:fldChar w:fldCharType="begin"/>
            </w:r>
            <w:r w:rsidR="00BF0294" w:rsidRPr="00BF0294">
              <w:rPr>
                <w:noProof/>
                <w:webHidden/>
              </w:rPr>
              <w:instrText xml:space="preserve"> PAGEREF _Toc206617663 \h </w:instrText>
            </w:r>
            <w:r w:rsidR="00BF0294" w:rsidRPr="00BF0294">
              <w:rPr>
                <w:noProof/>
                <w:webHidden/>
              </w:rPr>
            </w:r>
            <w:r w:rsidR="00BF0294" w:rsidRPr="00BF0294">
              <w:rPr>
                <w:noProof/>
                <w:webHidden/>
              </w:rPr>
              <w:fldChar w:fldCharType="separate"/>
            </w:r>
            <w:r>
              <w:rPr>
                <w:noProof/>
                <w:webHidden/>
              </w:rPr>
              <w:t>3</w:t>
            </w:r>
            <w:r w:rsidR="00BF0294" w:rsidRPr="00BF0294">
              <w:rPr>
                <w:noProof/>
                <w:webHidden/>
              </w:rPr>
              <w:fldChar w:fldCharType="end"/>
            </w:r>
          </w:hyperlink>
        </w:p>
        <w:p w14:paraId="32870897" w14:textId="797E9D6C" w:rsidR="00BF0294" w:rsidRPr="00BF0294" w:rsidRDefault="00CC6C2F" w:rsidP="00BF0294">
          <w:pPr>
            <w:pStyle w:val="TDC3"/>
            <w:rPr>
              <w:rFonts w:asciiTheme="minorHAnsi" w:eastAsiaTheme="minorEastAsia" w:hAnsiTheme="minorHAnsi" w:cstheme="minorBidi"/>
              <w:noProof/>
              <w:szCs w:val="22"/>
              <w:lang w:eastAsia="es-MX"/>
            </w:rPr>
          </w:pPr>
          <w:hyperlink w:anchor="_Toc206617664" w:history="1">
            <w:r w:rsidR="00BF0294" w:rsidRPr="00BF0294">
              <w:rPr>
                <w:rStyle w:val="Hipervnculo"/>
                <w:noProof/>
                <w:color w:val="auto"/>
              </w:rPr>
              <w:t>a) Interposición del Recurso de Revisión</w:t>
            </w:r>
            <w:r w:rsidR="00BF0294" w:rsidRPr="00BF0294">
              <w:rPr>
                <w:noProof/>
                <w:webHidden/>
              </w:rPr>
              <w:tab/>
            </w:r>
            <w:r w:rsidR="00BF0294" w:rsidRPr="00BF0294">
              <w:rPr>
                <w:noProof/>
                <w:webHidden/>
              </w:rPr>
              <w:fldChar w:fldCharType="begin"/>
            </w:r>
            <w:r w:rsidR="00BF0294" w:rsidRPr="00BF0294">
              <w:rPr>
                <w:noProof/>
                <w:webHidden/>
              </w:rPr>
              <w:instrText xml:space="preserve"> PAGEREF _Toc206617664 \h </w:instrText>
            </w:r>
            <w:r w:rsidR="00BF0294" w:rsidRPr="00BF0294">
              <w:rPr>
                <w:noProof/>
                <w:webHidden/>
              </w:rPr>
            </w:r>
            <w:r w:rsidR="00BF0294" w:rsidRPr="00BF0294">
              <w:rPr>
                <w:noProof/>
                <w:webHidden/>
              </w:rPr>
              <w:fldChar w:fldCharType="separate"/>
            </w:r>
            <w:r>
              <w:rPr>
                <w:noProof/>
                <w:webHidden/>
              </w:rPr>
              <w:t>3</w:t>
            </w:r>
            <w:r w:rsidR="00BF0294" w:rsidRPr="00BF0294">
              <w:rPr>
                <w:noProof/>
                <w:webHidden/>
              </w:rPr>
              <w:fldChar w:fldCharType="end"/>
            </w:r>
          </w:hyperlink>
        </w:p>
        <w:p w14:paraId="01615E81" w14:textId="6C5B01D8" w:rsidR="00BF0294" w:rsidRPr="00BF0294" w:rsidRDefault="00CC6C2F" w:rsidP="00BF0294">
          <w:pPr>
            <w:pStyle w:val="TDC3"/>
            <w:rPr>
              <w:rFonts w:asciiTheme="minorHAnsi" w:eastAsiaTheme="minorEastAsia" w:hAnsiTheme="minorHAnsi" w:cstheme="minorBidi"/>
              <w:noProof/>
              <w:szCs w:val="22"/>
              <w:lang w:eastAsia="es-MX"/>
            </w:rPr>
          </w:pPr>
          <w:hyperlink w:anchor="_Toc206617665" w:history="1">
            <w:r w:rsidR="00BF0294" w:rsidRPr="00BF0294">
              <w:rPr>
                <w:rStyle w:val="Hipervnculo"/>
                <w:noProof/>
                <w:color w:val="auto"/>
              </w:rPr>
              <w:t>b) Turno del Recurso de Revisión</w:t>
            </w:r>
            <w:r w:rsidR="00BF0294" w:rsidRPr="00BF0294">
              <w:rPr>
                <w:noProof/>
                <w:webHidden/>
              </w:rPr>
              <w:tab/>
            </w:r>
            <w:r w:rsidR="00BF0294" w:rsidRPr="00BF0294">
              <w:rPr>
                <w:noProof/>
                <w:webHidden/>
              </w:rPr>
              <w:fldChar w:fldCharType="begin"/>
            </w:r>
            <w:r w:rsidR="00BF0294" w:rsidRPr="00BF0294">
              <w:rPr>
                <w:noProof/>
                <w:webHidden/>
              </w:rPr>
              <w:instrText xml:space="preserve"> PAGEREF _Toc206617665 \h </w:instrText>
            </w:r>
            <w:r w:rsidR="00BF0294" w:rsidRPr="00BF0294">
              <w:rPr>
                <w:noProof/>
                <w:webHidden/>
              </w:rPr>
            </w:r>
            <w:r w:rsidR="00BF0294" w:rsidRPr="00BF0294">
              <w:rPr>
                <w:noProof/>
                <w:webHidden/>
              </w:rPr>
              <w:fldChar w:fldCharType="separate"/>
            </w:r>
            <w:r>
              <w:rPr>
                <w:noProof/>
                <w:webHidden/>
              </w:rPr>
              <w:t>4</w:t>
            </w:r>
            <w:r w:rsidR="00BF0294" w:rsidRPr="00BF0294">
              <w:rPr>
                <w:noProof/>
                <w:webHidden/>
              </w:rPr>
              <w:fldChar w:fldCharType="end"/>
            </w:r>
          </w:hyperlink>
        </w:p>
        <w:p w14:paraId="0F731F95" w14:textId="5795A754" w:rsidR="00BF0294" w:rsidRPr="00BF0294" w:rsidRDefault="00CC6C2F" w:rsidP="00BF0294">
          <w:pPr>
            <w:pStyle w:val="TDC3"/>
            <w:rPr>
              <w:rFonts w:asciiTheme="minorHAnsi" w:eastAsiaTheme="minorEastAsia" w:hAnsiTheme="minorHAnsi" w:cstheme="minorBidi"/>
              <w:noProof/>
              <w:szCs w:val="22"/>
              <w:lang w:eastAsia="es-MX"/>
            </w:rPr>
          </w:pPr>
          <w:hyperlink w:anchor="_Toc206617666" w:history="1">
            <w:r w:rsidR="00BF0294" w:rsidRPr="00BF0294">
              <w:rPr>
                <w:rStyle w:val="Hipervnculo"/>
                <w:noProof/>
                <w:color w:val="auto"/>
              </w:rPr>
              <w:t>c) Admisión del Recurso de Revisión</w:t>
            </w:r>
            <w:r w:rsidR="00BF0294" w:rsidRPr="00BF0294">
              <w:rPr>
                <w:noProof/>
                <w:webHidden/>
              </w:rPr>
              <w:tab/>
            </w:r>
            <w:r w:rsidR="00BF0294" w:rsidRPr="00BF0294">
              <w:rPr>
                <w:noProof/>
                <w:webHidden/>
              </w:rPr>
              <w:fldChar w:fldCharType="begin"/>
            </w:r>
            <w:r w:rsidR="00BF0294" w:rsidRPr="00BF0294">
              <w:rPr>
                <w:noProof/>
                <w:webHidden/>
              </w:rPr>
              <w:instrText xml:space="preserve"> PAGEREF _Toc206617666 \h </w:instrText>
            </w:r>
            <w:r w:rsidR="00BF0294" w:rsidRPr="00BF0294">
              <w:rPr>
                <w:noProof/>
                <w:webHidden/>
              </w:rPr>
            </w:r>
            <w:r w:rsidR="00BF0294" w:rsidRPr="00BF0294">
              <w:rPr>
                <w:noProof/>
                <w:webHidden/>
              </w:rPr>
              <w:fldChar w:fldCharType="separate"/>
            </w:r>
            <w:r>
              <w:rPr>
                <w:noProof/>
                <w:webHidden/>
              </w:rPr>
              <w:t>4</w:t>
            </w:r>
            <w:r w:rsidR="00BF0294" w:rsidRPr="00BF0294">
              <w:rPr>
                <w:noProof/>
                <w:webHidden/>
              </w:rPr>
              <w:fldChar w:fldCharType="end"/>
            </w:r>
          </w:hyperlink>
        </w:p>
        <w:p w14:paraId="4E8F4AC1" w14:textId="04DB427A" w:rsidR="00BF0294" w:rsidRPr="00BF0294" w:rsidRDefault="00CC6C2F" w:rsidP="00BF0294">
          <w:pPr>
            <w:pStyle w:val="TDC3"/>
            <w:rPr>
              <w:rFonts w:asciiTheme="minorHAnsi" w:eastAsiaTheme="minorEastAsia" w:hAnsiTheme="minorHAnsi" w:cstheme="minorBidi"/>
              <w:noProof/>
              <w:szCs w:val="22"/>
              <w:lang w:eastAsia="es-MX"/>
            </w:rPr>
          </w:pPr>
          <w:hyperlink w:anchor="_Toc206617667" w:history="1">
            <w:r w:rsidR="00BF0294" w:rsidRPr="00BF0294">
              <w:rPr>
                <w:rStyle w:val="Hipervnculo"/>
                <w:noProof/>
                <w:color w:val="auto"/>
              </w:rPr>
              <w:t>d) Informe Justificado del Sujeto Obligado</w:t>
            </w:r>
            <w:r w:rsidR="00BF0294" w:rsidRPr="00BF0294">
              <w:rPr>
                <w:noProof/>
                <w:webHidden/>
              </w:rPr>
              <w:tab/>
            </w:r>
            <w:r w:rsidR="00BF0294" w:rsidRPr="00BF0294">
              <w:rPr>
                <w:noProof/>
                <w:webHidden/>
              </w:rPr>
              <w:fldChar w:fldCharType="begin"/>
            </w:r>
            <w:r w:rsidR="00BF0294" w:rsidRPr="00BF0294">
              <w:rPr>
                <w:noProof/>
                <w:webHidden/>
              </w:rPr>
              <w:instrText xml:space="preserve"> PAGEREF _Toc206617667 \h </w:instrText>
            </w:r>
            <w:r w:rsidR="00BF0294" w:rsidRPr="00BF0294">
              <w:rPr>
                <w:noProof/>
                <w:webHidden/>
              </w:rPr>
            </w:r>
            <w:r w:rsidR="00BF0294" w:rsidRPr="00BF0294">
              <w:rPr>
                <w:noProof/>
                <w:webHidden/>
              </w:rPr>
              <w:fldChar w:fldCharType="separate"/>
            </w:r>
            <w:r>
              <w:rPr>
                <w:noProof/>
                <w:webHidden/>
              </w:rPr>
              <w:t>4</w:t>
            </w:r>
            <w:r w:rsidR="00BF0294" w:rsidRPr="00BF0294">
              <w:rPr>
                <w:noProof/>
                <w:webHidden/>
              </w:rPr>
              <w:fldChar w:fldCharType="end"/>
            </w:r>
          </w:hyperlink>
        </w:p>
        <w:p w14:paraId="6A33B939" w14:textId="73E163A1" w:rsidR="00BF0294" w:rsidRPr="00BF0294" w:rsidRDefault="00CC6C2F" w:rsidP="00BF0294">
          <w:pPr>
            <w:pStyle w:val="TDC3"/>
            <w:rPr>
              <w:rFonts w:asciiTheme="minorHAnsi" w:eastAsiaTheme="minorEastAsia" w:hAnsiTheme="minorHAnsi" w:cstheme="minorBidi"/>
              <w:noProof/>
              <w:szCs w:val="22"/>
              <w:lang w:eastAsia="es-MX"/>
            </w:rPr>
          </w:pPr>
          <w:hyperlink w:anchor="_Toc206617668" w:history="1">
            <w:r w:rsidR="00BF0294" w:rsidRPr="00BF0294">
              <w:rPr>
                <w:rStyle w:val="Hipervnculo"/>
                <w:rFonts w:eastAsia="Calibri"/>
                <w:bCs/>
                <w:noProof/>
                <w:color w:val="auto"/>
                <w:lang w:eastAsia="en-US"/>
              </w:rPr>
              <w:t>e)</w:t>
            </w:r>
            <w:r w:rsidR="00BF0294" w:rsidRPr="00BF0294">
              <w:rPr>
                <w:rStyle w:val="Hipervnculo"/>
                <w:noProof/>
                <w:color w:val="auto"/>
              </w:rPr>
              <w:t xml:space="preserve"> </w:t>
            </w:r>
            <w:r w:rsidR="00BF0294" w:rsidRPr="00BF0294">
              <w:rPr>
                <w:rStyle w:val="Hipervnculo"/>
                <w:noProof/>
                <w:color w:val="auto"/>
                <w:lang w:val="es-ES"/>
              </w:rPr>
              <w:t>Manifestaciones de la Parte Recurrente</w:t>
            </w:r>
            <w:r w:rsidR="00BF0294" w:rsidRPr="00BF0294">
              <w:rPr>
                <w:noProof/>
                <w:webHidden/>
              </w:rPr>
              <w:tab/>
            </w:r>
            <w:r w:rsidR="00BF0294" w:rsidRPr="00BF0294">
              <w:rPr>
                <w:noProof/>
                <w:webHidden/>
              </w:rPr>
              <w:fldChar w:fldCharType="begin"/>
            </w:r>
            <w:r w:rsidR="00BF0294" w:rsidRPr="00BF0294">
              <w:rPr>
                <w:noProof/>
                <w:webHidden/>
              </w:rPr>
              <w:instrText xml:space="preserve"> PAGEREF _Toc206617668 \h </w:instrText>
            </w:r>
            <w:r w:rsidR="00BF0294" w:rsidRPr="00BF0294">
              <w:rPr>
                <w:noProof/>
                <w:webHidden/>
              </w:rPr>
            </w:r>
            <w:r w:rsidR="00BF0294" w:rsidRPr="00BF0294">
              <w:rPr>
                <w:noProof/>
                <w:webHidden/>
              </w:rPr>
              <w:fldChar w:fldCharType="separate"/>
            </w:r>
            <w:r>
              <w:rPr>
                <w:noProof/>
                <w:webHidden/>
              </w:rPr>
              <w:t>4</w:t>
            </w:r>
            <w:r w:rsidR="00BF0294" w:rsidRPr="00BF0294">
              <w:rPr>
                <w:noProof/>
                <w:webHidden/>
              </w:rPr>
              <w:fldChar w:fldCharType="end"/>
            </w:r>
          </w:hyperlink>
        </w:p>
        <w:p w14:paraId="5D559F77" w14:textId="1B64EA60" w:rsidR="00BF0294" w:rsidRPr="00BF0294" w:rsidRDefault="00CC6C2F" w:rsidP="00BF0294">
          <w:pPr>
            <w:pStyle w:val="TDC3"/>
            <w:rPr>
              <w:rFonts w:asciiTheme="minorHAnsi" w:eastAsiaTheme="minorEastAsia" w:hAnsiTheme="minorHAnsi" w:cstheme="minorBidi"/>
              <w:noProof/>
              <w:szCs w:val="22"/>
              <w:lang w:eastAsia="es-MX"/>
            </w:rPr>
          </w:pPr>
          <w:hyperlink w:anchor="_Toc206617669" w:history="1">
            <w:r w:rsidR="00BF0294" w:rsidRPr="00BF0294">
              <w:rPr>
                <w:rStyle w:val="Hipervnculo"/>
                <w:rFonts w:eastAsia="Calibri"/>
                <w:noProof/>
                <w:color w:val="auto"/>
              </w:rPr>
              <w:t xml:space="preserve">f) </w:t>
            </w:r>
            <w:r w:rsidR="00BF0294" w:rsidRPr="00BF0294">
              <w:rPr>
                <w:rStyle w:val="Hipervnculo"/>
                <w:noProof/>
                <w:color w:val="auto"/>
              </w:rPr>
              <w:t>Cierre de instrucción</w:t>
            </w:r>
            <w:r w:rsidR="00BF0294" w:rsidRPr="00BF0294">
              <w:rPr>
                <w:noProof/>
                <w:webHidden/>
              </w:rPr>
              <w:tab/>
            </w:r>
            <w:r w:rsidR="00BF0294" w:rsidRPr="00BF0294">
              <w:rPr>
                <w:noProof/>
                <w:webHidden/>
              </w:rPr>
              <w:fldChar w:fldCharType="begin"/>
            </w:r>
            <w:r w:rsidR="00BF0294" w:rsidRPr="00BF0294">
              <w:rPr>
                <w:noProof/>
                <w:webHidden/>
              </w:rPr>
              <w:instrText xml:space="preserve"> PAGEREF _Toc206617669 \h </w:instrText>
            </w:r>
            <w:r w:rsidR="00BF0294" w:rsidRPr="00BF0294">
              <w:rPr>
                <w:noProof/>
                <w:webHidden/>
              </w:rPr>
            </w:r>
            <w:r w:rsidR="00BF0294" w:rsidRPr="00BF0294">
              <w:rPr>
                <w:noProof/>
                <w:webHidden/>
              </w:rPr>
              <w:fldChar w:fldCharType="separate"/>
            </w:r>
            <w:r>
              <w:rPr>
                <w:noProof/>
                <w:webHidden/>
              </w:rPr>
              <w:t>5</w:t>
            </w:r>
            <w:r w:rsidR="00BF0294" w:rsidRPr="00BF0294">
              <w:rPr>
                <w:noProof/>
                <w:webHidden/>
              </w:rPr>
              <w:fldChar w:fldCharType="end"/>
            </w:r>
          </w:hyperlink>
        </w:p>
        <w:p w14:paraId="38D37751" w14:textId="7A769485" w:rsidR="00BF0294" w:rsidRPr="00BF0294" w:rsidRDefault="00CC6C2F" w:rsidP="00BF0294">
          <w:pPr>
            <w:pStyle w:val="TDC1"/>
            <w:tabs>
              <w:tab w:val="right" w:leader="dot" w:pos="9034"/>
            </w:tabs>
            <w:rPr>
              <w:rFonts w:asciiTheme="minorHAnsi" w:eastAsiaTheme="minorEastAsia" w:hAnsiTheme="minorHAnsi" w:cstheme="minorBidi"/>
              <w:noProof/>
              <w:szCs w:val="22"/>
              <w:lang w:eastAsia="es-MX"/>
            </w:rPr>
          </w:pPr>
          <w:hyperlink w:anchor="_Toc206617670" w:history="1">
            <w:r w:rsidR="00BF0294" w:rsidRPr="00BF0294">
              <w:rPr>
                <w:rStyle w:val="Hipervnculo"/>
                <w:rFonts w:eastAsiaTheme="minorHAnsi"/>
                <w:noProof/>
                <w:color w:val="auto"/>
                <w:lang w:eastAsia="en-US"/>
              </w:rPr>
              <w:t>CONSIDERANDOS</w:t>
            </w:r>
            <w:r w:rsidR="00BF0294" w:rsidRPr="00BF0294">
              <w:rPr>
                <w:noProof/>
                <w:webHidden/>
              </w:rPr>
              <w:tab/>
            </w:r>
            <w:r w:rsidR="00BF0294" w:rsidRPr="00BF0294">
              <w:rPr>
                <w:noProof/>
                <w:webHidden/>
              </w:rPr>
              <w:fldChar w:fldCharType="begin"/>
            </w:r>
            <w:r w:rsidR="00BF0294" w:rsidRPr="00BF0294">
              <w:rPr>
                <w:noProof/>
                <w:webHidden/>
              </w:rPr>
              <w:instrText xml:space="preserve"> PAGEREF _Toc206617670 \h </w:instrText>
            </w:r>
            <w:r w:rsidR="00BF0294" w:rsidRPr="00BF0294">
              <w:rPr>
                <w:noProof/>
                <w:webHidden/>
              </w:rPr>
            </w:r>
            <w:r w:rsidR="00BF0294" w:rsidRPr="00BF0294">
              <w:rPr>
                <w:noProof/>
                <w:webHidden/>
              </w:rPr>
              <w:fldChar w:fldCharType="separate"/>
            </w:r>
            <w:r>
              <w:rPr>
                <w:noProof/>
                <w:webHidden/>
              </w:rPr>
              <w:t>5</w:t>
            </w:r>
            <w:r w:rsidR="00BF0294" w:rsidRPr="00BF0294">
              <w:rPr>
                <w:noProof/>
                <w:webHidden/>
              </w:rPr>
              <w:fldChar w:fldCharType="end"/>
            </w:r>
          </w:hyperlink>
        </w:p>
        <w:p w14:paraId="23952529" w14:textId="3546FCB7" w:rsidR="00BF0294" w:rsidRPr="00BF0294" w:rsidRDefault="00CC6C2F" w:rsidP="00BF0294">
          <w:pPr>
            <w:pStyle w:val="TDC2"/>
            <w:rPr>
              <w:rFonts w:asciiTheme="minorHAnsi" w:eastAsiaTheme="minorEastAsia" w:hAnsiTheme="minorHAnsi" w:cstheme="minorBidi"/>
              <w:noProof/>
              <w:szCs w:val="22"/>
              <w:lang w:eastAsia="es-MX"/>
            </w:rPr>
          </w:pPr>
          <w:hyperlink w:anchor="_Toc206617671" w:history="1">
            <w:r w:rsidR="00BF0294" w:rsidRPr="00BF0294">
              <w:rPr>
                <w:rStyle w:val="Hipervnculo"/>
                <w:rFonts w:eastAsia="Batang"/>
                <w:noProof/>
                <w:color w:val="auto"/>
              </w:rPr>
              <w:t>PRIMERO. Procedibilidad</w:t>
            </w:r>
            <w:r w:rsidR="00BF0294" w:rsidRPr="00BF0294">
              <w:rPr>
                <w:noProof/>
                <w:webHidden/>
              </w:rPr>
              <w:tab/>
            </w:r>
            <w:r w:rsidR="00BF0294" w:rsidRPr="00BF0294">
              <w:rPr>
                <w:noProof/>
                <w:webHidden/>
              </w:rPr>
              <w:fldChar w:fldCharType="begin"/>
            </w:r>
            <w:r w:rsidR="00BF0294" w:rsidRPr="00BF0294">
              <w:rPr>
                <w:noProof/>
                <w:webHidden/>
              </w:rPr>
              <w:instrText xml:space="preserve"> PAGEREF _Toc206617671 \h </w:instrText>
            </w:r>
            <w:r w:rsidR="00BF0294" w:rsidRPr="00BF0294">
              <w:rPr>
                <w:noProof/>
                <w:webHidden/>
              </w:rPr>
            </w:r>
            <w:r w:rsidR="00BF0294" w:rsidRPr="00BF0294">
              <w:rPr>
                <w:noProof/>
                <w:webHidden/>
              </w:rPr>
              <w:fldChar w:fldCharType="separate"/>
            </w:r>
            <w:r>
              <w:rPr>
                <w:noProof/>
                <w:webHidden/>
              </w:rPr>
              <w:t>5</w:t>
            </w:r>
            <w:r w:rsidR="00BF0294" w:rsidRPr="00BF0294">
              <w:rPr>
                <w:noProof/>
                <w:webHidden/>
              </w:rPr>
              <w:fldChar w:fldCharType="end"/>
            </w:r>
          </w:hyperlink>
        </w:p>
        <w:p w14:paraId="2BBF5B5B" w14:textId="35FFC7D3" w:rsidR="00BF0294" w:rsidRPr="00BF0294" w:rsidRDefault="00CC6C2F" w:rsidP="00BF0294">
          <w:pPr>
            <w:pStyle w:val="TDC3"/>
            <w:rPr>
              <w:rFonts w:asciiTheme="minorHAnsi" w:eastAsiaTheme="minorEastAsia" w:hAnsiTheme="minorHAnsi" w:cstheme="minorBidi"/>
              <w:noProof/>
              <w:szCs w:val="22"/>
              <w:lang w:eastAsia="es-MX"/>
            </w:rPr>
          </w:pPr>
          <w:hyperlink w:anchor="_Toc206617672" w:history="1">
            <w:r w:rsidR="00BF0294" w:rsidRPr="00BF0294">
              <w:rPr>
                <w:rStyle w:val="Hipervnculo"/>
                <w:noProof/>
                <w:color w:val="auto"/>
              </w:rPr>
              <w:t>a) Competencia del Instituto</w:t>
            </w:r>
            <w:r w:rsidR="00BF0294" w:rsidRPr="00BF0294">
              <w:rPr>
                <w:noProof/>
                <w:webHidden/>
              </w:rPr>
              <w:tab/>
            </w:r>
            <w:r w:rsidR="00BF0294" w:rsidRPr="00BF0294">
              <w:rPr>
                <w:noProof/>
                <w:webHidden/>
              </w:rPr>
              <w:fldChar w:fldCharType="begin"/>
            </w:r>
            <w:r w:rsidR="00BF0294" w:rsidRPr="00BF0294">
              <w:rPr>
                <w:noProof/>
                <w:webHidden/>
              </w:rPr>
              <w:instrText xml:space="preserve"> PAGEREF _Toc206617672 \h </w:instrText>
            </w:r>
            <w:r w:rsidR="00BF0294" w:rsidRPr="00BF0294">
              <w:rPr>
                <w:noProof/>
                <w:webHidden/>
              </w:rPr>
            </w:r>
            <w:r w:rsidR="00BF0294" w:rsidRPr="00BF0294">
              <w:rPr>
                <w:noProof/>
                <w:webHidden/>
              </w:rPr>
              <w:fldChar w:fldCharType="separate"/>
            </w:r>
            <w:r>
              <w:rPr>
                <w:noProof/>
                <w:webHidden/>
              </w:rPr>
              <w:t>5</w:t>
            </w:r>
            <w:r w:rsidR="00BF0294" w:rsidRPr="00BF0294">
              <w:rPr>
                <w:noProof/>
                <w:webHidden/>
              </w:rPr>
              <w:fldChar w:fldCharType="end"/>
            </w:r>
          </w:hyperlink>
        </w:p>
        <w:p w14:paraId="67207425" w14:textId="64889D91" w:rsidR="00BF0294" w:rsidRPr="00BF0294" w:rsidRDefault="00CC6C2F" w:rsidP="00BF0294">
          <w:pPr>
            <w:pStyle w:val="TDC3"/>
            <w:rPr>
              <w:rFonts w:asciiTheme="minorHAnsi" w:eastAsiaTheme="minorEastAsia" w:hAnsiTheme="minorHAnsi" w:cstheme="minorBidi"/>
              <w:noProof/>
              <w:szCs w:val="22"/>
              <w:lang w:eastAsia="es-MX"/>
            </w:rPr>
          </w:pPr>
          <w:hyperlink w:anchor="_Toc206617673" w:history="1">
            <w:r w:rsidR="00BF0294" w:rsidRPr="00BF0294">
              <w:rPr>
                <w:rStyle w:val="Hipervnculo"/>
                <w:noProof/>
                <w:color w:val="auto"/>
              </w:rPr>
              <w:t>b) Legitimidad de la parte recurrente</w:t>
            </w:r>
            <w:r w:rsidR="00BF0294" w:rsidRPr="00BF0294">
              <w:rPr>
                <w:noProof/>
                <w:webHidden/>
              </w:rPr>
              <w:tab/>
            </w:r>
            <w:r w:rsidR="00BF0294" w:rsidRPr="00BF0294">
              <w:rPr>
                <w:noProof/>
                <w:webHidden/>
              </w:rPr>
              <w:fldChar w:fldCharType="begin"/>
            </w:r>
            <w:r w:rsidR="00BF0294" w:rsidRPr="00BF0294">
              <w:rPr>
                <w:noProof/>
                <w:webHidden/>
              </w:rPr>
              <w:instrText xml:space="preserve"> PAGEREF _Toc206617673 \h </w:instrText>
            </w:r>
            <w:r w:rsidR="00BF0294" w:rsidRPr="00BF0294">
              <w:rPr>
                <w:noProof/>
                <w:webHidden/>
              </w:rPr>
            </w:r>
            <w:r w:rsidR="00BF0294" w:rsidRPr="00BF0294">
              <w:rPr>
                <w:noProof/>
                <w:webHidden/>
              </w:rPr>
              <w:fldChar w:fldCharType="separate"/>
            </w:r>
            <w:r>
              <w:rPr>
                <w:noProof/>
                <w:webHidden/>
              </w:rPr>
              <w:t>6</w:t>
            </w:r>
            <w:r w:rsidR="00BF0294" w:rsidRPr="00BF0294">
              <w:rPr>
                <w:noProof/>
                <w:webHidden/>
              </w:rPr>
              <w:fldChar w:fldCharType="end"/>
            </w:r>
          </w:hyperlink>
        </w:p>
        <w:p w14:paraId="63149139" w14:textId="166A245E" w:rsidR="00BF0294" w:rsidRPr="00BF0294" w:rsidRDefault="00CC6C2F" w:rsidP="00BF0294">
          <w:pPr>
            <w:pStyle w:val="TDC3"/>
            <w:rPr>
              <w:rFonts w:asciiTheme="minorHAnsi" w:eastAsiaTheme="minorEastAsia" w:hAnsiTheme="minorHAnsi" w:cstheme="minorBidi"/>
              <w:noProof/>
              <w:szCs w:val="22"/>
              <w:lang w:eastAsia="es-MX"/>
            </w:rPr>
          </w:pPr>
          <w:hyperlink w:anchor="_Toc206617674" w:history="1">
            <w:r w:rsidR="00BF0294" w:rsidRPr="00BF0294">
              <w:rPr>
                <w:rStyle w:val="Hipervnculo"/>
                <w:rFonts w:eastAsia="Calibri"/>
                <w:noProof/>
                <w:color w:val="auto"/>
                <w:lang w:eastAsia="es-ES_tradnl"/>
              </w:rPr>
              <w:t>c) Plazo para interponer el recurso</w:t>
            </w:r>
            <w:r w:rsidR="00BF0294" w:rsidRPr="00BF0294">
              <w:rPr>
                <w:noProof/>
                <w:webHidden/>
              </w:rPr>
              <w:tab/>
            </w:r>
            <w:r w:rsidR="00BF0294" w:rsidRPr="00BF0294">
              <w:rPr>
                <w:noProof/>
                <w:webHidden/>
              </w:rPr>
              <w:fldChar w:fldCharType="begin"/>
            </w:r>
            <w:r w:rsidR="00BF0294" w:rsidRPr="00BF0294">
              <w:rPr>
                <w:noProof/>
                <w:webHidden/>
              </w:rPr>
              <w:instrText xml:space="preserve"> PAGEREF _Toc206617674 \h </w:instrText>
            </w:r>
            <w:r w:rsidR="00BF0294" w:rsidRPr="00BF0294">
              <w:rPr>
                <w:noProof/>
                <w:webHidden/>
              </w:rPr>
            </w:r>
            <w:r w:rsidR="00BF0294" w:rsidRPr="00BF0294">
              <w:rPr>
                <w:noProof/>
                <w:webHidden/>
              </w:rPr>
              <w:fldChar w:fldCharType="separate"/>
            </w:r>
            <w:r>
              <w:rPr>
                <w:noProof/>
                <w:webHidden/>
              </w:rPr>
              <w:t>6</w:t>
            </w:r>
            <w:r w:rsidR="00BF0294" w:rsidRPr="00BF0294">
              <w:rPr>
                <w:noProof/>
                <w:webHidden/>
              </w:rPr>
              <w:fldChar w:fldCharType="end"/>
            </w:r>
          </w:hyperlink>
        </w:p>
        <w:p w14:paraId="2714131F" w14:textId="4A1F2154" w:rsidR="00BF0294" w:rsidRPr="00BF0294" w:rsidRDefault="00CC6C2F" w:rsidP="00BF0294">
          <w:pPr>
            <w:pStyle w:val="TDC3"/>
            <w:rPr>
              <w:rFonts w:asciiTheme="minorHAnsi" w:eastAsiaTheme="minorEastAsia" w:hAnsiTheme="minorHAnsi" w:cstheme="minorBidi"/>
              <w:noProof/>
              <w:szCs w:val="22"/>
              <w:lang w:eastAsia="es-MX"/>
            </w:rPr>
          </w:pPr>
          <w:hyperlink w:anchor="_Toc206617675" w:history="1">
            <w:r w:rsidR="00BF0294" w:rsidRPr="00BF0294">
              <w:rPr>
                <w:rStyle w:val="Hipervnculo"/>
                <w:rFonts w:eastAsia="Calibri"/>
                <w:noProof/>
                <w:color w:val="auto"/>
                <w:lang w:eastAsia="es-ES_tradnl"/>
              </w:rPr>
              <w:t>d) Causal de procedencia</w:t>
            </w:r>
            <w:r w:rsidR="00BF0294" w:rsidRPr="00BF0294">
              <w:rPr>
                <w:noProof/>
                <w:webHidden/>
              </w:rPr>
              <w:tab/>
            </w:r>
            <w:r w:rsidR="00BF0294" w:rsidRPr="00BF0294">
              <w:rPr>
                <w:noProof/>
                <w:webHidden/>
              </w:rPr>
              <w:fldChar w:fldCharType="begin"/>
            </w:r>
            <w:r w:rsidR="00BF0294" w:rsidRPr="00BF0294">
              <w:rPr>
                <w:noProof/>
                <w:webHidden/>
              </w:rPr>
              <w:instrText xml:space="preserve"> PAGEREF _Toc206617675 \h </w:instrText>
            </w:r>
            <w:r w:rsidR="00BF0294" w:rsidRPr="00BF0294">
              <w:rPr>
                <w:noProof/>
                <w:webHidden/>
              </w:rPr>
            </w:r>
            <w:r w:rsidR="00BF0294" w:rsidRPr="00BF0294">
              <w:rPr>
                <w:noProof/>
                <w:webHidden/>
              </w:rPr>
              <w:fldChar w:fldCharType="separate"/>
            </w:r>
            <w:r>
              <w:rPr>
                <w:noProof/>
                <w:webHidden/>
              </w:rPr>
              <w:t>6</w:t>
            </w:r>
            <w:r w:rsidR="00BF0294" w:rsidRPr="00BF0294">
              <w:rPr>
                <w:noProof/>
                <w:webHidden/>
              </w:rPr>
              <w:fldChar w:fldCharType="end"/>
            </w:r>
          </w:hyperlink>
        </w:p>
        <w:p w14:paraId="482E56D1" w14:textId="7262E539" w:rsidR="00BF0294" w:rsidRPr="00BF0294" w:rsidRDefault="00CC6C2F" w:rsidP="00BF0294">
          <w:pPr>
            <w:pStyle w:val="TDC3"/>
            <w:rPr>
              <w:rFonts w:asciiTheme="minorHAnsi" w:eastAsiaTheme="minorEastAsia" w:hAnsiTheme="minorHAnsi" w:cstheme="minorBidi"/>
              <w:noProof/>
              <w:szCs w:val="22"/>
              <w:lang w:eastAsia="es-MX"/>
            </w:rPr>
          </w:pPr>
          <w:hyperlink w:anchor="_Toc206617676" w:history="1">
            <w:r w:rsidR="00BF0294" w:rsidRPr="00BF0294">
              <w:rPr>
                <w:rStyle w:val="Hipervnculo"/>
                <w:noProof/>
                <w:color w:val="auto"/>
              </w:rPr>
              <w:t>e) Requisitos formales para la interposición del recurso</w:t>
            </w:r>
            <w:r w:rsidR="00BF0294" w:rsidRPr="00BF0294">
              <w:rPr>
                <w:noProof/>
                <w:webHidden/>
              </w:rPr>
              <w:tab/>
            </w:r>
            <w:r w:rsidR="00BF0294" w:rsidRPr="00BF0294">
              <w:rPr>
                <w:noProof/>
                <w:webHidden/>
              </w:rPr>
              <w:fldChar w:fldCharType="begin"/>
            </w:r>
            <w:r w:rsidR="00BF0294" w:rsidRPr="00BF0294">
              <w:rPr>
                <w:noProof/>
                <w:webHidden/>
              </w:rPr>
              <w:instrText xml:space="preserve"> PAGEREF _Toc206617676 \h </w:instrText>
            </w:r>
            <w:r w:rsidR="00BF0294" w:rsidRPr="00BF0294">
              <w:rPr>
                <w:noProof/>
                <w:webHidden/>
              </w:rPr>
            </w:r>
            <w:r w:rsidR="00BF0294" w:rsidRPr="00BF0294">
              <w:rPr>
                <w:noProof/>
                <w:webHidden/>
              </w:rPr>
              <w:fldChar w:fldCharType="separate"/>
            </w:r>
            <w:r>
              <w:rPr>
                <w:noProof/>
                <w:webHidden/>
              </w:rPr>
              <w:t>6</w:t>
            </w:r>
            <w:r w:rsidR="00BF0294" w:rsidRPr="00BF0294">
              <w:rPr>
                <w:noProof/>
                <w:webHidden/>
              </w:rPr>
              <w:fldChar w:fldCharType="end"/>
            </w:r>
          </w:hyperlink>
        </w:p>
        <w:p w14:paraId="34C55F80" w14:textId="6605DA54" w:rsidR="00BF0294" w:rsidRPr="00BF0294" w:rsidRDefault="00CC6C2F" w:rsidP="00BF0294">
          <w:pPr>
            <w:pStyle w:val="TDC2"/>
            <w:rPr>
              <w:rFonts w:asciiTheme="minorHAnsi" w:eastAsiaTheme="minorEastAsia" w:hAnsiTheme="minorHAnsi" w:cstheme="minorBidi"/>
              <w:noProof/>
              <w:szCs w:val="22"/>
              <w:lang w:eastAsia="es-MX"/>
            </w:rPr>
          </w:pPr>
          <w:hyperlink w:anchor="_Toc206617677" w:history="1">
            <w:r w:rsidR="00BF0294" w:rsidRPr="00BF0294">
              <w:rPr>
                <w:rStyle w:val="Hipervnculo"/>
                <w:noProof/>
                <w:color w:val="auto"/>
              </w:rPr>
              <w:t>SEGUNDO. Estudio de Fondo</w:t>
            </w:r>
            <w:r w:rsidR="00BF0294" w:rsidRPr="00BF0294">
              <w:rPr>
                <w:noProof/>
                <w:webHidden/>
              </w:rPr>
              <w:tab/>
            </w:r>
            <w:r w:rsidR="00BF0294" w:rsidRPr="00BF0294">
              <w:rPr>
                <w:noProof/>
                <w:webHidden/>
              </w:rPr>
              <w:fldChar w:fldCharType="begin"/>
            </w:r>
            <w:r w:rsidR="00BF0294" w:rsidRPr="00BF0294">
              <w:rPr>
                <w:noProof/>
                <w:webHidden/>
              </w:rPr>
              <w:instrText xml:space="preserve"> PAGEREF _Toc206617677 \h </w:instrText>
            </w:r>
            <w:r w:rsidR="00BF0294" w:rsidRPr="00BF0294">
              <w:rPr>
                <w:noProof/>
                <w:webHidden/>
              </w:rPr>
            </w:r>
            <w:r w:rsidR="00BF0294" w:rsidRPr="00BF0294">
              <w:rPr>
                <w:noProof/>
                <w:webHidden/>
              </w:rPr>
              <w:fldChar w:fldCharType="separate"/>
            </w:r>
            <w:r>
              <w:rPr>
                <w:noProof/>
                <w:webHidden/>
              </w:rPr>
              <w:t>7</w:t>
            </w:r>
            <w:r w:rsidR="00BF0294" w:rsidRPr="00BF0294">
              <w:rPr>
                <w:noProof/>
                <w:webHidden/>
              </w:rPr>
              <w:fldChar w:fldCharType="end"/>
            </w:r>
          </w:hyperlink>
        </w:p>
        <w:p w14:paraId="12ED8798" w14:textId="4C557C3A" w:rsidR="00BF0294" w:rsidRPr="00BF0294" w:rsidRDefault="00CC6C2F" w:rsidP="00BF0294">
          <w:pPr>
            <w:pStyle w:val="TDC3"/>
            <w:rPr>
              <w:rFonts w:asciiTheme="minorHAnsi" w:eastAsiaTheme="minorEastAsia" w:hAnsiTheme="minorHAnsi" w:cstheme="minorBidi"/>
              <w:noProof/>
              <w:szCs w:val="22"/>
              <w:lang w:eastAsia="es-MX"/>
            </w:rPr>
          </w:pPr>
          <w:hyperlink w:anchor="_Toc206617678" w:history="1">
            <w:r w:rsidR="00BF0294" w:rsidRPr="00BF0294">
              <w:rPr>
                <w:rStyle w:val="Hipervnculo"/>
                <w:noProof/>
                <w:color w:val="auto"/>
              </w:rPr>
              <w:t>a) Mandato de transparencia y responsabilidad del Sujeto Obligado</w:t>
            </w:r>
            <w:r w:rsidR="00BF0294" w:rsidRPr="00BF0294">
              <w:rPr>
                <w:noProof/>
                <w:webHidden/>
              </w:rPr>
              <w:tab/>
            </w:r>
            <w:r w:rsidR="00BF0294" w:rsidRPr="00BF0294">
              <w:rPr>
                <w:noProof/>
                <w:webHidden/>
              </w:rPr>
              <w:fldChar w:fldCharType="begin"/>
            </w:r>
            <w:r w:rsidR="00BF0294" w:rsidRPr="00BF0294">
              <w:rPr>
                <w:noProof/>
                <w:webHidden/>
              </w:rPr>
              <w:instrText xml:space="preserve"> PAGEREF _Toc206617678 \h </w:instrText>
            </w:r>
            <w:r w:rsidR="00BF0294" w:rsidRPr="00BF0294">
              <w:rPr>
                <w:noProof/>
                <w:webHidden/>
              </w:rPr>
            </w:r>
            <w:r w:rsidR="00BF0294" w:rsidRPr="00BF0294">
              <w:rPr>
                <w:noProof/>
                <w:webHidden/>
              </w:rPr>
              <w:fldChar w:fldCharType="separate"/>
            </w:r>
            <w:r>
              <w:rPr>
                <w:noProof/>
                <w:webHidden/>
              </w:rPr>
              <w:t>7</w:t>
            </w:r>
            <w:r w:rsidR="00BF0294" w:rsidRPr="00BF0294">
              <w:rPr>
                <w:noProof/>
                <w:webHidden/>
              </w:rPr>
              <w:fldChar w:fldCharType="end"/>
            </w:r>
          </w:hyperlink>
        </w:p>
        <w:p w14:paraId="3D77A0BE" w14:textId="5F84C81A" w:rsidR="00BF0294" w:rsidRPr="00BF0294" w:rsidRDefault="00CC6C2F" w:rsidP="00BF0294">
          <w:pPr>
            <w:pStyle w:val="TDC3"/>
            <w:rPr>
              <w:rFonts w:asciiTheme="minorHAnsi" w:eastAsiaTheme="minorEastAsia" w:hAnsiTheme="minorHAnsi" w:cstheme="minorBidi"/>
              <w:noProof/>
              <w:szCs w:val="22"/>
              <w:lang w:eastAsia="es-MX"/>
            </w:rPr>
          </w:pPr>
          <w:hyperlink w:anchor="_Toc206617679" w:history="1">
            <w:r w:rsidR="00BF0294" w:rsidRPr="00BF0294">
              <w:rPr>
                <w:rStyle w:val="Hipervnculo"/>
                <w:rFonts w:eastAsia="Calibri"/>
                <w:noProof/>
                <w:color w:val="auto"/>
                <w:lang w:eastAsia="es-ES_tradnl"/>
              </w:rPr>
              <w:t>b) Controversia a resolver</w:t>
            </w:r>
            <w:r w:rsidR="00BF0294" w:rsidRPr="00BF0294">
              <w:rPr>
                <w:noProof/>
                <w:webHidden/>
              </w:rPr>
              <w:tab/>
            </w:r>
            <w:r w:rsidR="00BF0294" w:rsidRPr="00BF0294">
              <w:rPr>
                <w:noProof/>
                <w:webHidden/>
              </w:rPr>
              <w:fldChar w:fldCharType="begin"/>
            </w:r>
            <w:r w:rsidR="00BF0294" w:rsidRPr="00BF0294">
              <w:rPr>
                <w:noProof/>
                <w:webHidden/>
              </w:rPr>
              <w:instrText xml:space="preserve"> PAGEREF _Toc206617679 \h </w:instrText>
            </w:r>
            <w:r w:rsidR="00BF0294" w:rsidRPr="00BF0294">
              <w:rPr>
                <w:noProof/>
                <w:webHidden/>
              </w:rPr>
            </w:r>
            <w:r w:rsidR="00BF0294" w:rsidRPr="00BF0294">
              <w:rPr>
                <w:noProof/>
                <w:webHidden/>
              </w:rPr>
              <w:fldChar w:fldCharType="separate"/>
            </w:r>
            <w:r>
              <w:rPr>
                <w:noProof/>
                <w:webHidden/>
              </w:rPr>
              <w:t>10</w:t>
            </w:r>
            <w:r w:rsidR="00BF0294" w:rsidRPr="00BF0294">
              <w:rPr>
                <w:noProof/>
                <w:webHidden/>
              </w:rPr>
              <w:fldChar w:fldCharType="end"/>
            </w:r>
          </w:hyperlink>
        </w:p>
        <w:p w14:paraId="315E80A7" w14:textId="019E04C8" w:rsidR="00BF0294" w:rsidRPr="00BF0294" w:rsidRDefault="00CC6C2F" w:rsidP="00BF0294">
          <w:pPr>
            <w:pStyle w:val="TDC3"/>
            <w:rPr>
              <w:rFonts w:asciiTheme="minorHAnsi" w:eastAsiaTheme="minorEastAsia" w:hAnsiTheme="minorHAnsi" w:cstheme="minorBidi"/>
              <w:noProof/>
              <w:szCs w:val="22"/>
              <w:lang w:eastAsia="es-MX"/>
            </w:rPr>
          </w:pPr>
          <w:hyperlink w:anchor="_Toc206617680" w:history="1">
            <w:r w:rsidR="00BF0294" w:rsidRPr="00BF0294">
              <w:rPr>
                <w:rStyle w:val="Hipervnculo"/>
                <w:noProof/>
                <w:color w:val="auto"/>
              </w:rPr>
              <w:t>c) Estudio de la controversia</w:t>
            </w:r>
            <w:r w:rsidR="00BF0294" w:rsidRPr="00BF0294">
              <w:rPr>
                <w:noProof/>
                <w:webHidden/>
              </w:rPr>
              <w:tab/>
            </w:r>
            <w:r w:rsidR="00BF0294" w:rsidRPr="00BF0294">
              <w:rPr>
                <w:noProof/>
                <w:webHidden/>
              </w:rPr>
              <w:fldChar w:fldCharType="begin"/>
            </w:r>
            <w:r w:rsidR="00BF0294" w:rsidRPr="00BF0294">
              <w:rPr>
                <w:noProof/>
                <w:webHidden/>
              </w:rPr>
              <w:instrText xml:space="preserve"> PAGEREF _Toc206617680 \h </w:instrText>
            </w:r>
            <w:r w:rsidR="00BF0294" w:rsidRPr="00BF0294">
              <w:rPr>
                <w:noProof/>
                <w:webHidden/>
              </w:rPr>
            </w:r>
            <w:r w:rsidR="00BF0294" w:rsidRPr="00BF0294">
              <w:rPr>
                <w:noProof/>
                <w:webHidden/>
              </w:rPr>
              <w:fldChar w:fldCharType="separate"/>
            </w:r>
            <w:r>
              <w:rPr>
                <w:noProof/>
                <w:webHidden/>
              </w:rPr>
              <w:t>11</w:t>
            </w:r>
            <w:r w:rsidR="00BF0294" w:rsidRPr="00BF0294">
              <w:rPr>
                <w:noProof/>
                <w:webHidden/>
              </w:rPr>
              <w:fldChar w:fldCharType="end"/>
            </w:r>
          </w:hyperlink>
        </w:p>
        <w:p w14:paraId="117A422A" w14:textId="5A288057" w:rsidR="00BF0294" w:rsidRPr="00BF0294" w:rsidRDefault="00CC6C2F" w:rsidP="00BF0294">
          <w:pPr>
            <w:pStyle w:val="TDC3"/>
            <w:rPr>
              <w:rFonts w:asciiTheme="minorHAnsi" w:eastAsiaTheme="minorEastAsia" w:hAnsiTheme="minorHAnsi" w:cstheme="minorBidi"/>
              <w:noProof/>
              <w:szCs w:val="22"/>
              <w:lang w:eastAsia="es-MX"/>
            </w:rPr>
          </w:pPr>
          <w:hyperlink w:anchor="_Toc206617681" w:history="1">
            <w:r w:rsidR="00BF0294" w:rsidRPr="00BF0294">
              <w:rPr>
                <w:rStyle w:val="Hipervnculo"/>
                <w:noProof/>
                <w:color w:val="auto"/>
              </w:rPr>
              <w:t>d) Conclusión</w:t>
            </w:r>
            <w:r w:rsidR="00BF0294" w:rsidRPr="00BF0294">
              <w:rPr>
                <w:noProof/>
                <w:webHidden/>
              </w:rPr>
              <w:tab/>
            </w:r>
            <w:r w:rsidR="00BF0294" w:rsidRPr="00BF0294">
              <w:rPr>
                <w:noProof/>
                <w:webHidden/>
              </w:rPr>
              <w:fldChar w:fldCharType="begin"/>
            </w:r>
            <w:r w:rsidR="00BF0294" w:rsidRPr="00BF0294">
              <w:rPr>
                <w:noProof/>
                <w:webHidden/>
              </w:rPr>
              <w:instrText xml:space="preserve"> PAGEREF _Toc206617681 \h </w:instrText>
            </w:r>
            <w:r w:rsidR="00BF0294" w:rsidRPr="00BF0294">
              <w:rPr>
                <w:noProof/>
                <w:webHidden/>
              </w:rPr>
            </w:r>
            <w:r w:rsidR="00BF0294" w:rsidRPr="00BF0294">
              <w:rPr>
                <w:noProof/>
                <w:webHidden/>
              </w:rPr>
              <w:fldChar w:fldCharType="separate"/>
            </w:r>
            <w:r>
              <w:rPr>
                <w:noProof/>
                <w:webHidden/>
              </w:rPr>
              <w:t>21</w:t>
            </w:r>
            <w:r w:rsidR="00BF0294" w:rsidRPr="00BF0294">
              <w:rPr>
                <w:noProof/>
                <w:webHidden/>
              </w:rPr>
              <w:fldChar w:fldCharType="end"/>
            </w:r>
          </w:hyperlink>
        </w:p>
        <w:p w14:paraId="1A490147" w14:textId="6C0735AD" w:rsidR="00BF0294" w:rsidRPr="00BF0294" w:rsidRDefault="00CC6C2F" w:rsidP="00BF0294">
          <w:pPr>
            <w:pStyle w:val="TDC1"/>
            <w:tabs>
              <w:tab w:val="right" w:leader="dot" w:pos="9034"/>
            </w:tabs>
            <w:rPr>
              <w:rFonts w:asciiTheme="minorHAnsi" w:eastAsiaTheme="minorEastAsia" w:hAnsiTheme="minorHAnsi" w:cstheme="minorBidi"/>
              <w:noProof/>
              <w:szCs w:val="22"/>
              <w:lang w:eastAsia="es-MX"/>
            </w:rPr>
          </w:pPr>
          <w:hyperlink w:anchor="_Toc206617682" w:history="1">
            <w:r w:rsidR="00BF0294" w:rsidRPr="00BF0294">
              <w:rPr>
                <w:rStyle w:val="Hipervnculo"/>
                <w:noProof/>
                <w:color w:val="auto"/>
              </w:rPr>
              <w:t>RESUELVE</w:t>
            </w:r>
            <w:r w:rsidR="00BF0294" w:rsidRPr="00BF0294">
              <w:rPr>
                <w:noProof/>
                <w:webHidden/>
              </w:rPr>
              <w:tab/>
            </w:r>
            <w:r w:rsidR="00BF0294" w:rsidRPr="00BF0294">
              <w:rPr>
                <w:noProof/>
                <w:webHidden/>
              </w:rPr>
              <w:fldChar w:fldCharType="begin"/>
            </w:r>
            <w:r w:rsidR="00BF0294" w:rsidRPr="00BF0294">
              <w:rPr>
                <w:noProof/>
                <w:webHidden/>
              </w:rPr>
              <w:instrText xml:space="preserve"> PAGEREF _Toc206617682 \h </w:instrText>
            </w:r>
            <w:r w:rsidR="00BF0294" w:rsidRPr="00BF0294">
              <w:rPr>
                <w:noProof/>
                <w:webHidden/>
              </w:rPr>
            </w:r>
            <w:r w:rsidR="00BF0294" w:rsidRPr="00BF0294">
              <w:rPr>
                <w:noProof/>
                <w:webHidden/>
              </w:rPr>
              <w:fldChar w:fldCharType="separate"/>
            </w:r>
            <w:r>
              <w:rPr>
                <w:noProof/>
                <w:webHidden/>
              </w:rPr>
              <w:t>22</w:t>
            </w:r>
            <w:r w:rsidR="00BF0294" w:rsidRPr="00BF0294">
              <w:rPr>
                <w:noProof/>
                <w:webHidden/>
              </w:rPr>
              <w:fldChar w:fldCharType="end"/>
            </w:r>
          </w:hyperlink>
        </w:p>
        <w:p w14:paraId="603A07E2" w14:textId="26F707B3" w:rsidR="00646436" w:rsidRPr="00BF0294" w:rsidRDefault="00AE3DA7" w:rsidP="00BF0294">
          <w:pPr>
            <w:spacing w:line="240" w:lineRule="auto"/>
            <w:rPr>
              <w:b/>
              <w:bCs/>
              <w:lang w:val="es-ES"/>
            </w:rPr>
            <w:sectPr w:rsidR="00646436" w:rsidRPr="00BF0294"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r w:rsidRPr="00BF0294">
            <w:rPr>
              <w:b/>
              <w:bCs/>
              <w:sz w:val="16"/>
              <w:szCs w:val="16"/>
              <w:lang w:val="es-ES"/>
            </w:rPr>
            <w:fldChar w:fldCharType="end"/>
          </w:r>
        </w:p>
      </w:sdtContent>
    </w:sdt>
    <w:p w14:paraId="7A9A4270" w14:textId="03275C25" w:rsidR="00775BFC" w:rsidRPr="00BF0294" w:rsidRDefault="00775BFC" w:rsidP="00BF0294">
      <w:r w:rsidRPr="00BF0294">
        <w:lastRenderedPageBreak/>
        <w:t>Resolución del Pleno del Instituto de Transparencia, Acceso a la Información Pública y Protección de Datos Personales del Estado de México y Municipios, con domicilio e</w:t>
      </w:r>
      <w:r w:rsidR="004D0573" w:rsidRPr="00BF0294">
        <w:t>n Metepec, Estado de México, de</w:t>
      </w:r>
      <w:r w:rsidR="00BF0294" w:rsidRPr="00BF0294">
        <w:t>l</w:t>
      </w:r>
      <w:r w:rsidR="004D0573" w:rsidRPr="00BF0294">
        <w:t xml:space="preserve"> </w:t>
      </w:r>
      <w:r w:rsidR="00F2553E" w:rsidRPr="00BF0294">
        <w:rPr>
          <w:b/>
        </w:rPr>
        <w:t>veinte de agosto</w:t>
      </w:r>
      <w:r w:rsidR="00B373AF" w:rsidRPr="00BF0294">
        <w:rPr>
          <w:b/>
        </w:rPr>
        <w:t xml:space="preserve"> </w:t>
      </w:r>
      <w:r w:rsidR="006E7E69" w:rsidRPr="00BF0294">
        <w:rPr>
          <w:b/>
        </w:rPr>
        <w:t>de dos mil veinticinco</w:t>
      </w:r>
      <w:r w:rsidRPr="00BF0294">
        <w:t>.</w:t>
      </w:r>
    </w:p>
    <w:p w14:paraId="0AF3AAC4" w14:textId="77777777" w:rsidR="00775BFC" w:rsidRPr="00BF0294" w:rsidRDefault="00775BFC" w:rsidP="00BF0294"/>
    <w:p w14:paraId="40EAE038" w14:textId="1D5C3C89" w:rsidR="00775BFC" w:rsidRPr="00BF0294" w:rsidRDefault="00775BFC" w:rsidP="00BF0294">
      <w:r w:rsidRPr="00BF0294">
        <w:rPr>
          <w:b/>
        </w:rPr>
        <w:t xml:space="preserve">VISTO </w:t>
      </w:r>
      <w:r w:rsidRPr="00BF0294">
        <w:t xml:space="preserve">el expediente formado con motivo del Recurso de Revisión </w:t>
      </w:r>
      <w:r w:rsidR="00EE2B24" w:rsidRPr="00BF0294">
        <w:rPr>
          <w:rFonts w:eastAsia="Calibri"/>
          <w:b/>
          <w:lang w:eastAsia="en-US"/>
        </w:rPr>
        <w:t>08002/INFOEM/IP/RR/2025</w:t>
      </w:r>
      <w:r w:rsidRPr="00BF0294">
        <w:rPr>
          <w:rFonts w:eastAsia="Calibri"/>
          <w:lang w:eastAsia="en-US"/>
        </w:rPr>
        <w:t xml:space="preserve"> </w:t>
      </w:r>
      <w:r w:rsidRPr="00BF0294">
        <w:t xml:space="preserve">interpuesto por </w:t>
      </w:r>
      <w:r w:rsidR="00EE2B24" w:rsidRPr="00BF0294">
        <w:rPr>
          <w:rFonts w:eastAsia="Calibri"/>
          <w:b/>
          <w:lang w:eastAsia="en-US"/>
        </w:rPr>
        <w:t>una persona de manera anónima</w:t>
      </w:r>
      <w:r w:rsidRPr="00BF0294">
        <w:rPr>
          <w:rFonts w:eastAsia="Calibri"/>
          <w:b/>
          <w:lang w:eastAsia="en-US"/>
        </w:rPr>
        <w:t>,</w:t>
      </w:r>
      <w:r w:rsidRPr="00BF0294">
        <w:t xml:space="preserve"> a quien en lo subsecuente se le denominará </w:t>
      </w:r>
      <w:r w:rsidRPr="00BF0294">
        <w:rPr>
          <w:b/>
          <w:bCs/>
        </w:rPr>
        <w:t>LA PARTE RECURRENTE</w:t>
      </w:r>
      <w:r w:rsidRPr="00BF0294">
        <w:t xml:space="preserve">, en contra de la </w:t>
      </w:r>
      <w:r w:rsidR="00773DD6" w:rsidRPr="00BF0294">
        <w:t xml:space="preserve">respuesta </w:t>
      </w:r>
      <w:r w:rsidR="00BA1AB6" w:rsidRPr="00BF0294">
        <w:t>de</w:t>
      </w:r>
      <w:r w:rsidR="005A5BF2" w:rsidRPr="00BF0294">
        <w:t>l</w:t>
      </w:r>
      <w:r w:rsidR="00773DD6" w:rsidRPr="00BF0294">
        <w:t xml:space="preserve"> </w:t>
      </w:r>
      <w:r w:rsidR="00170CF5" w:rsidRPr="00BF0294">
        <w:rPr>
          <w:rFonts w:eastAsia="Calibri"/>
          <w:b/>
          <w:lang w:eastAsia="en-US"/>
        </w:rPr>
        <w:t>Sistema Municipal para el Desarrollo Integral de la Familia de Coyotepec</w:t>
      </w:r>
      <w:r w:rsidRPr="00BF0294">
        <w:rPr>
          <w:b/>
          <w:bCs/>
        </w:rPr>
        <w:t>,</w:t>
      </w:r>
      <w:r w:rsidRPr="00BF0294">
        <w:t xml:space="preserve"> en adelante </w:t>
      </w:r>
      <w:r w:rsidRPr="00BF0294">
        <w:rPr>
          <w:b/>
          <w:bCs/>
        </w:rPr>
        <w:t>EL SUJETO OBLIGADO</w:t>
      </w:r>
      <w:r w:rsidRPr="00BF0294">
        <w:rPr>
          <w:rFonts w:eastAsia="Calibri"/>
          <w:lang w:eastAsia="en-US"/>
        </w:rPr>
        <w:t xml:space="preserve">, </w:t>
      </w:r>
      <w:r w:rsidRPr="00BF0294">
        <w:t>se emite la presente Resolución con base en los Antecedentes y Considerandos que se exponen a continuación:</w:t>
      </w:r>
    </w:p>
    <w:p w14:paraId="2116968C" w14:textId="77777777" w:rsidR="00775BFC" w:rsidRPr="00BF0294" w:rsidRDefault="00775BFC" w:rsidP="00BF0294"/>
    <w:p w14:paraId="5A444FB6" w14:textId="639D3567" w:rsidR="00664420" w:rsidRPr="00BF0294" w:rsidRDefault="00664420" w:rsidP="00BF0294">
      <w:pPr>
        <w:pStyle w:val="Ttulo1"/>
      </w:pPr>
      <w:bookmarkStart w:id="2" w:name="_Toc206617658"/>
      <w:r w:rsidRPr="00BF0294">
        <w:t>ANTECEDENTES</w:t>
      </w:r>
      <w:bookmarkEnd w:id="2"/>
    </w:p>
    <w:p w14:paraId="5CB5034E" w14:textId="77777777" w:rsidR="00AC2DB8" w:rsidRPr="00BF0294" w:rsidRDefault="00AC2DB8" w:rsidP="00BF0294"/>
    <w:p w14:paraId="09B2D38F" w14:textId="6E49D146" w:rsidR="00664420" w:rsidRPr="00BF0294" w:rsidRDefault="00E37A3F" w:rsidP="00BF0294">
      <w:pPr>
        <w:pStyle w:val="Ttulo2"/>
      </w:pPr>
      <w:bookmarkStart w:id="3" w:name="_Toc206617659"/>
      <w:r w:rsidRPr="00BF0294">
        <w:t>DE LA SOLICITUD DE INFORMACIÓN</w:t>
      </w:r>
      <w:bookmarkEnd w:id="3"/>
    </w:p>
    <w:p w14:paraId="2C6AD1A5" w14:textId="0405B3CD" w:rsidR="00664420" w:rsidRPr="00BF0294" w:rsidRDefault="00E37A3F" w:rsidP="00BF0294">
      <w:pPr>
        <w:pStyle w:val="Ttulo3"/>
      </w:pPr>
      <w:bookmarkStart w:id="4" w:name="_Toc206617660"/>
      <w:r w:rsidRPr="00BF0294">
        <w:t xml:space="preserve">a) </w:t>
      </w:r>
      <w:r w:rsidR="006B10B0" w:rsidRPr="00BF0294">
        <w:t>S</w:t>
      </w:r>
      <w:r w:rsidR="00664420" w:rsidRPr="00BF0294">
        <w:t xml:space="preserve">olicitud de </w:t>
      </w:r>
      <w:r w:rsidR="006B10B0" w:rsidRPr="00BF0294">
        <w:t>i</w:t>
      </w:r>
      <w:r w:rsidR="00664420" w:rsidRPr="00BF0294">
        <w:t>nformación</w:t>
      </w:r>
      <w:bookmarkEnd w:id="4"/>
    </w:p>
    <w:p w14:paraId="6F73510B" w14:textId="7FD1F847" w:rsidR="000F32E8" w:rsidRPr="00BF0294" w:rsidRDefault="00B169A2" w:rsidP="00BF0294">
      <w:pPr>
        <w:pStyle w:val="Prrafodelista"/>
        <w:tabs>
          <w:tab w:val="left" w:pos="0"/>
        </w:tabs>
        <w:ind w:left="0"/>
        <w:contextualSpacing w:val="0"/>
        <w:rPr>
          <w:rFonts w:cs="Tahoma"/>
        </w:rPr>
      </w:pPr>
      <w:r w:rsidRPr="00BF0294">
        <w:rPr>
          <w:rFonts w:cs="Tahoma"/>
        </w:rPr>
        <w:t xml:space="preserve">El </w:t>
      </w:r>
      <w:r w:rsidR="00170CF5" w:rsidRPr="00BF0294">
        <w:rPr>
          <w:rFonts w:cs="Tahoma"/>
          <w:b/>
          <w:bCs/>
        </w:rPr>
        <w:t>nueve</w:t>
      </w:r>
      <w:r w:rsidR="007D3735" w:rsidRPr="00BF0294">
        <w:rPr>
          <w:rFonts w:cs="Tahoma"/>
          <w:b/>
          <w:bCs/>
        </w:rPr>
        <w:t xml:space="preserve"> de junio</w:t>
      </w:r>
      <w:r w:rsidR="0086345C" w:rsidRPr="00BF0294">
        <w:rPr>
          <w:rFonts w:cs="Tahoma"/>
          <w:b/>
          <w:bCs/>
        </w:rPr>
        <w:t xml:space="preserve"> </w:t>
      </w:r>
      <w:r w:rsidR="006E7E69" w:rsidRPr="00BF0294">
        <w:rPr>
          <w:rFonts w:cs="Tahoma"/>
          <w:b/>
          <w:bCs/>
        </w:rPr>
        <w:t>de dos mil veinticinco</w:t>
      </w:r>
      <w:r w:rsidRPr="00BF0294">
        <w:rPr>
          <w:rFonts w:cs="Tahoma"/>
        </w:rPr>
        <w:t xml:space="preserve">, </w:t>
      </w:r>
      <w:r w:rsidRPr="00BF0294">
        <w:rPr>
          <w:b/>
          <w:bCs/>
        </w:rPr>
        <w:t>LA PARTE RECURRENTE</w:t>
      </w:r>
      <w:r w:rsidRPr="00BF0294">
        <w:rPr>
          <w:rFonts w:cs="Tahoma"/>
        </w:rPr>
        <w:t xml:space="preserve"> presentó una solicitud de acceso a la información pública ante el </w:t>
      </w:r>
      <w:r w:rsidRPr="00BF0294">
        <w:rPr>
          <w:rFonts w:cs="Tahoma"/>
          <w:b/>
          <w:bCs/>
        </w:rPr>
        <w:t>SUJETO OBLIGADO</w:t>
      </w:r>
      <w:r w:rsidRPr="00BF0294">
        <w:rPr>
          <w:rFonts w:cs="Tahoma"/>
        </w:rPr>
        <w:t xml:space="preserve">, a través </w:t>
      </w:r>
      <w:r w:rsidR="000F32E8" w:rsidRPr="00BF0294">
        <w:rPr>
          <w:rFonts w:cs="Tahoma"/>
        </w:rPr>
        <w:t>Sistema de Acceso a la Información Mexiquense (</w:t>
      </w:r>
      <w:r w:rsidR="000F32E8" w:rsidRPr="00BF0294">
        <w:rPr>
          <w:rFonts w:cs="Tahoma"/>
          <w:b/>
        </w:rPr>
        <w:t>SAIMEX</w:t>
      </w:r>
      <w:r w:rsidR="000F32E8" w:rsidRPr="00BF0294">
        <w:rPr>
          <w:rFonts w:cs="Tahoma"/>
        </w:rPr>
        <w:t xml:space="preserve">). </w:t>
      </w:r>
      <w:r w:rsidRPr="00BF0294">
        <w:rPr>
          <w:rFonts w:cs="Tahoma"/>
        </w:rPr>
        <w:t>Dicha solicitud quedó registrada con el número de folio</w:t>
      </w:r>
      <w:r w:rsidRPr="00BF0294">
        <w:rPr>
          <w:rFonts w:cs="Tahoma"/>
          <w:b/>
          <w:bCs/>
        </w:rPr>
        <w:t xml:space="preserve"> </w:t>
      </w:r>
      <w:r w:rsidR="00EE2B24" w:rsidRPr="00BF0294">
        <w:rPr>
          <w:rFonts w:cs="Tahoma"/>
          <w:b/>
        </w:rPr>
        <w:t>00018/DIFCOYOTEPEC/IP/2025</w:t>
      </w:r>
      <w:r w:rsidR="0086345C" w:rsidRPr="00BF0294">
        <w:rPr>
          <w:rFonts w:ascii="Verdana" w:hAnsi="Verdana"/>
          <w:b/>
          <w:bCs/>
        </w:rPr>
        <w:t xml:space="preserve"> </w:t>
      </w:r>
      <w:r w:rsidRPr="00BF0294">
        <w:rPr>
          <w:rFonts w:cs="Tahoma"/>
        </w:rPr>
        <w:t>y en ella se requirió la siguiente información:</w:t>
      </w:r>
    </w:p>
    <w:p w14:paraId="0459D6AC" w14:textId="77777777" w:rsidR="00664420" w:rsidRPr="00BF0294" w:rsidRDefault="00664420" w:rsidP="00BF0294">
      <w:pPr>
        <w:tabs>
          <w:tab w:val="left" w:pos="4667"/>
        </w:tabs>
        <w:ind w:left="567" w:right="567"/>
        <w:rPr>
          <w:rFonts w:cs="Tahoma"/>
          <w:b/>
          <w:bCs/>
        </w:rPr>
      </w:pPr>
    </w:p>
    <w:p w14:paraId="64B27DE3" w14:textId="5B860DBE" w:rsidR="00664420" w:rsidRPr="00BF0294" w:rsidRDefault="002B1D44" w:rsidP="00BF0294">
      <w:pPr>
        <w:pStyle w:val="Puesto"/>
      </w:pPr>
      <w:r w:rsidRPr="00BF0294">
        <w:t>“</w:t>
      </w:r>
      <w:r w:rsidR="00170CF5" w:rsidRPr="00BF0294">
        <w:t>Requiero me comparta el plan de trabajo programado de los años 2023 y 2024, mismos que se entregan a OSFEM.</w:t>
      </w:r>
      <w:r w:rsidRPr="00BF0294">
        <w:t>”</w:t>
      </w:r>
      <w:r w:rsidR="00BA1AB6" w:rsidRPr="00BF0294">
        <w:t xml:space="preserve"> (</w:t>
      </w:r>
      <w:proofErr w:type="gramStart"/>
      <w:r w:rsidR="00BA1AB6" w:rsidRPr="00BF0294">
        <w:t>sic</w:t>
      </w:r>
      <w:proofErr w:type="gramEnd"/>
      <w:r w:rsidR="00BA1AB6" w:rsidRPr="00BF0294">
        <w:t>)</w:t>
      </w:r>
    </w:p>
    <w:p w14:paraId="07B1E1B5" w14:textId="77777777" w:rsidR="004D0573" w:rsidRPr="00BF0294" w:rsidRDefault="004D0573" w:rsidP="00BF0294">
      <w:pPr>
        <w:pStyle w:val="Puesto"/>
      </w:pPr>
    </w:p>
    <w:p w14:paraId="0BD6321D" w14:textId="5D8567EA" w:rsidR="00664420" w:rsidRPr="00BF0294" w:rsidRDefault="009A2D78" w:rsidP="00BF0294">
      <w:pPr>
        <w:tabs>
          <w:tab w:val="left" w:pos="4667"/>
        </w:tabs>
        <w:ind w:left="567" w:right="567"/>
        <w:rPr>
          <w:rFonts w:cs="Tahoma"/>
          <w:bCs/>
          <w:i/>
          <w:szCs w:val="22"/>
        </w:rPr>
      </w:pPr>
      <w:r w:rsidRPr="00BF0294">
        <w:rPr>
          <w:rFonts w:cs="Tahoma"/>
          <w:b/>
          <w:bCs/>
          <w:szCs w:val="22"/>
        </w:rPr>
        <w:t>Modalidad de entrega</w:t>
      </w:r>
      <w:r w:rsidRPr="00BF0294">
        <w:rPr>
          <w:rFonts w:cs="Tahoma"/>
          <w:bCs/>
          <w:szCs w:val="22"/>
        </w:rPr>
        <w:t>: a</w:t>
      </w:r>
      <w:r w:rsidR="00664420" w:rsidRPr="00BF0294">
        <w:rPr>
          <w:rFonts w:cs="Tahoma"/>
          <w:bCs/>
          <w:i/>
          <w:szCs w:val="22"/>
        </w:rPr>
        <w:t xml:space="preserve"> través del </w:t>
      </w:r>
      <w:r w:rsidR="00664420" w:rsidRPr="00BF0294">
        <w:rPr>
          <w:rFonts w:cs="Tahoma"/>
          <w:b/>
          <w:bCs/>
          <w:i/>
          <w:szCs w:val="22"/>
        </w:rPr>
        <w:t>SAIMEX</w:t>
      </w:r>
      <w:r w:rsidRPr="00BF0294">
        <w:rPr>
          <w:rFonts w:cs="Tahoma"/>
          <w:bCs/>
          <w:i/>
          <w:szCs w:val="22"/>
        </w:rPr>
        <w:t>.</w:t>
      </w:r>
    </w:p>
    <w:p w14:paraId="4DA3DA3C" w14:textId="77777777" w:rsidR="00157173" w:rsidRPr="00BF0294" w:rsidRDefault="00157173" w:rsidP="00BF0294">
      <w:pPr>
        <w:tabs>
          <w:tab w:val="left" w:pos="4667"/>
        </w:tabs>
        <w:ind w:left="567" w:right="567"/>
        <w:rPr>
          <w:rFonts w:cs="Tahoma"/>
          <w:bCs/>
          <w:szCs w:val="22"/>
        </w:rPr>
      </w:pPr>
    </w:p>
    <w:p w14:paraId="7A3C7157" w14:textId="77777777" w:rsidR="00157173" w:rsidRPr="00BF0294" w:rsidRDefault="00157173" w:rsidP="00BF0294">
      <w:pPr>
        <w:pStyle w:val="Ttulo3"/>
      </w:pPr>
      <w:bookmarkStart w:id="5" w:name="_Toc191547684"/>
      <w:bookmarkStart w:id="6" w:name="_Toc206617661"/>
      <w:r w:rsidRPr="00BF0294">
        <w:lastRenderedPageBreak/>
        <w:t>b) Turno de la solicitud de información</w:t>
      </w:r>
      <w:bookmarkEnd w:id="5"/>
      <w:bookmarkEnd w:id="6"/>
    </w:p>
    <w:p w14:paraId="7BD5056C" w14:textId="686A7355" w:rsidR="00157173" w:rsidRPr="00BF0294" w:rsidRDefault="00157173" w:rsidP="00BF0294">
      <w:r w:rsidRPr="00BF0294">
        <w:t xml:space="preserve">En cumplimiento al artículo 162 de la Ley de Transparencia y Acceso a la Información Pública del Estado de México y Municipios, el </w:t>
      </w:r>
      <w:r w:rsidR="00170CF5" w:rsidRPr="00BF0294">
        <w:rPr>
          <w:rFonts w:eastAsia="Palatino Linotype" w:cs="Palatino Linotype"/>
          <w:b/>
        </w:rPr>
        <w:t>diez de junio</w:t>
      </w:r>
      <w:r w:rsidR="003A2659" w:rsidRPr="00BF0294">
        <w:rPr>
          <w:rFonts w:eastAsia="Palatino Linotype" w:cs="Palatino Linotype"/>
          <w:b/>
        </w:rPr>
        <w:t xml:space="preserve"> de</w:t>
      </w:r>
      <w:r w:rsidRPr="00BF0294">
        <w:rPr>
          <w:rFonts w:eastAsia="Palatino Linotype" w:cs="Palatino Linotype"/>
          <w:b/>
        </w:rPr>
        <w:t xml:space="preserve"> dos mil veinticinco</w:t>
      </w:r>
      <w:r w:rsidRPr="00BF0294">
        <w:t xml:space="preserve">, el Titular de la Unidad de Transparencia del </w:t>
      </w:r>
      <w:r w:rsidRPr="00BF0294">
        <w:rPr>
          <w:b/>
        </w:rPr>
        <w:t>SUJETO OBLIGADO</w:t>
      </w:r>
      <w:r w:rsidRPr="00BF0294">
        <w:t xml:space="preserve"> turnó la solicitud de información al servidor público habilitado que estimó pertinente.</w:t>
      </w:r>
    </w:p>
    <w:p w14:paraId="334D2860" w14:textId="77777777" w:rsidR="00664420" w:rsidRPr="00BF0294" w:rsidRDefault="00664420" w:rsidP="00BF0294">
      <w:pPr>
        <w:autoSpaceDE w:val="0"/>
        <w:autoSpaceDN w:val="0"/>
        <w:adjustRightInd w:val="0"/>
        <w:ind w:right="-28"/>
        <w:rPr>
          <w:rFonts w:cs="Tahoma"/>
          <w:bCs/>
          <w:i/>
          <w:szCs w:val="22"/>
        </w:rPr>
      </w:pPr>
    </w:p>
    <w:p w14:paraId="3212BA4D" w14:textId="0C01C054" w:rsidR="00664420" w:rsidRPr="00BF0294" w:rsidRDefault="003E750D" w:rsidP="00BF0294">
      <w:pPr>
        <w:pStyle w:val="Ttulo3"/>
      </w:pPr>
      <w:bookmarkStart w:id="7" w:name="_Toc192675139"/>
      <w:bookmarkStart w:id="8" w:name="_Toc206617662"/>
      <w:r w:rsidRPr="00BF0294">
        <w:t>c</w:t>
      </w:r>
      <w:r w:rsidR="000611E4" w:rsidRPr="00BF0294">
        <w:t xml:space="preserve">) </w:t>
      </w:r>
      <w:bookmarkEnd w:id="7"/>
      <w:r w:rsidR="00664420" w:rsidRPr="00BF0294">
        <w:rPr>
          <w:lang w:val="es-ES"/>
        </w:rPr>
        <w:t xml:space="preserve">Respuesta </w:t>
      </w:r>
      <w:r w:rsidR="00664420" w:rsidRPr="00BF0294">
        <w:rPr>
          <w:rFonts w:eastAsia="Calibri"/>
          <w:lang w:eastAsia="en-US"/>
        </w:rPr>
        <w:t>del Sujeto Obligado</w:t>
      </w:r>
      <w:bookmarkEnd w:id="8"/>
    </w:p>
    <w:p w14:paraId="2143017E" w14:textId="4BE7EA70" w:rsidR="00BA1AB6" w:rsidRPr="00BF0294" w:rsidRDefault="003B0255" w:rsidP="00BF0294">
      <w:pPr>
        <w:rPr>
          <w:lang w:val="es-ES"/>
        </w:rPr>
      </w:pPr>
      <w:r w:rsidRPr="00BF0294">
        <w:rPr>
          <w:lang w:val="es-ES"/>
        </w:rPr>
        <w:t xml:space="preserve">El </w:t>
      </w:r>
      <w:r w:rsidR="00170CF5" w:rsidRPr="00BF0294">
        <w:rPr>
          <w:b/>
          <w:bCs/>
          <w:lang w:val="es-ES"/>
        </w:rPr>
        <w:t>treinta de junio</w:t>
      </w:r>
      <w:r w:rsidR="001D0BF3" w:rsidRPr="00BF0294">
        <w:rPr>
          <w:b/>
          <w:bCs/>
          <w:lang w:val="es-ES"/>
        </w:rPr>
        <w:t xml:space="preserve"> </w:t>
      </w:r>
      <w:r w:rsidRPr="00BF0294">
        <w:rPr>
          <w:b/>
          <w:bCs/>
          <w:lang w:val="es-ES"/>
        </w:rPr>
        <w:t>de dos mil veintic</w:t>
      </w:r>
      <w:r w:rsidR="006E7E69" w:rsidRPr="00BF0294">
        <w:rPr>
          <w:b/>
          <w:bCs/>
          <w:lang w:val="es-ES"/>
        </w:rPr>
        <w:t>inco</w:t>
      </w:r>
      <w:r w:rsidRPr="00BF0294">
        <w:rPr>
          <w:lang w:val="es-ES"/>
        </w:rPr>
        <w:t xml:space="preserve">, el Titular de la Unidad de Transparencia del </w:t>
      </w:r>
      <w:r w:rsidRPr="00BF0294">
        <w:rPr>
          <w:b/>
          <w:lang w:val="es-ES"/>
        </w:rPr>
        <w:t>SUJETO OBLIGADO</w:t>
      </w:r>
      <w:r w:rsidRPr="00BF0294">
        <w:rPr>
          <w:lang w:val="es-ES"/>
        </w:rPr>
        <w:t xml:space="preserve"> notificó la siguiente respuesta a través del </w:t>
      </w:r>
      <w:r w:rsidRPr="00BF0294">
        <w:rPr>
          <w:b/>
          <w:lang w:val="es-ES"/>
        </w:rPr>
        <w:t>SAIMEX</w:t>
      </w:r>
      <w:r w:rsidRPr="00BF0294">
        <w:rPr>
          <w:lang w:val="es-ES"/>
        </w:rPr>
        <w:t>:</w:t>
      </w:r>
    </w:p>
    <w:p w14:paraId="64166B4B" w14:textId="77777777" w:rsidR="003B0255" w:rsidRPr="00BF0294" w:rsidRDefault="003B0255" w:rsidP="00BF0294"/>
    <w:p w14:paraId="1CA017CD" w14:textId="77777777" w:rsidR="00170CF5" w:rsidRPr="00BF0294" w:rsidRDefault="003B0255" w:rsidP="00BF0294">
      <w:pPr>
        <w:pStyle w:val="Puesto"/>
        <w:jc w:val="right"/>
      </w:pPr>
      <w:r w:rsidRPr="00BF0294">
        <w:t>“</w:t>
      </w:r>
      <w:r w:rsidR="00170CF5" w:rsidRPr="00BF0294">
        <w:t>Folio de la solicitud: 00018/DIFCOYOTEPEC/IP/2025</w:t>
      </w:r>
    </w:p>
    <w:p w14:paraId="4012B5AC" w14:textId="77777777" w:rsidR="00170CF5" w:rsidRPr="00BF0294" w:rsidRDefault="00170CF5" w:rsidP="00BF0294"/>
    <w:p w14:paraId="44BDD57C" w14:textId="77777777" w:rsidR="00170CF5" w:rsidRPr="00BF0294" w:rsidRDefault="00170CF5" w:rsidP="00BF0294">
      <w:pPr>
        <w:pStyle w:val="Puesto"/>
      </w:pPr>
      <w:r w:rsidRPr="00BF0294">
        <w:t>En respuesta a la solicitud recibida, nos permitimos hacer de su conocimiento que con fundamento en el artículo 53, Fracciones: II, V y VI de la Ley de Transparencia y Acceso a la Información Pública del Estado de México y Municipios, le contestamos que:</w:t>
      </w:r>
    </w:p>
    <w:p w14:paraId="57231007" w14:textId="77777777" w:rsidR="00170CF5" w:rsidRPr="00BF0294" w:rsidRDefault="00170CF5" w:rsidP="00BF0294">
      <w:pPr>
        <w:pStyle w:val="Puesto"/>
      </w:pPr>
    </w:p>
    <w:p w14:paraId="41B3D0DC" w14:textId="5447876C" w:rsidR="00170CF5" w:rsidRPr="00BF0294" w:rsidRDefault="00170CF5" w:rsidP="00BF0294">
      <w:pPr>
        <w:pStyle w:val="Puesto"/>
      </w:pPr>
      <w:r w:rsidRPr="00BF0294">
        <w:t>En respuesta a la solicitud recibida, nos permitimos hacer de su conocimiento que con fundamento en el artículo 53, Fracciones: II, V y VI de la Ley de Transparencia y Acceso a la Información Pública del Estado de México y Municipios, le contestamos que: Anticipando un cordial saludo, de conformidad con los artículos 1, 2, 3, fracción XLIV, 4, 12, 16, 23, fracción IV, 24, fracción XI y último párrafo, 50, 51, 53, fracciones II, IV, V y VI de la Ley de Transparencia y Acceso a la Información Pública del Estado de México y Municipios; me permito comentar a usted lo siguiente: se anexa oficio de respuesta por parte del servidor público habilitado del área a la que fue turnada la solicitud.</w:t>
      </w:r>
    </w:p>
    <w:p w14:paraId="59F983F0" w14:textId="77777777" w:rsidR="00170CF5" w:rsidRPr="00BF0294" w:rsidRDefault="00170CF5" w:rsidP="00BF0294"/>
    <w:p w14:paraId="4A08B1BE" w14:textId="2A606775" w:rsidR="003B0255" w:rsidRPr="00BF0294" w:rsidRDefault="00170CF5" w:rsidP="00BF0294">
      <w:pPr>
        <w:pStyle w:val="Puesto"/>
      </w:pPr>
      <w:r w:rsidRPr="00BF0294">
        <w:t>ATENTAMENTE</w:t>
      </w:r>
      <w:r w:rsidR="003B0255" w:rsidRPr="00BF0294">
        <w:t>” (sic)</w:t>
      </w:r>
    </w:p>
    <w:p w14:paraId="4B1F18A0" w14:textId="77777777" w:rsidR="003B0255" w:rsidRPr="00BF0294" w:rsidRDefault="003B0255" w:rsidP="00BF0294"/>
    <w:p w14:paraId="357B6C65" w14:textId="6ED764BF" w:rsidR="003772F9" w:rsidRPr="00BF0294" w:rsidRDefault="003B0255" w:rsidP="00BF0294">
      <w:pPr>
        <w:autoSpaceDE w:val="0"/>
        <w:autoSpaceDN w:val="0"/>
        <w:adjustRightInd w:val="0"/>
        <w:ind w:right="-28"/>
        <w:rPr>
          <w:rFonts w:cs="Tahoma"/>
          <w:bCs/>
          <w:szCs w:val="22"/>
          <w:lang w:val="es-ES"/>
        </w:rPr>
      </w:pPr>
      <w:r w:rsidRPr="00BF0294">
        <w:rPr>
          <w:rFonts w:cs="Tahoma"/>
          <w:bCs/>
          <w:szCs w:val="22"/>
          <w:lang w:val="es-ES"/>
        </w:rPr>
        <w:t xml:space="preserve">Asimismo, </w:t>
      </w:r>
      <w:r w:rsidRPr="00BF0294">
        <w:rPr>
          <w:rFonts w:cs="Tahoma"/>
          <w:b/>
          <w:szCs w:val="22"/>
          <w:lang w:val="es-ES"/>
        </w:rPr>
        <w:t xml:space="preserve">EL SUJETO OBLIGADO </w:t>
      </w:r>
      <w:r w:rsidRPr="00BF0294">
        <w:rPr>
          <w:rFonts w:cs="Tahoma"/>
          <w:bCs/>
          <w:szCs w:val="22"/>
          <w:lang w:val="es-ES"/>
        </w:rPr>
        <w:t xml:space="preserve">adjuntó a su respuesta </w:t>
      </w:r>
      <w:r w:rsidR="00170CF5" w:rsidRPr="00BF0294">
        <w:rPr>
          <w:rFonts w:cs="Tahoma"/>
          <w:bCs/>
          <w:szCs w:val="22"/>
          <w:lang w:val="es-ES"/>
        </w:rPr>
        <w:t>los archivos que se describen:</w:t>
      </w:r>
    </w:p>
    <w:p w14:paraId="4B61011F" w14:textId="77777777" w:rsidR="00170CF5" w:rsidRPr="00BF0294" w:rsidRDefault="00170CF5" w:rsidP="00BF0294">
      <w:pPr>
        <w:autoSpaceDE w:val="0"/>
        <w:autoSpaceDN w:val="0"/>
        <w:adjustRightInd w:val="0"/>
        <w:ind w:right="-28"/>
        <w:rPr>
          <w:rFonts w:cs="Tahoma"/>
          <w:bCs/>
          <w:szCs w:val="22"/>
          <w:lang w:val="es-ES"/>
        </w:rPr>
      </w:pPr>
    </w:p>
    <w:p w14:paraId="0D8336B8" w14:textId="3F2935C2" w:rsidR="00170CF5" w:rsidRPr="00BF0294" w:rsidRDefault="00170CF5" w:rsidP="00BF0294">
      <w:pPr>
        <w:pStyle w:val="Prrafodelista"/>
        <w:numPr>
          <w:ilvl w:val="0"/>
          <w:numId w:val="50"/>
        </w:numPr>
        <w:autoSpaceDE w:val="0"/>
        <w:autoSpaceDN w:val="0"/>
        <w:adjustRightInd w:val="0"/>
        <w:ind w:right="-28"/>
        <w:rPr>
          <w:rFonts w:eastAsiaTheme="majorEastAsia"/>
          <w:iCs/>
          <w:lang w:val="es-ES"/>
        </w:rPr>
      </w:pPr>
      <w:r w:rsidRPr="00BF0294">
        <w:rPr>
          <w:rFonts w:eastAsiaTheme="majorEastAsia"/>
          <w:b/>
          <w:iCs/>
          <w:lang w:val="es-ES"/>
        </w:rPr>
        <w:lastRenderedPageBreak/>
        <w:t>Respuesta a solicitud 18.pdf.-</w:t>
      </w:r>
      <w:r w:rsidRPr="00BF0294">
        <w:rPr>
          <w:rFonts w:eastAsiaTheme="majorEastAsia"/>
          <w:iCs/>
          <w:lang w:val="es-ES"/>
        </w:rPr>
        <w:t xml:space="preserve"> Oficio SMDIF/COYO/TES/023/2025 de fecha 23 de junio de 2025, dirigido a la Titular de la Unidad de Transparencia, suscrito por la Tesorera Municipal, en el que le indicó que la información localizada que da respuesta a lo solicitado corresponde al Reglamento Orgánico, el cual se anexa en copia simple, conforme a la normatividad vigente.</w:t>
      </w:r>
    </w:p>
    <w:p w14:paraId="2C334642" w14:textId="77777777" w:rsidR="00170CF5" w:rsidRPr="00BF0294" w:rsidRDefault="00170CF5" w:rsidP="00BF0294">
      <w:pPr>
        <w:autoSpaceDE w:val="0"/>
        <w:autoSpaceDN w:val="0"/>
        <w:adjustRightInd w:val="0"/>
        <w:ind w:right="-28"/>
        <w:rPr>
          <w:rFonts w:eastAsiaTheme="majorEastAsia"/>
          <w:iCs/>
          <w:lang w:val="es-ES"/>
        </w:rPr>
      </w:pPr>
    </w:p>
    <w:p w14:paraId="15D63B7D" w14:textId="0E730A63" w:rsidR="00170CF5" w:rsidRPr="00BF0294" w:rsidRDefault="00170CF5" w:rsidP="00BF0294">
      <w:pPr>
        <w:pStyle w:val="Prrafodelista"/>
        <w:numPr>
          <w:ilvl w:val="0"/>
          <w:numId w:val="50"/>
        </w:numPr>
        <w:autoSpaceDE w:val="0"/>
        <w:autoSpaceDN w:val="0"/>
        <w:adjustRightInd w:val="0"/>
        <w:ind w:right="-28"/>
        <w:rPr>
          <w:rFonts w:eastAsiaTheme="majorEastAsia"/>
          <w:iCs/>
          <w:lang w:val="es-ES"/>
        </w:rPr>
      </w:pPr>
      <w:r w:rsidRPr="00BF0294">
        <w:rPr>
          <w:rFonts w:eastAsiaTheme="majorEastAsia"/>
          <w:b/>
          <w:iCs/>
          <w:lang w:val="es-ES"/>
        </w:rPr>
        <w:t>REGLAMENTO ORGANICO.pdf.-</w:t>
      </w:r>
      <w:r w:rsidRPr="00BF0294">
        <w:rPr>
          <w:rFonts w:eastAsiaTheme="majorEastAsia"/>
          <w:iCs/>
          <w:lang w:val="es-ES"/>
        </w:rPr>
        <w:t xml:space="preserve"> Contiene el Reglamento Orgánico del Municipio de Coyotepec.</w:t>
      </w:r>
    </w:p>
    <w:p w14:paraId="64FDC788" w14:textId="4AE46428" w:rsidR="003A2659" w:rsidRPr="00BF0294" w:rsidRDefault="003A2659" w:rsidP="00BF0294">
      <w:pPr>
        <w:autoSpaceDE w:val="0"/>
        <w:autoSpaceDN w:val="0"/>
        <w:adjustRightInd w:val="0"/>
        <w:ind w:right="-28"/>
        <w:rPr>
          <w:rFonts w:eastAsiaTheme="majorEastAsia"/>
          <w:iCs/>
          <w:lang w:val="es-ES"/>
        </w:rPr>
      </w:pPr>
    </w:p>
    <w:p w14:paraId="0F24A322" w14:textId="7F9E5F9A" w:rsidR="00B137E8" w:rsidRPr="00BF0294" w:rsidRDefault="00B137E8" w:rsidP="00BF0294">
      <w:pPr>
        <w:pStyle w:val="Ttulo2"/>
        <w:jc w:val="left"/>
      </w:pPr>
      <w:bookmarkStart w:id="9" w:name="_Toc171527280"/>
      <w:bookmarkStart w:id="10" w:name="_Toc206617663"/>
      <w:r w:rsidRPr="00BF0294">
        <w:t>DEL RECURSO DE REVISIÓN</w:t>
      </w:r>
      <w:bookmarkEnd w:id="9"/>
      <w:bookmarkEnd w:id="10"/>
    </w:p>
    <w:p w14:paraId="2B216813" w14:textId="61ADBB2B" w:rsidR="00664420" w:rsidRPr="00BF0294" w:rsidRDefault="006E25BC" w:rsidP="00BF0294">
      <w:pPr>
        <w:pStyle w:val="Ttulo3"/>
      </w:pPr>
      <w:bookmarkStart w:id="11" w:name="_Toc206617664"/>
      <w:r w:rsidRPr="00BF0294">
        <w:rPr>
          <w:szCs w:val="32"/>
        </w:rPr>
        <w:t>a)</w:t>
      </w:r>
      <w:r w:rsidRPr="00BF0294">
        <w:t xml:space="preserve"> </w:t>
      </w:r>
      <w:r w:rsidR="00664420" w:rsidRPr="00BF0294">
        <w:t>Interposición del Recurso de Revisión</w:t>
      </w:r>
      <w:bookmarkEnd w:id="11"/>
    </w:p>
    <w:p w14:paraId="6279C622" w14:textId="4DFDE3E5" w:rsidR="00664420" w:rsidRPr="00BF0294" w:rsidRDefault="00664420" w:rsidP="00BF0294">
      <w:pPr>
        <w:autoSpaceDE w:val="0"/>
        <w:autoSpaceDN w:val="0"/>
        <w:adjustRightInd w:val="0"/>
        <w:ind w:right="-28"/>
        <w:rPr>
          <w:rFonts w:cs="Tahoma"/>
          <w:szCs w:val="22"/>
        </w:rPr>
      </w:pPr>
      <w:r w:rsidRPr="00BF0294">
        <w:rPr>
          <w:rFonts w:cs="Tahoma"/>
          <w:szCs w:val="22"/>
        </w:rPr>
        <w:t xml:space="preserve">El </w:t>
      </w:r>
      <w:r w:rsidR="00170CF5" w:rsidRPr="00BF0294">
        <w:rPr>
          <w:rFonts w:cs="Tahoma"/>
          <w:b/>
          <w:bCs/>
          <w:szCs w:val="22"/>
        </w:rPr>
        <w:t>primero</w:t>
      </w:r>
      <w:r w:rsidR="003772F9" w:rsidRPr="00BF0294">
        <w:rPr>
          <w:rFonts w:cs="Tahoma"/>
          <w:b/>
          <w:bCs/>
          <w:szCs w:val="22"/>
        </w:rPr>
        <w:t xml:space="preserve"> de julio</w:t>
      </w:r>
      <w:r w:rsidR="00B373AF" w:rsidRPr="00BF0294">
        <w:rPr>
          <w:rFonts w:cs="Tahoma"/>
          <w:b/>
          <w:bCs/>
          <w:szCs w:val="22"/>
        </w:rPr>
        <w:t xml:space="preserve"> </w:t>
      </w:r>
      <w:r w:rsidR="00475FF6" w:rsidRPr="00BF0294">
        <w:rPr>
          <w:rFonts w:cs="Tahoma"/>
          <w:b/>
          <w:bCs/>
          <w:szCs w:val="22"/>
        </w:rPr>
        <w:t xml:space="preserve">de </w:t>
      </w:r>
      <w:r w:rsidRPr="00BF0294">
        <w:rPr>
          <w:rFonts w:cs="Tahoma"/>
          <w:b/>
          <w:bCs/>
          <w:szCs w:val="22"/>
        </w:rPr>
        <w:t>dos mil</w:t>
      </w:r>
      <w:r w:rsidR="00F45902" w:rsidRPr="00BF0294">
        <w:rPr>
          <w:rFonts w:cs="Tahoma"/>
          <w:b/>
          <w:bCs/>
          <w:szCs w:val="22"/>
        </w:rPr>
        <w:t xml:space="preserve"> veintic</w:t>
      </w:r>
      <w:r w:rsidR="006E7E69" w:rsidRPr="00BF0294">
        <w:rPr>
          <w:rFonts w:cs="Tahoma"/>
          <w:b/>
          <w:bCs/>
          <w:szCs w:val="22"/>
        </w:rPr>
        <w:t>inco</w:t>
      </w:r>
      <w:r w:rsidR="00887577" w:rsidRPr="00BF0294">
        <w:rPr>
          <w:rFonts w:cs="Tahoma"/>
          <w:b/>
          <w:bCs/>
          <w:szCs w:val="22"/>
        </w:rPr>
        <w:t xml:space="preserve"> </w:t>
      </w:r>
      <w:r w:rsidR="00F75D23" w:rsidRPr="00BF0294">
        <w:rPr>
          <w:rFonts w:cs="Tahoma"/>
          <w:b/>
          <w:bCs/>
          <w:szCs w:val="22"/>
        </w:rPr>
        <w:t>LA PARTE RECURRENTE</w:t>
      </w:r>
      <w:r w:rsidR="00F75D23" w:rsidRPr="00BF0294">
        <w:rPr>
          <w:rFonts w:cs="Tahoma"/>
          <w:szCs w:val="22"/>
        </w:rPr>
        <w:t xml:space="preserve"> interpuso el recurso de revisión en contra de la respuesta emitida por el </w:t>
      </w:r>
      <w:r w:rsidR="00F75D23" w:rsidRPr="00BF0294">
        <w:rPr>
          <w:rFonts w:cs="Tahoma"/>
          <w:b/>
          <w:bCs/>
          <w:szCs w:val="22"/>
        </w:rPr>
        <w:t>SUJETO OBLIGADO</w:t>
      </w:r>
      <w:r w:rsidR="00953430" w:rsidRPr="00BF0294">
        <w:rPr>
          <w:rFonts w:cs="Tahoma"/>
          <w:szCs w:val="22"/>
        </w:rPr>
        <w:t xml:space="preserve">, mismo que fue registrado en el </w:t>
      </w:r>
      <w:r w:rsidR="00953430" w:rsidRPr="00BF0294">
        <w:rPr>
          <w:rFonts w:cs="Tahoma"/>
          <w:b/>
          <w:szCs w:val="22"/>
        </w:rPr>
        <w:t>SAIMEX</w:t>
      </w:r>
      <w:r w:rsidR="00953430" w:rsidRPr="00BF0294">
        <w:rPr>
          <w:rFonts w:cs="Tahoma"/>
          <w:szCs w:val="22"/>
        </w:rPr>
        <w:t xml:space="preserve"> con el número de expediente </w:t>
      </w:r>
      <w:r w:rsidR="00EE2B24" w:rsidRPr="00BF0294">
        <w:rPr>
          <w:rFonts w:cs="Tahoma"/>
          <w:b/>
          <w:bCs/>
          <w:szCs w:val="22"/>
        </w:rPr>
        <w:t>08002/INFOEM/IP/RR/2025</w:t>
      </w:r>
      <w:r w:rsidR="00953430" w:rsidRPr="00BF0294">
        <w:rPr>
          <w:rFonts w:cs="Tahoma"/>
          <w:szCs w:val="22"/>
        </w:rPr>
        <w:t>, y en el cual manifiesta lo siguiente</w:t>
      </w:r>
      <w:r w:rsidRPr="00BF0294">
        <w:rPr>
          <w:rFonts w:cs="Tahoma"/>
          <w:szCs w:val="22"/>
        </w:rPr>
        <w:t>:</w:t>
      </w:r>
    </w:p>
    <w:p w14:paraId="74B30008" w14:textId="77777777" w:rsidR="00664420" w:rsidRPr="00BF0294" w:rsidRDefault="00664420" w:rsidP="00BF0294">
      <w:pPr>
        <w:tabs>
          <w:tab w:val="left" w:pos="4667"/>
        </w:tabs>
        <w:ind w:right="539"/>
        <w:rPr>
          <w:rFonts w:cs="Tahoma"/>
          <w:szCs w:val="22"/>
        </w:rPr>
      </w:pPr>
    </w:p>
    <w:p w14:paraId="2780191D" w14:textId="77777777" w:rsidR="006415E5" w:rsidRPr="00BF0294" w:rsidRDefault="00664420" w:rsidP="00BF0294">
      <w:pPr>
        <w:tabs>
          <w:tab w:val="left" w:pos="4667"/>
        </w:tabs>
        <w:ind w:right="539"/>
        <w:rPr>
          <w:rFonts w:cs="Tahoma"/>
          <w:b/>
          <w:iCs/>
        </w:rPr>
      </w:pPr>
      <w:r w:rsidRPr="00BF0294">
        <w:rPr>
          <w:rFonts w:cs="Tahoma"/>
          <w:b/>
          <w:iCs/>
        </w:rPr>
        <w:t>ACTO IMPUGNADO</w:t>
      </w:r>
      <w:r w:rsidR="006415E5" w:rsidRPr="00BF0294">
        <w:rPr>
          <w:rFonts w:cs="Tahoma"/>
          <w:b/>
          <w:iCs/>
        </w:rPr>
        <w:t xml:space="preserve">: </w:t>
      </w:r>
    </w:p>
    <w:p w14:paraId="369BEFEA" w14:textId="77777777" w:rsidR="006415E5" w:rsidRPr="00BF0294" w:rsidRDefault="006415E5" w:rsidP="00BF0294">
      <w:pPr>
        <w:pStyle w:val="Puesto"/>
      </w:pPr>
    </w:p>
    <w:p w14:paraId="174FC425" w14:textId="1CED83BB" w:rsidR="006415E5" w:rsidRPr="00BF0294" w:rsidRDefault="006415E5" w:rsidP="00BF0294">
      <w:pPr>
        <w:pStyle w:val="Puesto"/>
      </w:pPr>
      <w:r w:rsidRPr="00BF0294">
        <w:t>“</w:t>
      </w:r>
      <w:r w:rsidR="00170CF5" w:rsidRPr="00BF0294">
        <w:t>Solicité: Requiero me comparta el plan de trabajo programado de los años 2023 y 2024, mismos que se entregan a OSFEM. O sea PBRMS ANUALES.</w:t>
      </w:r>
      <w:r w:rsidRPr="00BF0294">
        <w:t>” (</w:t>
      </w:r>
      <w:proofErr w:type="gramStart"/>
      <w:r w:rsidRPr="00BF0294">
        <w:t>sic</w:t>
      </w:r>
      <w:proofErr w:type="gramEnd"/>
      <w:r w:rsidRPr="00BF0294">
        <w:t xml:space="preserve">) </w:t>
      </w:r>
    </w:p>
    <w:p w14:paraId="737EA022" w14:textId="77777777" w:rsidR="006415E5" w:rsidRPr="00BF0294" w:rsidRDefault="006415E5" w:rsidP="00BF0294">
      <w:pPr>
        <w:pStyle w:val="Puesto"/>
      </w:pPr>
    </w:p>
    <w:p w14:paraId="7753408F" w14:textId="5E7CE11A" w:rsidR="0043654A" w:rsidRPr="00BF0294" w:rsidRDefault="0086345C" w:rsidP="00BF0294">
      <w:pPr>
        <w:tabs>
          <w:tab w:val="left" w:pos="4667"/>
        </w:tabs>
        <w:ind w:right="539"/>
        <w:rPr>
          <w:rFonts w:cs="Tahoma"/>
          <w:b/>
          <w:iCs/>
        </w:rPr>
      </w:pPr>
      <w:r w:rsidRPr="00BF0294">
        <w:rPr>
          <w:rFonts w:cs="Tahoma"/>
          <w:b/>
          <w:iCs/>
        </w:rPr>
        <w:t xml:space="preserve">RAZONES O MOTIVOS DE INCONFORMIDAD: </w:t>
      </w:r>
    </w:p>
    <w:p w14:paraId="776C5805" w14:textId="77777777" w:rsidR="0043654A" w:rsidRPr="00BF0294" w:rsidRDefault="0043654A" w:rsidP="00BF0294">
      <w:pPr>
        <w:tabs>
          <w:tab w:val="left" w:pos="4667"/>
        </w:tabs>
        <w:ind w:right="539"/>
        <w:rPr>
          <w:rFonts w:cs="Tahoma"/>
          <w:b/>
          <w:iCs/>
        </w:rPr>
      </w:pPr>
    </w:p>
    <w:p w14:paraId="1279BAF2" w14:textId="2809B407" w:rsidR="0043654A" w:rsidRPr="00BF0294" w:rsidRDefault="0043654A" w:rsidP="00BF0294">
      <w:pPr>
        <w:pStyle w:val="Puesto"/>
      </w:pPr>
      <w:r w:rsidRPr="00BF0294">
        <w:t>“</w:t>
      </w:r>
      <w:r w:rsidR="00170CF5" w:rsidRPr="00BF0294">
        <w:t xml:space="preserve">Me </w:t>
      </w:r>
      <w:proofErr w:type="spellStart"/>
      <w:r w:rsidR="00170CF5" w:rsidRPr="00BF0294">
        <w:t>comptieron</w:t>
      </w:r>
      <w:proofErr w:type="spellEnd"/>
      <w:r w:rsidR="00170CF5" w:rsidRPr="00BF0294">
        <w:t xml:space="preserve"> un reglamento </w:t>
      </w:r>
      <w:proofErr w:type="spellStart"/>
      <w:r w:rsidR="00170CF5" w:rsidRPr="00BF0294">
        <w:t>organico</w:t>
      </w:r>
      <w:proofErr w:type="spellEnd"/>
      <w:r w:rsidR="00170CF5" w:rsidRPr="00BF0294">
        <w:t xml:space="preserve"> que no tiene nada que ver con un plan de trabajo programado. Reglamento: Es un conjunto de normas y reglas que regulan el comportamiento de los miembros de un grupo, organización, empresa o equipo. Plan de Trabajo: Es un documento organizativo que describe lo que se va a hacer en un periodo determinado. Incluye: * Objetivos y metas. *Actividades o tareas. *Cronograma o </w:t>
      </w:r>
      <w:r w:rsidR="00170CF5" w:rsidRPr="00BF0294">
        <w:lastRenderedPageBreak/>
        <w:t xml:space="preserve">calendario. *Responsables de cada tarea. *Recursos necesarios. *Indicadores de avance o evaluación Por favor, </w:t>
      </w:r>
      <w:proofErr w:type="spellStart"/>
      <w:r w:rsidR="00170CF5" w:rsidRPr="00BF0294">
        <w:t>reevalue</w:t>
      </w:r>
      <w:proofErr w:type="spellEnd"/>
      <w:r w:rsidR="00170CF5" w:rsidRPr="00BF0294">
        <w:t xml:space="preserve"> su respuesta.</w:t>
      </w:r>
      <w:r w:rsidRPr="00BF0294">
        <w:t>” (</w:t>
      </w:r>
      <w:proofErr w:type="gramStart"/>
      <w:r w:rsidRPr="00BF0294">
        <w:t>sic</w:t>
      </w:r>
      <w:proofErr w:type="gramEnd"/>
      <w:r w:rsidRPr="00BF0294">
        <w:t xml:space="preserve">) </w:t>
      </w:r>
    </w:p>
    <w:p w14:paraId="366F3F95" w14:textId="77777777" w:rsidR="0043654A" w:rsidRPr="00BF0294" w:rsidRDefault="0043654A" w:rsidP="00BF0294">
      <w:pPr>
        <w:pStyle w:val="Puesto"/>
      </w:pPr>
    </w:p>
    <w:p w14:paraId="6804DEF1" w14:textId="1FD3227A" w:rsidR="00664420" w:rsidRPr="00BF0294" w:rsidRDefault="006E25BC" w:rsidP="00BF0294">
      <w:pPr>
        <w:pStyle w:val="Ttulo3"/>
      </w:pPr>
      <w:bookmarkStart w:id="12" w:name="_Toc206617665"/>
      <w:r w:rsidRPr="00BF0294">
        <w:t>b</w:t>
      </w:r>
      <w:r w:rsidR="00664420" w:rsidRPr="00BF0294">
        <w:t>) Turno del Recurso de Revisión</w:t>
      </w:r>
      <w:bookmarkEnd w:id="12"/>
    </w:p>
    <w:p w14:paraId="1173671B" w14:textId="5FCD8FE7" w:rsidR="00C72DAA" w:rsidRPr="00BF0294" w:rsidRDefault="00C72DAA" w:rsidP="00BF0294">
      <w:pPr>
        <w:autoSpaceDE w:val="0"/>
        <w:autoSpaceDN w:val="0"/>
        <w:adjustRightInd w:val="0"/>
        <w:ind w:right="-28"/>
      </w:pPr>
      <w:r w:rsidRPr="00BF0294">
        <w:t>Con fundamento en el artículo 185, fracción I de la Ley de Transparencia y Acceso a la Información Pública del Estado de México y Municipios, el</w:t>
      </w:r>
      <w:r w:rsidRPr="00BF0294">
        <w:rPr>
          <w:b/>
          <w:bCs/>
        </w:rPr>
        <w:t xml:space="preserve"> </w:t>
      </w:r>
      <w:r w:rsidR="00170CF5" w:rsidRPr="00BF0294">
        <w:rPr>
          <w:rFonts w:eastAsia="Palatino Linotype" w:cs="Palatino Linotype"/>
          <w:b/>
        </w:rPr>
        <w:t>primero</w:t>
      </w:r>
      <w:r w:rsidR="003772F9" w:rsidRPr="00BF0294">
        <w:rPr>
          <w:rFonts w:eastAsia="Palatino Linotype" w:cs="Palatino Linotype"/>
          <w:b/>
        </w:rPr>
        <w:t xml:space="preserve"> de julio</w:t>
      </w:r>
      <w:r w:rsidR="00B373AF" w:rsidRPr="00BF0294">
        <w:rPr>
          <w:rFonts w:eastAsia="Palatino Linotype" w:cs="Palatino Linotype"/>
          <w:b/>
        </w:rPr>
        <w:t xml:space="preserve"> </w:t>
      </w:r>
      <w:r w:rsidR="009A1340" w:rsidRPr="00BF0294">
        <w:rPr>
          <w:rFonts w:eastAsia="Palatino Linotype" w:cs="Palatino Linotype"/>
          <w:b/>
        </w:rPr>
        <w:t xml:space="preserve">de dos mil veinticinco, </w:t>
      </w:r>
      <w:r w:rsidRPr="00BF0294">
        <w:t>se turnó el recurso de revisión a través del</w:t>
      </w:r>
      <w:r w:rsidRPr="00BF0294">
        <w:rPr>
          <w:rFonts w:eastAsia="Arial Unicode MS"/>
        </w:rPr>
        <w:t xml:space="preserve"> </w:t>
      </w:r>
      <w:r w:rsidRPr="00BF0294">
        <w:rPr>
          <w:rFonts w:eastAsia="Arial Unicode MS"/>
          <w:b/>
          <w:bCs/>
        </w:rPr>
        <w:t>SAIMEX</w:t>
      </w:r>
      <w:r w:rsidRPr="00BF0294">
        <w:t xml:space="preserve"> a la </w:t>
      </w:r>
      <w:r w:rsidRPr="00BF0294">
        <w:rPr>
          <w:b/>
        </w:rPr>
        <w:t>Comisionada Sharon Cristina Morales Martínez</w:t>
      </w:r>
      <w:r w:rsidRPr="00BF0294">
        <w:rPr>
          <w:bCs/>
        </w:rPr>
        <w:t xml:space="preserve">, </w:t>
      </w:r>
      <w:r w:rsidRPr="00BF0294">
        <w:t xml:space="preserve">a efecto de decretar su admisión o </w:t>
      </w:r>
      <w:proofErr w:type="spellStart"/>
      <w:r w:rsidRPr="00BF0294">
        <w:t>desechamiento</w:t>
      </w:r>
      <w:proofErr w:type="spellEnd"/>
      <w:r w:rsidRPr="00BF0294">
        <w:t xml:space="preserve">. </w:t>
      </w:r>
    </w:p>
    <w:p w14:paraId="18F305CB" w14:textId="77777777" w:rsidR="00664420" w:rsidRPr="00BF0294" w:rsidRDefault="00664420" w:rsidP="00BF0294">
      <w:pPr>
        <w:rPr>
          <w:rFonts w:eastAsia="Batang" w:cs="Tahoma"/>
          <w:bCs/>
          <w:szCs w:val="22"/>
        </w:rPr>
      </w:pPr>
    </w:p>
    <w:p w14:paraId="3E31EC2D" w14:textId="295256A1" w:rsidR="00664420" w:rsidRPr="00BF0294" w:rsidRDefault="006E25BC" w:rsidP="00BF0294">
      <w:pPr>
        <w:pStyle w:val="Ttulo3"/>
      </w:pPr>
      <w:bookmarkStart w:id="13" w:name="_Toc206617666"/>
      <w:r w:rsidRPr="00BF0294">
        <w:t>c</w:t>
      </w:r>
      <w:r w:rsidR="00664420" w:rsidRPr="00BF0294">
        <w:t>) Admisión del Recurso de Revisión</w:t>
      </w:r>
      <w:bookmarkEnd w:id="13"/>
    </w:p>
    <w:p w14:paraId="240447D5" w14:textId="751D1AC4" w:rsidR="000E09C4" w:rsidRPr="00BF0294" w:rsidRDefault="000E09C4" w:rsidP="00BF0294">
      <w:pPr>
        <w:rPr>
          <w:rFonts w:cs="Arial"/>
        </w:rPr>
      </w:pPr>
      <w:r w:rsidRPr="00BF0294">
        <w:rPr>
          <w:rFonts w:cs="Arial"/>
        </w:rPr>
        <w:t xml:space="preserve">El </w:t>
      </w:r>
      <w:r w:rsidR="00170CF5" w:rsidRPr="00BF0294">
        <w:rPr>
          <w:rFonts w:eastAsia="Palatino Linotype" w:cs="Palatino Linotype"/>
          <w:b/>
        </w:rPr>
        <w:t>tres</w:t>
      </w:r>
      <w:r w:rsidR="003772F9" w:rsidRPr="00BF0294">
        <w:rPr>
          <w:rFonts w:eastAsia="Palatino Linotype" w:cs="Palatino Linotype"/>
          <w:b/>
        </w:rPr>
        <w:t xml:space="preserve"> de julio</w:t>
      </w:r>
      <w:r w:rsidR="00B373AF" w:rsidRPr="00BF0294">
        <w:rPr>
          <w:rFonts w:eastAsia="Palatino Linotype" w:cs="Palatino Linotype"/>
          <w:b/>
        </w:rPr>
        <w:t xml:space="preserve"> </w:t>
      </w:r>
      <w:r w:rsidR="003A67CC" w:rsidRPr="00BF0294">
        <w:rPr>
          <w:rFonts w:eastAsia="Palatino Linotype" w:cs="Palatino Linotype"/>
          <w:b/>
        </w:rPr>
        <w:t>d</w:t>
      </w:r>
      <w:r w:rsidR="00657603" w:rsidRPr="00BF0294">
        <w:rPr>
          <w:rFonts w:eastAsia="Palatino Linotype" w:cs="Palatino Linotype"/>
          <w:b/>
        </w:rPr>
        <w:t>e dos mil veintic</w:t>
      </w:r>
      <w:r w:rsidR="009A1340" w:rsidRPr="00BF0294">
        <w:rPr>
          <w:rFonts w:eastAsia="Palatino Linotype" w:cs="Palatino Linotype"/>
          <w:b/>
        </w:rPr>
        <w:t>inco</w:t>
      </w:r>
      <w:r w:rsidRPr="00BF0294">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BF0294">
        <w:rPr>
          <w:rFonts w:cs="Arial"/>
        </w:rPr>
        <w:t>, fracción II</w:t>
      </w:r>
      <w:r w:rsidRPr="00BF0294">
        <w:rPr>
          <w:rFonts w:cs="Arial"/>
        </w:rPr>
        <w:t xml:space="preserve"> de la Ley de Transparencia y Acceso a la Información Pública del Estado de México y Municipios.</w:t>
      </w:r>
    </w:p>
    <w:p w14:paraId="34EC3F86" w14:textId="77777777" w:rsidR="00D2790D" w:rsidRPr="00BF0294" w:rsidRDefault="00D2790D" w:rsidP="00BF0294">
      <w:pPr>
        <w:rPr>
          <w:rFonts w:cs="Arial"/>
        </w:rPr>
      </w:pPr>
    </w:p>
    <w:p w14:paraId="3B820F58" w14:textId="503F9071" w:rsidR="00865CF4" w:rsidRPr="00BF0294" w:rsidRDefault="0075751F" w:rsidP="00BF0294">
      <w:pPr>
        <w:pStyle w:val="Ttulo3"/>
      </w:pPr>
      <w:bookmarkStart w:id="14" w:name="_Toc206617667"/>
      <w:r w:rsidRPr="00BF0294">
        <w:t>d</w:t>
      </w:r>
      <w:r w:rsidR="00664420" w:rsidRPr="00BF0294">
        <w:t xml:space="preserve">) </w:t>
      </w:r>
      <w:r w:rsidR="00865CF4" w:rsidRPr="00BF0294">
        <w:t>Informe Justificado del Sujeto Obligado</w:t>
      </w:r>
      <w:bookmarkEnd w:id="14"/>
    </w:p>
    <w:p w14:paraId="206D87D6" w14:textId="77777777" w:rsidR="00354E5E" w:rsidRPr="00BF0294" w:rsidRDefault="00354E5E" w:rsidP="00BF0294">
      <w:pPr>
        <w:rPr>
          <w:rFonts w:eastAsia="Arial Unicode MS" w:cs="Arial"/>
        </w:rPr>
      </w:pPr>
      <w:r w:rsidRPr="00BF0294">
        <w:rPr>
          <w:rFonts w:cs="Tahoma"/>
          <w:b/>
          <w:szCs w:val="24"/>
        </w:rPr>
        <w:t xml:space="preserve">EL SUJETO OBLIGADO </w:t>
      </w:r>
      <w:r w:rsidRPr="00BF0294">
        <w:rPr>
          <w:rFonts w:eastAsia="Arial Unicode MS" w:cs="Arial"/>
        </w:rPr>
        <w:t>no rindió su informe justificado dentro del término legalmente concedido para tal efecto.</w:t>
      </w:r>
    </w:p>
    <w:p w14:paraId="66BA6FC7" w14:textId="77777777" w:rsidR="00865CF4" w:rsidRPr="00BF0294" w:rsidRDefault="00865CF4" w:rsidP="00BF0294">
      <w:pPr>
        <w:rPr>
          <w:rFonts w:cs="Tahoma"/>
          <w:bCs/>
          <w:szCs w:val="24"/>
        </w:rPr>
      </w:pPr>
    </w:p>
    <w:p w14:paraId="755B7730" w14:textId="3EA3E31D" w:rsidR="00664420" w:rsidRPr="00BF0294" w:rsidRDefault="0075751F" w:rsidP="00BF0294">
      <w:pPr>
        <w:pStyle w:val="Ttulo3"/>
        <w:rPr>
          <w:lang w:val="es-ES"/>
        </w:rPr>
      </w:pPr>
      <w:bookmarkStart w:id="15" w:name="_Toc206617668"/>
      <w:r w:rsidRPr="00BF0294">
        <w:rPr>
          <w:rFonts w:eastAsia="Calibri"/>
          <w:bCs/>
          <w:lang w:eastAsia="en-US"/>
        </w:rPr>
        <w:t>e</w:t>
      </w:r>
      <w:r w:rsidR="00664420" w:rsidRPr="00BF0294">
        <w:rPr>
          <w:rFonts w:eastAsia="Calibri"/>
          <w:bCs/>
          <w:lang w:eastAsia="en-US"/>
        </w:rPr>
        <w:t>)</w:t>
      </w:r>
      <w:r w:rsidR="00664420" w:rsidRPr="00BF0294">
        <w:t xml:space="preserve"> </w:t>
      </w:r>
      <w:r w:rsidR="00865CF4" w:rsidRPr="00BF0294">
        <w:rPr>
          <w:lang w:val="es-ES"/>
        </w:rPr>
        <w:t>Manifestaciones de la Parte Recurrente</w:t>
      </w:r>
      <w:bookmarkEnd w:id="15"/>
    </w:p>
    <w:p w14:paraId="3FD627AA" w14:textId="5AE7B290" w:rsidR="001121E3" w:rsidRPr="00BF0294" w:rsidRDefault="001121E3" w:rsidP="00BF0294">
      <w:pPr>
        <w:rPr>
          <w:rFonts w:cs="Tahoma"/>
          <w:szCs w:val="24"/>
        </w:rPr>
      </w:pPr>
      <w:r w:rsidRPr="00BF0294">
        <w:rPr>
          <w:rFonts w:cs="Tahoma"/>
          <w:b/>
          <w:szCs w:val="24"/>
        </w:rPr>
        <w:t xml:space="preserve">El seis de agosto de dos mil veinticinco, </w:t>
      </w:r>
      <w:r w:rsidR="0086345C" w:rsidRPr="00BF0294">
        <w:rPr>
          <w:rFonts w:cs="Tahoma"/>
          <w:b/>
          <w:szCs w:val="24"/>
        </w:rPr>
        <w:t xml:space="preserve">LA PARTE RECURRENTE </w:t>
      </w:r>
      <w:r w:rsidRPr="00BF0294">
        <w:rPr>
          <w:rFonts w:cs="Tahoma"/>
          <w:szCs w:val="24"/>
        </w:rPr>
        <w:t xml:space="preserve">en el apartado de manifestaciones adjuntó el archivo electrónico denominado </w:t>
      </w:r>
      <w:r w:rsidRPr="00BF0294">
        <w:rPr>
          <w:rFonts w:cs="Tahoma"/>
          <w:b/>
          <w:i/>
          <w:szCs w:val="24"/>
        </w:rPr>
        <w:t xml:space="preserve">Screenshot_20250806_230942_Chrome.jpg </w:t>
      </w:r>
      <w:r w:rsidRPr="00BF0294">
        <w:rPr>
          <w:rFonts w:cs="Tahoma"/>
          <w:szCs w:val="24"/>
        </w:rPr>
        <w:t>el cual contiene el Acuerdo de Admisión del medio de impugnación en cuestión, notificado a las partes.</w:t>
      </w:r>
    </w:p>
    <w:p w14:paraId="05BA28A4" w14:textId="77777777" w:rsidR="001121E3" w:rsidRPr="00BF0294" w:rsidRDefault="001121E3" w:rsidP="00BF0294">
      <w:pPr>
        <w:rPr>
          <w:rFonts w:eastAsia="Arial Unicode MS" w:cs="Arial"/>
        </w:rPr>
      </w:pPr>
    </w:p>
    <w:p w14:paraId="0E651988" w14:textId="07B7DBA4" w:rsidR="00664420" w:rsidRPr="00BF0294" w:rsidRDefault="007517BD" w:rsidP="00BF0294">
      <w:pPr>
        <w:pStyle w:val="Ttulo3"/>
      </w:pPr>
      <w:bookmarkStart w:id="16" w:name="_Toc206617669"/>
      <w:r w:rsidRPr="00BF0294">
        <w:rPr>
          <w:rFonts w:eastAsia="Calibri"/>
        </w:rPr>
        <w:lastRenderedPageBreak/>
        <w:t xml:space="preserve">f) </w:t>
      </w:r>
      <w:r w:rsidR="00664420" w:rsidRPr="00BF0294">
        <w:t>Cierre de instrucción</w:t>
      </w:r>
      <w:bookmarkEnd w:id="16"/>
    </w:p>
    <w:p w14:paraId="79AF95DC" w14:textId="599FF7BE" w:rsidR="00664420" w:rsidRPr="00BF0294" w:rsidRDefault="00BF091A" w:rsidP="00BF0294">
      <w:r w:rsidRPr="00BF0294">
        <w:rPr>
          <w:rFonts w:cs="Tahoma"/>
          <w:szCs w:val="22"/>
        </w:rPr>
        <w:t>Al no existir diligencias pendientes por desahogar</w:t>
      </w:r>
      <w:r w:rsidRPr="00BF0294">
        <w:rPr>
          <w:rFonts w:cs="Arial"/>
        </w:rPr>
        <w:t xml:space="preserve">, el </w:t>
      </w:r>
      <w:bookmarkStart w:id="17" w:name="_Hlk104892386"/>
      <w:r w:rsidR="003772F9" w:rsidRPr="00BF0294">
        <w:rPr>
          <w:rFonts w:cs="Arial"/>
          <w:b/>
        </w:rPr>
        <w:t>catorce de agosto</w:t>
      </w:r>
      <w:r w:rsidR="00354E5E" w:rsidRPr="00BF0294">
        <w:rPr>
          <w:rFonts w:cs="Arial"/>
          <w:b/>
        </w:rPr>
        <w:t xml:space="preserve"> </w:t>
      </w:r>
      <w:r w:rsidR="009A1340" w:rsidRPr="00BF0294">
        <w:rPr>
          <w:rFonts w:cs="Arial"/>
          <w:b/>
        </w:rPr>
        <w:t xml:space="preserve">de dos mil veinticinco </w:t>
      </w:r>
      <w:bookmarkEnd w:id="17"/>
      <w:r w:rsidRPr="00BF0294">
        <w:rPr>
          <w:rFonts w:cs="Arial"/>
        </w:rPr>
        <w:t xml:space="preserve">la </w:t>
      </w:r>
      <w:r w:rsidRPr="00BF0294">
        <w:rPr>
          <w:rFonts w:cs="Arial"/>
          <w:b/>
          <w:bCs/>
        </w:rPr>
        <w:t xml:space="preserve">Comisionada </w:t>
      </w:r>
      <w:r w:rsidRPr="00BF0294">
        <w:rPr>
          <w:b/>
        </w:rPr>
        <w:t xml:space="preserve">Sharon Cristina Morales Martínez </w:t>
      </w:r>
      <w:r w:rsidRPr="00BF0294">
        <w:rPr>
          <w:rFonts w:cs="Arial"/>
        </w:rPr>
        <w:t>acordó el cierre de instrucción</w:t>
      </w:r>
      <w:r w:rsidR="0011350D" w:rsidRPr="00BF0294">
        <w:rPr>
          <w:rFonts w:cs="Arial"/>
        </w:rPr>
        <w:t xml:space="preserve"> y</w:t>
      </w:r>
      <w:r w:rsidRPr="00BF0294">
        <w:rPr>
          <w:rFonts w:cs="Arial"/>
        </w:rPr>
        <w:t xml:space="preserve"> </w:t>
      </w:r>
      <w:r w:rsidR="0011350D" w:rsidRPr="00BF0294">
        <w:rPr>
          <w:rFonts w:cs="Arial"/>
        </w:rPr>
        <w:t xml:space="preserve">la </w:t>
      </w:r>
      <w:r w:rsidRPr="00BF0294">
        <w:rPr>
          <w:rFonts w:cs="Arial"/>
        </w:rPr>
        <w:t>remisión del expediente a efecto de ser resuelto, de conformidad con lo establecido en el artículo 185 fracciones VI y VIII de la Ley de Transparencia y Acceso a la Información Pública del Estado de México y Municipios</w:t>
      </w:r>
      <w:r w:rsidRPr="00BF0294">
        <w:t>.</w:t>
      </w:r>
      <w:r w:rsidR="0011350D" w:rsidRPr="00BF0294">
        <w:t xml:space="preserve"> Dicho acuerdo </w:t>
      </w:r>
      <w:r w:rsidR="00664420" w:rsidRPr="00BF0294">
        <w:rPr>
          <w:rFonts w:cs="Tahoma"/>
          <w:szCs w:val="22"/>
        </w:rPr>
        <w:t xml:space="preserve">fue notificado a las partes el mismo día a través del </w:t>
      </w:r>
      <w:r w:rsidR="00664420" w:rsidRPr="00BF0294">
        <w:rPr>
          <w:rFonts w:cs="Tahoma"/>
          <w:szCs w:val="22"/>
          <w:lang w:val="es-ES"/>
        </w:rPr>
        <w:t>SAIMEX</w:t>
      </w:r>
      <w:r w:rsidR="00664420" w:rsidRPr="00BF0294">
        <w:rPr>
          <w:rFonts w:cs="Tahoma"/>
          <w:szCs w:val="22"/>
        </w:rPr>
        <w:t>.</w:t>
      </w:r>
    </w:p>
    <w:p w14:paraId="741683E3" w14:textId="77777777" w:rsidR="0011350D" w:rsidRPr="00BF0294" w:rsidRDefault="0011350D" w:rsidP="00BF0294">
      <w:pPr>
        <w:rPr>
          <w:rFonts w:cs="Tahoma"/>
          <w:szCs w:val="22"/>
        </w:rPr>
      </w:pPr>
    </w:p>
    <w:p w14:paraId="7A9629DE" w14:textId="77777777" w:rsidR="00664420" w:rsidRPr="00BF0294" w:rsidRDefault="00664420" w:rsidP="00BF0294">
      <w:pPr>
        <w:pStyle w:val="Ttulo1"/>
        <w:rPr>
          <w:rFonts w:eastAsiaTheme="minorHAnsi"/>
          <w:lang w:eastAsia="en-US"/>
        </w:rPr>
      </w:pPr>
      <w:bookmarkStart w:id="18" w:name="_Toc206617670"/>
      <w:r w:rsidRPr="00BF0294">
        <w:rPr>
          <w:rFonts w:eastAsiaTheme="minorHAnsi"/>
          <w:lang w:eastAsia="en-US"/>
        </w:rPr>
        <w:t>CONSIDERANDOS</w:t>
      </w:r>
      <w:bookmarkEnd w:id="18"/>
    </w:p>
    <w:p w14:paraId="6DD1243B" w14:textId="77777777" w:rsidR="00664420" w:rsidRPr="00BF0294" w:rsidRDefault="00664420" w:rsidP="00BF0294">
      <w:pPr>
        <w:contextualSpacing/>
        <w:jc w:val="center"/>
        <w:rPr>
          <w:rFonts w:eastAsiaTheme="minorHAnsi" w:cs="Tahoma"/>
          <w:b/>
          <w:szCs w:val="22"/>
          <w:lang w:eastAsia="en-US"/>
        </w:rPr>
      </w:pPr>
    </w:p>
    <w:p w14:paraId="0B67CB92" w14:textId="2E307D3B" w:rsidR="00664420" w:rsidRPr="00BF0294" w:rsidRDefault="00664420" w:rsidP="00BF0294">
      <w:pPr>
        <w:pStyle w:val="Ttulo2"/>
        <w:rPr>
          <w:rFonts w:eastAsia="Batang"/>
        </w:rPr>
      </w:pPr>
      <w:bookmarkStart w:id="19" w:name="_Toc206617671"/>
      <w:r w:rsidRPr="00BF0294">
        <w:rPr>
          <w:rFonts w:eastAsia="Batang"/>
        </w:rPr>
        <w:t xml:space="preserve">PRIMERO. </w:t>
      </w:r>
      <w:proofErr w:type="spellStart"/>
      <w:r w:rsidR="00BA55A8" w:rsidRPr="00BF0294">
        <w:rPr>
          <w:rFonts w:eastAsia="Batang"/>
        </w:rPr>
        <w:t>Procedibilidad</w:t>
      </w:r>
      <w:bookmarkEnd w:id="19"/>
      <w:proofErr w:type="spellEnd"/>
    </w:p>
    <w:p w14:paraId="39C52BC1" w14:textId="56FCC20D" w:rsidR="00BA55A8" w:rsidRPr="00BF0294" w:rsidRDefault="00BA55A8" w:rsidP="00BF0294">
      <w:pPr>
        <w:pStyle w:val="Ttulo3"/>
      </w:pPr>
      <w:bookmarkStart w:id="20" w:name="_Toc206617672"/>
      <w:r w:rsidRPr="00BF0294">
        <w:t>a) Competencia</w:t>
      </w:r>
      <w:r w:rsidR="00150C49" w:rsidRPr="00BF0294">
        <w:t xml:space="preserve"> del Instituto</w:t>
      </w:r>
      <w:bookmarkEnd w:id="20"/>
    </w:p>
    <w:p w14:paraId="7354F202" w14:textId="77777777" w:rsidR="003772F9" w:rsidRPr="00BF0294" w:rsidRDefault="003772F9" w:rsidP="00BF0294">
      <w:r w:rsidRPr="00BF0294">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C36A399" w14:textId="77777777" w:rsidR="00DB1C09" w:rsidRPr="00BF0294" w:rsidRDefault="00DB1C09" w:rsidP="00BF0294">
      <w:pPr>
        <w:rPr>
          <w:rFonts w:cs="Arial"/>
        </w:rPr>
      </w:pPr>
    </w:p>
    <w:p w14:paraId="517A2DD6" w14:textId="4169BE4D" w:rsidR="00664420" w:rsidRPr="00BF0294" w:rsidRDefault="00BA55A8" w:rsidP="00BF0294">
      <w:pPr>
        <w:pStyle w:val="Ttulo3"/>
      </w:pPr>
      <w:bookmarkStart w:id="21" w:name="_Toc206617673"/>
      <w:r w:rsidRPr="00BF0294">
        <w:lastRenderedPageBreak/>
        <w:t>b)</w:t>
      </w:r>
      <w:r w:rsidR="00664420" w:rsidRPr="00BF0294">
        <w:t xml:space="preserve"> </w:t>
      </w:r>
      <w:r w:rsidR="00D91CB4" w:rsidRPr="00BF0294">
        <w:t>Legitimidad</w:t>
      </w:r>
      <w:r w:rsidRPr="00BF0294">
        <w:t xml:space="preserve"> de la parte recurrente</w:t>
      </w:r>
      <w:bookmarkEnd w:id="21"/>
    </w:p>
    <w:p w14:paraId="26FEA382" w14:textId="0B06695C" w:rsidR="00D91CB4" w:rsidRPr="00BF0294" w:rsidRDefault="00D91CB4" w:rsidP="00BF0294">
      <w:pPr>
        <w:rPr>
          <w:rFonts w:cs="Arial"/>
          <w:bCs/>
        </w:rPr>
      </w:pPr>
      <w:r w:rsidRPr="00BF0294">
        <w:rPr>
          <w:rFonts w:cs="Arial"/>
          <w:bCs/>
        </w:rPr>
        <w:t>El recurso de revisión fue interpuesto por parte legítima, ya que se presentó por la misma persona que formuló la solicitud de acceso a la Información Pública,</w:t>
      </w:r>
      <w:r w:rsidRPr="00BF0294">
        <w:rPr>
          <w:rFonts w:cs="Arial"/>
          <w:b/>
          <w:bCs/>
        </w:rPr>
        <w:t xml:space="preserve"> </w:t>
      </w:r>
      <w:r w:rsidRPr="00BF0294">
        <w:rPr>
          <w:rFonts w:cs="Arial"/>
        </w:rPr>
        <w:t>debido a que los datos de acceso</w:t>
      </w:r>
      <w:r w:rsidRPr="00BF0294">
        <w:rPr>
          <w:rFonts w:cs="Arial"/>
          <w:b/>
          <w:bCs/>
        </w:rPr>
        <w:t xml:space="preserve"> </w:t>
      </w:r>
      <w:r w:rsidRPr="00BF0294">
        <w:rPr>
          <w:rFonts w:cs="Arial"/>
          <w:b/>
        </w:rPr>
        <w:t>SAIMEX</w:t>
      </w:r>
      <w:r w:rsidRPr="00BF0294">
        <w:rPr>
          <w:rFonts w:eastAsia="Calibri" w:cs="Arial"/>
          <w:lang w:eastAsia="en-US"/>
        </w:rPr>
        <w:t xml:space="preserve"> son personales e irrepetibles.</w:t>
      </w:r>
    </w:p>
    <w:p w14:paraId="2C367810" w14:textId="77777777" w:rsidR="00D91CB4" w:rsidRPr="00BF0294" w:rsidRDefault="00D91CB4" w:rsidP="00BF0294"/>
    <w:p w14:paraId="5C5FA5A8" w14:textId="77777777" w:rsidR="004565C2" w:rsidRPr="00BF0294" w:rsidRDefault="004565C2" w:rsidP="00BF0294">
      <w:pPr>
        <w:pStyle w:val="Ttulo3"/>
        <w:rPr>
          <w:rFonts w:eastAsia="Calibri"/>
          <w:lang w:eastAsia="es-ES_tradnl"/>
        </w:rPr>
      </w:pPr>
      <w:bookmarkStart w:id="22" w:name="_Toc170932820"/>
      <w:bookmarkStart w:id="23" w:name="_Toc206617674"/>
      <w:r w:rsidRPr="00BF0294">
        <w:rPr>
          <w:rFonts w:eastAsia="Calibri"/>
          <w:lang w:eastAsia="es-ES_tradnl"/>
        </w:rPr>
        <w:t>c) Plazo para interponer el recurso</w:t>
      </w:r>
      <w:bookmarkEnd w:id="22"/>
      <w:bookmarkEnd w:id="23"/>
    </w:p>
    <w:p w14:paraId="5C63152A" w14:textId="31F0EA6B" w:rsidR="004565C2" w:rsidRPr="00BF0294" w:rsidRDefault="004565C2" w:rsidP="00BF0294">
      <w:pPr>
        <w:rPr>
          <w:rFonts w:eastAsiaTheme="minorEastAsia" w:cs="Arial"/>
          <w:lang w:val="es-ES_tradnl"/>
        </w:rPr>
      </w:pPr>
      <w:r w:rsidRPr="00BF0294">
        <w:rPr>
          <w:rFonts w:cs="Arial"/>
          <w:b/>
        </w:rPr>
        <w:t>EL SUJETO OBLIGADO</w:t>
      </w:r>
      <w:r w:rsidRPr="00BF0294">
        <w:rPr>
          <w:rFonts w:cs="Arial"/>
        </w:rPr>
        <w:t xml:space="preserve"> notificó la respuesta a la solicitud de acceso a la Información Pública el </w:t>
      </w:r>
      <w:r w:rsidR="00E26587" w:rsidRPr="00BF0294">
        <w:rPr>
          <w:rFonts w:eastAsia="Palatino Linotype" w:cs="Palatino Linotype"/>
          <w:b/>
        </w:rPr>
        <w:t>treinta de junio</w:t>
      </w:r>
      <w:r w:rsidR="0043654A" w:rsidRPr="00BF0294">
        <w:rPr>
          <w:rFonts w:eastAsia="Palatino Linotype" w:cs="Palatino Linotype"/>
          <w:b/>
        </w:rPr>
        <w:t xml:space="preserve"> </w:t>
      </w:r>
      <w:r w:rsidR="00B373AF" w:rsidRPr="00BF0294">
        <w:rPr>
          <w:rFonts w:eastAsia="Palatino Linotype" w:cs="Palatino Linotype"/>
          <w:b/>
        </w:rPr>
        <w:t>d</w:t>
      </w:r>
      <w:r w:rsidR="009A1340" w:rsidRPr="00BF0294">
        <w:rPr>
          <w:rFonts w:eastAsia="Palatino Linotype" w:cs="Palatino Linotype"/>
          <w:b/>
        </w:rPr>
        <w:t xml:space="preserve">e dos mil veinticinco </w:t>
      </w:r>
      <w:r w:rsidRPr="00BF0294">
        <w:rPr>
          <w:rFonts w:cs="Arial"/>
        </w:rPr>
        <w:t xml:space="preserve">y el recurso </w:t>
      </w:r>
      <w:r w:rsidRPr="00BF0294">
        <w:rPr>
          <w:rFonts w:eastAsia="Palatino Linotype" w:cs="Palatino Linotype"/>
        </w:rPr>
        <w:t>que nos ocupa se interpu</w:t>
      </w:r>
      <w:r w:rsidR="00E27023" w:rsidRPr="00BF0294">
        <w:rPr>
          <w:rFonts w:eastAsia="Palatino Linotype" w:cs="Palatino Linotype"/>
        </w:rPr>
        <w:t>so</w:t>
      </w:r>
      <w:r w:rsidRPr="00BF0294">
        <w:rPr>
          <w:rFonts w:eastAsia="Palatino Linotype" w:cs="Palatino Linotype"/>
        </w:rPr>
        <w:t xml:space="preserve"> el </w:t>
      </w:r>
      <w:r w:rsidR="00E26587" w:rsidRPr="00BF0294">
        <w:rPr>
          <w:rFonts w:eastAsia="Palatino Linotype" w:cs="Palatino Linotype"/>
          <w:b/>
        </w:rPr>
        <w:t>primero</w:t>
      </w:r>
      <w:r w:rsidR="003772F9" w:rsidRPr="00BF0294">
        <w:rPr>
          <w:rFonts w:eastAsia="Palatino Linotype" w:cs="Palatino Linotype"/>
          <w:b/>
        </w:rPr>
        <w:t xml:space="preserve"> de julio</w:t>
      </w:r>
      <w:r w:rsidR="0043654A" w:rsidRPr="00BF0294">
        <w:rPr>
          <w:rFonts w:eastAsia="Palatino Linotype" w:cs="Palatino Linotype"/>
          <w:b/>
        </w:rPr>
        <w:t xml:space="preserve"> </w:t>
      </w:r>
      <w:r w:rsidR="009A1340" w:rsidRPr="00BF0294">
        <w:rPr>
          <w:rFonts w:eastAsia="Palatino Linotype" w:cs="Palatino Linotype"/>
          <w:b/>
        </w:rPr>
        <w:t>de dos mil veinticinco</w:t>
      </w:r>
      <w:r w:rsidRPr="00BF0294">
        <w:rPr>
          <w:rFonts w:eastAsia="Palatino Linotype" w:cs="Palatino Linotype"/>
          <w:bCs/>
        </w:rPr>
        <w:t>;</w:t>
      </w:r>
      <w:r w:rsidRPr="00BF0294">
        <w:rPr>
          <w:rFonts w:eastAsia="Palatino Linotype" w:cs="Palatino Linotype"/>
        </w:rPr>
        <w:t xml:space="preserve"> por lo tanto, éste se encuentra dentro del margen temporal previsto en el artículo 178 de la </w:t>
      </w:r>
      <w:r w:rsidRPr="00BF0294">
        <w:rPr>
          <w:rFonts w:cs="Arial"/>
        </w:rPr>
        <w:t>Ley de Transparencia y Acceso a la Información Pública del Estado de México y Municipios</w:t>
      </w:r>
      <w:r w:rsidRPr="00BF0294">
        <w:rPr>
          <w:rFonts w:eastAsiaTheme="minorEastAsia" w:cs="Arial"/>
          <w:lang w:val="es-ES_tradnl"/>
        </w:rPr>
        <w:t>.</w:t>
      </w:r>
    </w:p>
    <w:p w14:paraId="41262D82" w14:textId="77777777" w:rsidR="00813497" w:rsidRPr="00BF0294" w:rsidRDefault="00813497" w:rsidP="00BF0294"/>
    <w:p w14:paraId="46C0EB3A" w14:textId="5A92AF42" w:rsidR="00A53315" w:rsidRPr="00BF0294" w:rsidRDefault="00BA55A8" w:rsidP="00BF0294">
      <w:pPr>
        <w:pStyle w:val="Ttulo3"/>
        <w:rPr>
          <w:rFonts w:eastAsia="Calibri"/>
          <w:lang w:eastAsia="es-ES_tradnl"/>
        </w:rPr>
      </w:pPr>
      <w:bookmarkStart w:id="24" w:name="_Toc206617675"/>
      <w:r w:rsidRPr="00BF0294">
        <w:rPr>
          <w:rFonts w:eastAsia="Calibri"/>
          <w:lang w:eastAsia="es-ES_tradnl"/>
        </w:rPr>
        <w:t>d)</w:t>
      </w:r>
      <w:r w:rsidR="00D91CB4" w:rsidRPr="00BF0294">
        <w:rPr>
          <w:rFonts w:eastAsia="Calibri"/>
          <w:lang w:eastAsia="es-ES_tradnl"/>
        </w:rPr>
        <w:t xml:space="preserve"> </w:t>
      </w:r>
      <w:r w:rsidR="004565C2" w:rsidRPr="00BF0294">
        <w:rPr>
          <w:rFonts w:eastAsia="Calibri"/>
          <w:lang w:eastAsia="es-ES_tradnl"/>
        </w:rPr>
        <w:t>Causal de procedencia</w:t>
      </w:r>
      <w:bookmarkEnd w:id="24"/>
    </w:p>
    <w:p w14:paraId="190404A6" w14:textId="025DCDF0" w:rsidR="00BA55A8" w:rsidRPr="00BF0294" w:rsidRDefault="00BA55A8" w:rsidP="00BF0294">
      <w:r w:rsidRPr="00BF0294">
        <w:rPr>
          <w:rFonts w:cs="Arial"/>
        </w:rPr>
        <w:t xml:space="preserve">Resulta procedente la interposición del recurso de revisión, ya que </w:t>
      </w:r>
      <w:r w:rsidRPr="00BF0294">
        <w:rPr>
          <w:rFonts w:eastAsia="Calibri" w:cs="Tahoma"/>
          <w:szCs w:val="22"/>
          <w:lang w:eastAsia="es-MX"/>
        </w:rPr>
        <w:t xml:space="preserve">se actualiza la causal de procedencia señalada en el artículo 179, fracción </w:t>
      </w:r>
      <w:r w:rsidR="00E26587" w:rsidRPr="00BF0294">
        <w:rPr>
          <w:rFonts w:eastAsia="Calibri" w:cs="Tahoma"/>
          <w:szCs w:val="22"/>
          <w:lang w:eastAsia="es-MX"/>
        </w:rPr>
        <w:t>V</w:t>
      </w:r>
      <w:r w:rsidR="009A6719" w:rsidRPr="00BF0294">
        <w:rPr>
          <w:rFonts w:eastAsia="Calibri" w:cs="Tahoma"/>
          <w:szCs w:val="22"/>
          <w:lang w:eastAsia="es-MX"/>
        </w:rPr>
        <w:t>I</w:t>
      </w:r>
      <w:r w:rsidRPr="00BF0294">
        <w:rPr>
          <w:rFonts w:cs="Arial"/>
        </w:rPr>
        <w:t xml:space="preserve"> de la </w:t>
      </w:r>
      <w:r w:rsidRPr="00BF0294">
        <w:t>Ley de Transparencia y Acceso a la Información Pública del Estado de México y Municipios.</w:t>
      </w:r>
    </w:p>
    <w:p w14:paraId="0EFF7141" w14:textId="77777777" w:rsidR="00362A11" w:rsidRPr="00BF0294" w:rsidRDefault="00362A11" w:rsidP="00BF0294"/>
    <w:p w14:paraId="2284D7EB" w14:textId="3EE1D036" w:rsidR="00BA55A8" w:rsidRPr="00BF0294" w:rsidRDefault="00362A11" w:rsidP="00BF0294">
      <w:pPr>
        <w:pStyle w:val="Ttulo3"/>
      </w:pPr>
      <w:bookmarkStart w:id="25" w:name="_Toc206617676"/>
      <w:r w:rsidRPr="00BF0294">
        <w:t>e) Requisitos formales para la interposición del recurso</w:t>
      </w:r>
      <w:bookmarkEnd w:id="25"/>
    </w:p>
    <w:p w14:paraId="677C7009" w14:textId="77777777" w:rsidR="00185C7C" w:rsidRPr="00BF0294" w:rsidRDefault="00185C7C" w:rsidP="00BF0294">
      <w:pPr>
        <w:rPr>
          <w:rFonts w:cs="Arial"/>
        </w:rPr>
      </w:pPr>
      <w:r w:rsidRPr="00BF0294">
        <w:rPr>
          <w:rFonts w:cs="Arial"/>
          <w:b/>
          <w:bCs/>
        </w:rPr>
        <w:t xml:space="preserve">LA PARTE RECURRENTE </w:t>
      </w:r>
      <w:r w:rsidRPr="00BF0294">
        <w:rPr>
          <w:rFonts w:cs="Arial"/>
        </w:rPr>
        <w:t>acreditó todos y cada uno de los elementos formales exigidos por el artículo 180 de la misma normatividad.</w:t>
      </w:r>
    </w:p>
    <w:p w14:paraId="2BE2EBCD" w14:textId="77777777" w:rsidR="00185C7C" w:rsidRPr="00BF0294" w:rsidRDefault="00185C7C" w:rsidP="00BF0294">
      <w:pPr>
        <w:rPr>
          <w:rFonts w:cs="Arial"/>
        </w:rPr>
      </w:pPr>
    </w:p>
    <w:p w14:paraId="2C929A51" w14:textId="77777777" w:rsidR="00E53DDE" w:rsidRPr="00BF0294" w:rsidRDefault="00E53DDE" w:rsidP="00BF0294">
      <w:pPr>
        <w:rPr>
          <w:rFonts w:cs="Arial"/>
          <w:lang w:val="es-ES"/>
        </w:rPr>
      </w:pPr>
      <w:r w:rsidRPr="00BF0294">
        <w:rPr>
          <w:lang w:val="es-ES"/>
        </w:rPr>
        <w:t xml:space="preserve">Sin embargo, es importante mencionar que, de la revisión de los expedientes electrónicos del </w:t>
      </w:r>
      <w:r w:rsidRPr="00BF0294">
        <w:rPr>
          <w:b/>
          <w:bCs/>
          <w:lang w:val="es-ES"/>
        </w:rPr>
        <w:t>SAIMEX</w:t>
      </w:r>
      <w:r w:rsidRPr="00BF0294">
        <w:rPr>
          <w:bCs/>
          <w:lang w:val="es-ES"/>
        </w:rPr>
        <w:t>,</w:t>
      </w:r>
      <w:r w:rsidRPr="00BF0294">
        <w:rPr>
          <w:lang w:val="es-ES"/>
        </w:rPr>
        <w:t xml:space="preserve"> se observa que </w:t>
      </w:r>
      <w:r w:rsidRPr="00BF0294">
        <w:rPr>
          <w:b/>
          <w:bCs/>
          <w:lang w:val="es-ES"/>
        </w:rPr>
        <w:t>LA PARTE RECURRENTE</w:t>
      </w:r>
      <w:r w:rsidRPr="00BF0294">
        <w:rPr>
          <w:lang w:val="es-ES"/>
        </w:rPr>
        <w:t xml:space="preserve"> no proporcionó su nombre para ser identificado, lo que en estricto sentido provoca que </w:t>
      </w:r>
      <w:r w:rsidRPr="00BF0294">
        <w:rPr>
          <w:rFonts w:cs="Arial"/>
          <w:lang w:val="es-ES"/>
        </w:rPr>
        <w:t>no</w:t>
      </w:r>
      <w:r w:rsidRPr="00BF0294">
        <w:rPr>
          <w:lang w:val="es-ES"/>
        </w:rPr>
        <w:t xml:space="preserve"> se colmen los requisitos establecidos en el artículo 180 de la Ley de Transparencia; sin embargo, el artículo 15 de </w:t>
      </w:r>
      <w:r w:rsidRPr="00BF0294">
        <w:rPr>
          <w:rFonts w:cs="Arial"/>
          <w:lang w:val="es-ES" w:eastAsia="es-MX"/>
        </w:rPr>
        <w:t xml:space="preserve">Ley de </w:t>
      </w:r>
      <w:r w:rsidRPr="00BF0294">
        <w:rPr>
          <w:rFonts w:cs="Arial"/>
          <w:lang w:val="es-ES" w:eastAsia="es-MX"/>
        </w:rPr>
        <w:lastRenderedPageBreak/>
        <w:t xml:space="preserve">Transparencia y Acceso a la </w:t>
      </w:r>
      <w:r w:rsidRPr="00BF0294">
        <w:rPr>
          <w:rFonts w:cs="Arial"/>
          <w:lang w:val="es-ES"/>
        </w:rPr>
        <w:t>Información</w:t>
      </w:r>
      <w:r w:rsidRPr="00BF0294">
        <w:rPr>
          <w:rFonts w:cs="Arial"/>
          <w:lang w:val="es-ES" w:eastAsia="es-MX"/>
        </w:rPr>
        <w:t xml:space="preserve"> Pública del Estado de México y Municipios </w:t>
      </w:r>
      <w:r w:rsidRPr="00BF0294">
        <w:rPr>
          <w:rFonts w:cs="Arial"/>
          <w:iCs/>
          <w:lang w:val="es-ES"/>
        </w:rPr>
        <w:t xml:space="preserve">prevé que </w:t>
      </w:r>
      <w:r w:rsidRPr="00BF0294">
        <w:rPr>
          <w:lang w:val="es-ES"/>
        </w:rPr>
        <w:t xml:space="preserve">toda persona tendrá acceso a la información </w:t>
      </w:r>
      <w:r w:rsidRPr="00BF0294">
        <w:rPr>
          <w:rFonts w:cs="Arial"/>
          <w:lang w:val="es-ES"/>
        </w:rPr>
        <w:t xml:space="preserve">sin necesidad de acreditar interés alguno o justificar su utilización, de lo que se infiere que </w:t>
      </w:r>
      <w:r w:rsidRPr="00BF0294">
        <w:rPr>
          <w:rFonts w:cs="Arial"/>
          <w:b/>
          <w:u w:val="single"/>
          <w:lang w:val="es-ES"/>
        </w:rPr>
        <w:t xml:space="preserve">el nombre no es un requisito </w:t>
      </w:r>
      <w:r w:rsidRPr="00BF0294">
        <w:rPr>
          <w:rFonts w:cs="Arial"/>
          <w:b/>
          <w:iCs/>
          <w:u w:val="single"/>
          <w:lang w:val="es-ES"/>
        </w:rPr>
        <w:t>indispensable</w:t>
      </w:r>
      <w:r w:rsidRPr="00BF0294">
        <w:rPr>
          <w:rFonts w:cs="Arial"/>
          <w:lang w:val="es-ES"/>
        </w:rPr>
        <w:t xml:space="preserve"> para que las y los ciudadanos ejerzan el derecho de acceso a la información pública. </w:t>
      </w:r>
    </w:p>
    <w:p w14:paraId="0F36E00F" w14:textId="77777777" w:rsidR="00E53DDE" w:rsidRPr="00BF0294" w:rsidRDefault="00E53DDE" w:rsidP="00BF0294">
      <w:pPr>
        <w:rPr>
          <w:rFonts w:cs="Arial"/>
          <w:sz w:val="24"/>
          <w:szCs w:val="24"/>
          <w:lang w:val="es-ES"/>
        </w:rPr>
      </w:pPr>
    </w:p>
    <w:p w14:paraId="473E4FA1" w14:textId="77777777" w:rsidR="00E53DDE" w:rsidRPr="00BF0294" w:rsidRDefault="00E53DDE" w:rsidP="00BF0294">
      <w:pPr>
        <w:rPr>
          <w:lang w:val="es-ES"/>
        </w:rPr>
      </w:pPr>
      <w:r w:rsidRPr="00BF0294">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BF0294">
        <w:rPr>
          <w:b/>
          <w:bCs/>
          <w:lang w:val="es-ES"/>
        </w:rPr>
        <w:t>LA PARTE RECURRENTE</w:t>
      </w:r>
      <w:r w:rsidRPr="00BF0294">
        <w:rPr>
          <w:b/>
          <w:lang w:val="es-ES"/>
        </w:rPr>
        <w:t>;</w:t>
      </w:r>
      <w:r w:rsidRPr="00BF0294">
        <w:rPr>
          <w:lang w:val="es-ES"/>
        </w:rPr>
        <w:t xml:space="preserve"> por lo que, en el presente caso, al haber sido presentado el recurso de revisión vía </w:t>
      </w:r>
      <w:r w:rsidRPr="00BF0294">
        <w:rPr>
          <w:b/>
          <w:bCs/>
          <w:lang w:val="es-ES"/>
        </w:rPr>
        <w:t>SAIMEX</w:t>
      </w:r>
      <w:r w:rsidRPr="00BF0294">
        <w:rPr>
          <w:lang w:val="es-ES"/>
        </w:rPr>
        <w:t>, dicho requisito resulta innecesario.</w:t>
      </w:r>
    </w:p>
    <w:p w14:paraId="0BFE0F03" w14:textId="77777777" w:rsidR="00E53DDE" w:rsidRPr="00BF0294" w:rsidRDefault="00E53DDE" w:rsidP="00BF0294">
      <w:pPr>
        <w:rPr>
          <w:rFonts w:cs="Arial"/>
        </w:rPr>
      </w:pPr>
    </w:p>
    <w:p w14:paraId="457548E9" w14:textId="3F7AF03B" w:rsidR="00C71CEF" w:rsidRPr="00BF0294" w:rsidRDefault="00C71CEF" w:rsidP="00BF0294">
      <w:pPr>
        <w:pStyle w:val="Ttulo2"/>
      </w:pPr>
      <w:bookmarkStart w:id="26" w:name="_Toc206617677"/>
      <w:r w:rsidRPr="00BF0294">
        <w:t>SEGUNDO. Estudio de Fondo</w:t>
      </w:r>
      <w:bookmarkEnd w:id="26"/>
    </w:p>
    <w:p w14:paraId="2A308F59" w14:textId="0FF373F0" w:rsidR="00C049E2" w:rsidRPr="00BF0294" w:rsidRDefault="00C71CEF" w:rsidP="00BF0294">
      <w:pPr>
        <w:pStyle w:val="Ttulo3"/>
      </w:pPr>
      <w:bookmarkStart w:id="27" w:name="_Toc206617678"/>
      <w:r w:rsidRPr="00BF0294">
        <w:t>a</w:t>
      </w:r>
      <w:r w:rsidR="00C049E2" w:rsidRPr="00BF0294">
        <w:t>) Mandato de transparencia y responsabilidad del Sujeto Obligado</w:t>
      </w:r>
      <w:bookmarkEnd w:id="27"/>
    </w:p>
    <w:p w14:paraId="6901A889" w14:textId="59EEDAE1" w:rsidR="00C049E2" w:rsidRPr="00BF0294" w:rsidRDefault="00C049E2" w:rsidP="00BF0294">
      <w:pPr>
        <w:rPr>
          <w:rFonts w:eastAsia="Palatino Linotype"/>
        </w:rPr>
      </w:pPr>
      <w:r w:rsidRPr="00BF0294">
        <w:rPr>
          <w:rFonts w:eastAsia="Palatino Linotype"/>
        </w:rPr>
        <w:t xml:space="preserve">El </w:t>
      </w:r>
      <w:r w:rsidR="00717E59" w:rsidRPr="00BF0294">
        <w:rPr>
          <w:rFonts w:eastAsia="Palatino Linotype"/>
        </w:rPr>
        <w:t>d</w:t>
      </w:r>
      <w:r w:rsidRPr="00BF0294">
        <w:rPr>
          <w:rFonts w:eastAsia="Palatino Linotype"/>
        </w:rPr>
        <w:t xml:space="preserve">erecho de </w:t>
      </w:r>
      <w:r w:rsidR="00717E59" w:rsidRPr="00BF0294">
        <w:rPr>
          <w:rFonts w:eastAsia="Palatino Linotype"/>
        </w:rPr>
        <w:t>a</w:t>
      </w:r>
      <w:r w:rsidRPr="00BF0294">
        <w:rPr>
          <w:rFonts w:eastAsia="Palatino Linotype"/>
        </w:rPr>
        <w:t xml:space="preserve">cceso a la </w:t>
      </w:r>
      <w:r w:rsidR="00717E59" w:rsidRPr="00BF0294">
        <w:rPr>
          <w:rFonts w:eastAsia="Palatino Linotype"/>
        </w:rPr>
        <w:t>i</w:t>
      </w:r>
      <w:r w:rsidRPr="00BF0294">
        <w:rPr>
          <w:rFonts w:eastAsia="Palatino Linotype"/>
        </w:rPr>
        <w:t xml:space="preserve">nformación </w:t>
      </w:r>
      <w:r w:rsidR="00717E59" w:rsidRPr="00BF0294">
        <w:rPr>
          <w:rFonts w:eastAsia="Palatino Linotype"/>
        </w:rPr>
        <w:t>p</w:t>
      </w:r>
      <w:r w:rsidRPr="00BF0294">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BF0294">
        <w:rPr>
          <w:rFonts w:eastAsia="Palatino Linotype"/>
        </w:rPr>
        <w:t>:</w:t>
      </w:r>
    </w:p>
    <w:p w14:paraId="7FAB8D32" w14:textId="77777777" w:rsidR="00C049E2" w:rsidRPr="00BF0294" w:rsidRDefault="00C049E2" w:rsidP="00BF0294">
      <w:pPr>
        <w:rPr>
          <w:rFonts w:eastAsia="Palatino Linotype"/>
        </w:rPr>
      </w:pPr>
    </w:p>
    <w:p w14:paraId="05320813" w14:textId="77777777" w:rsidR="00C049E2" w:rsidRPr="00BF0294" w:rsidRDefault="00C049E2" w:rsidP="00BF0294">
      <w:pPr>
        <w:pStyle w:val="Puesto"/>
        <w:rPr>
          <w:rFonts w:eastAsia="Palatino Linotype"/>
          <w:b/>
        </w:rPr>
      </w:pPr>
      <w:r w:rsidRPr="00BF0294">
        <w:rPr>
          <w:rFonts w:eastAsia="Palatino Linotype"/>
          <w:b/>
        </w:rPr>
        <w:t>Constitución Política de los Estados Unidos Mexicanos</w:t>
      </w:r>
    </w:p>
    <w:p w14:paraId="6B6C67B6" w14:textId="77777777" w:rsidR="00C049E2" w:rsidRPr="00BF0294" w:rsidRDefault="00C049E2" w:rsidP="00BF0294">
      <w:pPr>
        <w:pStyle w:val="Puesto"/>
        <w:rPr>
          <w:rFonts w:eastAsia="Palatino Linotype"/>
          <w:b/>
        </w:rPr>
      </w:pPr>
      <w:r w:rsidRPr="00BF0294">
        <w:rPr>
          <w:rFonts w:eastAsia="Palatino Linotype"/>
        </w:rPr>
        <w:t>“</w:t>
      </w:r>
      <w:r w:rsidRPr="00BF0294">
        <w:rPr>
          <w:rFonts w:eastAsia="Palatino Linotype"/>
          <w:b/>
        </w:rPr>
        <w:t>Artículo 6.</w:t>
      </w:r>
    </w:p>
    <w:p w14:paraId="38D3B4C4" w14:textId="77777777" w:rsidR="00C049E2" w:rsidRPr="00BF0294" w:rsidRDefault="00C049E2" w:rsidP="00BF0294">
      <w:pPr>
        <w:pStyle w:val="Puesto"/>
        <w:rPr>
          <w:rFonts w:eastAsia="Palatino Linotype"/>
        </w:rPr>
      </w:pPr>
      <w:r w:rsidRPr="00BF0294">
        <w:rPr>
          <w:rFonts w:eastAsia="Palatino Linotype"/>
        </w:rPr>
        <w:t>(…)</w:t>
      </w:r>
    </w:p>
    <w:p w14:paraId="2CCAA297" w14:textId="6602827B" w:rsidR="00C049E2" w:rsidRPr="00BF0294" w:rsidRDefault="00C049E2" w:rsidP="00BF0294">
      <w:pPr>
        <w:pStyle w:val="Puesto"/>
        <w:rPr>
          <w:rFonts w:eastAsia="Palatino Linotype"/>
        </w:rPr>
      </w:pPr>
      <w:r w:rsidRPr="00BF0294">
        <w:rPr>
          <w:rFonts w:eastAsia="Palatino Linotype"/>
        </w:rPr>
        <w:t>Para efectos de lo dispuesto en el presente artículo se observará lo siguiente:</w:t>
      </w:r>
    </w:p>
    <w:p w14:paraId="74CC3718" w14:textId="77777777" w:rsidR="00C049E2" w:rsidRPr="00BF0294" w:rsidRDefault="00C049E2" w:rsidP="00BF0294">
      <w:pPr>
        <w:pStyle w:val="Puesto"/>
        <w:rPr>
          <w:rFonts w:eastAsia="Palatino Linotype"/>
        </w:rPr>
      </w:pPr>
      <w:r w:rsidRPr="00BF0294">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BF0294" w:rsidRDefault="00C049E2" w:rsidP="00BF0294">
      <w:pPr>
        <w:pStyle w:val="Puesto"/>
        <w:rPr>
          <w:rFonts w:eastAsia="Palatino Linotype"/>
        </w:rPr>
      </w:pPr>
      <w:r w:rsidRPr="00BF0294">
        <w:rPr>
          <w:rFonts w:eastAsia="Palatino Linotype"/>
        </w:rPr>
        <w:t xml:space="preserve">I. </w:t>
      </w:r>
      <w:r w:rsidRPr="00BF0294">
        <w:rPr>
          <w:rFonts w:eastAsia="Palatino Linotype"/>
        </w:rPr>
        <w:tab/>
        <w:t xml:space="preserve">Toda la información en posesión de cualquier autoridad, entidad, órgano y organismo de los Poderes Ejecutivo, Legislativo y Judicial, órganos autónomos, partidos </w:t>
      </w:r>
      <w:r w:rsidRPr="00BF0294">
        <w:rPr>
          <w:rFonts w:eastAsia="Palatino Linotype"/>
        </w:rPr>
        <w:lastRenderedPageBreak/>
        <w:t>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BF0294" w:rsidRDefault="00C049E2" w:rsidP="00BF0294">
      <w:pPr>
        <w:pStyle w:val="Puesto"/>
        <w:rPr>
          <w:rFonts w:eastAsia="Palatino Linotype"/>
        </w:rPr>
      </w:pPr>
    </w:p>
    <w:p w14:paraId="504F12DB" w14:textId="77777777" w:rsidR="00C049E2" w:rsidRPr="00BF0294" w:rsidRDefault="00C049E2" w:rsidP="00BF0294">
      <w:pPr>
        <w:pStyle w:val="Puesto"/>
        <w:rPr>
          <w:rFonts w:eastAsia="Palatino Linotype"/>
          <w:b/>
        </w:rPr>
      </w:pPr>
      <w:r w:rsidRPr="00BF0294">
        <w:rPr>
          <w:rFonts w:eastAsia="Palatino Linotype"/>
          <w:b/>
        </w:rPr>
        <w:t>Constitución Política del Estado Libre y Soberano de México</w:t>
      </w:r>
    </w:p>
    <w:p w14:paraId="04932D29" w14:textId="77777777" w:rsidR="00C049E2" w:rsidRPr="00BF0294" w:rsidRDefault="00C049E2" w:rsidP="00BF0294">
      <w:pPr>
        <w:pStyle w:val="Puesto"/>
        <w:rPr>
          <w:rFonts w:eastAsia="Palatino Linotype"/>
          <w:b/>
        </w:rPr>
      </w:pPr>
      <w:r w:rsidRPr="00BF0294">
        <w:rPr>
          <w:rFonts w:eastAsia="Palatino Linotype"/>
        </w:rPr>
        <w:t>“</w:t>
      </w:r>
      <w:r w:rsidRPr="00BF0294">
        <w:rPr>
          <w:rFonts w:eastAsia="Palatino Linotype"/>
          <w:b/>
        </w:rPr>
        <w:t xml:space="preserve">Artículo 5.- </w:t>
      </w:r>
    </w:p>
    <w:p w14:paraId="1D3829F4" w14:textId="77777777" w:rsidR="00C049E2" w:rsidRPr="00BF0294" w:rsidRDefault="00C049E2" w:rsidP="00BF0294">
      <w:pPr>
        <w:pStyle w:val="Puesto"/>
        <w:rPr>
          <w:rFonts w:eastAsia="Palatino Linotype"/>
        </w:rPr>
      </w:pPr>
      <w:r w:rsidRPr="00BF0294">
        <w:rPr>
          <w:rFonts w:eastAsia="Palatino Linotype"/>
        </w:rPr>
        <w:t>(…)</w:t>
      </w:r>
    </w:p>
    <w:p w14:paraId="0EAE47FD" w14:textId="77777777" w:rsidR="00C049E2" w:rsidRPr="00BF0294" w:rsidRDefault="00C049E2" w:rsidP="00BF0294">
      <w:pPr>
        <w:pStyle w:val="Puesto"/>
        <w:rPr>
          <w:rFonts w:eastAsia="Palatino Linotype"/>
        </w:rPr>
      </w:pPr>
      <w:r w:rsidRPr="00BF0294">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BF0294" w:rsidRDefault="00C049E2" w:rsidP="00BF0294">
      <w:pPr>
        <w:pStyle w:val="Puesto"/>
        <w:rPr>
          <w:rFonts w:eastAsia="Palatino Linotype"/>
        </w:rPr>
      </w:pPr>
      <w:r w:rsidRPr="00BF0294">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BF0294" w:rsidRDefault="00C049E2" w:rsidP="00BF0294">
      <w:pPr>
        <w:pStyle w:val="Puesto"/>
        <w:rPr>
          <w:rFonts w:eastAsia="Palatino Linotype"/>
        </w:rPr>
      </w:pPr>
      <w:r w:rsidRPr="00BF0294">
        <w:rPr>
          <w:rFonts w:eastAsia="Palatino Linotype"/>
        </w:rPr>
        <w:t>Este derecho se regirá por los principios y bases siguientes:</w:t>
      </w:r>
    </w:p>
    <w:p w14:paraId="4A3E8CBA" w14:textId="77777777" w:rsidR="00C049E2" w:rsidRPr="00BF0294" w:rsidRDefault="00C049E2" w:rsidP="00BF0294">
      <w:pPr>
        <w:pStyle w:val="Puesto"/>
        <w:rPr>
          <w:rFonts w:eastAsia="Palatino Linotype"/>
        </w:rPr>
      </w:pPr>
      <w:r w:rsidRPr="00BF0294">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BF0294" w:rsidRDefault="00C049E2" w:rsidP="00BF0294">
      <w:pPr>
        <w:rPr>
          <w:rFonts w:eastAsia="Palatino Linotype"/>
          <w:b/>
          <w:i/>
        </w:rPr>
      </w:pPr>
    </w:p>
    <w:p w14:paraId="6FC1BB3B" w14:textId="3BF4A33D" w:rsidR="00C049E2" w:rsidRPr="00BF0294" w:rsidRDefault="00717E59" w:rsidP="00BF0294">
      <w:pPr>
        <w:rPr>
          <w:rFonts w:eastAsia="Palatino Linotype"/>
          <w:i/>
        </w:rPr>
      </w:pPr>
      <w:r w:rsidRPr="00BF0294">
        <w:rPr>
          <w:rFonts w:eastAsia="Palatino Linotype"/>
        </w:rPr>
        <w:t xml:space="preserve">Asimismo, </w:t>
      </w:r>
      <w:r w:rsidR="00C049E2" w:rsidRPr="00BF0294">
        <w:rPr>
          <w:rFonts w:eastAsia="Palatino Linotype"/>
        </w:rPr>
        <w:t>el artículo 150 de la Ley de Transparencia y Acceso a la Información Pública del Estado de México y Municipios</w:t>
      </w:r>
      <w:r w:rsidR="00057B2D" w:rsidRPr="00BF0294">
        <w:rPr>
          <w:rFonts w:eastAsia="Palatino Linotype"/>
        </w:rPr>
        <w:t xml:space="preserve"> </w:t>
      </w:r>
      <w:r w:rsidR="00E9335C" w:rsidRPr="00BF0294">
        <w:rPr>
          <w:rFonts w:eastAsia="Palatino Linotype"/>
        </w:rPr>
        <w:t xml:space="preserve">indica </w:t>
      </w:r>
      <w:r w:rsidR="00057B2D" w:rsidRPr="00BF0294">
        <w:rPr>
          <w:rFonts w:eastAsia="Palatino Linotype"/>
        </w:rPr>
        <w:t>que</w:t>
      </w:r>
      <w:r w:rsidR="00C049E2" w:rsidRPr="00BF0294">
        <w:rPr>
          <w:rFonts w:eastAsia="Palatino Linotype"/>
        </w:rPr>
        <w:t xml:space="preserve"> la solicitud es la garantía primaria del Derecho de Acceso a la Información, además, establece que se regirá </w:t>
      </w:r>
      <w:r w:rsidR="00C049E2" w:rsidRPr="00BF0294">
        <w:rPr>
          <w:rFonts w:eastAsia="Palatino Linotype"/>
          <w:i/>
        </w:rPr>
        <w:t>por los principios de simplicidad, rapidez</w:t>
      </w:r>
      <w:r w:rsidR="005F65B7" w:rsidRPr="00BF0294">
        <w:rPr>
          <w:rFonts w:eastAsia="Palatino Linotype"/>
          <w:i/>
        </w:rPr>
        <w:t>,</w:t>
      </w:r>
      <w:r w:rsidR="00C049E2" w:rsidRPr="00BF0294">
        <w:rPr>
          <w:rFonts w:eastAsia="Palatino Linotype"/>
          <w:i/>
        </w:rPr>
        <w:t xml:space="preserve"> gratuidad del procedimiento, auxilio y orientación a los particulare</w:t>
      </w:r>
      <w:r w:rsidR="001A58B3" w:rsidRPr="00BF0294">
        <w:rPr>
          <w:rFonts w:eastAsia="Palatino Linotype"/>
          <w:i/>
        </w:rPr>
        <w:t>s.</w:t>
      </w:r>
    </w:p>
    <w:p w14:paraId="033466A6" w14:textId="77777777" w:rsidR="001A58B3" w:rsidRPr="00BF0294" w:rsidRDefault="001A58B3" w:rsidP="00BF0294">
      <w:pPr>
        <w:rPr>
          <w:rFonts w:eastAsia="Palatino Linotype"/>
          <w:i/>
        </w:rPr>
      </w:pPr>
    </w:p>
    <w:p w14:paraId="04ADA10B" w14:textId="574A944A" w:rsidR="001A58B3" w:rsidRPr="00BF0294" w:rsidRDefault="00233F17" w:rsidP="00BF0294">
      <w:pPr>
        <w:rPr>
          <w:rFonts w:eastAsia="Palatino Linotype" w:cs="Palatino Linotype"/>
          <w:i/>
          <w:szCs w:val="22"/>
        </w:rPr>
      </w:pPr>
      <w:r w:rsidRPr="00BF0294">
        <w:rPr>
          <w:rFonts w:eastAsia="Palatino Linotype" w:cs="Palatino Linotype"/>
        </w:rPr>
        <w:t xml:space="preserve">Por su parte, el artículo 4 de </w:t>
      </w:r>
      <w:r w:rsidR="001A58B3" w:rsidRPr="00BF0294">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BF0294">
        <w:rPr>
          <w:rFonts w:eastAsia="Palatino Linotype" w:cs="Palatino Linotype"/>
        </w:rPr>
        <w:t>.</w:t>
      </w:r>
    </w:p>
    <w:p w14:paraId="1407DBB8" w14:textId="77777777" w:rsidR="001A58B3" w:rsidRPr="00BF0294" w:rsidRDefault="001A58B3" w:rsidP="00BF0294">
      <w:pPr>
        <w:rPr>
          <w:rFonts w:eastAsia="Palatino Linotype" w:cs="Palatino Linotype"/>
        </w:rPr>
      </w:pPr>
    </w:p>
    <w:p w14:paraId="7552AA79" w14:textId="5C52E4A4" w:rsidR="001A58B3" w:rsidRPr="00BF0294" w:rsidRDefault="001A58B3" w:rsidP="00BF0294">
      <w:pPr>
        <w:rPr>
          <w:rFonts w:eastAsia="Palatino Linotype" w:cs="Palatino Linotype"/>
        </w:rPr>
      </w:pPr>
      <w:r w:rsidRPr="00BF0294">
        <w:rPr>
          <w:rFonts w:eastAsia="Palatino Linotype" w:cs="Palatino Linotype"/>
        </w:rPr>
        <w:t xml:space="preserve">Esto es, que los Sujetos Obligados </w:t>
      </w:r>
      <w:r w:rsidR="00FA5957" w:rsidRPr="00BF0294">
        <w:rPr>
          <w:rFonts w:eastAsia="Palatino Linotype" w:cs="Palatino Linotype"/>
        </w:rPr>
        <w:t>deben</w:t>
      </w:r>
      <w:r w:rsidRPr="00BF0294">
        <w:rPr>
          <w:rFonts w:eastAsia="Palatino Linotype" w:cs="Palatino Linotype"/>
        </w:rPr>
        <w:t xml:space="preserve"> atender las solicitudes de acceso a la información pública que se les </w:t>
      </w:r>
      <w:r w:rsidR="00FA5957" w:rsidRPr="00BF0294">
        <w:rPr>
          <w:rFonts w:eastAsia="Palatino Linotype" w:cs="Palatino Linotype"/>
        </w:rPr>
        <w:t>sean realizadas,</w:t>
      </w:r>
      <w:r w:rsidRPr="00BF0294">
        <w:rPr>
          <w:rFonts w:eastAsia="Palatino Linotype" w:cs="Palatino Linotype"/>
        </w:rPr>
        <w:t xml:space="preserve"> y proporcionar la información pública que obre en su poder</w:t>
      </w:r>
      <w:r w:rsidR="00FA5957" w:rsidRPr="00BF0294">
        <w:rPr>
          <w:rFonts w:eastAsia="Palatino Linotype" w:cs="Palatino Linotype"/>
        </w:rPr>
        <w:t>,</w:t>
      </w:r>
      <w:r w:rsidRPr="00BF0294">
        <w:rPr>
          <w:rFonts w:eastAsia="Palatino Linotype" w:cs="Palatino Linotype"/>
        </w:rPr>
        <w:t xml:space="preserve"> conforme </w:t>
      </w:r>
      <w:r w:rsidR="00FA5957" w:rsidRPr="00BF0294">
        <w:rPr>
          <w:rFonts w:eastAsia="Palatino Linotype" w:cs="Palatino Linotype"/>
        </w:rPr>
        <w:t>a</w:t>
      </w:r>
      <w:r w:rsidRPr="00BF0294">
        <w:rPr>
          <w:rFonts w:eastAsia="Palatino Linotype" w:cs="Palatino Linotype"/>
        </w:rPr>
        <w:t xml:space="preserve">l estado </w:t>
      </w:r>
      <w:r w:rsidR="00FA5957" w:rsidRPr="00BF0294">
        <w:rPr>
          <w:rFonts w:eastAsia="Palatino Linotype" w:cs="Palatino Linotype"/>
        </w:rPr>
        <w:t xml:space="preserve">en </w:t>
      </w:r>
      <w:r w:rsidRPr="00BF0294">
        <w:rPr>
          <w:rFonts w:eastAsia="Palatino Linotype" w:cs="Palatino Linotype"/>
        </w:rPr>
        <w:t>que se encuentr</w:t>
      </w:r>
      <w:r w:rsidR="00FA5957" w:rsidRPr="00BF0294">
        <w:rPr>
          <w:rFonts w:eastAsia="Palatino Linotype" w:cs="Palatino Linotype"/>
        </w:rPr>
        <w:t>e, sin que sea necesario</w:t>
      </w:r>
      <w:r w:rsidRPr="00BF0294">
        <w:rPr>
          <w:rFonts w:eastAsia="Palatino Linotype" w:cs="Palatino Linotype"/>
        </w:rPr>
        <w:t xml:space="preserve"> </w:t>
      </w:r>
      <w:r w:rsidR="00FA5957" w:rsidRPr="00BF0294">
        <w:rPr>
          <w:rFonts w:eastAsia="Palatino Linotype" w:cs="Palatino Linotype"/>
        </w:rPr>
        <w:t>procesar</w:t>
      </w:r>
      <w:r w:rsidRPr="00BF0294">
        <w:rPr>
          <w:rFonts w:eastAsia="Palatino Linotype" w:cs="Palatino Linotype"/>
        </w:rPr>
        <w:t xml:space="preserve"> la misma, ni presentarla conforme al interés del solicitante; </w:t>
      </w:r>
      <w:r w:rsidR="00FA5957" w:rsidRPr="00BF0294">
        <w:rPr>
          <w:rFonts w:eastAsia="Palatino Linotype" w:cs="Palatino Linotype"/>
        </w:rPr>
        <w:t>tal y como</w:t>
      </w:r>
      <w:r w:rsidRPr="00BF0294">
        <w:rPr>
          <w:rFonts w:eastAsia="Palatino Linotype" w:cs="Palatino Linotype"/>
        </w:rPr>
        <w:t xml:space="preserve"> lo establece el artículo 12 de la Ley de Transparencia y Acceso a la Información Pública del Estado de México y Municipios</w:t>
      </w:r>
      <w:r w:rsidR="00970EB3" w:rsidRPr="00BF0294">
        <w:rPr>
          <w:rFonts w:eastAsia="Palatino Linotype" w:cs="Palatino Linotype"/>
        </w:rPr>
        <w:t>.</w:t>
      </w:r>
    </w:p>
    <w:p w14:paraId="73245195" w14:textId="77777777" w:rsidR="00970EB3" w:rsidRPr="00BF0294" w:rsidRDefault="00970EB3" w:rsidP="00BF0294">
      <w:pPr>
        <w:rPr>
          <w:rFonts w:eastAsia="Palatino Linotype" w:cs="Palatino Linotype"/>
        </w:rPr>
      </w:pPr>
    </w:p>
    <w:p w14:paraId="7F62D4DF" w14:textId="775730E1" w:rsidR="001A58B3" w:rsidRPr="00BF0294" w:rsidRDefault="001A58B3" w:rsidP="00BF0294">
      <w:pPr>
        <w:rPr>
          <w:rFonts w:eastAsia="Palatino Linotype" w:cs="Palatino Linotype"/>
        </w:rPr>
      </w:pPr>
      <w:r w:rsidRPr="00BF0294">
        <w:rPr>
          <w:rFonts w:eastAsia="Palatino Linotype" w:cs="Palatino Linotype"/>
        </w:rPr>
        <w:t>Es decir, que todo sujeto obligado que genere, recopile, administre, procese, archive, posea o conserven, son responsables de la misma</w:t>
      </w:r>
      <w:r w:rsidR="00970EB3" w:rsidRPr="00BF0294">
        <w:rPr>
          <w:rFonts w:eastAsia="Palatino Linotype" w:cs="Palatino Linotype"/>
        </w:rPr>
        <w:t>,</w:t>
      </w:r>
      <w:r w:rsidRPr="00BF0294">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BF0294">
        <w:rPr>
          <w:rFonts w:eastAsia="Palatino Linotype" w:cs="Palatino Linotype"/>
        </w:rPr>
        <w:t>o</w:t>
      </w:r>
      <w:r w:rsidRPr="00BF0294">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BF0294" w:rsidRDefault="001A58B3" w:rsidP="00BF0294">
      <w:pPr>
        <w:rPr>
          <w:rFonts w:eastAsia="Palatino Linotype" w:cs="Palatino Linotype"/>
        </w:rPr>
      </w:pPr>
    </w:p>
    <w:p w14:paraId="04E42DFE" w14:textId="573F1198" w:rsidR="001A58B3" w:rsidRPr="00BF0294" w:rsidRDefault="001A58B3" w:rsidP="00BF0294">
      <w:pPr>
        <w:rPr>
          <w:rFonts w:eastAsia="Palatino Linotype" w:cs="Palatino Linotype"/>
        </w:rPr>
      </w:pPr>
      <w:r w:rsidRPr="00BF0294">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BF0294">
        <w:rPr>
          <w:rFonts w:eastAsia="Palatino Linotype" w:cs="Palatino Linotype"/>
        </w:rPr>
        <w:t>, s</w:t>
      </w:r>
      <w:r w:rsidRPr="00BF0294">
        <w:rPr>
          <w:rFonts w:eastAsia="Palatino Linotype" w:cs="Palatino Linotype"/>
        </w:rPr>
        <w:t xml:space="preserve">iempre y cuando no se trate de información reservada o </w:t>
      </w:r>
      <w:r w:rsidR="00331F35" w:rsidRPr="00BF0294">
        <w:rPr>
          <w:rFonts w:eastAsia="Palatino Linotype" w:cs="Palatino Linotype"/>
        </w:rPr>
        <w:t>confidencial.</w:t>
      </w:r>
    </w:p>
    <w:p w14:paraId="40C5219F" w14:textId="77777777" w:rsidR="001A58B3" w:rsidRPr="00BF0294" w:rsidRDefault="001A58B3" w:rsidP="00BF0294">
      <w:pPr>
        <w:rPr>
          <w:rFonts w:eastAsia="Palatino Linotype" w:cs="Palatino Linotype"/>
        </w:rPr>
      </w:pPr>
    </w:p>
    <w:p w14:paraId="2E629608" w14:textId="01727E15" w:rsidR="00C049E2" w:rsidRPr="00BF0294" w:rsidRDefault="006067C7" w:rsidP="00BF0294">
      <w:pPr>
        <w:rPr>
          <w:rFonts w:eastAsia="Palatino Linotype"/>
        </w:rPr>
      </w:pPr>
      <w:bookmarkStart w:id="28" w:name="_heading=h.2s8eyo1" w:colFirst="0" w:colLast="0"/>
      <w:bookmarkEnd w:id="28"/>
      <w:r w:rsidRPr="00BF0294">
        <w:rPr>
          <w:rFonts w:eastAsia="Palatino Linotype"/>
        </w:rPr>
        <w:t>Con base en lo anterior</w:t>
      </w:r>
      <w:r w:rsidR="00B22A80" w:rsidRPr="00BF0294">
        <w:rPr>
          <w:rFonts w:eastAsia="Palatino Linotype"/>
        </w:rPr>
        <w:t>, se considera que</w:t>
      </w:r>
      <w:r w:rsidR="00C049E2" w:rsidRPr="00BF0294">
        <w:rPr>
          <w:rFonts w:eastAsia="Palatino Linotype"/>
        </w:rPr>
        <w:t xml:space="preserve"> </w:t>
      </w:r>
      <w:r w:rsidR="00B22A80" w:rsidRPr="00BF0294">
        <w:rPr>
          <w:rFonts w:eastAsia="Palatino Linotype"/>
          <w:b/>
          <w:bCs/>
        </w:rPr>
        <w:t>EL</w:t>
      </w:r>
      <w:r w:rsidR="00C049E2" w:rsidRPr="00BF0294">
        <w:rPr>
          <w:rFonts w:eastAsia="Palatino Linotype"/>
        </w:rPr>
        <w:t xml:space="preserve"> </w:t>
      </w:r>
      <w:r w:rsidR="00C049E2" w:rsidRPr="00BF0294">
        <w:rPr>
          <w:rFonts w:eastAsia="Palatino Linotype"/>
          <w:b/>
        </w:rPr>
        <w:t>SUJETO OBLIGADO</w:t>
      </w:r>
      <w:r w:rsidR="00C049E2" w:rsidRPr="00BF0294">
        <w:rPr>
          <w:rFonts w:eastAsia="Palatino Linotype"/>
        </w:rPr>
        <w:t xml:space="preserve"> </w:t>
      </w:r>
      <w:r w:rsidR="00B22A80" w:rsidRPr="00BF0294">
        <w:rPr>
          <w:rFonts w:eastAsia="Palatino Linotype"/>
        </w:rPr>
        <w:t xml:space="preserve">se </w:t>
      </w:r>
      <w:r w:rsidR="00717E59" w:rsidRPr="00BF0294">
        <w:rPr>
          <w:rFonts w:eastAsia="Palatino Linotype"/>
        </w:rPr>
        <w:t>encontraba</w:t>
      </w:r>
      <w:r w:rsidR="00B22A80" w:rsidRPr="00BF0294">
        <w:rPr>
          <w:rFonts w:eastAsia="Palatino Linotype"/>
        </w:rPr>
        <w:t xml:space="preserve"> compelido a</w:t>
      </w:r>
      <w:r w:rsidR="00C049E2" w:rsidRPr="00BF0294">
        <w:rPr>
          <w:rFonts w:eastAsia="Palatino Linotype"/>
        </w:rPr>
        <w:t xml:space="preserve"> atender la solicitud de acceso a la información </w:t>
      </w:r>
      <w:r w:rsidR="00B22A80" w:rsidRPr="00BF0294">
        <w:rPr>
          <w:rFonts w:eastAsia="Palatino Linotype"/>
        </w:rPr>
        <w:t xml:space="preserve">realizada por </w:t>
      </w:r>
      <w:r w:rsidR="00B22A80" w:rsidRPr="00BF0294">
        <w:rPr>
          <w:rFonts w:eastAsia="Palatino Linotype"/>
          <w:b/>
          <w:bCs/>
        </w:rPr>
        <w:t>LA PARTE RECURRENTE</w:t>
      </w:r>
      <w:r w:rsidR="00331F35" w:rsidRPr="00BF0294">
        <w:rPr>
          <w:rFonts w:eastAsia="Palatino Linotype"/>
        </w:rPr>
        <w:t>.</w:t>
      </w:r>
    </w:p>
    <w:p w14:paraId="1611F147" w14:textId="77777777" w:rsidR="00BD5A7C" w:rsidRPr="00BF0294" w:rsidRDefault="00BD5A7C" w:rsidP="00BF0294">
      <w:pPr>
        <w:rPr>
          <w:rFonts w:eastAsia="Palatino Linotype"/>
        </w:rPr>
      </w:pPr>
    </w:p>
    <w:p w14:paraId="51A0E8B4" w14:textId="676DCA47" w:rsidR="00664420" w:rsidRPr="00BF0294" w:rsidRDefault="00C71CEF" w:rsidP="00BF0294">
      <w:pPr>
        <w:pStyle w:val="Ttulo3"/>
        <w:rPr>
          <w:rFonts w:eastAsia="Calibri"/>
          <w:lang w:eastAsia="es-ES_tradnl"/>
        </w:rPr>
      </w:pPr>
      <w:bookmarkStart w:id="29" w:name="_Toc206617679"/>
      <w:r w:rsidRPr="00BF0294">
        <w:rPr>
          <w:rFonts w:eastAsia="Calibri"/>
          <w:lang w:eastAsia="es-ES_tradnl"/>
        </w:rPr>
        <w:t>b)</w:t>
      </w:r>
      <w:r w:rsidR="00A53315" w:rsidRPr="00BF0294">
        <w:rPr>
          <w:rFonts w:eastAsia="Calibri"/>
          <w:lang w:eastAsia="es-ES_tradnl"/>
        </w:rPr>
        <w:t xml:space="preserve"> </w:t>
      </w:r>
      <w:r w:rsidR="00A21A20" w:rsidRPr="00BF0294">
        <w:rPr>
          <w:rFonts w:eastAsia="Calibri"/>
          <w:lang w:eastAsia="es-ES_tradnl"/>
        </w:rPr>
        <w:t>Controversia a resolver</w:t>
      </w:r>
      <w:bookmarkEnd w:id="29"/>
    </w:p>
    <w:p w14:paraId="6A0122D5" w14:textId="2C87651B" w:rsidR="003772F9" w:rsidRPr="00BF0294" w:rsidRDefault="00664420" w:rsidP="00BF0294">
      <w:pPr>
        <w:rPr>
          <w:rFonts w:eastAsia="Calibri"/>
          <w:lang w:eastAsia="es-ES_tradnl"/>
        </w:rPr>
      </w:pPr>
      <w:r w:rsidRPr="00BF0294">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BF0294">
        <w:rPr>
          <w:rFonts w:eastAsia="Calibri"/>
          <w:b/>
          <w:bCs/>
          <w:lang w:eastAsia="es-ES_tradnl"/>
        </w:rPr>
        <w:t>LA PARTE RECURRENTE</w:t>
      </w:r>
      <w:r w:rsidR="004565C2" w:rsidRPr="00BF0294">
        <w:rPr>
          <w:rFonts w:eastAsia="Calibri"/>
          <w:lang w:eastAsia="es-ES_tradnl"/>
        </w:rPr>
        <w:t xml:space="preserve"> solicitó</w:t>
      </w:r>
      <w:r w:rsidR="00232CBA" w:rsidRPr="00BF0294">
        <w:rPr>
          <w:rFonts w:eastAsia="Calibri"/>
          <w:lang w:eastAsia="es-ES_tradnl"/>
        </w:rPr>
        <w:t xml:space="preserve"> </w:t>
      </w:r>
      <w:r w:rsidR="001121E3" w:rsidRPr="00BF0294">
        <w:rPr>
          <w:rFonts w:eastAsia="Calibri"/>
          <w:lang w:eastAsia="es-ES_tradnl"/>
        </w:rPr>
        <w:t>el</w:t>
      </w:r>
      <w:r w:rsidR="003772F9" w:rsidRPr="00BF0294">
        <w:rPr>
          <w:rFonts w:eastAsia="Calibri"/>
          <w:lang w:eastAsia="es-ES_tradnl"/>
        </w:rPr>
        <w:t xml:space="preserve"> </w:t>
      </w:r>
      <w:r w:rsidR="00E26587" w:rsidRPr="00BF0294">
        <w:rPr>
          <w:rFonts w:eastAsia="Calibri"/>
          <w:lang w:eastAsia="es-ES_tradnl"/>
        </w:rPr>
        <w:t>plan de trabajo programado de los años 2023 y 2024, mismos que se entrega a OSFEM.</w:t>
      </w:r>
    </w:p>
    <w:p w14:paraId="5748349D" w14:textId="77777777" w:rsidR="00232CBA" w:rsidRPr="00BF0294" w:rsidRDefault="00232CBA" w:rsidP="00BF0294">
      <w:pPr>
        <w:rPr>
          <w:rFonts w:eastAsia="Calibri"/>
          <w:lang w:eastAsia="es-ES_tradnl"/>
        </w:rPr>
      </w:pPr>
    </w:p>
    <w:p w14:paraId="165A2007" w14:textId="74420FDB" w:rsidR="0088235E" w:rsidRPr="00BF0294" w:rsidRDefault="00462338" w:rsidP="00BF0294">
      <w:pPr>
        <w:autoSpaceDE w:val="0"/>
        <w:autoSpaceDN w:val="0"/>
        <w:adjustRightInd w:val="0"/>
        <w:ind w:right="-28"/>
        <w:rPr>
          <w:rFonts w:eastAsiaTheme="majorEastAsia"/>
          <w:iCs/>
          <w:lang w:val="es-ES"/>
        </w:rPr>
      </w:pPr>
      <w:r w:rsidRPr="00BF0294">
        <w:rPr>
          <w:rFonts w:eastAsiaTheme="minorHAnsi" w:cs="Tahoma"/>
          <w:bCs/>
          <w:iCs/>
          <w:szCs w:val="22"/>
          <w:lang w:eastAsia="en-US"/>
        </w:rPr>
        <w:t xml:space="preserve">En respuesta, </w:t>
      </w:r>
      <w:r w:rsidRPr="00BF0294">
        <w:rPr>
          <w:rFonts w:eastAsiaTheme="minorHAnsi" w:cs="Tahoma"/>
          <w:b/>
          <w:iCs/>
          <w:szCs w:val="22"/>
          <w:lang w:eastAsia="en-US"/>
        </w:rPr>
        <w:t>EL SUJETO OBLIGADO</w:t>
      </w:r>
      <w:r w:rsidR="007E069C" w:rsidRPr="00BF0294">
        <w:rPr>
          <w:rFonts w:eastAsiaTheme="minorHAnsi" w:cs="Tahoma"/>
          <w:b/>
          <w:iCs/>
          <w:szCs w:val="22"/>
          <w:lang w:eastAsia="en-US"/>
        </w:rPr>
        <w:t xml:space="preserve"> </w:t>
      </w:r>
      <w:r w:rsidR="00FF2D54" w:rsidRPr="00BF0294">
        <w:rPr>
          <w:rFonts w:eastAsiaTheme="majorEastAsia"/>
          <w:iCs/>
          <w:lang w:val="es-ES"/>
        </w:rPr>
        <w:t xml:space="preserve">por medio del </w:t>
      </w:r>
      <w:r w:rsidR="00E26587" w:rsidRPr="00BF0294">
        <w:rPr>
          <w:rFonts w:eastAsiaTheme="majorEastAsia"/>
          <w:iCs/>
          <w:lang w:val="es-ES"/>
        </w:rPr>
        <w:t xml:space="preserve">Tesorero Municipal y le entregó en formato </w:t>
      </w:r>
      <w:proofErr w:type="spellStart"/>
      <w:r w:rsidR="00E26587" w:rsidRPr="00BF0294">
        <w:rPr>
          <w:rFonts w:eastAsiaTheme="majorEastAsia"/>
          <w:iCs/>
          <w:lang w:val="es-ES"/>
        </w:rPr>
        <w:t>pdf</w:t>
      </w:r>
      <w:proofErr w:type="spellEnd"/>
      <w:r w:rsidR="00E26587" w:rsidRPr="00BF0294">
        <w:rPr>
          <w:rFonts w:eastAsiaTheme="majorEastAsia"/>
          <w:iCs/>
          <w:lang w:val="es-ES"/>
        </w:rPr>
        <w:t xml:space="preserve"> el Reglamento Orgánico del municipio de Coyotepec, considerando que era lo solicitado.</w:t>
      </w:r>
    </w:p>
    <w:p w14:paraId="761E4514" w14:textId="77777777" w:rsidR="0088235E" w:rsidRPr="00BF0294" w:rsidRDefault="0088235E" w:rsidP="00BF0294">
      <w:pPr>
        <w:autoSpaceDE w:val="0"/>
        <w:autoSpaceDN w:val="0"/>
        <w:adjustRightInd w:val="0"/>
        <w:ind w:right="-28"/>
        <w:rPr>
          <w:rFonts w:eastAsiaTheme="majorEastAsia"/>
          <w:iCs/>
          <w:lang w:val="es-ES"/>
        </w:rPr>
      </w:pPr>
    </w:p>
    <w:p w14:paraId="7B62F4F7" w14:textId="0DAC95B7" w:rsidR="00DA54C1" w:rsidRPr="00BF0294" w:rsidRDefault="00CF7586" w:rsidP="00BF0294">
      <w:pPr>
        <w:autoSpaceDE w:val="0"/>
        <w:autoSpaceDN w:val="0"/>
        <w:adjustRightInd w:val="0"/>
        <w:ind w:right="-28"/>
        <w:rPr>
          <w:rFonts w:eastAsiaTheme="minorHAnsi" w:cs="Tahoma"/>
          <w:bCs/>
          <w:iCs/>
          <w:szCs w:val="22"/>
          <w:lang w:eastAsia="en-US"/>
        </w:rPr>
      </w:pPr>
      <w:r w:rsidRPr="00BF0294">
        <w:rPr>
          <w:rFonts w:eastAsiaTheme="minorHAnsi" w:cs="Tahoma"/>
          <w:bCs/>
          <w:iCs/>
          <w:szCs w:val="22"/>
          <w:lang w:eastAsia="en-US"/>
        </w:rPr>
        <w:t xml:space="preserve">Ahora bien, en la interposición del presente recurso </w:t>
      </w:r>
      <w:r w:rsidRPr="00BF0294">
        <w:rPr>
          <w:rFonts w:eastAsiaTheme="minorHAnsi" w:cs="Tahoma"/>
          <w:b/>
          <w:iCs/>
          <w:szCs w:val="22"/>
          <w:lang w:eastAsia="en-US"/>
        </w:rPr>
        <w:t>LA PARTE RECURRENTE</w:t>
      </w:r>
      <w:r w:rsidR="00237120" w:rsidRPr="00BF0294">
        <w:rPr>
          <w:rFonts w:eastAsiaTheme="minorHAnsi" w:cs="Tahoma"/>
          <w:bCs/>
          <w:iCs/>
          <w:szCs w:val="22"/>
          <w:lang w:eastAsia="en-US"/>
        </w:rPr>
        <w:t xml:space="preserve"> s</w:t>
      </w:r>
      <w:r w:rsidR="00E11AA0" w:rsidRPr="00BF0294">
        <w:rPr>
          <w:rFonts w:eastAsiaTheme="minorHAnsi" w:cs="Tahoma"/>
          <w:bCs/>
          <w:iCs/>
          <w:szCs w:val="22"/>
          <w:lang w:eastAsia="en-US"/>
        </w:rPr>
        <w:t xml:space="preserve">e inconformó medularmente </w:t>
      </w:r>
      <w:r w:rsidR="00462338" w:rsidRPr="00BF0294">
        <w:rPr>
          <w:rFonts w:eastAsiaTheme="minorHAnsi" w:cs="Tahoma"/>
          <w:bCs/>
          <w:iCs/>
          <w:szCs w:val="22"/>
          <w:lang w:eastAsia="en-US"/>
        </w:rPr>
        <w:t>por</w:t>
      </w:r>
      <w:r w:rsidR="009A6719" w:rsidRPr="00BF0294">
        <w:rPr>
          <w:rFonts w:eastAsiaTheme="minorHAnsi" w:cs="Tahoma"/>
          <w:bCs/>
          <w:iCs/>
          <w:szCs w:val="22"/>
          <w:lang w:eastAsia="en-US"/>
        </w:rPr>
        <w:t xml:space="preserve">que </w:t>
      </w:r>
      <w:r w:rsidR="00232CBA" w:rsidRPr="00BF0294">
        <w:rPr>
          <w:rFonts w:eastAsiaTheme="minorHAnsi" w:cs="Tahoma"/>
          <w:bCs/>
          <w:iCs/>
          <w:szCs w:val="22"/>
          <w:lang w:eastAsia="en-US"/>
        </w:rPr>
        <w:t>no se le proporcionó la información</w:t>
      </w:r>
      <w:r w:rsidR="007E069C" w:rsidRPr="00BF0294">
        <w:rPr>
          <w:rFonts w:eastAsiaTheme="minorHAnsi" w:cs="Tahoma"/>
          <w:bCs/>
          <w:iCs/>
          <w:szCs w:val="22"/>
          <w:lang w:eastAsia="en-US"/>
        </w:rPr>
        <w:t>.</w:t>
      </w:r>
      <w:r w:rsidR="009246CF" w:rsidRPr="00BF0294">
        <w:rPr>
          <w:rFonts w:eastAsiaTheme="minorHAnsi" w:cs="Tahoma"/>
          <w:bCs/>
          <w:iCs/>
          <w:szCs w:val="22"/>
          <w:lang w:eastAsia="en-US"/>
        </w:rPr>
        <w:t xml:space="preserve"> </w:t>
      </w:r>
      <w:r w:rsidR="0002630F" w:rsidRPr="00BF0294">
        <w:rPr>
          <w:rFonts w:eastAsiaTheme="minorHAnsi" w:cs="Tahoma"/>
          <w:bCs/>
          <w:iCs/>
          <w:szCs w:val="22"/>
          <w:lang w:eastAsia="en-US"/>
        </w:rPr>
        <w:t xml:space="preserve"> </w:t>
      </w:r>
    </w:p>
    <w:p w14:paraId="62D736AD" w14:textId="77777777" w:rsidR="00DA54C1" w:rsidRPr="00BF0294" w:rsidRDefault="00DA54C1" w:rsidP="00BF0294">
      <w:pPr>
        <w:tabs>
          <w:tab w:val="left" w:pos="4962"/>
        </w:tabs>
        <w:contextualSpacing/>
        <w:rPr>
          <w:rFonts w:eastAsiaTheme="minorHAnsi" w:cs="Tahoma"/>
          <w:bCs/>
          <w:iCs/>
          <w:szCs w:val="22"/>
          <w:lang w:eastAsia="en-US"/>
        </w:rPr>
      </w:pPr>
    </w:p>
    <w:p w14:paraId="40A6F43E" w14:textId="77777777" w:rsidR="00232CBA" w:rsidRPr="00BF0294" w:rsidRDefault="00232CBA" w:rsidP="00BF0294">
      <w:pPr>
        <w:pStyle w:val="Prrafodelista"/>
        <w:widowControl w:val="0"/>
        <w:autoSpaceDE w:val="0"/>
        <w:autoSpaceDN w:val="0"/>
        <w:adjustRightInd w:val="0"/>
        <w:ind w:left="0"/>
      </w:pPr>
      <w:r w:rsidRPr="00BF0294">
        <w:rPr>
          <w:rFonts w:eastAsiaTheme="minorHAnsi" w:cs="Tahoma"/>
          <w:bCs/>
          <w:iCs/>
          <w:szCs w:val="22"/>
          <w:lang w:eastAsia="en-US"/>
        </w:rPr>
        <w:t>Asimismo</w:t>
      </w:r>
      <w:r w:rsidRPr="00BF0294">
        <w:t xml:space="preserve">, es importante señalar que </w:t>
      </w:r>
      <w:r w:rsidRPr="00BF0294">
        <w:rPr>
          <w:b/>
          <w:iCs/>
        </w:rPr>
        <w:t>LA PARTE RECURRENTE</w:t>
      </w:r>
      <w:r w:rsidRPr="00BF0294">
        <w:rPr>
          <w:bCs/>
          <w:iCs/>
        </w:rPr>
        <w:t xml:space="preserve"> </w:t>
      </w:r>
      <w:r w:rsidRPr="00BF0294">
        <w:t xml:space="preserve">no realizó manifestaciones, alegatos o pruebas y por su parte </w:t>
      </w:r>
      <w:r w:rsidRPr="00BF0294">
        <w:rPr>
          <w:b/>
        </w:rPr>
        <w:t>EL SUJETO OBLIGADO</w:t>
      </w:r>
      <w:r w:rsidRPr="00BF0294">
        <w:rPr>
          <w:rFonts w:cs="Arial"/>
        </w:rPr>
        <w:t xml:space="preserve"> omitió rendir su </w:t>
      </w:r>
      <w:r w:rsidRPr="00BF0294">
        <w:t xml:space="preserve">Informe Justificado, en el término establecido en el numeral 185, fracción II de la Ley de Transparencia y Acceso a la Información Pública del Estado de México y Municipios. </w:t>
      </w:r>
    </w:p>
    <w:p w14:paraId="5FF4C8F6" w14:textId="77777777" w:rsidR="00232CBA" w:rsidRPr="00BF0294" w:rsidRDefault="00232CBA" w:rsidP="00BF0294">
      <w:pPr>
        <w:tabs>
          <w:tab w:val="left" w:pos="4962"/>
        </w:tabs>
        <w:contextualSpacing/>
        <w:rPr>
          <w:rFonts w:eastAsiaTheme="minorHAnsi" w:cs="Tahoma"/>
          <w:bCs/>
          <w:iCs/>
          <w:szCs w:val="22"/>
          <w:lang w:eastAsia="en-US"/>
        </w:rPr>
      </w:pPr>
    </w:p>
    <w:p w14:paraId="42CD9852" w14:textId="64594E97" w:rsidR="009E0652" w:rsidRPr="00BF0294" w:rsidRDefault="009E0652" w:rsidP="00BF0294">
      <w:pPr>
        <w:tabs>
          <w:tab w:val="left" w:pos="4962"/>
        </w:tabs>
        <w:contextualSpacing/>
        <w:rPr>
          <w:rFonts w:eastAsiaTheme="minorHAnsi" w:cs="Tahoma"/>
          <w:bCs/>
          <w:iCs/>
          <w:szCs w:val="22"/>
          <w:lang w:eastAsia="en-US"/>
        </w:rPr>
      </w:pPr>
      <w:r w:rsidRPr="00BF0294">
        <w:rPr>
          <w:rFonts w:eastAsiaTheme="minorHAnsi" w:cs="Tahoma"/>
          <w:bCs/>
          <w:iCs/>
          <w:szCs w:val="22"/>
          <w:lang w:eastAsia="en-US"/>
        </w:rPr>
        <w:t xml:space="preserve">Derivado de lo anterior, el estudio se centrará en determinar si la respuesta otorgada colma el derecho de acceso a la información ejercido por </w:t>
      </w:r>
      <w:r w:rsidRPr="00BF0294">
        <w:rPr>
          <w:rFonts w:eastAsiaTheme="minorHAnsi" w:cs="Tahoma"/>
          <w:b/>
          <w:bCs/>
          <w:iCs/>
          <w:szCs w:val="22"/>
          <w:lang w:eastAsia="en-US"/>
        </w:rPr>
        <w:t>LA PARTE RECURRENTE</w:t>
      </w:r>
      <w:r w:rsidRPr="00BF0294">
        <w:rPr>
          <w:rFonts w:eastAsiaTheme="minorHAnsi" w:cs="Tahoma"/>
          <w:bCs/>
          <w:iCs/>
          <w:szCs w:val="22"/>
          <w:lang w:eastAsia="en-US"/>
        </w:rPr>
        <w:t>.</w:t>
      </w:r>
    </w:p>
    <w:p w14:paraId="5128D7A9" w14:textId="77777777" w:rsidR="009E0652" w:rsidRPr="00BF0294" w:rsidRDefault="009E0652" w:rsidP="00BF0294">
      <w:pPr>
        <w:tabs>
          <w:tab w:val="left" w:pos="4962"/>
        </w:tabs>
        <w:contextualSpacing/>
        <w:rPr>
          <w:rFonts w:eastAsiaTheme="minorHAnsi" w:cs="Tahoma"/>
          <w:bCs/>
          <w:iCs/>
          <w:szCs w:val="22"/>
          <w:lang w:eastAsia="en-US"/>
        </w:rPr>
      </w:pPr>
    </w:p>
    <w:p w14:paraId="414FD2D5" w14:textId="4408E416" w:rsidR="00664420" w:rsidRPr="00BF0294" w:rsidRDefault="00A21A20" w:rsidP="00BF0294">
      <w:pPr>
        <w:pStyle w:val="Ttulo3"/>
      </w:pPr>
      <w:bookmarkStart w:id="30" w:name="_Toc206617680"/>
      <w:r w:rsidRPr="00BF0294">
        <w:lastRenderedPageBreak/>
        <w:t>c)</w:t>
      </w:r>
      <w:r w:rsidR="00664420" w:rsidRPr="00BF0294">
        <w:t xml:space="preserve"> </w:t>
      </w:r>
      <w:r w:rsidRPr="00BF0294">
        <w:t>Estudio de la controversia</w:t>
      </w:r>
      <w:bookmarkEnd w:id="30"/>
    </w:p>
    <w:p w14:paraId="13F6C598" w14:textId="0C88CC19" w:rsidR="00AF2C92" w:rsidRPr="00BF0294" w:rsidRDefault="00AF2C92" w:rsidP="00BF0294">
      <w:pPr>
        <w:rPr>
          <w:rFonts w:eastAsia="Calibri"/>
          <w:lang w:eastAsia="es-ES_tradnl"/>
        </w:rPr>
      </w:pPr>
      <w:r w:rsidRPr="00BF0294">
        <w:t xml:space="preserve">Expuesto lo anterior, y a fin de resolver la controversia en cuestión, se estima importante aclarar que, si bien el particular </w:t>
      </w:r>
      <w:r w:rsidR="0069322E" w:rsidRPr="00BF0294">
        <w:t xml:space="preserve">mencionó que requería el plan </w:t>
      </w:r>
      <w:r w:rsidRPr="00BF0294">
        <w:t xml:space="preserve"> </w:t>
      </w:r>
      <w:r w:rsidR="0069322E" w:rsidRPr="00BF0294">
        <w:rPr>
          <w:rFonts w:eastAsia="Calibri"/>
          <w:lang w:eastAsia="es-ES_tradnl"/>
        </w:rPr>
        <w:t xml:space="preserve">de trabajo programado de los años 2023 y 2024, mismos que se entregan a OSFEM; </w:t>
      </w:r>
      <w:r w:rsidRPr="00BF0294">
        <w:t>y atendiendo a que los particulares no son expertos en la materia, así como que en términos de la Ley de Transparencia y Acceso a la Información Pública del Estado de México y Municipios, los sujetos obligados cuentan con el deber de interpretar las solicitudes, conforme a los archivos y documentos que generan, para dar a las solicitudes una interpretación que les dé una expresión documental, pues para que el derecho de acceso a la información pública de los particulares se satisfaga completamente, es necesario que se les brinde el acceso a datos, registros y todo tipo de información pública que conste en documentos, ya sean generados, o que se encuentren en posesión de las autoridades, privilegiando el principio de máxima publicidad.</w:t>
      </w:r>
    </w:p>
    <w:p w14:paraId="77DC79DC" w14:textId="77777777" w:rsidR="00AF2C92" w:rsidRPr="00BF0294" w:rsidRDefault="00AF2C92" w:rsidP="00BF0294">
      <w:pPr>
        <w:ind w:right="113"/>
      </w:pPr>
    </w:p>
    <w:p w14:paraId="7D071AC0" w14:textId="77777777" w:rsidR="00AF2C92" w:rsidRPr="00BF0294" w:rsidRDefault="00AF2C92" w:rsidP="00BF0294">
      <w:pPr>
        <w:ind w:right="113"/>
      </w:pPr>
      <w:r w:rsidRPr="00BF0294">
        <w:t xml:space="preserve">Sirve de sustento a lo anterior, el Criterio orientador 16/17, emitido por el entonces Instituto Nacional de Transparencia, Acceso a la Información y Protección de Datos Personales, INAI, que establece lo siguiente: </w:t>
      </w:r>
    </w:p>
    <w:p w14:paraId="71FCC4B9" w14:textId="77777777" w:rsidR="00AF2C92" w:rsidRPr="00BF0294" w:rsidRDefault="00AF2C92" w:rsidP="00BF0294">
      <w:pPr>
        <w:ind w:right="113"/>
      </w:pPr>
    </w:p>
    <w:p w14:paraId="149A4358" w14:textId="77777777" w:rsidR="00AF2C92" w:rsidRPr="00BF0294" w:rsidRDefault="00AF2C92" w:rsidP="00BF0294">
      <w:pPr>
        <w:pStyle w:val="Puesto"/>
      </w:pPr>
      <w:r w:rsidRPr="00BF0294">
        <w:t xml:space="preserve"> “</w:t>
      </w:r>
      <w:r w:rsidRPr="00BF0294">
        <w:rPr>
          <w:b/>
        </w:rPr>
        <w:t xml:space="preserve">Expresión documental. </w:t>
      </w:r>
      <w:r w:rsidRPr="00BF0294">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7D1649BA" w14:textId="77777777" w:rsidR="00AF2C92" w:rsidRPr="00BF0294" w:rsidRDefault="00AF2C92" w:rsidP="00BF0294">
      <w:pPr>
        <w:ind w:right="113"/>
      </w:pPr>
    </w:p>
    <w:p w14:paraId="5B175EB4" w14:textId="77777777" w:rsidR="00AF2C92" w:rsidRPr="00BF0294" w:rsidRDefault="00AF2C92" w:rsidP="00BF0294">
      <w:pPr>
        <w:ind w:right="113"/>
      </w:pPr>
      <w:r w:rsidRPr="00BF0294">
        <w:t xml:space="preserve">Ello es así, ya que la transparencia implica el deber de los Sujetos Obligados de documentar todo acto que derive del ejercicio de sus facultades, competencias o funciones, considerando desde su origen la eventual publicidad y reutilización de la información que generen; ello, </w:t>
      </w:r>
      <w:r w:rsidRPr="00BF0294">
        <w:lastRenderedPageBreak/>
        <w:t>de conformidad con lo establecido en el artículo 18 de la Ley de Transparencia y Acceso a la Información Pública del Estado de México y Municipios.</w:t>
      </w:r>
    </w:p>
    <w:p w14:paraId="2A98FC3A" w14:textId="77777777" w:rsidR="00AF2C92" w:rsidRPr="00BF0294" w:rsidRDefault="00AF2C92" w:rsidP="00BF0294">
      <w:pPr>
        <w:ind w:right="113"/>
      </w:pPr>
    </w:p>
    <w:p w14:paraId="4A1118EF" w14:textId="77777777" w:rsidR="00AF2C92" w:rsidRPr="00BF0294" w:rsidRDefault="00AF2C92" w:rsidP="00BF0294">
      <w:pPr>
        <w:ind w:right="113"/>
      </w:pPr>
      <w:r w:rsidRPr="00BF0294">
        <w:t>Además, de que de conformidad con el artículo 159 de la Ley de Transparencia y Acceso a la Información Pública del Estado de México y Municipios, faculta a los sujetos obligados a requerir a los solicitantes, a que complementen, corrijan o amplíen los datos proporcionados o bien, precise uno o varios requerimientos de información, cuando los detalles proporcionados para localizar los documentos resulten insuficientes, incompletos o sean erróneos.</w:t>
      </w:r>
    </w:p>
    <w:p w14:paraId="20909949" w14:textId="77777777" w:rsidR="00A2762E" w:rsidRPr="00BF0294" w:rsidRDefault="00A2762E" w:rsidP="00BF0294">
      <w:pPr>
        <w:ind w:right="113"/>
      </w:pPr>
    </w:p>
    <w:p w14:paraId="136649BC" w14:textId="76F2DC8B" w:rsidR="0069322E" w:rsidRPr="00BF0294" w:rsidRDefault="0069322E" w:rsidP="00BF0294">
      <w:pPr>
        <w:ind w:right="113"/>
      </w:pPr>
      <w:r w:rsidRPr="00BF0294">
        <w:t xml:space="preserve">Siendo oportuno mencionar que de conformidad con los artículos 134 de la Constitución Política de los Estados Unidos Mexicanos y 129 de la Constitución Política del Estado Libre y Soberano de México, los recursos económicos del </w:t>
      </w:r>
      <w:r w:rsidR="00B83109" w:rsidRPr="00BF0294">
        <w:t>que</w:t>
      </w:r>
      <w:r w:rsidRPr="00BF0294">
        <w:t xml:space="preserve"> dispongan la Federación, las entidades federativas, los Municipios y las demarcaciones territoriales de la Ciudad de México, se administrarán con eficiencia, eficacia, economía, transparencia y honradez para satisfacer los objetivos a los que estén destinados.</w:t>
      </w:r>
    </w:p>
    <w:p w14:paraId="5627727C" w14:textId="77777777" w:rsidR="0069322E" w:rsidRPr="00BF0294" w:rsidRDefault="0069322E" w:rsidP="00BF0294">
      <w:pPr>
        <w:ind w:right="113"/>
      </w:pPr>
    </w:p>
    <w:p w14:paraId="425FD9EF" w14:textId="77777777" w:rsidR="0069322E" w:rsidRPr="00BF0294" w:rsidRDefault="0069322E" w:rsidP="00BF0294">
      <w:pPr>
        <w:ind w:right="113"/>
        <w:rPr>
          <w:b/>
        </w:rPr>
      </w:pPr>
      <w:r w:rsidRPr="00BF0294">
        <w:t xml:space="preserve">Así, el presupuesto de egresos municipal se conceptualiza como el instrumento jurídico, de política económica y de política de gasto, que aprueba el Cabildo, conforme a la propuesta que presenta el Presidente Municipal, en el cual se establece el ejercicio, control y evaluación del gasto público de las Dependencias Administrativas y Organismos Municipales Descentralizados, a </w:t>
      </w:r>
      <w:r w:rsidRPr="00BF0294">
        <w:rPr>
          <w:b/>
        </w:rPr>
        <w:t>través de los programas derivados del Plan de Desarrollo Municipal (PDM), durante el ejercicio fiscal correspondiente.</w:t>
      </w:r>
    </w:p>
    <w:p w14:paraId="72388C53" w14:textId="77777777" w:rsidR="0069322E" w:rsidRPr="00BF0294" w:rsidRDefault="0069322E" w:rsidP="00BF0294">
      <w:pPr>
        <w:ind w:right="113"/>
      </w:pPr>
    </w:p>
    <w:p w14:paraId="7E6C3892" w14:textId="5E03B888" w:rsidR="0069322E" w:rsidRPr="00BF0294" w:rsidRDefault="0069322E" w:rsidP="00BF0294">
      <w:pPr>
        <w:ind w:right="113"/>
      </w:pPr>
      <w:r w:rsidRPr="00BF0294">
        <w:t xml:space="preserve">Siendo atribución del Presidente Municipal presentar ante el Ayuntamiento la propuesta de presupuesto de egresos para su respectiva discusión, dictamen y aprobación; como se </w:t>
      </w:r>
      <w:r w:rsidRPr="00BF0294">
        <w:lastRenderedPageBreak/>
        <w:t xml:space="preserve">desprende de los artículos 128, fracción IX de la Constitución Política del Estado Libre y Soberano de México, 31 </w:t>
      </w:r>
      <w:proofErr w:type="gramStart"/>
      <w:r w:rsidRPr="00BF0294">
        <w:t>fracción</w:t>
      </w:r>
      <w:proofErr w:type="gramEnd"/>
      <w:r w:rsidRPr="00BF0294">
        <w:t xml:space="preserve"> XIX, primer párrafo y 99 de la Ley Orgánica Municipal del Estado de México.</w:t>
      </w:r>
    </w:p>
    <w:p w14:paraId="18C332F3" w14:textId="77777777" w:rsidR="0069322E" w:rsidRPr="00BF0294" w:rsidRDefault="0069322E" w:rsidP="00BF0294">
      <w:pPr>
        <w:ind w:right="113"/>
        <w:rPr>
          <w:i/>
        </w:rPr>
      </w:pPr>
    </w:p>
    <w:p w14:paraId="13865C23" w14:textId="77777777" w:rsidR="0069322E" w:rsidRPr="00BF0294" w:rsidRDefault="0069322E" w:rsidP="00BF0294">
      <w:pPr>
        <w:pStyle w:val="Puesto"/>
      </w:pPr>
      <w:r w:rsidRPr="00BF0294">
        <w:rPr>
          <w:b/>
          <w:bCs/>
        </w:rPr>
        <w:t>“Artículo 128</w:t>
      </w:r>
      <w:r w:rsidRPr="00BF0294">
        <w:t>.- Son atribuciones de los presidentes municipales:</w:t>
      </w:r>
    </w:p>
    <w:p w14:paraId="2489659C" w14:textId="77777777" w:rsidR="0069322E" w:rsidRPr="00BF0294" w:rsidRDefault="0069322E" w:rsidP="00BF0294">
      <w:pPr>
        <w:pStyle w:val="Puesto"/>
      </w:pPr>
      <w:r w:rsidRPr="00BF0294">
        <w:t>...</w:t>
      </w:r>
    </w:p>
    <w:p w14:paraId="460BE2AB" w14:textId="77777777" w:rsidR="0069322E" w:rsidRPr="00BF0294" w:rsidRDefault="0069322E" w:rsidP="00BF0294">
      <w:pPr>
        <w:pStyle w:val="Puesto"/>
      </w:pPr>
      <w:r w:rsidRPr="00BF0294">
        <w:rPr>
          <w:b/>
          <w:bCs/>
        </w:rPr>
        <w:t>IX</w:t>
      </w:r>
      <w:r w:rsidRPr="00BF0294">
        <w:t>. Presentar al Ayuntamiento la propuesta de presupuesto de egresos para su respectiva discusión y dictamen;”</w:t>
      </w:r>
    </w:p>
    <w:p w14:paraId="5103A185" w14:textId="77777777" w:rsidR="0069322E" w:rsidRPr="00BF0294" w:rsidRDefault="0069322E" w:rsidP="00BF0294">
      <w:pPr>
        <w:pStyle w:val="Puesto"/>
      </w:pPr>
      <w:r w:rsidRPr="00BF0294">
        <w:t>“</w:t>
      </w:r>
    </w:p>
    <w:p w14:paraId="13585EA2" w14:textId="77777777" w:rsidR="0069322E" w:rsidRPr="00BF0294" w:rsidRDefault="0069322E" w:rsidP="00BF0294">
      <w:pPr>
        <w:pStyle w:val="Puesto"/>
      </w:pPr>
      <w:r w:rsidRPr="00BF0294">
        <w:t>“</w:t>
      </w:r>
      <w:r w:rsidRPr="00BF0294">
        <w:rPr>
          <w:b/>
          <w:bCs/>
        </w:rPr>
        <w:t>Artículo 31.-</w:t>
      </w:r>
      <w:r w:rsidRPr="00BF0294">
        <w:t xml:space="preserve"> Son atribuciones de los ayuntamientos:</w:t>
      </w:r>
    </w:p>
    <w:p w14:paraId="4033353C" w14:textId="77777777" w:rsidR="0069322E" w:rsidRPr="00BF0294" w:rsidRDefault="0069322E" w:rsidP="00BF0294">
      <w:pPr>
        <w:pStyle w:val="Puesto"/>
      </w:pPr>
      <w:r w:rsidRPr="00BF0294">
        <w:t>...</w:t>
      </w:r>
    </w:p>
    <w:p w14:paraId="078E041C" w14:textId="77777777" w:rsidR="0069322E" w:rsidRPr="00BF0294" w:rsidRDefault="0069322E" w:rsidP="00BF0294">
      <w:pPr>
        <w:pStyle w:val="Puesto"/>
      </w:pPr>
      <w:r w:rsidRPr="00BF0294">
        <w:rPr>
          <w:b/>
          <w:bCs/>
        </w:rPr>
        <w:t>XIX</w:t>
      </w:r>
      <w:r w:rsidRPr="00BF0294">
        <w:t xml:space="preserve">. </w:t>
      </w:r>
      <w:r w:rsidRPr="00BF0294">
        <w:rPr>
          <w:b/>
          <w:bCs/>
        </w:rPr>
        <w:t>Aprobar anualmente a más tardar el 20 de diciembre</w:t>
      </w:r>
      <w:r w:rsidRPr="00BF0294">
        <w:t>,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p>
    <w:p w14:paraId="6E405A52" w14:textId="77777777" w:rsidR="0069322E" w:rsidRPr="00BF0294" w:rsidRDefault="0069322E" w:rsidP="00BF0294">
      <w:pPr>
        <w:pStyle w:val="Puesto"/>
      </w:pPr>
      <w:r w:rsidRPr="00BF0294">
        <w:t>...</w:t>
      </w:r>
    </w:p>
    <w:p w14:paraId="35D5E5D0" w14:textId="77777777" w:rsidR="0069322E" w:rsidRPr="00BF0294" w:rsidRDefault="0069322E" w:rsidP="00BF0294">
      <w:pPr>
        <w:pStyle w:val="Puesto"/>
      </w:pPr>
      <w:r w:rsidRPr="00BF0294">
        <w:rPr>
          <w:b/>
          <w:bCs/>
        </w:rPr>
        <w:t>Artículo 99</w:t>
      </w:r>
      <w:r w:rsidRPr="00BF0294">
        <w:t xml:space="preserve">.- El presidente municipal presentará anualmente al ayuntamiento </w:t>
      </w:r>
      <w:r w:rsidRPr="00BF0294">
        <w:rPr>
          <w:b/>
          <w:bCs/>
        </w:rPr>
        <w:t>a más tardar el 20 de diciembre</w:t>
      </w:r>
      <w:r w:rsidRPr="00BF0294">
        <w:t>, el proyecto de presupuesto de egresos, para su consideración y aprobación.”</w:t>
      </w:r>
    </w:p>
    <w:p w14:paraId="69DE374C" w14:textId="77777777" w:rsidR="0069322E" w:rsidRPr="00BF0294" w:rsidRDefault="0069322E" w:rsidP="00BF0294">
      <w:pPr>
        <w:ind w:right="113"/>
      </w:pPr>
    </w:p>
    <w:p w14:paraId="0CFC5D8B" w14:textId="77777777" w:rsidR="0069322E" w:rsidRPr="00BF0294" w:rsidRDefault="0069322E" w:rsidP="00BF0294">
      <w:pPr>
        <w:ind w:right="113"/>
      </w:pPr>
      <w:r w:rsidRPr="00BF0294">
        <w:t>En el mismo tenor el párrafo tercero del artículo 290 del Código Financiero del Estado de México y Municipios, establece que el presupuesto de egresos lo integra la tesorería municipal, mientras que el presidente municipal es quien lo somete a consideración de los integrantes del ayuntamiento.</w:t>
      </w:r>
    </w:p>
    <w:p w14:paraId="489D456F" w14:textId="77777777" w:rsidR="0069322E" w:rsidRPr="00BF0294" w:rsidRDefault="0069322E" w:rsidP="00BF0294">
      <w:pPr>
        <w:ind w:right="113"/>
      </w:pPr>
    </w:p>
    <w:p w14:paraId="547D860B" w14:textId="77777777" w:rsidR="0069322E" w:rsidRPr="00BF0294" w:rsidRDefault="0069322E" w:rsidP="00BF0294">
      <w:pPr>
        <w:ind w:right="113"/>
      </w:pPr>
      <w:r w:rsidRPr="00BF0294">
        <w:t xml:space="preserve">Como se desprende de los artículos 31, fracción XIX y 99 de la Ley Orgánica Municipal previamente citados, así como del artículo 302 del Código Financiero, la fecha límite para que el presidente municipal presente ante el Cabildo el proyecto del presupuesto de egresos </w:t>
      </w:r>
      <w:r w:rsidRPr="00BF0294">
        <w:rPr>
          <w:b/>
        </w:rPr>
        <w:t>es el día veinte de diciembre de cada ejercicio fiscal.</w:t>
      </w:r>
    </w:p>
    <w:p w14:paraId="6E8C4237" w14:textId="77777777" w:rsidR="0069322E" w:rsidRPr="00BF0294" w:rsidRDefault="0069322E" w:rsidP="00BF0294">
      <w:pPr>
        <w:ind w:right="113"/>
      </w:pPr>
    </w:p>
    <w:p w14:paraId="15D5193E" w14:textId="77777777" w:rsidR="0069322E" w:rsidRPr="00BF0294" w:rsidRDefault="0069322E" w:rsidP="00BF0294">
      <w:pPr>
        <w:ind w:right="113"/>
      </w:pPr>
      <w:r w:rsidRPr="00BF0294">
        <w:lastRenderedPageBreak/>
        <w:t xml:space="preserve">Mientras que la fecha límite para la publicación del presupuesto, una vez que este ya se haya aprobado de manera definitiva, es el día </w:t>
      </w:r>
      <w:r w:rsidRPr="00BF0294">
        <w:rPr>
          <w:b/>
          <w:bCs/>
        </w:rPr>
        <w:t xml:space="preserve">veinticinco de febrero de cada ejercicio fiscal, </w:t>
      </w:r>
      <w:r w:rsidRPr="00BF0294">
        <w:t>como se lee en los 125, párrafo cuarto de la Constitución Política del Estado Libre y Soberano de México, y 351 del Código Financiero del Estado de México y Municipios, a saber:</w:t>
      </w:r>
    </w:p>
    <w:p w14:paraId="2B360A4F" w14:textId="77777777" w:rsidR="0069322E" w:rsidRPr="00BF0294" w:rsidRDefault="0069322E" w:rsidP="00BF0294">
      <w:pPr>
        <w:ind w:right="113"/>
      </w:pPr>
    </w:p>
    <w:p w14:paraId="533647AC" w14:textId="77777777" w:rsidR="0069322E" w:rsidRPr="00BF0294" w:rsidRDefault="0069322E" w:rsidP="00BF0294">
      <w:pPr>
        <w:pStyle w:val="Puesto"/>
      </w:pPr>
      <w:r w:rsidRPr="00BF0294">
        <w:t>“Artículo 125...</w:t>
      </w:r>
    </w:p>
    <w:p w14:paraId="64687C8E" w14:textId="77777777" w:rsidR="0069322E" w:rsidRPr="00BF0294" w:rsidRDefault="0069322E" w:rsidP="00BF0294">
      <w:pPr>
        <w:pStyle w:val="Puesto"/>
        <w:rPr>
          <w:i w:val="0"/>
        </w:rPr>
      </w:pPr>
      <w:r w:rsidRPr="00BF0294">
        <w:rPr>
          <w:iCs/>
        </w:rPr>
        <w:t xml:space="preserve">Los Ayuntamientos celebrarán sesiones extraordinarias de cabildo cuando la Ley de Ingresos aprobada por la </w:t>
      </w:r>
      <w:r w:rsidRPr="00BF0294">
        <w:t>Legislatura</w:t>
      </w:r>
      <w:r w:rsidRPr="00BF0294">
        <w:rPr>
          <w:iCs/>
        </w:rPr>
        <w:t xml:space="preserve">, implique adecuaciones a su Presupuesto de Egresos. Estas sesiones nunca excederán al 15 de febrero y tendrán como único objeto, concordar el Presupuesto de Egresos con la citada Ley de Ingresos. </w:t>
      </w:r>
      <w:r w:rsidRPr="00BF0294">
        <w:rPr>
          <w:b/>
          <w:bCs/>
          <w:iCs/>
        </w:rPr>
        <w:t>Al concluir las sesiones en las que se apruebe el Presupuesto de Egresos Municipal en forma definitiva, se dispondrá, por el Presidente Municipal, su promulgación y publicación</w:t>
      </w:r>
      <w:r w:rsidRPr="00BF0294">
        <w:rPr>
          <w:iCs/>
        </w:rPr>
        <w:t xml:space="preserve">, teniendo la obligación de enviar la ratificación, o modificaciones en su caso, de dicho Presupuesto de Egresos, al Órgano Superior de Fiscalización, </w:t>
      </w:r>
      <w:r w:rsidRPr="00BF0294">
        <w:rPr>
          <w:b/>
          <w:bCs/>
          <w:iCs/>
        </w:rPr>
        <w:t>a más tardar el día 25 de febrero de cada año.”</w:t>
      </w:r>
    </w:p>
    <w:p w14:paraId="177F4315" w14:textId="77777777" w:rsidR="0069322E" w:rsidRPr="00BF0294" w:rsidRDefault="0069322E" w:rsidP="00BF0294">
      <w:pPr>
        <w:pStyle w:val="Puesto"/>
        <w:rPr>
          <w:i w:val="0"/>
        </w:rPr>
      </w:pPr>
      <w:r w:rsidRPr="00BF0294">
        <w:rPr>
          <w:iCs/>
        </w:rPr>
        <w:t>“</w:t>
      </w:r>
      <w:r w:rsidRPr="00BF0294">
        <w:rPr>
          <w:b/>
          <w:bCs/>
          <w:iCs/>
        </w:rPr>
        <w:t>Artículo 351</w:t>
      </w:r>
      <w:r w:rsidRPr="00BF0294">
        <w:rPr>
          <w:iCs/>
        </w:rPr>
        <w:t>.- La Secretaría, los poderes Legislativo y Judicial, los Organismos Descentralizados, los Organismos Autónomos, así como las tesorerías, publicarán los principales resultados trimestrales de la gestión financiera, observando la normatividad aplicable al efecto.</w:t>
      </w:r>
    </w:p>
    <w:p w14:paraId="083D3AE6" w14:textId="77777777" w:rsidR="0069322E" w:rsidRPr="00BF0294" w:rsidRDefault="0069322E" w:rsidP="00BF0294">
      <w:pPr>
        <w:pStyle w:val="Puesto"/>
        <w:rPr>
          <w:i w:val="0"/>
        </w:rPr>
      </w:pPr>
      <w:r w:rsidRPr="00BF0294">
        <w:rPr>
          <w:b/>
          <w:bCs/>
          <w:iCs/>
        </w:rPr>
        <w:t>Los Ayuntamientos al aprobar en forma definitiva su presupuesto de egresos, deberán publicar en la "Gaceta Municipal" de manera clara y entendible</w:t>
      </w:r>
      <w:r w:rsidRPr="00BF0294">
        <w:rPr>
          <w:iCs/>
        </w:rPr>
        <w:t xml:space="preserve">, todas y cada una de las partidas que lo integran, las remuneraciones de todo tipo aprobadas para los miembros del ayuntamiento y para los servidores públicos en general, incluyendo mandos medios y superiores de la administración municipal, </w:t>
      </w:r>
      <w:r w:rsidRPr="00BF0294">
        <w:rPr>
          <w:b/>
          <w:bCs/>
          <w:iCs/>
        </w:rPr>
        <w:t>a más tardar el 25 de febrero del año para el cual habrá de aplicar dicho presupuesto</w:t>
      </w:r>
      <w:r w:rsidRPr="00BF0294">
        <w:rPr>
          <w:iCs/>
        </w:rPr>
        <w:t>.”</w:t>
      </w:r>
    </w:p>
    <w:p w14:paraId="30093ADC" w14:textId="77777777" w:rsidR="0069322E" w:rsidRPr="00BF0294" w:rsidRDefault="0069322E" w:rsidP="00BF0294">
      <w:pPr>
        <w:ind w:right="113"/>
      </w:pPr>
    </w:p>
    <w:p w14:paraId="6D23D153" w14:textId="77777777" w:rsidR="0069322E" w:rsidRPr="00BF0294" w:rsidRDefault="0069322E" w:rsidP="00BF0294">
      <w:pPr>
        <w:ind w:right="113"/>
      </w:pPr>
      <w:r w:rsidRPr="00BF0294">
        <w:t>Al respecto, los artículos 295 y 298, párrafo tercero del Código Financiero disponen lo siguiente:</w:t>
      </w:r>
    </w:p>
    <w:p w14:paraId="12226154" w14:textId="77777777" w:rsidR="0069322E" w:rsidRPr="00BF0294" w:rsidRDefault="0069322E" w:rsidP="00BF0294">
      <w:pPr>
        <w:ind w:right="113"/>
      </w:pPr>
    </w:p>
    <w:p w14:paraId="4BFC96E0" w14:textId="77777777" w:rsidR="0069322E" w:rsidRPr="00BF0294" w:rsidRDefault="0069322E" w:rsidP="00BF0294">
      <w:pPr>
        <w:pStyle w:val="Puesto"/>
        <w:rPr>
          <w:i w:val="0"/>
        </w:rPr>
      </w:pPr>
      <w:r w:rsidRPr="00BF0294">
        <w:rPr>
          <w:iCs/>
        </w:rPr>
        <w:t>“</w:t>
      </w:r>
      <w:r w:rsidRPr="00BF0294">
        <w:rPr>
          <w:b/>
          <w:bCs/>
          <w:iCs/>
        </w:rPr>
        <w:t>Artículo 295</w:t>
      </w:r>
      <w:r w:rsidRPr="00BF0294">
        <w:rPr>
          <w:iCs/>
        </w:rPr>
        <w:t xml:space="preserve">.- </w:t>
      </w:r>
      <w:r w:rsidRPr="00BF0294">
        <w:rPr>
          <w:b/>
          <w:bCs/>
          <w:iCs/>
        </w:rPr>
        <w:t>A más tardar el primer día hábil del mes de octubre, la Secretaría dará a conocer el Manual para la Formulación del Anteproyecto de Presupuesto</w:t>
      </w:r>
      <w:r w:rsidRPr="00BF0294">
        <w:rPr>
          <w:iCs/>
        </w:rPr>
        <w:t xml:space="preserve"> a los Entes Públicos de acuerdo a su naturaleza jurídica y según corresponda, solicitará la elaboración del Anteproyecto de Presupuesto correspondiente. </w:t>
      </w:r>
    </w:p>
    <w:p w14:paraId="3434F487" w14:textId="77777777" w:rsidR="0069322E" w:rsidRPr="00BF0294" w:rsidRDefault="0069322E" w:rsidP="00BF0294">
      <w:pPr>
        <w:pStyle w:val="Puesto"/>
        <w:rPr>
          <w:i w:val="0"/>
        </w:rPr>
      </w:pPr>
      <w:r w:rsidRPr="00BF0294">
        <w:rPr>
          <w:b/>
          <w:bCs/>
          <w:iCs/>
        </w:rPr>
        <w:lastRenderedPageBreak/>
        <w:t>En el caso de los municipios, la comunicación, la realizará la Tesorería, en coordinación con la Unidad de Información, Planeación, Programación y Evaluación, la Unidad Administrativa o servidores públicos responsables de realizar estas funciones</w:t>
      </w:r>
      <w:r w:rsidRPr="00BF0294">
        <w:rPr>
          <w:iCs/>
        </w:rPr>
        <w:t xml:space="preserve">, con base en las disposiciones que se aprueben en materia de planeación, programación, </w:t>
      </w:r>
      <w:proofErr w:type="spellStart"/>
      <w:r w:rsidRPr="00BF0294">
        <w:rPr>
          <w:iCs/>
        </w:rPr>
        <w:t>presupuestación</w:t>
      </w:r>
      <w:proofErr w:type="spellEnd"/>
      <w:r w:rsidRPr="00BF0294">
        <w:rPr>
          <w:iCs/>
        </w:rPr>
        <w:t>, evaluación y contabilidad gubernamental.</w:t>
      </w:r>
    </w:p>
    <w:p w14:paraId="6E95C11F" w14:textId="77777777" w:rsidR="0069322E" w:rsidRPr="00BF0294" w:rsidRDefault="0069322E" w:rsidP="00BF0294">
      <w:pPr>
        <w:pStyle w:val="Puesto"/>
        <w:rPr>
          <w:i w:val="0"/>
        </w:rPr>
      </w:pPr>
      <w:r w:rsidRPr="00BF0294">
        <w:rPr>
          <w:b/>
          <w:bCs/>
          <w:iCs/>
        </w:rPr>
        <w:t>Artículo 296</w:t>
      </w:r>
      <w:r w:rsidRPr="00BF0294">
        <w:rPr>
          <w:iCs/>
        </w:rPr>
        <w:t xml:space="preserve">.- Los Entes Públicos, de acuerdo con su naturaleza jurídica y según corresponda, </w:t>
      </w:r>
      <w:r w:rsidRPr="00BF0294">
        <w:rPr>
          <w:b/>
          <w:bCs/>
          <w:iCs/>
        </w:rPr>
        <w:t>deberán formular su Anteproyecto de Presupuesto de Egresos en apego a lo dispuesto por el Manual para la Formulación del Anteproyecto de Presupuesto,</w:t>
      </w:r>
      <w:r w:rsidRPr="00BF0294">
        <w:rPr>
          <w:iCs/>
        </w:rPr>
        <w:t xml:space="preserve"> el cual tiene por objeto establecer cuáles serán los términos y requerimientos generales que deberán observar en el proceso de formulación del Anteproyecto de Presupuesto que corresponda</w:t>
      </w:r>
    </w:p>
    <w:p w14:paraId="021EB98D" w14:textId="77777777" w:rsidR="0069322E" w:rsidRPr="00BF0294" w:rsidRDefault="0069322E" w:rsidP="00BF0294">
      <w:pPr>
        <w:pStyle w:val="Puesto"/>
      </w:pPr>
      <w:r w:rsidRPr="00BF0294">
        <w:t>...</w:t>
      </w:r>
    </w:p>
    <w:p w14:paraId="6FC1104A" w14:textId="77777777" w:rsidR="0069322E" w:rsidRPr="00BF0294" w:rsidRDefault="0069322E" w:rsidP="00BF0294">
      <w:pPr>
        <w:pStyle w:val="Puesto"/>
        <w:rPr>
          <w:i w:val="0"/>
        </w:rPr>
      </w:pPr>
      <w:r w:rsidRPr="00BF0294">
        <w:rPr>
          <w:b/>
          <w:bCs/>
          <w:iCs/>
        </w:rPr>
        <w:t>Artículo 298</w:t>
      </w:r>
      <w:r w:rsidRPr="00BF0294">
        <w:rPr>
          <w:iCs/>
        </w:rPr>
        <w:t>...</w:t>
      </w:r>
    </w:p>
    <w:p w14:paraId="5C9ADE52" w14:textId="77777777" w:rsidR="0069322E" w:rsidRPr="00BF0294" w:rsidRDefault="0069322E" w:rsidP="00BF0294">
      <w:pPr>
        <w:pStyle w:val="Puesto"/>
        <w:rPr>
          <w:i w:val="0"/>
        </w:rPr>
      </w:pPr>
      <w:r w:rsidRPr="00BF0294">
        <w:rPr>
          <w:b/>
          <w:bCs/>
          <w:iCs/>
          <w:u w:val="single"/>
        </w:rPr>
        <w:t>Las unidades administrativas</w:t>
      </w:r>
      <w:r w:rsidRPr="00BF0294">
        <w:rPr>
          <w:b/>
          <w:bCs/>
          <w:iCs/>
        </w:rPr>
        <w:t xml:space="preserve"> de los Municipios enviarán su anteproyecto de presupuesto a la Tesorería para ser revisado con la Unidad de Información, Planeación, Programación y Evaluación</w:t>
      </w:r>
      <w:r w:rsidRPr="00BF0294">
        <w:rPr>
          <w:iCs/>
        </w:rPr>
        <w:t xml:space="preserve">, o la Unidad Administrativa responsable de realizar estas funciones. Dichas unidades </w:t>
      </w:r>
      <w:r w:rsidRPr="00BF0294">
        <w:rPr>
          <w:b/>
          <w:bCs/>
          <w:iCs/>
        </w:rPr>
        <w:t>administrativas deberán integrar el proyecto de presupuesto que se someterá a consideración del presidente municipal para su posterior aprobación por el Ayuntamiento.</w:t>
      </w:r>
      <w:r w:rsidRPr="00BF0294">
        <w:rPr>
          <w:iCs/>
        </w:rPr>
        <w:t>”</w:t>
      </w:r>
    </w:p>
    <w:p w14:paraId="3C4FCEE0" w14:textId="77777777" w:rsidR="0069322E" w:rsidRPr="00BF0294" w:rsidRDefault="0069322E" w:rsidP="00BF0294">
      <w:pPr>
        <w:ind w:right="113"/>
      </w:pPr>
    </w:p>
    <w:p w14:paraId="5CC02E1B" w14:textId="77777777" w:rsidR="0069322E" w:rsidRPr="00BF0294" w:rsidRDefault="0069322E" w:rsidP="00BF0294">
      <w:pPr>
        <w:ind w:right="113"/>
      </w:pPr>
      <w:r w:rsidRPr="00BF0294">
        <w:rPr>
          <w:b/>
        </w:rPr>
        <w:t>Como se advierte, la normatividad impone la obligación a las unidades administrativas de enviar su anteproyecto de egresos a la Tesorería Municipal, quien debe revisarlo en conjunto con la Unidad de Información, Planeación, Programación y Evaluación, UIPPE</w:t>
      </w:r>
      <w:r w:rsidRPr="00BF0294">
        <w:t>; o la Unidad Administrativa responsable de realizar estas funciones, con la finalidad de integrar el proyecto de egresos que será sometido a consideración del presidente municipal y los integrantes del ayuntamiento, para lo cual la Secretaría de Finanzas emite en el mes de octubre el Manual para la Formulación del Anteproyecto de Presupuesto, para tal efecto se cita la siguiente normatividad:</w:t>
      </w:r>
    </w:p>
    <w:p w14:paraId="0A398A68" w14:textId="77777777" w:rsidR="00B83109" w:rsidRPr="00BF0294" w:rsidRDefault="00B83109" w:rsidP="00BF0294">
      <w:pPr>
        <w:ind w:right="113"/>
      </w:pPr>
    </w:p>
    <w:p w14:paraId="53B5ADA1" w14:textId="77777777" w:rsidR="0069322E" w:rsidRPr="00BF0294" w:rsidRDefault="0069322E" w:rsidP="00BF0294">
      <w:pPr>
        <w:ind w:right="113"/>
      </w:pPr>
      <w:r w:rsidRPr="00BF0294">
        <w:t xml:space="preserve">Bajo esta línea de pensamiento, el Manual para la Planeación, Programación y Presupuesto de Egresos Municipal para el Ejercicio Fiscal 2023, prevé lo siguiente respecto al presupuesto de egresos y su conformación: </w:t>
      </w:r>
    </w:p>
    <w:p w14:paraId="1DFDC344" w14:textId="77777777" w:rsidR="00B83109" w:rsidRPr="00BF0294" w:rsidRDefault="00B83109" w:rsidP="00BF0294">
      <w:pPr>
        <w:pStyle w:val="Puesto"/>
      </w:pPr>
    </w:p>
    <w:p w14:paraId="7BD2E1EF" w14:textId="77777777" w:rsidR="0069322E" w:rsidRPr="00BF0294" w:rsidRDefault="0069322E" w:rsidP="00BF0294">
      <w:pPr>
        <w:pStyle w:val="Puesto"/>
        <w:rPr>
          <w:i w:val="0"/>
        </w:rPr>
      </w:pPr>
      <w:r w:rsidRPr="00BF0294">
        <w:t>“</w:t>
      </w:r>
      <w:r w:rsidRPr="00BF0294">
        <w:rPr>
          <w:b/>
        </w:rPr>
        <w:t>3.4. Tercera Etapa: Presupuesto de Egresos Municipal.</w:t>
      </w:r>
      <w:r w:rsidRPr="00BF0294">
        <w:t xml:space="preserve"> </w:t>
      </w:r>
    </w:p>
    <w:p w14:paraId="643295F8" w14:textId="77777777" w:rsidR="0069322E" w:rsidRPr="00BF0294" w:rsidRDefault="0069322E" w:rsidP="00BF0294">
      <w:pPr>
        <w:pStyle w:val="Puesto"/>
        <w:rPr>
          <w:i w:val="0"/>
        </w:rPr>
      </w:pPr>
      <w:r w:rsidRPr="00BF0294">
        <w:t xml:space="preserve">La Constitución Política del Estado Libre y Soberano de México en su artículo 125 señala que los Ayuntamientos podrán celebrar sesiones extraordinarias de cabildo cuando la Ley de Ingresos aprobada por la Legislatura, implique adecuaciones a su Presupuesto de Egresos, así como por la asignación de las participaciones y aportaciones federales y estatales. Estas sesiones tendrán como único objeto concordar con el Presupuesto de Egresos. El Presidente Municipal, promulgará y publicará el Presupuesto de Egresos Municipal, a más tardar el día 25 de febrero de cada año debiendo enviarlo al Órgano Superior de Fiscalización en la misma fecha, observando asimismo lo dispuesto en el artículo 47 de la Ley de Fiscalización Superior del Estado de México vigente. </w:t>
      </w:r>
    </w:p>
    <w:p w14:paraId="03B02696" w14:textId="77777777" w:rsidR="0069322E" w:rsidRPr="00BF0294" w:rsidRDefault="0069322E" w:rsidP="00BF0294">
      <w:pPr>
        <w:pStyle w:val="Puesto"/>
        <w:rPr>
          <w:i w:val="0"/>
        </w:rPr>
      </w:pPr>
      <w:r w:rsidRPr="00BF0294">
        <w:rPr>
          <w:b/>
        </w:rPr>
        <w:t>3.4.1. Formatos que integran el Presupuesto de Egresos aprobado.</w:t>
      </w:r>
      <w:r w:rsidRPr="00BF0294">
        <w:t xml:space="preserve"> Considerando como base el Proyecto de Presupuesto se realizará el Presupuesto de Egresos, con la información siguiente: </w:t>
      </w:r>
    </w:p>
    <w:p w14:paraId="17C4F3A7" w14:textId="77777777" w:rsidR="0069322E" w:rsidRPr="00BF0294" w:rsidRDefault="0069322E" w:rsidP="00BF0294">
      <w:pPr>
        <w:pStyle w:val="Puesto"/>
        <w:rPr>
          <w:b/>
          <w:i w:val="0"/>
        </w:rPr>
      </w:pPr>
      <w:r w:rsidRPr="00BF0294">
        <w:rPr>
          <w:b/>
        </w:rPr>
        <w:t xml:space="preserve">Una vez publicada la Ley de Ingresos, las Participaciones Federales, así como los Programas Federales y Estatales, se podrá tener una estimación más precisa de los Ingresos Totales, lo cual se deberá plasmar en los formatos: </w:t>
      </w:r>
    </w:p>
    <w:p w14:paraId="79C4191E" w14:textId="77777777" w:rsidR="0069322E" w:rsidRPr="00BF0294" w:rsidRDefault="0069322E" w:rsidP="00BF0294">
      <w:pPr>
        <w:pStyle w:val="Puesto"/>
        <w:rPr>
          <w:b/>
          <w:i w:val="0"/>
        </w:rPr>
      </w:pPr>
      <w:r w:rsidRPr="00BF0294">
        <w:rPr>
          <w:b/>
        </w:rPr>
        <w:t xml:space="preserve">Presupuesto de Ingresos Detallado PbRM-03a, registrando los ingresos estimados a nivel concepto y su distribución por mes. </w:t>
      </w:r>
    </w:p>
    <w:p w14:paraId="730490BA" w14:textId="77777777" w:rsidR="0069322E" w:rsidRPr="00BF0294" w:rsidRDefault="0069322E" w:rsidP="00BF0294">
      <w:pPr>
        <w:pStyle w:val="Puesto"/>
        <w:rPr>
          <w:b/>
          <w:i w:val="0"/>
        </w:rPr>
      </w:pPr>
      <w:r w:rsidRPr="00BF0294">
        <w:rPr>
          <w:b/>
        </w:rPr>
        <w:t xml:space="preserve">Carátula de Presupuesto de Ingresos PbRM-03b, registrando los importes por tipo de Ingreso. </w:t>
      </w:r>
    </w:p>
    <w:p w14:paraId="11312117" w14:textId="77777777" w:rsidR="0069322E" w:rsidRPr="00BF0294" w:rsidRDefault="0069322E" w:rsidP="00BF0294">
      <w:pPr>
        <w:pStyle w:val="Puesto"/>
        <w:rPr>
          <w:b/>
          <w:i w:val="0"/>
        </w:rPr>
      </w:pPr>
      <w:r w:rsidRPr="00BF0294">
        <w:rPr>
          <w:b/>
        </w:rPr>
        <w:t xml:space="preserve">Los formatos que conforman el Programa Anual (PbRM-01a, PbRM-01b, PbRM-01c, PbRM-01d, PbRM-01e), así como del Presupuesto de Egresos Detallado PbRM-04a, formato en el que se deberán registrar los proyectos por partida de gasto, los cuales tendrán que coincidir en estructura programática y gasto estimado por proyecto, con los formatos </w:t>
      </w:r>
      <w:proofErr w:type="spellStart"/>
      <w:r w:rsidRPr="00BF0294">
        <w:rPr>
          <w:b/>
        </w:rPr>
        <w:t>PbRM</w:t>
      </w:r>
      <w:proofErr w:type="spellEnd"/>
      <w:r w:rsidRPr="00BF0294">
        <w:rPr>
          <w:b/>
        </w:rPr>
        <w:t xml:space="preserve"> 01a y </w:t>
      </w:r>
      <w:proofErr w:type="spellStart"/>
      <w:r w:rsidRPr="00BF0294">
        <w:rPr>
          <w:b/>
        </w:rPr>
        <w:t>PbRM</w:t>
      </w:r>
      <w:proofErr w:type="spellEnd"/>
      <w:r w:rsidRPr="00BF0294">
        <w:rPr>
          <w:b/>
        </w:rPr>
        <w:t xml:space="preserve"> 01c. </w:t>
      </w:r>
    </w:p>
    <w:p w14:paraId="24CF2A07" w14:textId="77777777" w:rsidR="0069322E" w:rsidRPr="00BF0294" w:rsidRDefault="0069322E" w:rsidP="00BF0294">
      <w:pPr>
        <w:pStyle w:val="Puesto"/>
        <w:rPr>
          <w:i w:val="0"/>
        </w:rPr>
      </w:pPr>
      <w:r w:rsidRPr="00BF0294">
        <w:t xml:space="preserve">Al contar con un presupuesto definido se deben corroborar las metas de actividad a realizar e identificar los tiempos de su ejecución, por lo que para este fin se requisita el formato PbRM-02a Calendarización de metas de actividad, el cual tiene por objeto identificar trimestralmente las cantidades de las metas programadas anuales por proyecto, mismas que fueron planteadas en el formato PbRM-01c. </w:t>
      </w:r>
    </w:p>
    <w:p w14:paraId="3A8C0AA3" w14:textId="77777777" w:rsidR="0069322E" w:rsidRPr="00BF0294" w:rsidRDefault="0069322E" w:rsidP="00BF0294">
      <w:pPr>
        <w:pStyle w:val="Puesto"/>
        <w:rPr>
          <w:i w:val="0"/>
        </w:rPr>
      </w:pPr>
      <w:r w:rsidRPr="00BF0294">
        <w:t>En este formato se identifica el compromiso de fechas en que se realizarán las metas. Asimismo, será necesario revisar los indicadores en el formato PbRM-01d Ficha técnica del diseño de indicadores estratégicos o de gestión y actualizar las metas de indicador, con el propósito de presentarlos en su versión final en el Presupuesto de Egresos Municipal correspondiente, poniendo especial atención a los indicadores con variables que se encuentren vinculadas directamente a las metas de actividad del formato PbRM-02a.</w:t>
      </w:r>
    </w:p>
    <w:p w14:paraId="2980DC9E" w14:textId="77777777" w:rsidR="0069322E" w:rsidRPr="00BF0294" w:rsidRDefault="0069322E" w:rsidP="00BF0294">
      <w:pPr>
        <w:pStyle w:val="Puesto"/>
        <w:rPr>
          <w:b/>
          <w:i w:val="0"/>
        </w:rPr>
      </w:pPr>
      <w:r w:rsidRPr="00BF0294">
        <w:rPr>
          <w:b/>
        </w:rPr>
        <w:t xml:space="preserve">Presupuesto de Egresos por Objeto del Gasto y Dependencia General PbRM-04b. Este formato deberá ser la suma de los formatos (PbRM-04a) Presupuesto de </w:t>
      </w:r>
      <w:r w:rsidRPr="00BF0294">
        <w:rPr>
          <w:b/>
        </w:rPr>
        <w:lastRenderedPageBreak/>
        <w:t>Egresos Detallado el cual contiene datos a nivel de Partida Específica, Partida Genérica, Concepto y Capítulo del Gasto, de cada proyecto a nivel de Dependencia General.</w:t>
      </w:r>
    </w:p>
    <w:p w14:paraId="4F9C653A" w14:textId="77777777" w:rsidR="0069322E" w:rsidRPr="00BF0294" w:rsidRDefault="0069322E" w:rsidP="00BF0294">
      <w:pPr>
        <w:pStyle w:val="Puesto"/>
        <w:rPr>
          <w:b/>
          <w:i w:val="0"/>
        </w:rPr>
      </w:pPr>
      <w:r w:rsidRPr="00BF0294">
        <w:rPr>
          <w:b/>
        </w:rPr>
        <w:t>Presupuesto de Egreso Global Calendarizado PbRM-04c. Este formato deberá ser la suma de los formatos de Presupuesto de Egresos por Objeto del Gasto y Dependencia General PbRM-04b.</w:t>
      </w:r>
    </w:p>
    <w:p w14:paraId="3DE43504" w14:textId="77777777" w:rsidR="0069322E" w:rsidRPr="00BF0294" w:rsidRDefault="0069322E" w:rsidP="00BF0294">
      <w:pPr>
        <w:pStyle w:val="Puesto"/>
        <w:rPr>
          <w:b/>
          <w:i w:val="0"/>
        </w:rPr>
      </w:pPr>
      <w:r w:rsidRPr="00BF0294">
        <w:rPr>
          <w:b/>
        </w:rPr>
        <w:t>Carátula de Presupuesto de Egresos PbRM-04d. Este formato deberá registrar los importes del formato PbRM-04c.</w:t>
      </w:r>
    </w:p>
    <w:p w14:paraId="76D2B736" w14:textId="77777777" w:rsidR="0069322E" w:rsidRPr="00BF0294" w:rsidRDefault="0069322E" w:rsidP="00BF0294">
      <w:pPr>
        <w:pStyle w:val="Puesto"/>
      </w:pPr>
      <w:r w:rsidRPr="00BF0294">
        <w:t>Lo anterior se refleja en la siguiente figura:</w:t>
      </w:r>
    </w:p>
    <w:p w14:paraId="30283B29" w14:textId="77777777" w:rsidR="001121E3" w:rsidRPr="00BF0294" w:rsidRDefault="001121E3" w:rsidP="00BF0294"/>
    <w:p w14:paraId="0CCB8DE1" w14:textId="61191616" w:rsidR="0069322E" w:rsidRPr="00BF0294" w:rsidRDefault="0069322E" w:rsidP="00BF0294">
      <w:pPr>
        <w:ind w:right="113"/>
        <w:rPr>
          <w:i/>
        </w:rPr>
      </w:pPr>
      <w:r w:rsidRPr="00BF0294">
        <w:rPr>
          <w:i/>
          <w:noProof/>
          <w:lang w:eastAsia="es-MX"/>
        </w:rPr>
        <w:drawing>
          <wp:inline distT="0" distB="0" distL="0" distR="0" wp14:anchorId="6F80FCAF" wp14:editId="441E7FC9">
            <wp:extent cx="5610225" cy="4495800"/>
            <wp:effectExtent l="19050" t="19050" r="28575" b="19050"/>
            <wp:docPr id="155273162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0225" cy="4495800"/>
                    </a:xfrm>
                    <a:prstGeom prst="rect">
                      <a:avLst/>
                    </a:prstGeom>
                    <a:noFill/>
                    <a:ln w="9525" cmpd="sng">
                      <a:solidFill>
                        <a:srgbClr val="000000"/>
                      </a:solidFill>
                      <a:miter lim="800000"/>
                      <a:headEnd/>
                      <a:tailEnd/>
                    </a:ln>
                    <a:effectLst/>
                  </pic:spPr>
                </pic:pic>
              </a:graphicData>
            </a:graphic>
          </wp:inline>
        </w:drawing>
      </w:r>
    </w:p>
    <w:p w14:paraId="28D9C2AB" w14:textId="77777777" w:rsidR="001121E3" w:rsidRPr="00BF0294" w:rsidRDefault="001121E3" w:rsidP="00BF0294">
      <w:pPr>
        <w:rPr>
          <w:i/>
        </w:rPr>
      </w:pPr>
    </w:p>
    <w:p w14:paraId="780E9C91" w14:textId="77777777" w:rsidR="0069322E" w:rsidRPr="00BF0294" w:rsidRDefault="0069322E" w:rsidP="00BF0294">
      <w:pPr>
        <w:pStyle w:val="Puesto"/>
      </w:pPr>
      <w:r w:rsidRPr="00BF0294">
        <w:t xml:space="preserve">Información Vinculada al Presupuesto de Egresos: </w:t>
      </w:r>
    </w:p>
    <w:p w14:paraId="639970D7" w14:textId="77777777" w:rsidR="0069322E" w:rsidRPr="00BF0294" w:rsidRDefault="0069322E" w:rsidP="00BF0294">
      <w:pPr>
        <w:pStyle w:val="Puesto"/>
      </w:pPr>
      <w:r w:rsidRPr="00BF0294">
        <w:lastRenderedPageBreak/>
        <w:t xml:space="preserve">Tabulador de Sueldos PbRM-05. El monto total de este formato debe coincidir con el Capítulo 1000 contenido en la Caratula de Egresos PbRM-04d. </w:t>
      </w:r>
    </w:p>
    <w:p w14:paraId="108AE637" w14:textId="77777777" w:rsidR="0069322E" w:rsidRPr="00BF0294" w:rsidRDefault="0069322E" w:rsidP="00BF0294">
      <w:pPr>
        <w:pStyle w:val="Puesto"/>
      </w:pPr>
      <w:r w:rsidRPr="00BF0294">
        <w:t xml:space="preserve">El Programa Anual de Adquisiciones PbRM-06. En este formato se considera las adquisiciones de Bienes y Servicios de los proyectos, reflejando los Capítulos 2000, 3000 y 5000. </w:t>
      </w:r>
    </w:p>
    <w:p w14:paraId="3BAE73FE" w14:textId="77777777" w:rsidR="0069322E" w:rsidRPr="00BF0294" w:rsidRDefault="0069322E" w:rsidP="00BF0294">
      <w:pPr>
        <w:pStyle w:val="Puesto"/>
      </w:pPr>
      <w:r w:rsidRPr="00BF0294">
        <w:t>El Programa Anual de Obra PbRM-07a y el Programa Anual de Obras (Reparaciones y Mantenimiento) PbRM-07b. Deberán corresponder al importe del Capítulo 6000 Inversión Pública contenido en la Carátula de Egresos PbRM-04d.</w:t>
      </w:r>
    </w:p>
    <w:p w14:paraId="060B744A" w14:textId="77777777" w:rsidR="001121E3" w:rsidRPr="00BF0294" w:rsidRDefault="001121E3" w:rsidP="00BF0294"/>
    <w:p w14:paraId="2EA4B0F7" w14:textId="77777777" w:rsidR="0069322E" w:rsidRPr="00BF0294" w:rsidRDefault="0069322E" w:rsidP="00BF0294">
      <w:pPr>
        <w:ind w:right="113"/>
      </w:pPr>
      <w:r w:rsidRPr="00BF0294">
        <w:t xml:space="preserve">En esta tesitura, los Lineamientos para la Entrega del Presupuesto de Egresos Municipal 2023, establece los documentos que conforman la entrega de dicho presupuesto, sirven de referencia la siguiente ilustración: </w:t>
      </w:r>
    </w:p>
    <w:p w14:paraId="7F25B776" w14:textId="42B40E56" w:rsidR="0069322E" w:rsidRPr="00BF0294" w:rsidRDefault="0069322E" w:rsidP="00BF0294">
      <w:pPr>
        <w:ind w:right="113"/>
        <w:jc w:val="center"/>
      </w:pPr>
      <w:r w:rsidRPr="00BF0294">
        <w:rPr>
          <w:noProof/>
          <w:lang w:eastAsia="es-MX"/>
        </w:rPr>
        <w:drawing>
          <wp:inline distT="0" distB="0" distL="0" distR="0" wp14:anchorId="426AB9CA" wp14:editId="3C23C11B">
            <wp:extent cx="3886200" cy="4238625"/>
            <wp:effectExtent l="0" t="0" r="0" b="9525"/>
            <wp:docPr id="614732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86200" cy="4238625"/>
                    </a:xfrm>
                    <a:prstGeom prst="rect">
                      <a:avLst/>
                    </a:prstGeom>
                    <a:noFill/>
                    <a:ln>
                      <a:noFill/>
                    </a:ln>
                  </pic:spPr>
                </pic:pic>
              </a:graphicData>
            </a:graphic>
          </wp:inline>
        </w:drawing>
      </w:r>
    </w:p>
    <w:p w14:paraId="64FC31DC" w14:textId="2098E520" w:rsidR="0069322E" w:rsidRPr="00BF0294" w:rsidRDefault="0069322E" w:rsidP="00BF0294">
      <w:pPr>
        <w:ind w:right="113"/>
      </w:pPr>
      <w:r w:rsidRPr="00BF0294">
        <w:lastRenderedPageBreak/>
        <w:t>De manera que como se colige con lo anteriormente analizado, esta información debe obrar en los archivos de la Tesorería Municipal</w:t>
      </w:r>
      <w:r w:rsidR="00B83109" w:rsidRPr="00BF0294">
        <w:t>.</w:t>
      </w:r>
    </w:p>
    <w:p w14:paraId="599F0450" w14:textId="77777777" w:rsidR="0069322E" w:rsidRPr="00BF0294" w:rsidRDefault="0069322E" w:rsidP="00BF0294">
      <w:pPr>
        <w:ind w:right="113"/>
      </w:pPr>
    </w:p>
    <w:p w14:paraId="355DAA05" w14:textId="613C9AC2" w:rsidR="00E26587" w:rsidRPr="00BF0294" w:rsidRDefault="00E26587" w:rsidP="00BF0294">
      <w:pPr>
        <w:rPr>
          <w:b/>
          <w:bCs/>
        </w:rPr>
      </w:pPr>
      <w:r w:rsidRPr="00BF0294">
        <w:t xml:space="preserve">Así, de las constancias que obran en el expediente, se logra vislumbrar que </w:t>
      </w:r>
      <w:r w:rsidR="00B83109" w:rsidRPr="00BF0294">
        <w:rPr>
          <w:b/>
          <w:bCs/>
        </w:rPr>
        <w:t>EL SUJETO OBLIGADO</w:t>
      </w:r>
      <w:r w:rsidR="00B83109" w:rsidRPr="00BF0294">
        <w:t xml:space="preserve"> </w:t>
      </w:r>
      <w:r w:rsidRPr="00BF0294">
        <w:t xml:space="preserve">turnó la solicitud de información a la </w:t>
      </w:r>
      <w:r w:rsidRPr="00BF0294">
        <w:rPr>
          <w:bCs/>
          <w:iCs/>
        </w:rPr>
        <w:t>Tesorería del Sistema DIF</w:t>
      </w:r>
      <w:r w:rsidRPr="00BF0294">
        <w:t>, 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6550500A" w14:textId="77777777" w:rsidR="00E26587" w:rsidRPr="00BF0294" w:rsidRDefault="00E26587" w:rsidP="00BF0294">
      <w:pPr>
        <w:rPr>
          <w:bCs/>
          <w:lang w:val="es-ES"/>
        </w:rPr>
      </w:pPr>
    </w:p>
    <w:p w14:paraId="551B81BF" w14:textId="77777777" w:rsidR="00E26587" w:rsidRPr="00BF0294" w:rsidRDefault="00E26587" w:rsidP="00BF0294">
      <w:r w:rsidRPr="00BF0294">
        <w:rPr>
          <w:bCs/>
        </w:rPr>
        <w:t>Así, es necesario traer al estudio el numeral 4, del Manual de Organización del Sistema Municipal para el Desarrollo Integral de la Familia de Coyotepec, que se establece que el Sujeto Obligado para el ejercicio de sus funciones contará con diversas unidades administrativas, entre otras las Tesorería</w:t>
      </w:r>
      <w:r w:rsidRPr="00BF0294">
        <w:rPr>
          <w:b/>
        </w:rPr>
        <w:t xml:space="preserve">: </w:t>
      </w:r>
      <w:r w:rsidRPr="00BF0294">
        <w:t>encargada de obtener, erogar y administrar el presupuesto del Sistema Municipal DIF Coyotepec, a fin de mantener sanas las finanzas públicas del mismo. Esta unidad, está a cargo de un Tesorero, que será el responsable de la administración de los recursos que conforman el patrimonio del organismo, lo cual hará en coordinación con el director, debiendo informar los estados financieros a la Junta de Gobierno o cuando ésta y la presidencia así lo soliciten, para el ejercicio de sus atribuciones contará además con las siguientes funciones y atribuciones:</w:t>
      </w:r>
    </w:p>
    <w:p w14:paraId="1B4D6EBB" w14:textId="77777777" w:rsidR="00E26587" w:rsidRPr="00BF0294" w:rsidRDefault="00E26587" w:rsidP="00BF0294"/>
    <w:p w14:paraId="049DB675" w14:textId="77777777" w:rsidR="00E26587" w:rsidRPr="00BF0294" w:rsidRDefault="00E26587" w:rsidP="00BF0294">
      <w:pPr>
        <w:numPr>
          <w:ilvl w:val="0"/>
          <w:numId w:val="49"/>
        </w:numPr>
      </w:pPr>
      <w:r w:rsidRPr="00BF0294">
        <w:t>Administrar los recursos que conforman el patrimonio del organismo de conformidad con lo establecido en las disposiciones legales aplicables;</w:t>
      </w:r>
    </w:p>
    <w:p w14:paraId="316D54A9" w14:textId="77777777" w:rsidR="00E26587" w:rsidRPr="00BF0294" w:rsidRDefault="00E26587" w:rsidP="00BF0294">
      <w:pPr>
        <w:numPr>
          <w:ilvl w:val="0"/>
          <w:numId w:val="49"/>
        </w:numPr>
      </w:pPr>
      <w:r w:rsidRPr="00BF0294">
        <w:lastRenderedPageBreak/>
        <w:t>Llevar los libros y registro contables, financieros y administrativos de los ingresos, egresos e inventarios;</w:t>
      </w:r>
    </w:p>
    <w:p w14:paraId="4A55AD0A" w14:textId="77777777" w:rsidR="00E26587" w:rsidRPr="00BF0294" w:rsidRDefault="00E26587" w:rsidP="00BF0294">
      <w:pPr>
        <w:numPr>
          <w:ilvl w:val="0"/>
          <w:numId w:val="49"/>
        </w:numPr>
      </w:pPr>
      <w:r w:rsidRPr="00BF0294">
        <w:t>Proporcionar oportunamente a la Junta de Gobierno todos los datos e informes que sean necesarios para la formulación del Presupuesto de Egresos del organismo, vigilando que se ajuste a las disposiciones legales aplicables;</w:t>
      </w:r>
    </w:p>
    <w:p w14:paraId="53DC23B6" w14:textId="77777777" w:rsidR="00E26587" w:rsidRPr="00BF0294" w:rsidRDefault="00E26587" w:rsidP="00BF0294">
      <w:pPr>
        <w:numPr>
          <w:ilvl w:val="0"/>
          <w:numId w:val="49"/>
        </w:numPr>
      </w:pPr>
      <w:r w:rsidRPr="00BF0294">
        <w:t>Presentar anualmente a la Junta de Gobierno un informe de la situación financiera de la Tesorería del Organismo;</w:t>
      </w:r>
    </w:p>
    <w:p w14:paraId="3F52D71B" w14:textId="77777777" w:rsidR="00E26587" w:rsidRPr="00BF0294" w:rsidRDefault="00E26587" w:rsidP="00BF0294">
      <w:pPr>
        <w:numPr>
          <w:ilvl w:val="0"/>
          <w:numId w:val="49"/>
        </w:numPr>
      </w:pPr>
      <w:r w:rsidRPr="00BF0294">
        <w:t>Contestar oportunamente los pliegos de observaciones y responsabilidades que haga el Órgano Superior de Fiscalización del Estado de México, así como atender en tiempo y forma las solicitudes de información que éste requiera, informando al Consejo Directivo;</w:t>
      </w:r>
    </w:p>
    <w:p w14:paraId="6813066A" w14:textId="77777777" w:rsidR="00E26587" w:rsidRPr="00BF0294" w:rsidRDefault="00E26587" w:rsidP="00BF0294">
      <w:pPr>
        <w:numPr>
          <w:ilvl w:val="0"/>
          <w:numId w:val="49"/>
        </w:numPr>
      </w:pPr>
      <w:r w:rsidRPr="00BF0294">
        <w:t>Certificar los documentos a su cuidado, por acuerdo expreso de la Junta de Gobierno y cuando se trate de documentación presentada ante el Órgano Superior de Fiscalización del Estado de México;</w:t>
      </w:r>
    </w:p>
    <w:p w14:paraId="3CEA0805" w14:textId="77777777" w:rsidR="00E26587" w:rsidRPr="00BF0294" w:rsidRDefault="00E26587" w:rsidP="00BF0294">
      <w:pPr>
        <w:numPr>
          <w:ilvl w:val="0"/>
          <w:numId w:val="49"/>
        </w:numPr>
      </w:pPr>
      <w:r w:rsidRPr="00BF0294">
        <w:t>Integrar y autorizar con su firma, la documentación que deba presentarse al Órgano Superior de Fiscalización del Estado de México; y</w:t>
      </w:r>
    </w:p>
    <w:p w14:paraId="794276CA" w14:textId="77777777" w:rsidR="00E26587" w:rsidRPr="00BF0294" w:rsidRDefault="00E26587" w:rsidP="00BF0294">
      <w:pPr>
        <w:numPr>
          <w:ilvl w:val="0"/>
          <w:numId w:val="49"/>
        </w:numPr>
      </w:pPr>
      <w:r w:rsidRPr="00BF0294">
        <w:t>Las demás que le confieran los ordenamientos legales y la Junta de Gobierno.</w:t>
      </w:r>
    </w:p>
    <w:p w14:paraId="05D40E76" w14:textId="77777777" w:rsidR="00E26587" w:rsidRPr="00BF0294" w:rsidRDefault="00E26587" w:rsidP="00BF0294">
      <w:pPr>
        <w:rPr>
          <w:bCs/>
          <w:iCs/>
        </w:rPr>
      </w:pPr>
    </w:p>
    <w:p w14:paraId="70FF72BE" w14:textId="77777777" w:rsidR="00B83109" w:rsidRPr="00BF0294" w:rsidRDefault="00E26587" w:rsidP="00BF0294">
      <w:pPr>
        <w:rPr>
          <w:bCs/>
          <w:iCs/>
        </w:rPr>
      </w:pPr>
      <w:r w:rsidRPr="00BF0294">
        <w:rPr>
          <w:bCs/>
          <w:iCs/>
        </w:rPr>
        <w:t xml:space="preserve">Conforme a lo anterior se logra observar que </w:t>
      </w:r>
      <w:r w:rsidR="00B83109" w:rsidRPr="00BF0294">
        <w:rPr>
          <w:b/>
          <w:iCs/>
        </w:rPr>
        <w:t>EL SUJETO OBLIGADO</w:t>
      </w:r>
      <w:r w:rsidRPr="00BF0294">
        <w:rPr>
          <w:bCs/>
          <w:iCs/>
        </w:rPr>
        <w:t xml:space="preserve">, </w:t>
      </w:r>
      <w:r w:rsidR="00B83109" w:rsidRPr="00BF0294">
        <w:rPr>
          <w:bCs/>
          <w:iCs/>
        </w:rPr>
        <w:t>in</w:t>
      </w:r>
      <w:r w:rsidRPr="00BF0294">
        <w:rPr>
          <w:bCs/>
          <w:iCs/>
        </w:rPr>
        <w:t xml:space="preserve">cumplió con el procedimiento de búsqueda previamente señalado al gestionar la solicitud de información a la Tesorería del Sistema DIF Municipal, unidad administrativa competente para conocer sobre lo peticionado, </w:t>
      </w:r>
      <w:r w:rsidR="00B83109" w:rsidRPr="00BF0294">
        <w:rPr>
          <w:bCs/>
          <w:iCs/>
        </w:rPr>
        <w:t xml:space="preserve">empero faltó turnar la solicitud de información al área de la </w:t>
      </w:r>
      <w:proofErr w:type="spellStart"/>
      <w:r w:rsidR="00B83109" w:rsidRPr="00BF0294">
        <w:rPr>
          <w:bCs/>
          <w:iCs/>
        </w:rPr>
        <w:t>Uippe</w:t>
      </w:r>
      <w:proofErr w:type="spellEnd"/>
      <w:r w:rsidR="00B83109" w:rsidRPr="00BF0294">
        <w:rPr>
          <w:bCs/>
          <w:iCs/>
        </w:rPr>
        <w:t>, quien cuenta con las funciones siguientes:</w:t>
      </w:r>
    </w:p>
    <w:p w14:paraId="30C49BB2" w14:textId="77777777" w:rsidR="00A15C66" w:rsidRPr="00BF0294" w:rsidRDefault="00A15C66" w:rsidP="00BF0294">
      <w:pPr>
        <w:pStyle w:val="Puesto"/>
      </w:pPr>
    </w:p>
    <w:p w14:paraId="4E4E65F0" w14:textId="77777777" w:rsidR="00A15C66" w:rsidRPr="00BF0294" w:rsidRDefault="00A15C66" w:rsidP="00BF0294">
      <w:pPr>
        <w:pStyle w:val="Puesto"/>
      </w:pPr>
      <w:r w:rsidRPr="00BF0294">
        <w:t xml:space="preserve">3.1 Unidad de Información, Planeación, Programación y Evaluación (UIPPE) </w:t>
      </w:r>
    </w:p>
    <w:p w14:paraId="700E0DCF" w14:textId="77777777" w:rsidR="00A15C66" w:rsidRPr="00BF0294" w:rsidRDefault="00A15C66" w:rsidP="00BF0294">
      <w:pPr>
        <w:pStyle w:val="Puesto"/>
      </w:pPr>
      <w:r w:rsidRPr="00BF0294">
        <w:t xml:space="preserve">Objetivo: </w:t>
      </w:r>
    </w:p>
    <w:p w14:paraId="100EEC07" w14:textId="77777777" w:rsidR="00A15C66" w:rsidRPr="00BF0294" w:rsidRDefault="00A15C66" w:rsidP="00BF0294">
      <w:pPr>
        <w:pStyle w:val="Puesto"/>
      </w:pPr>
      <w:r w:rsidRPr="00BF0294">
        <w:lastRenderedPageBreak/>
        <w:t xml:space="preserve">Realizar las acciones tendientes a la recopilación, integración, análisis y generación de la información programática; coordinar los procesos de planeación y de avance de metas de los programas, dando seguimiento al Programa Operativo Anual del Sistema Municipal para el Desarrollo Integral de la Familia de Coyotepec. </w:t>
      </w:r>
    </w:p>
    <w:p w14:paraId="2F5FA7E4" w14:textId="77777777" w:rsidR="00A15C66" w:rsidRPr="00BF0294" w:rsidRDefault="00A15C66" w:rsidP="00BF0294">
      <w:pPr>
        <w:pStyle w:val="Puesto"/>
      </w:pPr>
      <w:r w:rsidRPr="00BF0294">
        <w:t xml:space="preserve">Funciones: </w:t>
      </w:r>
    </w:p>
    <w:p w14:paraId="5F7FE18F" w14:textId="77777777" w:rsidR="00A15C66" w:rsidRPr="00BF0294" w:rsidRDefault="00A15C66" w:rsidP="00BF0294">
      <w:pPr>
        <w:pStyle w:val="Puesto"/>
      </w:pPr>
      <w:r w:rsidRPr="00BF0294">
        <w:sym w:font="Symbol" w:char="F0B7"/>
      </w:r>
      <w:r w:rsidRPr="00BF0294">
        <w:t xml:space="preserve"> Desempeñar las atribuciones que confiere la Ley de Planeación del Estado de México y Municipios, así como otras disposiciones legales aplicables; </w:t>
      </w:r>
    </w:p>
    <w:p w14:paraId="526B1702" w14:textId="77777777" w:rsidR="00A15C66" w:rsidRPr="00BF0294" w:rsidRDefault="00A15C66" w:rsidP="00BF0294">
      <w:pPr>
        <w:pStyle w:val="Puesto"/>
      </w:pPr>
      <w:r w:rsidRPr="00BF0294">
        <w:sym w:font="Symbol" w:char="F0B7"/>
      </w:r>
      <w:r w:rsidRPr="00BF0294">
        <w:t xml:space="preserve"> </w:t>
      </w:r>
      <w:r w:rsidRPr="00BF0294">
        <w:rPr>
          <w:b/>
        </w:rPr>
        <w:t>Coordinar la integración del Presupuesto basado en Resultados Municipal (</w:t>
      </w:r>
      <w:proofErr w:type="spellStart"/>
      <w:r w:rsidRPr="00BF0294">
        <w:rPr>
          <w:b/>
        </w:rPr>
        <w:t>PbRM</w:t>
      </w:r>
      <w:proofErr w:type="spellEnd"/>
      <w:r w:rsidRPr="00BF0294">
        <w:rPr>
          <w:b/>
        </w:rPr>
        <w:t>), conjuntamente con la Tesorería y las unidades administrativas del Sistema Municipal para el Desarrollo Integral de la Familia de Coyotepec</w:t>
      </w:r>
      <w:r w:rsidRPr="00BF0294">
        <w:t xml:space="preserve">, asegurando la congruencia con los objetivos y metas establecidas en el Plan Estatal de Desarrollo y en el Plan de Desarrollo Municipal y sus programas, así como llevar a cabo su seguimiento periódico; </w:t>
      </w:r>
    </w:p>
    <w:p w14:paraId="687DB1F4" w14:textId="47FD1067" w:rsidR="00A15C66" w:rsidRPr="00BF0294" w:rsidRDefault="00A15C66" w:rsidP="00BF0294">
      <w:pPr>
        <w:pStyle w:val="Puesto"/>
      </w:pPr>
      <w:r w:rsidRPr="00BF0294">
        <w:sym w:font="Symbol" w:char="F0B7"/>
      </w:r>
      <w:r w:rsidRPr="00BF0294">
        <w:t xml:space="preserve"> Corroborar que los trabajos de programación de proyectos y acciones del presupuesto por programas, guarden total vinculación y congruencia con el Plan Estatal de Desarrollo y el Plan de Desarrollo Municipal;</w:t>
      </w:r>
    </w:p>
    <w:p w14:paraId="538EB2F9" w14:textId="6EECFC10" w:rsidR="00A15C66" w:rsidRPr="00BF0294" w:rsidRDefault="00A15C66" w:rsidP="00BF0294">
      <w:pPr>
        <w:pStyle w:val="Puesto"/>
      </w:pPr>
      <w:r w:rsidRPr="00BF0294">
        <w:t>…” Sic.</w:t>
      </w:r>
    </w:p>
    <w:p w14:paraId="7FB16FFC" w14:textId="77777777" w:rsidR="00B83109" w:rsidRPr="00BF0294" w:rsidRDefault="00B83109" w:rsidP="00BF0294">
      <w:pPr>
        <w:rPr>
          <w:bCs/>
          <w:iCs/>
        </w:rPr>
      </w:pPr>
    </w:p>
    <w:p w14:paraId="333B67B6" w14:textId="0F4A3EBC" w:rsidR="00E26587" w:rsidRPr="00BF0294" w:rsidRDefault="00B83109" w:rsidP="00BF0294">
      <w:pPr>
        <w:rPr>
          <w:bCs/>
          <w:iCs/>
        </w:rPr>
      </w:pPr>
      <w:r w:rsidRPr="00BF0294">
        <w:rPr>
          <w:bCs/>
          <w:iCs/>
        </w:rPr>
        <w:t>En consecuencia, se in</w:t>
      </w:r>
      <w:r w:rsidR="00E26587" w:rsidRPr="00BF0294">
        <w:rPr>
          <w:bCs/>
          <w:iCs/>
        </w:rPr>
        <w:t>cumplió con el procedimiento de búsqueda establecido en el artículo 162 de la Ley de la materia.</w:t>
      </w:r>
    </w:p>
    <w:p w14:paraId="05BCBF8C" w14:textId="77777777" w:rsidR="00B83109" w:rsidRPr="00BF0294" w:rsidRDefault="00B83109" w:rsidP="00BF0294">
      <w:pPr>
        <w:rPr>
          <w:bCs/>
          <w:iCs/>
        </w:rPr>
      </w:pPr>
    </w:p>
    <w:p w14:paraId="2313BA4E" w14:textId="6F579C7D" w:rsidR="00A15C66" w:rsidRPr="00BF0294" w:rsidRDefault="006718FD" w:rsidP="00BF0294">
      <w:pPr>
        <w:rPr>
          <w:b/>
          <w:bCs/>
          <w:iCs/>
        </w:rPr>
      </w:pPr>
      <w:r w:rsidRPr="00BF0294">
        <w:rPr>
          <w:bCs/>
          <w:iCs/>
        </w:rPr>
        <w:t>Por lo tanto</w:t>
      </w:r>
      <w:r w:rsidR="00A15C66" w:rsidRPr="00BF0294">
        <w:rPr>
          <w:bCs/>
          <w:iCs/>
        </w:rPr>
        <w:t xml:space="preserve">, y bajo los principios de certeza, eficacia y objetividad, establecidos en el artículo 9, de la Ley de Transparencia y Acceso a la Información Pública del Estado de México y Municipios, este Instituto como Órgano Garante determina que </w:t>
      </w:r>
      <w:r w:rsidR="00A15C66" w:rsidRPr="00BF0294">
        <w:rPr>
          <w:b/>
          <w:bCs/>
          <w:iCs/>
        </w:rPr>
        <w:t xml:space="preserve">EL SUJETO OBLIGADO </w:t>
      </w:r>
      <w:r w:rsidR="00A15C66" w:rsidRPr="00BF0294">
        <w:rPr>
          <w:bCs/>
          <w:iCs/>
        </w:rPr>
        <w:t xml:space="preserve">deberá realizar una nueva búsqueda exhaustiva y razonable de la información a efecto de que entregué </w:t>
      </w:r>
      <w:r w:rsidR="00A15C66" w:rsidRPr="00BF0294">
        <w:rPr>
          <w:b/>
          <w:bCs/>
          <w:iCs/>
        </w:rPr>
        <w:t xml:space="preserve">el o los documentos que den cuenta de lo peticionado, </w:t>
      </w:r>
      <w:r w:rsidR="00A15C66" w:rsidRPr="00BF0294">
        <w:rPr>
          <w:bCs/>
          <w:iCs/>
        </w:rPr>
        <w:t xml:space="preserve">en </w:t>
      </w:r>
      <w:r w:rsidR="00A15C66" w:rsidRPr="00BF0294">
        <w:rPr>
          <w:b/>
          <w:bCs/>
          <w:iCs/>
        </w:rPr>
        <w:t xml:space="preserve">versión pública </w:t>
      </w:r>
      <w:r w:rsidR="00A15C66" w:rsidRPr="00BF0294">
        <w:rPr>
          <w:bCs/>
          <w:iCs/>
        </w:rPr>
        <w:t>de ser procedente.</w:t>
      </w:r>
    </w:p>
    <w:p w14:paraId="52529630" w14:textId="77777777" w:rsidR="00E26587" w:rsidRPr="00BF0294" w:rsidRDefault="00E26587" w:rsidP="00BF0294"/>
    <w:p w14:paraId="14240718" w14:textId="3A828C6F" w:rsidR="005D57B7" w:rsidRPr="00BF0294" w:rsidRDefault="001121E3" w:rsidP="00BF0294">
      <w:pPr>
        <w:pStyle w:val="Ttulo3"/>
      </w:pPr>
      <w:bookmarkStart w:id="31" w:name="_Toc175085018"/>
      <w:bookmarkStart w:id="32" w:name="_Toc206617681"/>
      <w:r w:rsidRPr="00BF0294">
        <w:t>d</w:t>
      </w:r>
      <w:r w:rsidR="005D57B7" w:rsidRPr="00BF0294">
        <w:t>) Conclusión</w:t>
      </w:r>
      <w:bookmarkEnd w:id="31"/>
      <w:bookmarkEnd w:id="32"/>
    </w:p>
    <w:p w14:paraId="686E2ABB" w14:textId="425D2C5B" w:rsidR="00174162" w:rsidRPr="00BF0294" w:rsidRDefault="00174162" w:rsidP="00BF0294">
      <w:pPr>
        <w:widowControl w:val="0"/>
        <w:tabs>
          <w:tab w:val="left" w:pos="1701"/>
          <w:tab w:val="left" w:pos="1843"/>
        </w:tabs>
        <w:rPr>
          <w:rFonts w:eastAsia="Palatino Linotype" w:cs="Palatino Linotype"/>
        </w:rPr>
      </w:pPr>
      <w:bookmarkStart w:id="33" w:name="_Hlk165381027"/>
      <w:r w:rsidRPr="00BF0294">
        <w:rPr>
          <w:rFonts w:eastAsia="Palatino Linotype" w:cs="Palatino Linotype"/>
        </w:rPr>
        <w:t xml:space="preserve">En razón de lo anteriormente expuesto, este Instituto estima que las razones o motivos de inconformidad hechos valer por </w:t>
      </w:r>
      <w:r w:rsidRPr="00BF0294">
        <w:rPr>
          <w:rFonts w:eastAsia="Aptos" w:cs="Tahoma"/>
          <w:b/>
          <w:iCs/>
          <w:szCs w:val="22"/>
          <w:lang w:eastAsia="en-US"/>
        </w:rPr>
        <w:t>LA PARTE RECURRENTE</w:t>
      </w:r>
      <w:r w:rsidRPr="00BF0294">
        <w:rPr>
          <w:rFonts w:eastAsia="Aptos" w:cs="Tahoma"/>
          <w:bCs/>
          <w:iCs/>
          <w:szCs w:val="22"/>
          <w:lang w:eastAsia="en-US"/>
        </w:rPr>
        <w:t xml:space="preserve"> </w:t>
      </w:r>
      <w:r w:rsidRPr="00BF0294">
        <w:rPr>
          <w:rFonts w:eastAsia="Palatino Linotype" w:cs="Palatino Linotype"/>
        </w:rPr>
        <w:t xml:space="preserve">devienen </w:t>
      </w:r>
      <w:r w:rsidRPr="00BF0294">
        <w:rPr>
          <w:rFonts w:eastAsia="Palatino Linotype" w:cs="Palatino Linotype"/>
          <w:b/>
        </w:rPr>
        <w:t>fundadas</w:t>
      </w:r>
      <w:r w:rsidRPr="00BF0294">
        <w:rPr>
          <w:rFonts w:eastAsia="Palatino Linotype" w:cs="Palatino Linotype"/>
        </w:rPr>
        <w:t xml:space="preserve"> y suficientes </w:t>
      </w:r>
      <w:r w:rsidRPr="00BF0294">
        <w:rPr>
          <w:rFonts w:eastAsia="Palatino Linotype" w:cs="Palatino Linotype"/>
        </w:rPr>
        <w:lastRenderedPageBreak/>
        <w:t xml:space="preserve">para </w:t>
      </w:r>
      <w:r w:rsidR="009749EB" w:rsidRPr="00BF0294">
        <w:rPr>
          <w:rFonts w:eastAsia="Palatino Linotype" w:cs="Palatino Linotype"/>
          <w:b/>
        </w:rPr>
        <w:t>REVOCAR</w:t>
      </w:r>
      <w:r w:rsidRPr="00BF0294">
        <w:rPr>
          <w:rFonts w:eastAsia="Palatino Linotype" w:cs="Palatino Linotype"/>
        </w:rPr>
        <w:t xml:space="preserve"> la respuesta del </w:t>
      </w:r>
      <w:r w:rsidRPr="00BF0294">
        <w:rPr>
          <w:rFonts w:eastAsia="Palatino Linotype" w:cs="Palatino Linotype"/>
          <w:b/>
        </w:rPr>
        <w:t>SUJETO OBLIGADO</w:t>
      </w:r>
      <w:r w:rsidRPr="00BF0294">
        <w:rPr>
          <w:rFonts w:eastAsia="Palatino Linotype" w:cs="Palatino Linotype"/>
        </w:rPr>
        <w:t xml:space="preserve"> y ordenarle haga entrega de la información descrita en el presente Considerando.</w:t>
      </w:r>
    </w:p>
    <w:p w14:paraId="656A3A6C" w14:textId="77777777" w:rsidR="00174162" w:rsidRPr="00BF0294" w:rsidRDefault="00174162" w:rsidP="00BF0294">
      <w:pPr>
        <w:ind w:right="-93"/>
        <w:rPr>
          <w:rFonts w:cs="Tahoma"/>
          <w:bCs/>
          <w:szCs w:val="22"/>
        </w:rPr>
      </w:pPr>
    </w:p>
    <w:bookmarkEnd w:id="33"/>
    <w:p w14:paraId="1A031716" w14:textId="77777777" w:rsidR="003E750D" w:rsidRPr="00BF0294" w:rsidRDefault="003E750D" w:rsidP="00BF0294">
      <w:pPr>
        <w:ind w:right="-93"/>
      </w:pPr>
      <w:r w:rsidRPr="00BF0294">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C13D1A0" w14:textId="77777777" w:rsidR="00BD5A7C" w:rsidRPr="00BF0294" w:rsidRDefault="00BD5A7C" w:rsidP="00BF0294"/>
    <w:p w14:paraId="5C396097" w14:textId="684A0E4F" w:rsidR="00664420" w:rsidRPr="00BF0294" w:rsidRDefault="00664420" w:rsidP="00BF0294">
      <w:pPr>
        <w:pStyle w:val="Ttulo1"/>
      </w:pPr>
      <w:bookmarkStart w:id="34" w:name="_Toc206617682"/>
      <w:r w:rsidRPr="00BF0294">
        <w:t>RESUELVE</w:t>
      </w:r>
      <w:bookmarkEnd w:id="34"/>
    </w:p>
    <w:p w14:paraId="203B7093" w14:textId="77777777" w:rsidR="00664420" w:rsidRPr="00BF0294" w:rsidRDefault="00664420" w:rsidP="00BF0294">
      <w:pPr>
        <w:ind w:right="113"/>
        <w:rPr>
          <w:rFonts w:cs="Arial"/>
          <w:b/>
          <w:szCs w:val="22"/>
        </w:rPr>
      </w:pPr>
    </w:p>
    <w:p w14:paraId="430D9700" w14:textId="672F12C6" w:rsidR="00174162" w:rsidRPr="00BF0294" w:rsidRDefault="00174162" w:rsidP="00BF0294">
      <w:pPr>
        <w:widowControl w:val="0"/>
        <w:rPr>
          <w:rFonts w:eastAsia="Calibri" w:cs="Tahoma"/>
          <w:bCs/>
          <w:szCs w:val="22"/>
          <w:lang w:eastAsia="en-US"/>
        </w:rPr>
      </w:pPr>
      <w:r w:rsidRPr="00BF0294">
        <w:rPr>
          <w:b/>
          <w:bCs/>
        </w:rPr>
        <w:t>PRIMERO.</w:t>
      </w:r>
      <w:r w:rsidRPr="00BF0294">
        <w:t xml:space="preserve"> </w:t>
      </w:r>
      <w:r w:rsidRPr="00BF0294">
        <w:rPr>
          <w:rFonts w:cs="Tahoma"/>
          <w:szCs w:val="22"/>
        </w:rPr>
        <w:t xml:space="preserve">Se </w:t>
      </w:r>
      <w:r w:rsidR="009749EB" w:rsidRPr="00BF0294">
        <w:rPr>
          <w:rFonts w:cs="Tahoma"/>
          <w:b/>
          <w:bCs/>
          <w:szCs w:val="22"/>
        </w:rPr>
        <w:t>REVOCA</w:t>
      </w:r>
      <w:r w:rsidRPr="00BF0294">
        <w:rPr>
          <w:rFonts w:cs="Tahoma"/>
          <w:szCs w:val="22"/>
        </w:rPr>
        <w:t xml:space="preserve"> la respuesta entregada por el </w:t>
      </w:r>
      <w:r w:rsidRPr="00BF0294">
        <w:rPr>
          <w:rFonts w:cs="Tahoma"/>
          <w:b/>
          <w:bCs/>
          <w:szCs w:val="22"/>
        </w:rPr>
        <w:t>SUJETO OBLIGADO</w:t>
      </w:r>
      <w:r w:rsidRPr="00BF0294">
        <w:rPr>
          <w:rFonts w:cs="Tahoma"/>
          <w:szCs w:val="22"/>
        </w:rPr>
        <w:t xml:space="preserve"> en la solicitud de información </w:t>
      </w:r>
      <w:r w:rsidR="00EE2B24" w:rsidRPr="00BF0294">
        <w:rPr>
          <w:rFonts w:cs="Tahoma"/>
          <w:b/>
          <w:bCs/>
          <w:szCs w:val="22"/>
        </w:rPr>
        <w:t>00018/DIFCOYOTEPEC/IP/2025</w:t>
      </w:r>
      <w:r w:rsidRPr="00BF0294">
        <w:rPr>
          <w:rFonts w:eastAsia="Palatino Linotype"/>
          <w:b/>
          <w:szCs w:val="22"/>
        </w:rPr>
        <w:t>,</w:t>
      </w:r>
      <w:r w:rsidRPr="00BF0294">
        <w:rPr>
          <w:rFonts w:cs="Tahoma"/>
          <w:bCs/>
          <w:szCs w:val="22"/>
        </w:rPr>
        <w:t xml:space="preserve"> </w:t>
      </w:r>
      <w:r w:rsidRPr="00BF0294">
        <w:rPr>
          <w:rFonts w:eastAsia="Calibri" w:cs="Tahoma"/>
          <w:bCs/>
          <w:szCs w:val="22"/>
          <w:lang w:eastAsia="en-US"/>
        </w:rPr>
        <w:t xml:space="preserve">por resultar </w:t>
      </w:r>
      <w:r w:rsidRPr="00BF0294">
        <w:rPr>
          <w:rFonts w:eastAsia="Calibri" w:cs="Tahoma"/>
          <w:b/>
          <w:bCs/>
          <w:szCs w:val="22"/>
          <w:lang w:eastAsia="en-US"/>
        </w:rPr>
        <w:t>FUNDADAS</w:t>
      </w:r>
      <w:r w:rsidRPr="00BF0294">
        <w:rPr>
          <w:rFonts w:eastAsia="Calibri" w:cs="Tahoma"/>
          <w:bCs/>
          <w:szCs w:val="22"/>
          <w:lang w:eastAsia="en-US"/>
        </w:rPr>
        <w:t xml:space="preserve"> las razones o motivos de inconformidad hechos valer por </w:t>
      </w:r>
      <w:r w:rsidRPr="00BF0294">
        <w:rPr>
          <w:rFonts w:eastAsia="Calibri" w:cs="Tahoma"/>
          <w:b/>
          <w:szCs w:val="22"/>
          <w:lang w:eastAsia="en-US"/>
        </w:rPr>
        <w:t>LA PARTE RECURRENTE</w:t>
      </w:r>
      <w:r w:rsidRPr="00BF0294">
        <w:rPr>
          <w:rFonts w:eastAsia="Calibri" w:cs="Tahoma"/>
          <w:bCs/>
          <w:szCs w:val="22"/>
          <w:lang w:eastAsia="en-US"/>
        </w:rPr>
        <w:t xml:space="preserve"> en el Recurso de Revisión </w:t>
      </w:r>
      <w:r w:rsidR="00EE2B24" w:rsidRPr="00BF0294">
        <w:rPr>
          <w:rFonts w:eastAsia="Calibri"/>
          <w:b/>
          <w:lang w:eastAsia="en-US"/>
        </w:rPr>
        <w:t>08002/INFOEM/IP/RR/2025</w:t>
      </w:r>
      <w:r w:rsidRPr="00BF0294">
        <w:rPr>
          <w:rFonts w:eastAsiaTheme="minorHAnsi" w:cstheme="minorBidi"/>
          <w:szCs w:val="22"/>
          <w:lang w:eastAsia="en-US"/>
        </w:rPr>
        <w:t>,</w:t>
      </w:r>
      <w:r w:rsidRPr="00BF0294">
        <w:rPr>
          <w:rFonts w:cs="Tahoma"/>
          <w:b/>
          <w:szCs w:val="22"/>
        </w:rPr>
        <w:t xml:space="preserve"> </w:t>
      </w:r>
      <w:r w:rsidRPr="00BF0294">
        <w:rPr>
          <w:rFonts w:eastAsia="Calibri" w:cs="Tahoma"/>
          <w:bCs/>
          <w:szCs w:val="22"/>
          <w:lang w:eastAsia="en-US"/>
        </w:rPr>
        <w:t xml:space="preserve">en términos del considerando </w:t>
      </w:r>
      <w:r w:rsidRPr="00BF0294">
        <w:rPr>
          <w:rFonts w:eastAsia="Calibri" w:cs="Tahoma"/>
          <w:b/>
          <w:szCs w:val="22"/>
          <w:lang w:eastAsia="en-US"/>
        </w:rPr>
        <w:t>SEGUNDO</w:t>
      </w:r>
      <w:r w:rsidRPr="00BF0294">
        <w:rPr>
          <w:rFonts w:eastAsia="Calibri" w:cs="Tahoma"/>
          <w:bCs/>
          <w:szCs w:val="22"/>
          <w:lang w:eastAsia="en-US"/>
        </w:rPr>
        <w:t xml:space="preserve"> de la presente Resolución.</w:t>
      </w:r>
    </w:p>
    <w:p w14:paraId="7B66B01E" w14:textId="77777777" w:rsidR="00174162" w:rsidRPr="00BF0294" w:rsidRDefault="00174162" w:rsidP="00BF0294">
      <w:pPr>
        <w:rPr>
          <w:rFonts w:eastAsia="Palatino Linotype"/>
          <w:b/>
          <w:szCs w:val="22"/>
        </w:rPr>
      </w:pPr>
    </w:p>
    <w:p w14:paraId="2D7F55ED" w14:textId="007900A5" w:rsidR="00174162" w:rsidRPr="00BF0294" w:rsidRDefault="00174162" w:rsidP="00BF0294">
      <w:pPr>
        <w:ind w:right="-93"/>
        <w:rPr>
          <w:rFonts w:eastAsia="Calibri" w:cs="Tahoma"/>
          <w:bCs/>
          <w:szCs w:val="22"/>
          <w:lang w:eastAsia="en-US"/>
        </w:rPr>
      </w:pPr>
      <w:r w:rsidRPr="00BF0294">
        <w:rPr>
          <w:rFonts w:eastAsia="Calibri" w:cs="Tahoma"/>
          <w:b/>
          <w:bCs/>
          <w:szCs w:val="22"/>
          <w:lang w:eastAsia="en-US"/>
        </w:rPr>
        <w:t>SEGUNDO.</w:t>
      </w:r>
      <w:r w:rsidRPr="00BF0294">
        <w:rPr>
          <w:rFonts w:eastAsia="Calibri" w:cs="Tahoma"/>
          <w:szCs w:val="22"/>
          <w:lang w:eastAsia="es-MX"/>
        </w:rPr>
        <w:t xml:space="preserve"> Se </w:t>
      </w:r>
      <w:r w:rsidRPr="00BF0294">
        <w:rPr>
          <w:rFonts w:eastAsia="Calibri" w:cs="Tahoma"/>
          <w:b/>
          <w:szCs w:val="22"/>
          <w:lang w:eastAsia="es-MX"/>
        </w:rPr>
        <w:t xml:space="preserve">ORDENA </w:t>
      </w:r>
      <w:r w:rsidRPr="00BF0294">
        <w:rPr>
          <w:rFonts w:eastAsia="Calibri" w:cs="Tahoma"/>
          <w:szCs w:val="22"/>
          <w:lang w:eastAsia="es-MX"/>
        </w:rPr>
        <w:t xml:space="preserve">al </w:t>
      </w:r>
      <w:r w:rsidRPr="00BF0294">
        <w:rPr>
          <w:rFonts w:eastAsia="Calibri" w:cs="Tahoma"/>
          <w:b/>
          <w:bCs/>
          <w:szCs w:val="22"/>
          <w:lang w:eastAsia="es-MX"/>
        </w:rPr>
        <w:t>SUJETO OBLIGADO</w:t>
      </w:r>
      <w:r w:rsidRPr="00BF0294">
        <w:rPr>
          <w:rFonts w:eastAsia="Calibri" w:cs="Tahoma"/>
          <w:szCs w:val="22"/>
          <w:lang w:eastAsia="es-MX"/>
        </w:rPr>
        <w:t xml:space="preserve">, </w:t>
      </w:r>
      <w:r w:rsidRPr="00BF0294">
        <w:rPr>
          <w:rFonts w:eastAsia="Calibri" w:cs="Tahoma"/>
          <w:bCs/>
          <w:szCs w:val="22"/>
          <w:lang w:eastAsia="en-US"/>
        </w:rPr>
        <w:t xml:space="preserve">a efecto de que entregue </w:t>
      </w:r>
      <w:r w:rsidR="006718FD" w:rsidRPr="00BF0294">
        <w:rPr>
          <w:rFonts w:eastAsia="Calibri" w:cs="Tahoma"/>
          <w:bCs/>
          <w:szCs w:val="22"/>
          <w:lang w:eastAsia="en-US"/>
        </w:rPr>
        <w:t xml:space="preserve">previa búsqueda exhaustiva y razonable </w:t>
      </w:r>
      <w:r w:rsidRPr="00BF0294">
        <w:rPr>
          <w:rFonts w:eastAsia="Calibri" w:cs="Tahoma"/>
          <w:bCs/>
          <w:szCs w:val="22"/>
          <w:lang w:eastAsia="en-US"/>
        </w:rPr>
        <w:t xml:space="preserve">a través del </w:t>
      </w:r>
      <w:r w:rsidRPr="00BF0294">
        <w:rPr>
          <w:rFonts w:eastAsia="Calibri" w:cs="Tahoma"/>
          <w:b/>
          <w:bCs/>
          <w:szCs w:val="22"/>
          <w:lang w:eastAsia="en-US"/>
        </w:rPr>
        <w:t>SAIMEX</w:t>
      </w:r>
      <w:r w:rsidRPr="00BF0294">
        <w:rPr>
          <w:rFonts w:eastAsia="Calibri" w:cs="Tahoma"/>
          <w:bCs/>
          <w:szCs w:val="22"/>
          <w:lang w:eastAsia="en-US"/>
        </w:rPr>
        <w:t>, lo siguiente:</w:t>
      </w:r>
    </w:p>
    <w:p w14:paraId="091035A6" w14:textId="77777777" w:rsidR="00174162" w:rsidRPr="00BF0294" w:rsidRDefault="00174162" w:rsidP="00BF0294">
      <w:pPr>
        <w:rPr>
          <w:rFonts w:eastAsia="Palatino Linotype"/>
          <w:b/>
          <w:szCs w:val="22"/>
        </w:rPr>
      </w:pPr>
    </w:p>
    <w:p w14:paraId="03AD1C39" w14:textId="166D3D54" w:rsidR="000F361C" w:rsidRPr="00BF0294" w:rsidRDefault="006718FD" w:rsidP="00BF0294">
      <w:pPr>
        <w:pStyle w:val="Puesto"/>
        <w:spacing w:line="276" w:lineRule="auto"/>
      </w:pPr>
      <w:r w:rsidRPr="00BF0294">
        <w:t xml:space="preserve">Los </w:t>
      </w:r>
      <w:proofErr w:type="spellStart"/>
      <w:r w:rsidRPr="00BF0294">
        <w:t>PbRM</w:t>
      </w:r>
      <w:proofErr w:type="spellEnd"/>
      <w:r w:rsidRPr="00BF0294">
        <w:t>,</w:t>
      </w:r>
      <w:r w:rsidR="00F76349" w:rsidRPr="00BF0294">
        <w:t xml:space="preserve"> </w:t>
      </w:r>
      <w:r w:rsidR="00EF29AB" w:rsidRPr="00BF0294">
        <w:t>de</w:t>
      </w:r>
      <w:r w:rsidR="00F76349" w:rsidRPr="00BF0294">
        <w:t xml:space="preserve"> los </w:t>
      </w:r>
      <w:r w:rsidRPr="00BF0294">
        <w:t>ejercicios fiscales 2023 y 2024.</w:t>
      </w:r>
    </w:p>
    <w:p w14:paraId="70804392" w14:textId="77777777" w:rsidR="000F361C" w:rsidRPr="00BF0294" w:rsidRDefault="000F361C" w:rsidP="00BF0294">
      <w:pPr>
        <w:pStyle w:val="Puesto"/>
        <w:spacing w:line="276" w:lineRule="auto"/>
      </w:pPr>
    </w:p>
    <w:p w14:paraId="13022A62" w14:textId="44401D3D" w:rsidR="00174162" w:rsidRPr="00BF0294" w:rsidRDefault="00FC204C" w:rsidP="00BF0294">
      <w:pPr>
        <w:ind w:right="-93"/>
        <w:rPr>
          <w:rFonts w:eastAsia="Calibri" w:cs="Tahoma"/>
          <w:bCs/>
          <w:szCs w:val="22"/>
          <w:lang w:eastAsia="en-US"/>
        </w:rPr>
      </w:pPr>
      <w:r w:rsidRPr="00BF0294">
        <w:rPr>
          <w:rFonts w:eastAsia="Calibri" w:cs="Tahoma"/>
          <w:bCs/>
          <w:szCs w:val="22"/>
          <w:lang w:eastAsia="en-US"/>
        </w:rPr>
        <w:t>Para las</w:t>
      </w:r>
      <w:r w:rsidR="00174162" w:rsidRPr="00BF0294">
        <w:rPr>
          <w:rFonts w:eastAsia="Calibri" w:cs="Tahoma"/>
          <w:bCs/>
          <w:szCs w:val="22"/>
          <w:lang w:eastAsia="en-US"/>
        </w:rPr>
        <w:t xml:space="preserve"> </w:t>
      </w:r>
      <w:r w:rsidR="00174162" w:rsidRPr="00BF0294">
        <w:rPr>
          <w:rFonts w:eastAsia="Palatino Linotype" w:cs="Palatino Linotype"/>
          <w:szCs w:val="22"/>
        </w:rPr>
        <w:t>versiones</w:t>
      </w:r>
      <w:r w:rsidR="00174162" w:rsidRPr="00BF0294">
        <w:rPr>
          <w:rFonts w:eastAsia="Calibri" w:cs="Tahoma"/>
          <w:bCs/>
          <w:szCs w:val="22"/>
          <w:lang w:eastAsia="en-US"/>
        </w:rPr>
        <w:t xml:space="preserve">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553610CB" w14:textId="77777777" w:rsidR="00174162" w:rsidRPr="00BF0294" w:rsidRDefault="00174162" w:rsidP="00BF0294">
      <w:r w:rsidRPr="00BF0294">
        <w:rPr>
          <w:b/>
          <w:bCs/>
        </w:rPr>
        <w:lastRenderedPageBreak/>
        <w:t>TERCERO.</w:t>
      </w:r>
      <w:r w:rsidRPr="00BF0294">
        <w:t xml:space="preserve"> </w:t>
      </w:r>
      <w:r w:rsidRPr="00BF0294">
        <w:rPr>
          <w:rFonts w:eastAsia="Palatino Linotype" w:cs="Palatino Linotype"/>
          <w:b/>
          <w:lang w:eastAsia="es-MX"/>
        </w:rPr>
        <w:t xml:space="preserve">Notifíquese </w:t>
      </w:r>
      <w:r w:rsidRPr="00BF0294">
        <w:rPr>
          <w:szCs w:val="17"/>
          <w:lang w:eastAsia="es-ES_tradnl"/>
        </w:rPr>
        <w:t xml:space="preserve">vía </w:t>
      </w:r>
      <w:r w:rsidRPr="00BF0294">
        <w:rPr>
          <w:rFonts w:cs="Arial"/>
        </w:rPr>
        <w:t>Sistema de Acceso a la Información Mexiquense (</w:t>
      </w:r>
      <w:r w:rsidRPr="00BF0294">
        <w:rPr>
          <w:rFonts w:cs="Arial"/>
          <w:b/>
          <w:bCs/>
        </w:rPr>
        <w:t>SAIMEX)</w:t>
      </w:r>
      <w:r w:rsidRPr="00BF0294">
        <w:rPr>
          <w:shd w:val="clear" w:color="auto" w:fill="FFFFFF"/>
        </w:rPr>
        <w:t xml:space="preserve"> la presente resolución al Titular de la Unidad de Transparencia del Sujeto Obligado</w:t>
      </w:r>
      <w:r w:rsidRPr="00BF0294">
        <w:t xml:space="preserve">, para que conforme al artículo 186 último párrafo, 189 segundo párrafo y 194 de la Ley de Transparencia y Acceso a la Información Pública del Estado de México y Municipios, dé cumplimiento a lo ordenado dentro del plazo de </w:t>
      </w:r>
      <w:r w:rsidRPr="00BF0294">
        <w:rPr>
          <w:b/>
          <w:bCs/>
        </w:rPr>
        <w:t>diez días hábiles</w:t>
      </w:r>
      <w:r w:rsidRPr="00BF0294">
        <w:t xml:space="preserve">, e informe a este Instituto en un plazo de </w:t>
      </w:r>
      <w:r w:rsidRPr="00BF0294">
        <w:rPr>
          <w:b/>
          <w:bCs/>
        </w:rPr>
        <w:t>tres días hábiles</w:t>
      </w:r>
      <w:r w:rsidRPr="00BF0294">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62F1A89" w14:textId="77777777" w:rsidR="00174162" w:rsidRPr="00BF0294" w:rsidRDefault="00174162" w:rsidP="00BF0294"/>
    <w:p w14:paraId="2819A4A1" w14:textId="77777777" w:rsidR="00174162" w:rsidRPr="00BF0294" w:rsidRDefault="00174162" w:rsidP="00BF0294">
      <w:r w:rsidRPr="00BF0294">
        <w:rPr>
          <w:b/>
          <w:bCs/>
        </w:rPr>
        <w:t>CUARTO.</w:t>
      </w:r>
      <w:r w:rsidRPr="00BF0294">
        <w:t xml:space="preserve"> Notifíquese a </w:t>
      </w:r>
      <w:r w:rsidRPr="00BF0294">
        <w:rPr>
          <w:b/>
          <w:bCs/>
        </w:rPr>
        <w:t>LA PARTE RECURRENTE</w:t>
      </w:r>
      <w:r w:rsidRPr="00BF0294">
        <w:t xml:space="preserve"> la presente resolución vía Sistema de Acceso a la Información Mexiquense (SAIMEX).</w:t>
      </w:r>
    </w:p>
    <w:p w14:paraId="7ACD8A6E" w14:textId="77777777" w:rsidR="00174162" w:rsidRPr="00BF0294" w:rsidRDefault="00174162" w:rsidP="00BF0294"/>
    <w:p w14:paraId="0645C586" w14:textId="77777777" w:rsidR="009749EB" w:rsidRPr="00BF0294" w:rsidRDefault="00174162" w:rsidP="00BF0294">
      <w:r w:rsidRPr="00BF0294">
        <w:rPr>
          <w:b/>
          <w:bCs/>
        </w:rPr>
        <w:t>QUINTO</w:t>
      </w:r>
      <w:r w:rsidRPr="00BF0294">
        <w:t xml:space="preserve">. </w:t>
      </w:r>
      <w:r w:rsidR="009749EB" w:rsidRPr="00BF0294">
        <w:t xml:space="preserve">Hágase del conocimiento a </w:t>
      </w:r>
      <w:r w:rsidR="009749EB" w:rsidRPr="00BF0294">
        <w:rPr>
          <w:b/>
          <w:bCs/>
        </w:rPr>
        <w:t>LA PARTE RECURRENTE</w:t>
      </w:r>
      <w:r w:rsidR="009749EB" w:rsidRPr="00BF0294">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6261153" w14:textId="3DB76452" w:rsidR="00965647" w:rsidRPr="00BF0294" w:rsidRDefault="00965647" w:rsidP="00BF0294">
      <w:pPr>
        <w:widowControl w:val="0"/>
        <w:autoSpaceDE w:val="0"/>
        <w:autoSpaceDN w:val="0"/>
        <w:adjustRightInd w:val="0"/>
      </w:pPr>
    </w:p>
    <w:p w14:paraId="67241870" w14:textId="4F7C3FE3" w:rsidR="00174162" w:rsidRDefault="00174162" w:rsidP="00BF0294">
      <w:r w:rsidRPr="00BF0294">
        <w:rPr>
          <w:b/>
          <w:bCs/>
        </w:rPr>
        <w:t>SEXTO.</w:t>
      </w:r>
      <w:r w:rsidRPr="00BF0294">
        <w:t xml:space="preserve"> De conformidad con el artículo 198 de la Ley de Transparencia y Acceso a la Información Pública del Estado de México y Municipios, el </w:t>
      </w:r>
      <w:r w:rsidRPr="00BF0294">
        <w:rPr>
          <w:b/>
          <w:bCs/>
        </w:rPr>
        <w:t>SUJETO OBLIGADO</w:t>
      </w:r>
      <w:r w:rsidRPr="00BF0294">
        <w:t xml:space="preserve"> podrá solicitar una ampliación de plazo de manera fundada y motivada, para el cumplimiento de la presente resolución.</w:t>
      </w:r>
    </w:p>
    <w:p w14:paraId="212D739C" w14:textId="77777777" w:rsidR="00CC6C2F" w:rsidRDefault="00CC6C2F" w:rsidP="00BF0294">
      <w:bookmarkStart w:id="35" w:name="_GoBack"/>
      <w:bookmarkEnd w:id="35"/>
    </w:p>
    <w:p w14:paraId="6CABD72F" w14:textId="77777777" w:rsidR="00BF0294" w:rsidRPr="00BF0294" w:rsidRDefault="00BF0294" w:rsidP="00BF0294"/>
    <w:p w14:paraId="379D976B" w14:textId="524B0FC1" w:rsidR="000F361C" w:rsidRPr="00BF0294" w:rsidRDefault="008A66C4" w:rsidP="00BF0294">
      <w:pPr>
        <w:rPr>
          <w:rFonts w:eastAsia="Palatino Linotype" w:cs="Palatino Linotype"/>
          <w:szCs w:val="22"/>
        </w:rPr>
      </w:pPr>
      <w:r w:rsidRPr="00BF0294">
        <w:lastRenderedPageBreak/>
        <w:t>ASÍ LO RESUELVE, POR UNANIMIDAD DE VOTOS EL PLENO DEL INSTITUTO DE TRANSPARENCIA, ACCESO A LA INFORMACIÓN PÚBLICA Y PROTECCIÓN DE DATOS PERSONALES DEL ESTADO DE MÉXICO Y MUNICIPIOS, CONFORMADO POR LOS COMISIONADOS JOSÉ MARTÍNEZ VILCHIS (AUSENCIA JUSTIFICADA), MARÍA DEL ROSARIO MEJÍA AYALA, SHARON CRISTINA MORALES MARTÍNEZ, LUIS GUSTAVO PARRA NORIEGA Y GUADALUPE RAMÍREZ PEÑA, EN LA VIGÉSIMA NOVENA SESIÓN ORDINARIA, CELEBRADA EL VEINTE DE AGOSTO DE DOS MIL VEINTICINCO, ANTE EL SECRETARIO TÉCNICO DEL PLENO, ALEXIS TAPIA RAMÍREZ</w:t>
      </w:r>
      <w:r w:rsidR="000F361C" w:rsidRPr="00BF0294">
        <w:rPr>
          <w:rFonts w:eastAsia="Palatino Linotype" w:cs="Palatino Linotype"/>
          <w:szCs w:val="22"/>
        </w:rPr>
        <w:t>.</w:t>
      </w:r>
    </w:p>
    <w:p w14:paraId="64E59AFC" w14:textId="0DFEC403" w:rsidR="00D85CEA" w:rsidRPr="00BF0294" w:rsidRDefault="009C04A8" w:rsidP="00BF0294">
      <w:pPr>
        <w:ind w:right="-93"/>
        <w:rPr>
          <w:rFonts w:eastAsia="Palatino Linotype" w:cs="Palatino Linotype"/>
          <w:sz w:val="20"/>
        </w:rPr>
      </w:pPr>
      <w:r w:rsidRPr="00BF0294">
        <w:rPr>
          <w:rFonts w:eastAsia="Palatino Linotype" w:cs="Palatino Linotype"/>
          <w:sz w:val="20"/>
        </w:rPr>
        <w:t>SCMM/AGZ/DEMF/</w:t>
      </w:r>
      <w:r w:rsidR="00F2553E" w:rsidRPr="00BF0294">
        <w:rPr>
          <w:rFonts w:eastAsia="Palatino Linotype" w:cs="Palatino Linotype"/>
          <w:sz w:val="20"/>
        </w:rPr>
        <w:t>PAG</w:t>
      </w:r>
    </w:p>
    <w:p w14:paraId="1DA361E5" w14:textId="77777777" w:rsidR="00D85CEA" w:rsidRPr="00BF0294" w:rsidRDefault="00D85CEA" w:rsidP="00BF0294">
      <w:pPr>
        <w:spacing w:after="160" w:line="259" w:lineRule="auto"/>
        <w:jc w:val="left"/>
        <w:rPr>
          <w:rFonts w:eastAsia="Palatino Linotype" w:cs="Palatino Linotype"/>
          <w:sz w:val="20"/>
        </w:rPr>
      </w:pPr>
      <w:r w:rsidRPr="00BF0294">
        <w:rPr>
          <w:rFonts w:eastAsia="Palatino Linotype" w:cs="Palatino Linotype"/>
          <w:sz w:val="20"/>
        </w:rPr>
        <w:br w:type="page"/>
      </w:r>
    </w:p>
    <w:p w14:paraId="2D425474" w14:textId="77777777" w:rsidR="009C04A8" w:rsidRPr="00BF0294" w:rsidRDefault="009C04A8" w:rsidP="00BF0294">
      <w:pPr>
        <w:ind w:right="-93"/>
        <w:rPr>
          <w:rFonts w:eastAsia="Calibri" w:cs="Tahoma"/>
          <w:szCs w:val="22"/>
          <w:lang w:val="es-ES"/>
        </w:rPr>
      </w:pPr>
    </w:p>
    <w:p w14:paraId="696BC976" w14:textId="77777777" w:rsidR="00664420" w:rsidRPr="00BF0294" w:rsidRDefault="00664420" w:rsidP="00BF0294">
      <w:pPr>
        <w:ind w:right="-93"/>
        <w:rPr>
          <w:rFonts w:eastAsia="Calibri" w:cs="Tahoma"/>
          <w:bCs/>
          <w:szCs w:val="22"/>
          <w:lang w:val="es-ES" w:eastAsia="en-US"/>
        </w:rPr>
      </w:pPr>
    </w:p>
    <w:p w14:paraId="671CB0C5" w14:textId="77777777" w:rsidR="00664420" w:rsidRPr="00BF0294" w:rsidRDefault="00664420" w:rsidP="00BF0294">
      <w:pPr>
        <w:ind w:right="-93"/>
        <w:rPr>
          <w:rFonts w:eastAsia="Calibri" w:cs="Tahoma"/>
          <w:bCs/>
          <w:szCs w:val="22"/>
          <w:lang w:val="es-ES_tradnl" w:eastAsia="en-US"/>
        </w:rPr>
      </w:pPr>
    </w:p>
    <w:p w14:paraId="6FDF3D7E" w14:textId="77777777" w:rsidR="00664420" w:rsidRPr="00BF0294" w:rsidRDefault="00664420" w:rsidP="00BF0294">
      <w:pPr>
        <w:tabs>
          <w:tab w:val="center" w:pos="4568"/>
        </w:tabs>
        <w:ind w:right="-93"/>
        <w:rPr>
          <w:rFonts w:eastAsia="Calibri" w:cs="Tahoma"/>
          <w:bCs/>
          <w:szCs w:val="22"/>
          <w:lang w:eastAsia="en-US"/>
        </w:rPr>
      </w:pPr>
    </w:p>
    <w:p w14:paraId="6246F818" w14:textId="77777777" w:rsidR="00664420" w:rsidRPr="00BF0294" w:rsidRDefault="00664420" w:rsidP="00BF0294">
      <w:pPr>
        <w:tabs>
          <w:tab w:val="center" w:pos="4568"/>
        </w:tabs>
        <w:ind w:right="-93"/>
        <w:rPr>
          <w:rFonts w:eastAsia="Calibri" w:cs="Tahoma"/>
          <w:bCs/>
          <w:szCs w:val="22"/>
          <w:lang w:eastAsia="en-US"/>
        </w:rPr>
      </w:pPr>
    </w:p>
    <w:p w14:paraId="57A88B28" w14:textId="77777777" w:rsidR="00664420" w:rsidRPr="00BF0294" w:rsidRDefault="00664420" w:rsidP="00BF0294">
      <w:pPr>
        <w:tabs>
          <w:tab w:val="center" w:pos="4568"/>
        </w:tabs>
        <w:ind w:right="-93"/>
        <w:rPr>
          <w:rFonts w:eastAsia="Calibri" w:cs="Tahoma"/>
          <w:bCs/>
          <w:szCs w:val="22"/>
          <w:lang w:eastAsia="en-US"/>
        </w:rPr>
      </w:pPr>
    </w:p>
    <w:p w14:paraId="77EF6095" w14:textId="77777777" w:rsidR="00664420" w:rsidRPr="00BF0294" w:rsidRDefault="00664420" w:rsidP="00BF0294">
      <w:pPr>
        <w:tabs>
          <w:tab w:val="center" w:pos="4568"/>
        </w:tabs>
        <w:ind w:right="-93"/>
        <w:rPr>
          <w:rFonts w:eastAsia="Calibri" w:cs="Tahoma"/>
          <w:bCs/>
          <w:szCs w:val="22"/>
          <w:lang w:eastAsia="en-US"/>
        </w:rPr>
      </w:pPr>
    </w:p>
    <w:p w14:paraId="35593947" w14:textId="77777777" w:rsidR="00664420" w:rsidRPr="00BF0294" w:rsidRDefault="00664420" w:rsidP="00BF0294">
      <w:pPr>
        <w:tabs>
          <w:tab w:val="center" w:pos="4568"/>
        </w:tabs>
        <w:ind w:right="-93"/>
        <w:rPr>
          <w:rFonts w:eastAsia="Calibri" w:cs="Tahoma"/>
          <w:bCs/>
          <w:szCs w:val="22"/>
          <w:lang w:eastAsia="en-US"/>
        </w:rPr>
      </w:pPr>
    </w:p>
    <w:p w14:paraId="3AF72A17" w14:textId="77777777" w:rsidR="00664420" w:rsidRPr="00BF0294" w:rsidRDefault="00664420" w:rsidP="00BF0294">
      <w:pPr>
        <w:tabs>
          <w:tab w:val="center" w:pos="4568"/>
        </w:tabs>
        <w:ind w:right="-93"/>
        <w:rPr>
          <w:rFonts w:eastAsia="Calibri" w:cs="Tahoma"/>
          <w:bCs/>
          <w:szCs w:val="22"/>
          <w:lang w:eastAsia="en-US"/>
        </w:rPr>
      </w:pPr>
    </w:p>
    <w:p w14:paraId="37169144" w14:textId="77777777" w:rsidR="00664420" w:rsidRPr="00BF0294" w:rsidRDefault="00664420" w:rsidP="00BF0294">
      <w:pPr>
        <w:tabs>
          <w:tab w:val="center" w:pos="4568"/>
        </w:tabs>
        <w:ind w:right="-93"/>
        <w:rPr>
          <w:rFonts w:eastAsia="Calibri" w:cs="Tahoma"/>
          <w:bCs/>
          <w:szCs w:val="22"/>
          <w:lang w:eastAsia="en-US"/>
        </w:rPr>
      </w:pPr>
    </w:p>
    <w:p w14:paraId="77CFC088" w14:textId="77777777" w:rsidR="00664420" w:rsidRPr="00BF0294" w:rsidRDefault="00664420" w:rsidP="00BF0294">
      <w:pPr>
        <w:tabs>
          <w:tab w:val="center" w:pos="4568"/>
        </w:tabs>
        <w:ind w:right="-93"/>
        <w:rPr>
          <w:rFonts w:eastAsia="Calibri" w:cs="Tahoma"/>
          <w:bCs/>
          <w:szCs w:val="22"/>
          <w:lang w:eastAsia="en-US"/>
        </w:rPr>
      </w:pPr>
    </w:p>
    <w:p w14:paraId="781A11A5" w14:textId="77777777" w:rsidR="00664420" w:rsidRPr="00BF0294" w:rsidRDefault="00664420" w:rsidP="00BF0294">
      <w:pPr>
        <w:tabs>
          <w:tab w:val="center" w:pos="4568"/>
        </w:tabs>
        <w:ind w:right="-93"/>
        <w:rPr>
          <w:rFonts w:eastAsia="Calibri" w:cs="Tahoma"/>
          <w:bCs/>
          <w:szCs w:val="22"/>
          <w:lang w:eastAsia="en-US"/>
        </w:rPr>
      </w:pPr>
    </w:p>
    <w:p w14:paraId="5B4ADFF3" w14:textId="77777777" w:rsidR="00A131AC" w:rsidRPr="00BF0294" w:rsidRDefault="00A131AC" w:rsidP="00BF0294"/>
    <w:sectPr w:rsidR="00A131AC" w:rsidRPr="00BF0294" w:rsidSect="00EE2AF2">
      <w:footerReference w:type="default" r:id="rId16"/>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E7658" w14:textId="77777777" w:rsidR="00D920C1" w:rsidRDefault="00D920C1" w:rsidP="00664420">
      <w:pPr>
        <w:spacing w:line="240" w:lineRule="auto"/>
      </w:pPr>
      <w:r>
        <w:separator/>
      </w:r>
    </w:p>
  </w:endnote>
  <w:endnote w:type="continuationSeparator" w:id="0">
    <w:p w14:paraId="6AF4F4AD" w14:textId="77777777" w:rsidR="00D920C1" w:rsidRDefault="00D920C1"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3343AB" w:rsidRDefault="003343AB">
    <w:pPr>
      <w:tabs>
        <w:tab w:val="center" w:pos="4550"/>
        <w:tab w:val="left" w:pos="5818"/>
      </w:tabs>
      <w:ind w:right="260"/>
      <w:jc w:val="right"/>
      <w:rPr>
        <w:color w:val="071320" w:themeColor="text2" w:themeShade="80"/>
        <w:sz w:val="24"/>
        <w:szCs w:val="24"/>
      </w:rPr>
    </w:pPr>
  </w:p>
  <w:p w14:paraId="1BCA7F23" w14:textId="77777777" w:rsidR="003343AB" w:rsidRDefault="003343A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19DDF2BA" w:rsidR="003343AB" w:rsidRDefault="003343AB">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CC6C2F" w:rsidRPr="00CC6C2F">
      <w:rPr>
        <w:noProof/>
        <w:color w:val="0A1D30" w:themeColor="text2" w:themeShade="BF"/>
        <w:sz w:val="24"/>
        <w:szCs w:val="24"/>
        <w:lang w:val="es-ES"/>
      </w:rPr>
      <w:t>23</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CC6C2F" w:rsidRPr="00CC6C2F">
      <w:rPr>
        <w:noProof/>
        <w:color w:val="0A1D30" w:themeColor="text2" w:themeShade="BF"/>
        <w:sz w:val="24"/>
        <w:szCs w:val="24"/>
        <w:lang w:val="es-ES"/>
      </w:rPr>
      <w:t>26</w:t>
    </w:r>
    <w:r>
      <w:rPr>
        <w:color w:val="0A1D30" w:themeColor="text2" w:themeShade="BF"/>
        <w:sz w:val="24"/>
        <w:szCs w:val="24"/>
      </w:rPr>
      <w:fldChar w:fldCharType="end"/>
    </w:r>
  </w:p>
  <w:p w14:paraId="310E15C0" w14:textId="77777777" w:rsidR="003343AB" w:rsidRDefault="003343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D2798" w14:textId="77777777" w:rsidR="00D920C1" w:rsidRDefault="00D920C1" w:rsidP="00664420">
      <w:pPr>
        <w:spacing w:line="240" w:lineRule="auto"/>
      </w:pPr>
      <w:r>
        <w:separator/>
      </w:r>
    </w:p>
  </w:footnote>
  <w:footnote w:type="continuationSeparator" w:id="0">
    <w:p w14:paraId="3B1AFD6B" w14:textId="77777777" w:rsidR="00D920C1" w:rsidRDefault="00D920C1"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3343AB" w:rsidRPr="00330DA7" w14:paraId="070A4B18" w14:textId="77777777" w:rsidTr="003F35FD">
      <w:trPr>
        <w:trHeight w:val="144"/>
        <w:jc w:val="right"/>
      </w:trPr>
      <w:tc>
        <w:tcPr>
          <w:tcW w:w="2727" w:type="dxa"/>
        </w:tcPr>
        <w:p w14:paraId="62B7493A" w14:textId="77777777" w:rsidR="003343AB" w:rsidRPr="00330DA7" w:rsidRDefault="003343AB"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74570B8C" w:rsidR="003343AB" w:rsidRPr="00A90C72" w:rsidRDefault="00EE2B24" w:rsidP="007630AF">
          <w:pPr>
            <w:tabs>
              <w:tab w:val="right" w:pos="8838"/>
            </w:tabs>
            <w:spacing w:line="240" w:lineRule="auto"/>
            <w:ind w:left="-74" w:right="-105"/>
            <w:rPr>
              <w:rFonts w:eastAsia="Calibri" w:cs="Tahoma"/>
              <w:szCs w:val="22"/>
              <w:lang w:eastAsia="en-US"/>
            </w:rPr>
          </w:pPr>
          <w:r w:rsidRPr="00EE2B24">
            <w:rPr>
              <w:rFonts w:eastAsia="Calibri" w:cs="Tahoma"/>
              <w:szCs w:val="22"/>
              <w:lang w:eastAsia="en-US"/>
            </w:rPr>
            <w:t>08002/INFOEM/IP/RR/2025</w:t>
          </w:r>
        </w:p>
      </w:tc>
    </w:tr>
    <w:tr w:rsidR="003343AB" w:rsidRPr="00330DA7" w14:paraId="4521E058" w14:textId="77777777" w:rsidTr="003F35FD">
      <w:trPr>
        <w:trHeight w:val="283"/>
        <w:jc w:val="right"/>
      </w:trPr>
      <w:tc>
        <w:tcPr>
          <w:tcW w:w="2727" w:type="dxa"/>
        </w:tcPr>
        <w:p w14:paraId="0B68C086" w14:textId="77777777" w:rsidR="003343AB" w:rsidRPr="00330DA7" w:rsidRDefault="003343AB"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3F8A7E43" w:rsidR="003343AB" w:rsidRPr="009233A1" w:rsidRDefault="005278B2" w:rsidP="005278B2">
          <w:pPr>
            <w:tabs>
              <w:tab w:val="right" w:pos="8838"/>
            </w:tabs>
            <w:spacing w:line="240" w:lineRule="auto"/>
            <w:ind w:left="-74" w:right="-105"/>
            <w:rPr>
              <w:rFonts w:eastAsia="Calibri" w:cs="Tahoma"/>
              <w:szCs w:val="22"/>
              <w:lang w:val="es-MX" w:eastAsia="en-US"/>
            </w:rPr>
          </w:pPr>
          <w:r w:rsidRPr="005278B2">
            <w:rPr>
              <w:rFonts w:eastAsia="Calibri" w:cs="Tahoma"/>
              <w:szCs w:val="22"/>
              <w:lang w:eastAsia="en-US"/>
            </w:rPr>
            <w:t>Sistema Municipal para el Desarrollo Integral de la Familia de Coyotepec</w:t>
          </w:r>
        </w:p>
      </w:tc>
    </w:tr>
    <w:tr w:rsidR="003343AB" w:rsidRPr="00330DA7" w14:paraId="6331D9B6" w14:textId="77777777" w:rsidTr="003F35FD">
      <w:trPr>
        <w:trHeight w:val="283"/>
        <w:jc w:val="right"/>
      </w:trPr>
      <w:tc>
        <w:tcPr>
          <w:tcW w:w="2727" w:type="dxa"/>
        </w:tcPr>
        <w:p w14:paraId="3FA86BAE" w14:textId="6568823B" w:rsidR="003343AB" w:rsidRPr="00330DA7" w:rsidRDefault="003343AB"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3343AB" w:rsidRPr="00EA66FC" w:rsidRDefault="003343AB"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3343AB" w:rsidRPr="00443C6B" w:rsidRDefault="003343AB"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3343AB" w:rsidRPr="00330DA7" w14:paraId="29CFF901" w14:textId="77777777" w:rsidTr="004D0573">
      <w:trPr>
        <w:trHeight w:val="1435"/>
      </w:trPr>
      <w:tc>
        <w:tcPr>
          <w:tcW w:w="283" w:type="dxa"/>
        </w:tcPr>
        <w:p w14:paraId="046B9F8F" w14:textId="77777777" w:rsidR="003343AB" w:rsidRPr="00330DA7" w:rsidRDefault="003343AB" w:rsidP="004D0573">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3343AB" w:rsidRPr="00330DA7" w14:paraId="04F272D2" w14:textId="77777777" w:rsidTr="004D0573">
            <w:trPr>
              <w:trHeight w:val="144"/>
            </w:trPr>
            <w:tc>
              <w:tcPr>
                <w:tcW w:w="2727" w:type="dxa"/>
              </w:tcPr>
              <w:p w14:paraId="2FD4DBF6" w14:textId="77777777" w:rsidR="003343AB" w:rsidRPr="00330DA7" w:rsidRDefault="003343AB"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004AC08C" w:rsidR="003343AB" w:rsidRPr="004D0573" w:rsidRDefault="00CC6C2F" w:rsidP="007630AF">
                <w:pPr>
                  <w:tabs>
                    <w:tab w:val="right" w:pos="8838"/>
                  </w:tabs>
                  <w:spacing w:line="240" w:lineRule="auto"/>
                  <w:ind w:left="-74" w:right="-105"/>
                  <w:rPr>
                    <w:rFonts w:eastAsia="Calibri" w:cs="Tahoma"/>
                    <w:szCs w:val="22"/>
                    <w:lang w:eastAsia="en-US"/>
                  </w:rPr>
                </w:pPr>
                <w:hyperlink r:id="rId1" w:tgtFrame="_blank" w:history="1">
                  <w:r w:rsidR="00EE2B24" w:rsidRPr="00EE2B24">
                    <w:rPr>
                      <w:rFonts w:eastAsiaTheme="majorEastAsia"/>
                      <w:lang w:eastAsia="en-US"/>
                    </w:rPr>
                    <w:t>08002/INFOEM/IP/RR/2025</w:t>
                  </w:r>
                </w:hyperlink>
              </w:p>
            </w:tc>
            <w:tc>
              <w:tcPr>
                <w:tcW w:w="3402" w:type="dxa"/>
              </w:tcPr>
              <w:p w14:paraId="71DEA1CF" w14:textId="77777777" w:rsidR="003343AB" w:rsidRDefault="003343AB" w:rsidP="004D0573">
                <w:pPr>
                  <w:tabs>
                    <w:tab w:val="right" w:pos="8838"/>
                  </w:tabs>
                  <w:spacing w:line="240" w:lineRule="auto"/>
                  <w:ind w:left="-74" w:right="-105"/>
                  <w:rPr>
                    <w:rFonts w:eastAsia="Calibri" w:cs="Tahoma"/>
                    <w:szCs w:val="22"/>
                    <w:lang w:eastAsia="en-US"/>
                  </w:rPr>
                </w:pPr>
              </w:p>
            </w:tc>
          </w:tr>
          <w:tr w:rsidR="003343AB" w:rsidRPr="00330DA7" w14:paraId="05C58951" w14:textId="77777777" w:rsidTr="004D0573">
            <w:trPr>
              <w:trHeight w:val="144"/>
            </w:trPr>
            <w:tc>
              <w:tcPr>
                <w:tcW w:w="2727" w:type="dxa"/>
              </w:tcPr>
              <w:p w14:paraId="642B9610" w14:textId="77777777" w:rsidR="003343AB" w:rsidRPr="00330DA7" w:rsidRDefault="003343AB"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7B8D34AF" w:rsidR="003343AB" w:rsidRPr="0086345C" w:rsidRDefault="003343AB" w:rsidP="00EE2B24">
                <w:pPr>
                  <w:tabs>
                    <w:tab w:val="right" w:pos="8838"/>
                  </w:tabs>
                  <w:spacing w:line="240" w:lineRule="auto"/>
                  <w:ind w:right="-105"/>
                  <w:rPr>
                    <w:rFonts w:ascii="Arial" w:hAnsi="Arial" w:cs="Arial"/>
                    <w:b/>
                    <w:bCs/>
                    <w:sz w:val="15"/>
                    <w:szCs w:val="15"/>
                    <w:lang w:eastAsia="es-MX"/>
                  </w:rPr>
                </w:pPr>
              </w:p>
            </w:tc>
            <w:tc>
              <w:tcPr>
                <w:tcW w:w="3402" w:type="dxa"/>
              </w:tcPr>
              <w:p w14:paraId="73F47F53" w14:textId="77777777" w:rsidR="003343AB" w:rsidRPr="005F19B1" w:rsidRDefault="003343AB" w:rsidP="004D0573">
                <w:pPr>
                  <w:tabs>
                    <w:tab w:val="left" w:pos="3122"/>
                    <w:tab w:val="right" w:pos="8838"/>
                  </w:tabs>
                  <w:spacing w:line="240" w:lineRule="auto"/>
                  <w:ind w:left="-105" w:right="-105"/>
                  <w:rPr>
                    <w:rFonts w:eastAsia="Calibri" w:cs="Tahoma"/>
                    <w:szCs w:val="22"/>
                    <w:lang w:eastAsia="en-US"/>
                  </w:rPr>
                </w:pPr>
              </w:p>
            </w:tc>
          </w:tr>
          <w:bookmarkEnd w:id="1"/>
          <w:tr w:rsidR="003343AB" w:rsidRPr="00330DA7" w14:paraId="00E6CDC1" w14:textId="77777777" w:rsidTr="004D0573">
            <w:trPr>
              <w:trHeight w:val="283"/>
            </w:trPr>
            <w:tc>
              <w:tcPr>
                <w:tcW w:w="2727" w:type="dxa"/>
              </w:tcPr>
              <w:p w14:paraId="0631AD24" w14:textId="77777777" w:rsidR="003343AB" w:rsidRPr="00330DA7" w:rsidRDefault="003343AB"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7C55E6C6" w:rsidR="003343AB" w:rsidRPr="004D0573" w:rsidRDefault="005278B2" w:rsidP="005278B2">
                <w:pPr>
                  <w:tabs>
                    <w:tab w:val="right" w:pos="8838"/>
                  </w:tabs>
                  <w:spacing w:line="240" w:lineRule="auto"/>
                  <w:ind w:left="-74" w:right="-105"/>
                  <w:rPr>
                    <w:rFonts w:eastAsia="Calibri" w:cs="Tahoma"/>
                    <w:szCs w:val="22"/>
                    <w:lang w:eastAsia="en-US"/>
                  </w:rPr>
                </w:pPr>
                <w:r w:rsidRPr="005278B2">
                  <w:rPr>
                    <w:rFonts w:eastAsia="Calibri" w:cs="Tahoma"/>
                    <w:szCs w:val="22"/>
                    <w:lang w:eastAsia="en-US"/>
                  </w:rPr>
                  <w:t>Sistema Municipal para el Desarrollo Integral de la Familia de Coyotepec</w:t>
                </w:r>
              </w:p>
            </w:tc>
            <w:tc>
              <w:tcPr>
                <w:tcW w:w="3402" w:type="dxa"/>
              </w:tcPr>
              <w:p w14:paraId="3A7DA319" w14:textId="77777777" w:rsidR="003343AB" w:rsidRPr="00A90C72" w:rsidRDefault="003343AB" w:rsidP="004D0573">
                <w:pPr>
                  <w:tabs>
                    <w:tab w:val="left" w:pos="2834"/>
                    <w:tab w:val="right" w:pos="8838"/>
                  </w:tabs>
                  <w:spacing w:line="240" w:lineRule="auto"/>
                  <w:ind w:left="-108" w:right="-105"/>
                  <w:rPr>
                    <w:rFonts w:eastAsia="Calibri" w:cs="Tahoma"/>
                    <w:szCs w:val="22"/>
                    <w:lang w:eastAsia="en-US"/>
                  </w:rPr>
                </w:pPr>
              </w:p>
            </w:tc>
          </w:tr>
          <w:tr w:rsidR="003343AB" w:rsidRPr="00330DA7" w14:paraId="0F6CD8D2" w14:textId="77777777" w:rsidTr="004D0573">
            <w:trPr>
              <w:trHeight w:val="283"/>
            </w:trPr>
            <w:tc>
              <w:tcPr>
                <w:tcW w:w="2727" w:type="dxa"/>
              </w:tcPr>
              <w:p w14:paraId="31700628" w14:textId="0565A62A" w:rsidR="003343AB" w:rsidRPr="00330DA7" w:rsidRDefault="003343AB"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3343AB" w:rsidRPr="00EA66FC" w:rsidRDefault="003343AB"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3343AB" w:rsidRPr="00330DA7" w:rsidRDefault="003343AB" w:rsidP="004D0573">
                <w:pPr>
                  <w:tabs>
                    <w:tab w:val="right" w:pos="8838"/>
                  </w:tabs>
                  <w:spacing w:line="240" w:lineRule="auto"/>
                  <w:ind w:left="-108" w:right="-105"/>
                  <w:rPr>
                    <w:rFonts w:eastAsia="Calibri" w:cs="Tahoma"/>
                    <w:szCs w:val="22"/>
                    <w:lang w:eastAsia="en-US"/>
                  </w:rPr>
                </w:pPr>
              </w:p>
            </w:tc>
          </w:tr>
        </w:tbl>
        <w:p w14:paraId="5DC6AC61" w14:textId="77777777" w:rsidR="003343AB" w:rsidRPr="00330DA7" w:rsidRDefault="003343AB" w:rsidP="004D0573">
          <w:pPr>
            <w:tabs>
              <w:tab w:val="right" w:pos="8838"/>
            </w:tabs>
            <w:ind w:left="-28"/>
            <w:rPr>
              <w:rFonts w:ascii="Arial" w:eastAsia="Calibri" w:hAnsi="Arial" w:cs="Arial"/>
              <w:b/>
              <w:szCs w:val="22"/>
              <w:lang w:eastAsia="en-US"/>
            </w:rPr>
          </w:pPr>
        </w:p>
      </w:tc>
    </w:tr>
  </w:tbl>
  <w:p w14:paraId="2A906731" w14:textId="77777777" w:rsidR="003343AB" w:rsidRPr="00765661" w:rsidRDefault="00CC6C2F"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63.65pt;margin-top:-120.1pt;width:663.5pt;height:12in;z-index:-251658240;mso-position-horizontal-relative:margin;mso-position-vertical-relative:margin" o:allowincell="f">
          <v:imagedata r:id="rId2"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0764"/>
    <w:multiLevelType w:val="hybridMultilevel"/>
    <w:tmpl w:val="5FB03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895E36"/>
    <w:multiLevelType w:val="hybridMultilevel"/>
    <w:tmpl w:val="7EE6D9CC"/>
    <w:lvl w:ilvl="0" w:tplc="E9749F0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692489E"/>
    <w:multiLevelType w:val="hybridMultilevel"/>
    <w:tmpl w:val="25FEE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E445EA"/>
    <w:multiLevelType w:val="hybridMultilevel"/>
    <w:tmpl w:val="FF0AB8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5B5ADA"/>
    <w:multiLevelType w:val="hybridMultilevel"/>
    <w:tmpl w:val="D2F221C2"/>
    <w:lvl w:ilvl="0" w:tplc="2CFACA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01085C"/>
    <w:multiLevelType w:val="hybridMultilevel"/>
    <w:tmpl w:val="E44A7E52"/>
    <w:lvl w:ilvl="0" w:tplc="76925A62">
      <w:start w:val="3"/>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1372416D"/>
    <w:multiLevelType w:val="hybridMultilevel"/>
    <w:tmpl w:val="630E9B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7873997"/>
    <w:multiLevelType w:val="hybridMultilevel"/>
    <w:tmpl w:val="29DEA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82576B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6F07FC8"/>
    <w:multiLevelType w:val="hybridMultilevel"/>
    <w:tmpl w:val="DC147C0C"/>
    <w:lvl w:ilvl="0" w:tplc="A11E9D8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B836BEB"/>
    <w:multiLevelType w:val="hybridMultilevel"/>
    <w:tmpl w:val="DB468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20" w15:restartNumberingAfterBreak="0">
    <w:nsid w:val="2F8B248C"/>
    <w:multiLevelType w:val="hybridMultilevel"/>
    <w:tmpl w:val="C90EA4A8"/>
    <w:lvl w:ilvl="0" w:tplc="FC8E8AEA">
      <w:start w:val="5"/>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2FBC09D3"/>
    <w:multiLevelType w:val="hybridMultilevel"/>
    <w:tmpl w:val="273209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364D61D6"/>
    <w:multiLevelType w:val="hybridMultilevel"/>
    <w:tmpl w:val="24ECE5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6505F52"/>
    <w:multiLevelType w:val="hybridMultilevel"/>
    <w:tmpl w:val="DF124E32"/>
    <w:lvl w:ilvl="0" w:tplc="55D64F7C">
      <w:start w:val="1"/>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368836B5"/>
    <w:multiLevelType w:val="hybridMultilevel"/>
    <w:tmpl w:val="FA5074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3E686CF0"/>
    <w:multiLevelType w:val="hybridMultilevel"/>
    <w:tmpl w:val="E7DEEB72"/>
    <w:lvl w:ilvl="0" w:tplc="603EB54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3392404"/>
    <w:multiLevelType w:val="hybridMultilevel"/>
    <w:tmpl w:val="CFAED8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1A7A2B"/>
    <w:multiLevelType w:val="hybridMultilevel"/>
    <w:tmpl w:val="5C2A3934"/>
    <w:lvl w:ilvl="0" w:tplc="1E4EDDE0">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4F1655D6"/>
    <w:multiLevelType w:val="hybridMultilevel"/>
    <w:tmpl w:val="73D08D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08A1054"/>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15E5374"/>
    <w:multiLevelType w:val="hybridMultilevel"/>
    <w:tmpl w:val="908E1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7" w15:restartNumberingAfterBreak="0">
    <w:nsid w:val="5E96691E"/>
    <w:multiLevelType w:val="hybridMultilevel"/>
    <w:tmpl w:val="BE88E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07C313B"/>
    <w:multiLevelType w:val="hybridMultilevel"/>
    <w:tmpl w:val="B282C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5AC4A4F"/>
    <w:multiLevelType w:val="hybridMultilevel"/>
    <w:tmpl w:val="204A1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CFC3F8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14418C1"/>
    <w:multiLevelType w:val="hybridMultilevel"/>
    <w:tmpl w:val="8D847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807745F"/>
    <w:multiLevelType w:val="hybridMultilevel"/>
    <w:tmpl w:val="7FCC4A6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94A5A73"/>
    <w:multiLevelType w:val="hybridMultilevel"/>
    <w:tmpl w:val="637E3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9BC6BB8"/>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7"/>
  </w:num>
  <w:num w:numId="2">
    <w:abstractNumId w:val="32"/>
  </w:num>
  <w:num w:numId="3">
    <w:abstractNumId w:val="42"/>
  </w:num>
  <w:num w:numId="4">
    <w:abstractNumId w:val="14"/>
  </w:num>
  <w:num w:numId="5">
    <w:abstractNumId w:val="6"/>
  </w:num>
  <w:num w:numId="6">
    <w:abstractNumId w:val="45"/>
  </w:num>
  <w:num w:numId="7">
    <w:abstractNumId w:val="29"/>
  </w:num>
  <w:num w:numId="8">
    <w:abstractNumId w:val="12"/>
  </w:num>
  <w:num w:numId="9">
    <w:abstractNumId w:val="28"/>
  </w:num>
  <w:num w:numId="10">
    <w:abstractNumId w:val="19"/>
    <w:lvlOverride w:ilvl="0">
      <w:startOverride w:val="1"/>
    </w:lvlOverride>
    <w:lvlOverride w:ilvl="1"/>
    <w:lvlOverride w:ilvl="2"/>
    <w:lvlOverride w:ilvl="3"/>
    <w:lvlOverride w:ilvl="4"/>
    <w:lvlOverride w:ilvl="5"/>
    <w:lvlOverride w:ilvl="6"/>
    <w:lvlOverride w:ilvl="7"/>
    <w:lvlOverride w:ilvl="8"/>
  </w:num>
  <w:num w:numId="11">
    <w:abstractNumId w:val="19"/>
  </w:num>
  <w:num w:numId="12">
    <w:abstractNumId w:val="17"/>
  </w:num>
  <w:num w:numId="13">
    <w:abstractNumId w:val="4"/>
  </w:num>
  <w:num w:numId="14">
    <w:abstractNumId w:val="11"/>
  </w:num>
  <w:num w:numId="15">
    <w:abstractNumId w:val="30"/>
  </w:num>
  <w:num w:numId="16">
    <w:abstractNumId w:val="40"/>
  </w:num>
  <w:num w:numId="17">
    <w:abstractNumId w:val="39"/>
  </w:num>
  <w:num w:numId="18">
    <w:abstractNumId w:val="9"/>
  </w:num>
  <w:num w:numId="19">
    <w:abstractNumId w:val="7"/>
  </w:num>
  <w:num w:numId="20">
    <w:abstractNumId w:val="47"/>
  </w:num>
  <w:num w:numId="21">
    <w:abstractNumId w:val="10"/>
  </w:num>
  <w:num w:numId="22">
    <w:abstractNumId w:val="34"/>
  </w:num>
  <w:num w:numId="23">
    <w:abstractNumId w:val="41"/>
  </w:num>
  <w:num w:numId="24">
    <w:abstractNumId w:val="15"/>
  </w:num>
  <w:num w:numId="25">
    <w:abstractNumId w:val="13"/>
  </w:num>
  <w:num w:numId="26">
    <w:abstractNumId w:val="2"/>
  </w:num>
  <w:num w:numId="27">
    <w:abstractNumId w:val="3"/>
  </w:num>
  <w:num w:numId="28">
    <w:abstractNumId w:val="21"/>
  </w:num>
  <w:num w:numId="29">
    <w:abstractNumId w:val="31"/>
  </w:num>
  <w:num w:numId="30">
    <w:abstractNumId w:val="8"/>
  </w:num>
  <w:num w:numId="31">
    <w:abstractNumId w:val="18"/>
  </w:num>
  <w:num w:numId="32">
    <w:abstractNumId w:val="16"/>
  </w:num>
  <w:num w:numId="33">
    <w:abstractNumId w:val="43"/>
  </w:num>
  <w:num w:numId="34">
    <w:abstractNumId w:val="38"/>
  </w:num>
  <w:num w:numId="35">
    <w:abstractNumId w:val="26"/>
  </w:num>
  <w:num w:numId="36">
    <w:abstractNumId w:val="23"/>
  </w:num>
  <w:num w:numId="37">
    <w:abstractNumId w:val="24"/>
  </w:num>
  <w:num w:numId="38">
    <w:abstractNumId w:val="35"/>
  </w:num>
  <w:num w:numId="39">
    <w:abstractNumId w:val="1"/>
  </w:num>
  <w:num w:numId="40">
    <w:abstractNumId w:val="37"/>
  </w:num>
  <w:num w:numId="41">
    <w:abstractNumId w:val="44"/>
  </w:num>
  <w:num w:numId="42">
    <w:abstractNumId w:val="5"/>
  </w:num>
  <w:num w:numId="43">
    <w:abstractNumId w:val="22"/>
  </w:num>
  <w:num w:numId="44">
    <w:abstractNumId w:val="46"/>
  </w:num>
  <w:num w:numId="45">
    <w:abstractNumId w:val="48"/>
  </w:num>
  <w:num w:numId="46">
    <w:abstractNumId w:val="36"/>
  </w:num>
  <w:num w:numId="47">
    <w:abstractNumId w:val="25"/>
  </w:num>
  <w:num w:numId="48">
    <w:abstractNumId w:val="33"/>
  </w:num>
  <w:num w:numId="49">
    <w:abstractNumId w:val="20"/>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12CD0"/>
    <w:rsid w:val="0002630F"/>
    <w:rsid w:val="000318BC"/>
    <w:rsid w:val="00033156"/>
    <w:rsid w:val="00042FBB"/>
    <w:rsid w:val="00057B2D"/>
    <w:rsid w:val="000611E4"/>
    <w:rsid w:val="00065518"/>
    <w:rsid w:val="000777E2"/>
    <w:rsid w:val="00080071"/>
    <w:rsid w:val="00082FF4"/>
    <w:rsid w:val="000838BF"/>
    <w:rsid w:val="000A03B3"/>
    <w:rsid w:val="000A0798"/>
    <w:rsid w:val="000A3BA5"/>
    <w:rsid w:val="000A4FDA"/>
    <w:rsid w:val="000B6FF0"/>
    <w:rsid w:val="000C3BBA"/>
    <w:rsid w:val="000D0D67"/>
    <w:rsid w:val="000E09C4"/>
    <w:rsid w:val="000E23B9"/>
    <w:rsid w:val="000F32E8"/>
    <w:rsid w:val="000F361C"/>
    <w:rsid w:val="000F46F7"/>
    <w:rsid w:val="00103C8A"/>
    <w:rsid w:val="00107F71"/>
    <w:rsid w:val="001121E3"/>
    <w:rsid w:val="0011350D"/>
    <w:rsid w:val="001144FB"/>
    <w:rsid w:val="00117DDB"/>
    <w:rsid w:val="00127130"/>
    <w:rsid w:val="00135056"/>
    <w:rsid w:val="00141876"/>
    <w:rsid w:val="0014207B"/>
    <w:rsid w:val="00150C49"/>
    <w:rsid w:val="00153140"/>
    <w:rsid w:val="00157173"/>
    <w:rsid w:val="00170CF5"/>
    <w:rsid w:val="001734D5"/>
    <w:rsid w:val="00174162"/>
    <w:rsid w:val="00185C7C"/>
    <w:rsid w:val="001878E5"/>
    <w:rsid w:val="001A58B3"/>
    <w:rsid w:val="001A6A2C"/>
    <w:rsid w:val="001C555C"/>
    <w:rsid w:val="001C62F7"/>
    <w:rsid w:val="001C6BE2"/>
    <w:rsid w:val="001C7688"/>
    <w:rsid w:val="001D0BF3"/>
    <w:rsid w:val="001D2464"/>
    <w:rsid w:val="001D5BAD"/>
    <w:rsid w:val="001E0916"/>
    <w:rsid w:val="001E0CFD"/>
    <w:rsid w:val="001F329F"/>
    <w:rsid w:val="001F3515"/>
    <w:rsid w:val="002015AE"/>
    <w:rsid w:val="00211F42"/>
    <w:rsid w:val="00232CBA"/>
    <w:rsid w:val="00233005"/>
    <w:rsid w:val="00233F17"/>
    <w:rsid w:val="0023534F"/>
    <w:rsid w:val="00237120"/>
    <w:rsid w:val="00240234"/>
    <w:rsid w:val="00244D6B"/>
    <w:rsid w:val="00245D19"/>
    <w:rsid w:val="002553CD"/>
    <w:rsid w:val="00293D29"/>
    <w:rsid w:val="002958FA"/>
    <w:rsid w:val="002961A6"/>
    <w:rsid w:val="002961B5"/>
    <w:rsid w:val="0029641C"/>
    <w:rsid w:val="002A3601"/>
    <w:rsid w:val="002B0D19"/>
    <w:rsid w:val="002B1D44"/>
    <w:rsid w:val="002B4ED6"/>
    <w:rsid w:val="002B7BED"/>
    <w:rsid w:val="002B7C6F"/>
    <w:rsid w:val="002D111C"/>
    <w:rsid w:val="002E18F0"/>
    <w:rsid w:val="002F6393"/>
    <w:rsid w:val="00302476"/>
    <w:rsid w:val="00303B21"/>
    <w:rsid w:val="00304C8C"/>
    <w:rsid w:val="00306C07"/>
    <w:rsid w:val="00327203"/>
    <w:rsid w:val="00331F35"/>
    <w:rsid w:val="003343AB"/>
    <w:rsid w:val="00335CDF"/>
    <w:rsid w:val="00341E94"/>
    <w:rsid w:val="00346BC2"/>
    <w:rsid w:val="00354E5E"/>
    <w:rsid w:val="003617B6"/>
    <w:rsid w:val="00362A11"/>
    <w:rsid w:val="003772F9"/>
    <w:rsid w:val="0038356C"/>
    <w:rsid w:val="00385BC5"/>
    <w:rsid w:val="00386CD1"/>
    <w:rsid w:val="003872A2"/>
    <w:rsid w:val="00392B32"/>
    <w:rsid w:val="00395BF8"/>
    <w:rsid w:val="003A2659"/>
    <w:rsid w:val="003A3A7E"/>
    <w:rsid w:val="003A40C1"/>
    <w:rsid w:val="003A67CC"/>
    <w:rsid w:val="003B0255"/>
    <w:rsid w:val="003B0AEC"/>
    <w:rsid w:val="003B1E90"/>
    <w:rsid w:val="003B2486"/>
    <w:rsid w:val="003B5D3E"/>
    <w:rsid w:val="003D5A19"/>
    <w:rsid w:val="003E750D"/>
    <w:rsid w:val="003F28CD"/>
    <w:rsid w:val="003F35FD"/>
    <w:rsid w:val="003F4455"/>
    <w:rsid w:val="0041385B"/>
    <w:rsid w:val="00416357"/>
    <w:rsid w:val="00430170"/>
    <w:rsid w:val="0043654A"/>
    <w:rsid w:val="00441BFA"/>
    <w:rsid w:val="00446958"/>
    <w:rsid w:val="00454FBD"/>
    <w:rsid w:val="004565C2"/>
    <w:rsid w:val="00462338"/>
    <w:rsid w:val="00475FF6"/>
    <w:rsid w:val="00477B29"/>
    <w:rsid w:val="004A02BC"/>
    <w:rsid w:val="004A4241"/>
    <w:rsid w:val="004B001B"/>
    <w:rsid w:val="004B689A"/>
    <w:rsid w:val="004C1963"/>
    <w:rsid w:val="004C40FB"/>
    <w:rsid w:val="004C43D3"/>
    <w:rsid w:val="004D0573"/>
    <w:rsid w:val="004D0BA4"/>
    <w:rsid w:val="004D7CD8"/>
    <w:rsid w:val="004E2939"/>
    <w:rsid w:val="004E5068"/>
    <w:rsid w:val="004F7A00"/>
    <w:rsid w:val="00505B3D"/>
    <w:rsid w:val="005122DD"/>
    <w:rsid w:val="00522385"/>
    <w:rsid w:val="00523E60"/>
    <w:rsid w:val="00523F48"/>
    <w:rsid w:val="005267CD"/>
    <w:rsid w:val="005278B2"/>
    <w:rsid w:val="005365FA"/>
    <w:rsid w:val="00536C50"/>
    <w:rsid w:val="005432B1"/>
    <w:rsid w:val="00550AB5"/>
    <w:rsid w:val="0055624C"/>
    <w:rsid w:val="005723CB"/>
    <w:rsid w:val="00575400"/>
    <w:rsid w:val="00585A79"/>
    <w:rsid w:val="00591A20"/>
    <w:rsid w:val="005A468E"/>
    <w:rsid w:val="005A5BF2"/>
    <w:rsid w:val="005B18AF"/>
    <w:rsid w:val="005B45A1"/>
    <w:rsid w:val="005D57B7"/>
    <w:rsid w:val="005D5A50"/>
    <w:rsid w:val="005F5301"/>
    <w:rsid w:val="005F65B7"/>
    <w:rsid w:val="006067C7"/>
    <w:rsid w:val="00606AAD"/>
    <w:rsid w:val="00615195"/>
    <w:rsid w:val="006159AD"/>
    <w:rsid w:val="00622632"/>
    <w:rsid w:val="006415E5"/>
    <w:rsid w:val="00646436"/>
    <w:rsid w:val="00651AF4"/>
    <w:rsid w:val="00657603"/>
    <w:rsid w:val="00664420"/>
    <w:rsid w:val="006718FD"/>
    <w:rsid w:val="0069322E"/>
    <w:rsid w:val="006A21FC"/>
    <w:rsid w:val="006A646A"/>
    <w:rsid w:val="006B10B0"/>
    <w:rsid w:val="006C28D7"/>
    <w:rsid w:val="006D3237"/>
    <w:rsid w:val="006E13CF"/>
    <w:rsid w:val="006E25BC"/>
    <w:rsid w:val="006E6BBC"/>
    <w:rsid w:val="006E7E69"/>
    <w:rsid w:val="006F7768"/>
    <w:rsid w:val="00717E59"/>
    <w:rsid w:val="00724F22"/>
    <w:rsid w:val="00725C8B"/>
    <w:rsid w:val="007517BD"/>
    <w:rsid w:val="0075751F"/>
    <w:rsid w:val="007630AF"/>
    <w:rsid w:val="0076337C"/>
    <w:rsid w:val="00773DD6"/>
    <w:rsid w:val="00773EAB"/>
    <w:rsid w:val="00774516"/>
    <w:rsid w:val="00775BFC"/>
    <w:rsid w:val="00782160"/>
    <w:rsid w:val="00794BA5"/>
    <w:rsid w:val="007A19A3"/>
    <w:rsid w:val="007A2B8D"/>
    <w:rsid w:val="007A3281"/>
    <w:rsid w:val="007A3459"/>
    <w:rsid w:val="007B4F38"/>
    <w:rsid w:val="007B6074"/>
    <w:rsid w:val="007B7CE7"/>
    <w:rsid w:val="007C0D78"/>
    <w:rsid w:val="007C7C47"/>
    <w:rsid w:val="007D1C55"/>
    <w:rsid w:val="007D1C84"/>
    <w:rsid w:val="007D317F"/>
    <w:rsid w:val="007D3735"/>
    <w:rsid w:val="007E069C"/>
    <w:rsid w:val="007E07E1"/>
    <w:rsid w:val="007E1570"/>
    <w:rsid w:val="007F5D06"/>
    <w:rsid w:val="00805A6E"/>
    <w:rsid w:val="00811211"/>
    <w:rsid w:val="00811F75"/>
    <w:rsid w:val="00813366"/>
    <w:rsid w:val="00813497"/>
    <w:rsid w:val="00823BA5"/>
    <w:rsid w:val="00826C28"/>
    <w:rsid w:val="008300D5"/>
    <w:rsid w:val="00831728"/>
    <w:rsid w:val="008330F9"/>
    <w:rsid w:val="00834950"/>
    <w:rsid w:val="00844021"/>
    <w:rsid w:val="00860F56"/>
    <w:rsid w:val="0086345C"/>
    <w:rsid w:val="00864CC1"/>
    <w:rsid w:val="00865CF4"/>
    <w:rsid w:val="00875AD4"/>
    <w:rsid w:val="00876DBC"/>
    <w:rsid w:val="0088235E"/>
    <w:rsid w:val="00887577"/>
    <w:rsid w:val="008950DC"/>
    <w:rsid w:val="008A21E1"/>
    <w:rsid w:val="008A6003"/>
    <w:rsid w:val="008A66C4"/>
    <w:rsid w:val="008A6F88"/>
    <w:rsid w:val="008B1E16"/>
    <w:rsid w:val="008C24CE"/>
    <w:rsid w:val="008E1316"/>
    <w:rsid w:val="008E6224"/>
    <w:rsid w:val="00903DBE"/>
    <w:rsid w:val="00910FD2"/>
    <w:rsid w:val="00911079"/>
    <w:rsid w:val="009176E8"/>
    <w:rsid w:val="009233A1"/>
    <w:rsid w:val="00923C59"/>
    <w:rsid w:val="009246CF"/>
    <w:rsid w:val="00931437"/>
    <w:rsid w:val="00936B5A"/>
    <w:rsid w:val="00942A84"/>
    <w:rsid w:val="00953212"/>
    <w:rsid w:val="00953430"/>
    <w:rsid w:val="00965647"/>
    <w:rsid w:val="00965890"/>
    <w:rsid w:val="00970EB3"/>
    <w:rsid w:val="0097369C"/>
    <w:rsid w:val="009749EB"/>
    <w:rsid w:val="00976247"/>
    <w:rsid w:val="00982877"/>
    <w:rsid w:val="00985840"/>
    <w:rsid w:val="00985F73"/>
    <w:rsid w:val="0098693C"/>
    <w:rsid w:val="00993ED0"/>
    <w:rsid w:val="009A1340"/>
    <w:rsid w:val="009A2D78"/>
    <w:rsid w:val="009A2EDE"/>
    <w:rsid w:val="009A6719"/>
    <w:rsid w:val="009A7C10"/>
    <w:rsid w:val="009B2945"/>
    <w:rsid w:val="009C04A8"/>
    <w:rsid w:val="009C44C7"/>
    <w:rsid w:val="009E0652"/>
    <w:rsid w:val="009E2DEE"/>
    <w:rsid w:val="009E45F2"/>
    <w:rsid w:val="009E4644"/>
    <w:rsid w:val="009F797C"/>
    <w:rsid w:val="00A048C7"/>
    <w:rsid w:val="00A12AFA"/>
    <w:rsid w:val="00A131AC"/>
    <w:rsid w:val="00A15C66"/>
    <w:rsid w:val="00A16D85"/>
    <w:rsid w:val="00A21A20"/>
    <w:rsid w:val="00A2762E"/>
    <w:rsid w:val="00A35DA7"/>
    <w:rsid w:val="00A36A99"/>
    <w:rsid w:val="00A41792"/>
    <w:rsid w:val="00A53315"/>
    <w:rsid w:val="00A6091A"/>
    <w:rsid w:val="00A63966"/>
    <w:rsid w:val="00A6415E"/>
    <w:rsid w:val="00A70EF0"/>
    <w:rsid w:val="00A76102"/>
    <w:rsid w:val="00A815EA"/>
    <w:rsid w:val="00A9208D"/>
    <w:rsid w:val="00A964CC"/>
    <w:rsid w:val="00AA3AE9"/>
    <w:rsid w:val="00AA6EA9"/>
    <w:rsid w:val="00AC2DB8"/>
    <w:rsid w:val="00AC3CA0"/>
    <w:rsid w:val="00AD4855"/>
    <w:rsid w:val="00AE3DA7"/>
    <w:rsid w:val="00AE5AEF"/>
    <w:rsid w:val="00AF03C4"/>
    <w:rsid w:val="00AF2C92"/>
    <w:rsid w:val="00B137E8"/>
    <w:rsid w:val="00B169A2"/>
    <w:rsid w:val="00B22A80"/>
    <w:rsid w:val="00B36848"/>
    <w:rsid w:val="00B373AF"/>
    <w:rsid w:val="00B4605D"/>
    <w:rsid w:val="00B570A3"/>
    <w:rsid w:val="00B61BCE"/>
    <w:rsid w:val="00B65555"/>
    <w:rsid w:val="00B6790E"/>
    <w:rsid w:val="00B71D39"/>
    <w:rsid w:val="00B80A20"/>
    <w:rsid w:val="00B83109"/>
    <w:rsid w:val="00B961B0"/>
    <w:rsid w:val="00BA0A51"/>
    <w:rsid w:val="00BA1AB6"/>
    <w:rsid w:val="00BA2366"/>
    <w:rsid w:val="00BA27B5"/>
    <w:rsid w:val="00BA55A8"/>
    <w:rsid w:val="00BB2ABF"/>
    <w:rsid w:val="00BB64F4"/>
    <w:rsid w:val="00BC1202"/>
    <w:rsid w:val="00BD091D"/>
    <w:rsid w:val="00BD2738"/>
    <w:rsid w:val="00BD3F4F"/>
    <w:rsid w:val="00BD5A7C"/>
    <w:rsid w:val="00BE7A1B"/>
    <w:rsid w:val="00BF0221"/>
    <w:rsid w:val="00BF0294"/>
    <w:rsid w:val="00BF091A"/>
    <w:rsid w:val="00BF4EAD"/>
    <w:rsid w:val="00BF51BF"/>
    <w:rsid w:val="00C00D03"/>
    <w:rsid w:val="00C049E2"/>
    <w:rsid w:val="00C10D59"/>
    <w:rsid w:val="00C229BF"/>
    <w:rsid w:val="00C2306A"/>
    <w:rsid w:val="00C2636E"/>
    <w:rsid w:val="00C30616"/>
    <w:rsid w:val="00C345CB"/>
    <w:rsid w:val="00C351EC"/>
    <w:rsid w:val="00C36795"/>
    <w:rsid w:val="00C42CA7"/>
    <w:rsid w:val="00C461EC"/>
    <w:rsid w:val="00C507D4"/>
    <w:rsid w:val="00C71CEF"/>
    <w:rsid w:val="00C72DAA"/>
    <w:rsid w:val="00C73A98"/>
    <w:rsid w:val="00C7571D"/>
    <w:rsid w:val="00C80B14"/>
    <w:rsid w:val="00C93BC8"/>
    <w:rsid w:val="00CA50B3"/>
    <w:rsid w:val="00CA64AF"/>
    <w:rsid w:val="00CB4F52"/>
    <w:rsid w:val="00CB7C31"/>
    <w:rsid w:val="00CB7E9A"/>
    <w:rsid w:val="00CC6C2F"/>
    <w:rsid w:val="00CD0B92"/>
    <w:rsid w:val="00CD3244"/>
    <w:rsid w:val="00CD5A49"/>
    <w:rsid w:val="00CE1DFB"/>
    <w:rsid w:val="00CE29D3"/>
    <w:rsid w:val="00CE3DBD"/>
    <w:rsid w:val="00CE58F2"/>
    <w:rsid w:val="00CF2D8B"/>
    <w:rsid w:val="00CF3383"/>
    <w:rsid w:val="00CF4E27"/>
    <w:rsid w:val="00CF7586"/>
    <w:rsid w:val="00CF7F0C"/>
    <w:rsid w:val="00D036D3"/>
    <w:rsid w:val="00D07C17"/>
    <w:rsid w:val="00D161C4"/>
    <w:rsid w:val="00D20F37"/>
    <w:rsid w:val="00D228A6"/>
    <w:rsid w:val="00D2790D"/>
    <w:rsid w:val="00D27C97"/>
    <w:rsid w:val="00D44B43"/>
    <w:rsid w:val="00D51ECD"/>
    <w:rsid w:val="00D53CE6"/>
    <w:rsid w:val="00D5461D"/>
    <w:rsid w:val="00D55AF4"/>
    <w:rsid w:val="00D55FDA"/>
    <w:rsid w:val="00D6170E"/>
    <w:rsid w:val="00D85CEA"/>
    <w:rsid w:val="00D91CB4"/>
    <w:rsid w:val="00D920C1"/>
    <w:rsid w:val="00DA54C1"/>
    <w:rsid w:val="00DB1C09"/>
    <w:rsid w:val="00DC30FA"/>
    <w:rsid w:val="00DE1133"/>
    <w:rsid w:val="00DE78A1"/>
    <w:rsid w:val="00E009CE"/>
    <w:rsid w:val="00E11AA0"/>
    <w:rsid w:val="00E16BF5"/>
    <w:rsid w:val="00E26587"/>
    <w:rsid w:val="00E27023"/>
    <w:rsid w:val="00E33233"/>
    <w:rsid w:val="00E37496"/>
    <w:rsid w:val="00E37A3F"/>
    <w:rsid w:val="00E37D3C"/>
    <w:rsid w:val="00E53DDE"/>
    <w:rsid w:val="00E62E6A"/>
    <w:rsid w:val="00E73A29"/>
    <w:rsid w:val="00E83EF5"/>
    <w:rsid w:val="00E87A1E"/>
    <w:rsid w:val="00E9335C"/>
    <w:rsid w:val="00E96D88"/>
    <w:rsid w:val="00EA586B"/>
    <w:rsid w:val="00ED1C1E"/>
    <w:rsid w:val="00EE2AF2"/>
    <w:rsid w:val="00EE2B24"/>
    <w:rsid w:val="00EE7028"/>
    <w:rsid w:val="00EE77E9"/>
    <w:rsid w:val="00EF29AB"/>
    <w:rsid w:val="00EF56AF"/>
    <w:rsid w:val="00EF6D46"/>
    <w:rsid w:val="00F07EE6"/>
    <w:rsid w:val="00F2553E"/>
    <w:rsid w:val="00F32348"/>
    <w:rsid w:val="00F33CC8"/>
    <w:rsid w:val="00F35DED"/>
    <w:rsid w:val="00F4481C"/>
    <w:rsid w:val="00F45902"/>
    <w:rsid w:val="00F52005"/>
    <w:rsid w:val="00F52089"/>
    <w:rsid w:val="00F578A1"/>
    <w:rsid w:val="00F73861"/>
    <w:rsid w:val="00F75D23"/>
    <w:rsid w:val="00F76349"/>
    <w:rsid w:val="00F8365A"/>
    <w:rsid w:val="00F8547A"/>
    <w:rsid w:val="00F86DF5"/>
    <w:rsid w:val="00F93742"/>
    <w:rsid w:val="00FA5957"/>
    <w:rsid w:val="00FA6FC1"/>
    <w:rsid w:val="00FB0A56"/>
    <w:rsid w:val="00FB3645"/>
    <w:rsid w:val="00FC204C"/>
    <w:rsid w:val="00FC3CE0"/>
    <w:rsid w:val="00FC7090"/>
    <w:rsid w:val="00FD06A8"/>
    <w:rsid w:val="00FE3352"/>
    <w:rsid w:val="00FF2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E96D88"/>
    <w:rPr>
      <w:color w:val="605E5C"/>
      <w:shd w:val="clear" w:color="auto" w:fill="E1DFDD"/>
    </w:rPr>
  </w:style>
  <w:style w:type="paragraph" w:styleId="NormalWeb">
    <w:name w:val="Normal (Web)"/>
    <w:basedOn w:val="Normal"/>
    <w:uiPriority w:val="99"/>
    <w:rsid w:val="00232CBA"/>
    <w:pPr>
      <w:spacing w:before="100" w:beforeAutospacing="1" w:after="100" w:afterAutospacing="1" w:line="240" w:lineRule="auto"/>
      <w:jc w:val="left"/>
    </w:pPr>
    <w:rPr>
      <w:rFonts w:ascii="Times New Roman" w:hAnsi="Times New Roman"/>
      <w:sz w:val="24"/>
      <w:szCs w:val="24"/>
      <w:lang w:val="es-ES" w:eastAsia="es-MX"/>
    </w:rPr>
  </w:style>
  <w:style w:type="character" w:customStyle="1" w:styleId="Mencinsinresolver2">
    <w:name w:val="Mención sin resolver2"/>
    <w:basedOn w:val="Fuentedeprrafopredeter"/>
    <w:uiPriority w:val="99"/>
    <w:semiHidden/>
    <w:unhideWhenUsed/>
    <w:rsid w:val="007D3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359672853">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916553510">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372419725">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642075819">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2033143919">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www.saimex.org.mx/saimex/revision/acuse/680535/0/0.pag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http://schemas.microsoft.com/office/2006/metadata/properties"/>
    <ds:schemaRef ds:uri="76b08bab-a17d-419c-8fa8-b7b9c3c33fd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F2CA5-3154-4A05-A49B-272F5676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6424</Words>
  <Characters>35334</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7</cp:revision>
  <cp:lastPrinted>2025-08-21T19:23:00Z</cp:lastPrinted>
  <dcterms:created xsi:type="dcterms:W3CDTF">2025-08-14T20:30:00Z</dcterms:created>
  <dcterms:modified xsi:type="dcterms:W3CDTF">2025-08-21T19:23:00Z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