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14605" w14:textId="77777777" w:rsidR="00047A68" w:rsidRDefault="00047A6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373994810"/>
        <w:docPartObj>
          <w:docPartGallery w:val="Table of Contents"/>
          <w:docPartUnique/>
        </w:docPartObj>
      </w:sdtPr>
      <w:sdtEndPr>
        <w:rPr>
          <w:b/>
          <w:bCs/>
        </w:rPr>
      </w:sdtEndPr>
      <w:sdtContent>
        <w:p w14:paraId="50A7F3DB" w14:textId="60C0947E" w:rsidR="002A2F29" w:rsidRDefault="002A2F29">
          <w:pPr>
            <w:pStyle w:val="TtuloTDC"/>
          </w:pPr>
          <w:r>
            <w:rPr>
              <w:lang w:val="es-ES"/>
            </w:rPr>
            <w:t>Tabla de contenido</w:t>
          </w:r>
        </w:p>
        <w:p w14:paraId="57B76108" w14:textId="6987F615" w:rsidR="002A2F29" w:rsidRDefault="002A2F29">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944426" w:history="1">
            <w:r w:rsidRPr="00D7135C">
              <w:rPr>
                <w:rStyle w:val="Hipervnculo"/>
                <w:noProof/>
              </w:rPr>
              <w:t>A N T E C E D E N T E S</w:t>
            </w:r>
            <w:r>
              <w:rPr>
                <w:noProof/>
                <w:webHidden/>
              </w:rPr>
              <w:tab/>
            </w:r>
            <w:r>
              <w:rPr>
                <w:noProof/>
                <w:webHidden/>
              </w:rPr>
              <w:fldChar w:fldCharType="begin"/>
            </w:r>
            <w:r>
              <w:rPr>
                <w:noProof/>
                <w:webHidden/>
              </w:rPr>
              <w:instrText xml:space="preserve"> PAGEREF _Toc213944426 \h </w:instrText>
            </w:r>
            <w:r>
              <w:rPr>
                <w:noProof/>
                <w:webHidden/>
              </w:rPr>
            </w:r>
            <w:r>
              <w:rPr>
                <w:noProof/>
                <w:webHidden/>
              </w:rPr>
              <w:fldChar w:fldCharType="separate"/>
            </w:r>
            <w:r w:rsidR="00C01922">
              <w:rPr>
                <w:noProof/>
                <w:webHidden/>
              </w:rPr>
              <w:t>2</w:t>
            </w:r>
            <w:r>
              <w:rPr>
                <w:noProof/>
                <w:webHidden/>
              </w:rPr>
              <w:fldChar w:fldCharType="end"/>
            </w:r>
          </w:hyperlink>
        </w:p>
        <w:p w14:paraId="31125F1A" w14:textId="64F970DF"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27" w:history="1">
            <w:r w:rsidRPr="00D7135C">
              <w:rPr>
                <w:rStyle w:val="Hipervnculo"/>
                <w:noProof/>
              </w:rPr>
              <w:t>I. Presentación de la solicitud de información</w:t>
            </w:r>
            <w:r>
              <w:rPr>
                <w:noProof/>
                <w:webHidden/>
              </w:rPr>
              <w:tab/>
            </w:r>
            <w:r>
              <w:rPr>
                <w:noProof/>
                <w:webHidden/>
              </w:rPr>
              <w:fldChar w:fldCharType="begin"/>
            </w:r>
            <w:r>
              <w:rPr>
                <w:noProof/>
                <w:webHidden/>
              </w:rPr>
              <w:instrText xml:space="preserve"> PAGEREF _Toc213944427 \h </w:instrText>
            </w:r>
            <w:r>
              <w:rPr>
                <w:noProof/>
                <w:webHidden/>
              </w:rPr>
            </w:r>
            <w:r>
              <w:rPr>
                <w:noProof/>
                <w:webHidden/>
              </w:rPr>
              <w:fldChar w:fldCharType="separate"/>
            </w:r>
            <w:r w:rsidR="00C01922">
              <w:rPr>
                <w:noProof/>
                <w:webHidden/>
              </w:rPr>
              <w:t>2</w:t>
            </w:r>
            <w:r>
              <w:rPr>
                <w:noProof/>
                <w:webHidden/>
              </w:rPr>
              <w:fldChar w:fldCharType="end"/>
            </w:r>
          </w:hyperlink>
        </w:p>
        <w:p w14:paraId="28D73134" w14:textId="5AE4A69D"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28" w:history="1">
            <w:r w:rsidRPr="00D7135C">
              <w:rPr>
                <w:rStyle w:val="Hipervnculo"/>
                <w:noProof/>
              </w:rPr>
              <w:t>II. Respuesta del Sujeto Obligado</w:t>
            </w:r>
            <w:r>
              <w:rPr>
                <w:noProof/>
                <w:webHidden/>
              </w:rPr>
              <w:tab/>
            </w:r>
            <w:r>
              <w:rPr>
                <w:noProof/>
                <w:webHidden/>
              </w:rPr>
              <w:fldChar w:fldCharType="begin"/>
            </w:r>
            <w:r>
              <w:rPr>
                <w:noProof/>
                <w:webHidden/>
              </w:rPr>
              <w:instrText xml:space="preserve"> PAGEREF _Toc213944428 \h </w:instrText>
            </w:r>
            <w:r>
              <w:rPr>
                <w:noProof/>
                <w:webHidden/>
              </w:rPr>
            </w:r>
            <w:r>
              <w:rPr>
                <w:noProof/>
                <w:webHidden/>
              </w:rPr>
              <w:fldChar w:fldCharType="separate"/>
            </w:r>
            <w:r w:rsidR="00C01922">
              <w:rPr>
                <w:noProof/>
                <w:webHidden/>
              </w:rPr>
              <w:t>3</w:t>
            </w:r>
            <w:r>
              <w:rPr>
                <w:noProof/>
                <w:webHidden/>
              </w:rPr>
              <w:fldChar w:fldCharType="end"/>
            </w:r>
          </w:hyperlink>
        </w:p>
        <w:p w14:paraId="628759AD" w14:textId="64C4ED05"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29" w:history="1">
            <w:r w:rsidRPr="00D7135C">
              <w:rPr>
                <w:rStyle w:val="Hipervnculo"/>
                <w:noProof/>
              </w:rPr>
              <w:t>III. Interposición del Recurso de Revisión</w:t>
            </w:r>
            <w:r>
              <w:rPr>
                <w:noProof/>
                <w:webHidden/>
              </w:rPr>
              <w:tab/>
            </w:r>
            <w:r>
              <w:rPr>
                <w:noProof/>
                <w:webHidden/>
              </w:rPr>
              <w:fldChar w:fldCharType="begin"/>
            </w:r>
            <w:r>
              <w:rPr>
                <w:noProof/>
                <w:webHidden/>
              </w:rPr>
              <w:instrText xml:space="preserve"> PAGEREF _Toc213944429 \h </w:instrText>
            </w:r>
            <w:r>
              <w:rPr>
                <w:noProof/>
                <w:webHidden/>
              </w:rPr>
            </w:r>
            <w:r>
              <w:rPr>
                <w:noProof/>
                <w:webHidden/>
              </w:rPr>
              <w:fldChar w:fldCharType="separate"/>
            </w:r>
            <w:r w:rsidR="00C01922">
              <w:rPr>
                <w:noProof/>
                <w:webHidden/>
              </w:rPr>
              <w:t>4</w:t>
            </w:r>
            <w:r>
              <w:rPr>
                <w:noProof/>
                <w:webHidden/>
              </w:rPr>
              <w:fldChar w:fldCharType="end"/>
            </w:r>
          </w:hyperlink>
        </w:p>
        <w:p w14:paraId="7D882E1E" w14:textId="4860C8D5"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30" w:history="1">
            <w:r w:rsidRPr="00D7135C">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_Toc213944430 \h </w:instrText>
            </w:r>
            <w:r>
              <w:rPr>
                <w:noProof/>
                <w:webHidden/>
              </w:rPr>
            </w:r>
            <w:r>
              <w:rPr>
                <w:noProof/>
                <w:webHidden/>
              </w:rPr>
              <w:fldChar w:fldCharType="separate"/>
            </w:r>
            <w:r w:rsidR="00C01922">
              <w:rPr>
                <w:noProof/>
                <w:webHidden/>
              </w:rPr>
              <w:t>5</w:t>
            </w:r>
            <w:r>
              <w:rPr>
                <w:noProof/>
                <w:webHidden/>
              </w:rPr>
              <w:fldChar w:fldCharType="end"/>
            </w:r>
          </w:hyperlink>
        </w:p>
        <w:p w14:paraId="6C5E20CB" w14:textId="1FCB888D" w:rsidR="002A2F29" w:rsidRDefault="002A2F29">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431" w:history="1">
            <w:r w:rsidRPr="00D7135C">
              <w:rPr>
                <w:rStyle w:val="Hipervnculo"/>
                <w:noProof/>
              </w:rPr>
              <w:t>C O N S I D E R A N D O S</w:t>
            </w:r>
            <w:r>
              <w:rPr>
                <w:noProof/>
                <w:webHidden/>
              </w:rPr>
              <w:tab/>
            </w:r>
            <w:r>
              <w:rPr>
                <w:noProof/>
                <w:webHidden/>
              </w:rPr>
              <w:fldChar w:fldCharType="begin"/>
            </w:r>
            <w:r>
              <w:rPr>
                <w:noProof/>
                <w:webHidden/>
              </w:rPr>
              <w:instrText xml:space="preserve"> PAGEREF _Toc213944431 \h </w:instrText>
            </w:r>
            <w:r>
              <w:rPr>
                <w:noProof/>
                <w:webHidden/>
              </w:rPr>
            </w:r>
            <w:r>
              <w:rPr>
                <w:noProof/>
                <w:webHidden/>
              </w:rPr>
              <w:fldChar w:fldCharType="separate"/>
            </w:r>
            <w:r w:rsidR="00C01922">
              <w:rPr>
                <w:noProof/>
                <w:webHidden/>
              </w:rPr>
              <w:t>7</w:t>
            </w:r>
            <w:r>
              <w:rPr>
                <w:noProof/>
                <w:webHidden/>
              </w:rPr>
              <w:fldChar w:fldCharType="end"/>
            </w:r>
          </w:hyperlink>
        </w:p>
        <w:p w14:paraId="721CFB29" w14:textId="31ABC7D5"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32" w:history="1">
            <w:r w:rsidRPr="00D7135C">
              <w:rPr>
                <w:rStyle w:val="Hipervnculo"/>
                <w:noProof/>
              </w:rPr>
              <w:t>PRIMERO. Competencia</w:t>
            </w:r>
            <w:r>
              <w:rPr>
                <w:noProof/>
                <w:webHidden/>
              </w:rPr>
              <w:tab/>
            </w:r>
            <w:r>
              <w:rPr>
                <w:noProof/>
                <w:webHidden/>
              </w:rPr>
              <w:fldChar w:fldCharType="begin"/>
            </w:r>
            <w:r>
              <w:rPr>
                <w:noProof/>
                <w:webHidden/>
              </w:rPr>
              <w:instrText xml:space="preserve"> PAGEREF _Toc213944432 \h </w:instrText>
            </w:r>
            <w:r>
              <w:rPr>
                <w:noProof/>
                <w:webHidden/>
              </w:rPr>
            </w:r>
            <w:r>
              <w:rPr>
                <w:noProof/>
                <w:webHidden/>
              </w:rPr>
              <w:fldChar w:fldCharType="separate"/>
            </w:r>
            <w:r w:rsidR="00C01922">
              <w:rPr>
                <w:noProof/>
                <w:webHidden/>
              </w:rPr>
              <w:t>7</w:t>
            </w:r>
            <w:r>
              <w:rPr>
                <w:noProof/>
                <w:webHidden/>
              </w:rPr>
              <w:fldChar w:fldCharType="end"/>
            </w:r>
          </w:hyperlink>
        </w:p>
        <w:p w14:paraId="5CDC57FE" w14:textId="6AA0432B"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33" w:history="1">
            <w:r w:rsidRPr="00D7135C">
              <w:rPr>
                <w:rStyle w:val="Hipervnculo"/>
                <w:noProof/>
              </w:rPr>
              <w:t>SEGUNDO. Causales de improcedencia</w:t>
            </w:r>
            <w:r>
              <w:rPr>
                <w:noProof/>
                <w:webHidden/>
              </w:rPr>
              <w:tab/>
            </w:r>
            <w:r>
              <w:rPr>
                <w:noProof/>
                <w:webHidden/>
              </w:rPr>
              <w:fldChar w:fldCharType="begin"/>
            </w:r>
            <w:r>
              <w:rPr>
                <w:noProof/>
                <w:webHidden/>
              </w:rPr>
              <w:instrText xml:space="preserve"> PAGEREF _Toc213944433 \h </w:instrText>
            </w:r>
            <w:r>
              <w:rPr>
                <w:noProof/>
                <w:webHidden/>
              </w:rPr>
            </w:r>
            <w:r>
              <w:rPr>
                <w:noProof/>
                <w:webHidden/>
              </w:rPr>
              <w:fldChar w:fldCharType="separate"/>
            </w:r>
            <w:r w:rsidR="00C01922">
              <w:rPr>
                <w:noProof/>
                <w:webHidden/>
              </w:rPr>
              <w:t>8</w:t>
            </w:r>
            <w:r>
              <w:rPr>
                <w:noProof/>
                <w:webHidden/>
              </w:rPr>
              <w:fldChar w:fldCharType="end"/>
            </w:r>
          </w:hyperlink>
        </w:p>
        <w:p w14:paraId="0C288E1B" w14:textId="58263127" w:rsidR="002A2F29" w:rsidRDefault="002A2F29">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434" w:history="1">
            <w:r w:rsidRPr="00D7135C">
              <w:rPr>
                <w:rStyle w:val="Hipervnculo"/>
                <w:noProof/>
              </w:rPr>
              <w:t>TERCERO. Decisión</w:t>
            </w:r>
            <w:r>
              <w:rPr>
                <w:noProof/>
                <w:webHidden/>
              </w:rPr>
              <w:tab/>
            </w:r>
            <w:r>
              <w:rPr>
                <w:noProof/>
                <w:webHidden/>
              </w:rPr>
              <w:fldChar w:fldCharType="begin"/>
            </w:r>
            <w:r>
              <w:rPr>
                <w:noProof/>
                <w:webHidden/>
              </w:rPr>
              <w:instrText xml:space="preserve"> PAGEREF _Toc213944434 \h </w:instrText>
            </w:r>
            <w:r>
              <w:rPr>
                <w:noProof/>
                <w:webHidden/>
              </w:rPr>
            </w:r>
            <w:r>
              <w:rPr>
                <w:noProof/>
                <w:webHidden/>
              </w:rPr>
              <w:fldChar w:fldCharType="separate"/>
            </w:r>
            <w:r w:rsidR="00C01922">
              <w:rPr>
                <w:noProof/>
                <w:webHidden/>
              </w:rPr>
              <w:t>15</w:t>
            </w:r>
            <w:r>
              <w:rPr>
                <w:noProof/>
                <w:webHidden/>
              </w:rPr>
              <w:fldChar w:fldCharType="end"/>
            </w:r>
          </w:hyperlink>
        </w:p>
        <w:p w14:paraId="0AE06BB1" w14:textId="31F3D8CB" w:rsidR="002A2F29" w:rsidRDefault="002A2F29">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435" w:history="1">
            <w:r w:rsidRPr="00D7135C">
              <w:rPr>
                <w:rStyle w:val="Hipervnculo"/>
                <w:noProof/>
              </w:rPr>
              <w:t>R E S U E L V E</w:t>
            </w:r>
            <w:r>
              <w:rPr>
                <w:noProof/>
                <w:webHidden/>
              </w:rPr>
              <w:tab/>
            </w:r>
            <w:r>
              <w:rPr>
                <w:noProof/>
                <w:webHidden/>
              </w:rPr>
              <w:fldChar w:fldCharType="begin"/>
            </w:r>
            <w:r>
              <w:rPr>
                <w:noProof/>
                <w:webHidden/>
              </w:rPr>
              <w:instrText xml:space="preserve"> PAGEREF _Toc213944435 \h </w:instrText>
            </w:r>
            <w:r>
              <w:rPr>
                <w:noProof/>
                <w:webHidden/>
              </w:rPr>
            </w:r>
            <w:r>
              <w:rPr>
                <w:noProof/>
                <w:webHidden/>
              </w:rPr>
              <w:fldChar w:fldCharType="separate"/>
            </w:r>
            <w:r w:rsidR="00C01922">
              <w:rPr>
                <w:noProof/>
                <w:webHidden/>
              </w:rPr>
              <w:t>16</w:t>
            </w:r>
            <w:r>
              <w:rPr>
                <w:noProof/>
                <w:webHidden/>
              </w:rPr>
              <w:fldChar w:fldCharType="end"/>
            </w:r>
          </w:hyperlink>
        </w:p>
        <w:p w14:paraId="5642F58B" w14:textId="794ED7FA" w:rsidR="002A2F29" w:rsidRDefault="002A2F29">
          <w:r>
            <w:rPr>
              <w:b/>
              <w:bCs/>
              <w:lang w:val="es-ES"/>
            </w:rPr>
            <w:fldChar w:fldCharType="end"/>
          </w:r>
        </w:p>
      </w:sdtContent>
    </w:sdt>
    <w:p w14:paraId="4509F420" w14:textId="77777777" w:rsidR="00047A68" w:rsidRPr="004907F5" w:rsidRDefault="002A2F29">
      <w:pPr>
        <w:spacing w:after="0" w:line="360" w:lineRule="auto"/>
      </w:pPr>
      <w:r w:rsidRPr="004907F5">
        <w:br w:type="page"/>
      </w:r>
    </w:p>
    <w:p w14:paraId="29E73C0E" w14:textId="77777777" w:rsidR="00047A68" w:rsidRPr="004907F5" w:rsidRDefault="002A2F29">
      <w:pPr>
        <w:spacing w:after="0" w:line="360" w:lineRule="auto"/>
      </w:pPr>
      <w:r w:rsidRPr="004907F5">
        <w:lastRenderedPageBreak/>
        <w:t>Resolución del Pleno del Instituto de Transparencia, Acceso a la Información Pública y Protección de Datos Personales del Estado de México y Municipios, con domicilio en Metepec, Estado de México, de fecha doce de noviembre de dos mil veinticinco.</w:t>
      </w:r>
    </w:p>
    <w:p w14:paraId="26F7A30E" w14:textId="77777777" w:rsidR="00047A68" w:rsidRPr="004907F5" w:rsidRDefault="00047A68">
      <w:pPr>
        <w:spacing w:after="0" w:line="360" w:lineRule="auto"/>
        <w:rPr>
          <w:b/>
        </w:rPr>
      </w:pPr>
    </w:p>
    <w:p w14:paraId="05370BE2" w14:textId="77777777" w:rsidR="00047A68" w:rsidRPr="004907F5" w:rsidRDefault="002A2F29">
      <w:pPr>
        <w:spacing w:after="0" w:line="360" w:lineRule="auto"/>
      </w:pPr>
      <w:r w:rsidRPr="004907F5">
        <w:rPr>
          <w:b/>
        </w:rPr>
        <w:t>VISTO</w:t>
      </w:r>
      <w:r w:rsidRPr="004907F5">
        <w:t xml:space="preserve"> el expediente conformado con motivo del Recurso de Revisión </w:t>
      </w:r>
      <w:r w:rsidRPr="000F71EE">
        <w:rPr>
          <w:b/>
          <w:bCs/>
        </w:rPr>
        <w:t>09851/INFOEM/IP/RR/2025</w:t>
      </w:r>
      <w:r w:rsidRPr="004907F5">
        <w:t xml:space="preserve">, interpuesto por la persona Recurrente o Particular, en contra de la respuesta del Sujeto Obligado, </w:t>
      </w:r>
      <w:r w:rsidRPr="000F71EE">
        <w:rPr>
          <w:b/>
          <w:bCs/>
        </w:rPr>
        <w:t>Ayuntamiento de Morelos,</w:t>
      </w:r>
      <w:r w:rsidRPr="004907F5">
        <w:t xml:space="preserve"> se emite la presente Resolución, con base en los antecedentes y considerandos que se exponen a continuación:</w:t>
      </w:r>
    </w:p>
    <w:p w14:paraId="2BCF8EA1" w14:textId="77777777" w:rsidR="00047A68" w:rsidRPr="004907F5" w:rsidRDefault="00047A68">
      <w:pPr>
        <w:spacing w:after="0" w:line="360" w:lineRule="auto"/>
      </w:pPr>
    </w:p>
    <w:p w14:paraId="549F92CD" w14:textId="77777777" w:rsidR="00047A68" w:rsidRPr="004907F5" w:rsidRDefault="002A2F29">
      <w:pPr>
        <w:pStyle w:val="Ttulo1"/>
        <w:spacing w:before="0" w:after="0"/>
        <w:rPr>
          <w:sz w:val="22"/>
          <w:szCs w:val="22"/>
        </w:rPr>
      </w:pPr>
      <w:bookmarkStart w:id="0" w:name="_heading=h.dm9cui3vj56r" w:colFirst="0" w:colLast="0"/>
      <w:bookmarkStart w:id="1" w:name="_Toc213944426"/>
      <w:bookmarkEnd w:id="0"/>
      <w:r w:rsidRPr="004907F5">
        <w:rPr>
          <w:sz w:val="22"/>
          <w:szCs w:val="22"/>
        </w:rPr>
        <w:t>A N T E C E D E N T E S</w:t>
      </w:r>
      <w:bookmarkEnd w:id="1"/>
    </w:p>
    <w:p w14:paraId="08CF93EC" w14:textId="77777777" w:rsidR="00047A68" w:rsidRPr="004907F5" w:rsidRDefault="00047A68">
      <w:pPr>
        <w:spacing w:after="0" w:line="360" w:lineRule="auto"/>
      </w:pPr>
      <w:bookmarkStart w:id="2" w:name="_heading=h.gjdgxs" w:colFirst="0" w:colLast="0"/>
      <w:bookmarkEnd w:id="2"/>
    </w:p>
    <w:p w14:paraId="1E6A8939" w14:textId="77777777" w:rsidR="00047A68" w:rsidRPr="004907F5" w:rsidRDefault="002A2F29">
      <w:pPr>
        <w:pStyle w:val="Ttulo2"/>
        <w:spacing w:before="0" w:after="0"/>
      </w:pPr>
      <w:bookmarkStart w:id="3" w:name="_heading=h.96tw9277ut80" w:colFirst="0" w:colLast="0"/>
      <w:bookmarkStart w:id="4" w:name="_Toc213944427"/>
      <w:bookmarkEnd w:id="3"/>
      <w:r w:rsidRPr="004907F5">
        <w:t>I. Presentación de la solicitud de información</w:t>
      </w:r>
      <w:bookmarkEnd w:id="4"/>
    </w:p>
    <w:p w14:paraId="781F03EE" w14:textId="77777777" w:rsidR="00047A68" w:rsidRPr="004907F5" w:rsidRDefault="00047A68">
      <w:pPr>
        <w:tabs>
          <w:tab w:val="left" w:pos="567"/>
        </w:tabs>
        <w:spacing w:after="0" w:line="360" w:lineRule="auto"/>
      </w:pPr>
    </w:p>
    <w:p w14:paraId="58E6B274" w14:textId="77777777" w:rsidR="00047A68" w:rsidRPr="004907F5" w:rsidRDefault="002A2F29">
      <w:pPr>
        <w:spacing w:after="0" w:line="360" w:lineRule="auto"/>
      </w:pPr>
      <w:r w:rsidRPr="004907F5">
        <w:t xml:space="preserve">Con fecha diecisiete de julio de dos mil veinticinco, la parte Solicitante presentó una solicitud de acceso a la información pública, a través del Sistema de Acceso a la Información Mexiquense, en lo sucesivo el SAIMEX, ante el </w:t>
      </w:r>
      <w:r w:rsidRPr="004907F5">
        <w:rPr>
          <w:b/>
        </w:rPr>
        <w:t>Ayuntamiento de Morelos</w:t>
      </w:r>
      <w:r w:rsidRPr="004907F5">
        <w:t>, en la que requirió lo siguiente:</w:t>
      </w:r>
    </w:p>
    <w:p w14:paraId="2558E2AF" w14:textId="77777777" w:rsidR="00047A68" w:rsidRPr="004907F5" w:rsidRDefault="00047A68">
      <w:pPr>
        <w:spacing w:after="0" w:line="360" w:lineRule="auto"/>
      </w:pPr>
    </w:p>
    <w:p w14:paraId="5DFD258B" w14:textId="77777777" w:rsidR="00047A68" w:rsidRPr="004907F5" w:rsidRDefault="002A2F29">
      <w:pPr>
        <w:tabs>
          <w:tab w:val="left" w:pos="567"/>
        </w:tabs>
        <w:spacing w:after="0" w:line="360" w:lineRule="auto"/>
        <w:ind w:left="567" w:right="709"/>
        <w:rPr>
          <w:b/>
          <w:sz w:val="20"/>
          <w:szCs w:val="20"/>
        </w:rPr>
      </w:pPr>
      <w:r w:rsidRPr="004907F5">
        <w:rPr>
          <w:b/>
          <w:sz w:val="20"/>
          <w:szCs w:val="20"/>
        </w:rPr>
        <w:t>Folio de la solicitud: 00189/MORELOS/IP/2025</w:t>
      </w:r>
    </w:p>
    <w:p w14:paraId="53963AC2" w14:textId="77777777" w:rsidR="00047A68" w:rsidRPr="004907F5" w:rsidRDefault="002A2F29">
      <w:pPr>
        <w:tabs>
          <w:tab w:val="left" w:pos="567"/>
        </w:tabs>
        <w:spacing w:after="0" w:line="360" w:lineRule="auto"/>
        <w:ind w:left="567" w:right="709"/>
        <w:rPr>
          <w:b/>
          <w:sz w:val="20"/>
          <w:szCs w:val="20"/>
        </w:rPr>
      </w:pPr>
      <w:r w:rsidRPr="004907F5">
        <w:rPr>
          <w:b/>
          <w:sz w:val="20"/>
          <w:szCs w:val="20"/>
        </w:rPr>
        <w:t>DESCRIPCIÓN CLARA Y PRECISA DE LA INFORMACIÓN SOLICITADA</w:t>
      </w:r>
    </w:p>
    <w:p w14:paraId="45590895" w14:textId="77777777" w:rsidR="00047A68" w:rsidRPr="004907F5" w:rsidRDefault="002A2F29">
      <w:pPr>
        <w:tabs>
          <w:tab w:val="left" w:pos="4667"/>
        </w:tabs>
        <w:spacing w:after="0" w:line="360" w:lineRule="auto"/>
        <w:ind w:left="567" w:right="709"/>
        <w:rPr>
          <w:i/>
          <w:sz w:val="20"/>
          <w:szCs w:val="20"/>
        </w:rPr>
      </w:pPr>
      <w:r w:rsidRPr="004907F5">
        <w:rPr>
          <w:i/>
          <w:sz w:val="20"/>
          <w:szCs w:val="20"/>
        </w:rPr>
        <w:t>“JUSTIFICAR POR QUE NO HAY INFORMACION EN EL PORTAL IPOMEX 4.0. TAMBIEN REQUIERO SABER LOS RESULTADOS DE LAS VERIFICACIONES VIRTUALES DE LAS OBLIGACIONES DE TRANSPARENCIA EN EL PORTAL DE INTERNET DEL SUJETO OBLIGADO (IPOMEX 4.0) DESD EL 2023 AL 17 DE JULIO DE 2025.” (Sic.)</w:t>
      </w:r>
    </w:p>
    <w:p w14:paraId="03AB0962" w14:textId="77777777" w:rsidR="00047A68" w:rsidRPr="004907F5" w:rsidRDefault="00047A68">
      <w:pPr>
        <w:tabs>
          <w:tab w:val="left" w:pos="4667"/>
        </w:tabs>
        <w:spacing w:after="0" w:line="360" w:lineRule="auto"/>
        <w:ind w:left="567" w:right="709"/>
        <w:rPr>
          <w:b/>
          <w:sz w:val="20"/>
          <w:szCs w:val="20"/>
        </w:rPr>
      </w:pPr>
    </w:p>
    <w:p w14:paraId="5393B27E" w14:textId="77777777" w:rsidR="00047A68" w:rsidRPr="004907F5" w:rsidRDefault="002A2F29">
      <w:pPr>
        <w:tabs>
          <w:tab w:val="left" w:pos="4667"/>
        </w:tabs>
        <w:spacing w:after="0" w:line="360" w:lineRule="auto"/>
        <w:ind w:left="567" w:right="709"/>
        <w:rPr>
          <w:b/>
          <w:sz w:val="20"/>
          <w:szCs w:val="20"/>
        </w:rPr>
      </w:pPr>
      <w:r w:rsidRPr="004907F5">
        <w:rPr>
          <w:b/>
          <w:sz w:val="20"/>
          <w:szCs w:val="20"/>
        </w:rPr>
        <w:t xml:space="preserve">MODALIDAD DE ENTREGA </w:t>
      </w:r>
      <w:r w:rsidRPr="004907F5">
        <w:rPr>
          <w:i/>
          <w:sz w:val="20"/>
          <w:szCs w:val="20"/>
        </w:rPr>
        <w:t>“A través del SAIMEX.”</w:t>
      </w:r>
    </w:p>
    <w:p w14:paraId="643366F6" w14:textId="77777777" w:rsidR="00047A68" w:rsidRPr="004907F5" w:rsidRDefault="00047A68">
      <w:pPr>
        <w:tabs>
          <w:tab w:val="left" w:pos="4667"/>
        </w:tabs>
        <w:spacing w:after="0" w:line="360" w:lineRule="auto"/>
        <w:ind w:right="709"/>
        <w:rPr>
          <w:i/>
        </w:rPr>
      </w:pPr>
    </w:p>
    <w:p w14:paraId="2301C762" w14:textId="77777777" w:rsidR="00047A68" w:rsidRPr="004907F5" w:rsidRDefault="002A2F29">
      <w:pPr>
        <w:pStyle w:val="Ttulo2"/>
        <w:spacing w:before="0" w:after="0"/>
      </w:pPr>
      <w:bookmarkStart w:id="5" w:name="_heading=h.tw49suwk7qr7" w:colFirst="0" w:colLast="0"/>
      <w:bookmarkStart w:id="6" w:name="_Toc213944428"/>
      <w:bookmarkEnd w:id="5"/>
      <w:r w:rsidRPr="004907F5">
        <w:lastRenderedPageBreak/>
        <w:t>II. Respuesta del Sujeto Obligado</w:t>
      </w:r>
      <w:bookmarkEnd w:id="6"/>
    </w:p>
    <w:p w14:paraId="164AB02E" w14:textId="77777777" w:rsidR="00047A68" w:rsidRPr="004907F5" w:rsidRDefault="00047A68">
      <w:pPr>
        <w:spacing w:after="0" w:line="360" w:lineRule="auto"/>
      </w:pPr>
    </w:p>
    <w:p w14:paraId="4A558351" w14:textId="77777777" w:rsidR="00047A68" w:rsidRPr="004907F5" w:rsidRDefault="002A2F29">
      <w:pPr>
        <w:spacing w:after="0" w:line="360" w:lineRule="auto"/>
      </w:pPr>
      <w:r w:rsidRPr="004907F5">
        <w:t>El veinte de agosto de dos mil veinticinco, el Sujeto Obligado a través de SAIMEX, dio respuesta, en los siguientes términos:</w:t>
      </w:r>
    </w:p>
    <w:p w14:paraId="4D9B9384" w14:textId="77777777" w:rsidR="00047A68" w:rsidRPr="004907F5" w:rsidRDefault="00047A68">
      <w:pPr>
        <w:spacing w:after="0" w:line="360" w:lineRule="auto"/>
      </w:pPr>
    </w:p>
    <w:p w14:paraId="647707AB" w14:textId="77777777" w:rsidR="00047A68" w:rsidRPr="004907F5" w:rsidRDefault="002A2F29">
      <w:pPr>
        <w:spacing w:after="0" w:line="360" w:lineRule="auto"/>
        <w:ind w:left="567" w:right="709"/>
        <w:rPr>
          <w:i/>
          <w:sz w:val="20"/>
          <w:szCs w:val="20"/>
        </w:rPr>
      </w:pPr>
      <w:r w:rsidRPr="004907F5">
        <w:rPr>
          <w:i/>
          <w:sz w:val="20"/>
          <w:szCs w:val="20"/>
        </w:rPr>
        <w:t>“A QUIEN CORRESPONDA P R E S E N T E: Por medio del presente envió un saludo y al mismo tiempo conforme a lo establecido en los artículos 4, 12, 16, 19, 23 fracción IV, 24 fracción XI y último párrafo de la Ley de Transparencia y Acceso a la Información Pública del Estado de México y Municipios, en el sentido de dar respuesta a la solicitud de información No. 00189/MORELOS/IP/2025, recibida por esta dependencia a través del Sistema de Acceso a la Información Mexiquense (SAIMEX), con fecha de 17 de Julio de 2025, dirigida al Ayuntamiento de Morelos, Estado de México como sujeto Obligado de la Ley de Transparencia y Acceso a la Información Pública del Estado de México y Municipios, haciéndolo de la siguiente forma: Usted realizo la petición consistente en: “JUSTIFICAR POR QUE NO HAY INFORMACIÓN EN EL PORTAL IPOMEX 4.0. TAMBIÉN REQUIERO SABER LOS RESULTADOS DE LAS VERIFICACIONES VIRTUALES DE LAS OBLIGACIONES DE TRANSPARENCIA EN EL PORTAL DE INTERNET DEL SUJETO OBLIGADO (IPOMEX 4.0) DESDE EL 2023 AL 17 DE JULIO DE 2025.”; Derivado de lo anterior y haciendo énfasis en el artículo 12 de la Ley de Transparencia y Acceso a la Información Pública del Estado de México y Municipios, se da respuesta a lo solicitado, informando que dicha respuesta tiene contenido de manera clara y especifica lo solicitado, evitando que el solicitante realice investigaciones o calculo alguno.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me despido de usted.”</w:t>
      </w:r>
    </w:p>
    <w:p w14:paraId="456E075C" w14:textId="77777777" w:rsidR="00047A68" w:rsidRPr="004907F5" w:rsidRDefault="00047A68">
      <w:pPr>
        <w:spacing w:after="0" w:line="360" w:lineRule="auto"/>
      </w:pPr>
    </w:p>
    <w:p w14:paraId="291D1EE7" w14:textId="77777777" w:rsidR="00047A68" w:rsidRPr="004907F5" w:rsidRDefault="002A2F29">
      <w:pPr>
        <w:spacing w:after="0" w:line="360" w:lineRule="auto"/>
      </w:pPr>
      <w:r w:rsidRPr="004907F5">
        <w:t>El Sujeto Obligado adjuntó los siguientes documentos:</w:t>
      </w:r>
    </w:p>
    <w:p w14:paraId="5D374C86" w14:textId="77777777" w:rsidR="00047A68" w:rsidRPr="004907F5" w:rsidRDefault="00047A68">
      <w:pPr>
        <w:spacing w:after="0" w:line="360" w:lineRule="auto"/>
      </w:pPr>
    </w:p>
    <w:p w14:paraId="2D7F8AE5" w14:textId="77777777" w:rsidR="00047A68" w:rsidRPr="004907F5" w:rsidRDefault="002A2F29">
      <w:pPr>
        <w:numPr>
          <w:ilvl w:val="0"/>
          <w:numId w:val="1"/>
        </w:numPr>
        <w:pBdr>
          <w:top w:val="nil"/>
          <w:left w:val="nil"/>
          <w:bottom w:val="nil"/>
          <w:right w:val="nil"/>
          <w:between w:val="nil"/>
        </w:pBdr>
        <w:spacing w:after="0" w:line="360" w:lineRule="auto"/>
        <w:rPr>
          <w:b/>
          <w:i/>
          <w:color w:val="000000"/>
        </w:rPr>
      </w:pPr>
      <w:r w:rsidRPr="004907F5">
        <w:rPr>
          <w:b/>
          <w:i/>
          <w:color w:val="000000"/>
        </w:rPr>
        <w:lastRenderedPageBreak/>
        <w:t xml:space="preserve">Respuesta Solicitud 189.pdf; </w:t>
      </w:r>
      <w:r w:rsidRPr="004907F5">
        <w:rPr>
          <w:color w:val="000000"/>
        </w:rPr>
        <w:t>del que se advierte un oficio suscrito por el Titular de la Unidad de Transparencia, en el que informó lo siguiente:</w:t>
      </w:r>
    </w:p>
    <w:p w14:paraId="31A7F930" w14:textId="77777777" w:rsidR="006E20B0" w:rsidRPr="004907F5" w:rsidRDefault="006E20B0" w:rsidP="006E20B0">
      <w:pPr>
        <w:pBdr>
          <w:top w:val="nil"/>
          <w:left w:val="nil"/>
          <w:bottom w:val="nil"/>
          <w:right w:val="nil"/>
          <w:between w:val="nil"/>
        </w:pBdr>
        <w:spacing w:after="0" w:line="360" w:lineRule="auto"/>
        <w:ind w:left="720"/>
        <w:rPr>
          <w:b/>
          <w:i/>
          <w:color w:val="000000"/>
        </w:rPr>
      </w:pPr>
    </w:p>
    <w:p w14:paraId="11004158" w14:textId="77777777" w:rsidR="00047A68" w:rsidRPr="004907F5" w:rsidRDefault="002A2F29">
      <w:pPr>
        <w:spacing w:after="0" w:line="360" w:lineRule="auto"/>
        <w:ind w:left="567" w:right="709"/>
        <w:rPr>
          <w:b/>
          <w:i/>
          <w:sz w:val="20"/>
          <w:szCs w:val="20"/>
        </w:rPr>
      </w:pPr>
      <w:r w:rsidRPr="004907F5">
        <w:rPr>
          <w:b/>
          <w:i/>
          <w:sz w:val="20"/>
          <w:szCs w:val="20"/>
        </w:rPr>
        <w:t>“…</w:t>
      </w:r>
    </w:p>
    <w:p w14:paraId="51D791C1" w14:textId="77777777" w:rsidR="00047A68" w:rsidRPr="004907F5" w:rsidRDefault="002A2F29">
      <w:pPr>
        <w:spacing w:after="0" w:line="360" w:lineRule="auto"/>
        <w:ind w:left="567" w:right="709"/>
        <w:rPr>
          <w:i/>
          <w:sz w:val="20"/>
          <w:szCs w:val="20"/>
        </w:rPr>
      </w:pPr>
      <w:r w:rsidRPr="004907F5">
        <w:rPr>
          <w:i/>
          <w:sz w:val="20"/>
          <w:szCs w:val="20"/>
        </w:rPr>
        <w:t>Derivado de lo anterior y conforme al artículo 12 de la Ley de Transparencia y Acceso a la Información Pública del Estado de México y Municipios, informo lo siguiente, la actualización en el portal de Información Pública Mexiquense se actualiza conforme a la tabla de actualización y conservación de la información pública derivada de las obligaciones de transparencia, del mismo modo solicita saber los resultados de las verificaciones virtuales desde el 2023 al 17 de julio de 2025, de lo cual informo lo siguiente:</w:t>
      </w:r>
    </w:p>
    <w:p w14:paraId="55FF6936" w14:textId="77777777" w:rsidR="00047A68" w:rsidRPr="004907F5" w:rsidRDefault="00047A68">
      <w:pPr>
        <w:spacing w:after="0" w:line="360" w:lineRule="auto"/>
        <w:rPr>
          <w:i/>
        </w:rPr>
      </w:pPr>
    </w:p>
    <w:p w14:paraId="42741D20" w14:textId="77777777" w:rsidR="00047A68" w:rsidRPr="004907F5" w:rsidRDefault="002A2F29" w:rsidP="006E20B0">
      <w:pPr>
        <w:spacing w:after="0" w:line="360" w:lineRule="auto"/>
        <w:jc w:val="center"/>
        <w:rPr>
          <w:b/>
          <w:i/>
        </w:rPr>
      </w:pPr>
      <w:r w:rsidRPr="004907F5">
        <w:rPr>
          <w:noProof/>
        </w:rPr>
        <w:drawing>
          <wp:inline distT="0" distB="0" distL="0" distR="0" wp14:anchorId="7FCF069C" wp14:editId="356128E6">
            <wp:extent cx="5061098" cy="1796902"/>
            <wp:effectExtent l="0" t="0" r="0" b="0"/>
            <wp:docPr id="5172153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1648"/>
                    <a:stretch>
                      <a:fillRect/>
                    </a:stretch>
                  </pic:blipFill>
                  <pic:spPr>
                    <a:xfrm>
                      <a:off x="0" y="0"/>
                      <a:ext cx="5104913" cy="1812458"/>
                    </a:xfrm>
                    <a:prstGeom prst="rect">
                      <a:avLst/>
                    </a:prstGeom>
                    <a:ln/>
                  </pic:spPr>
                </pic:pic>
              </a:graphicData>
            </a:graphic>
          </wp:inline>
        </w:drawing>
      </w:r>
    </w:p>
    <w:p w14:paraId="7B8E2CAA" w14:textId="77777777" w:rsidR="00047A68" w:rsidRPr="004907F5" w:rsidRDefault="002A2F29" w:rsidP="006E20B0">
      <w:pPr>
        <w:spacing w:after="0" w:line="360" w:lineRule="auto"/>
        <w:jc w:val="center"/>
        <w:rPr>
          <w:b/>
          <w:i/>
        </w:rPr>
      </w:pPr>
      <w:r w:rsidRPr="004907F5">
        <w:rPr>
          <w:noProof/>
        </w:rPr>
        <w:drawing>
          <wp:inline distT="0" distB="0" distL="0" distR="0" wp14:anchorId="07F840A0" wp14:editId="61151B51">
            <wp:extent cx="5060950" cy="1637414"/>
            <wp:effectExtent l="0" t="0" r="0" b="1270"/>
            <wp:docPr id="517215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15578" cy="1655088"/>
                    </a:xfrm>
                    <a:prstGeom prst="rect">
                      <a:avLst/>
                    </a:prstGeom>
                    <a:ln/>
                  </pic:spPr>
                </pic:pic>
              </a:graphicData>
            </a:graphic>
          </wp:inline>
        </w:drawing>
      </w:r>
    </w:p>
    <w:p w14:paraId="18546002" w14:textId="77777777" w:rsidR="00047A68" w:rsidRPr="004907F5" w:rsidRDefault="002A2F29" w:rsidP="006E20B0">
      <w:pPr>
        <w:spacing w:after="0" w:line="360" w:lineRule="auto"/>
        <w:ind w:left="567" w:right="709"/>
        <w:rPr>
          <w:b/>
          <w:i/>
          <w:sz w:val="20"/>
          <w:szCs w:val="20"/>
        </w:rPr>
      </w:pPr>
      <w:r w:rsidRPr="004907F5">
        <w:rPr>
          <w:b/>
          <w:i/>
          <w:sz w:val="20"/>
          <w:szCs w:val="20"/>
        </w:rPr>
        <w:t>…”</w:t>
      </w:r>
    </w:p>
    <w:p w14:paraId="77F3F5EE" w14:textId="77777777" w:rsidR="00047A68" w:rsidRPr="004907F5" w:rsidRDefault="00047A68">
      <w:pPr>
        <w:spacing w:after="0" w:line="360" w:lineRule="auto"/>
        <w:rPr>
          <w:b/>
          <w:i/>
        </w:rPr>
      </w:pPr>
    </w:p>
    <w:p w14:paraId="652E970E" w14:textId="77777777" w:rsidR="00047A68" w:rsidRPr="004907F5" w:rsidRDefault="002A2F29">
      <w:pPr>
        <w:pStyle w:val="Ttulo2"/>
        <w:spacing w:before="0" w:after="0"/>
      </w:pPr>
      <w:bookmarkStart w:id="7" w:name="_heading=h.b68yvoj86xcc" w:colFirst="0" w:colLast="0"/>
      <w:bookmarkStart w:id="8" w:name="_Toc213944429"/>
      <w:bookmarkEnd w:id="7"/>
      <w:r w:rsidRPr="004907F5">
        <w:t>III. Interposición del Recurso de Revisión</w:t>
      </w:r>
      <w:bookmarkEnd w:id="8"/>
    </w:p>
    <w:p w14:paraId="4765EDFE" w14:textId="77777777" w:rsidR="00047A68" w:rsidRPr="004907F5" w:rsidRDefault="00047A68">
      <w:pPr>
        <w:spacing w:after="0" w:line="360" w:lineRule="auto"/>
        <w:rPr>
          <w:b/>
        </w:rPr>
      </w:pPr>
    </w:p>
    <w:p w14:paraId="2C68176B" w14:textId="77777777" w:rsidR="00047A68" w:rsidRPr="004907F5" w:rsidRDefault="002A2F29">
      <w:pPr>
        <w:spacing w:after="0" w:line="360" w:lineRule="auto"/>
      </w:pPr>
      <w:bookmarkStart w:id="9" w:name="_heading=h.2et92p0" w:colFirst="0" w:colLast="0"/>
      <w:bookmarkEnd w:id="9"/>
      <w:r w:rsidRPr="004907F5">
        <w:lastRenderedPageBreak/>
        <w:t>Con fecha veinte de agosto de dos mil veinticinco, se recibió en este Instituto, a través del SAIMEX, el Recurso de Revisión interpuesto por la persona Recurrente, en los siguientes términos:</w:t>
      </w:r>
    </w:p>
    <w:p w14:paraId="30573E29" w14:textId="77777777" w:rsidR="00047A68" w:rsidRPr="004907F5" w:rsidRDefault="00047A68">
      <w:pPr>
        <w:spacing w:after="0" w:line="360" w:lineRule="auto"/>
      </w:pPr>
    </w:p>
    <w:p w14:paraId="1DF88004" w14:textId="77777777" w:rsidR="00047A68" w:rsidRPr="004907F5" w:rsidRDefault="002A2F29">
      <w:pPr>
        <w:spacing w:after="0" w:line="360" w:lineRule="auto"/>
        <w:ind w:left="567" w:right="709"/>
        <w:rPr>
          <w:b/>
          <w:sz w:val="20"/>
          <w:szCs w:val="20"/>
        </w:rPr>
      </w:pPr>
      <w:r w:rsidRPr="004907F5">
        <w:rPr>
          <w:b/>
          <w:sz w:val="20"/>
          <w:szCs w:val="20"/>
        </w:rPr>
        <w:t>ACTO IMPUGNADO</w:t>
      </w:r>
      <w:r w:rsidRPr="004907F5">
        <w:rPr>
          <w:b/>
          <w:sz w:val="20"/>
          <w:szCs w:val="20"/>
        </w:rPr>
        <w:tab/>
      </w:r>
    </w:p>
    <w:p w14:paraId="6153DA1D" w14:textId="77777777" w:rsidR="00047A68" w:rsidRPr="004907F5" w:rsidRDefault="002A2F29">
      <w:pPr>
        <w:spacing w:after="0" w:line="360" w:lineRule="auto"/>
        <w:ind w:left="567" w:right="709"/>
        <w:rPr>
          <w:i/>
          <w:sz w:val="20"/>
          <w:szCs w:val="20"/>
        </w:rPr>
      </w:pPr>
      <w:r w:rsidRPr="004907F5">
        <w:rPr>
          <w:i/>
          <w:sz w:val="20"/>
          <w:szCs w:val="20"/>
        </w:rPr>
        <w:t>“INFORMACION INCOMPLETA” (Sic.)</w:t>
      </w:r>
    </w:p>
    <w:p w14:paraId="68E3815F" w14:textId="77777777" w:rsidR="00047A68" w:rsidRPr="004907F5" w:rsidRDefault="00047A68">
      <w:pPr>
        <w:spacing w:after="0" w:line="360" w:lineRule="auto"/>
        <w:ind w:left="567" w:right="709"/>
        <w:rPr>
          <w:sz w:val="20"/>
          <w:szCs w:val="20"/>
        </w:rPr>
      </w:pPr>
    </w:p>
    <w:p w14:paraId="7AE6F67F" w14:textId="77777777" w:rsidR="00047A68" w:rsidRPr="004907F5" w:rsidRDefault="002A2F29">
      <w:pPr>
        <w:spacing w:after="0" w:line="360" w:lineRule="auto"/>
        <w:ind w:left="567" w:right="709"/>
        <w:rPr>
          <w:b/>
          <w:sz w:val="20"/>
          <w:szCs w:val="20"/>
        </w:rPr>
      </w:pPr>
      <w:r w:rsidRPr="004907F5">
        <w:rPr>
          <w:b/>
          <w:sz w:val="20"/>
          <w:szCs w:val="20"/>
        </w:rPr>
        <w:t>RAZONES O MOTIVOS DE LA INCONFORMIDAD</w:t>
      </w:r>
      <w:r w:rsidRPr="004907F5">
        <w:rPr>
          <w:b/>
          <w:sz w:val="20"/>
          <w:szCs w:val="20"/>
        </w:rPr>
        <w:tab/>
      </w:r>
    </w:p>
    <w:p w14:paraId="098B4FF0" w14:textId="77777777" w:rsidR="00047A68" w:rsidRPr="004907F5" w:rsidRDefault="002A2F29">
      <w:pPr>
        <w:tabs>
          <w:tab w:val="left" w:pos="4667"/>
        </w:tabs>
        <w:spacing w:after="0" w:line="360" w:lineRule="auto"/>
        <w:ind w:left="567" w:right="709"/>
        <w:rPr>
          <w:i/>
          <w:sz w:val="20"/>
          <w:szCs w:val="20"/>
        </w:rPr>
      </w:pPr>
      <w:r w:rsidRPr="004907F5">
        <w:rPr>
          <w:i/>
          <w:sz w:val="20"/>
          <w:szCs w:val="20"/>
        </w:rPr>
        <w:t xml:space="preserve">“SE SOLICITO LA JUSTIFICACION POR QUE NO HAY INFORMACIÓN EN EL PORTAL IPOMEX 4.0 (SU PLATAFORMA DE IPOMEX NO CONTIENE LA INFORMACION PUBLICA DE ESE SUJETO OBLIGADO, DEL PRIMER Y SEGUNDO </w:t>
      </w:r>
      <w:proofErr w:type="gramStart"/>
      <w:r w:rsidRPr="004907F5">
        <w:rPr>
          <w:i/>
          <w:sz w:val="20"/>
          <w:szCs w:val="20"/>
        </w:rPr>
        <w:t>TRIMESTRE )</w:t>
      </w:r>
      <w:proofErr w:type="gramEnd"/>
      <w:r w:rsidRPr="004907F5">
        <w:rPr>
          <w:i/>
          <w:sz w:val="20"/>
          <w:szCs w:val="20"/>
        </w:rPr>
        <w:t>”  (Sic.)</w:t>
      </w:r>
    </w:p>
    <w:p w14:paraId="40866FF2" w14:textId="77777777" w:rsidR="00047A68" w:rsidRPr="004907F5" w:rsidRDefault="00047A68">
      <w:pPr>
        <w:tabs>
          <w:tab w:val="left" w:pos="4667"/>
        </w:tabs>
        <w:spacing w:after="0" w:line="360" w:lineRule="auto"/>
      </w:pPr>
    </w:p>
    <w:p w14:paraId="008174E1" w14:textId="77777777" w:rsidR="00047A68" w:rsidRPr="004907F5" w:rsidRDefault="002A2F29">
      <w:pPr>
        <w:pStyle w:val="Ttulo2"/>
        <w:spacing w:before="0" w:after="0"/>
      </w:pPr>
      <w:bookmarkStart w:id="10" w:name="_heading=h.eio7g5aijbw5" w:colFirst="0" w:colLast="0"/>
      <w:bookmarkStart w:id="11" w:name="_Toc213944430"/>
      <w:bookmarkEnd w:id="10"/>
      <w:r w:rsidRPr="004907F5">
        <w:t>IV. Trámite del Recurso de Revisión ante este Instituto</w:t>
      </w:r>
      <w:bookmarkEnd w:id="11"/>
    </w:p>
    <w:p w14:paraId="016D86AD" w14:textId="77777777" w:rsidR="00047A68" w:rsidRPr="004907F5" w:rsidRDefault="00047A68">
      <w:pPr>
        <w:spacing w:after="0" w:line="360" w:lineRule="auto"/>
        <w:rPr>
          <w:b/>
        </w:rPr>
      </w:pPr>
    </w:p>
    <w:p w14:paraId="61D45165" w14:textId="77777777" w:rsidR="00047A68" w:rsidRPr="004907F5" w:rsidRDefault="002A2F29">
      <w:pPr>
        <w:spacing w:after="0" w:line="360" w:lineRule="auto"/>
      </w:pPr>
      <w:r w:rsidRPr="004907F5">
        <w:rPr>
          <w:b/>
        </w:rPr>
        <w:t>a) Turno del Medio de Impugnación.</w:t>
      </w:r>
      <w:r w:rsidRPr="004907F5">
        <w:t xml:space="preserve"> El veinte de agosto de dos mil veinticinco, el SAIMEX, asignó el número de expediente</w:t>
      </w:r>
      <w:r w:rsidRPr="004907F5">
        <w:rPr>
          <w:b/>
        </w:rPr>
        <w:t xml:space="preserve"> 09851/INFOEM/IP/RR/2025, </w:t>
      </w:r>
      <w:r w:rsidRPr="004907F5">
        <w:t>al medio de impugnación que nos ocupan, con base en el sistema aprobado por el Pleno de este Órgano Garante y se turnó a la Comisionada Sharon Cristina Morales Martínez, para los efectos del artículo 185, fracción I de la Ley de Transparencia y Acceso a la Información Pública del Estado de México y Municipios.</w:t>
      </w:r>
    </w:p>
    <w:p w14:paraId="29437E06" w14:textId="77777777" w:rsidR="00047A68" w:rsidRPr="004907F5" w:rsidRDefault="00047A68">
      <w:pPr>
        <w:spacing w:after="0" w:line="360" w:lineRule="auto"/>
      </w:pPr>
    </w:p>
    <w:p w14:paraId="1D466DBF" w14:textId="77777777" w:rsidR="00047A68" w:rsidRPr="004907F5" w:rsidRDefault="002A2F29">
      <w:pPr>
        <w:spacing w:after="0" w:line="360" w:lineRule="auto"/>
      </w:pPr>
      <w:r w:rsidRPr="004907F5">
        <w:rPr>
          <w:b/>
        </w:rPr>
        <w:t>b) Admisión del Recurso de Revisión.</w:t>
      </w:r>
      <w:r w:rsidRPr="004907F5">
        <w:t xml:space="preserve"> El veinticinco de agosto de dos mil veinticinco, se notificó a través del SAIMEX, el acuerdo de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31ECE964" w14:textId="77777777" w:rsidR="00047A68" w:rsidRPr="004907F5" w:rsidRDefault="00047A68">
      <w:pPr>
        <w:spacing w:after="0" w:line="360" w:lineRule="auto"/>
      </w:pPr>
    </w:p>
    <w:p w14:paraId="68C27339" w14:textId="77777777" w:rsidR="00047A68" w:rsidRPr="004907F5" w:rsidRDefault="002A2F29">
      <w:pPr>
        <w:spacing w:after="0" w:line="360" w:lineRule="auto"/>
        <w:rPr>
          <w:color w:val="000000"/>
        </w:rPr>
      </w:pPr>
      <w:r w:rsidRPr="004907F5">
        <w:rPr>
          <w:b/>
        </w:rPr>
        <w:lastRenderedPageBreak/>
        <w:t xml:space="preserve">c) </w:t>
      </w:r>
      <w:r w:rsidRPr="004907F5">
        <w:rPr>
          <w:b/>
          <w:color w:val="000000"/>
        </w:rPr>
        <w:t xml:space="preserve">Informe Justificado. </w:t>
      </w:r>
      <w:r w:rsidRPr="004907F5">
        <w:rPr>
          <w:color w:val="000000"/>
        </w:rPr>
        <w:t>En fecha cinco de noviembre de dos mil veinticinco, se recibió en este Instituto, a través del Sistema de Acceso a la Información Mexiquense (SAIMEX), el Informe Justificado, por parte del Sujeto Obligado, en los siguientes términos:</w:t>
      </w:r>
    </w:p>
    <w:p w14:paraId="06CB4001" w14:textId="77777777" w:rsidR="00047A68" w:rsidRPr="004907F5" w:rsidRDefault="00047A68">
      <w:pPr>
        <w:spacing w:after="0" w:line="360" w:lineRule="auto"/>
        <w:rPr>
          <w:color w:val="000000"/>
        </w:rPr>
      </w:pPr>
    </w:p>
    <w:p w14:paraId="3E63283A" w14:textId="77777777" w:rsidR="00047A68" w:rsidRPr="004907F5" w:rsidRDefault="002A2F29">
      <w:pPr>
        <w:numPr>
          <w:ilvl w:val="0"/>
          <w:numId w:val="2"/>
        </w:numPr>
        <w:pBdr>
          <w:top w:val="nil"/>
          <w:left w:val="nil"/>
          <w:bottom w:val="nil"/>
          <w:right w:val="nil"/>
          <w:between w:val="nil"/>
        </w:pBdr>
        <w:spacing w:after="0" w:line="360" w:lineRule="auto"/>
        <w:rPr>
          <w:b/>
          <w:color w:val="000000"/>
        </w:rPr>
      </w:pPr>
      <w:r w:rsidRPr="004907F5">
        <w:rPr>
          <w:b/>
          <w:i/>
          <w:color w:val="000000"/>
        </w:rPr>
        <w:t xml:space="preserve">189 </w:t>
      </w:r>
      <w:proofErr w:type="gramStart"/>
      <w:r w:rsidRPr="004907F5">
        <w:rPr>
          <w:b/>
          <w:i/>
          <w:color w:val="000000"/>
        </w:rPr>
        <w:t>Manifestaciones</w:t>
      </w:r>
      <w:proofErr w:type="gramEnd"/>
      <w:r w:rsidRPr="004907F5">
        <w:rPr>
          <w:b/>
          <w:i/>
          <w:color w:val="000000"/>
        </w:rPr>
        <w:t xml:space="preserve"> .</w:t>
      </w:r>
      <w:proofErr w:type="spellStart"/>
      <w:r w:rsidRPr="004907F5">
        <w:rPr>
          <w:b/>
          <w:i/>
          <w:color w:val="000000"/>
        </w:rPr>
        <w:t>pdf</w:t>
      </w:r>
      <w:proofErr w:type="spellEnd"/>
      <w:r w:rsidRPr="004907F5">
        <w:rPr>
          <w:b/>
          <w:i/>
          <w:color w:val="000000"/>
        </w:rPr>
        <w:t>;</w:t>
      </w:r>
      <w:r w:rsidRPr="004907F5">
        <w:rPr>
          <w:b/>
          <w:color w:val="000000"/>
        </w:rPr>
        <w:t xml:space="preserve"> </w:t>
      </w:r>
      <w:r w:rsidRPr="004907F5">
        <w:rPr>
          <w:color w:val="000000"/>
        </w:rPr>
        <w:t>del que se desprende un oficio suscrito por el Titular de la Unidad de Transparencia, en el que ratificó la respuesta inicial y señaló:</w:t>
      </w:r>
    </w:p>
    <w:p w14:paraId="7D0B05F1" w14:textId="77777777" w:rsidR="00047A68" w:rsidRPr="004907F5" w:rsidRDefault="00047A68">
      <w:pPr>
        <w:pBdr>
          <w:top w:val="nil"/>
          <w:left w:val="nil"/>
          <w:bottom w:val="nil"/>
          <w:right w:val="nil"/>
          <w:between w:val="nil"/>
        </w:pBdr>
        <w:spacing w:after="0" w:line="360" w:lineRule="auto"/>
        <w:rPr>
          <w:b/>
          <w:color w:val="000000"/>
        </w:rPr>
      </w:pPr>
    </w:p>
    <w:p w14:paraId="2AEFFCB1" w14:textId="77777777" w:rsidR="00047A68" w:rsidRPr="004907F5" w:rsidRDefault="002A2F29">
      <w:pPr>
        <w:pBdr>
          <w:top w:val="nil"/>
          <w:left w:val="nil"/>
          <w:bottom w:val="nil"/>
          <w:right w:val="nil"/>
          <w:between w:val="nil"/>
        </w:pBdr>
        <w:spacing w:after="0" w:line="360" w:lineRule="auto"/>
        <w:ind w:left="567" w:right="709"/>
        <w:rPr>
          <w:i/>
          <w:color w:val="000000"/>
          <w:sz w:val="20"/>
          <w:szCs w:val="20"/>
        </w:rPr>
      </w:pPr>
      <w:r w:rsidRPr="004907F5">
        <w:rPr>
          <w:i/>
          <w:color w:val="000000"/>
          <w:sz w:val="20"/>
          <w:szCs w:val="20"/>
        </w:rPr>
        <w:t>“…</w:t>
      </w:r>
    </w:p>
    <w:p w14:paraId="53BDDBCE" w14:textId="77777777" w:rsidR="00047A68" w:rsidRPr="004907F5" w:rsidRDefault="002A2F29">
      <w:pPr>
        <w:pBdr>
          <w:top w:val="nil"/>
          <w:left w:val="nil"/>
          <w:bottom w:val="nil"/>
          <w:right w:val="nil"/>
          <w:between w:val="nil"/>
        </w:pBdr>
        <w:spacing w:after="0" w:line="360" w:lineRule="auto"/>
        <w:ind w:left="567" w:right="709"/>
        <w:rPr>
          <w:i/>
          <w:color w:val="000000"/>
          <w:sz w:val="20"/>
          <w:szCs w:val="20"/>
        </w:rPr>
      </w:pPr>
      <w:r w:rsidRPr="004907F5">
        <w:rPr>
          <w:i/>
          <w:color w:val="000000"/>
          <w:sz w:val="20"/>
          <w:szCs w:val="20"/>
        </w:rPr>
        <w:t xml:space="preserve">El solicitante pretende se atiendan cuestionamientos fuera del derecho a acceso a la información, toda vez que dicha información se encuentra en la plataforma de IPOMEX de acuerdo y de conformidad a la tabla de aplicabilidad para este Ayuntamiento como Sujeto Obligado, prueba de ello es la calificación obtenida derivada del proceso de verificación virtual oficiosa 2025 realizada por el área correspondiente del </w:t>
      </w:r>
      <w:proofErr w:type="spellStart"/>
      <w:r w:rsidRPr="004907F5">
        <w:rPr>
          <w:i/>
          <w:color w:val="000000"/>
          <w:sz w:val="20"/>
          <w:szCs w:val="20"/>
        </w:rPr>
        <w:t>Infoem</w:t>
      </w:r>
      <w:proofErr w:type="spellEnd"/>
      <w:r w:rsidRPr="004907F5">
        <w:rPr>
          <w:i/>
          <w:color w:val="000000"/>
          <w:sz w:val="20"/>
          <w:szCs w:val="20"/>
        </w:rPr>
        <w:t>, y su inconformidad no trasciende o genera un interés público propiamente, se refiere más a un interés personal o propio; además de que requiere se justifique conforme a sus intereses a efecto de que sea de manera pronunciada o propiamente generada mediante documentos ad hoc, al respecto resulta aplicable lo establecido en el artículo 12 segundo párrafo de la Ley de Transparencia local;</w:t>
      </w:r>
    </w:p>
    <w:p w14:paraId="35A64EF2" w14:textId="77777777" w:rsidR="00047A68" w:rsidRPr="004907F5" w:rsidRDefault="002A2F29">
      <w:pPr>
        <w:pBdr>
          <w:top w:val="nil"/>
          <w:left w:val="nil"/>
          <w:bottom w:val="nil"/>
          <w:right w:val="nil"/>
          <w:between w:val="nil"/>
        </w:pBdr>
        <w:spacing w:after="0" w:line="360" w:lineRule="auto"/>
        <w:ind w:left="567" w:right="709"/>
        <w:rPr>
          <w:i/>
          <w:color w:val="000000"/>
          <w:sz w:val="20"/>
          <w:szCs w:val="20"/>
        </w:rPr>
      </w:pPr>
      <w:r w:rsidRPr="004907F5">
        <w:rPr>
          <w:i/>
          <w:color w:val="000000"/>
          <w:sz w:val="20"/>
          <w:szCs w:val="20"/>
        </w:rPr>
        <w:t>…”</w:t>
      </w:r>
    </w:p>
    <w:p w14:paraId="482F5CFA" w14:textId="77777777" w:rsidR="00047A68" w:rsidRPr="004907F5" w:rsidRDefault="00047A68">
      <w:pPr>
        <w:pBdr>
          <w:top w:val="nil"/>
          <w:left w:val="nil"/>
          <w:bottom w:val="nil"/>
          <w:right w:val="nil"/>
          <w:between w:val="nil"/>
        </w:pBdr>
        <w:spacing w:after="0" w:line="360" w:lineRule="auto"/>
        <w:ind w:left="567" w:right="709"/>
        <w:rPr>
          <w:i/>
          <w:color w:val="000000"/>
        </w:rPr>
      </w:pPr>
    </w:p>
    <w:p w14:paraId="5C0EAC19" w14:textId="77777777" w:rsidR="00047A68" w:rsidRPr="004907F5" w:rsidRDefault="002A2F29">
      <w:pPr>
        <w:spacing w:after="0" w:line="360" w:lineRule="auto"/>
        <w:rPr>
          <w:color w:val="000000"/>
        </w:rPr>
      </w:pPr>
      <w:r w:rsidRPr="004907F5">
        <w:rPr>
          <w:b/>
          <w:color w:val="000000"/>
        </w:rPr>
        <w:t xml:space="preserve">d) Vista de Informe Justificado. </w:t>
      </w:r>
      <w:r w:rsidRPr="004907F5">
        <w:rPr>
          <w:color w:val="000000"/>
        </w:rPr>
        <w:t>El cinco de noviembre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9ED2DA6" w14:textId="77777777" w:rsidR="00047A68" w:rsidRPr="004907F5" w:rsidRDefault="00047A68">
      <w:pPr>
        <w:widowControl w:val="0"/>
        <w:spacing w:after="0" w:line="360" w:lineRule="auto"/>
        <w:rPr>
          <w:b/>
        </w:rPr>
      </w:pPr>
    </w:p>
    <w:p w14:paraId="5AFD08BA" w14:textId="77777777" w:rsidR="00047A68" w:rsidRPr="004907F5" w:rsidRDefault="002A2F29">
      <w:pPr>
        <w:spacing w:after="0" w:line="360" w:lineRule="auto"/>
      </w:pPr>
      <w:r w:rsidRPr="004907F5">
        <w:rPr>
          <w:b/>
        </w:rPr>
        <w:t xml:space="preserve">e) Manifestaciones de la parte Recurrente. </w:t>
      </w:r>
      <w:r w:rsidRPr="004907F5">
        <w:t>De las constancias que integran el expediente se advierte que la parte Recurrente no añadió manifestaciones.</w:t>
      </w:r>
    </w:p>
    <w:p w14:paraId="3844B617" w14:textId="77777777" w:rsidR="00047A68" w:rsidRPr="004907F5" w:rsidRDefault="00047A68">
      <w:pPr>
        <w:spacing w:after="0" w:line="360" w:lineRule="auto"/>
      </w:pPr>
    </w:p>
    <w:p w14:paraId="3F0A671F" w14:textId="7F78CDEB" w:rsidR="00047A68" w:rsidRPr="004907F5" w:rsidRDefault="002A2F29">
      <w:pPr>
        <w:spacing w:after="0" w:line="360" w:lineRule="auto"/>
        <w:rPr>
          <w:b/>
          <w:color w:val="000000"/>
        </w:rPr>
      </w:pPr>
      <w:r w:rsidRPr="004907F5">
        <w:rPr>
          <w:b/>
          <w:color w:val="000000"/>
        </w:rPr>
        <w:lastRenderedPageBreak/>
        <w:t>f)</w:t>
      </w:r>
      <w:r w:rsidRPr="004907F5">
        <w:rPr>
          <w:color w:val="000000"/>
        </w:rPr>
        <w:t xml:space="preserve"> </w:t>
      </w:r>
      <w:r w:rsidRPr="004907F5">
        <w:rPr>
          <w:b/>
          <w:color w:val="000000"/>
        </w:rPr>
        <w:t>Ampliación de plazo para resolver</w:t>
      </w:r>
      <w:r w:rsidRPr="004907F5">
        <w:rPr>
          <w:color w:val="000000"/>
        </w:rPr>
        <w:t xml:space="preserve">. El </w:t>
      </w:r>
      <w:r w:rsidR="004907F5" w:rsidRPr="004907F5">
        <w:rPr>
          <w:color w:val="000000"/>
        </w:rPr>
        <w:t>cinco de noviembre</w:t>
      </w:r>
      <w:r w:rsidRPr="004907F5">
        <w:rPr>
          <w:color w:val="000000"/>
        </w:rPr>
        <w:t xml:space="preserv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en la misma fecha, mediante el SAIMEX.</w:t>
      </w:r>
    </w:p>
    <w:p w14:paraId="0D22F724" w14:textId="77777777" w:rsidR="00047A68" w:rsidRPr="004907F5" w:rsidRDefault="00047A68">
      <w:pPr>
        <w:spacing w:after="0" w:line="360" w:lineRule="auto"/>
      </w:pPr>
    </w:p>
    <w:p w14:paraId="116FE29E" w14:textId="77777777" w:rsidR="00047A68" w:rsidRPr="004907F5" w:rsidRDefault="002A2F29">
      <w:pPr>
        <w:spacing w:after="0" w:line="360" w:lineRule="auto"/>
      </w:pPr>
      <w:r w:rsidRPr="004907F5">
        <w:rPr>
          <w:b/>
        </w:rPr>
        <w:t>g) Cierre de instrucción.</w:t>
      </w:r>
      <w:r w:rsidRPr="004907F5">
        <w:t xml:space="preserve"> El once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0C558644" w14:textId="77777777" w:rsidR="00047A68" w:rsidRPr="004907F5" w:rsidRDefault="00047A68">
      <w:pPr>
        <w:spacing w:after="0" w:line="360" w:lineRule="auto"/>
      </w:pPr>
    </w:p>
    <w:p w14:paraId="480CA164" w14:textId="77777777" w:rsidR="00047A68" w:rsidRPr="004907F5" w:rsidRDefault="002A2F29">
      <w:pPr>
        <w:spacing w:after="0" w:line="360" w:lineRule="auto"/>
      </w:pPr>
      <w:proofErr w:type="gramStart"/>
      <w:r w:rsidRPr="004907F5">
        <w:t>En razón de</w:t>
      </w:r>
      <w:proofErr w:type="gramEnd"/>
      <w:r w:rsidRPr="004907F5">
        <w:t xml:space="preserve"> que fue debidamente sustanciado e integrado el expediente electrónico y no existir diligencia pendiente de desahogo, se emite la resolución que conforme a Derecho proceda, </w:t>
      </w:r>
      <w:proofErr w:type="gramStart"/>
      <w:r w:rsidRPr="004907F5">
        <w:t>de acuerdo a</w:t>
      </w:r>
      <w:proofErr w:type="gramEnd"/>
      <w:r w:rsidRPr="004907F5">
        <w:t xml:space="preserve"> los siguientes: </w:t>
      </w:r>
    </w:p>
    <w:p w14:paraId="27984622" w14:textId="77777777" w:rsidR="00047A68" w:rsidRPr="004907F5" w:rsidRDefault="00047A68">
      <w:pPr>
        <w:spacing w:after="0" w:line="360" w:lineRule="auto"/>
      </w:pPr>
    </w:p>
    <w:p w14:paraId="17C740CC" w14:textId="77777777" w:rsidR="00047A68" w:rsidRPr="004907F5" w:rsidRDefault="002A2F29">
      <w:pPr>
        <w:pStyle w:val="Ttulo1"/>
        <w:spacing w:before="0" w:after="0"/>
        <w:rPr>
          <w:sz w:val="22"/>
          <w:szCs w:val="22"/>
        </w:rPr>
      </w:pPr>
      <w:bookmarkStart w:id="12" w:name="_heading=h.6ogm6oyl0pff" w:colFirst="0" w:colLast="0"/>
      <w:bookmarkStart w:id="13" w:name="_Toc213944431"/>
      <w:bookmarkEnd w:id="12"/>
      <w:r w:rsidRPr="004907F5">
        <w:rPr>
          <w:sz w:val="22"/>
          <w:szCs w:val="22"/>
        </w:rPr>
        <w:t>C O N S I D E R A N D O S</w:t>
      </w:r>
      <w:bookmarkEnd w:id="13"/>
    </w:p>
    <w:p w14:paraId="520D9FA9" w14:textId="77777777" w:rsidR="00047A68" w:rsidRPr="004907F5" w:rsidRDefault="00047A68">
      <w:pPr>
        <w:spacing w:after="0" w:line="360" w:lineRule="auto"/>
        <w:rPr>
          <w:b/>
        </w:rPr>
      </w:pPr>
    </w:p>
    <w:p w14:paraId="6FB2F028" w14:textId="77777777" w:rsidR="00047A68" w:rsidRPr="004907F5" w:rsidRDefault="002A2F29">
      <w:pPr>
        <w:pStyle w:val="Ttulo2"/>
        <w:spacing w:before="0" w:after="0"/>
        <w:rPr>
          <w:b w:val="0"/>
          <w:color w:val="000000"/>
        </w:rPr>
      </w:pPr>
      <w:bookmarkStart w:id="14" w:name="_heading=h.x3pum5b9dt70" w:colFirst="0" w:colLast="0"/>
      <w:bookmarkStart w:id="15" w:name="_Toc213944432"/>
      <w:bookmarkEnd w:id="14"/>
      <w:r w:rsidRPr="004907F5">
        <w:rPr>
          <w:color w:val="000000"/>
        </w:rPr>
        <w:t>PRIMERO. Competencia</w:t>
      </w:r>
      <w:bookmarkEnd w:id="15"/>
    </w:p>
    <w:p w14:paraId="3EB41F99" w14:textId="77777777" w:rsidR="00047A68" w:rsidRPr="004907F5" w:rsidRDefault="00047A68">
      <w:pPr>
        <w:spacing w:after="0" w:line="360" w:lineRule="auto"/>
        <w:rPr>
          <w:b/>
          <w:color w:val="000000"/>
        </w:rPr>
      </w:pPr>
    </w:p>
    <w:p w14:paraId="1F2D0E2B" w14:textId="3DDD8EE2" w:rsidR="00047A68" w:rsidRPr="004907F5" w:rsidRDefault="004907F5">
      <w:pPr>
        <w:spacing w:after="0" w:line="360" w:lineRule="auto"/>
        <w:rPr>
          <w:b/>
          <w:color w:val="000000"/>
        </w:rPr>
      </w:pPr>
      <w:bookmarkStart w:id="16" w:name="_heading=h.ro28cz1kvkk7" w:colFirst="0" w:colLast="0"/>
      <w:bookmarkEnd w:id="16"/>
      <w:r w:rsidRPr="004907F5">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w:t>
      </w:r>
      <w:r w:rsidRPr="004907F5">
        <w:rPr>
          <w:color w:val="000000"/>
        </w:rPr>
        <w:lastRenderedPageBreak/>
        <w:t>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rsidR="002A2F29" w:rsidRPr="004907F5">
        <w:rPr>
          <w:color w:val="000000"/>
        </w:rPr>
        <w:t>.</w:t>
      </w:r>
    </w:p>
    <w:p w14:paraId="1E855C71" w14:textId="77777777" w:rsidR="00047A68" w:rsidRPr="004907F5" w:rsidRDefault="00047A68">
      <w:pPr>
        <w:pStyle w:val="Ttulo2"/>
        <w:spacing w:before="0" w:after="0"/>
        <w:rPr>
          <w:b w:val="0"/>
          <w:color w:val="000000"/>
        </w:rPr>
      </w:pPr>
    </w:p>
    <w:p w14:paraId="7D382633" w14:textId="77777777" w:rsidR="00047A68" w:rsidRPr="004907F5" w:rsidRDefault="002A2F29">
      <w:pPr>
        <w:pStyle w:val="Ttulo2"/>
        <w:spacing w:before="0" w:after="0"/>
        <w:rPr>
          <w:b w:val="0"/>
          <w:color w:val="000000"/>
        </w:rPr>
      </w:pPr>
      <w:bookmarkStart w:id="17" w:name="_heading=h.4898sa7ot5k" w:colFirst="0" w:colLast="0"/>
      <w:bookmarkStart w:id="18" w:name="_Toc213944433"/>
      <w:bookmarkEnd w:id="17"/>
      <w:r w:rsidRPr="004907F5">
        <w:rPr>
          <w:color w:val="000000"/>
        </w:rPr>
        <w:t>SEGUNDO. Causales de improcedencia</w:t>
      </w:r>
      <w:bookmarkEnd w:id="18"/>
      <w:r w:rsidRPr="004907F5">
        <w:rPr>
          <w:color w:val="000000"/>
        </w:rPr>
        <w:t xml:space="preserve"> </w:t>
      </w:r>
    </w:p>
    <w:p w14:paraId="6E1E79D8" w14:textId="77777777" w:rsidR="00047A68" w:rsidRPr="004907F5" w:rsidRDefault="00047A68">
      <w:pPr>
        <w:spacing w:after="0" w:line="360" w:lineRule="auto"/>
        <w:rPr>
          <w:color w:val="000000"/>
        </w:rPr>
      </w:pPr>
    </w:p>
    <w:p w14:paraId="22355552" w14:textId="77777777" w:rsidR="00047A68" w:rsidRPr="004907F5" w:rsidRDefault="002A2F29">
      <w:pPr>
        <w:spacing w:after="0" w:line="360" w:lineRule="auto"/>
        <w:rPr>
          <w:color w:val="000000"/>
        </w:rPr>
      </w:pPr>
      <w:r w:rsidRPr="004907F5">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316FC62" w14:textId="77777777" w:rsidR="00047A68" w:rsidRPr="004907F5" w:rsidRDefault="00047A68">
      <w:pPr>
        <w:spacing w:after="0" w:line="360" w:lineRule="auto"/>
        <w:rPr>
          <w:color w:val="000000"/>
        </w:rPr>
      </w:pPr>
    </w:p>
    <w:p w14:paraId="53DD3463" w14:textId="77777777" w:rsidR="00047A68" w:rsidRPr="004907F5" w:rsidRDefault="002A2F29">
      <w:pPr>
        <w:spacing w:after="0" w:line="360" w:lineRule="auto"/>
        <w:rPr>
          <w:color w:val="000000"/>
        </w:rPr>
      </w:pPr>
      <w:r w:rsidRPr="004907F5">
        <w:rPr>
          <w:color w:val="000000"/>
        </w:rPr>
        <w:t>En el presente caso, no se actualizan las causales de improcedencia establecidas en el artículo 191, fracciones I a la II, y V,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realizó un trámite mediante el pedimento de información o se haya ampliado la solicitud.</w:t>
      </w:r>
    </w:p>
    <w:p w14:paraId="682F8C4F" w14:textId="77777777" w:rsidR="00047A68" w:rsidRPr="004907F5" w:rsidRDefault="00047A68">
      <w:pPr>
        <w:spacing w:after="0" w:line="360" w:lineRule="auto"/>
        <w:rPr>
          <w:color w:val="000000"/>
        </w:rPr>
      </w:pPr>
    </w:p>
    <w:p w14:paraId="0326A472" w14:textId="77777777" w:rsidR="00047A68" w:rsidRPr="004907F5" w:rsidRDefault="002A2F29">
      <w:pPr>
        <w:spacing w:after="0" w:line="360" w:lineRule="auto"/>
        <w:rPr>
          <w:color w:val="000000"/>
        </w:rPr>
      </w:pPr>
      <w:r w:rsidRPr="004907F5">
        <w:rPr>
          <w:color w:val="000000"/>
        </w:rPr>
        <w:t>Por lo cual, se actualiza la causal de procedencia del Recurso de Revisión señalada en el artículo 179, fracción V, de la Ley en cita, pues la persona Recurrente se inconformó de la entrega de información incompleta.</w:t>
      </w:r>
    </w:p>
    <w:p w14:paraId="7C7F528C" w14:textId="77777777" w:rsidR="00047A68" w:rsidRPr="004907F5" w:rsidRDefault="00047A68">
      <w:pPr>
        <w:spacing w:after="0" w:line="360" w:lineRule="auto"/>
        <w:rPr>
          <w:color w:val="000000"/>
        </w:rPr>
      </w:pPr>
    </w:p>
    <w:p w14:paraId="3B8EBA5A" w14:textId="77777777" w:rsidR="00047A68" w:rsidRPr="004907F5" w:rsidRDefault="002A2F29">
      <w:pPr>
        <w:keepNext/>
        <w:keepLines/>
        <w:spacing w:after="0" w:line="360" w:lineRule="auto"/>
        <w:rPr>
          <w:b/>
          <w:color w:val="000000"/>
        </w:rPr>
      </w:pPr>
      <w:bookmarkStart w:id="19" w:name="_heading=h.hx7agk66bqhu" w:colFirst="0" w:colLast="0"/>
      <w:bookmarkEnd w:id="19"/>
      <w:r w:rsidRPr="004907F5">
        <w:rPr>
          <w:b/>
          <w:color w:val="000000"/>
        </w:rPr>
        <w:lastRenderedPageBreak/>
        <w:t>TERCERO. Causales de sobreseimiento</w:t>
      </w:r>
    </w:p>
    <w:p w14:paraId="6D8FD1E7" w14:textId="77777777" w:rsidR="00047A68" w:rsidRPr="004907F5" w:rsidRDefault="00047A68">
      <w:pPr>
        <w:spacing w:after="0" w:line="360" w:lineRule="auto"/>
        <w:rPr>
          <w:color w:val="000000"/>
        </w:rPr>
      </w:pPr>
    </w:p>
    <w:p w14:paraId="4174887F" w14:textId="77777777" w:rsidR="00047A68" w:rsidRPr="004907F5" w:rsidRDefault="002A2F29">
      <w:pPr>
        <w:spacing w:after="0" w:line="360" w:lineRule="auto"/>
        <w:rPr>
          <w:color w:val="000000"/>
        </w:rPr>
      </w:pPr>
      <w:r w:rsidRPr="004907F5">
        <w:rPr>
          <w:color w:val="000000"/>
        </w:rPr>
        <w:t>Por ser de previo y especial pronunciamiento, este Instituto analiza si se actualiza alguna causal de sobreseimiento.</w:t>
      </w:r>
    </w:p>
    <w:p w14:paraId="2EA55A76" w14:textId="77777777" w:rsidR="00047A68" w:rsidRPr="004907F5" w:rsidRDefault="00047A68">
      <w:pPr>
        <w:spacing w:after="0" w:line="360" w:lineRule="auto"/>
        <w:rPr>
          <w:color w:val="000000"/>
        </w:rPr>
      </w:pPr>
    </w:p>
    <w:p w14:paraId="188C310B" w14:textId="77777777" w:rsidR="00047A68" w:rsidRPr="004907F5" w:rsidRDefault="002A2F29">
      <w:pPr>
        <w:spacing w:after="0" w:line="360" w:lineRule="auto"/>
        <w:rPr>
          <w:color w:val="000000"/>
        </w:rPr>
      </w:pPr>
      <w:r w:rsidRPr="004907F5">
        <w:rPr>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4907F5">
        <w:rPr>
          <w:b/>
          <w:color w:val="000000"/>
        </w:rPr>
        <w:t xml:space="preserve"> no se configuran las causales establecidas en las fracciones I, II, III, y V, </w:t>
      </w:r>
      <w:r w:rsidRPr="004907F5">
        <w:rPr>
          <w:color w:val="000000"/>
        </w:rPr>
        <w:t>toda vez que no hay constancias en el expediente en que se actúa, de que el Recurrente se haya desistido, fallecido, que el Sujeto Obligado hubiese modificado o revocado el acto impugnado o bien, haya quedado sin materia.</w:t>
      </w:r>
    </w:p>
    <w:p w14:paraId="5542341C" w14:textId="77777777" w:rsidR="00047A68" w:rsidRPr="004907F5" w:rsidRDefault="00047A68">
      <w:pPr>
        <w:spacing w:after="0" w:line="360" w:lineRule="auto"/>
        <w:rPr>
          <w:color w:val="000000"/>
        </w:rPr>
      </w:pPr>
    </w:p>
    <w:p w14:paraId="67D5EA17" w14:textId="77777777" w:rsidR="00047A68" w:rsidRPr="004907F5" w:rsidRDefault="002A2F29">
      <w:pPr>
        <w:spacing w:after="0" w:line="360" w:lineRule="auto"/>
        <w:rPr>
          <w:color w:val="000000"/>
        </w:rPr>
      </w:pPr>
      <w:r w:rsidRPr="004907F5">
        <w:rPr>
          <w:color w:val="000000"/>
        </w:rPr>
        <w:t>No obstante, por lo que hace a la hipótesis prevista en el artículo 192, fracción IV</w:t>
      </w:r>
      <w:r w:rsidRPr="004907F5">
        <w:rPr>
          <w:b/>
          <w:color w:val="000000"/>
        </w:rPr>
        <w:t>,</w:t>
      </w:r>
      <w:r w:rsidRPr="004907F5">
        <w:rPr>
          <w:color w:val="000000"/>
        </w:rPr>
        <w:t xml:space="preserve"> a saber, que, una vez admitido el Recurso de Revisión, aparezca alguna causal de improcedencia en términos de la presente Ley, resulta necesario traer a colación el artículo 191, fracción VI, del ordenamiento jurídico referido, que establecen lo siguiente:</w:t>
      </w:r>
    </w:p>
    <w:p w14:paraId="14825EFB" w14:textId="77777777" w:rsidR="00047A68" w:rsidRPr="004907F5" w:rsidRDefault="00047A68">
      <w:pPr>
        <w:spacing w:after="0" w:line="360" w:lineRule="auto"/>
        <w:rPr>
          <w:color w:val="000000"/>
        </w:rPr>
      </w:pPr>
    </w:p>
    <w:p w14:paraId="688288DD" w14:textId="77777777" w:rsidR="00047A68" w:rsidRPr="004907F5" w:rsidRDefault="002A2F29">
      <w:pPr>
        <w:spacing w:after="0" w:line="360" w:lineRule="auto"/>
        <w:ind w:left="567" w:right="567"/>
        <w:rPr>
          <w:i/>
          <w:color w:val="000000"/>
          <w:sz w:val="20"/>
          <w:szCs w:val="20"/>
        </w:rPr>
      </w:pPr>
      <w:r w:rsidRPr="004907F5">
        <w:rPr>
          <w:b/>
          <w:i/>
          <w:color w:val="000000"/>
          <w:sz w:val="20"/>
          <w:szCs w:val="20"/>
        </w:rPr>
        <w:t>“Artículo 191.</w:t>
      </w:r>
      <w:r w:rsidRPr="004907F5">
        <w:rPr>
          <w:i/>
          <w:color w:val="000000"/>
          <w:sz w:val="20"/>
          <w:szCs w:val="20"/>
        </w:rPr>
        <w:t xml:space="preserve"> El recurso será desechado por improcedente cuando:</w:t>
      </w:r>
    </w:p>
    <w:p w14:paraId="72C983A3" w14:textId="77777777" w:rsidR="00047A68" w:rsidRPr="004907F5" w:rsidRDefault="002A2F29">
      <w:pPr>
        <w:spacing w:after="0" w:line="360" w:lineRule="auto"/>
        <w:ind w:left="567" w:right="567"/>
        <w:rPr>
          <w:i/>
          <w:color w:val="000000"/>
          <w:sz w:val="20"/>
          <w:szCs w:val="20"/>
        </w:rPr>
      </w:pPr>
      <w:r w:rsidRPr="004907F5">
        <w:rPr>
          <w:i/>
          <w:color w:val="000000"/>
          <w:sz w:val="20"/>
          <w:szCs w:val="20"/>
        </w:rPr>
        <w:t>…</w:t>
      </w:r>
    </w:p>
    <w:p w14:paraId="37CBFFFF" w14:textId="77777777" w:rsidR="00047A68" w:rsidRPr="004907F5" w:rsidRDefault="002A2F29">
      <w:pPr>
        <w:spacing w:after="0" w:line="360" w:lineRule="auto"/>
        <w:ind w:left="567" w:right="567"/>
        <w:rPr>
          <w:i/>
          <w:color w:val="000000"/>
          <w:sz w:val="20"/>
          <w:szCs w:val="20"/>
        </w:rPr>
      </w:pPr>
      <w:r w:rsidRPr="004907F5">
        <w:rPr>
          <w:i/>
          <w:color w:val="000000"/>
          <w:sz w:val="20"/>
          <w:szCs w:val="20"/>
        </w:rPr>
        <w:t>VI. Se trate de una consulta, o trámite en específico; y</w:t>
      </w:r>
    </w:p>
    <w:p w14:paraId="2828B62D" w14:textId="77777777" w:rsidR="00047A68" w:rsidRPr="004907F5" w:rsidRDefault="002A2F29">
      <w:pPr>
        <w:spacing w:after="0" w:line="360" w:lineRule="auto"/>
        <w:ind w:left="567" w:right="567"/>
        <w:rPr>
          <w:i/>
          <w:color w:val="000000"/>
          <w:sz w:val="20"/>
          <w:szCs w:val="20"/>
        </w:rPr>
      </w:pPr>
      <w:r w:rsidRPr="004907F5">
        <w:rPr>
          <w:i/>
          <w:color w:val="000000"/>
          <w:sz w:val="20"/>
          <w:szCs w:val="20"/>
        </w:rPr>
        <w:t>....”</w:t>
      </w:r>
    </w:p>
    <w:p w14:paraId="3CE19C56" w14:textId="77777777" w:rsidR="00047A68" w:rsidRPr="004907F5" w:rsidRDefault="00047A68">
      <w:pPr>
        <w:spacing w:after="0" w:line="360" w:lineRule="auto"/>
        <w:rPr>
          <w:color w:val="000000"/>
        </w:rPr>
      </w:pPr>
    </w:p>
    <w:p w14:paraId="36376DBA" w14:textId="77777777" w:rsidR="00047A68" w:rsidRPr="004907F5" w:rsidRDefault="002A2F29">
      <w:pPr>
        <w:spacing w:after="0" w:line="360" w:lineRule="auto"/>
        <w:rPr>
          <w:color w:val="000000"/>
        </w:rPr>
      </w:pPr>
      <w:r w:rsidRPr="004907F5">
        <w:rPr>
          <w:color w:val="000000"/>
        </w:rPr>
        <w:t>Conforme a lo anterior, se logra vislumbrar que la fracción VI del artículo 191, de la Ley de Transparencia y Acceso a la Información Pública del Estado de México y Municipios, precisa que el Recurso de Revisión será desechado por improcedente, cuando lo solicitado se trate de una consulta.</w:t>
      </w:r>
    </w:p>
    <w:p w14:paraId="07795449" w14:textId="77777777" w:rsidR="00047A68" w:rsidRPr="004907F5" w:rsidRDefault="00047A68">
      <w:pPr>
        <w:spacing w:after="0" w:line="360" w:lineRule="auto"/>
        <w:rPr>
          <w:color w:val="000000"/>
        </w:rPr>
      </w:pPr>
    </w:p>
    <w:p w14:paraId="54A33495" w14:textId="77777777" w:rsidR="00047A68" w:rsidRPr="004907F5" w:rsidRDefault="002A2F29">
      <w:pPr>
        <w:tabs>
          <w:tab w:val="left" w:pos="4962"/>
        </w:tabs>
        <w:spacing w:after="0" w:line="360" w:lineRule="auto"/>
        <w:rPr>
          <w:color w:val="000000"/>
        </w:rPr>
      </w:pPr>
      <w:r w:rsidRPr="004907F5">
        <w:rPr>
          <w:color w:val="000000"/>
        </w:rPr>
        <w:lastRenderedPageBreak/>
        <w:t>En ese orden de ideas, de las constancias que obran en el expediente respectivo, se advierte que la parte Recurrente, pretende conocer lo siguiente:</w:t>
      </w:r>
    </w:p>
    <w:p w14:paraId="14251D96" w14:textId="77777777" w:rsidR="00047A68" w:rsidRPr="004907F5" w:rsidRDefault="00047A68">
      <w:pPr>
        <w:tabs>
          <w:tab w:val="left" w:pos="4962"/>
        </w:tabs>
        <w:spacing w:after="0" w:line="360" w:lineRule="auto"/>
        <w:rPr>
          <w:color w:val="000000"/>
        </w:rPr>
      </w:pPr>
    </w:p>
    <w:p w14:paraId="6EECB4B8" w14:textId="105B7765" w:rsidR="00047A68" w:rsidRPr="004907F5" w:rsidRDefault="002A2F29">
      <w:pPr>
        <w:numPr>
          <w:ilvl w:val="0"/>
          <w:numId w:val="3"/>
        </w:numPr>
        <w:pBdr>
          <w:top w:val="nil"/>
          <w:left w:val="nil"/>
          <w:bottom w:val="nil"/>
          <w:right w:val="nil"/>
          <w:between w:val="nil"/>
        </w:pBdr>
        <w:tabs>
          <w:tab w:val="left" w:pos="4962"/>
        </w:tabs>
        <w:spacing w:after="0" w:line="360" w:lineRule="auto"/>
        <w:rPr>
          <w:bCs/>
          <w:color w:val="000000"/>
        </w:rPr>
      </w:pPr>
      <w:r w:rsidRPr="004907F5">
        <w:rPr>
          <w:bCs/>
          <w:color w:val="000000"/>
        </w:rPr>
        <w:t>Justificar porque no hay información en el portal IPOMEX 4.0</w:t>
      </w:r>
      <w:r w:rsidR="006E20B0" w:rsidRPr="004907F5">
        <w:rPr>
          <w:bCs/>
          <w:color w:val="000000"/>
        </w:rPr>
        <w:t>, y</w:t>
      </w:r>
    </w:p>
    <w:p w14:paraId="09DDDDA6" w14:textId="77777777" w:rsidR="00047A68" w:rsidRPr="004907F5" w:rsidRDefault="002A2F29">
      <w:pPr>
        <w:numPr>
          <w:ilvl w:val="0"/>
          <w:numId w:val="3"/>
        </w:numPr>
        <w:pBdr>
          <w:top w:val="nil"/>
          <w:left w:val="nil"/>
          <w:bottom w:val="nil"/>
          <w:right w:val="nil"/>
          <w:between w:val="nil"/>
        </w:pBdr>
        <w:tabs>
          <w:tab w:val="left" w:pos="4962"/>
        </w:tabs>
        <w:spacing w:after="0" w:line="360" w:lineRule="auto"/>
        <w:rPr>
          <w:bCs/>
          <w:color w:val="000000"/>
        </w:rPr>
      </w:pPr>
      <w:r w:rsidRPr="004907F5">
        <w:rPr>
          <w:bCs/>
          <w:color w:val="000000"/>
        </w:rPr>
        <w:t xml:space="preserve">Resultados de las verificaciones virtuales de las obligaciones de transparencia en el portal de </w:t>
      </w:r>
      <w:r w:rsidRPr="004907F5">
        <w:rPr>
          <w:bCs/>
          <w:i/>
          <w:color w:val="000000"/>
        </w:rPr>
        <w:t xml:space="preserve">Internet </w:t>
      </w:r>
      <w:r w:rsidRPr="004907F5">
        <w:rPr>
          <w:bCs/>
          <w:color w:val="000000"/>
        </w:rPr>
        <w:t>del Sujeto Obligado IPOMEX 4.0 desde 2023 al 17 de julio de 2025</w:t>
      </w:r>
    </w:p>
    <w:p w14:paraId="1F8CE4E0" w14:textId="77777777" w:rsidR="00047A68" w:rsidRPr="004907F5" w:rsidRDefault="00047A68">
      <w:pPr>
        <w:tabs>
          <w:tab w:val="left" w:pos="4962"/>
        </w:tabs>
        <w:spacing w:after="0" w:line="360" w:lineRule="auto"/>
        <w:rPr>
          <w:color w:val="000000"/>
        </w:rPr>
      </w:pPr>
    </w:p>
    <w:p w14:paraId="7B35285C" w14:textId="77777777" w:rsidR="00047A68" w:rsidRPr="004907F5" w:rsidRDefault="002A2F29">
      <w:pPr>
        <w:tabs>
          <w:tab w:val="left" w:pos="4962"/>
        </w:tabs>
        <w:spacing w:after="0" w:line="360" w:lineRule="auto"/>
      </w:pPr>
      <w:r w:rsidRPr="004907F5">
        <w:rPr>
          <w:color w:val="000000"/>
        </w:rPr>
        <w:t>En respuesta, el Sujeto Obligado, a través del T</w:t>
      </w:r>
      <w:r w:rsidRPr="004907F5">
        <w:t>itular de la Unidad de Transparencia informó lo siguiente:</w:t>
      </w:r>
    </w:p>
    <w:p w14:paraId="415A3A19" w14:textId="77777777" w:rsidR="00047A68" w:rsidRPr="004907F5" w:rsidRDefault="00047A68">
      <w:pPr>
        <w:tabs>
          <w:tab w:val="left" w:pos="4962"/>
        </w:tabs>
        <w:spacing w:after="0" w:line="360" w:lineRule="auto"/>
      </w:pPr>
    </w:p>
    <w:p w14:paraId="3D73A17B" w14:textId="48F7D597" w:rsidR="00047A68" w:rsidRPr="004907F5" w:rsidRDefault="002A2F29">
      <w:pPr>
        <w:numPr>
          <w:ilvl w:val="0"/>
          <w:numId w:val="2"/>
        </w:numPr>
        <w:pBdr>
          <w:top w:val="nil"/>
          <w:left w:val="nil"/>
          <w:bottom w:val="nil"/>
          <w:right w:val="nil"/>
          <w:between w:val="nil"/>
        </w:pBdr>
        <w:tabs>
          <w:tab w:val="left" w:pos="4962"/>
        </w:tabs>
        <w:spacing w:after="0" w:line="360" w:lineRule="auto"/>
        <w:rPr>
          <w:color w:val="000000"/>
        </w:rPr>
      </w:pPr>
      <w:r w:rsidRPr="004907F5">
        <w:rPr>
          <w:color w:val="000000"/>
        </w:rPr>
        <w:t xml:space="preserve">Que la actualización del portal de Información Pública Mexiquense se </w:t>
      </w:r>
      <w:r w:rsidR="006E20B0" w:rsidRPr="004907F5">
        <w:rPr>
          <w:color w:val="000000"/>
        </w:rPr>
        <w:t>realizaba</w:t>
      </w:r>
      <w:r w:rsidRPr="004907F5">
        <w:rPr>
          <w:color w:val="000000"/>
        </w:rPr>
        <w:t xml:space="preserve"> conforme a la tabla de actualización y conservación de la información derivado de las obligaciones de transparencia. </w:t>
      </w:r>
    </w:p>
    <w:p w14:paraId="1806C1B4" w14:textId="77777777" w:rsidR="00047A68" w:rsidRPr="004907F5" w:rsidRDefault="002A2F29">
      <w:pPr>
        <w:numPr>
          <w:ilvl w:val="0"/>
          <w:numId w:val="2"/>
        </w:numPr>
        <w:pBdr>
          <w:top w:val="nil"/>
          <w:left w:val="nil"/>
          <w:bottom w:val="nil"/>
          <w:right w:val="nil"/>
          <w:between w:val="nil"/>
        </w:pBdr>
        <w:tabs>
          <w:tab w:val="left" w:pos="4962"/>
        </w:tabs>
        <w:spacing w:after="0" w:line="360" w:lineRule="auto"/>
        <w:rPr>
          <w:color w:val="000000"/>
        </w:rPr>
      </w:pPr>
      <w:r w:rsidRPr="004907F5">
        <w:rPr>
          <w:color w:val="000000"/>
        </w:rPr>
        <w:t>Remitió los resultados de las verificaciones virtuales al IPOMEX, por cada año desde 2023 al 3 de julio de 2025.</w:t>
      </w:r>
    </w:p>
    <w:p w14:paraId="5641DDF2" w14:textId="77777777" w:rsidR="00047A68" w:rsidRPr="004907F5" w:rsidRDefault="00047A68">
      <w:pPr>
        <w:tabs>
          <w:tab w:val="left" w:pos="4962"/>
        </w:tabs>
        <w:spacing w:after="0" w:line="360" w:lineRule="auto"/>
        <w:rPr>
          <w:color w:val="000000"/>
        </w:rPr>
      </w:pPr>
    </w:p>
    <w:p w14:paraId="37EC78A9" w14:textId="77777777" w:rsidR="00047A68" w:rsidRPr="004907F5" w:rsidRDefault="002A2F29">
      <w:pPr>
        <w:tabs>
          <w:tab w:val="left" w:pos="4962"/>
        </w:tabs>
        <w:spacing w:after="0" w:line="360" w:lineRule="auto"/>
        <w:rPr>
          <w:color w:val="000000"/>
        </w:rPr>
      </w:pPr>
      <w:r w:rsidRPr="004907F5">
        <w:rPr>
          <w:color w:val="000000"/>
        </w:rPr>
        <w:t xml:space="preserve">Derivado de la respuesta proporcionada por el Sujeto Obligado, la parte Recurrente se inconformó por la entrega de información incompleta y señaló que no se entregó la justificación del porque no hay información en el portal IPOMEX 4.0 del primer y segundo trimestre. </w:t>
      </w:r>
    </w:p>
    <w:p w14:paraId="05DDCCE1" w14:textId="77777777" w:rsidR="00047A68" w:rsidRPr="004907F5" w:rsidRDefault="00047A68">
      <w:pPr>
        <w:tabs>
          <w:tab w:val="left" w:pos="4962"/>
        </w:tabs>
        <w:spacing w:after="0" w:line="360" w:lineRule="auto"/>
        <w:rPr>
          <w:color w:val="000000"/>
        </w:rPr>
      </w:pPr>
    </w:p>
    <w:p w14:paraId="29099347" w14:textId="77777777" w:rsidR="00047A68" w:rsidRPr="004907F5" w:rsidRDefault="002A2F29">
      <w:pPr>
        <w:spacing w:after="0" w:line="360" w:lineRule="auto"/>
        <w:rPr>
          <w:color w:val="000000"/>
        </w:rPr>
      </w:pPr>
      <w:r w:rsidRPr="004907F5">
        <w:rPr>
          <w:color w:val="000000"/>
        </w:rPr>
        <w:t xml:space="preserve">Así pues, la persona Recurrente interpuso el Recurso de Revisión que nos ocupa, en el que medularmente </w:t>
      </w:r>
      <w:r w:rsidRPr="004907F5">
        <w:rPr>
          <w:b/>
          <w:color w:val="000000"/>
        </w:rPr>
        <w:t>se inconformó</w:t>
      </w:r>
      <w:r w:rsidRPr="004907F5">
        <w:rPr>
          <w:color w:val="000000"/>
        </w:rPr>
        <w:t xml:space="preserve"> por el punto descrito en el </w:t>
      </w:r>
      <w:r w:rsidRPr="004907F5">
        <w:rPr>
          <w:b/>
          <w:color w:val="000000"/>
        </w:rPr>
        <w:t>numeral 1, es decir, por la falta de justificación respecto a la falta de información en el portal IPOMEX 4.0;</w:t>
      </w:r>
      <w:r w:rsidRPr="004907F5">
        <w:rPr>
          <w:color w:val="000000"/>
        </w:rPr>
        <w:t xml:space="preserve"> </w:t>
      </w:r>
      <w:r w:rsidRPr="004907F5">
        <w:rPr>
          <w:b/>
          <w:color w:val="000000"/>
        </w:rPr>
        <w:t>dándose por satisfecho</w:t>
      </w:r>
      <w:r w:rsidRPr="004907F5">
        <w:rPr>
          <w:color w:val="000000"/>
        </w:rPr>
        <w:t xml:space="preserve"> respecto de la información proporcionada en el punto </w:t>
      </w:r>
      <w:r w:rsidRPr="004907F5">
        <w:rPr>
          <w:b/>
          <w:color w:val="000000"/>
        </w:rPr>
        <w:t xml:space="preserve"> 2, sobre los resultados de las verificaciones virtuales al IPOMEX de 2023 a 2025</w:t>
      </w:r>
      <w:r w:rsidRPr="004907F5">
        <w:rPr>
          <w:color w:val="000000"/>
        </w:rPr>
        <w:t xml:space="preserve"> situación por la cual no se hará pronunciamiento alguno; lo anterior de conformidad con lo dispuesto en el artículo 195 de la Ley de Transparencia y Acceso a la Información Pública del Estado de México y Municipios, </w:t>
      </w:r>
      <w:r w:rsidRPr="004907F5">
        <w:rPr>
          <w:color w:val="000000"/>
        </w:rPr>
        <w:lastRenderedPageBreak/>
        <w:t xml:space="preserve">con relación con el diverso 195, fracción IV, </w:t>
      </w:r>
      <w:r w:rsidRPr="004907F5">
        <w:t>del Código</w:t>
      </w:r>
      <w:r w:rsidRPr="004907F5">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6F63E5D4" w14:textId="77777777" w:rsidR="00047A68" w:rsidRPr="004907F5" w:rsidRDefault="00047A68">
      <w:pPr>
        <w:spacing w:after="0" w:line="360" w:lineRule="auto"/>
        <w:rPr>
          <w:color w:val="000000"/>
        </w:rPr>
      </w:pPr>
    </w:p>
    <w:p w14:paraId="6674EA74" w14:textId="77777777" w:rsidR="00047A68" w:rsidRPr="004907F5" w:rsidRDefault="002A2F29">
      <w:pPr>
        <w:spacing w:after="0" w:line="360" w:lineRule="auto"/>
        <w:rPr>
          <w:color w:val="000000"/>
        </w:rPr>
      </w:pPr>
      <w:r w:rsidRPr="004907F5">
        <w:rPr>
          <w:color w:val="000000"/>
        </w:rPr>
        <w:t xml:space="preserve">De la misma manera resulta aplicable el criterio sostenido por el Poder Judicial de la Federación de rubro </w:t>
      </w:r>
      <w:r w:rsidRPr="004907F5">
        <w:rPr>
          <w:b/>
          <w:color w:val="000000"/>
        </w:rPr>
        <w:t>ACTOS CONSENTIDOS TÁCITAMENTE, Tesis VI.2o. J/21</w:t>
      </w:r>
      <w:r w:rsidRPr="004907F5">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2E534852" w14:textId="77777777" w:rsidR="00047A68" w:rsidRPr="004907F5" w:rsidRDefault="00047A68">
      <w:pPr>
        <w:spacing w:after="0" w:line="360" w:lineRule="auto"/>
        <w:rPr>
          <w:color w:val="000000"/>
        </w:rPr>
      </w:pPr>
    </w:p>
    <w:p w14:paraId="4C0A4602" w14:textId="77777777" w:rsidR="00047A68" w:rsidRPr="004907F5" w:rsidRDefault="002A2F29">
      <w:pPr>
        <w:spacing w:after="0" w:line="360" w:lineRule="auto"/>
        <w:rPr>
          <w:color w:val="000000"/>
        </w:rPr>
      </w:pPr>
      <w:r w:rsidRPr="004907F5">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412C9ADC" w14:textId="77777777" w:rsidR="00047A68" w:rsidRPr="004907F5" w:rsidRDefault="00047A68">
      <w:pPr>
        <w:spacing w:after="0" w:line="360" w:lineRule="auto"/>
      </w:pPr>
    </w:p>
    <w:p w14:paraId="673DC57B" w14:textId="77777777" w:rsidR="00047A68" w:rsidRPr="004907F5" w:rsidRDefault="002A2F29">
      <w:pPr>
        <w:spacing w:after="0" w:line="360" w:lineRule="auto"/>
        <w:rPr>
          <w:color w:val="000000"/>
        </w:rPr>
      </w:pPr>
      <w:r w:rsidRPr="004907F5">
        <w:t xml:space="preserve">Así pues, </w:t>
      </w:r>
      <w:r w:rsidRPr="004907F5">
        <w:rPr>
          <w:b/>
        </w:rPr>
        <w:t>subsiste únicamente el motivo de agravio por la entrega de información incompleta, y la falta de respuesta a la justificación del porque no se tiene información en el portal IPOMEX 4.0 respecto al primer y segundo trimestre</w:t>
      </w:r>
      <w:r w:rsidRPr="004907F5">
        <w:t xml:space="preserve">. </w:t>
      </w:r>
    </w:p>
    <w:p w14:paraId="47CDFE89" w14:textId="77777777" w:rsidR="00047A68" w:rsidRPr="004907F5" w:rsidRDefault="00047A68">
      <w:pPr>
        <w:tabs>
          <w:tab w:val="left" w:pos="4962"/>
        </w:tabs>
        <w:spacing w:after="0" w:line="360" w:lineRule="auto"/>
      </w:pPr>
    </w:p>
    <w:p w14:paraId="44AABB77" w14:textId="77777777" w:rsidR="00047A68" w:rsidRPr="004907F5" w:rsidRDefault="002A2F29">
      <w:pPr>
        <w:tabs>
          <w:tab w:val="left" w:pos="4962"/>
        </w:tabs>
        <w:spacing w:after="0" w:line="360" w:lineRule="auto"/>
        <w:rPr>
          <w:i/>
        </w:rPr>
      </w:pPr>
      <w:r w:rsidRPr="004907F5">
        <w:t xml:space="preserve">Durante la sustanciación del Recurso de Revisión, el Sujeto Obligado manifestó mediante informe justificado que la información del IPOMEX se encuentra en dicha plataforma, y dijo que prueba de ello, es la calificación obtenida del proceso de verificación virtual oficiosa de 2025 realizada por este Instituto, y que lo solicitado requiere que se emita un documento </w:t>
      </w:r>
      <w:r w:rsidRPr="004907F5">
        <w:rPr>
          <w:i/>
        </w:rPr>
        <w:t xml:space="preserve">ad hoc. </w:t>
      </w:r>
    </w:p>
    <w:p w14:paraId="64E69B12" w14:textId="77777777" w:rsidR="00047A68" w:rsidRPr="004907F5" w:rsidRDefault="00047A68">
      <w:pPr>
        <w:tabs>
          <w:tab w:val="left" w:pos="4962"/>
        </w:tabs>
        <w:spacing w:after="0" w:line="360" w:lineRule="auto"/>
        <w:rPr>
          <w:i/>
        </w:rPr>
      </w:pPr>
    </w:p>
    <w:p w14:paraId="7DD7EF61" w14:textId="77777777" w:rsidR="00047A68" w:rsidRPr="004907F5" w:rsidRDefault="002A2F29">
      <w:pPr>
        <w:spacing w:after="0" w:line="360" w:lineRule="auto"/>
      </w:pPr>
      <w:r w:rsidRPr="004907F5">
        <w:lastRenderedPageBreak/>
        <w:t xml:space="preserve">Ahora bien, de lo solicitado por la Persona Recurrente, se advierte que pretende conocer razones, aclaraciones o motivos por los que tienen lugar ciertas situaciones, que corresponden a peticiones que no son atendibles en el ejercicio de nuestra materia, dado que se trata de </w:t>
      </w:r>
      <w:r w:rsidRPr="004907F5">
        <w:rPr>
          <w:b/>
        </w:rPr>
        <w:t>un cuestionamiento que requiere la elaboración de explicaciones y justificaciones,</w:t>
      </w:r>
      <w:r w:rsidRPr="004907F5">
        <w:t xml:space="preserve"> lo cual, es inatendible en el ejercicio del derecho de acceso a la información pública y a la transparencia.</w:t>
      </w:r>
    </w:p>
    <w:p w14:paraId="60076761" w14:textId="77777777" w:rsidR="00047A68" w:rsidRPr="004907F5" w:rsidRDefault="00047A68">
      <w:pPr>
        <w:spacing w:after="0" w:line="360" w:lineRule="auto"/>
      </w:pPr>
    </w:p>
    <w:p w14:paraId="1715D9EB" w14:textId="77777777" w:rsidR="00047A68" w:rsidRPr="004907F5" w:rsidRDefault="002A2F29">
      <w:pPr>
        <w:spacing w:after="0" w:line="360" w:lineRule="auto"/>
        <w:rPr>
          <w:b/>
        </w:rPr>
      </w:pPr>
      <w:r w:rsidRPr="004907F5">
        <w:rPr>
          <w:color w:val="000000"/>
        </w:rPr>
        <w:t xml:space="preserve">Al respecto, </w:t>
      </w:r>
      <w:r w:rsidRPr="004907F5">
        <w:t>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C55D281" w14:textId="77777777" w:rsidR="00047A68" w:rsidRPr="004907F5" w:rsidRDefault="00047A68">
      <w:pPr>
        <w:tabs>
          <w:tab w:val="left" w:pos="4962"/>
        </w:tabs>
        <w:spacing w:after="0" w:line="360" w:lineRule="auto"/>
        <w:rPr>
          <w:color w:val="000000"/>
        </w:rPr>
      </w:pPr>
    </w:p>
    <w:p w14:paraId="4379794D" w14:textId="77777777" w:rsidR="00047A68" w:rsidRPr="004907F5" w:rsidRDefault="002A2F29">
      <w:pPr>
        <w:tabs>
          <w:tab w:val="left" w:pos="4962"/>
        </w:tabs>
        <w:spacing w:after="0" w:line="360" w:lineRule="auto"/>
      </w:pPr>
      <w:r w:rsidRPr="004907F5">
        <w:t xml:space="preserve">De esta manera, el derecho de acceso a la información pública se satisface en aquellos casos en que se entregue la documentación en el que conste la información solicitada, sin necesidad de elaborar documentos </w:t>
      </w:r>
      <w:r w:rsidRPr="004907F5">
        <w:rPr>
          <w:i/>
        </w:rPr>
        <w:t>ad hoc</w:t>
      </w:r>
      <w:r w:rsidRPr="004907F5">
        <w:t>; lo cual, toma sustento en el artículo 160 de la Ley de Transparencia y Acceso a la Información Pública del Estado de México y Municipios, el cual refiere que los Sujetos Obligados deberán entregar la información que obre en sus archivos.</w:t>
      </w:r>
    </w:p>
    <w:p w14:paraId="262F6208" w14:textId="77777777" w:rsidR="00047A68" w:rsidRPr="004907F5" w:rsidRDefault="00047A68">
      <w:pPr>
        <w:tabs>
          <w:tab w:val="left" w:pos="4962"/>
        </w:tabs>
        <w:spacing w:after="0" w:line="360" w:lineRule="auto"/>
      </w:pPr>
    </w:p>
    <w:p w14:paraId="02D08555" w14:textId="77777777" w:rsidR="00047A68" w:rsidRPr="004907F5" w:rsidRDefault="002A2F29">
      <w:pPr>
        <w:tabs>
          <w:tab w:val="left" w:pos="4962"/>
        </w:tabs>
        <w:spacing w:after="0" w:line="360" w:lineRule="auto"/>
      </w:pPr>
      <w:r w:rsidRPr="004907F5">
        <w:t xml:space="preserve">Además, resulta aplicable el Criterio 03/17 del entonces Instituto Nacional de Transparencia, Acceso a la Información y Protección de Datos Personales: </w:t>
      </w:r>
      <w:r w:rsidRPr="004907F5">
        <w:rPr>
          <w:b/>
          <w:i/>
        </w:rPr>
        <w:t xml:space="preserve">No existe obligación de elaborar documentos ad hoc para atender las solicitudes de acceso a la información.; </w:t>
      </w:r>
      <w:r w:rsidRPr="004907F5">
        <w:t xml:space="preserve">en el que se precisa que de conformidad con los artículos 129 de la entonces Ley General de Transparencia y Acceso a la Información Pública y 130, párrafo cuarto, de la entonces Ley Federal de Transparencia y Acceso a la Información Pública, los Sujetos Obligados deben dar acceso a los documentos que se encuentren en sus archivos y que estén obligados a documentar conforme a sus facultades o </w:t>
      </w:r>
      <w:r w:rsidRPr="004907F5">
        <w:lastRenderedPageBreak/>
        <w:t xml:space="preserve">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w:t>
      </w:r>
    </w:p>
    <w:p w14:paraId="1497B8BE" w14:textId="77777777" w:rsidR="00047A68" w:rsidRPr="004907F5" w:rsidRDefault="002A2F29">
      <w:pPr>
        <w:tabs>
          <w:tab w:val="left" w:pos="4962"/>
        </w:tabs>
        <w:spacing w:after="0" w:line="360" w:lineRule="auto"/>
      </w:pPr>
      <w:r w:rsidRPr="004907F5">
        <w:rPr>
          <w:i/>
        </w:rPr>
        <w:t xml:space="preserve"> </w:t>
      </w:r>
    </w:p>
    <w:p w14:paraId="1B97009C" w14:textId="77777777" w:rsidR="00047A68" w:rsidRPr="004907F5" w:rsidRDefault="002A2F29">
      <w:pPr>
        <w:spacing w:after="0" w:line="360" w:lineRule="auto"/>
      </w:pPr>
      <w:r w:rsidRPr="004907F5">
        <w:t>Por ello, los Sujetos Obligados únicamente se encuentran obligados a proporcionar los documentos que den cuenta de la información solicitada, como obren en sus archivos, sin tener que elaborarlos a las necesidades de la parte Recurrente.</w:t>
      </w:r>
    </w:p>
    <w:p w14:paraId="0AFF11E7" w14:textId="77777777" w:rsidR="00047A68" w:rsidRPr="004907F5" w:rsidRDefault="00047A68">
      <w:pPr>
        <w:tabs>
          <w:tab w:val="left" w:pos="4962"/>
        </w:tabs>
        <w:spacing w:after="0" w:line="360" w:lineRule="auto"/>
        <w:rPr>
          <w:color w:val="000000"/>
        </w:rPr>
      </w:pPr>
    </w:p>
    <w:p w14:paraId="765E8B5A" w14:textId="77777777" w:rsidR="00047A68" w:rsidRPr="004907F5" w:rsidRDefault="002A2F29">
      <w:pPr>
        <w:tabs>
          <w:tab w:val="left" w:pos="4962"/>
        </w:tabs>
        <w:spacing w:after="0" w:line="360" w:lineRule="auto"/>
        <w:rPr>
          <w:color w:val="000000"/>
        </w:rPr>
      </w:pPr>
      <w:r w:rsidRPr="004907F5">
        <w:rPr>
          <w:color w:val="000000"/>
        </w:rPr>
        <w:t xml:space="preserve">Así pues, los cuestionamientos formulados por la parte </w:t>
      </w:r>
      <w:proofErr w:type="gramStart"/>
      <w:r w:rsidRPr="004907F5">
        <w:rPr>
          <w:color w:val="000000"/>
        </w:rPr>
        <w:t>Recurrente,</w:t>
      </w:r>
      <w:proofErr w:type="gramEnd"/>
      <w:r w:rsidRPr="004907F5">
        <w:rPr>
          <w:color w:val="000000"/>
        </w:rPr>
        <w:t xml:space="preserve"> tienen otra naturaleza, y pueden tratarse de una consulta que implique el ejercicio de un derecho de petición y no de acceso a la información pública; puesto que pretenden obtener explicaciones o razonamientos que no obran en un documento ya existente.</w:t>
      </w:r>
    </w:p>
    <w:p w14:paraId="241503FE" w14:textId="77777777" w:rsidR="00047A68" w:rsidRPr="004907F5" w:rsidRDefault="00047A68">
      <w:pPr>
        <w:tabs>
          <w:tab w:val="left" w:pos="4962"/>
        </w:tabs>
        <w:spacing w:after="0" w:line="360" w:lineRule="auto"/>
        <w:rPr>
          <w:color w:val="000000"/>
        </w:rPr>
      </w:pPr>
    </w:p>
    <w:p w14:paraId="5546EA55" w14:textId="77777777" w:rsidR="00047A68" w:rsidRPr="004907F5" w:rsidRDefault="002A2F29">
      <w:pPr>
        <w:tabs>
          <w:tab w:val="left" w:pos="4962"/>
        </w:tabs>
        <w:spacing w:after="0" w:line="360" w:lineRule="auto"/>
        <w:rPr>
          <w:i/>
          <w:color w:val="000000"/>
        </w:rPr>
      </w:pPr>
      <w:r w:rsidRPr="004907F5">
        <w:rPr>
          <w:color w:val="000000"/>
        </w:rPr>
        <w:t xml:space="preserve">En ese tenor, por lo que respecta a la definición del derecho de petición se tiene que el Doctor Ignacio Burgoa Orihuela refiere que </w:t>
      </w:r>
      <w:r w:rsidRPr="004907F5">
        <w:rPr>
          <w:i/>
          <w:color w:val="000000"/>
        </w:rPr>
        <w:t xml:space="preserve">“es un Derecho Público subjetivo individual de la Garantía Respectiva Consagrada en el artículo 8 de la Ley Fundamental. En tal virtud, la persona tiene la facultad de acudir a cualquier autoridad, formulando una solicitud o instancia </w:t>
      </w:r>
      <w:r w:rsidRPr="004907F5">
        <w:rPr>
          <w:i/>
        </w:rPr>
        <w:t>escrita</w:t>
      </w:r>
      <w:r w:rsidRPr="004907F5">
        <w:rPr>
          <w:i/>
          <w:color w:val="000000"/>
        </w:rPr>
        <w:t xml:space="preserve"> de cualquier índole, la cual adopta, específicamente, el carácter de simple petición administrativa, acción o recurso, etc.”. </w:t>
      </w:r>
    </w:p>
    <w:p w14:paraId="1C98AE86" w14:textId="77777777" w:rsidR="00047A68" w:rsidRPr="004907F5" w:rsidRDefault="00047A68">
      <w:pPr>
        <w:tabs>
          <w:tab w:val="left" w:pos="4962"/>
        </w:tabs>
        <w:spacing w:after="0" w:line="360" w:lineRule="auto"/>
        <w:rPr>
          <w:color w:val="000000"/>
        </w:rPr>
      </w:pPr>
    </w:p>
    <w:p w14:paraId="286C16E2" w14:textId="77777777" w:rsidR="00047A68" w:rsidRPr="004907F5" w:rsidRDefault="002A2F29">
      <w:pPr>
        <w:spacing w:after="0" w:line="360" w:lineRule="auto"/>
      </w:pPr>
      <w:r w:rsidRPr="004907F5">
        <w:t xml:space="preserve">Lo anterior toma relevancia, pues según Trujillo, Humberto (2019), en el </w:t>
      </w:r>
      <w:r w:rsidRPr="004907F5">
        <w:rPr>
          <w:i/>
        </w:rPr>
        <w:t>“Diccionario de Transparencia y Acceso a la Información Pública</w:t>
      </w:r>
      <w:r w:rsidRPr="004907F5">
        <w:t xml:space="preserve">” (p. 122), el derecho de </w:t>
      </w:r>
      <w:proofErr w:type="gramStart"/>
      <w:r w:rsidRPr="004907F5">
        <w:t>petición,</w:t>
      </w:r>
      <w:proofErr w:type="gramEnd"/>
      <w:r w:rsidRPr="004907F5">
        <w:t xml:space="preserve"> es una prerrogativa constitucional que tienen las personas para solicitar o reclamar a las </w:t>
      </w:r>
      <w:proofErr w:type="gramStart"/>
      <w:r w:rsidRPr="004907F5">
        <w:t>autoridades públicas</w:t>
      </w:r>
      <w:proofErr w:type="gramEnd"/>
      <w:r w:rsidRPr="004907F5">
        <w:t>;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55B6AB86" w14:textId="77777777" w:rsidR="00047A68" w:rsidRPr="004907F5" w:rsidRDefault="00047A68">
      <w:pPr>
        <w:spacing w:after="0" w:line="360" w:lineRule="auto"/>
      </w:pPr>
    </w:p>
    <w:p w14:paraId="5BDF2233" w14:textId="77777777" w:rsidR="00047A68" w:rsidRPr="004907F5" w:rsidRDefault="002A2F29">
      <w:pPr>
        <w:spacing w:after="0" w:line="360" w:lineRule="auto"/>
        <w:ind w:left="567" w:right="709"/>
        <w:rPr>
          <w:i/>
          <w:sz w:val="20"/>
          <w:szCs w:val="20"/>
        </w:rPr>
      </w:pPr>
      <w:r w:rsidRPr="004907F5">
        <w:rPr>
          <w:b/>
          <w:i/>
          <w:sz w:val="20"/>
          <w:szCs w:val="20"/>
        </w:rPr>
        <w:t xml:space="preserve">“DERECHO DE PETICIÓN. SUS ELEMENTOS. </w:t>
      </w:r>
      <w:r w:rsidRPr="004907F5">
        <w:rPr>
          <w:i/>
          <w:sz w:val="20"/>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1A2FD54C" w14:textId="77777777" w:rsidR="00047A68" w:rsidRPr="004907F5" w:rsidRDefault="00047A68">
      <w:pPr>
        <w:spacing w:after="0" w:line="360" w:lineRule="auto"/>
        <w:rPr>
          <w:sz w:val="20"/>
          <w:szCs w:val="20"/>
        </w:rPr>
      </w:pPr>
    </w:p>
    <w:p w14:paraId="38168520" w14:textId="77777777" w:rsidR="00047A68" w:rsidRPr="004907F5" w:rsidRDefault="002A2F29">
      <w:pPr>
        <w:spacing w:after="0" w:line="360" w:lineRule="auto"/>
      </w:pPr>
      <w:r w:rsidRPr="004907F5">
        <w:t xml:space="preserve">De la Jurisprudencia citada, se advierte que el derecho de </w:t>
      </w:r>
      <w:proofErr w:type="gramStart"/>
      <w:r w:rsidRPr="004907F5">
        <w:t>petición,</w:t>
      </w:r>
      <w:proofErr w:type="gramEnd"/>
      <w:r w:rsidRPr="004907F5">
        <w:t xml:space="preserve">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52FDDF29" w14:textId="77777777" w:rsidR="00047A68" w:rsidRPr="004907F5" w:rsidRDefault="00047A68">
      <w:pPr>
        <w:tabs>
          <w:tab w:val="left" w:pos="4962"/>
        </w:tabs>
        <w:spacing w:after="0" w:line="360" w:lineRule="auto"/>
        <w:rPr>
          <w:color w:val="000000"/>
        </w:rPr>
      </w:pPr>
    </w:p>
    <w:p w14:paraId="70670D1F" w14:textId="77777777" w:rsidR="00047A68" w:rsidRPr="004907F5" w:rsidRDefault="002A2F29">
      <w:pPr>
        <w:tabs>
          <w:tab w:val="left" w:pos="4962"/>
        </w:tabs>
        <w:spacing w:after="0" w:line="360" w:lineRule="auto"/>
        <w:rPr>
          <w:color w:val="000000"/>
        </w:rPr>
      </w:pPr>
      <w:r w:rsidRPr="004907F5">
        <w:rPr>
          <w:color w:val="000000"/>
        </w:rPr>
        <w:t xml:space="preserve">Por otra parte, el derecho de acceso a la información </w:t>
      </w:r>
      <w:proofErr w:type="gramStart"/>
      <w:r w:rsidRPr="004907F5">
        <w:rPr>
          <w:color w:val="000000"/>
        </w:rPr>
        <w:t>pública,</w:t>
      </w:r>
      <w:proofErr w:type="gramEnd"/>
      <w:r w:rsidRPr="004907F5">
        <w:rPr>
          <w:color w:val="000000"/>
        </w:rPr>
        <w:t xml:space="preserve"> es aquel, en el que, los Particulares pueden solicitar información referente a aquellos documentos que, en ejercicio de sus atribuciones, reflejen la toma de decisiones de los Sujetos Obligados o de aquellos que por </w:t>
      </w:r>
      <w:r w:rsidRPr="004907F5">
        <w:rPr>
          <w:color w:val="000000"/>
        </w:rPr>
        <w:lastRenderedPageBreak/>
        <w:t xml:space="preserve">cualquier motivo reciban, administren o apliquen recursos públicos, y está previsto en el artículo 6° de la Constitución Política de los Estados Unidos Mexicanos. </w:t>
      </w:r>
    </w:p>
    <w:p w14:paraId="3C6F4750" w14:textId="77777777" w:rsidR="00047A68" w:rsidRPr="004907F5" w:rsidRDefault="00047A68">
      <w:pPr>
        <w:spacing w:after="0" w:line="360" w:lineRule="auto"/>
      </w:pPr>
    </w:p>
    <w:p w14:paraId="140F94DE" w14:textId="77777777" w:rsidR="00047A68" w:rsidRPr="004907F5" w:rsidRDefault="002A2F29">
      <w:pPr>
        <w:tabs>
          <w:tab w:val="left" w:pos="4962"/>
        </w:tabs>
        <w:spacing w:after="0" w:line="360" w:lineRule="auto"/>
        <w:rPr>
          <w:color w:val="000000"/>
        </w:rPr>
      </w:pPr>
      <w:r w:rsidRPr="004907F5">
        <w:rPr>
          <w:color w:val="000000"/>
        </w:rPr>
        <w:t>En consecuencia, lo solicitado no pertenece al derecho de acceso a la información sino al derecho de petición, ya que de derivan cuestionamientos, cuya única respuesta implica que se procese la información y se emita un pronunciamiento específico; por lo que, corresponden a una consulta.</w:t>
      </w:r>
    </w:p>
    <w:p w14:paraId="34CEC318" w14:textId="77777777" w:rsidR="00047A68" w:rsidRPr="004907F5" w:rsidRDefault="00047A68">
      <w:pPr>
        <w:tabs>
          <w:tab w:val="left" w:pos="4962"/>
        </w:tabs>
        <w:spacing w:after="0" w:line="360" w:lineRule="auto"/>
        <w:rPr>
          <w:color w:val="000000"/>
        </w:rPr>
      </w:pPr>
    </w:p>
    <w:p w14:paraId="7B1F3D44" w14:textId="77777777" w:rsidR="00047A68" w:rsidRPr="004907F5" w:rsidRDefault="002A2F29">
      <w:pPr>
        <w:tabs>
          <w:tab w:val="left" w:pos="4962"/>
        </w:tabs>
        <w:spacing w:after="0" w:line="360" w:lineRule="auto"/>
        <w:rPr>
          <w:color w:val="000000"/>
        </w:rPr>
      </w:pPr>
      <w:r w:rsidRPr="004907F5">
        <w:rPr>
          <w:color w:val="000000"/>
        </w:rPr>
        <w:t>En atención a lo anterior, se actualiza la causal de improcedencia previsto en el artículo 191 fracción VI de la Ley de Transparencia y Acceso a la Información Pública del Estado de México y Municipios; que implica que el Recurso de Revisión será improcedente cuando se trate de una consulta.</w:t>
      </w:r>
    </w:p>
    <w:p w14:paraId="787E59D4" w14:textId="77777777" w:rsidR="00047A68" w:rsidRPr="004907F5" w:rsidRDefault="00047A68">
      <w:pPr>
        <w:tabs>
          <w:tab w:val="left" w:pos="4962"/>
        </w:tabs>
        <w:spacing w:after="0" w:line="360" w:lineRule="auto"/>
        <w:rPr>
          <w:color w:val="000000"/>
        </w:rPr>
      </w:pPr>
    </w:p>
    <w:p w14:paraId="22490B16" w14:textId="77777777" w:rsidR="00047A68" w:rsidRPr="004907F5" w:rsidRDefault="002A2F29">
      <w:pPr>
        <w:tabs>
          <w:tab w:val="left" w:pos="4962"/>
        </w:tabs>
        <w:spacing w:after="0" w:line="360" w:lineRule="auto"/>
        <w:rPr>
          <w:color w:val="000000"/>
        </w:rPr>
      </w:pPr>
      <w:r w:rsidRPr="004907F5">
        <w:rPr>
          <w:color w:val="000000"/>
        </w:rPr>
        <w:t xml:space="preserve">Por tanto, se actualiza el supuesto previsto en el artículo 192 fracción VI de la Ley de Transparencia y Acceso a la Información Pública del Estado de México y Municipios; que señala, como una causa de sobreseimiento que, una vez admitido un Recurso de Revisión aparezca una causal de improcedencia; </w:t>
      </w:r>
      <w:r w:rsidRPr="004907F5">
        <w:rPr>
          <w:b/>
          <w:color w:val="000000"/>
        </w:rPr>
        <w:t>en el caso concreto, que la parte Recurrente formuló una consulta como solicitud de información.</w:t>
      </w:r>
      <w:r w:rsidRPr="004907F5">
        <w:rPr>
          <w:color w:val="000000"/>
        </w:rPr>
        <w:t xml:space="preserve"> </w:t>
      </w:r>
    </w:p>
    <w:p w14:paraId="673B0236" w14:textId="77777777" w:rsidR="00047A68" w:rsidRPr="004907F5" w:rsidRDefault="00047A68">
      <w:pPr>
        <w:tabs>
          <w:tab w:val="left" w:pos="4962"/>
        </w:tabs>
        <w:spacing w:after="0" w:line="360" w:lineRule="auto"/>
        <w:rPr>
          <w:color w:val="000000"/>
        </w:rPr>
      </w:pPr>
    </w:p>
    <w:p w14:paraId="5DD0CCCC" w14:textId="1225568D" w:rsidR="00047A68" w:rsidRPr="004907F5" w:rsidRDefault="002A2F29">
      <w:pPr>
        <w:tabs>
          <w:tab w:val="left" w:pos="4962"/>
        </w:tabs>
        <w:spacing w:after="0" w:line="360" w:lineRule="auto"/>
        <w:rPr>
          <w:color w:val="000000"/>
        </w:rPr>
      </w:pPr>
      <w:r w:rsidRPr="004907F5">
        <w:rPr>
          <w:color w:val="000000"/>
        </w:rPr>
        <w:t xml:space="preserve">En conclusión, es procedente </w:t>
      </w:r>
      <w:r w:rsidRPr="004907F5">
        <w:rPr>
          <w:b/>
          <w:color w:val="000000"/>
        </w:rPr>
        <w:t xml:space="preserve">SOBRESEER </w:t>
      </w:r>
      <w:r w:rsidR="006E20B0" w:rsidRPr="004907F5">
        <w:rPr>
          <w:color w:val="000000"/>
        </w:rPr>
        <w:t>el R</w:t>
      </w:r>
      <w:r w:rsidRPr="004907F5">
        <w:rPr>
          <w:color w:val="000000"/>
        </w:rPr>
        <w:t xml:space="preserve">ecurso de Revisión, en atención a que, el único punto de solicitud que subsiste constituye una petición o consulta, lo cual actualiza un supuesto de improcedencia para el Recurso de Revisión que nos ocupa. </w:t>
      </w:r>
    </w:p>
    <w:p w14:paraId="2E4D9FA1" w14:textId="77777777" w:rsidR="00047A68" w:rsidRPr="004907F5" w:rsidRDefault="00047A68">
      <w:pPr>
        <w:tabs>
          <w:tab w:val="left" w:pos="4962"/>
        </w:tabs>
        <w:spacing w:after="0" w:line="360" w:lineRule="auto"/>
        <w:rPr>
          <w:color w:val="000000"/>
        </w:rPr>
      </w:pPr>
    </w:p>
    <w:p w14:paraId="72F19E14" w14:textId="77777777" w:rsidR="00047A68" w:rsidRPr="004907F5" w:rsidRDefault="002A2F29">
      <w:pPr>
        <w:pStyle w:val="Ttulo2"/>
        <w:spacing w:before="0" w:after="0"/>
        <w:rPr>
          <w:b w:val="0"/>
        </w:rPr>
      </w:pPr>
      <w:bookmarkStart w:id="20" w:name="_heading=h.1ln218o7u27" w:colFirst="0" w:colLast="0"/>
      <w:bookmarkStart w:id="21" w:name="_Toc213944434"/>
      <w:bookmarkEnd w:id="20"/>
      <w:r w:rsidRPr="004907F5">
        <w:t>TERCERO. Decisión</w:t>
      </w:r>
      <w:bookmarkEnd w:id="21"/>
    </w:p>
    <w:p w14:paraId="3A4A671E" w14:textId="77777777" w:rsidR="00047A68" w:rsidRPr="004907F5" w:rsidRDefault="00047A68">
      <w:pPr>
        <w:spacing w:after="0" w:line="360" w:lineRule="auto"/>
        <w:rPr>
          <w:b/>
        </w:rPr>
      </w:pPr>
    </w:p>
    <w:p w14:paraId="5362BB7F" w14:textId="77777777" w:rsidR="00047A68" w:rsidRPr="004907F5" w:rsidRDefault="002A2F29">
      <w:pPr>
        <w:spacing w:after="0" w:line="360" w:lineRule="auto"/>
      </w:pPr>
      <w:bookmarkStart w:id="22" w:name="_heading=h.vwfyvmk8gqqw" w:colFirst="0" w:colLast="0"/>
      <w:bookmarkEnd w:id="22"/>
      <w:r w:rsidRPr="004907F5">
        <w:t xml:space="preserve">Con fundamento en los artículos 186, fracción I y 192 fracción IV; en relación con el 191, fracciones VI y VII, de la Ley de Transparencia y Acceso a la Información Pública del Estado de </w:t>
      </w:r>
      <w:r w:rsidRPr="004907F5">
        <w:lastRenderedPageBreak/>
        <w:t xml:space="preserve">México y Municipios, este Instituto considera procedente </w:t>
      </w:r>
      <w:r w:rsidRPr="004907F5">
        <w:rPr>
          <w:b/>
        </w:rPr>
        <w:t xml:space="preserve">SOBRESEER </w:t>
      </w:r>
      <w:r w:rsidRPr="004907F5">
        <w:t xml:space="preserve">el Recurso de Revisión </w:t>
      </w:r>
      <w:r w:rsidRPr="004907F5">
        <w:rPr>
          <w:b/>
        </w:rPr>
        <w:t>09851/INFOEM/IP/RR/2025</w:t>
      </w:r>
      <w:r w:rsidRPr="004907F5">
        <w:t xml:space="preserve">, ya que, una vez admitido el Recurso de Revisión surgieron causales de improcedencia, dado que el único punto que subsiste de lo solicitado se trata de una consulta. </w:t>
      </w:r>
    </w:p>
    <w:p w14:paraId="0DBFC990" w14:textId="77777777" w:rsidR="00047A68" w:rsidRPr="004907F5" w:rsidRDefault="00047A68">
      <w:pPr>
        <w:tabs>
          <w:tab w:val="left" w:pos="4962"/>
        </w:tabs>
        <w:spacing w:after="0" w:line="360" w:lineRule="auto"/>
      </w:pPr>
    </w:p>
    <w:p w14:paraId="11A4454C" w14:textId="77777777" w:rsidR="00047A68" w:rsidRPr="004907F5" w:rsidRDefault="002A2F29">
      <w:pPr>
        <w:spacing w:after="0" w:line="360" w:lineRule="auto"/>
        <w:rPr>
          <w:b/>
          <w:u w:val="single"/>
        </w:rPr>
      </w:pPr>
      <w:r w:rsidRPr="004907F5">
        <w:rPr>
          <w:b/>
          <w:u w:val="single"/>
        </w:rPr>
        <w:t>Términos de la Resolución para conocimiento de la parte Recurrente</w:t>
      </w:r>
    </w:p>
    <w:p w14:paraId="66033FFC" w14:textId="77777777" w:rsidR="00047A68" w:rsidRPr="004907F5" w:rsidRDefault="00047A68">
      <w:pPr>
        <w:spacing w:after="0" w:line="360" w:lineRule="auto"/>
        <w:rPr>
          <w:b/>
          <w:u w:val="single"/>
        </w:rPr>
      </w:pPr>
    </w:p>
    <w:p w14:paraId="25BA9C69" w14:textId="77777777" w:rsidR="00047A68" w:rsidRPr="004907F5" w:rsidRDefault="002A2F29">
      <w:pPr>
        <w:widowControl w:val="0"/>
        <w:spacing w:after="0" w:line="360" w:lineRule="auto"/>
        <w:rPr>
          <w:color w:val="000000"/>
          <w:u w:val="single"/>
        </w:rPr>
      </w:pPr>
      <w:r w:rsidRPr="004907F5">
        <w:rPr>
          <w:color w:val="000000"/>
          <w:u w:val="single"/>
        </w:rPr>
        <w:t xml:space="preserve">Se le hace del conocimiento a la parte Recurrente que, el derecho de acceso a la información pública consiste en que la población pueda obtener la información o documentación que ya fue generada y deba existir en los archivos del Sujeto Obligado; es decir, que el Ayuntamiento de Morelos no deba generar documentos nuevos, o contestar cuestionamientos, ya que, esta actividad corresponde al derecho de petición, que se ejerce mediante otras vías. </w:t>
      </w:r>
    </w:p>
    <w:p w14:paraId="030F3746" w14:textId="77777777" w:rsidR="00047A68" w:rsidRPr="004907F5" w:rsidRDefault="00047A68">
      <w:pPr>
        <w:widowControl w:val="0"/>
        <w:spacing w:after="0" w:line="360" w:lineRule="auto"/>
        <w:rPr>
          <w:color w:val="000000"/>
          <w:u w:val="single"/>
        </w:rPr>
      </w:pPr>
    </w:p>
    <w:p w14:paraId="79C824B6" w14:textId="77777777" w:rsidR="00047A68" w:rsidRPr="004907F5" w:rsidRDefault="002A2F29">
      <w:pPr>
        <w:widowControl w:val="0"/>
        <w:spacing w:after="0" w:line="360" w:lineRule="auto"/>
        <w:rPr>
          <w:u w:val="single"/>
        </w:rPr>
      </w:pPr>
      <w:r w:rsidRPr="004907F5">
        <w:rPr>
          <w:color w:val="000000"/>
          <w:u w:val="single"/>
        </w:rPr>
        <w:t>La</w:t>
      </w:r>
      <w:r w:rsidRPr="004907F5">
        <w:rPr>
          <w:u w:val="single"/>
        </w:rPr>
        <w:t xml:space="preserve"> labor del Instituto es apoyar a la población a acceder a la información y garantizar la protección de sus datos.</w:t>
      </w:r>
    </w:p>
    <w:p w14:paraId="0E354160" w14:textId="77777777" w:rsidR="00047A68" w:rsidRPr="004907F5" w:rsidRDefault="00047A68">
      <w:pPr>
        <w:widowControl w:val="0"/>
        <w:spacing w:after="0" w:line="360" w:lineRule="auto"/>
      </w:pPr>
    </w:p>
    <w:p w14:paraId="2C19AF75" w14:textId="77777777" w:rsidR="00047A68" w:rsidRPr="004907F5" w:rsidRDefault="002A2F29">
      <w:pPr>
        <w:spacing w:after="0" w:line="360" w:lineRule="auto"/>
      </w:pPr>
      <w:r w:rsidRPr="004907F5">
        <w:t>Por lo expuesto y fundado, este Pleno:</w:t>
      </w:r>
    </w:p>
    <w:p w14:paraId="706CDC17" w14:textId="77777777" w:rsidR="00047A68" w:rsidRPr="004907F5" w:rsidRDefault="00047A68">
      <w:pPr>
        <w:spacing w:after="0" w:line="360" w:lineRule="auto"/>
      </w:pPr>
    </w:p>
    <w:p w14:paraId="1B444E3A" w14:textId="77777777" w:rsidR="00047A68" w:rsidRPr="004907F5" w:rsidRDefault="002A2F29">
      <w:pPr>
        <w:pStyle w:val="Ttulo1"/>
        <w:spacing w:before="0" w:after="0"/>
        <w:rPr>
          <w:b w:val="0"/>
          <w:sz w:val="22"/>
          <w:szCs w:val="22"/>
        </w:rPr>
      </w:pPr>
      <w:bookmarkStart w:id="23" w:name="_heading=h.9p1a8hn884ww" w:colFirst="0" w:colLast="0"/>
      <w:bookmarkStart w:id="24" w:name="_Toc213944435"/>
      <w:bookmarkEnd w:id="23"/>
      <w:r w:rsidRPr="004907F5">
        <w:rPr>
          <w:sz w:val="22"/>
          <w:szCs w:val="22"/>
        </w:rPr>
        <w:t>R E S U E L V E</w:t>
      </w:r>
      <w:bookmarkEnd w:id="24"/>
    </w:p>
    <w:p w14:paraId="2679C1E4" w14:textId="77777777" w:rsidR="00047A68" w:rsidRPr="004907F5" w:rsidRDefault="00047A68">
      <w:pPr>
        <w:spacing w:after="0" w:line="360" w:lineRule="auto"/>
      </w:pPr>
    </w:p>
    <w:p w14:paraId="281011DC" w14:textId="77777777" w:rsidR="00047A68" w:rsidRPr="004907F5" w:rsidRDefault="002A2F29">
      <w:pPr>
        <w:spacing w:after="0" w:line="360" w:lineRule="auto"/>
      </w:pPr>
      <w:r w:rsidRPr="004907F5">
        <w:rPr>
          <w:b/>
        </w:rPr>
        <w:t xml:space="preserve">PRIMERO. </w:t>
      </w:r>
      <w:r w:rsidRPr="004907F5">
        <w:t xml:space="preserve">Se </w:t>
      </w:r>
      <w:r w:rsidRPr="004907F5">
        <w:rPr>
          <w:b/>
        </w:rPr>
        <w:t xml:space="preserve">SOBRESEE </w:t>
      </w:r>
      <w:r w:rsidRPr="004907F5">
        <w:t xml:space="preserve">el Recurso de Revisión </w:t>
      </w:r>
      <w:r w:rsidRPr="004907F5">
        <w:rPr>
          <w:b/>
        </w:rPr>
        <w:t>09851/INFOEM/IP/RR/2025</w:t>
      </w:r>
      <w:r w:rsidRPr="004907F5">
        <w:t xml:space="preserve">, de conformidad con el artículo 192, fracción IV, por actualizarse las causales de improcedencia, establecidas en el artículo 191, fracción VI, ambos de la Ley de Transparencia y Acceso a la Información Pública del Estado de México y Municipios, en términos de los Considerandos </w:t>
      </w:r>
      <w:r w:rsidRPr="004907F5">
        <w:rPr>
          <w:b/>
        </w:rPr>
        <w:t>SEGUNDO</w:t>
      </w:r>
      <w:r w:rsidRPr="004907F5">
        <w:t xml:space="preserve"> y </w:t>
      </w:r>
      <w:r w:rsidRPr="004907F5">
        <w:rPr>
          <w:b/>
        </w:rPr>
        <w:t>TERCERO</w:t>
      </w:r>
      <w:r w:rsidRPr="004907F5">
        <w:t xml:space="preserve"> de esta Resolución, </w:t>
      </w:r>
    </w:p>
    <w:p w14:paraId="0B89EA16" w14:textId="77777777" w:rsidR="00047A68" w:rsidRPr="004907F5" w:rsidRDefault="00047A68">
      <w:pPr>
        <w:spacing w:after="0" w:line="360" w:lineRule="auto"/>
      </w:pPr>
    </w:p>
    <w:p w14:paraId="44E5F435" w14:textId="77777777" w:rsidR="00047A68" w:rsidRPr="004907F5" w:rsidRDefault="002A2F29">
      <w:pPr>
        <w:spacing w:after="0" w:line="360" w:lineRule="auto"/>
        <w:ind w:right="-28"/>
        <w:rPr>
          <w:b/>
          <w:color w:val="000000"/>
        </w:rPr>
      </w:pPr>
      <w:r w:rsidRPr="004907F5">
        <w:rPr>
          <w:b/>
          <w:color w:val="000000"/>
        </w:rPr>
        <w:lastRenderedPageBreak/>
        <w:t xml:space="preserve">SEGUNDO. NOTIFÍQUESE POR SAIMEX </w:t>
      </w:r>
      <w:r w:rsidRPr="004907F5">
        <w:rPr>
          <w:color w:val="000000"/>
        </w:rPr>
        <w:t>la presente resolución al Titular de la Unidad de Transparencia del Sujeto Obligado.</w:t>
      </w:r>
    </w:p>
    <w:p w14:paraId="44D66128" w14:textId="77777777" w:rsidR="00047A68" w:rsidRPr="004907F5" w:rsidRDefault="00047A68">
      <w:pPr>
        <w:spacing w:after="0" w:line="360" w:lineRule="auto"/>
        <w:rPr>
          <w:color w:val="000000"/>
        </w:rPr>
      </w:pPr>
    </w:p>
    <w:p w14:paraId="6F5A1571" w14:textId="77777777" w:rsidR="00047A68" w:rsidRPr="004907F5" w:rsidRDefault="002A2F29">
      <w:pPr>
        <w:spacing w:after="0" w:line="360" w:lineRule="auto"/>
      </w:pPr>
      <w:r w:rsidRPr="004907F5">
        <w:rPr>
          <w:b/>
          <w:color w:val="000000"/>
        </w:rPr>
        <w:t xml:space="preserve">TERCERO. </w:t>
      </w:r>
      <w:r w:rsidRPr="004907F5">
        <w:rPr>
          <w:b/>
        </w:rPr>
        <w:t xml:space="preserve">NOTIFÍQUESE POR SAIMEX </w:t>
      </w:r>
      <w:r w:rsidRPr="004907F5">
        <w:t xml:space="preserve">a </w:t>
      </w:r>
      <w:r w:rsidRPr="004907F5">
        <w:rPr>
          <w:color w:val="000000"/>
        </w:rPr>
        <w:t xml:space="preserve">la persona </w:t>
      </w:r>
      <w:r w:rsidRPr="004907F5">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DF58F0D" w14:textId="77777777" w:rsidR="00047A68" w:rsidRPr="004907F5" w:rsidRDefault="00047A68">
      <w:pPr>
        <w:spacing w:after="0" w:line="360" w:lineRule="auto"/>
      </w:pPr>
    </w:p>
    <w:p w14:paraId="007DE16F" w14:textId="11756A36" w:rsidR="00047A68" w:rsidRDefault="002A2F29">
      <w:pPr>
        <w:spacing w:after="0" w:line="360" w:lineRule="auto"/>
      </w:pPr>
      <w:r w:rsidRPr="004907F5">
        <w:t xml:space="preserve">ASÍ LO RESUELVE, POR </w:t>
      </w:r>
      <w:r w:rsidRPr="004907F5">
        <w:rPr>
          <w:b/>
        </w:rPr>
        <w:t>UNANIMIDAD</w:t>
      </w:r>
      <w:r w:rsidRPr="004907F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4907F5">
        <w:t xml:space="preserve"> NORIEGA</w:t>
      </w:r>
      <w:r w:rsidRPr="004907F5">
        <w:t xml:space="preserve"> Y GUADALUPE RAMÍREZ PEÑA, EN LA CUADRAGÉSIMA SESIÓN ORDINARIA, CELEBRADA EL DOCE DE NOVIEMBRE DE DOS MIL VEINTICINCO, ANTE EL SECRETARIO TÉCNICO DEL PLENO, ALEXIS TAPIA RAMÍREZ.</w:t>
      </w:r>
    </w:p>
    <w:p w14:paraId="783E0E9A" w14:textId="77777777" w:rsidR="00047A68" w:rsidRDefault="00047A68">
      <w:pPr>
        <w:pStyle w:val="Ttulo2"/>
        <w:spacing w:before="0" w:after="0"/>
        <w:rPr>
          <w:b w:val="0"/>
        </w:rPr>
      </w:pPr>
    </w:p>
    <w:p w14:paraId="7FC31B62" w14:textId="77777777" w:rsidR="00047A68" w:rsidRDefault="00047A68">
      <w:pPr>
        <w:spacing w:after="0" w:line="360" w:lineRule="auto"/>
      </w:pPr>
    </w:p>
    <w:p w14:paraId="7AFE8A7D" w14:textId="77777777" w:rsidR="00047A68" w:rsidRDefault="00047A68">
      <w:pPr>
        <w:spacing w:after="0" w:line="360" w:lineRule="auto"/>
      </w:pPr>
    </w:p>
    <w:p w14:paraId="1213E269" w14:textId="77777777" w:rsidR="00047A68" w:rsidRDefault="00047A68">
      <w:pPr>
        <w:spacing w:after="0" w:line="360" w:lineRule="auto"/>
      </w:pPr>
    </w:p>
    <w:p w14:paraId="1FE19982" w14:textId="77777777" w:rsidR="00047A68" w:rsidRDefault="00047A68">
      <w:pPr>
        <w:spacing w:after="0" w:line="360" w:lineRule="auto"/>
      </w:pPr>
    </w:p>
    <w:p w14:paraId="2CCACF05" w14:textId="77777777" w:rsidR="00047A68" w:rsidRDefault="00047A68">
      <w:pPr>
        <w:spacing w:after="0" w:line="360" w:lineRule="auto"/>
      </w:pPr>
    </w:p>
    <w:p w14:paraId="7B74AE88" w14:textId="77777777" w:rsidR="00047A68" w:rsidRDefault="00047A68">
      <w:pPr>
        <w:spacing w:after="0" w:line="360" w:lineRule="auto"/>
      </w:pPr>
    </w:p>
    <w:p w14:paraId="46588EB1" w14:textId="77777777" w:rsidR="00047A68" w:rsidRDefault="00047A68">
      <w:pPr>
        <w:spacing w:after="0" w:line="360" w:lineRule="auto"/>
      </w:pPr>
    </w:p>
    <w:p w14:paraId="4E66FCBC" w14:textId="77777777" w:rsidR="00047A68" w:rsidRDefault="00047A68">
      <w:pPr>
        <w:spacing w:after="0" w:line="360" w:lineRule="auto"/>
      </w:pPr>
    </w:p>
    <w:p w14:paraId="5FFA895E" w14:textId="77777777" w:rsidR="00047A68" w:rsidRDefault="00047A68">
      <w:pPr>
        <w:spacing w:after="0" w:line="360" w:lineRule="auto"/>
      </w:pPr>
    </w:p>
    <w:p w14:paraId="2974C985" w14:textId="77777777" w:rsidR="00047A68" w:rsidRDefault="00047A68">
      <w:pPr>
        <w:spacing w:after="0" w:line="360" w:lineRule="auto"/>
      </w:pPr>
    </w:p>
    <w:p w14:paraId="0063BC27" w14:textId="77777777" w:rsidR="00047A68" w:rsidRDefault="00047A68">
      <w:pPr>
        <w:spacing w:after="0" w:line="360" w:lineRule="auto"/>
      </w:pPr>
    </w:p>
    <w:p w14:paraId="0D35C690" w14:textId="77777777" w:rsidR="00047A68" w:rsidRDefault="00047A68">
      <w:pPr>
        <w:spacing w:after="0" w:line="360" w:lineRule="auto"/>
      </w:pPr>
    </w:p>
    <w:p w14:paraId="630F4419" w14:textId="77777777" w:rsidR="00047A68" w:rsidRDefault="00047A68">
      <w:pPr>
        <w:spacing w:after="0" w:line="360" w:lineRule="auto"/>
      </w:pPr>
    </w:p>
    <w:p w14:paraId="5BB46DBB" w14:textId="77777777" w:rsidR="00047A68" w:rsidRDefault="00047A68">
      <w:pPr>
        <w:spacing w:after="0" w:line="360" w:lineRule="auto"/>
      </w:pPr>
    </w:p>
    <w:p w14:paraId="33E276C0" w14:textId="77777777" w:rsidR="00047A68" w:rsidRDefault="00047A68">
      <w:pPr>
        <w:spacing w:after="0" w:line="360" w:lineRule="auto"/>
      </w:pPr>
    </w:p>
    <w:p w14:paraId="11F27919" w14:textId="77777777" w:rsidR="00047A68" w:rsidRDefault="00047A68">
      <w:pPr>
        <w:spacing w:after="0" w:line="360" w:lineRule="auto"/>
      </w:pPr>
    </w:p>
    <w:p w14:paraId="1E1C634A" w14:textId="77777777" w:rsidR="00047A68" w:rsidRDefault="00047A68">
      <w:pPr>
        <w:spacing w:after="0" w:line="360" w:lineRule="auto"/>
      </w:pPr>
    </w:p>
    <w:p w14:paraId="4219D1FE" w14:textId="77777777" w:rsidR="00047A68" w:rsidRDefault="00047A68">
      <w:pPr>
        <w:spacing w:after="0" w:line="360" w:lineRule="auto"/>
      </w:pPr>
    </w:p>
    <w:p w14:paraId="7399DB61" w14:textId="77777777" w:rsidR="00047A68" w:rsidRDefault="00047A68">
      <w:pPr>
        <w:spacing w:after="0" w:line="360" w:lineRule="auto"/>
      </w:pPr>
    </w:p>
    <w:p w14:paraId="70821DD5" w14:textId="77777777" w:rsidR="00047A68" w:rsidRDefault="00047A68">
      <w:pPr>
        <w:spacing w:after="0" w:line="360" w:lineRule="auto"/>
      </w:pPr>
    </w:p>
    <w:p w14:paraId="4ABF6F7C" w14:textId="77777777" w:rsidR="00047A68" w:rsidRDefault="00047A68">
      <w:pPr>
        <w:spacing w:after="0" w:line="360" w:lineRule="auto"/>
      </w:pPr>
    </w:p>
    <w:p w14:paraId="2D24D2AC" w14:textId="77777777" w:rsidR="00047A68" w:rsidRDefault="00047A68">
      <w:pPr>
        <w:spacing w:after="0" w:line="360" w:lineRule="auto"/>
      </w:pPr>
    </w:p>
    <w:p w14:paraId="78B2D62A" w14:textId="77777777" w:rsidR="00047A68" w:rsidRDefault="00047A68">
      <w:pPr>
        <w:spacing w:after="0" w:line="360" w:lineRule="auto"/>
      </w:pPr>
    </w:p>
    <w:sectPr w:rsidR="00047A68">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E965C" w14:textId="77777777" w:rsidR="005A4C95" w:rsidRDefault="005A4C95">
      <w:pPr>
        <w:spacing w:after="0" w:line="240" w:lineRule="auto"/>
      </w:pPr>
      <w:r>
        <w:separator/>
      </w:r>
    </w:p>
  </w:endnote>
  <w:endnote w:type="continuationSeparator" w:id="0">
    <w:p w14:paraId="67F56B1D" w14:textId="77777777" w:rsidR="005A4C95" w:rsidRDefault="005A4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A136C02D-A469-4E81-9204-FAE9AFC4EDD5}"/>
    <w:embedBold r:id="rId2" w:fontKey="{B5D78A8C-8138-4DC1-B120-20B593E0B6D3}"/>
    <w:embedItalic r:id="rId3" w:fontKey="{CDC166E3-B375-4543-B28D-14F794FE5B4F}"/>
    <w:embedBoldItalic r:id="rId4" w:fontKey="{27B630DC-CBE4-458E-9A56-49D629A1B57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BD8A2D7-80AB-4DE8-A966-11C66A8BAA1B}"/>
  </w:font>
  <w:font w:name="Georgia">
    <w:panose1 w:val="02040502050405020303"/>
    <w:charset w:val="00"/>
    <w:family w:val="roman"/>
    <w:pitch w:val="variable"/>
    <w:sig w:usb0="00000287" w:usb1="00000000" w:usb2="00000000" w:usb3="00000000" w:csb0="0000009F" w:csb1="00000000"/>
    <w:embedRegular r:id="rId6" w:fontKey="{951455A7-5396-4F4B-9A3B-A2D2D7472B73}"/>
    <w:embedItalic r:id="rId7" w:fontKey="{FBDBA221-ED94-4C0C-99F6-0172AE8A54B1}"/>
  </w:font>
  <w:font w:name="Calibri">
    <w:panose1 w:val="020F0502020204030204"/>
    <w:charset w:val="00"/>
    <w:family w:val="swiss"/>
    <w:pitch w:val="variable"/>
    <w:sig w:usb0="E4002EFF" w:usb1="C000247B" w:usb2="00000009" w:usb3="00000000" w:csb0="000001FF" w:csb1="00000000"/>
    <w:embedRegular r:id="rId8" w:fontKey="{F0C598F3-B38D-45C9-962E-7B07B1802469}"/>
  </w:font>
  <w:font w:name="Garamond">
    <w:panose1 w:val="02020404030301010803"/>
    <w:charset w:val="00"/>
    <w:family w:val="roman"/>
    <w:pitch w:val="variable"/>
    <w:sig w:usb0="00000287" w:usb1="00000000" w:usb2="00000000" w:usb3="00000000" w:csb0="0000009F" w:csb1="00000000"/>
    <w:embedRegular r:id="rId9" w:fontKey="{6E954540-C33D-4973-BB64-28731E645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24B6" w14:textId="011C7E61" w:rsidR="00047A68" w:rsidRDefault="002A2F2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C01922">
      <w:rPr>
        <w:b/>
        <w:color w:val="000000"/>
        <w:sz w:val="24"/>
        <w:szCs w:val="24"/>
      </w:rPr>
      <w:fldChar w:fldCharType="separate"/>
    </w:r>
    <w:r w:rsidR="00C01922">
      <w:rPr>
        <w:b/>
        <w:noProof/>
        <w:color w:val="000000"/>
        <w:sz w:val="24"/>
        <w:szCs w:val="24"/>
      </w:rPr>
      <w:t>18</w:t>
    </w:r>
    <w:r>
      <w:rPr>
        <w:b/>
        <w:color w:val="000000"/>
        <w:sz w:val="24"/>
        <w:szCs w:val="24"/>
      </w:rPr>
      <w:fldChar w:fldCharType="end"/>
    </w:r>
  </w:p>
  <w:p w14:paraId="13376137" w14:textId="77777777" w:rsidR="00047A68" w:rsidRDefault="00047A6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EF11" w14:textId="77777777" w:rsidR="00047A68" w:rsidRDefault="002A2F2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44999">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44999">
      <w:rPr>
        <w:b/>
        <w:noProof/>
        <w:color w:val="000000"/>
        <w:sz w:val="24"/>
        <w:szCs w:val="24"/>
      </w:rPr>
      <w:t>18</w:t>
    </w:r>
    <w:r>
      <w:rPr>
        <w:b/>
        <w:color w:val="000000"/>
        <w:sz w:val="24"/>
        <w:szCs w:val="24"/>
      </w:rPr>
      <w:fldChar w:fldCharType="end"/>
    </w:r>
  </w:p>
  <w:p w14:paraId="5C1B4BBF" w14:textId="77777777" w:rsidR="00047A68" w:rsidRDefault="00047A6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3D49" w14:textId="77777777" w:rsidR="00047A68" w:rsidRDefault="002A2F2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3199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31999">
      <w:rPr>
        <w:b/>
        <w:noProof/>
        <w:color w:val="000000"/>
        <w:sz w:val="24"/>
        <w:szCs w:val="24"/>
      </w:rPr>
      <w:t>1</w:t>
    </w:r>
    <w:r>
      <w:rPr>
        <w:b/>
        <w:color w:val="000000"/>
        <w:sz w:val="24"/>
        <w:szCs w:val="24"/>
      </w:rPr>
      <w:fldChar w:fldCharType="end"/>
    </w:r>
  </w:p>
  <w:p w14:paraId="7F101C31" w14:textId="77777777" w:rsidR="00047A68" w:rsidRDefault="00047A6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5FAFC" w14:textId="77777777" w:rsidR="005A4C95" w:rsidRDefault="005A4C95">
      <w:pPr>
        <w:spacing w:after="0" w:line="240" w:lineRule="auto"/>
      </w:pPr>
      <w:r>
        <w:separator/>
      </w:r>
    </w:p>
  </w:footnote>
  <w:footnote w:type="continuationSeparator" w:id="0">
    <w:p w14:paraId="47FA1589" w14:textId="77777777" w:rsidR="005A4C95" w:rsidRDefault="005A4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0AA0" w14:textId="77777777" w:rsidR="00047A68" w:rsidRDefault="00047A68">
    <w:pPr>
      <w:widowControl w:val="0"/>
      <w:pBdr>
        <w:top w:val="nil"/>
        <w:left w:val="nil"/>
        <w:bottom w:val="nil"/>
        <w:right w:val="nil"/>
        <w:between w:val="nil"/>
      </w:pBdr>
      <w:spacing w:after="0" w:line="276" w:lineRule="auto"/>
      <w:jc w:val="left"/>
      <w:rPr>
        <w:color w:val="000000"/>
      </w:rPr>
    </w:pPr>
  </w:p>
  <w:tbl>
    <w:tblPr>
      <w:tblStyle w:val="af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47A68" w14:paraId="316400E0" w14:textId="77777777">
      <w:trPr>
        <w:trHeight w:val="141"/>
      </w:trPr>
      <w:tc>
        <w:tcPr>
          <w:tcW w:w="2404" w:type="dxa"/>
        </w:tcPr>
        <w:p w14:paraId="2DCC998E" w14:textId="77777777" w:rsidR="00047A68" w:rsidRDefault="002A2F29">
          <w:pPr>
            <w:tabs>
              <w:tab w:val="right" w:pos="8838"/>
            </w:tabs>
            <w:ind w:right="-105"/>
            <w:rPr>
              <w:b/>
            </w:rPr>
          </w:pPr>
          <w:r>
            <w:rPr>
              <w:b/>
            </w:rPr>
            <w:t>Recurso de Revisión:</w:t>
          </w:r>
        </w:p>
      </w:tc>
      <w:tc>
        <w:tcPr>
          <w:tcW w:w="3587" w:type="dxa"/>
        </w:tcPr>
        <w:p w14:paraId="1D2BB8FA" w14:textId="77777777" w:rsidR="00047A68" w:rsidRDefault="002A2F29">
          <w:pPr>
            <w:tabs>
              <w:tab w:val="right" w:pos="8838"/>
            </w:tabs>
            <w:ind w:left="-28" w:right="683"/>
          </w:pPr>
          <w:r>
            <w:t>04196/INFOEM/IP/RR/2020</w:t>
          </w:r>
        </w:p>
      </w:tc>
    </w:tr>
    <w:tr w:rsidR="00047A68" w14:paraId="24E6B33C" w14:textId="77777777">
      <w:trPr>
        <w:trHeight w:val="276"/>
      </w:trPr>
      <w:tc>
        <w:tcPr>
          <w:tcW w:w="2404" w:type="dxa"/>
        </w:tcPr>
        <w:p w14:paraId="648251BD" w14:textId="77777777" w:rsidR="00047A68" w:rsidRDefault="002A2F29">
          <w:pPr>
            <w:tabs>
              <w:tab w:val="right" w:pos="8838"/>
            </w:tabs>
            <w:ind w:right="-105"/>
            <w:rPr>
              <w:b/>
            </w:rPr>
          </w:pPr>
          <w:r>
            <w:rPr>
              <w:b/>
            </w:rPr>
            <w:t>Sujeto Obligado:</w:t>
          </w:r>
        </w:p>
      </w:tc>
      <w:tc>
        <w:tcPr>
          <w:tcW w:w="3587" w:type="dxa"/>
        </w:tcPr>
        <w:p w14:paraId="76869A9F" w14:textId="77777777" w:rsidR="00047A68" w:rsidRDefault="002A2F29">
          <w:pPr>
            <w:tabs>
              <w:tab w:val="right" w:pos="8838"/>
            </w:tabs>
            <w:ind w:right="116"/>
          </w:pPr>
          <w:r>
            <w:t>Ayuntamiento de Chapultepec</w:t>
          </w:r>
        </w:p>
      </w:tc>
    </w:tr>
    <w:tr w:rsidR="00047A68" w14:paraId="4DAD289F" w14:textId="77777777">
      <w:trPr>
        <w:trHeight w:val="276"/>
      </w:trPr>
      <w:tc>
        <w:tcPr>
          <w:tcW w:w="2404" w:type="dxa"/>
        </w:tcPr>
        <w:p w14:paraId="4176C6CF" w14:textId="77777777" w:rsidR="00047A68" w:rsidRDefault="002A2F29">
          <w:pPr>
            <w:tabs>
              <w:tab w:val="right" w:pos="8838"/>
            </w:tabs>
            <w:ind w:right="-105"/>
            <w:rPr>
              <w:b/>
            </w:rPr>
          </w:pPr>
          <w:r>
            <w:rPr>
              <w:b/>
            </w:rPr>
            <w:t>Comisionado Ponente:</w:t>
          </w:r>
        </w:p>
      </w:tc>
      <w:tc>
        <w:tcPr>
          <w:tcW w:w="3587" w:type="dxa"/>
        </w:tcPr>
        <w:p w14:paraId="04B5CE04" w14:textId="77777777" w:rsidR="00047A68" w:rsidRDefault="002A2F29">
          <w:pPr>
            <w:tabs>
              <w:tab w:val="right" w:pos="8838"/>
            </w:tabs>
            <w:ind w:right="-32"/>
          </w:pPr>
          <w:r>
            <w:t>Luis Gustavo Parra Noriega</w:t>
          </w:r>
        </w:p>
      </w:tc>
    </w:tr>
  </w:tbl>
  <w:p w14:paraId="06FC4C4F" w14:textId="77777777" w:rsidR="00047A6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1EA7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A9AA" w14:textId="77777777" w:rsidR="00047A68" w:rsidRDefault="00047A68">
    <w:pPr>
      <w:rPr>
        <w:sz w:val="16"/>
        <w:szCs w:val="16"/>
      </w:rPr>
    </w:pPr>
  </w:p>
  <w:tbl>
    <w:tblPr>
      <w:tblStyle w:val="afffffff1"/>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047A68" w14:paraId="45EBDD3A" w14:textId="77777777">
      <w:trPr>
        <w:trHeight w:val="141"/>
      </w:trPr>
      <w:tc>
        <w:tcPr>
          <w:tcW w:w="2409" w:type="dxa"/>
        </w:tcPr>
        <w:p w14:paraId="503B850C" w14:textId="77777777" w:rsidR="00047A68" w:rsidRDefault="002A2F29">
          <w:pPr>
            <w:tabs>
              <w:tab w:val="right" w:pos="8838"/>
            </w:tabs>
            <w:ind w:left="-395" w:right="-105" w:firstLine="395"/>
            <w:rPr>
              <w:b/>
            </w:rPr>
          </w:pPr>
          <w:r>
            <w:rPr>
              <w:b/>
            </w:rPr>
            <w:t>Recurso de Revisión:</w:t>
          </w:r>
        </w:p>
      </w:tc>
      <w:tc>
        <w:tcPr>
          <w:tcW w:w="3686" w:type="dxa"/>
        </w:tcPr>
        <w:p w14:paraId="166BF03C" w14:textId="77777777" w:rsidR="00047A68" w:rsidRDefault="002A2F29">
          <w:pPr>
            <w:tabs>
              <w:tab w:val="right" w:pos="8838"/>
            </w:tabs>
            <w:ind w:right="176"/>
          </w:pPr>
          <w:r>
            <w:t>09851/INFOEM/IP/RR/2025</w:t>
          </w:r>
        </w:p>
      </w:tc>
    </w:tr>
    <w:tr w:rsidR="00047A68" w14:paraId="3E606705" w14:textId="77777777">
      <w:trPr>
        <w:trHeight w:val="276"/>
      </w:trPr>
      <w:tc>
        <w:tcPr>
          <w:tcW w:w="2409" w:type="dxa"/>
        </w:tcPr>
        <w:p w14:paraId="0492D317" w14:textId="77777777" w:rsidR="00047A68" w:rsidRDefault="002A2F29">
          <w:pPr>
            <w:tabs>
              <w:tab w:val="right" w:pos="8838"/>
            </w:tabs>
            <w:ind w:right="-105"/>
            <w:rPr>
              <w:b/>
            </w:rPr>
          </w:pPr>
          <w:r>
            <w:rPr>
              <w:b/>
            </w:rPr>
            <w:t>Sujeto Obligado:</w:t>
          </w:r>
        </w:p>
      </w:tc>
      <w:tc>
        <w:tcPr>
          <w:tcW w:w="3686" w:type="dxa"/>
        </w:tcPr>
        <w:p w14:paraId="0FB8C4BE" w14:textId="77777777" w:rsidR="00047A68" w:rsidRDefault="002A2F29">
          <w:pPr>
            <w:tabs>
              <w:tab w:val="left" w:pos="3158"/>
              <w:tab w:val="left" w:pos="4292"/>
              <w:tab w:val="right" w:pos="8838"/>
            </w:tabs>
            <w:ind w:right="176"/>
          </w:pPr>
          <w:r>
            <w:t>Ayuntamiento de Morelos</w:t>
          </w:r>
        </w:p>
      </w:tc>
    </w:tr>
    <w:tr w:rsidR="00047A68" w14:paraId="647FC860" w14:textId="77777777">
      <w:trPr>
        <w:trHeight w:val="276"/>
      </w:trPr>
      <w:tc>
        <w:tcPr>
          <w:tcW w:w="2409" w:type="dxa"/>
        </w:tcPr>
        <w:p w14:paraId="135CF4EC" w14:textId="77777777" w:rsidR="00047A68" w:rsidRDefault="002A2F29">
          <w:pPr>
            <w:tabs>
              <w:tab w:val="right" w:pos="8838"/>
            </w:tabs>
            <w:ind w:right="-105"/>
            <w:rPr>
              <w:b/>
            </w:rPr>
          </w:pPr>
          <w:r>
            <w:rPr>
              <w:b/>
            </w:rPr>
            <w:t>Comisionado Ponente:</w:t>
          </w:r>
        </w:p>
      </w:tc>
      <w:tc>
        <w:tcPr>
          <w:tcW w:w="3686" w:type="dxa"/>
        </w:tcPr>
        <w:p w14:paraId="702CCDDC" w14:textId="77777777" w:rsidR="00047A68" w:rsidRDefault="002A2F29">
          <w:pPr>
            <w:tabs>
              <w:tab w:val="right" w:pos="8838"/>
            </w:tabs>
            <w:ind w:right="176"/>
          </w:pPr>
          <w:r>
            <w:t>Luis Gustavo Parra Noriega</w:t>
          </w:r>
        </w:p>
        <w:p w14:paraId="01E25FBF" w14:textId="77777777" w:rsidR="00047A68" w:rsidRDefault="00047A68">
          <w:pPr>
            <w:tabs>
              <w:tab w:val="right" w:pos="8838"/>
            </w:tabs>
            <w:ind w:right="176"/>
          </w:pPr>
        </w:p>
      </w:tc>
    </w:tr>
  </w:tbl>
  <w:p w14:paraId="1536E83E" w14:textId="77777777" w:rsidR="00047A6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F609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BADAF" w14:textId="77777777" w:rsidR="00047A68" w:rsidRDefault="00000000">
    <w:pPr>
      <w:widowControl w:val="0"/>
      <w:pBdr>
        <w:top w:val="nil"/>
        <w:left w:val="nil"/>
        <w:bottom w:val="nil"/>
        <w:right w:val="nil"/>
        <w:between w:val="nil"/>
      </w:pBdr>
      <w:spacing w:after="0" w:line="276" w:lineRule="auto"/>
      <w:jc w:val="left"/>
      <w:rPr>
        <w:color w:val="000000"/>
      </w:rPr>
    </w:pPr>
    <w:r>
      <w:rPr>
        <w:color w:val="000000"/>
      </w:rPr>
      <w:pict w14:anchorId="50566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1.85pt;margin-top:-148.6pt;width:663.5pt;height:12in;z-index:-251658752;mso-wrap-edited:f;mso-width-percent:0;mso-height-percent:0;mso-position-horizontal-relative:margin;mso-position-vertical-relative:margin;mso-width-percent:0;mso-height-percent:0">
          <v:imagedata r:id="rId1" o:title="image1"/>
          <w10:wrap anchorx="margin" anchory="margin"/>
        </v:shape>
      </w:pict>
    </w:r>
  </w:p>
  <w:tbl>
    <w:tblPr>
      <w:tblStyle w:val="afffffff2"/>
      <w:tblW w:w="9214" w:type="dxa"/>
      <w:tblInd w:w="0" w:type="dxa"/>
      <w:tblLayout w:type="fixed"/>
      <w:tblLook w:val="0400" w:firstRow="0" w:lastRow="0" w:firstColumn="0" w:lastColumn="0" w:noHBand="0" w:noVBand="1"/>
    </w:tblPr>
    <w:tblGrid>
      <w:gridCol w:w="2127"/>
      <w:gridCol w:w="7087"/>
    </w:tblGrid>
    <w:tr w:rsidR="00047A68" w14:paraId="66197D62" w14:textId="77777777">
      <w:trPr>
        <w:trHeight w:val="1546"/>
      </w:trPr>
      <w:tc>
        <w:tcPr>
          <w:tcW w:w="2127" w:type="dxa"/>
        </w:tcPr>
        <w:p w14:paraId="4E12CB5F" w14:textId="77777777" w:rsidR="00047A68" w:rsidRDefault="00047A68">
          <w:pPr>
            <w:tabs>
              <w:tab w:val="right" w:pos="4273"/>
            </w:tabs>
            <w:rPr>
              <w:rFonts w:ascii="Garamond" w:eastAsia="Garamond" w:hAnsi="Garamond" w:cs="Garamond"/>
              <w:sz w:val="16"/>
              <w:szCs w:val="16"/>
            </w:rPr>
          </w:pPr>
        </w:p>
      </w:tc>
      <w:tc>
        <w:tcPr>
          <w:tcW w:w="7087" w:type="dxa"/>
        </w:tcPr>
        <w:p w14:paraId="4210C936" w14:textId="77777777" w:rsidR="00047A68" w:rsidRDefault="00047A68">
          <w:pPr>
            <w:rPr>
              <w:sz w:val="10"/>
              <w:szCs w:val="10"/>
            </w:rPr>
          </w:pPr>
        </w:p>
        <w:tbl>
          <w:tblPr>
            <w:tblStyle w:val="afffffff3"/>
            <w:tblW w:w="5812" w:type="dxa"/>
            <w:tblInd w:w="1601" w:type="dxa"/>
            <w:tblLayout w:type="fixed"/>
            <w:tblLook w:val="0400" w:firstRow="0" w:lastRow="0" w:firstColumn="0" w:lastColumn="0" w:noHBand="0" w:noVBand="1"/>
          </w:tblPr>
          <w:tblGrid>
            <w:gridCol w:w="2410"/>
            <w:gridCol w:w="3402"/>
          </w:tblGrid>
          <w:tr w:rsidR="00047A68" w14:paraId="6C616965" w14:textId="77777777">
            <w:trPr>
              <w:trHeight w:val="427"/>
            </w:trPr>
            <w:tc>
              <w:tcPr>
                <w:tcW w:w="2410" w:type="dxa"/>
                <w:vAlign w:val="bottom"/>
              </w:tcPr>
              <w:p w14:paraId="19040452" w14:textId="77777777" w:rsidR="00047A68" w:rsidRDefault="002A2F29">
                <w:pPr>
                  <w:tabs>
                    <w:tab w:val="right" w:pos="8838"/>
                  </w:tabs>
                  <w:ind w:right="-105"/>
                  <w:rPr>
                    <w:b/>
                  </w:rPr>
                </w:pPr>
                <w:r>
                  <w:rPr>
                    <w:b/>
                  </w:rPr>
                  <w:t>Recurso de Revisión:</w:t>
                </w:r>
              </w:p>
            </w:tc>
            <w:tc>
              <w:tcPr>
                <w:tcW w:w="3402" w:type="dxa"/>
              </w:tcPr>
              <w:p w14:paraId="4A268040" w14:textId="77777777" w:rsidR="00047A68" w:rsidRDefault="00047A68">
                <w:pPr>
                  <w:tabs>
                    <w:tab w:val="right" w:pos="8838"/>
                  </w:tabs>
                  <w:ind w:left="-28" w:right="-107"/>
                  <w:rPr>
                    <w:b/>
                  </w:rPr>
                </w:pPr>
              </w:p>
              <w:p w14:paraId="4212F583" w14:textId="77777777" w:rsidR="00047A68" w:rsidRDefault="002A2F29">
                <w:pPr>
                  <w:tabs>
                    <w:tab w:val="right" w:pos="8838"/>
                  </w:tabs>
                  <w:ind w:left="-28" w:right="-107"/>
                </w:pPr>
                <w:r>
                  <w:t>09851/INFOEM/IP/RR/2025</w:t>
                </w:r>
              </w:p>
            </w:tc>
          </w:tr>
          <w:tr w:rsidR="00047A68" w14:paraId="0E3D0653" w14:textId="77777777">
            <w:trPr>
              <w:trHeight w:val="141"/>
            </w:trPr>
            <w:tc>
              <w:tcPr>
                <w:tcW w:w="2410" w:type="dxa"/>
              </w:tcPr>
              <w:p w14:paraId="70153A7B" w14:textId="77777777" w:rsidR="00047A68" w:rsidRDefault="002A2F29">
                <w:pPr>
                  <w:tabs>
                    <w:tab w:val="right" w:pos="8838"/>
                  </w:tabs>
                  <w:ind w:right="-105"/>
                  <w:rPr>
                    <w:b/>
                  </w:rPr>
                </w:pPr>
                <w:r>
                  <w:rPr>
                    <w:b/>
                  </w:rPr>
                  <w:t>Recurrente:</w:t>
                </w:r>
              </w:p>
            </w:tc>
            <w:tc>
              <w:tcPr>
                <w:tcW w:w="3402" w:type="dxa"/>
              </w:tcPr>
              <w:p w14:paraId="79716502" w14:textId="77777777" w:rsidR="00047A68" w:rsidRDefault="00047A68">
                <w:pPr>
                  <w:tabs>
                    <w:tab w:val="right" w:pos="8838"/>
                  </w:tabs>
                  <w:ind w:right="-107"/>
                </w:pPr>
              </w:p>
            </w:tc>
          </w:tr>
          <w:tr w:rsidR="00047A68" w14:paraId="1693A1DA" w14:textId="77777777">
            <w:trPr>
              <w:trHeight w:val="276"/>
            </w:trPr>
            <w:tc>
              <w:tcPr>
                <w:tcW w:w="2410" w:type="dxa"/>
              </w:tcPr>
              <w:p w14:paraId="562856B9" w14:textId="77777777" w:rsidR="00047A68" w:rsidRDefault="002A2F29">
                <w:pPr>
                  <w:tabs>
                    <w:tab w:val="right" w:pos="8838"/>
                  </w:tabs>
                  <w:ind w:right="-105"/>
                  <w:rPr>
                    <w:b/>
                  </w:rPr>
                </w:pPr>
                <w:r>
                  <w:rPr>
                    <w:b/>
                  </w:rPr>
                  <w:t>Sujeto Obligado:</w:t>
                </w:r>
              </w:p>
            </w:tc>
            <w:tc>
              <w:tcPr>
                <w:tcW w:w="3402" w:type="dxa"/>
              </w:tcPr>
              <w:p w14:paraId="6493D65D" w14:textId="77777777" w:rsidR="00047A68" w:rsidRDefault="002A2F29">
                <w:pPr>
                  <w:tabs>
                    <w:tab w:val="right" w:pos="8838"/>
                  </w:tabs>
                  <w:ind w:right="33"/>
                </w:pPr>
                <w:r>
                  <w:t>Ayuntamiento de Morelos</w:t>
                </w:r>
              </w:p>
            </w:tc>
          </w:tr>
          <w:tr w:rsidR="00047A68" w14:paraId="543988B1" w14:textId="77777777">
            <w:trPr>
              <w:trHeight w:val="276"/>
            </w:trPr>
            <w:tc>
              <w:tcPr>
                <w:tcW w:w="2410" w:type="dxa"/>
              </w:tcPr>
              <w:p w14:paraId="38B4E989" w14:textId="77777777" w:rsidR="00047A68" w:rsidRDefault="002A2F29">
                <w:pPr>
                  <w:tabs>
                    <w:tab w:val="right" w:pos="8838"/>
                  </w:tabs>
                  <w:ind w:right="-105"/>
                  <w:rPr>
                    <w:b/>
                  </w:rPr>
                </w:pPr>
                <w:r>
                  <w:rPr>
                    <w:b/>
                  </w:rPr>
                  <w:t>Comisionado Ponente:</w:t>
                </w:r>
              </w:p>
            </w:tc>
            <w:tc>
              <w:tcPr>
                <w:tcW w:w="3402" w:type="dxa"/>
              </w:tcPr>
              <w:p w14:paraId="0F6FEF3C" w14:textId="77777777" w:rsidR="00047A68" w:rsidRDefault="002A2F29">
                <w:pPr>
                  <w:tabs>
                    <w:tab w:val="right" w:pos="8838"/>
                  </w:tabs>
                  <w:ind w:right="-107"/>
                </w:pPr>
                <w:r>
                  <w:t>Luis Gustavo Parra Noriega</w:t>
                </w:r>
              </w:p>
            </w:tc>
          </w:tr>
        </w:tbl>
        <w:p w14:paraId="3E3DDB79" w14:textId="77777777" w:rsidR="00047A68" w:rsidRDefault="00047A68">
          <w:pPr>
            <w:tabs>
              <w:tab w:val="right" w:pos="8838"/>
            </w:tabs>
            <w:ind w:left="-28"/>
            <w:rPr>
              <w:rFonts w:ascii="Arial" w:eastAsia="Arial" w:hAnsi="Arial" w:cs="Arial"/>
              <w:b/>
            </w:rPr>
          </w:pPr>
        </w:p>
      </w:tc>
    </w:tr>
  </w:tbl>
  <w:p w14:paraId="7AEBFCED" w14:textId="77777777" w:rsidR="00047A68" w:rsidRDefault="00047A6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330BD"/>
    <w:multiLevelType w:val="multilevel"/>
    <w:tmpl w:val="07AE1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0B3677"/>
    <w:multiLevelType w:val="multilevel"/>
    <w:tmpl w:val="3DAEB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416EF6"/>
    <w:multiLevelType w:val="multilevel"/>
    <w:tmpl w:val="6BA6413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9901997">
    <w:abstractNumId w:val="2"/>
  </w:num>
  <w:num w:numId="2" w16cid:durableId="1657604946">
    <w:abstractNumId w:val="0"/>
  </w:num>
  <w:num w:numId="3" w16cid:durableId="202602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68"/>
    <w:rsid w:val="00047A68"/>
    <w:rsid w:val="000F71EE"/>
    <w:rsid w:val="002A2F29"/>
    <w:rsid w:val="004907F5"/>
    <w:rsid w:val="00497C81"/>
    <w:rsid w:val="005A4C95"/>
    <w:rsid w:val="006E20B0"/>
    <w:rsid w:val="00944999"/>
    <w:rsid w:val="00BE4CEF"/>
    <w:rsid w:val="00BF17B5"/>
    <w:rsid w:val="00C01922"/>
    <w:rsid w:val="00F319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024CE"/>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5"/>
    <w:pPr>
      <w:spacing w:after="0" w:line="240" w:lineRule="auto"/>
    </w:pPr>
    <w:tblPr>
      <w:tblStyleRowBandSize w:val="1"/>
      <w:tblStyleColBandSize w:val="1"/>
      <w:tblCellMar>
        <w:left w:w="108" w:type="dxa"/>
        <w:right w:w="108" w:type="dxa"/>
      </w:tblCellMar>
    </w:tblPr>
  </w:style>
  <w:style w:type="table" w:customStyle="1" w:styleId="a0">
    <w:basedOn w:val="TableNormalf5"/>
    <w:pPr>
      <w:spacing w:after="0" w:line="240" w:lineRule="auto"/>
    </w:pPr>
    <w:tblPr>
      <w:tblStyleRowBandSize w:val="1"/>
      <w:tblStyleColBandSize w:val="1"/>
      <w:tblCellMar>
        <w:left w:w="108" w:type="dxa"/>
        <w:right w:w="108" w:type="dxa"/>
      </w:tblCellMar>
    </w:tblPr>
  </w:style>
  <w:style w:type="table" w:customStyle="1" w:styleId="a1">
    <w:basedOn w:val="TableNormalf5"/>
    <w:tblPr>
      <w:tblStyleRowBandSize w:val="1"/>
      <w:tblStyleColBandSize w:val="1"/>
      <w:tblCellMar>
        <w:left w:w="115" w:type="dxa"/>
        <w:right w:w="115" w:type="dxa"/>
      </w:tblCellMar>
    </w:tblPr>
  </w:style>
  <w:style w:type="table" w:customStyle="1" w:styleId="a2">
    <w:basedOn w:val="TableNormalf5"/>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5"/>
    <w:pPr>
      <w:spacing w:after="0" w:line="240" w:lineRule="auto"/>
    </w:pPr>
    <w:tblPr>
      <w:tblStyleRowBandSize w:val="1"/>
      <w:tblStyleColBandSize w:val="1"/>
      <w:tblCellMar>
        <w:left w:w="108" w:type="dxa"/>
        <w:right w:w="108" w:type="dxa"/>
      </w:tblCellMar>
    </w:tblPr>
  </w:style>
  <w:style w:type="table" w:customStyle="1" w:styleId="a4">
    <w:basedOn w:val="TableNormalf5"/>
    <w:pPr>
      <w:spacing w:after="0" w:line="240" w:lineRule="auto"/>
    </w:pPr>
    <w:tblPr>
      <w:tblStyleRowBandSize w:val="1"/>
      <w:tblStyleColBandSize w:val="1"/>
      <w:tblCellMar>
        <w:left w:w="108" w:type="dxa"/>
        <w:right w:w="108" w:type="dxa"/>
      </w:tblCellMar>
    </w:tblPr>
  </w:style>
  <w:style w:type="table" w:customStyle="1" w:styleId="a5">
    <w:basedOn w:val="TableNormalf5"/>
    <w:pPr>
      <w:spacing w:after="0" w:line="240" w:lineRule="auto"/>
    </w:pPr>
    <w:tblPr>
      <w:tblStyleRowBandSize w:val="1"/>
      <w:tblStyleColBandSize w:val="1"/>
      <w:tblCellMar>
        <w:left w:w="108" w:type="dxa"/>
        <w:right w:w="108" w:type="dxa"/>
      </w:tblCellMar>
    </w:tblPr>
  </w:style>
  <w:style w:type="table" w:customStyle="1" w:styleId="a6">
    <w:basedOn w:val="TableNormalf5"/>
    <w:pPr>
      <w:spacing w:after="0" w:line="240" w:lineRule="auto"/>
    </w:pPr>
    <w:tblPr>
      <w:tblStyleRowBandSize w:val="1"/>
      <w:tblStyleColBandSize w:val="1"/>
      <w:tblCellMar>
        <w:left w:w="108" w:type="dxa"/>
        <w:right w:w="108" w:type="dxa"/>
      </w:tblCellMar>
    </w:tblPr>
  </w:style>
  <w:style w:type="table" w:customStyle="1" w:styleId="a7">
    <w:basedOn w:val="TableNormalf4"/>
    <w:pPr>
      <w:spacing w:after="0" w:line="240" w:lineRule="auto"/>
    </w:pPr>
    <w:tblPr>
      <w:tblStyleRowBandSize w:val="1"/>
      <w:tblStyleColBandSize w:val="1"/>
      <w:tblCellMar>
        <w:left w:w="108" w:type="dxa"/>
        <w:right w:w="108" w:type="dxa"/>
      </w:tblCellMar>
    </w:tblPr>
  </w:style>
  <w:style w:type="table" w:customStyle="1" w:styleId="a8">
    <w:basedOn w:val="TableNormalf4"/>
    <w:pPr>
      <w:spacing w:after="0" w:line="240" w:lineRule="auto"/>
    </w:pPr>
    <w:tblPr>
      <w:tblStyleRowBandSize w:val="1"/>
      <w:tblStyleColBandSize w:val="1"/>
      <w:tblCellMar>
        <w:left w:w="108" w:type="dxa"/>
        <w:right w:w="108" w:type="dxa"/>
      </w:tblCellMar>
    </w:tblPr>
  </w:style>
  <w:style w:type="table" w:customStyle="1" w:styleId="a9">
    <w:basedOn w:val="TableNormalf4"/>
    <w:pPr>
      <w:spacing w:after="0" w:line="240" w:lineRule="auto"/>
    </w:pPr>
    <w:tblPr>
      <w:tblStyleRowBandSize w:val="1"/>
      <w:tblStyleColBandSize w:val="1"/>
      <w:tblCellMar>
        <w:left w:w="108" w:type="dxa"/>
        <w:right w:w="108" w:type="dxa"/>
      </w:tblCellMar>
    </w:tblPr>
  </w:style>
  <w:style w:type="table" w:customStyle="1" w:styleId="aa">
    <w:basedOn w:val="TableNormalf4"/>
    <w:pPr>
      <w:spacing w:after="0" w:line="240" w:lineRule="auto"/>
    </w:pPr>
    <w:tblPr>
      <w:tblStyleRowBandSize w:val="1"/>
      <w:tblStyleColBandSize w:val="1"/>
      <w:tblCellMar>
        <w:left w:w="108" w:type="dxa"/>
        <w:right w:w="108" w:type="dxa"/>
      </w:tblCellMar>
    </w:tblPr>
  </w:style>
  <w:style w:type="table" w:customStyle="1" w:styleId="ab">
    <w:basedOn w:val="TableNormalf3"/>
    <w:pPr>
      <w:spacing w:after="0" w:line="240" w:lineRule="auto"/>
    </w:pPr>
    <w:tblPr>
      <w:tblStyleRowBandSize w:val="1"/>
      <w:tblStyleColBandSize w:val="1"/>
      <w:tblCellMar>
        <w:left w:w="108" w:type="dxa"/>
        <w:right w:w="108" w:type="dxa"/>
      </w:tblCellMar>
    </w:tblPr>
  </w:style>
  <w:style w:type="table" w:customStyle="1" w:styleId="ac">
    <w:basedOn w:val="TableNormalf3"/>
    <w:pPr>
      <w:spacing w:after="0" w:line="240" w:lineRule="auto"/>
    </w:pPr>
    <w:tblPr>
      <w:tblStyleRowBandSize w:val="1"/>
      <w:tblStyleColBandSize w:val="1"/>
      <w:tblCellMar>
        <w:left w:w="108" w:type="dxa"/>
        <w:right w:w="108" w:type="dxa"/>
      </w:tblCellMar>
    </w:tblPr>
  </w:style>
  <w:style w:type="table" w:customStyle="1" w:styleId="ad">
    <w:basedOn w:val="TableNormalf3"/>
    <w:pPr>
      <w:spacing w:after="0" w:line="240" w:lineRule="auto"/>
    </w:pPr>
    <w:tblPr>
      <w:tblStyleRowBandSize w:val="1"/>
      <w:tblStyleColBandSize w:val="1"/>
      <w:tblCellMar>
        <w:left w:w="108" w:type="dxa"/>
        <w:right w:w="108" w:type="dxa"/>
      </w:tblCellMar>
    </w:tblPr>
  </w:style>
  <w:style w:type="table" w:customStyle="1" w:styleId="ae">
    <w:basedOn w:val="TableNormalf3"/>
    <w:pPr>
      <w:spacing w:after="0" w:line="240" w:lineRule="auto"/>
    </w:pPr>
    <w:tblPr>
      <w:tblStyleRowBandSize w:val="1"/>
      <w:tblStyleColBandSize w:val="1"/>
      <w:tblCellMar>
        <w:left w:w="108" w:type="dxa"/>
        <w:right w:w="108" w:type="dxa"/>
      </w:tblCellMar>
    </w:tblPr>
  </w:style>
  <w:style w:type="table" w:customStyle="1" w:styleId="af">
    <w:basedOn w:val="TableNormalf2"/>
    <w:pPr>
      <w:spacing w:after="0" w:line="240" w:lineRule="auto"/>
    </w:pPr>
    <w:tblPr>
      <w:tblStyleRowBandSize w:val="1"/>
      <w:tblStyleColBandSize w:val="1"/>
      <w:tblCellMar>
        <w:left w:w="108" w:type="dxa"/>
        <w:right w:w="108" w:type="dxa"/>
      </w:tblCellMar>
    </w:tblPr>
  </w:style>
  <w:style w:type="table" w:customStyle="1" w:styleId="af0">
    <w:basedOn w:val="TableNormalf2"/>
    <w:pPr>
      <w:spacing w:after="0" w:line="240" w:lineRule="auto"/>
    </w:pPr>
    <w:tblPr>
      <w:tblStyleRowBandSize w:val="1"/>
      <w:tblStyleColBandSize w:val="1"/>
      <w:tblCellMar>
        <w:left w:w="108" w:type="dxa"/>
        <w:right w:w="108" w:type="dxa"/>
      </w:tblCellMar>
    </w:tblPr>
  </w:style>
  <w:style w:type="table" w:customStyle="1" w:styleId="af1">
    <w:basedOn w:val="TableNormalf2"/>
    <w:pPr>
      <w:spacing w:after="0" w:line="240" w:lineRule="auto"/>
    </w:pPr>
    <w:tblPr>
      <w:tblStyleRowBandSize w:val="1"/>
      <w:tblStyleColBandSize w:val="1"/>
      <w:tblCellMar>
        <w:left w:w="108" w:type="dxa"/>
        <w:right w:w="108" w:type="dxa"/>
      </w:tblCellMar>
    </w:tblPr>
  </w:style>
  <w:style w:type="table" w:customStyle="1" w:styleId="af2">
    <w:basedOn w:val="TableNormalf2"/>
    <w:pPr>
      <w:spacing w:after="0" w:line="240" w:lineRule="auto"/>
    </w:pPr>
    <w:tblPr>
      <w:tblStyleRowBandSize w:val="1"/>
      <w:tblStyleColBandSize w:val="1"/>
      <w:tblCellMar>
        <w:left w:w="108" w:type="dxa"/>
        <w:right w:w="108" w:type="dxa"/>
      </w:tblCellMar>
    </w:tblPr>
  </w:style>
  <w:style w:type="table" w:customStyle="1" w:styleId="af3">
    <w:basedOn w:val="TableNormalf1"/>
    <w:pPr>
      <w:spacing w:after="0" w:line="240" w:lineRule="auto"/>
    </w:pPr>
    <w:tblPr>
      <w:tblStyleRowBandSize w:val="1"/>
      <w:tblStyleColBandSize w:val="1"/>
      <w:tblCellMar>
        <w:left w:w="108" w:type="dxa"/>
        <w:right w:w="108" w:type="dxa"/>
      </w:tblCellMar>
    </w:tblPr>
  </w:style>
  <w:style w:type="table" w:customStyle="1" w:styleId="af4">
    <w:basedOn w:val="TableNormalf1"/>
    <w:pPr>
      <w:spacing w:after="0" w:line="240" w:lineRule="auto"/>
    </w:pPr>
    <w:tblPr>
      <w:tblStyleRowBandSize w:val="1"/>
      <w:tblStyleColBandSize w:val="1"/>
      <w:tblCellMar>
        <w:left w:w="108" w:type="dxa"/>
        <w:right w:w="108" w:type="dxa"/>
      </w:tblCellMar>
    </w:tblPr>
  </w:style>
  <w:style w:type="table" w:customStyle="1" w:styleId="af5">
    <w:basedOn w:val="TableNormalf1"/>
    <w:pPr>
      <w:spacing w:after="0" w:line="240" w:lineRule="auto"/>
    </w:pPr>
    <w:tblPr>
      <w:tblStyleRowBandSize w:val="1"/>
      <w:tblStyleColBandSize w:val="1"/>
      <w:tblCellMar>
        <w:left w:w="108" w:type="dxa"/>
        <w:right w:w="108" w:type="dxa"/>
      </w:tblCellMar>
    </w:tblPr>
  </w:style>
  <w:style w:type="table" w:customStyle="1" w:styleId="af6">
    <w:basedOn w:val="TableNormalf1"/>
    <w:pPr>
      <w:spacing w:after="0" w:line="240" w:lineRule="auto"/>
    </w:pPr>
    <w:tblPr>
      <w:tblStyleRowBandSize w:val="1"/>
      <w:tblStyleColBandSize w:val="1"/>
      <w:tblCellMar>
        <w:left w:w="108" w:type="dxa"/>
        <w:right w:w="108" w:type="dxa"/>
      </w:tblCellMar>
    </w:tblPr>
  </w:style>
  <w:style w:type="table" w:customStyle="1" w:styleId="af7">
    <w:basedOn w:val="TableNormalf0"/>
    <w:pPr>
      <w:spacing w:after="0" w:line="240" w:lineRule="auto"/>
    </w:pPr>
    <w:tblPr>
      <w:tblStyleRowBandSize w:val="1"/>
      <w:tblStyleColBandSize w:val="1"/>
      <w:tblCellMar>
        <w:left w:w="108" w:type="dxa"/>
        <w:right w:w="108" w:type="dxa"/>
      </w:tblCellMar>
    </w:tblPr>
  </w:style>
  <w:style w:type="table" w:customStyle="1" w:styleId="af8">
    <w:basedOn w:val="TableNormalf0"/>
    <w:pPr>
      <w:spacing w:after="0" w:line="240" w:lineRule="auto"/>
    </w:pPr>
    <w:tblPr>
      <w:tblStyleRowBandSize w:val="1"/>
      <w:tblStyleColBandSize w:val="1"/>
      <w:tblCellMar>
        <w:left w:w="108" w:type="dxa"/>
        <w:right w:w="108" w:type="dxa"/>
      </w:tblCellMar>
    </w:tblPr>
  </w:style>
  <w:style w:type="table" w:customStyle="1" w:styleId="af9">
    <w:basedOn w:val="TableNormalf0"/>
    <w:pPr>
      <w:spacing w:after="0" w:line="240" w:lineRule="auto"/>
    </w:pPr>
    <w:tblPr>
      <w:tblStyleRowBandSize w:val="1"/>
      <w:tblStyleColBandSize w:val="1"/>
      <w:tblCellMar>
        <w:left w:w="108" w:type="dxa"/>
        <w:right w:w="108" w:type="dxa"/>
      </w:tblCellMar>
    </w:tblPr>
  </w:style>
  <w:style w:type="table" w:customStyle="1" w:styleId="afa">
    <w:basedOn w:val="TableNormalf0"/>
    <w:pPr>
      <w:spacing w:after="0" w:line="240" w:lineRule="auto"/>
    </w:pPr>
    <w:tblPr>
      <w:tblStyleRowBandSize w:val="1"/>
      <w:tblStyleColBandSize w:val="1"/>
      <w:tblCellMar>
        <w:left w:w="108" w:type="dxa"/>
        <w:right w:w="108" w:type="dxa"/>
      </w:tblCellMar>
    </w:tblPr>
  </w:style>
  <w:style w:type="table" w:customStyle="1" w:styleId="afb">
    <w:basedOn w:val="TableNormalf"/>
    <w:pPr>
      <w:spacing w:after="0" w:line="240" w:lineRule="auto"/>
    </w:pPr>
    <w:tblPr>
      <w:tblStyleRowBandSize w:val="1"/>
      <w:tblStyleColBandSize w:val="1"/>
      <w:tblCellMar>
        <w:left w:w="108" w:type="dxa"/>
        <w:right w:w="108" w:type="dxa"/>
      </w:tblCellMar>
    </w:tblPr>
  </w:style>
  <w:style w:type="table" w:customStyle="1" w:styleId="afc">
    <w:basedOn w:val="TableNormalf"/>
    <w:pPr>
      <w:spacing w:after="0" w:line="240" w:lineRule="auto"/>
    </w:pPr>
    <w:tblPr>
      <w:tblStyleRowBandSize w:val="1"/>
      <w:tblStyleColBandSize w:val="1"/>
      <w:tblCellMar>
        <w:left w:w="108" w:type="dxa"/>
        <w:right w:w="108" w:type="dxa"/>
      </w:tblCellMar>
    </w:tblPr>
  </w:style>
  <w:style w:type="table" w:customStyle="1" w:styleId="afd">
    <w:basedOn w:val="TableNormalf"/>
    <w:pPr>
      <w:spacing w:after="0" w:line="240" w:lineRule="auto"/>
    </w:pPr>
    <w:tblPr>
      <w:tblStyleRowBandSize w:val="1"/>
      <w:tblStyleColBandSize w:val="1"/>
      <w:tblCellMar>
        <w:left w:w="108" w:type="dxa"/>
        <w:right w:w="108" w:type="dxa"/>
      </w:tblCellMar>
    </w:tblPr>
  </w:style>
  <w:style w:type="table" w:customStyle="1" w:styleId="afe">
    <w:basedOn w:val="TableNormalf"/>
    <w:pPr>
      <w:spacing w:after="0" w:line="240" w:lineRule="auto"/>
    </w:pPr>
    <w:tblPr>
      <w:tblStyleRowBandSize w:val="1"/>
      <w:tblStyleColBandSize w:val="1"/>
      <w:tblCellMar>
        <w:left w:w="108" w:type="dxa"/>
        <w:right w:w="108" w:type="dxa"/>
      </w:tblCellMar>
    </w:tblPr>
  </w:style>
  <w:style w:type="table" w:customStyle="1" w:styleId="aff">
    <w:basedOn w:val="TableNormale"/>
    <w:pPr>
      <w:spacing w:after="0" w:line="240" w:lineRule="auto"/>
    </w:pPr>
    <w:tblPr>
      <w:tblStyleRowBandSize w:val="1"/>
      <w:tblStyleColBandSize w:val="1"/>
      <w:tblCellMar>
        <w:left w:w="108" w:type="dxa"/>
        <w:right w:w="108" w:type="dxa"/>
      </w:tblCellMar>
    </w:tblPr>
  </w:style>
  <w:style w:type="table" w:customStyle="1" w:styleId="aff0">
    <w:basedOn w:val="TableNormale"/>
    <w:pPr>
      <w:spacing w:after="0" w:line="240" w:lineRule="auto"/>
    </w:pPr>
    <w:tblPr>
      <w:tblStyleRowBandSize w:val="1"/>
      <w:tblStyleColBandSize w:val="1"/>
      <w:tblCellMar>
        <w:left w:w="108" w:type="dxa"/>
        <w:right w:w="108" w:type="dxa"/>
      </w:tblCellMar>
    </w:tblPr>
  </w:style>
  <w:style w:type="table" w:customStyle="1" w:styleId="aff1">
    <w:basedOn w:val="TableNormale"/>
    <w:pPr>
      <w:spacing w:after="0" w:line="240" w:lineRule="auto"/>
    </w:pPr>
    <w:tblPr>
      <w:tblStyleRowBandSize w:val="1"/>
      <w:tblStyleColBandSize w:val="1"/>
      <w:tblCellMar>
        <w:left w:w="108" w:type="dxa"/>
        <w:right w:w="108" w:type="dxa"/>
      </w:tblCellMar>
    </w:tblPr>
  </w:style>
  <w:style w:type="table" w:customStyle="1" w:styleId="aff2">
    <w:basedOn w:val="TableNormale"/>
    <w:pPr>
      <w:spacing w:after="0" w:line="240" w:lineRule="auto"/>
    </w:pPr>
    <w:tblPr>
      <w:tblStyleRowBandSize w:val="1"/>
      <w:tblStyleColBandSize w:val="1"/>
      <w:tblCellMar>
        <w:left w:w="108" w:type="dxa"/>
        <w:right w:w="108" w:type="dxa"/>
      </w:tblCellMar>
    </w:tblPr>
  </w:style>
  <w:style w:type="table" w:customStyle="1" w:styleId="aff3">
    <w:basedOn w:val="TableNormald"/>
    <w:pPr>
      <w:spacing w:after="0" w:line="240" w:lineRule="auto"/>
    </w:pPr>
    <w:tblPr>
      <w:tblStyleRowBandSize w:val="1"/>
      <w:tblStyleColBandSize w:val="1"/>
      <w:tblCellMar>
        <w:left w:w="108" w:type="dxa"/>
        <w:right w:w="108" w:type="dxa"/>
      </w:tblCellMar>
    </w:tblPr>
  </w:style>
  <w:style w:type="table" w:customStyle="1" w:styleId="aff4">
    <w:basedOn w:val="TableNormald"/>
    <w:pPr>
      <w:spacing w:after="0" w:line="240" w:lineRule="auto"/>
    </w:pPr>
    <w:tblPr>
      <w:tblStyleRowBandSize w:val="1"/>
      <w:tblStyleColBandSize w:val="1"/>
      <w:tblCellMar>
        <w:left w:w="108" w:type="dxa"/>
        <w:right w:w="108" w:type="dxa"/>
      </w:tblCellMar>
    </w:tblPr>
  </w:style>
  <w:style w:type="table" w:customStyle="1" w:styleId="aff5">
    <w:basedOn w:val="TableNormald"/>
    <w:pPr>
      <w:spacing w:after="0" w:line="240" w:lineRule="auto"/>
    </w:pPr>
    <w:tblPr>
      <w:tblStyleRowBandSize w:val="1"/>
      <w:tblStyleColBandSize w:val="1"/>
      <w:tblCellMar>
        <w:left w:w="108" w:type="dxa"/>
        <w:right w:w="108" w:type="dxa"/>
      </w:tblCellMar>
    </w:tblPr>
  </w:style>
  <w:style w:type="table" w:customStyle="1" w:styleId="aff6">
    <w:basedOn w:val="TableNormald"/>
    <w:pPr>
      <w:spacing w:after="0" w:line="240" w:lineRule="auto"/>
    </w:pPr>
    <w:tblPr>
      <w:tblStyleRowBandSize w:val="1"/>
      <w:tblStyleColBandSize w:val="1"/>
      <w:tblCellMar>
        <w:left w:w="108" w:type="dxa"/>
        <w:right w:w="108" w:type="dxa"/>
      </w:tblCellMar>
    </w:tblPr>
  </w:style>
  <w:style w:type="table" w:customStyle="1" w:styleId="aff7">
    <w:basedOn w:val="TableNormalc"/>
    <w:pPr>
      <w:spacing w:after="0" w:line="240" w:lineRule="auto"/>
    </w:pPr>
    <w:tblPr>
      <w:tblStyleRowBandSize w:val="1"/>
      <w:tblStyleColBandSize w:val="1"/>
      <w:tblCellMar>
        <w:left w:w="108" w:type="dxa"/>
        <w:right w:w="108" w:type="dxa"/>
      </w:tblCellMar>
    </w:tblPr>
  </w:style>
  <w:style w:type="table" w:customStyle="1" w:styleId="aff8">
    <w:basedOn w:val="TableNormalc"/>
    <w:pPr>
      <w:spacing w:after="0" w:line="240" w:lineRule="auto"/>
    </w:pPr>
    <w:tblPr>
      <w:tblStyleRowBandSize w:val="1"/>
      <w:tblStyleColBandSize w:val="1"/>
      <w:tblCellMar>
        <w:left w:w="108" w:type="dxa"/>
        <w:right w:w="108" w:type="dxa"/>
      </w:tblCellMar>
    </w:tblPr>
  </w:style>
  <w:style w:type="table" w:customStyle="1" w:styleId="aff9">
    <w:basedOn w:val="TableNormalc"/>
    <w:pPr>
      <w:spacing w:after="0" w:line="240" w:lineRule="auto"/>
    </w:pPr>
    <w:tblPr>
      <w:tblStyleRowBandSize w:val="1"/>
      <w:tblStyleColBandSize w:val="1"/>
      <w:tblCellMar>
        <w:left w:w="108" w:type="dxa"/>
        <w:right w:w="108" w:type="dxa"/>
      </w:tblCellMar>
    </w:tblPr>
  </w:style>
  <w:style w:type="table" w:customStyle="1" w:styleId="affa">
    <w:basedOn w:val="TableNormalc"/>
    <w:pPr>
      <w:spacing w:after="0" w:line="240" w:lineRule="auto"/>
    </w:pPr>
    <w:tblPr>
      <w:tblStyleRowBandSize w:val="1"/>
      <w:tblStyleColBandSize w:val="1"/>
      <w:tblCellMar>
        <w:left w:w="108" w:type="dxa"/>
        <w:right w:w="108" w:type="dxa"/>
      </w:tblCellMar>
    </w:tblPr>
  </w:style>
  <w:style w:type="table" w:customStyle="1" w:styleId="affb">
    <w:basedOn w:val="TableNormalc"/>
    <w:pPr>
      <w:spacing w:after="0" w:line="240" w:lineRule="auto"/>
    </w:pPr>
    <w:tblPr>
      <w:tblStyleRowBandSize w:val="1"/>
      <w:tblStyleColBandSize w:val="1"/>
      <w:tblCellMar>
        <w:left w:w="108" w:type="dxa"/>
        <w:right w:w="108" w:type="dxa"/>
      </w:tblCellMar>
    </w:tblPr>
  </w:style>
  <w:style w:type="table" w:customStyle="1" w:styleId="affc">
    <w:basedOn w:val="TableNormalc"/>
    <w:pPr>
      <w:spacing w:after="0" w:line="240" w:lineRule="auto"/>
    </w:pPr>
    <w:tblPr>
      <w:tblStyleRowBandSize w:val="1"/>
      <w:tblStyleColBandSize w:val="1"/>
      <w:tblCellMar>
        <w:left w:w="108" w:type="dxa"/>
        <w:right w:w="108" w:type="dxa"/>
      </w:tblCellMar>
    </w:tblPr>
  </w:style>
  <w:style w:type="table" w:customStyle="1" w:styleId="affd">
    <w:basedOn w:val="TableNormalc"/>
    <w:pPr>
      <w:spacing w:after="0" w:line="240" w:lineRule="auto"/>
    </w:pPr>
    <w:tblPr>
      <w:tblStyleRowBandSize w:val="1"/>
      <w:tblStyleColBandSize w:val="1"/>
      <w:tblCellMar>
        <w:left w:w="108" w:type="dxa"/>
        <w:right w:w="108" w:type="dxa"/>
      </w:tblCellMar>
    </w:tblPr>
  </w:style>
  <w:style w:type="table" w:customStyle="1" w:styleId="affe">
    <w:basedOn w:val="TableNormalc"/>
    <w:pPr>
      <w:spacing w:after="0" w:line="240" w:lineRule="auto"/>
    </w:pPr>
    <w:tblPr>
      <w:tblStyleRowBandSize w:val="1"/>
      <w:tblStyleColBandSize w:val="1"/>
      <w:tblCellMar>
        <w:left w:w="108" w:type="dxa"/>
        <w:right w:w="108" w:type="dxa"/>
      </w:tblCellMar>
    </w:tblPr>
  </w:style>
  <w:style w:type="table" w:customStyle="1" w:styleId="afff">
    <w:basedOn w:val="TableNormalc"/>
    <w:pPr>
      <w:spacing w:after="0" w:line="240" w:lineRule="auto"/>
    </w:pPr>
    <w:tblPr>
      <w:tblStyleRowBandSize w:val="1"/>
      <w:tblStyleColBandSize w:val="1"/>
      <w:tblCellMar>
        <w:left w:w="108" w:type="dxa"/>
        <w:right w:w="108" w:type="dxa"/>
      </w:tblCellMar>
    </w:tblPr>
  </w:style>
  <w:style w:type="table" w:customStyle="1" w:styleId="afff0">
    <w:basedOn w:val="TableNormalc"/>
    <w:pPr>
      <w:spacing w:after="0" w:line="240" w:lineRule="auto"/>
    </w:pPr>
    <w:tblPr>
      <w:tblStyleRowBandSize w:val="1"/>
      <w:tblStyleColBandSize w:val="1"/>
      <w:tblCellMar>
        <w:left w:w="108" w:type="dxa"/>
        <w:right w:w="108" w:type="dxa"/>
      </w:tblCellMar>
    </w:tblPr>
  </w:style>
  <w:style w:type="table" w:customStyle="1" w:styleId="afff1">
    <w:basedOn w:val="TableNormalc"/>
    <w:pPr>
      <w:spacing w:after="0" w:line="240" w:lineRule="auto"/>
    </w:pPr>
    <w:tblPr>
      <w:tblStyleRowBandSize w:val="1"/>
      <w:tblStyleColBandSize w:val="1"/>
      <w:tblCellMar>
        <w:left w:w="108" w:type="dxa"/>
        <w:right w:w="108" w:type="dxa"/>
      </w:tblCellMar>
    </w:tblPr>
  </w:style>
  <w:style w:type="table" w:customStyle="1" w:styleId="afff2">
    <w:basedOn w:val="TableNormalc"/>
    <w:pPr>
      <w:spacing w:after="0" w:line="240" w:lineRule="auto"/>
    </w:pPr>
    <w:tblPr>
      <w:tblStyleRowBandSize w:val="1"/>
      <w:tblStyleColBandSize w:val="1"/>
      <w:tblCellMar>
        <w:left w:w="108" w:type="dxa"/>
        <w:right w:w="108" w:type="dxa"/>
      </w:tblCellMar>
    </w:tblPr>
  </w:style>
  <w:style w:type="table" w:customStyle="1" w:styleId="afff3">
    <w:basedOn w:val="TableNormalc"/>
    <w:pPr>
      <w:spacing w:after="0" w:line="240" w:lineRule="auto"/>
    </w:pPr>
    <w:tblPr>
      <w:tblStyleRowBandSize w:val="1"/>
      <w:tblStyleColBandSize w:val="1"/>
      <w:tblCellMar>
        <w:left w:w="108" w:type="dxa"/>
        <w:right w:w="108" w:type="dxa"/>
      </w:tblCellMar>
    </w:tblPr>
  </w:style>
  <w:style w:type="table" w:customStyle="1" w:styleId="afff4">
    <w:basedOn w:val="TableNormalc"/>
    <w:pPr>
      <w:spacing w:after="0" w:line="240" w:lineRule="auto"/>
    </w:pPr>
    <w:tblPr>
      <w:tblStyleRowBandSize w:val="1"/>
      <w:tblStyleColBandSize w:val="1"/>
      <w:tblCellMar>
        <w:left w:w="108" w:type="dxa"/>
        <w:right w:w="108" w:type="dxa"/>
      </w:tblCellMar>
    </w:tblPr>
  </w:style>
  <w:style w:type="table" w:customStyle="1" w:styleId="afff5">
    <w:basedOn w:val="TableNormalc"/>
    <w:pPr>
      <w:spacing w:after="0" w:line="240" w:lineRule="auto"/>
    </w:pPr>
    <w:tblPr>
      <w:tblStyleRowBandSize w:val="1"/>
      <w:tblStyleColBandSize w:val="1"/>
      <w:tblCellMar>
        <w:left w:w="108" w:type="dxa"/>
        <w:right w:w="108" w:type="dxa"/>
      </w:tblCellMar>
    </w:tblPr>
  </w:style>
  <w:style w:type="table" w:customStyle="1" w:styleId="afff6">
    <w:basedOn w:val="TableNormalc"/>
    <w:pPr>
      <w:spacing w:after="0" w:line="240" w:lineRule="auto"/>
    </w:pPr>
    <w:tblPr>
      <w:tblStyleRowBandSize w:val="1"/>
      <w:tblStyleColBandSize w:val="1"/>
      <w:tblCellMar>
        <w:left w:w="108" w:type="dxa"/>
        <w:right w:w="108" w:type="dxa"/>
      </w:tblCellMar>
    </w:tblPr>
  </w:style>
  <w:style w:type="table" w:customStyle="1" w:styleId="afff7">
    <w:basedOn w:val="TableNormalc"/>
    <w:pPr>
      <w:spacing w:after="0" w:line="240" w:lineRule="auto"/>
    </w:pPr>
    <w:tblPr>
      <w:tblStyleRowBandSize w:val="1"/>
      <w:tblStyleColBandSize w:val="1"/>
      <w:tblCellMar>
        <w:left w:w="108" w:type="dxa"/>
        <w:right w:w="108" w:type="dxa"/>
      </w:tblCellMar>
    </w:tblPr>
  </w:style>
  <w:style w:type="table" w:customStyle="1" w:styleId="afff8">
    <w:basedOn w:val="TableNormalc"/>
    <w:pPr>
      <w:spacing w:after="0" w:line="240" w:lineRule="auto"/>
    </w:pPr>
    <w:tblPr>
      <w:tblStyleRowBandSize w:val="1"/>
      <w:tblStyleColBandSize w:val="1"/>
      <w:tblCellMar>
        <w:left w:w="108" w:type="dxa"/>
        <w:right w:w="108" w:type="dxa"/>
      </w:tblCellMar>
    </w:tblPr>
  </w:style>
  <w:style w:type="table" w:customStyle="1" w:styleId="afff9">
    <w:basedOn w:val="TableNormalc"/>
    <w:pPr>
      <w:spacing w:after="0" w:line="240" w:lineRule="auto"/>
    </w:pPr>
    <w:tblPr>
      <w:tblStyleRowBandSize w:val="1"/>
      <w:tblStyleColBandSize w:val="1"/>
      <w:tblCellMar>
        <w:left w:w="108" w:type="dxa"/>
        <w:right w:w="108" w:type="dxa"/>
      </w:tblCellMar>
    </w:tblPr>
  </w:style>
  <w:style w:type="table" w:customStyle="1" w:styleId="afffa">
    <w:basedOn w:val="TableNormalc"/>
    <w:pPr>
      <w:spacing w:after="0" w:line="240" w:lineRule="auto"/>
    </w:pPr>
    <w:tblPr>
      <w:tblStyleRowBandSize w:val="1"/>
      <w:tblStyleColBandSize w:val="1"/>
      <w:tblCellMar>
        <w:left w:w="108" w:type="dxa"/>
        <w:right w:w="108" w:type="dxa"/>
      </w:tblCellMar>
    </w:tblPr>
  </w:style>
  <w:style w:type="table" w:customStyle="1" w:styleId="afffb">
    <w:basedOn w:val="TableNormalc"/>
    <w:pPr>
      <w:spacing w:after="0" w:line="240" w:lineRule="auto"/>
    </w:pPr>
    <w:tblPr>
      <w:tblStyleRowBandSize w:val="1"/>
      <w:tblStyleColBandSize w:val="1"/>
      <w:tblCellMar>
        <w:left w:w="108" w:type="dxa"/>
        <w:right w:w="108" w:type="dxa"/>
      </w:tblCellMar>
    </w:tblPr>
  </w:style>
  <w:style w:type="table" w:customStyle="1" w:styleId="afffc">
    <w:basedOn w:val="TableNormalc"/>
    <w:pPr>
      <w:spacing w:after="0" w:line="240" w:lineRule="auto"/>
    </w:pPr>
    <w:tblPr>
      <w:tblStyleRowBandSize w:val="1"/>
      <w:tblStyleColBandSize w:val="1"/>
      <w:tblCellMar>
        <w:left w:w="108" w:type="dxa"/>
        <w:right w:w="108" w:type="dxa"/>
      </w:tblCellMar>
    </w:tblPr>
  </w:style>
  <w:style w:type="table" w:customStyle="1" w:styleId="afffd">
    <w:basedOn w:val="TableNormalb"/>
    <w:pPr>
      <w:spacing w:after="0" w:line="240" w:lineRule="auto"/>
    </w:pPr>
    <w:tblPr>
      <w:tblStyleRowBandSize w:val="1"/>
      <w:tblStyleColBandSize w:val="1"/>
      <w:tblCellMar>
        <w:left w:w="108" w:type="dxa"/>
        <w:right w:w="108" w:type="dxa"/>
      </w:tblCellMar>
    </w:tblPr>
  </w:style>
  <w:style w:type="table" w:customStyle="1" w:styleId="afffe">
    <w:basedOn w:val="TableNormalb"/>
    <w:pPr>
      <w:spacing w:after="0" w:line="240" w:lineRule="auto"/>
    </w:pPr>
    <w:tblPr>
      <w:tblStyleRowBandSize w:val="1"/>
      <w:tblStyleColBandSize w:val="1"/>
      <w:tblCellMar>
        <w:left w:w="108" w:type="dxa"/>
        <w:right w:w="108" w:type="dxa"/>
      </w:tblCellMar>
    </w:tblPr>
  </w:style>
  <w:style w:type="table" w:customStyle="1" w:styleId="affff">
    <w:basedOn w:val="TableNormalb"/>
    <w:pPr>
      <w:spacing w:after="0" w:line="240" w:lineRule="auto"/>
    </w:pPr>
    <w:tblPr>
      <w:tblStyleRowBandSize w:val="1"/>
      <w:tblStyleColBandSize w:val="1"/>
      <w:tblCellMar>
        <w:left w:w="108" w:type="dxa"/>
        <w:right w:w="108" w:type="dxa"/>
      </w:tblCellMar>
    </w:tblPr>
  </w:style>
  <w:style w:type="table" w:customStyle="1" w:styleId="affff0">
    <w:basedOn w:val="TableNormalb"/>
    <w:pPr>
      <w:spacing w:after="0" w:line="240" w:lineRule="auto"/>
    </w:pPr>
    <w:tblPr>
      <w:tblStyleRowBandSize w:val="1"/>
      <w:tblStyleColBandSize w:val="1"/>
      <w:tblCellMar>
        <w:left w:w="108" w:type="dxa"/>
        <w:right w:w="108" w:type="dxa"/>
      </w:tblCellMar>
    </w:tblPr>
  </w:style>
  <w:style w:type="table" w:customStyle="1" w:styleId="affff1">
    <w:basedOn w:val="TableNormalb"/>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a"/>
    <w:pPr>
      <w:spacing w:after="0" w:line="240" w:lineRule="auto"/>
    </w:pPr>
    <w:tblPr>
      <w:tblStyleRowBandSize w:val="1"/>
      <w:tblStyleColBandSize w:val="1"/>
      <w:tblCellMar>
        <w:left w:w="108" w:type="dxa"/>
        <w:right w:w="108" w:type="dxa"/>
      </w:tblCellMar>
    </w:tblPr>
  </w:style>
  <w:style w:type="table" w:customStyle="1" w:styleId="affff3">
    <w:basedOn w:val="TableNormala"/>
    <w:pPr>
      <w:spacing w:after="0" w:line="240" w:lineRule="auto"/>
    </w:pPr>
    <w:tblPr>
      <w:tblStyleRowBandSize w:val="1"/>
      <w:tblStyleColBandSize w:val="1"/>
      <w:tblCellMar>
        <w:left w:w="108" w:type="dxa"/>
        <w:right w:w="108" w:type="dxa"/>
      </w:tblCellMar>
    </w:tblPr>
  </w:style>
  <w:style w:type="table" w:customStyle="1" w:styleId="affff4">
    <w:basedOn w:val="TableNormala"/>
    <w:pPr>
      <w:spacing w:after="0" w:line="240" w:lineRule="auto"/>
    </w:pPr>
    <w:tblPr>
      <w:tblStyleRowBandSize w:val="1"/>
      <w:tblStyleColBandSize w:val="1"/>
      <w:tblCellMar>
        <w:left w:w="108" w:type="dxa"/>
        <w:right w:w="108" w:type="dxa"/>
      </w:tblCellMar>
    </w:tblPr>
  </w:style>
  <w:style w:type="table" w:customStyle="1" w:styleId="affff5">
    <w:basedOn w:val="TableNormala"/>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9"/>
    <w:pPr>
      <w:spacing w:after="0" w:line="240" w:lineRule="auto"/>
    </w:pPr>
    <w:tblPr>
      <w:tblStyleRowBandSize w:val="1"/>
      <w:tblStyleColBandSize w:val="1"/>
      <w:tblCellMar>
        <w:left w:w="108" w:type="dxa"/>
        <w:right w:w="108" w:type="dxa"/>
      </w:tblCellMar>
    </w:tblPr>
  </w:style>
  <w:style w:type="table" w:customStyle="1" w:styleId="affff7">
    <w:basedOn w:val="TableNormal9"/>
    <w:pPr>
      <w:spacing w:after="0" w:line="240" w:lineRule="auto"/>
    </w:pPr>
    <w:tblPr>
      <w:tblStyleRowBandSize w:val="1"/>
      <w:tblStyleColBandSize w:val="1"/>
      <w:tblCellMar>
        <w:left w:w="108" w:type="dxa"/>
        <w:right w:w="108" w:type="dxa"/>
      </w:tblCellMar>
    </w:tblPr>
  </w:style>
  <w:style w:type="table" w:customStyle="1" w:styleId="affff8">
    <w:basedOn w:val="TableNormal9"/>
    <w:pPr>
      <w:spacing w:after="0" w:line="240" w:lineRule="auto"/>
    </w:pPr>
    <w:tblPr>
      <w:tblStyleRowBandSize w:val="1"/>
      <w:tblStyleColBandSize w:val="1"/>
      <w:tblCellMar>
        <w:left w:w="108" w:type="dxa"/>
        <w:right w:w="108" w:type="dxa"/>
      </w:tblCellMar>
    </w:tblPr>
  </w:style>
  <w:style w:type="table" w:customStyle="1" w:styleId="affff9">
    <w:basedOn w:val="TableNormal9"/>
    <w:pPr>
      <w:spacing w:after="0" w:line="240" w:lineRule="auto"/>
    </w:pPr>
    <w:tblPr>
      <w:tblStyleRowBandSize w:val="1"/>
      <w:tblStyleColBandSize w:val="1"/>
      <w:tblCellMar>
        <w:left w:w="108" w:type="dxa"/>
        <w:right w:w="108" w:type="dxa"/>
      </w:tblCellMar>
    </w:tblPr>
  </w:style>
  <w:style w:type="table" w:customStyle="1" w:styleId="affffa">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8"/>
    <w:pPr>
      <w:spacing w:after="0" w:line="240" w:lineRule="auto"/>
    </w:pPr>
    <w:tblPr>
      <w:tblStyleRowBandSize w:val="1"/>
      <w:tblStyleColBandSize w:val="1"/>
      <w:tblCellMar>
        <w:left w:w="108" w:type="dxa"/>
        <w:right w:w="108" w:type="dxa"/>
      </w:tblCellMar>
    </w:tblPr>
  </w:style>
  <w:style w:type="table" w:customStyle="1" w:styleId="affffc">
    <w:basedOn w:val="TableNormal8"/>
    <w:pPr>
      <w:spacing w:after="0" w:line="240" w:lineRule="auto"/>
    </w:pPr>
    <w:tblPr>
      <w:tblStyleRowBandSize w:val="1"/>
      <w:tblStyleColBandSize w:val="1"/>
      <w:tblCellMar>
        <w:left w:w="108" w:type="dxa"/>
        <w:right w:w="108" w:type="dxa"/>
      </w:tblCellMar>
    </w:tblPr>
  </w:style>
  <w:style w:type="table" w:customStyle="1" w:styleId="affffd">
    <w:basedOn w:val="TableNormal8"/>
    <w:pPr>
      <w:spacing w:after="0" w:line="240" w:lineRule="auto"/>
    </w:pPr>
    <w:tblPr>
      <w:tblStyleRowBandSize w:val="1"/>
      <w:tblStyleColBandSize w:val="1"/>
      <w:tblCellMar>
        <w:left w:w="108" w:type="dxa"/>
        <w:right w:w="108" w:type="dxa"/>
      </w:tblCellMar>
    </w:tblPr>
  </w:style>
  <w:style w:type="table" w:customStyle="1" w:styleId="affffe">
    <w:basedOn w:val="TableNormal8"/>
    <w:pPr>
      <w:spacing w:after="0" w:line="240" w:lineRule="auto"/>
    </w:pPr>
    <w:tblPr>
      <w:tblStyleRowBandSize w:val="1"/>
      <w:tblStyleColBandSize w:val="1"/>
      <w:tblCellMar>
        <w:left w:w="108" w:type="dxa"/>
        <w:right w:w="108" w:type="dxa"/>
      </w:tblCellMar>
    </w:tblPr>
  </w:style>
  <w:style w:type="table" w:customStyle="1" w:styleId="afffff">
    <w:basedOn w:val="TableNormal7"/>
    <w:pPr>
      <w:spacing w:after="0" w:line="240" w:lineRule="auto"/>
    </w:pPr>
    <w:tblPr>
      <w:tblStyleRowBandSize w:val="1"/>
      <w:tblStyleColBandSize w:val="1"/>
      <w:tblCellMar>
        <w:left w:w="108" w:type="dxa"/>
        <w:right w:w="108" w:type="dxa"/>
      </w:tblCellMar>
    </w:tblPr>
  </w:style>
  <w:style w:type="table" w:customStyle="1" w:styleId="afffff0">
    <w:basedOn w:val="TableNormal7"/>
    <w:pPr>
      <w:spacing w:after="0" w:line="240" w:lineRule="auto"/>
    </w:pPr>
    <w:tblPr>
      <w:tblStyleRowBandSize w:val="1"/>
      <w:tblStyleColBandSize w:val="1"/>
      <w:tblCellMar>
        <w:left w:w="108" w:type="dxa"/>
        <w:right w:w="108" w:type="dxa"/>
      </w:tblCellMar>
    </w:tblPr>
  </w:style>
  <w:style w:type="table" w:customStyle="1" w:styleId="afffff1">
    <w:basedOn w:val="TableNormal7"/>
    <w:pPr>
      <w:spacing w:after="0" w:line="240" w:lineRule="auto"/>
    </w:pPr>
    <w:tblPr>
      <w:tblStyleRowBandSize w:val="1"/>
      <w:tblStyleColBandSize w:val="1"/>
      <w:tblCellMar>
        <w:left w:w="108" w:type="dxa"/>
        <w:right w:w="108" w:type="dxa"/>
      </w:tblCellMar>
    </w:tblPr>
  </w:style>
  <w:style w:type="table" w:customStyle="1" w:styleId="afffff2">
    <w:basedOn w:val="TableNormal7"/>
    <w:pPr>
      <w:spacing w:after="0" w:line="240" w:lineRule="auto"/>
    </w:pPr>
    <w:tblPr>
      <w:tblStyleRowBandSize w:val="1"/>
      <w:tblStyleColBandSize w:val="1"/>
      <w:tblCellMar>
        <w:left w:w="108" w:type="dxa"/>
        <w:right w:w="108" w:type="dxa"/>
      </w:tblCellMar>
    </w:tblPr>
  </w:style>
  <w:style w:type="table" w:customStyle="1" w:styleId="afffff3">
    <w:basedOn w:val="TableNormal7"/>
    <w:pPr>
      <w:spacing w:after="0" w:line="240" w:lineRule="auto"/>
    </w:pPr>
    <w:tblPr>
      <w:tblStyleRowBandSize w:val="1"/>
      <w:tblStyleColBandSize w:val="1"/>
      <w:tblCellMar>
        <w:left w:w="108" w:type="dxa"/>
        <w:right w:w="108" w:type="dxa"/>
      </w:tblCellMar>
    </w:tblPr>
  </w:style>
  <w:style w:type="table" w:customStyle="1" w:styleId="afffff4">
    <w:basedOn w:val="TableNormal6"/>
    <w:pPr>
      <w:spacing w:after="0" w:line="240" w:lineRule="auto"/>
    </w:pPr>
    <w:tblPr>
      <w:tblStyleRowBandSize w:val="1"/>
      <w:tblStyleColBandSize w:val="1"/>
      <w:tblCellMar>
        <w:left w:w="108" w:type="dxa"/>
        <w:right w:w="108" w:type="dxa"/>
      </w:tblCellMar>
    </w:tblPr>
  </w:style>
  <w:style w:type="table" w:customStyle="1" w:styleId="afffff5">
    <w:basedOn w:val="TableNormal6"/>
    <w:pPr>
      <w:spacing w:after="0" w:line="240" w:lineRule="auto"/>
    </w:pPr>
    <w:tblPr>
      <w:tblStyleRowBandSize w:val="1"/>
      <w:tblStyleColBandSize w:val="1"/>
      <w:tblCellMar>
        <w:left w:w="108" w:type="dxa"/>
        <w:right w:w="108" w:type="dxa"/>
      </w:tblCellMar>
    </w:tblPr>
  </w:style>
  <w:style w:type="table" w:customStyle="1" w:styleId="afffff6">
    <w:basedOn w:val="TableNormal6"/>
    <w:pPr>
      <w:spacing w:after="0" w:line="240" w:lineRule="auto"/>
    </w:pPr>
    <w:tblPr>
      <w:tblStyleRowBandSize w:val="1"/>
      <w:tblStyleColBandSize w:val="1"/>
      <w:tblCellMar>
        <w:left w:w="108" w:type="dxa"/>
        <w:right w:w="108" w:type="dxa"/>
      </w:tblCellMar>
    </w:tblPr>
  </w:style>
  <w:style w:type="table" w:customStyle="1" w:styleId="afffff7">
    <w:basedOn w:val="TableNormal6"/>
    <w:pPr>
      <w:spacing w:after="0" w:line="240" w:lineRule="auto"/>
    </w:pPr>
    <w:tblPr>
      <w:tblStyleRowBandSize w:val="1"/>
      <w:tblStyleColBandSize w:val="1"/>
      <w:tblCellMar>
        <w:left w:w="108" w:type="dxa"/>
        <w:right w:w="108" w:type="dxa"/>
      </w:tblCellMar>
    </w:tblPr>
  </w:style>
  <w:style w:type="table" w:customStyle="1" w:styleId="afffff8">
    <w:basedOn w:val="TableNormal5"/>
    <w:pPr>
      <w:spacing w:after="0" w:line="240" w:lineRule="auto"/>
    </w:pPr>
    <w:tblPr>
      <w:tblStyleRowBandSize w:val="1"/>
      <w:tblStyleColBandSize w:val="1"/>
      <w:tblCellMar>
        <w:left w:w="108" w:type="dxa"/>
        <w:right w:w="108" w:type="dxa"/>
      </w:tblCellMar>
    </w:tblPr>
  </w:style>
  <w:style w:type="table" w:customStyle="1" w:styleId="afffff9">
    <w:basedOn w:val="TableNormal5"/>
    <w:pPr>
      <w:spacing w:after="0" w:line="240" w:lineRule="auto"/>
    </w:pPr>
    <w:tblPr>
      <w:tblStyleRowBandSize w:val="1"/>
      <w:tblStyleColBandSize w:val="1"/>
      <w:tblCellMar>
        <w:left w:w="108" w:type="dxa"/>
        <w:right w:w="108" w:type="dxa"/>
      </w:tblCellMar>
    </w:tblPr>
  </w:style>
  <w:style w:type="table" w:customStyle="1" w:styleId="afffffa">
    <w:basedOn w:val="TableNormal5"/>
    <w:pPr>
      <w:spacing w:after="0" w:line="240" w:lineRule="auto"/>
    </w:pPr>
    <w:tblPr>
      <w:tblStyleRowBandSize w:val="1"/>
      <w:tblStyleColBandSize w:val="1"/>
      <w:tblCellMar>
        <w:left w:w="108" w:type="dxa"/>
        <w:right w:w="108" w:type="dxa"/>
      </w:tblCellMar>
    </w:tblPr>
  </w:style>
  <w:style w:type="table" w:customStyle="1" w:styleId="afffffb">
    <w:basedOn w:val="TableNormal5"/>
    <w:pPr>
      <w:spacing w:after="0" w:line="240" w:lineRule="auto"/>
    </w:pPr>
    <w:tblPr>
      <w:tblStyleRowBandSize w:val="1"/>
      <w:tblStyleColBandSize w:val="1"/>
      <w:tblCellMar>
        <w:left w:w="108" w:type="dxa"/>
        <w:right w:w="108" w:type="dxa"/>
      </w:tblCellMar>
    </w:tblPr>
  </w:style>
  <w:style w:type="table" w:customStyle="1" w:styleId="afffffc">
    <w:basedOn w:val="TableNormal5"/>
    <w:pPr>
      <w:spacing w:after="0" w:line="240" w:lineRule="auto"/>
    </w:pPr>
    <w:tblPr>
      <w:tblStyleRowBandSize w:val="1"/>
      <w:tblStyleColBandSize w:val="1"/>
      <w:tblCellMar>
        <w:left w:w="108" w:type="dxa"/>
        <w:right w:w="108" w:type="dxa"/>
      </w:tblCellMar>
    </w:tblPr>
  </w:style>
  <w:style w:type="table" w:customStyle="1" w:styleId="afffffd">
    <w:basedOn w:val="TableNormal5"/>
    <w:pPr>
      <w:spacing w:after="0" w:line="240" w:lineRule="auto"/>
    </w:pPr>
    <w:tblPr>
      <w:tblStyleRowBandSize w:val="1"/>
      <w:tblStyleColBandSize w:val="1"/>
      <w:tblCellMar>
        <w:left w:w="108" w:type="dxa"/>
        <w:right w:w="108" w:type="dxa"/>
      </w:tblCellMar>
    </w:tblPr>
  </w:style>
  <w:style w:type="table" w:customStyle="1" w:styleId="afffffe">
    <w:basedOn w:val="TableNormal4"/>
    <w:pPr>
      <w:spacing w:after="0" w:line="240" w:lineRule="auto"/>
    </w:pPr>
    <w:tblPr>
      <w:tblStyleRowBandSize w:val="1"/>
      <w:tblStyleColBandSize w:val="1"/>
      <w:tblCellMar>
        <w:left w:w="108" w:type="dxa"/>
        <w:right w:w="108" w:type="dxa"/>
      </w:tblCellMar>
    </w:tblPr>
  </w:style>
  <w:style w:type="table" w:customStyle="1" w:styleId="affffff">
    <w:basedOn w:val="TableNormal4"/>
    <w:pPr>
      <w:spacing w:after="0" w:line="240" w:lineRule="auto"/>
    </w:pPr>
    <w:tblPr>
      <w:tblStyleRowBandSize w:val="1"/>
      <w:tblStyleColBandSize w:val="1"/>
      <w:tblCellMar>
        <w:left w:w="108" w:type="dxa"/>
        <w:right w:w="108" w:type="dxa"/>
      </w:tblCellMar>
    </w:tblPr>
  </w:style>
  <w:style w:type="table" w:customStyle="1" w:styleId="affffff0">
    <w:basedOn w:val="TableNormal4"/>
    <w:pPr>
      <w:spacing w:after="0" w:line="240" w:lineRule="auto"/>
    </w:pPr>
    <w:tblPr>
      <w:tblStyleRowBandSize w:val="1"/>
      <w:tblStyleColBandSize w:val="1"/>
      <w:tblCellMar>
        <w:left w:w="108" w:type="dxa"/>
        <w:right w:w="108" w:type="dxa"/>
      </w:tblCellMar>
    </w:tblPr>
  </w:style>
  <w:style w:type="table" w:customStyle="1" w:styleId="affffff1">
    <w:basedOn w:val="TableNormal4"/>
    <w:pPr>
      <w:spacing w:after="0" w:line="240" w:lineRule="auto"/>
    </w:pPr>
    <w:tblPr>
      <w:tblStyleRowBandSize w:val="1"/>
      <w:tblStyleColBandSize w:val="1"/>
      <w:tblCellMar>
        <w:left w:w="108" w:type="dxa"/>
        <w:right w:w="108" w:type="dxa"/>
      </w:tblCellMar>
    </w:tblPr>
  </w:style>
  <w:style w:type="table" w:customStyle="1" w:styleId="affffff2">
    <w:basedOn w:val="TableNormal4"/>
    <w:pPr>
      <w:spacing w:after="0" w:line="240" w:lineRule="auto"/>
    </w:pPr>
    <w:tblPr>
      <w:tblStyleRowBandSize w:val="1"/>
      <w:tblStyleColBandSize w:val="1"/>
      <w:tblCellMar>
        <w:left w:w="108" w:type="dxa"/>
        <w:right w:w="108" w:type="dxa"/>
      </w:tblCellMar>
    </w:tblPr>
  </w:style>
  <w:style w:type="table" w:customStyle="1" w:styleId="affffff3">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0432B"/>
    <w:rPr>
      <w:color w:val="605E5C"/>
      <w:shd w:val="clear" w:color="auto" w:fill="E1DFDD"/>
    </w:rPr>
  </w:style>
  <w:style w:type="table" w:customStyle="1" w:styleId="affffff4">
    <w:basedOn w:val="TableNormal3"/>
    <w:pPr>
      <w:spacing w:after="0" w:line="240" w:lineRule="auto"/>
    </w:pPr>
    <w:tblPr>
      <w:tblStyleRowBandSize w:val="1"/>
      <w:tblStyleColBandSize w:val="1"/>
      <w:tblCellMar>
        <w:left w:w="108" w:type="dxa"/>
        <w:right w:w="108" w:type="dxa"/>
      </w:tblCellMar>
    </w:tblPr>
  </w:style>
  <w:style w:type="table" w:customStyle="1" w:styleId="affffff5">
    <w:basedOn w:val="TableNormal3"/>
    <w:pPr>
      <w:spacing w:after="0" w:line="240" w:lineRule="auto"/>
    </w:pPr>
    <w:tblPr>
      <w:tblStyleRowBandSize w:val="1"/>
      <w:tblStyleColBandSize w:val="1"/>
      <w:tblCellMar>
        <w:left w:w="108" w:type="dxa"/>
        <w:right w:w="108" w:type="dxa"/>
      </w:tblCellMar>
    </w:tblPr>
  </w:style>
  <w:style w:type="table" w:customStyle="1" w:styleId="affffff6">
    <w:basedOn w:val="TableNormal3"/>
    <w:pPr>
      <w:spacing w:after="0" w:line="240" w:lineRule="auto"/>
    </w:pPr>
    <w:tblPr>
      <w:tblStyleRowBandSize w:val="1"/>
      <w:tblStyleColBandSize w:val="1"/>
      <w:tblCellMar>
        <w:left w:w="108" w:type="dxa"/>
        <w:right w:w="108" w:type="dxa"/>
      </w:tblCellMar>
    </w:tblPr>
  </w:style>
  <w:style w:type="table" w:customStyle="1" w:styleId="affffff7">
    <w:basedOn w:val="TableNormal3"/>
    <w:pPr>
      <w:spacing w:after="0" w:line="240" w:lineRule="auto"/>
    </w:pPr>
    <w:tblPr>
      <w:tblStyleRowBandSize w:val="1"/>
      <w:tblStyleColBandSize w:val="1"/>
      <w:tblCellMar>
        <w:left w:w="108" w:type="dxa"/>
        <w:right w:w="108" w:type="dxa"/>
      </w:tblCellMar>
    </w:tblPr>
  </w:style>
  <w:style w:type="table" w:customStyle="1" w:styleId="affffff8">
    <w:basedOn w:val="TableNormal2"/>
    <w:pPr>
      <w:spacing w:after="0" w:line="240" w:lineRule="auto"/>
    </w:pPr>
    <w:tblPr>
      <w:tblStyleRowBandSize w:val="1"/>
      <w:tblStyleColBandSize w:val="1"/>
      <w:tblCellMar>
        <w:left w:w="108" w:type="dxa"/>
        <w:right w:w="108" w:type="dxa"/>
      </w:tblCellMar>
    </w:tblPr>
  </w:style>
  <w:style w:type="table" w:customStyle="1" w:styleId="affffff9">
    <w:basedOn w:val="TableNormal2"/>
    <w:pPr>
      <w:spacing w:after="0" w:line="240" w:lineRule="auto"/>
    </w:pPr>
    <w:tblPr>
      <w:tblStyleRowBandSize w:val="1"/>
      <w:tblStyleColBandSize w:val="1"/>
      <w:tblCellMar>
        <w:left w:w="108" w:type="dxa"/>
        <w:right w:w="108" w:type="dxa"/>
      </w:tblCellMar>
    </w:tblPr>
  </w:style>
  <w:style w:type="table" w:customStyle="1" w:styleId="affffffa">
    <w:basedOn w:val="TableNormal2"/>
    <w:pPr>
      <w:spacing w:after="0" w:line="240" w:lineRule="auto"/>
    </w:pPr>
    <w:tblPr>
      <w:tblStyleRowBandSize w:val="1"/>
      <w:tblStyleColBandSize w:val="1"/>
      <w:tblCellMar>
        <w:left w:w="108" w:type="dxa"/>
        <w:right w:w="108" w:type="dxa"/>
      </w:tblCellMar>
    </w:tblPr>
  </w:style>
  <w:style w:type="table" w:customStyle="1" w:styleId="affffffb">
    <w:basedOn w:val="TableNormal2"/>
    <w:pPr>
      <w:spacing w:after="0" w:line="240" w:lineRule="auto"/>
    </w:pPr>
    <w:tblPr>
      <w:tblStyleRowBandSize w:val="1"/>
      <w:tblStyleColBandSize w:val="1"/>
      <w:tblCellMar>
        <w:left w:w="108" w:type="dxa"/>
        <w:right w:w="108" w:type="dxa"/>
      </w:tblCellMar>
    </w:tblPr>
  </w:style>
  <w:style w:type="table" w:customStyle="1" w:styleId="affffffc">
    <w:basedOn w:val="TableNormal1"/>
    <w:pPr>
      <w:spacing w:after="0" w:line="240" w:lineRule="auto"/>
    </w:pPr>
    <w:tblPr>
      <w:tblStyleRowBandSize w:val="1"/>
      <w:tblStyleColBandSize w:val="1"/>
      <w:tblCellMar>
        <w:left w:w="108" w:type="dxa"/>
        <w:right w:w="108" w:type="dxa"/>
      </w:tblCellMar>
    </w:tblPr>
  </w:style>
  <w:style w:type="table" w:customStyle="1" w:styleId="affffffd">
    <w:basedOn w:val="TableNormal1"/>
    <w:pPr>
      <w:spacing w:after="0" w:line="240" w:lineRule="auto"/>
    </w:pPr>
    <w:tblPr>
      <w:tblStyleRowBandSize w:val="1"/>
      <w:tblStyleColBandSize w:val="1"/>
      <w:tblCellMar>
        <w:left w:w="108" w:type="dxa"/>
        <w:right w:w="108" w:type="dxa"/>
      </w:tblCellMar>
    </w:tblPr>
  </w:style>
  <w:style w:type="table" w:customStyle="1" w:styleId="affffffe">
    <w:basedOn w:val="TableNormal1"/>
    <w:pPr>
      <w:spacing w:after="0" w:line="240" w:lineRule="auto"/>
    </w:pPr>
    <w:tblPr>
      <w:tblStyleRowBandSize w:val="1"/>
      <w:tblStyleColBandSize w:val="1"/>
      <w:tblCellMar>
        <w:left w:w="108" w:type="dxa"/>
        <w:right w:w="108" w:type="dxa"/>
      </w:tblCellMar>
    </w:tblPr>
  </w:style>
  <w:style w:type="table" w:customStyle="1" w:styleId="af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D53A4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RffvoYvBpvKU+tggSeRTpd4iQ==">CgMxLjAyDmguZG05Y3VpM3ZqNTZyMghoLmdqZGd4czIOaC45NnR3OTI3N3V0ODAyDmgudHc0OXN1d2s3cXI3Mg5oLmI2OHl2b2o4NnhjYzIJaC4yZXQ5MnAwMg5oLmVpbzdnNWFpamJ3NTIOaC42b2dtNm95bDBwZmYyDmgueDNwdW01YjlkdDcwMg5oLnJvMjhjejFrdmtrNzINaC40ODk4c2E3b3Q1azIOaC5oeDdhZ2s2NmJxaHUyDWguMWxuMjE4bzd1MjcyDmgudndmeXZtazhncXF3Mg5oLjlwMWE4aG44ODR3dzgAciExZlpSc3NtWGtPeDBBUkdUbDZqeG5wUkhBRkM5Qmc3a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4503</Words>
  <Characters>23060</Characters>
  <Application>Microsoft Office Word</Application>
  <DocSecurity>0</DocSecurity>
  <Lines>470</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2025-11-14T05:42:00Z</cp:lastPrinted>
  <dcterms:created xsi:type="dcterms:W3CDTF">2025-11-14T05:42:00Z</dcterms:created>
  <dcterms:modified xsi:type="dcterms:W3CDTF">2025-11-14T05:42:00Z</dcterms:modified>
</cp:coreProperties>
</file>