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690" w:rsidRPr="004C6EB5" w:rsidRDefault="00C06690" w:rsidP="004C6EB5">
      <w:pPr>
        <w:spacing w:before="240" w:after="240"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4C6EB5">
        <w:rPr>
          <w:rFonts w:ascii="Palatino Linotype" w:eastAsia="Palatino Linotype" w:hAnsi="Palatino Linotype" w:cs="Palatino Linotype"/>
          <w:b/>
          <w:color w:val="000000" w:themeColor="text1"/>
          <w:sz w:val="24"/>
          <w:szCs w:val="24"/>
        </w:rPr>
        <w:t>de fecha primero</w:t>
      </w:r>
      <w:r w:rsidR="007E1ADE">
        <w:rPr>
          <w:rFonts w:ascii="Palatino Linotype" w:eastAsia="Palatino Linotype" w:hAnsi="Palatino Linotype" w:cs="Palatino Linotype"/>
          <w:b/>
          <w:color w:val="000000" w:themeColor="text1"/>
          <w:sz w:val="24"/>
          <w:szCs w:val="24"/>
        </w:rPr>
        <w:t xml:space="preserve"> (01)</w:t>
      </w:r>
      <w:r w:rsidR="004C6EB5">
        <w:rPr>
          <w:rFonts w:ascii="Palatino Linotype" w:eastAsia="Palatino Linotype" w:hAnsi="Palatino Linotype" w:cs="Palatino Linotype"/>
          <w:b/>
          <w:color w:val="000000" w:themeColor="text1"/>
          <w:sz w:val="24"/>
          <w:szCs w:val="24"/>
        </w:rPr>
        <w:t xml:space="preserve"> </w:t>
      </w:r>
      <w:r w:rsidR="004C6EB5" w:rsidRPr="00157555">
        <w:rPr>
          <w:rFonts w:ascii="Palatino Linotype" w:eastAsia="Palatino Linotype" w:hAnsi="Palatino Linotype" w:cs="Palatino Linotype"/>
          <w:b/>
          <w:color w:val="000000" w:themeColor="text1"/>
          <w:sz w:val="24"/>
          <w:szCs w:val="24"/>
        </w:rPr>
        <w:t xml:space="preserve">de </w:t>
      </w:r>
      <w:r w:rsidR="004C6EB5">
        <w:rPr>
          <w:rFonts w:ascii="Palatino Linotype" w:eastAsia="Palatino Linotype" w:hAnsi="Palatino Linotype" w:cs="Palatino Linotype"/>
          <w:b/>
          <w:color w:val="000000" w:themeColor="text1"/>
          <w:sz w:val="24"/>
          <w:szCs w:val="24"/>
        </w:rPr>
        <w:t xml:space="preserve">octubre </w:t>
      </w:r>
      <w:r w:rsidR="004C6EB5" w:rsidRPr="00157555">
        <w:rPr>
          <w:rFonts w:ascii="Palatino Linotype" w:eastAsia="Palatino Linotype" w:hAnsi="Palatino Linotype" w:cs="Palatino Linotype"/>
          <w:b/>
          <w:color w:val="000000" w:themeColor="text1"/>
          <w:sz w:val="24"/>
          <w:szCs w:val="24"/>
        </w:rPr>
        <w:t>de dos mil veinticinco</w:t>
      </w:r>
      <w:r w:rsidRPr="004C6EB5">
        <w:rPr>
          <w:rFonts w:ascii="Palatino Linotype" w:eastAsia="Palatino Linotype" w:hAnsi="Palatino Linotype" w:cs="Palatino Linotype"/>
          <w:color w:val="000000" w:themeColor="text1"/>
          <w:sz w:val="24"/>
          <w:szCs w:val="24"/>
        </w:rPr>
        <w:t xml:space="preserve">. </w:t>
      </w:r>
    </w:p>
    <w:p w:rsidR="00C06690" w:rsidRDefault="00C06690" w:rsidP="004C6EB5">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b/>
          <w:color w:val="000000" w:themeColor="text1"/>
          <w:sz w:val="24"/>
          <w:szCs w:val="24"/>
        </w:rPr>
        <w:t>VISTO el</w:t>
      </w:r>
      <w:r w:rsidRPr="004C6EB5">
        <w:rPr>
          <w:rFonts w:ascii="Palatino Linotype" w:eastAsia="Palatino Linotype" w:hAnsi="Palatino Linotype" w:cs="Palatino Linotype"/>
          <w:color w:val="000000" w:themeColor="text1"/>
          <w:sz w:val="24"/>
          <w:szCs w:val="24"/>
        </w:rPr>
        <w:t xml:space="preserve"> expediente electrónico formado con motivo del recurso de revisión </w:t>
      </w:r>
      <w:r w:rsidRPr="004C6EB5">
        <w:rPr>
          <w:rFonts w:ascii="Palatino Linotype" w:eastAsia="Palatino Linotype" w:hAnsi="Palatino Linotype" w:cs="Palatino Linotype"/>
          <w:b/>
          <w:color w:val="000000" w:themeColor="text1"/>
          <w:sz w:val="24"/>
          <w:szCs w:val="24"/>
        </w:rPr>
        <w:t xml:space="preserve">03743/INFOEM/IP/RR/2025, </w:t>
      </w:r>
      <w:r w:rsidRPr="004C6EB5">
        <w:rPr>
          <w:rFonts w:ascii="Palatino Linotype" w:eastAsia="Palatino Linotype" w:hAnsi="Palatino Linotype" w:cs="Palatino Linotype"/>
          <w:color w:val="000000" w:themeColor="text1"/>
          <w:sz w:val="24"/>
          <w:szCs w:val="24"/>
        </w:rPr>
        <w:t xml:space="preserve">promovido </w:t>
      </w:r>
      <w:r w:rsidR="007E1ADE">
        <w:rPr>
          <w:rFonts w:ascii="Palatino Linotype" w:eastAsia="Palatino Linotype" w:hAnsi="Palatino Linotype" w:cs="Palatino Linotype"/>
          <w:color w:val="000000" w:themeColor="text1"/>
          <w:sz w:val="24"/>
          <w:szCs w:val="24"/>
        </w:rPr>
        <w:t>por</w:t>
      </w:r>
      <w:r w:rsidRPr="004C6EB5">
        <w:rPr>
          <w:rFonts w:ascii="Palatino Linotype" w:eastAsia="Palatino Linotype" w:hAnsi="Palatino Linotype" w:cs="Palatino Linotype"/>
          <w:b/>
          <w:bCs/>
          <w:color w:val="000000" w:themeColor="text1"/>
          <w:sz w:val="24"/>
          <w:szCs w:val="24"/>
        </w:rPr>
        <w:t> </w:t>
      </w:r>
      <w:r w:rsidR="00A2425E">
        <w:rPr>
          <w:rFonts w:ascii="Palatino Linotype" w:eastAsia="Palatino Linotype" w:hAnsi="Palatino Linotype" w:cs="Palatino Linotype"/>
          <w:b/>
          <w:bCs/>
          <w:color w:val="000000" w:themeColor="text1"/>
          <w:sz w:val="24"/>
          <w:szCs w:val="24"/>
        </w:rPr>
        <w:t>XXXX</w:t>
      </w:r>
      <w:r w:rsidRPr="004C6EB5">
        <w:rPr>
          <w:rFonts w:ascii="Palatino Linotype" w:eastAsia="Palatino Linotype" w:hAnsi="Palatino Linotype" w:cs="Palatino Linotype"/>
          <w:color w:val="000000" w:themeColor="text1"/>
          <w:sz w:val="24"/>
          <w:szCs w:val="24"/>
        </w:rPr>
        <w:t xml:space="preserve">, en su calidad de </w:t>
      </w:r>
      <w:r w:rsidRPr="004C6EB5">
        <w:rPr>
          <w:rFonts w:ascii="Palatino Linotype" w:eastAsia="Palatino Linotype" w:hAnsi="Palatino Linotype" w:cs="Palatino Linotype"/>
          <w:b/>
          <w:color w:val="000000" w:themeColor="text1"/>
          <w:sz w:val="24"/>
          <w:szCs w:val="24"/>
        </w:rPr>
        <w:t>RECURRENTE</w:t>
      </w:r>
      <w:r w:rsidRPr="004C6EB5">
        <w:rPr>
          <w:rFonts w:ascii="Palatino Linotype" w:eastAsia="Palatino Linotype" w:hAnsi="Palatino Linotype" w:cs="Palatino Linotype"/>
          <w:color w:val="000000" w:themeColor="text1"/>
          <w:sz w:val="24"/>
          <w:szCs w:val="24"/>
        </w:rPr>
        <w:t xml:space="preserve">, en contra de la falta de respuesta del </w:t>
      </w:r>
      <w:r w:rsidRPr="004C6EB5">
        <w:rPr>
          <w:rFonts w:ascii="Palatino Linotype" w:eastAsia="Palatino Linotype" w:hAnsi="Palatino Linotype" w:cs="Palatino Linotype"/>
          <w:b/>
          <w:color w:val="000000" w:themeColor="text1"/>
          <w:sz w:val="24"/>
          <w:szCs w:val="24"/>
        </w:rPr>
        <w:t>Ayuntamiento de Valle de Chalco Solidaridad</w:t>
      </w:r>
      <w:r w:rsidRPr="004C6EB5">
        <w:rPr>
          <w:rFonts w:ascii="Palatino Linotype" w:eastAsia="Palatino Linotype" w:hAnsi="Palatino Linotype" w:cs="Palatino Linotype"/>
          <w:color w:val="000000" w:themeColor="text1"/>
          <w:sz w:val="24"/>
          <w:szCs w:val="24"/>
        </w:rPr>
        <w:t>,</w:t>
      </w:r>
      <w:r w:rsidRPr="004C6EB5">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color w:val="000000" w:themeColor="text1"/>
          <w:sz w:val="24"/>
          <w:szCs w:val="24"/>
        </w:rPr>
        <w:t>en lo sucesivo el</w:t>
      </w:r>
      <w:r w:rsidRPr="004C6EB5">
        <w:rPr>
          <w:rFonts w:ascii="Palatino Linotype" w:eastAsia="Palatino Linotype" w:hAnsi="Palatino Linotype" w:cs="Palatino Linotype"/>
          <w:b/>
          <w:color w:val="000000" w:themeColor="text1"/>
          <w:sz w:val="24"/>
          <w:szCs w:val="24"/>
        </w:rPr>
        <w:t xml:space="preserve"> SUJETO OBLIGADO, </w:t>
      </w:r>
      <w:r w:rsidRPr="004C6EB5">
        <w:rPr>
          <w:rFonts w:ascii="Palatino Linotype" w:eastAsia="Palatino Linotype" w:hAnsi="Palatino Linotype" w:cs="Palatino Linotype"/>
          <w:color w:val="000000" w:themeColor="text1"/>
          <w:sz w:val="24"/>
          <w:szCs w:val="24"/>
        </w:rPr>
        <w:t>se procede a dictar la presente resolución, con base en los siguientes:</w:t>
      </w:r>
    </w:p>
    <w:p w:rsidR="007E1ADE" w:rsidRPr="004C6EB5" w:rsidRDefault="007E1ADE" w:rsidP="004C6EB5">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sz w:val="24"/>
          <w:szCs w:val="24"/>
        </w:rPr>
      </w:pPr>
    </w:p>
    <w:p w:rsidR="00C06690" w:rsidRDefault="00C06690" w:rsidP="004C6EB5">
      <w:pPr>
        <w:pStyle w:val="Ttulo1"/>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4C6EB5">
        <w:rPr>
          <w:rFonts w:ascii="Palatino Linotype" w:eastAsia="Palatino Linotype" w:hAnsi="Palatino Linotype" w:cs="Palatino Linotype"/>
          <w:b/>
          <w:color w:val="000000" w:themeColor="text1"/>
          <w:sz w:val="24"/>
          <w:szCs w:val="24"/>
        </w:rPr>
        <w:t>A</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N</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T</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E</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C</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E</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D</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E</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N</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T</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E</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S</w:t>
      </w:r>
    </w:p>
    <w:p w:rsidR="007E1ADE" w:rsidRPr="007E1ADE" w:rsidRDefault="007E1ADE" w:rsidP="007E1ADE">
      <w:pPr>
        <w:rPr>
          <w:rFonts w:eastAsia="Palatino Linotype"/>
        </w:rPr>
      </w:pPr>
    </w:p>
    <w:p w:rsidR="00C06690" w:rsidRPr="004C6EB5" w:rsidRDefault="00C06690" w:rsidP="004C6EB5">
      <w:pPr>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El </w:t>
      </w:r>
      <w:r w:rsidRPr="004C6EB5">
        <w:rPr>
          <w:rFonts w:ascii="Palatino Linotype" w:eastAsia="Palatino Linotype" w:hAnsi="Palatino Linotype" w:cs="Palatino Linotype"/>
          <w:b/>
          <w:color w:val="000000" w:themeColor="text1"/>
          <w:sz w:val="24"/>
          <w:szCs w:val="24"/>
        </w:rPr>
        <w:t>dieciocho de febrero de dos mil veinticinco,</w:t>
      </w:r>
      <w:r w:rsidRPr="004C6EB5">
        <w:rPr>
          <w:rFonts w:ascii="Palatino Linotype" w:eastAsia="Palatino Linotype" w:hAnsi="Palatino Linotype" w:cs="Palatino Linotype"/>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 xml:space="preserve">EL RECURRENTE </w:t>
      </w:r>
      <w:r w:rsidRPr="004C6EB5">
        <w:rPr>
          <w:rFonts w:ascii="Palatino Linotype" w:eastAsia="Palatino Linotype" w:hAnsi="Palatino Linotype" w:cs="Palatino Linotype"/>
          <w:color w:val="000000" w:themeColor="text1"/>
          <w:sz w:val="24"/>
          <w:szCs w:val="24"/>
        </w:rPr>
        <w:t>presentó</w:t>
      </w:r>
      <w:r w:rsidRPr="004C6EB5">
        <w:rPr>
          <w:rFonts w:ascii="Palatino Linotype" w:eastAsia="Palatino Linotype" w:hAnsi="Palatino Linotype" w:cs="Palatino Linotype"/>
          <w:b/>
          <w:color w:val="000000" w:themeColor="text1"/>
          <w:sz w:val="24"/>
          <w:szCs w:val="24"/>
        </w:rPr>
        <w:t>,</w:t>
      </w:r>
      <w:r w:rsidRPr="004C6EB5">
        <w:rPr>
          <w:rFonts w:ascii="Palatino Linotype" w:eastAsia="Palatino Linotype" w:hAnsi="Palatino Linotype" w:cs="Palatino Linotype"/>
          <w:color w:val="000000" w:themeColor="text1"/>
          <w:sz w:val="24"/>
          <w:szCs w:val="24"/>
        </w:rPr>
        <w:t xml:space="preserve"> ante el </w:t>
      </w:r>
      <w:r w:rsidRPr="004C6EB5">
        <w:rPr>
          <w:rFonts w:ascii="Palatino Linotype" w:eastAsia="Palatino Linotype" w:hAnsi="Palatino Linotype" w:cs="Palatino Linotype"/>
          <w:b/>
          <w:color w:val="000000" w:themeColor="text1"/>
          <w:sz w:val="24"/>
          <w:szCs w:val="24"/>
        </w:rPr>
        <w:t>SUJETO OBLIGADO</w:t>
      </w:r>
      <w:r w:rsidRPr="004C6EB5">
        <w:rPr>
          <w:rFonts w:ascii="Palatino Linotype" w:eastAsia="Palatino Linotype" w:hAnsi="Palatino Linotype" w:cs="Palatino Linotype"/>
          <w:color w:val="000000" w:themeColor="text1"/>
          <w:sz w:val="24"/>
          <w:szCs w:val="24"/>
        </w:rPr>
        <w:t xml:space="preserve"> vía Sistema de Acceso a la Información Mexiquense (</w:t>
      </w:r>
      <w:r w:rsidRPr="004C6EB5">
        <w:rPr>
          <w:rFonts w:ascii="Palatino Linotype" w:eastAsia="Palatino Linotype" w:hAnsi="Palatino Linotype" w:cs="Palatino Linotype"/>
          <w:b/>
          <w:color w:val="000000" w:themeColor="text1"/>
          <w:sz w:val="24"/>
          <w:szCs w:val="24"/>
        </w:rPr>
        <w:t>SAIMEX)</w:t>
      </w:r>
      <w:r w:rsidRPr="004C6EB5">
        <w:rPr>
          <w:rFonts w:ascii="Palatino Linotype" w:eastAsia="Palatino Linotype" w:hAnsi="Palatino Linotype" w:cs="Palatino Linotype"/>
          <w:color w:val="000000" w:themeColor="text1"/>
          <w:sz w:val="24"/>
          <w:szCs w:val="24"/>
        </w:rPr>
        <w:t xml:space="preserve">, la solicitud de información pública registrada con el número </w:t>
      </w:r>
      <w:r w:rsidRPr="004C6EB5">
        <w:rPr>
          <w:rFonts w:ascii="Palatino Linotype" w:eastAsia="Palatino Linotype" w:hAnsi="Palatino Linotype" w:cs="Palatino Linotype"/>
          <w:b/>
          <w:bCs/>
          <w:color w:val="000000" w:themeColor="text1"/>
          <w:sz w:val="24"/>
          <w:szCs w:val="24"/>
        </w:rPr>
        <w:t>00063/VACHASO/IP/2025</w:t>
      </w:r>
      <w:r w:rsidRPr="004C6EB5">
        <w:rPr>
          <w:rFonts w:ascii="Palatino Linotype" w:eastAsia="Palatino Linotype" w:hAnsi="Palatino Linotype" w:cs="Palatino Linotype"/>
          <w:b/>
          <w:color w:val="000000" w:themeColor="text1"/>
          <w:sz w:val="24"/>
          <w:szCs w:val="24"/>
        </w:rPr>
        <w:t xml:space="preserve">, </w:t>
      </w:r>
      <w:r w:rsidR="007E1ADE">
        <w:rPr>
          <w:rFonts w:ascii="Palatino Linotype" w:eastAsia="Palatino Linotype" w:hAnsi="Palatino Linotype" w:cs="Palatino Linotype"/>
          <w:color w:val="000000" w:themeColor="text1"/>
          <w:sz w:val="24"/>
          <w:szCs w:val="24"/>
        </w:rPr>
        <w:t>en la que</w:t>
      </w:r>
      <w:r w:rsidRPr="004C6EB5">
        <w:rPr>
          <w:rFonts w:ascii="Palatino Linotype" w:eastAsia="Palatino Linotype" w:hAnsi="Palatino Linotype" w:cs="Palatino Linotype"/>
          <w:color w:val="000000" w:themeColor="text1"/>
          <w:sz w:val="24"/>
          <w:szCs w:val="24"/>
        </w:rPr>
        <w:t xml:space="preserve"> solicitó lo siguiente:</w:t>
      </w:r>
    </w:p>
    <w:p w:rsidR="00C06690" w:rsidRPr="004C6EB5" w:rsidRDefault="00C06690"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line="276"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i/>
          <w:color w:val="000000" w:themeColor="text1"/>
          <w:sz w:val="24"/>
          <w:szCs w:val="24"/>
        </w:rPr>
        <w:t>“solicito cedula profesional, curriculum en el servicio publico, curriculum escolar del contralor municipal, recibos de nomina de las 2 quincenas de enero y dela primera quincena de febrero del año 2025, y todos los recibos de nomina del año 2024. así mismo quisiera saber si radica en el municipio.” (Sic)</w:t>
      </w:r>
    </w:p>
    <w:p w:rsidR="00C06690" w:rsidRPr="004C6EB5" w:rsidRDefault="00C06690" w:rsidP="004C6EB5">
      <w:pPr>
        <w:pBdr>
          <w:top w:val="nil"/>
          <w:left w:val="nil"/>
          <w:bottom w:val="nil"/>
          <w:right w:val="nil"/>
          <w:between w:val="nil"/>
        </w:pBdr>
        <w:jc w:val="both"/>
        <w:rPr>
          <w:rFonts w:ascii="Palatino Linotype" w:eastAsia="Palatino Linotype" w:hAnsi="Palatino Linotype" w:cs="Palatino Linotype"/>
          <w:color w:val="000000" w:themeColor="text1"/>
          <w:sz w:val="24"/>
          <w:szCs w:val="24"/>
        </w:rPr>
      </w:pPr>
    </w:p>
    <w:p w:rsidR="00C06690" w:rsidRPr="004C6EB5" w:rsidRDefault="00C06690" w:rsidP="004C6EB5">
      <w:pPr>
        <w:jc w:val="both"/>
        <w:rPr>
          <w:rFonts w:ascii="Palatino Linotype" w:eastAsia="Palatino Linotype" w:hAnsi="Palatino Linotype" w:cs="Palatino Linotype"/>
          <w:i/>
          <w:color w:val="000000" w:themeColor="text1"/>
          <w:sz w:val="24"/>
          <w:szCs w:val="24"/>
        </w:rPr>
      </w:pPr>
    </w:p>
    <w:p w:rsidR="00C06690" w:rsidRPr="004C6EB5"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Señaló como modalidad de entrega de la información a través de la Plataforma Nacional, misma que se encuentra vinculada al SAIMEX</w:t>
      </w:r>
      <w:r w:rsidRPr="004C6EB5">
        <w:rPr>
          <w:rFonts w:ascii="Palatino Linotype" w:eastAsia="Palatino Linotype" w:hAnsi="Palatino Linotype" w:cs="Palatino Linotype"/>
          <w:b/>
          <w:color w:val="000000" w:themeColor="text1"/>
          <w:sz w:val="24"/>
          <w:szCs w:val="24"/>
        </w:rPr>
        <w:t>.</w:t>
      </w:r>
    </w:p>
    <w:p w:rsidR="00C06690" w:rsidRPr="004C6EB5"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El</w:t>
      </w:r>
      <w:r w:rsidRPr="004C6EB5">
        <w:rPr>
          <w:rFonts w:ascii="Palatino Linotype" w:eastAsia="Palatino Linotype" w:hAnsi="Palatino Linotype" w:cs="Palatino Linotype"/>
          <w:b/>
          <w:color w:val="000000" w:themeColor="text1"/>
          <w:sz w:val="24"/>
          <w:szCs w:val="24"/>
        </w:rPr>
        <w:t xml:space="preserve"> diecinueve de febrero de dos mil veinticinco</w:t>
      </w:r>
      <w:r w:rsidRPr="004C6EB5">
        <w:rPr>
          <w:rFonts w:ascii="Palatino Linotype" w:eastAsia="Palatino Linotype" w:hAnsi="Palatino Linotype" w:cs="Palatino Linotype"/>
          <w:color w:val="000000" w:themeColor="text1"/>
          <w:sz w:val="24"/>
          <w:szCs w:val="24"/>
        </w:rPr>
        <w:t xml:space="preserve">, se realizó un requerimiento de información al servidor público habilitado. </w:t>
      </w:r>
    </w:p>
    <w:p w:rsidR="00C06690" w:rsidRPr="004C6EB5" w:rsidRDefault="00C06690"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El Sujeto Obligado no emitió respuesta a la solicitud.</w:t>
      </w:r>
    </w:p>
    <w:p w:rsidR="00C06690" w:rsidRPr="004C6EB5" w:rsidRDefault="00C06690" w:rsidP="004C6EB5">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bookmarkStart w:id="1" w:name="_heading=h.30j0zll" w:colFirst="0" w:colLast="0"/>
      <w:bookmarkEnd w:id="1"/>
      <w:r w:rsidRPr="004C6EB5">
        <w:rPr>
          <w:rFonts w:ascii="Palatino Linotype" w:eastAsia="Palatino Linotype" w:hAnsi="Palatino Linotype" w:cs="Palatino Linotype"/>
          <w:color w:val="000000" w:themeColor="text1"/>
          <w:sz w:val="24"/>
          <w:szCs w:val="24"/>
        </w:rPr>
        <w:t xml:space="preserve">El </w:t>
      </w:r>
      <w:r w:rsidRPr="004C6EB5">
        <w:rPr>
          <w:rFonts w:ascii="Palatino Linotype" w:eastAsia="Palatino Linotype" w:hAnsi="Palatino Linotype" w:cs="Palatino Linotype"/>
          <w:b/>
          <w:color w:val="000000" w:themeColor="text1"/>
          <w:sz w:val="24"/>
          <w:szCs w:val="24"/>
        </w:rPr>
        <w:t>treinta de marzo de dos mil veinticinco</w:t>
      </w:r>
      <w:r w:rsidRPr="004C6EB5">
        <w:rPr>
          <w:rFonts w:ascii="Palatino Linotype" w:eastAsia="Palatino Linotype" w:hAnsi="Palatino Linotype" w:cs="Palatino Linotype"/>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EL RECURRENTE</w:t>
      </w:r>
      <w:r w:rsidRPr="004C6EB5">
        <w:rPr>
          <w:rFonts w:ascii="Palatino Linotype" w:eastAsia="Palatino Linotype" w:hAnsi="Palatino Linotype" w:cs="Palatino Linotype"/>
          <w:color w:val="000000" w:themeColor="text1"/>
          <w:sz w:val="24"/>
          <w:szCs w:val="24"/>
        </w:rPr>
        <w:t xml:space="preserve"> interpuso el recurso de revisión, en contra de la falta de respuesta y, señaló como:</w:t>
      </w:r>
    </w:p>
    <w:p w:rsidR="00C06690" w:rsidRPr="004C6EB5" w:rsidRDefault="00C06690" w:rsidP="004C6EB5">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C06690" w:rsidRPr="007E1ADE" w:rsidRDefault="00C06690" w:rsidP="007E1ADE">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rPr>
      </w:pPr>
      <w:r w:rsidRPr="007E1ADE">
        <w:rPr>
          <w:rFonts w:ascii="Palatino Linotype" w:eastAsia="Palatino Linotype" w:hAnsi="Palatino Linotype" w:cs="Palatino Linotype"/>
          <w:b/>
          <w:color w:val="000000" w:themeColor="text1"/>
          <w:sz w:val="24"/>
        </w:rPr>
        <w:t xml:space="preserve">Acto impugnado: </w:t>
      </w:r>
      <w:r w:rsidRPr="007E1ADE">
        <w:rPr>
          <w:rFonts w:ascii="Palatino Linotype" w:eastAsia="Palatino Linotype" w:hAnsi="Palatino Linotype" w:cs="Palatino Linotype"/>
          <w:i/>
          <w:color w:val="000000" w:themeColor="text1"/>
          <w:sz w:val="24"/>
        </w:rPr>
        <w:t>“La no respuesta a mi solicitud de información” (sic) y;</w:t>
      </w:r>
    </w:p>
    <w:p w:rsidR="00C06690" w:rsidRPr="004C6EB5" w:rsidRDefault="00C06690" w:rsidP="004C6EB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C06690" w:rsidRPr="007E1ADE" w:rsidRDefault="00C06690" w:rsidP="007E1ADE">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rPr>
      </w:pPr>
      <w:r w:rsidRPr="007E1ADE">
        <w:rPr>
          <w:rFonts w:ascii="Palatino Linotype" w:eastAsia="Palatino Linotype" w:hAnsi="Palatino Linotype" w:cs="Palatino Linotype"/>
          <w:b/>
          <w:color w:val="000000" w:themeColor="text1"/>
          <w:sz w:val="24"/>
        </w:rPr>
        <w:t>Razones o Motivos de Inconformidad: “</w:t>
      </w:r>
      <w:r w:rsidRPr="007E1ADE">
        <w:rPr>
          <w:rFonts w:ascii="Palatino Linotype" w:eastAsia="Palatino Linotype" w:hAnsi="Palatino Linotype" w:cs="Palatino Linotype"/>
          <w:i/>
          <w:color w:val="000000" w:themeColor="text1"/>
          <w:sz w:val="24"/>
        </w:rPr>
        <w:t>Mi solicitud de información la realice el 18 de febrero pasaron los 15 días hábiles que marca la Ley de Transparencia y mi respuesta tendría que ser el 12 de marzo han pasado 26 días hábiles y no dan respuesta. (30 de marzo de 2025). Exijo respuesta a mi solicitud de información o porque la negatividad a proporcionarla.” (sic)</w:t>
      </w:r>
    </w:p>
    <w:p w:rsidR="00C06690" w:rsidRPr="004C6EB5" w:rsidRDefault="00C06690"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4C6EB5">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4C6EB5">
        <w:rPr>
          <w:rFonts w:ascii="Palatino Linotype" w:eastAsia="Palatino Linotype" w:hAnsi="Palatino Linotype" w:cs="Palatino Linotype"/>
          <w:color w:val="000000" w:themeColor="text1"/>
          <w:sz w:val="24"/>
          <w:szCs w:val="24"/>
        </w:rPr>
        <w:t xml:space="preserve">se turnó a la </w:t>
      </w:r>
      <w:r w:rsidRPr="004C6EB5">
        <w:rPr>
          <w:rFonts w:ascii="Palatino Linotype" w:eastAsia="Palatino Linotype" w:hAnsi="Palatino Linotype" w:cs="Palatino Linotype"/>
          <w:b/>
          <w:color w:val="000000" w:themeColor="text1"/>
          <w:sz w:val="24"/>
          <w:szCs w:val="24"/>
        </w:rPr>
        <w:t xml:space="preserve">Comisionada María del Rosario Mejía Ayala, </w:t>
      </w:r>
      <w:r w:rsidR="007E1ADE">
        <w:rPr>
          <w:rFonts w:ascii="Palatino Linotype" w:eastAsia="Palatino Linotype" w:hAnsi="Palatino Linotype" w:cs="Palatino Linotype"/>
          <w:color w:val="000000" w:themeColor="text1"/>
          <w:sz w:val="24"/>
          <w:szCs w:val="24"/>
        </w:rPr>
        <w:t>para</w:t>
      </w:r>
      <w:r w:rsidRPr="004C6EB5">
        <w:rPr>
          <w:rFonts w:ascii="Palatino Linotype" w:eastAsia="Palatino Linotype" w:hAnsi="Palatino Linotype" w:cs="Palatino Linotype"/>
          <w:color w:val="000000" w:themeColor="text1"/>
          <w:sz w:val="24"/>
          <w:szCs w:val="24"/>
        </w:rPr>
        <w:t xml:space="preserve"> su análisis.</w:t>
      </w:r>
    </w:p>
    <w:p w:rsidR="00C06690" w:rsidRPr="004C6EB5" w:rsidRDefault="00C06690"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color w:val="000000" w:themeColor="text1"/>
          <w:sz w:val="24"/>
          <w:szCs w:val="24"/>
        </w:rPr>
        <w:t>La Comisionada Ponente con fundamento en lo dispuesto por el artículo 185 fracción II de la ley de la materia, a través del acuerdo de admisión del</w:t>
      </w:r>
      <w:r w:rsidRPr="004C6EB5">
        <w:rPr>
          <w:rFonts w:ascii="Palatino Linotype" w:eastAsia="Palatino Linotype" w:hAnsi="Palatino Linotype" w:cs="Palatino Linotype"/>
          <w:b/>
          <w:color w:val="000000" w:themeColor="text1"/>
          <w:sz w:val="24"/>
          <w:szCs w:val="24"/>
        </w:rPr>
        <w:t xml:space="preserve"> primero de abril de dos mil veinticinco</w:t>
      </w:r>
      <w:r w:rsidRPr="004C6EB5">
        <w:rPr>
          <w:rFonts w:ascii="Palatino Linotype" w:eastAsia="Palatino Linotype" w:hAnsi="Palatino Linotype" w:cs="Palatino Linotype"/>
          <w:color w:val="000000" w:themeColor="text1"/>
          <w:sz w:val="24"/>
          <w:szCs w:val="24"/>
        </w:rPr>
        <w:t xml:space="preserve">, puso a disposición de las partes el expediente electrónico vía </w:t>
      </w:r>
      <w:r w:rsidRPr="004C6EB5">
        <w:rPr>
          <w:rFonts w:ascii="Palatino Linotype" w:eastAsia="Palatino Linotype" w:hAnsi="Palatino Linotype" w:cs="Palatino Linotype"/>
          <w:b/>
          <w:color w:val="000000" w:themeColor="text1"/>
          <w:sz w:val="24"/>
          <w:szCs w:val="24"/>
        </w:rPr>
        <w:t xml:space="preserve">SAIMEX </w:t>
      </w:r>
      <w:r w:rsidRPr="004C6EB5">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w:t>
      </w:r>
      <w:r w:rsidRPr="004C6EB5">
        <w:rPr>
          <w:rFonts w:ascii="Palatino Linotype" w:eastAsia="Palatino Linotype" w:hAnsi="Palatino Linotype" w:cs="Palatino Linotype"/>
          <w:color w:val="000000" w:themeColor="text1"/>
          <w:sz w:val="24"/>
          <w:szCs w:val="24"/>
        </w:rPr>
        <w:lastRenderedPageBreak/>
        <w:t xml:space="preserve">pruebas y alegatos según corresponda al caso concreto, de esta forma para que el </w:t>
      </w:r>
      <w:r w:rsidRPr="004C6EB5">
        <w:rPr>
          <w:rFonts w:ascii="Palatino Linotype" w:eastAsia="Palatino Linotype" w:hAnsi="Palatino Linotype" w:cs="Palatino Linotype"/>
          <w:b/>
          <w:color w:val="000000" w:themeColor="text1"/>
          <w:sz w:val="24"/>
          <w:szCs w:val="24"/>
        </w:rPr>
        <w:t>SUJETO OBLIGADO</w:t>
      </w:r>
      <w:r w:rsidRPr="004C6EB5">
        <w:rPr>
          <w:rFonts w:ascii="Palatino Linotype" w:eastAsia="Palatino Linotype" w:hAnsi="Palatino Linotype" w:cs="Palatino Linotype"/>
          <w:color w:val="000000" w:themeColor="text1"/>
          <w:sz w:val="24"/>
          <w:szCs w:val="24"/>
        </w:rPr>
        <w:t xml:space="preserve"> presentara el informe justificado procedente.</w:t>
      </w:r>
    </w:p>
    <w:p w:rsidR="00C06690" w:rsidRPr="004C6EB5" w:rsidRDefault="00C06690" w:rsidP="004C6EB5">
      <w:pPr>
        <w:numPr>
          <w:ilvl w:val="0"/>
          <w:numId w:val="1"/>
        </w:numPr>
        <w:tabs>
          <w:tab w:val="left" w:pos="284"/>
        </w:tabs>
        <w:spacing w:before="240" w:line="360" w:lineRule="auto"/>
        <w:ind w:left="0" w:firstLine="0"/>
        <w:jc w:val="both"/>
        <w:rPr>
          <w:rFonts w:ascii="Palatino Linotype" w:eastAsia="Palatino Linotype" w:hAnsi="Palatino Linotype" w:cs="Palatino Linotype"/>
          <w:b/>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De las constancias que integran el expediente electrónico, se advierte que el Recurrente no realizó manifestaciones, por su parte, el Sujeto Obligado entregó informe justificado el </w:t>
      </w:r>
      <w:r w:rsidRPr="004C6EB5">
        <w:rPr>
          <w:rFonts w:ascii="Palatino Linotype" w:eastAsia="Palatino Linotype" w:hAnsi="Palatino Linotype" w:cs="Palatino Linotype"/>
          <w:b/>
          <w:color w:val="000000" w:themeColor="text1"/>
          <w:sz w:val="24"/>
          <w:szCs w:val="24"/>
        </w:rPr>
        <w:t>tres de abril de dos mil veinticinco</w:t>
      </w:r>
      <w:r w:rsidRPr="004C6EB5">
        <w:rPr>
          <w:rFonts w:ascii="Palatino Linotype" w:eastAsia="Palatino Linotype" w:hAnsi="Palatino Linotype" w:cs="Palatino Linotype"/>
          <w:color w:val="000000" w:themeColor="text1"/>
          <w:sz w:val="24"/>
          <w:szCs w:val="24"/>
        </w:rPr>
        <w:t>,</w:t>
      </w:r>
      <w:r w:rsidR="00854323" w:rsidRPr="004C6EB5">
        <w:rPr>
          <w:rFonts w:ascii="Palatino Linotype" w:eastAsia="Palatino Linotype" w:hAnsi="Palatino Linotype" w:cs="Palatino Linotype"/>
          <w:color w:val="000000" w:themeColor="text1"/>
          <w:sz w:val="24"/>
          <w:szCs w:val="24"/>
        </w:rPr>
        <w:t xml:space="preserve"> sin embargo, también se advierte que los documentos fueron anexados en el apartado de manifestaciones del Recurrente, sin embargo, se solicitó al área de Informática del Instituto para que fueran anexados en el apartado correspondiente a las manifestaciones del Sujeto Obligado, asimismo,</w:t>
      </w:r>
      <w:r w:rsidRPr="004C6EB5">
        <w:rPr>
          <w:rFonts w:ascii="Palatino Linotype" w:eastAsia="Palatino Linotype" w:hAnsi="Palatino Linotype" w:cs="Palatino Linotype"/>
          <w:color w:val="000000" w:themeColor="text1"/>
          <w:sz w:val="24"/>
          <w:szCs w:val="24"/>
        </w:rPr>
        <w:t xml:space="preserve"> se puso a la vista del recurrente </w:t>
      </w:r>
      <w:r w:rsidRPr="004C6EB5">
        <w:rPr>
          <w:rFonts w:ascii="Palatino Linotype" w:eastAsia="Palatino Linotype" w:hAnsi="Palatino Linotype" w:cs="Palatino Linotype"/>
          <w:b/>
          <w:color w:val="000000" w:themeColor="text1"/>
          <w:sz w:val="24"/>
          <w:szCs w:val="24"/>
        </w:rPr>
        <w:t>dieciocho de septiembre del mismo año</w:t>
      </w:r>
      <w:r w:rsidRPr="004C6EB5">
        <w:rPr>
          <w:rFonts w:ascii="Palatino Linotype" w:eastAsia="Palatino Linotype" w:hAnsi="Palatino Linotype" w:cs="Palatino Linotype"/>
          <w:color w:val="000000" w:themeColor="text1"/>
          <w:sz w:val="24"/>
          <w:szCs w:val="24"/>
        </w:rPr>
        <w:t>, y que consta de los archivos que se describen enseguida:</w:t>
      </w:r>
    </w:p>
    <w:p w:rsidR="00854323" w:rsidRPr="004C6EB5" w:rsidRDefault="00854323" w:rsidP="004C6EB5">
      <w:pPr>
        <w:tabs>
          <w:tab w:val="left" w:pos="284"/>
        </w:tabs>
        <w:spacing w:before="240" w:line="360" w:lineRule="auto"/>
        <w:jc w:val="center"/>
        <w:rPr>
          <w:rFonts w:ascii="Palatino Linotype" w:eastAsia="Palatino Linotype" w:hAnsi="Palatino Linotype" w:cs="Palatino Linotype"/>
          <w:b/>
          <w:color w:val="000000" w:themeColor="text1"/>
          <w:sz w:val="24"/>
          <w:szCs w:val="24"/>
        </w:rPr>
      </w:pPr>
      <w:r w:rsidRPr="004C6EB5">
        <w:rPr>
          <w:rFonts w:ascii="Palatino Linotype" w:eastAsia="Palatino Linotype" w:hAnsi="Palatino Linotype" w:cs="Palatino Linotype"/>
          <w:b/>
          <w:noProof/>
          <w:color w:val="000000" w:themeColor="text1"/>
          <w:sz w:val="24"/>
          <w:szCs w:val="24"/>
          <w:lang w:eastAsia="es-MX"/>
        </w:rPr>
        <w:drawing>
          <wp:inline distT="0" distB="0" distL="0" distR="0" wp14:anchorId="0A7D134B" wp14:editId="7D33BA8B">
            <wp:extent cx="5018981" cy="2087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27699" cy="2091507"/>
                    </a:xfrm>
                    <a:prstGeom prst="rect">
                      <a:avLst/>
                    </a:prstGeom>
                  </pic:spPr>
                </pic:pic>
              </a:graphicData>
            </a:graphic>
          </wp:inline>
        </w:drawing>
      </w:r>
    </w:p>
    <w:p w:rsidR="00C06690" w:rsidRPr="004C6EB5" w:rsidRDefault="00D43D21" w:rsidP="004C6EB5">
      <w:pPr>
        <w:pStyle w:val="Prrafodelista"/>
        <w:numPr>
          <w:ilvl w:val="0"/>
          <w:numId w:val="3"/>
        </w:numPr>
        <w:tabs>
          <w:tab w:val="left" w:pos="284"/>
        </w:tabs>
        <w:spacing w:before="240" w:line="360" w:lineRule="auto"/>
        <w:ind w:left="0" w:firstLine="0"/>
        <w:jc w:val="both"/>
        <w:rPr>
          <w:rFonts w:ascii="Palatino Linotype" w:hAnsi="Palatino Linotype"/>
          <w:color w:val="000000" w:themeColor="text1"/>
          <w:sz w:val="24"/>
        </w:rPr>
      </w:pPr>
      <w:hyperlink r:id="rId8" w:history="1">
        <w:r w:rsidR="00C06690" w:rsidRPr="004C6EB5">
          <w:rPr>
            <w:rStyle w:val="Hipervnculo"/>
            <w:rFonts w:ascii="Palatino Linotype" w:eastAsiaTheme="majorEastAsia" w:hAnsi="Palatino Linotype" w:cs="Arial"/>
            <w:b/>
            <w:bCs/>
            <w:color w:val="000000" w:themeColor="text1"/>
            <w:sz w:val="24"/>
          </w:rPr>
          <w:t>Recibo 2da quincena enero 2025 Contralor.pdf</w:t>
        </w:r>
      </w:hyperlink>
      <w:r w:rsidR="00C06690" w:rsidRPr="004C6EB5">
        <w:rPr>
          <w:rFonts w:ascii="Palatino Linotype" w:hAnsi="Palatino Linotype"/>
          <w:color w:val="000000" w:themeColor="text1"/>
          <w:sz w:val="24"/>
        </w:rPr>
        <w:t xml:space="preserve">: </w:t>
      </w:r>
      <w:r w:rsidR="005C045A" w:rsidRPr="004C6EB5">
        <w:rPr>
          <w:rFonts w:ascii="Palatino Linotype" w:hAnsi="Palatino Linotype"/>
          <w:color w:val="000000" w:themeColor="text1"/>
          <w:sz w:val="24"/>
        </w:rPr>
        <w:t>recibo de nómina de la segunda quincena de enero de 2025.</w:t>
      </w:r>
    </w:p>
    <w:p w:rsidR="00C06690" w:rsidRPr="004C6EB5" w:rsidRDefault="00D43D21" w:rsidP="004C6EB5">
      <w:pPr>
        <w:pStyle w:val="Prrafodelista"/>
        <w:numPr>
          <w:ilvl w:val="0"/>
          <w:numId w:val="3"/>
        </w:numPr>
        <w:tabs>
          <w:tab w:val="left" w:pos="284"/>
        </w:tabs>
        <w:spacing w:before="240" w:line="360" w:lineRule="auto"/>
        <w:ind w:left="0" w:firstLine="0"/>
        <w:jc w:val="both"/>
        <w:rPr>
          <w:rFonts w:ascii="Palatino Linotype" w:hAnsi="Palatino Linotype"/>
          <w:color w:val="000000" w:themeColor="text1"/>
          <w:sz w:val="24"/>
        </w:rPr>
      </w:pPr>
      <w:hyperlink r:id="rId9" w:history="1">
        <w:r w:rsidR="00C06690" w:rsidRPr="004C6EB5">
          <w:rPr>
            <w:rStyle w:val="Hipervnculo"/>
            <w:rFonts w:ascii="Palatino Linotype" w:eastAsiaTheme="majorEastAsia" w:hAnsi="Palatino Linotype" w:cs="Arial"/>
            <w:b/>
            <w:bCs/>
            <w:color w:val="000000" w:themeColor="text1"/>
            <w:sz w:val="24"/>
          </w:rPr>
          <w:t>ACTA DE LA OCTAVA SESION EXTRAORDINARIA.pdf</w:t>
        </w:r>
      </w:hyperlink>
      <w:r w:rsidR="00C06690" w:rsidRPr="004C6EB5">
        <w:rPr>
          <w:rFonts w:ascii="Palatino Linotype" w:hAnsi="Palatino Linotype"/>
          <w:color w:val="000000" w:themeColor="text1"/>
          <w:sz w:val="24"/>
        </w:rPr>
        <w:t xml:space="preserve">: </w:t>
      </w:r>
      <w:r w:rsidR="005C045A" w:rsidRPr="004C6EB5">
        <w:rPr>
          <w:rFonts w:ascii="Palatino Linotype" w:hAnsi="Palatino Linotype"/>
          <w:color w:val="000000" w:themeColor="text1"/>
          <w:sz w:val="24"/>
        </w:rPr>
        <w:t xml:space="preserve">acta de la octava sesión extraordinaria del comité de transparencia. </w:t>
      </w:r>
    </w:p>
    <w:p w:rsidR="00C06690" w:rsidRPr="004C6EB5" w:rsidRDefault="00D43D21" w:rsidP="004C6EB5">
      <w:pPr>
        <w:pStyle w:val="Prrafodelista"/>
        <w:numPr>
          <w:ilvl w:val="0"/>
          <w:numId w:val="3"/>
        </w:numPr>
        <w:tabs>
          <w:tab w:val="left" w:pos="284"/>
        </w:tabs>
        <w:spacing w:before="240" w:line="360" w:lineRule="auto"/>
        <w:ind w:left="0" w:firstLine="0"/>
        <w:jc w:val="both"/>
        <w:rPr>
          <w:rFonts w:ascii="Palatino Linotype" w:hAnsi="Palatino Linotype"/>
          <w:color w:val="000000" w:themeColor="text1"/>
          <w:sz w:val="24"/>
        </w:rPr>
      </w:pPr>
      <w:hyperlink r:id="rId10" w:history="1">
        <w:r w:rsidR="00C06690" w:rsidRPr="004C6EB5">
          <w:rPr>
            <w:rStyle w:val="Hipervnculo"/>
            <w:rFonts w:ascii="Palatino Linotype" w:eastAsiaTheme="majorEastAsia" w:hAnsi="Palatino Linotype" w:cs="Arial"/>
            <w:b/>
            <w:bCs/>
            <w:color w:val="000000" w:themeColor="text1"/>
            <w:sz w:val="24"/>
          </w:rPr>
          <w:t>Curriculum Vitae Contralor.pdf</w:t>
        </w:r>
      </w:hyperlink>
      <w:r w:rsidR="00C06690" w:rsidRPr="004C6EB5">
        <w:rPr>
          <w:rFonts w:ascii="Palatino Linotype" w:hAnsi="Palatino Linotype"/>
          <w:color w:val="000000" w:themeColor="text1"/>
          <w:sz w:val="24"/>
        </w:rPr>
        <w:t>:</w:t>
      </w:r>
      <w:r w:rsidR="005C045A" w:rsidRPr="004C6EB5">
        <w:rPr>
          <w:rFonts w:ascii="Palatino Linotype" w:hAnsi="Palatino Linotype"/>
          <w:color w:val="000000" w:themeColor="text1"/>
          <w:sz w:val="24"/>
        </w:rPr>
        <w:t xml:space="preserve"> currículum del servidor público. </w:t>
      </w:r>
    </w:p>
    <w:p w:rsidR="00C06690" w:rsidRPr="004C6EB5" w:rsidRDefault="00D43D21" w:rsidP="004C6EB5">
      <w:pPr>
        <w:pStyle w:val="Prrafodelista"/>
        <w:numPr>
          <w:ilvl w:val="0"/>
          <w:numId w:val="3"/>
        </w:numPr>
        <w:tabs>
          <w:tab w:val="left" w:pos="284"/>
        </w:tabs>
        <w:spacing w:before="240" w:line="360" w:lineRule="auto"/>
        <w:ind w:left="0" w:firstLine="0"/>
        <w:jc w:val="both"/>
        <w:rPr>
          <w:rFonts w:ascii="Palatino Linotype" w:hAnsi="Palatino Linotype"/>
          <w:color w:val="000000" w:themeColor="text1"/>
          <w:sz w:val="24"/>
        </w:rPr>
      </w:pPr>
      <w:hyperlink r:id="rId11" w:history="1">
        <w:r w:rsidR="00C06690" w:rsidRPr="004C6EB5">
          <w:rPr>
            <w:rStyle w:val="Hipervnculo"/>
            <w:rFonts w:ascii="Palatino Linotype" w:eastAsiaTheme="majorEastAsia" w:hAnsi="Palatino Linotype" w:cs="Arial"/>
            <w:b/>
            <w:bCs/>
            <w:color w:val="000000" w:themeColor="text1"/>
            <w:sz w:val="24"/>
          </w:rPr>
          <w:t>Recibos 2024 Contralor.pdf</w:t>
        </w:r>
      </w:hyperlink>
      <w:r w:rsidR="00C06690" w:rsidRPr="004C6EB5">
        <w:rPr>
          <w:rFonts w:ascii="Palatino Linotype" w:hAnsi="Palatino Linotype"/>
          <w:color w:val="000000" w:themeColor="text1"/>
          <w:sz w:val="24"/>
        </w:rPr>
        <w:t>:</w:t>
      </w:r>
      <w:r w:rsidR="005C045A" w:rsidRPr="004C6EB5">
        <w:rPr>
          <w:rFonts w:ascii="Palatino Linotype" w:hAnsi="Palatino Linotype"/>
          <w:color w:val="000000" w:themeColor="text1"/>
          <w:sz w:val="24"/>
        </w:rPr>
        <w:t xml:space="preserve"> recibos de la primer y segunda quincena de enero, primera y segunda quincena de febrero, </w:t>
      </w:r>
      <w:r w:rsidR="00FF7F2B" w:rsidRPr="004C6EB5">
        <w:rPr>
          <w:rFonts w:ascii="Palatino Linotype" w:hAnsi="Palatino Linotype"/>
          <w:color w:val="000000" w:themeColor="text1"/>
          <w:sz w:val="24"/>
        </w:rPr>
        <w:t xml:space="preserve">primera y segunda quincena de marzo, primera y segunda quincena de abril, primera y segunda quincena de mayo, primera y segunda quincena de junio, primera quincena de julio, primera y segunda quincena de agosto, primera y segunda quincena de septiembre, primera y segunda quincena d octubre, primera y segunda quincena de noviembre de 2024 y  primera quincena de enero y primera quincena de febrero de 2025. </w:t>
      </w:r>
    </w:p>
    <w:p w:rsidR="00C06690" w:rsidRPr="004C6EB5" w:rsidRDefault="00D43D21" w:rsidP="004C6EB5">
      <w:pPr>
        <w:pStyle w:val="Prrafodelista"/>
        <w:numPr>
          <w:ilvl w:val="0"/>
          <w:numId w:val="3"/>
        </w:numPr>
        <w:tabs>
          <w:tab w:val="left" w:pos="284"/>
        </w:tabs>
        <w:spacing w:before="240" w:line="360" w:lineRule="auto"/>
        <w:ind w:left="0" w:firstLine="0"/>
        <w:jc w:val="both"/>
        <w:rPr>
          <w:rFonts w:ascii="Palatino Linotype" w:hAnsi="Palatino Linotype"/>
          <w:color w:val="000000" w:themeColor="text1"/>
          <w:sz w:val="24"/>
        </w:rPr>
      </w:pPr>
      <w:hyperlink r:id="rId12" w:history="1">
        <w:r w:rsidR="00C06690" w:rsidRPr="004C6EB5">
          <w:rPr>
            <w:rStyle w:val="Hipervnculo"/>
            <w:rFonts w:ascii="Palatino Linotype" w:eastAsiaTheme="majorEastAsia" w:hAnsi="Palatino Linotype" w:cs="Arial"/>
            <w:b/>
            <w:bCs/>
            <w:color w:val="000000" w:themeColor="text1"/>
            <w:sz w:val="24"/>
          </w:rPr>
          <w:t>Recibo 1ra. Quincena febrero de 2025 Contralor.pdf</w:t>
        </w:r>
      </w:hyperlink>
      <w:r w:rsidR="00C06690" w:rsidRPr="004C6EB5">
        <w:rPr>
          <w:rFonts w:ascii="Palatino Linotype" w:hAnsi="Palatino Linotype"/>
          <w:color w:val="000000" w:themeColor="text1"/>
          <w:sz w:val="24"/>
        </w:rPr>
        <w:t>:</w:t>
      </w:r>
      <w:r w:rsidR="004A610A" w:rsidRPr="004C6EB5">
        <w:rPr>
          <w:rFonts w:ascii="Palatino Linotype" w:hAnsi="Palatino Linotype"/>
          <w:color w:val="000000" w:themeColor="text1"/>
          <w:sz w:val="24"/>
        </w:rPr>
        <w:t xml:space="preserve"> recibo de nómina de la primera quincena de febrero de 2025. </w:t>
      </w:r>
    </w:p>
    <w:p w:rsidR="004A610A" w:rsidRPr="004C6EB5" w:rsidRDefault="00D43D21" w:rsidP="004C6EB5">
      <w:pPr>
        <w:pStyle w:val="Prrafodelista"/>
        <w:numPr>
          <w:ilvl w:val="0"/>
          <w:numId w:val="3"/>
        </w:numPr>
        <w:tabs>
          <w:tab w:val="left" w:pos="284"/>
        </w:tabs>
        <w:spacing w:before="240" w:line="360" w:lineRule="auto"/>
        <w:ind w:left="0" w:firstLine="0"/>
        <w:jc w:val="both"/>
        <w:rPr>
          <w:rFonts w:ascii="Palatino Linotype" w:eastAsia="Palatino Linotype" w:hAnsi="Palatino Linotype" w:cs="Palatino Linotype"/>
          <w:b/>
          <w:color w:val="000000" w:themeColor="text1"/>
          <w:sz w:val="24"/>
        </w:rPr>
      </w:pPr>
      <w:hyperlink r:id="rId13" w:history="1">
        <w:r w:rsidR="00C06690" w:rsidRPr="004C6EB5">
          <w:rPr>
            <w:rStyle w:val="Hipervnculo"/>
            <w:rFonts w:ascii="Palatino Linotype" w:eastAsiaTheme="majorEastAsia" w:hAnsi="Palatino Linotype" w:cs="Arial"/>
            <w:b/>
            <w:bCs/>
            <w:color w:val="000000" w:themeColor="text1"/>
            <w:sz w:val="24"/>
          </w:rPr>
          <w:t>CTM-VACHASO-A-00051-2025 Y CTM-VACHASO-A-00052-2025.pdf</w:t>
        </w:r>
      </w:hyperlink>
      <w:r w:rsidR="00C06690" w:rsidRPr="004C6EB5">
        <w:rPr>
          <w:rFonts w:ascii="Palatino Linotype" w:hAnsi="Palatino Linotype"/>
          <w:color w:val="000000" w:themeColor="text1"/>
          <w:sz w:val="24"/>
        </w:rPr>
        <w:t>:</w:t>
      </w:r>
      <w:r w:rsidR="004A610A" w:rsidRPr="004C6EB5">
        <w:rPr>
          <w:rFonts w:ascii="Palatino Linotype" w:hAnsi="Palatino Linotype"/>
          <w:color w:val="000000" w:themeColor="text1"/>
          <w:sz w:val="24"/>
        </w:rPr>
        <w:t xml:space="preserve"> acuerdo emitido por el comité de transparencia en el que se sustenta la versión pública de la información remitida a través de informe justificado. </w:t>
      </w:r>
    </w:p>
    <w:p w:rsidR="00C06690" w:rsidRPr="004C6EB5" w:rsidRDefault="00D43D21" w:rsidP="004C6EB5">
      <w:pPr>
        <w:pStyle w:val="Prrafodelista"/>
        <w:numPr>
          <w:ilvl w:val="0"/>
          <w:numId w:val="3"/>
        </w:numPr>
        <w:tabs>
          <w:tab w:val="left" w:pos="284"/>
        </w:tabs>
        <w:spacing w:before="240" w:line="360" w:lineRule="auto"/>
        <w:ind w:left="0" w:firstLine="0"/>
        <w:jc w:val="both"/>
        <w:rPr>
          <w:rFonts w:ascii="Palatino Linotype" w:eastAsia="Palatino Linotype" w:hAnsi="Palatino Linotype" w:cs="Palatino Linotype"/>
          <w:b/>
          <w:color w:val="000000" w:themeColor="text1"/>
          <w:sz w:val="24"/>
        </w:rPr>
      </w:pPr>
      <w:hyperlink r:id="rId14" w:history="1">
        <w:r w:rsidR="00C06690" w:rsidRPr="004C6EB5">
          <w:rPr>
            <w:rStyle w:val="Hipervnculo"/>
            <w:rFonts w:ascii="Palatino Linotype" w:eastAsiaTheme="majorEastAsia" w:hAnsi="Palatino Linotype" w:cs="Arial"/>
            <w:b/>
            <w:bCs/>
            <w:color w:val="000000" w:themeColor="text1"/>
            <w:sz w:val="24"/>
          </w:rPr>
          <w:t>Recibo de la 1ra. quincena enero 2025 Contralor.pdf</w:t>
        </w:r>
      </w:hyperlink>
      <w:r w:rsidR="00C06690" w:rsidRPr="004C6EB5">
        <w:rPr>
          <w:rFonts w:ascii="Palatino Linotype" w:hAnsi="Palatino Linotype"/>
          <w:color w:val="000000" w:themeColor="text1"/>
          <w:sz w:val="24"/>
        </w:rPr>
        <w:t xml:space="preserve">: </w:t>
      </w:r>
      <w:r w:rsidR="004A610A" w:rsidRPr="004C6EB5">
        <w:rPr>
          <w:rFonts w:ascii="Palatino Linotype" w:hAnsi="Palatino Linotype"/>
          <w:color w:val="000000" w:themeColor="text1"/>
          <w:sz w:val="24"/>
        </w:rPr>
        <w:t xml:space="preserve">recibo de nómina de la primera quincena de enero de 2025. </w:t>
      </w:r>
    </w:p>
    <w:p w:rsidR="004A610A" w:rsidRPr="004C6EB5" w:rsidRDefault="004A610A" w:rsidP="004C6EB5">
      <w:pPr>
        <w:pStyle w:val="Prrafodelista"/>
        <w:tabs>
          <w:tab w:val="left" w:pos="284"/>
        </w:tabs>
        <w:spacing w:before="240" w:line="360" w:lineRule="auto"/>
        <w:ind w:left="0"/>
        <w:jc w:val="both"/>
        <w:rPr>
          <w:rFonts w:ascii="Palatino Linotype" w:eastAsia="Palatino Linotype" w:hAnsi="Palatino Linotype" w:cs="Palatino Linotype"/>
          <w:b/>
          <w:color w:val="000000" w:themeColor="text1"/>
          <w:sz w:val="24"/>
        </w:rPr>
      </w:pPr>
    </w:p>
    <w:p w:rsidR="00C06690" w:rsidRPr="004C6EB5"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El</w:t>
      </w:r>
      <w:r w:rsidRPr="004C6EB5">
        <w:rPr>
          <w:rFonts w:ascii="Palatino Linotype" w:eastAsia="Palatino Linotype" w:hAnsi="Palatino Linotype" w:cs="Palatino Linotype"/>
          <w:b/>
          <w:color w:val="000000" w:themeColor="text1"/>
          <w:sz w:val="24"/>
          <w:szCs w:val="24"/>
        </w:rPr>
        <w:t xml:space="preserve"> cuatro de agosto de dos mil veinticinco</w:t>
      </w:r>
      <w:r w:rsidRPr="004C6EB5">
        <w:rPr>
          <w:rFonts w:ascii="Palatino Linotype" w:eastAsia="Palatino Linotype" w:hAnsi="Palatino Linotype" w:cs="Palatino Linotype"/>
          <w:color w:val="000000" w:themeColor="text1"/>
          <w:sz w:val="24"/>
          <w:szCs w:val="24"/>
        </w:rPr>
        <w:t>, se notificó el acuerdo mediante el cual se amplió el plazo para emitir resolución.</w:t>
      </w:r>
    </w:p>
    <w:p w:rsidR="00C06690" w:rsidRPr="004C6EB5" w:rsidRDefault="00C06690"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06690"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El </w:t>
      </w:r>
      <w:r w:rsidRPr="004C6EB5">
        <w:rPr>
          <w:rFonts w:ascii="Palatino Linotype" w:eastAsia="Palatino Linotype" w:hAnsi="Palatino Linotype" w:cs="Palatino Linotype"/>
          <w:b/>
          <w:color w:val="000000" w:themeColor="text1"/>
          <w:sz w:val="24"/>
          <w:szCs w:val="24"/>
        </w:rPr>
        <w:t>veinticuatro de septiembre de dos mil veinticinco</w:t>
      </w:r>
      <w:r w:rsidRPr="004C6EB5">
        <w:rPr>
          <w:rFonts w:ascii="Palatino Linotype" w:eastAsia="Palatino Linotype" w:hAnsi="Palatino Linotype" w:cs="Palatino Linotype"/>
          <w:color w:val="000000" w:themeColor="text1"/>
          <w:sz w:val="24"/>
          <w:szCs w:val="24"/>
        </w:rPr>
        <w:t>, la Comisionada Ponente notificó el acuerdo mediante el cual se decretó el cierre de instrucción. Por lo que turnó la presente resolución para su aprobación y</w:t>
      </w:r>
      <w:r w:rsidR="007E1ADE">
        <w:rPr>
          <w:rFonts w:ascii="Palatino Linotype" w:eastAsia="Palatino Linotype" w:hAnsi="Palatino Linotype" w:cs="Palatino Linotype"/>
          <w:color w:val="000000" w:themeColor="text1"/>
          <w:sz w:val="24"/>
          <w:szCs w:val="24"/>
        </w:rPr>
        <w:t xml:space="preserve"> --------------------------------------------------------------------------------</w:t>
      </w:r>
    </w:p>
    <w:p w:rsidR="007E1ADE" w:rsidRDefault="007E1ADE" w:rsidP="007E1ADE">
      <w:pPr>
        <w:pStyle w:val="Prrafodelista"/>
        <w:rPr>
          <w:rFonts w:ascii="Palatino Linotype" w:eastAsia="Palatino Linotype" w:hAnsi="Palatino Linotype" w:cs="Palatino Linotype"/>
          <w:color w:val="000000" w:themeColor="text1"/>
          <w:sz w:val="24"/>
        </w:rPr>
      </w:pPr>
    </w:p>
    <w:p w:rsidR="007E1ADE" w:rsidRPr="004C6EB5" w:rsidRDefault="007E1ADE" w:rsidP="007E1A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pStyle w:val="Ttulo1"/>
        <w:jc w:val="center"/>
        <w:rPr>
          <w:rFonts w:ascii="Palatino Linotype" w:eastAsia="Palatino Linotype" w:hAnsi="Palatino Linotype" w:cs="Palatino Linotype"/>
          <w:b/>
          <w:color w:val="000000" w:themeColor="text1"/>
          <w:sz w:val="24"/>
          <w:szCs w:val="24"/>
        </w:rPr>
      </w:pPr>
      <w:bookmarkStart w:id="2" w:name="_heading=h.1fob9te" w:colFirst="0" w:colLast="0"/>
      <w:bookmarkEnd w:id="2"/>
      <w:r w:rsidRPr="004C6EB5">
        <w:rPr>
          <w:rFonts w:ascii="Palatino Linotype" w:eastAsia="Palatino Linotype" w:hAnsi="Palatino Linotype" w:cs="Palatino Linotype"/>
          <w:b/>
          <w:color w:val="000000" w:themeColor="text1"/>
          <w:sz w:val="24"/>
          <w:szCs w:val="24"/>
        </w:rPr>
        <w:lastRenderedPageBreak/>
        <w:t>C</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O</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N</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S</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I</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D</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E</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R</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A</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N</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D</w:t>
      </w:r>
      <w:r w:rsidR="007E1ADE">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b/>
          <w:color w:val="000000" w:themeColor="text1"/>
          <w:sz w:val="24"/>
          <w:szCs w:val="24"/>
        </w:rPr>
        <w:t xml:space="preserve">O </w:t>
      </w:r>
    </w:p>
    <w:p w:rsidR="00C06690" w:rsidRPr="004C6EB5" w:rsidRDefault="00C06690" w:rsidP="004C6EB5">
      <w:pPr>
        <w:rPr>
          <w:rFonts w:ascii="Palatino Linotype" w:eastAsia="Palatino Linotype" w:hAnsi="Palatino Linotype"/>
          <w:color w:val="000000" w:themeColor="text1"/>
          <w:sz w:val="24"/>
          <w:szCs w:val="24"/>
        </w:rPr>
      </w:pPr>
    </w:p>
    <w:p w:rsidR="00C06690" w:rsidRPr="004C6EB5" w:rsidRDefault="00C06690" w:rsidP="004C6EB5">
      <w:pPr>
        <w:pStyle w:val="Ttulo2"/>
        <w:rPr>
          <w:rFonts w:ascii="Palatino Linotype" w:eastAsia="Palatino Linotype" w:hAnsi="Palatino Linotype" w:cs="Palatino Linotype"/>
          <w:b/>
          <w:color w:val="000000" w:themeColor="text1"/>
          <w:sz w:val="24"/>
          <w:szCs w:val="24"/>
        </w:rPr>
      </w:pPr>
      <w:bookmarkStart w:id="3" w:name="_heading=h.3znysh7" w:colFirst="0" w:colLast="0"/>
      <w:bookmarkEnd w:id="3"/>
      <w:r w:rsidRPr="004C6EB5">
        <w:rPr>
          <w:rFonts w:ascii="Palatino Linotype" w:eastAsia="Palatino Linotype" w:hAnsi="Palatino Linotype" w:cs="Palatino Linotype"/>
          <w:b/>
          <w:color w:val="000000" w:themeColor="text1"/>
          <w:sz w:val="24"/>
          <w:szCs w:val="24"/>
        </w:rPr>
        <w:t>PRIMERO. De la competencia</w:t>
      </w:r>
    </w:p>
    <w:p w:rsidR="00C06690" w:rsidRPr="004C6EB5" w:rsidRDefault="00C06690" w:rsidP="004C6EB5">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hAnsi="Palatino Linotype"/>
          <w:color w:val="000000" w:themeColor="text1"/>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C6EB5">
        <w:rPr>
          <w:rFonts w:ascii="Palatino Linotype" w:hAnsi="Palatino Linotype"/>
          <w:b/>
          <w:color w:val="000000" w:themeColor="text1"/>
          <w:sz w:val="24"/>
          <w:szCs w:val="24"/>
        </w:rPr>
        <w:t>Constitución Política de los Estados Unidos Mexicanos</w:t>
      </w:r>
      <w:r w:rsidRPr="004C6EB5">
        <w:rPr>
          <w:rFonts w:ascii="Palatino Linotype" w:hAnsi="Palatino Linotype"/>
          <w:color w:val="000000" w:themeColor="text1"/>
          <w:sz w:val="24"/>
          <w:szCs w:val="24"/>
        </w:rPr>
        <w:t xml:space="preserve">; 5, párrafos trigésimo séptimo, trigésimo octavo y trigésimo noveno, fracciones IV y V, de la </w:t>
      </w:r>
      <w:r w:rsidRPr="004C6EB5">
        <w:rPr>
          <w:rFonts w:ascii="Palatino Linotype" w:hAnsi="Palatino Linotype"/>
          <w:b/>
          <w:color w:val="000000" w:themeColor="text1"/>
          <w:sz w:val="24"/>
          <w:szCs w:val="24"/>
        </w:rPr>
        <w:t>Constitución Política del Estado Libre y Soberano de México</w:t>
      </w:r>
      <w:r w:rsidRPr="004C6EB5">
        <w:rPr>
          <w:rFonts w:ascii="Palatino Linotype" w:hAnsi="Palatino Linotype"/>
          <w:color w:val="000000" w:themeColor="text1"/>
          <w:sz w:val="24"/>
          <w:szCs w:val="24"/>
        </w:rPr>
        <w:t xml:space="preserve">; artículos 1, 2 fracción II, 13, 29, 36 fracciones I y II, 176, 178, 179, 181 párrafo tercero y 185 de la </w:t>
      </w:r>
      <w:r w:rsidRPr="004C6EB5">
        <w:rPr>
          <w:rFonts w:ascii="Palatino Linotype" w:hAnsi="Palatino Linotype"/>
          <w:b/>
          <w:color w:val="000000" w:themeColor="text1"/>
          <w:sz w:val="24"/>
          <w:szCs w:val="24"/>
        </w:rPr>
        <w:t>Ley de Transparencia y Acceso a la Información Pública del Estado de México y Municipios</w:t>
      </w:r>
      <w:r w:rsidRPr="004C6EB5">
        <w:rPr>
          <w:rFonts w:ascii="Palatino Linotype" w:hAnsi="Palatino Linotype"/>
          <w:color w:val="000000" w:themeColor="text1"/>
          <w:sz w:val="24"/>
          <w:szCs w:val="24"/>
        </w:rPr>
        <w:t xml:space="preserve">; y 7, 9 fracciones I y XXIII, y 11 del </w:t>
      </w:r>
      <w:r w:rsidRPr="004C6EB5">
        <w:rPr>
          <w:rFonts w:ascii="Palatino Linotype" w:hAnsi="Palatino Linotype"/>
          <w:b/>
          <w:color w:val="000000" w:themeColor="text1"/>
          <w:sz w:val="24"/>
          <w:szCs w:val="24"/>
        </w:rPr>
        <w:t>Reglamento Interior del Instituto de Transparencia, Acceso a la Información Pública y Protección de Datos Personales del Estado de México y Municipios.</w:t>
      </w:r>
    </w:p>
    <w:p w:rsidR="00C06690" w:rsidRPr="004C6EB5" w:rsidRDefault="00C06690" w:rsidP="004C6EB5">
      <w:pPr>
        <w:pStyle w:val="Ttulo2"/>
        <w:rPr>
          <w:rFonts w:ascii="Palatino Linotype" w:eastAsia="Palatino Linotype" w:hAnsi="Palatino Linotype" w:cs="Palatino Linotype"/>
          <w:b/>
          <w:color w:val="000000" w:themeColor="text1"/>
          <w:sz w:val="24"/>
          <w:szCs w:val="24"/>
        </w:rPr>
      </w:pPr>
      <w:bookmarkStart w:id="4" w:name="_heading=h.2et92p0" w:colFirst="0" w:colLast="0"/>
      <w:bookmarkEnd w:id="4"/>
      <w:r w:rsidRPr="004C6EB5">
        <w:rPr>
          <w:rFonts w:ascii="Palatino Linotype" w:eastAsia="Palatino Linotype" w:hAnsi="Palatino Linotype" w:cs="Palatino Linotype"/>
          <w:b/>
          <w:color w:val="000000" w:themeColor="text1"/>
          <w:sz w:val="24"/>
          <w:szCs w:val="24"/>
        </w:rPr>
        <w:t>SEGUNDO. De la oportunidad y procedencia.</w:t>
      </w:r>
    </w:p>
    <w:p w:rsidR="00C06690" w:rsidRPr="004C6EB5" w:rsidRDefault="00C06690" w:rsidP="004C6EB5">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4C6EB5">
        <w:rPr>
          <w:rFonts w:ascii="Palatino Linotype" w:eastAsia="Palatino Linotype" w:hAnsi="Palatino Linotype" w:cs="Palatino Linotype"/>
          <w:b/>
          <w:color w:val="000000" w:themeColor="text1"/>
          <w:sz w:val="24"/>
          <w:szCs w:val="24"/>
        </w:rPr>
        <w:t>SUJETO OBLIGADO</w:t>
      </w:r>
      <w:r w:rsidRPr="004C6EB5">
        <w:rPr>
          <w:rFonts w:ascii="Palatino Linotype" w:eastAsia="Palatino Linotype" w:hAnsi="Palatino Linotype" w:cs="Palatino Linotype"/>
          <w:color w:val="000000" w:themeColor="text1"/>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06690" w:rsidRPr="004C6EB5" w:rsidRDefault="00C06690" w:rsidP="004C6EB5">
      <w:pPr>
        <w:tabs>
          <w:tab w:val="left" w:pos="284"/>
        </w:tabs>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Por ende, se constituye la figura jurídica de la </w:t>
      </w:r>
      <w:r w:rsidRPr="004C6EB5">
        <w:rPr>
          <w:rFonts w:ascii="Palatino Linotype" w:eastAsia="Palatino Linotype" w:hAnsi="Palatino Linotype" w:cs="Palatino Linotype"/>
          <w:i/>
          <w:color w:val="000000" w:themeColor="text1"/>
          <w:sz w:val="24"/>
          <w:szCs w:val="24"/>
        </w:rPr>
        <w:t>negativa ficta</w:t>
      </w:r>
      <w:r w:rsidRPr="004C6EB5">
        <w:rPr>
          <w:rFonts w:ascii="Palatino Linotype" w:eastAsia="Palatino Linotype" w:hAnsi="Palatino Linotype" w:cs="Palatino Linotype"/>
          <w:color w:val="000000" w:themeColor="text1"/>
          <w:sz w:val="24"/>
          <w:szCs w:val="24"/>
        </w:rPr>
        <w:t xml:space="preserve">, cuya esencia es atribuir un efecto negativo al silencio de la autoridad administrativa frente a las instancias y solicitudes </w:t>
      </w:r>
      <w:r w:rsidRPr="004C6EB5">
        <w:rPr>
          <w:rFonts w:ascii="Palatino Linotype" w:eastAsia="Palatino Linotype" w:hAnsi="Palatino Linotype" w:cs="Palatino Linotype"/>
          <w:color w:val="000000" w:themeColor="text1"/>
          <w:sz w:val="24"/>
          <w:szCs w:val="24"/>
        </w:rPr>
        <w:lastRenderedPageBreak/>
        <w:t xml:space="preserve">que hagan los particulares, lo cual encuentra sustento en lo que establece el artículo </w:t>
      </w:r>
      <w:r w:rsidRPr="004C6EB5">
        <w:rPr>
          <w:rFonts w:ascii="Palatino Linotype" w:eastAsia="Palatino Linotype" w:hAnsi="Palatino Linotype" w:cs="Palatino Linotype"/>
          <w:b/>
          <w:color w:val="000000" w:themeColor="text1"/>
          <w:sz w:val="24"/>
          <w:szCs w:val="24"/>
        </w:rPr>
        <w:t>178</w:t>
      </w:r>
      <w:r w:rsidRPr="004C6EB5">
        <w:rPr>
          <w:rFonts w:ascii="Palatino Linotype" w:eastAsia="Palatino Linotype" w:hAnsi="Palatino Linotype" w:cs="Palatino Linotype"/>
          <w:color w:val="000000" w:themeColor="text1"/>
          <w:sz w:val="24"/>
          <w:szCs w:val="24"/>
        </w:rPr>
        <w:t xml:space="preserve"> segundo párrafo de </w:t>
      </w:r>
      <w:r w:rsidRPr="004C6EB5">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4C6EB5">
        <w:rPr>
          <w:rFonts w:ascii="Palatino Linotype" w:eastAsia="Palatino Linotype" w:hAnsi="Palatino Linotype" w:cs="Palatino Linotype"/>
          <w:color w:val="000000" w:themeColor="text1"/>
          <w:sz w:val="24"/>
          <w:szCs w:val="24"/>
        </w:rPr>
        <w:t xml:space="preserve">, que dispone; ante la falta de respuesta del </w:t>
      </w:r>
      <w:r w:rsidRPr="004C6EB5">
        <w:rPr>
          <w:rFonts w:ascii="Palatino Linotype" w:eastAsia="Palatino Linotype" w:hAnsi="Palatino Linotype" w:cs="Palatino Linotype"/>
          <w:b/>
          <w:color w:val="000000" w:themeColor="text1"/>
          <w:sz w:val="24"/>
          <w:szCs w:val="24"/>
        </w:rPr>
        <w:t>SUJETO OBLIGADO,</w:t>
      </w:r>
      <w:r w:rsidRPr="004C6EB5">
        <w:rPr>
          <w:rFonts w:ascii="Palatino Linotype" w:eastAsia="Palatino Linotype" w:hAnsi="Palatino Linotype" w:cs="Palatino Linotype"/>
          <w:color w:val="000000" w:themeColor="text1"/>
          <w:sz w:val="24"/>
          <w:szCs w:val="24"/>
        </w:rPr>
        <w:t xml:space="preserve"> dentro de los plazos establecidos en esta Ley, a una solicitud de acceso a la información pública, el recurso </w:t>
      </w:r>
      <w:r w:rsidRPr="004C6EB5">
        <w:rPr>
          <w:rFonts w:ascii="Palatino Linotype" w:eastAsia="Palatino Linotype" w:hAnsi="Palatino Linotype" w:cs="Palatino Linotype"/>
          <w:b/>
          <w:color w:val="000000" w:themeColor="text1"/>
          <w:sz w:val="24"/>
          <w:szCs w:val="24"/>
        </w:rPr>
        <w:t xml:space="preserve">podrá ser interpuesto en cualquier momento. </w:t>
      </w:r>
    </w:p>
    <w:p w:rsidR="00C06690" w:rsidRPr="004C6EB5" w:rsidRDefault="00C06690" w:rsidP="004C6EB5">
      <w:pPr>
        <w:tabs>
          <w:tab w:val="left" w:pos="284"/>
        </w:tabs>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Por lo que, tratándose de la </w:t>
      </w:r>
      <w:r w:rsidRPr="004C6EB5">
        <w:rPr>
          <w:rFonts w:ascii="Palatino Linotype" w:eastAsia="Palatino Linotype" w:hAnsi="Palatino Linotype" w:cs="Palatino Linotype"/>
          <w:i/>
          <w:color w:val="000000" w:themeColor="text1"/>
          <w:sz w:val="24"/>
          <w:szCs w:val="24"/>
        </w:rPr>
        <w:t>negativa ficta</w:t>
      </w:r>
      <w:r w:rsidRPr="004C6EB5">
        <w:rPr>
          <w:rFonts w:ascii="Palatino Linotype" w:eastAsia="Palatino Linotype" w:hAnsi="Palatino Linotype" w:cs="Palatino Linotype"/>
          <w:color w:val="000000" w:themeColor="text1"/>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C6EB5">
        <w:rPr>
          <w:rFonts w:ascii="Palatino Linotype" w:eastAsia="Palatino Linotype" w:hAnsi="Palatino Linotype" w:cs="Palatino Linotype"/>
          <w:i/>
          <w:color w:val="000000" w:themeColor="text1"/>
          <w:sz w:val="24"/>
          <w:szCs w:val="24"/>
        </w:rPr>
        <w:t>negativa ficta</w:t>
      </w:r>
      <w:r w:rsidRPr="004C6EB5">
        <w:rPr>
          <w:rFonts w:ascii="Palatino Linotype" w:eastAsia="Palatino Linotype" w:hAnsi="Palatino Linotype" w:cs="Palatino Linotype"/>
          <w:color w:val="000000" w:themeColor="text1"/>
          <w:sz w:val="24"/>
          <w:szCs w:val="24"/>
        </w:rPr>
        <w:t>, que señala:</w:t>
      </w:r>
    </w:p>
    <w:p w:rsidR="00C06690" w:rsidRPr="004C6EB5" w:rsidRDefault="00C06690" w:rsidP="004C6EB5">
      <w:pPr>
        <w:tabs>
          <w:tab w:val="left" w:pos="284"/>
          <w:tab w:val="left" w:pos="7655"/>
        </w:tabs>
        <w:spacing w:after="240" w:line="360" w:lineRule="auto"/>
        <w:jc w:val="center"/>
        <w:rPr>
          <w:rFonts w:ascii="Palatino Linotype" w:eastAsia="Palatino Linotype" w:hAnsi="Palatino Linotype" w:cs="Palatino Linotype"/>
          <w:b/>
          <w:color w:val="000000" w:themeColor="text1"/>
          <w:sz w:val="24"/>
          <w:szCs w:val="24"/>
        </w:rPr>
      </w:pPr>
      <w:r w:rsidRPr="004C6EB5">
        <w:rPr>
          <w:rFonts w:ascii="Palatino Linotype" w:eastAsia="Palatino Linotype" w:hAnsi="Palatino Linotype" w:cs="Palatino Linotype"/>
          <w:b/>
          <w:color w:val="000000" w:themeColor="text1"/>
          <w:sz w:val="24"/>
          <w:szCs w:val="24"/>
        </w:rPr>
        <w:t>Criterio 0001-15</w:t>
      </w:r>
    </w:p>
    <w:p w:rsidR="00C06690" w:rsidRPr="004C6EB5" w:rsidRDefault="00C06690" w:rsidP="004C6EB5">
      <w:pPr>
        <w:tabs>
          <w:tab w:val="left" w:pos="284"/>
          <w:tab w:val="left" w:pos="7655"/>
        </w:tabs>
        <w:spacing w:before="240" w:after="240" w:line="360"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b/>
          <w:i/>
          <w:color w:val="000000" w:themeColor="text1"/>
          <w:sz w:val="24"/>
          <w:szCs w:val="24"/>
        </w:rPr>
        <w:t>NEGATIVA FICTA. PLAZO PARA INTERPONER EL RECURSO DE REVISIÓN TRATÁNDOSE DE.</w:t>
      </w:r>
      <w:r w:rsidRPr="004C6EB5">
        <w:rPr>
          <w:rFonts w:ascii="Palatino Linotype" w:eastAsia="Palatino Linotype" w:hAnsi="Palatino Linotype" w:cs="Palatino Linotype"/>
          <w:i/>
          <w:color w:val="000000" w:themeColor="text1"/>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w:t>
      </w:r>
      <w:r w:rsidRPr="004C6EB5">
        <w:rPr>
          <w:rFonts w:ascii="Palatino Linotype" w:eastAsia="Palatino Linotype" w:hAnsi="Palatino Linotype" w:cs="Palatino Linotype"/>
          <w:i/>
          <w:color w:val="000000" w:themeColor="text1"/>
          <w:sz w:val="24"/>
          <w:szCs w:val="24"/>
        </w:rPr>
        <w:lastRenderedPageBreak/>
        <w:t>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06690" w:rsidRPr="004C6EB5" w:rsidRDefault="00C06690" w:rsidP="004C6EB5">
      <w:pPr>
        <w:numPr>
          <w:ilvl w:val="0"/>
          <w:numId w:val="1"/>
        </w:numPr>
        <w:tabs>
          <w:tab w:val="left" w:pos="284"/>
        </w:tabs>
        <w:spacing w:before="240"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Lo anterior, se explica porque la </w:t>
      </w:r>
      <w:r w:rsidRPr="004C6EB5">
        <w:rPr>
          <w:rFonts w:ascii="Palatino Linotype" w:eastAsia="Palatino Linotype" w:hAnsi="Palatino Linotype" w:cs="Palatino Linotype"/>
          <w:b/>
          <w:color w:val="000000" w:themeColor="text1"/>
          <w:sz w:val="24"/>
          <w:szCs w:val="24"/>
          <w:u w:val="single"/>
        </w:rPr>
        <w:t>posible ausencia</w:t>
      </w:r>
      <w:r w:rsidRPr="004C6EB5">
        <w:rPr>
          <w:rFonts w:ascii="Palatino Linotype" w:eastAsia="Palatino Linotype" w:hAnsi="Palatino Linotype" w:cs="Palatino Linotype"/>
          <w:color w:val="000000" w:themeColor="text1"/>
          <w:sz w:val="24"/>
          <w:szCs w:val="24"/>
        </w:rPr>
        <w:t xml:space="preserve"> de una respuesta en la solicitud constituye un acto que vulnera el derecho de manera continua y actualizable cada día en tanto, no se emita la respuesta a la que esté impuesto el </w:t>
      </w:r>
      <w:r w:rsidRPr="004C6EB5">
        <w:rPr>
          <w:rFonts w:ascii="Palatino Linotype" w:eastAsia="Palatino Linotype" w:hAnsi="Palatino Linotype" w:cs="Palatino Linotype"/>
          <w:b/>
          <w:color w:val="000000" w:themeColor="text1"/>
          <w:sz w:val="24"/>
          <w:szCs w:val="24"/>
        </w:rPr>
        <w:t>SUJETO OBLIGADO</w:t>
      </w:r>
      <w:r w:rsidRPr="004C6EB5">
        <w:rPr>
          <w:rFonts w:ascii="Palatino Linotype" w:eastAsia="Palatino Linotype" w:hAnsi="Palatino Linotype" w:cs="Palatino Linotype"/>
          <w:color w:val="000000" w:themeColor="text1"/>
          <w:sz w:val="24"/>
          <w:szCs w:val="24"/>
        </w:rPr>
        <w:t>.</w:t>
      </w:r>
    </w:p>
    <w:p w:rsidR="00C06690" w:rsidRPr="004C6EB5" w:rsidRDefault="00C06690" w:rsidP="004C6EB5">
      <w:pPr>
        <w:tabs>
          <w:tab w:val="left" w:pos="284"/>
        </w:tabs>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tabs>
          <w:tab w:val="left" w:pos="284"/>
        </w:tabs>
        <w:spacing w:after="240" w:line="360" w:lineRule="auto"/>
        <w:ind w:left="0" w:firstLine="0"/>
        <w:jc w:val="both"/>
        <w:rPr>
          <w:rFonts w:ascii="Palatino Linotype" w:eastAsia="Palatino Linotype" w:hAnsi="Palatino Linotype" w:cs="Palatino Linotype"/>
          <w:b/>
          <w:color w:val="000000" w:themeColor="text1"/>
          <w:sz w:val="24"/>
          <w:szCs w:val="24"/>
        </w:rPr>
      </w:pPr>
      <w:r w:rsidRPr="004C6EB5">
        <w:rPr>
          <w:rFonts w:ascii="Palatino Linotype" w:eastAsia="Palatino Linotype" w:hAnsi="Palatino Linotype" w:cs="Palatino Linotype"/>
          <w:color w:val="000000" w:themeColor="text1"/>
          <w:sz w:val="24"/>
          <w:szCs w:val="24"/>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06690" w:rsidRPr="004C6EB5" w:rsidRDefault="00C06690" w:rsidP="004C6EB5">
      <w:pPr>
        <w:pStyle w:val="Ttulo1"/>
        <w:rPr>
          <w:rFonts w:ascii="Palatino Linotype" w:eastAsia="Palatino Linotype" w:hAnsi="Palatino Linotype" w:cs="Palatino Linotype"/>
          <w:b/>
          <w:color w:val="000000" w:themeColor="text1"/>
          <w:sz w:val="24"/>
          <w:szCs w:val="24"/>
        </w:rPr>
      </w:pPr>
      <w:bookmarkStart w:id="5" w:name="_heading=h.tyjcwt" w:colFirst="0" w:colLast="0"/>
      <w:bookmarkEnd w:id="5"/>
      <w:r w:rsidRPr="004C6EB5">
        <w:rPr>
          <w:rFonts w:ascii="Palatino Linotype" w:eastAsia="Palatino Linotype" w:hAnsi="Palatino Linotype" w:cs="Palatino Linotype"/>
          <w:b/>
          <w:color w:val="000000" w:themeColor="text1"/>
          <w:sz w:val="24"/>
          <w:szCs w:val="24"/>
        </w:rPr>
        <w:t xml:space="preserve">TERCERO. Planteamiento de la Litis </w:t>
      </w:r>
    </w:p>
    <w:p w:rsidR="00D56DAE" w:rsidRPr="004C6EB5" w:rsidRDefault="004E19EC" w:rsidP="004C6EB5">
      <w:pPr>
        <w:numPr>
          <w:ilvl w:val="0"/>
          <w:numId w:val="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El recurrente solicitó del Contralor Municipal, cédula profesional, currículum vitae, recibos de nómina del 2024 y de la primera y segunda quincena de enero y la segunda quincena de febrero de 2025, así como su lugar de residencia. </w:t>
      </w:r>
    </w:p>
    <w:p w:rsidR="00D56DAE" w:rsidRPr="004C6EB5" w:rsidRDefault="00D56DAE" w:rsidP="004C6EB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C06690" w:rsidRPr="004C6EB5" w:rsidRDefault="00C06690" w:rsidP="004C6EB5">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color w:val="000000" w:themeColor="text1"/>
          <w:sz w:val="24"/>
          <w:szCs w:val="24"/>
        </w:rPr>
        <w:t>El Sujeto Obligado no entregó respuesta a la solicitud, motivo de inconformidad el recurrente.</w:t>
      </w:r>
    </w:p>
    <w:p w:rsidR="00C06690" w:rsidRPr="004C6EB5" w:rsidRDefault="00C06690" w:rsidP="004C6EB5">
      <w:pPr>
        <w:numPr>
          <w:ilvl w:val="0"/>
          <w:numId w:val="1"/>
        </w:numPr>
        <w:tabs>
          <w:tab w:val="left" w:pos="284"/>
        </w:tabs>
        <w:spacing w:before="240" w:after="240" w:line="360" w:lineRule="auto"/>
        <w:ind w:left="0" w:firstLine="0"/>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Por lo tanto, el presente recurso de revisión se circunscribe en determinar si se actualiza las causales de procedencia</w:t>
      </w:r>
      <w:r w:rsidRPr="004C6EB5">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color w:val="000000" w:themeColor="text1"/>
          <w:sz w:val="24"/>
          <w:szCs w:val="24"/>
        </w:rPr>
        <w:t xml:space="preserve">contenidas en el artículo 179 fracciones I y VII de la </w:t>
      </w:r>
      <w:r w:rsidRPr="004C6EB5">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4C6EB5">
        <w:rPr>
          <w:rFonts w:ascii="Palatino Linotype" w:eastAsia="Palatino Linotype" w:hAnsi="Palatino Linotype" w:cs="Palatino Linotype"/>
          <w:color w:val="000000" w:themeColor="text1"/>
          <w:sz w:val="24"/>
          <w:szCs w:val="24"/>
        </w:rPr>
        <w:t xml:space="preserve">, que refieren la negativa de la información solicitada y la falta de respuesta a una solicitud de acceso a la información. </w:t>
      </w:r>
    </w:p>
    <w:p w:rsidR="00C06690" w:rsidRPr="004C6EB5" w:rsidRDefault="00C06690" w:rsidP="004C6EB5">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4C6EB5">
        <w:rPr>
          <w:rFonts w:ascii="Palatino Linotype" w:eastAsia="Palatino Linotype" w:hAnsi="Palatino Linotype" w:cs="Palatino Linotype"/>
          <w:b/>
          <w:color w:val="000000" w:themeColor="text1"/>
          <w:sz w:val="24"/>
          <w:szCs w:val="24"/>
        </w:rPr>
        <w:t>CUARTO. Estudio y resolución del asunto</w:t>
      </w:r>
    </w:p>
    <w:p w:rsidR="00C06690" w:rsidRPr="004C6EB5" w:rsidRDefault="00C06690" w:rsidP="004C6EB5">
      <w:pPr>
        <w:numPr>
          <w:ilvl w:val="0"/>
          <w:numId w:val="1"/>
        </w:numP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C06690" w:rsidRPr="004C6EB5" w:rsidRDefault="00C06690" w:rsidP="004C6EB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D56DAE" w:rsidRPr="004C6EB5"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Recordemo</w:t>
      </w:r>
      <w:r w:rsidR="00D56DAE" w:rsidRPr="004C6EB5">
        <w:rPr>
          <w:rFonts w:ascii="Palatino Linotype" w:eastAsia="Palatino Linotype" w:hAnsi="Palatino Linotype" w:cs="Palatino Linotype"/>
          <w:color w:val="000000" w:themeColor="text1"/>
          <w:sz w:val="24"/>
          <w:szCs w:val="24"/>
        </w:rPr>
        <w:t xml:space="preserve">s que el Recurrente solicitó del Contralor Municipal, cédula profesional, currículum vitae, recibos de nómina del 2024 y de la primera y segunda quincena de enero y la segunda quincena de febrero de 2025, así como su lugar de residencia, sin embargo, el Sujeto Obligado no emitió respuesta a la solicitud de información. </w:t>
      </w:r>
    </w:p>
    <w:p w:rsidR="00D56DAE" w:rsidRPr="004C6EB5" w:rsidRDefault="00D56DAE"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Posteriormente, derivado de la falta de respuesta por parte del Sujeto Obligado, el Recurrente interpuso recurso de revisión por la negativa de la información. Ante ello, el Sujeto Obligado remitió informe justificado en aras de resarcir el derecho de acceso a la información del Recurrente.</w:t>
      </w:r>
    </w:p>
    <w:p w:rsidR="00C06690" w:rsidRPr="004C6EB5" w:rsidRDefault="00C06690"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MS Mincho" w:hAnsi="Palatino Linotype"/>
          <w:color w:val="000000" w:themeColor="text1"/>
          <w:sz w:val="24"/>
          <w:szCs w:val="24"/>
        </w:rPr>
        <w:t xml:space="preserve">Debemos mencionar que el acceso a la información es un derecho humano constitucional y convencionalmente reconocido y para tal efecto </w:t>
      </w:r>
      <w:r w:rsidRPr="004C6EB5">
        <w:rPr>
          <w:rFonts w:ascii="Palatino Linotype" w:eastAsia="Calibri" w:hAnsi="Palatino Linotype"/>
          <w:color w:val="000000" w:themeColor="text1"/>
          <w:sz w:val="24"/>
          <w:szCs w:val="24"/>
          <w:lang w:val="es-ES"/>
        </w:rPr>
        <w:t xml:space="preserve">el párrafo tercero del artículo </w:t>
      </w:r>
      <w:r w:rsidRPr="004C6EB5">
        <w:rPr>
          <w:rFonts w:ascii="Palatino Linotype" w:eastAsia="Calibri" w:hAnsi="Palatino Linotype"/>
          <w:color w:val="000000" w:themeColor="text1"/>
          <w:sz w:val="24"/>
          <w:szCs w:val="24"/>
          <w:lang w:val="es-ES"/>
        </w:rPr>
        <w:lastRenderedPageBreak/>
        <w:t xml:space="preserve">primero de la Constitución Política de los Estados Unidos Mexicanos establece que el deber de todas las autoridades, </w:t>
      </w:r>
      <w:r w:rsidRPr="004C6EB5">
        <w:rPr>
          <w:rFonts w:ascii="Palatino Linotype" w:eastAsia="Calibri" w:hAnsi="Palatino Linotype"/>
          <w:i/>
          <w:color w:val="000000" w:themeColor="text1"/>
          <w:sz w:val="24"/>
          <w:szCs w:val="24"/>
          <w:lang w:val="es-ES"/>
        </w:rPr>
        <w:t xml:space="preserve">en el ámbito de sus atribuciones, de promover, respetar, proteger y </w:t>
      </w:r>
      <w:r w:rsidRPr="004C6EB5">
        <w:rPr>
          <w:rFonts w:ascii="Palatino Linotype" w:eastAsia="Calibri" w:hAnsi="Palatino Linotype"/>
          <w:b/>
          <w:i/>
          <w:color w:val="000000" w:themeColor="text1"/>
          <w:sz w:val="24"/>
          <w:szCs w:val="24"/>
          <w:lang w:val="es-ES"/>
        </w:rPr>
        <w:t>garantizar</w:t>
      </w:r>
      <w:r w:rsidRPr="004C6EB5">
        <w:rPr>
          <w:rFonts w:ascii="Palatino Linotype" w:eastAsia="Calibri" w:hAnsi="Palatino Linotype"/>
          <w:i/>
          <w:color w:val="000000" w:themeColor="text1"/>
          <w:sz w:val="24"/>
          <w:szCs w:val="24"/>
          <w:lang w:val="es-ES"/>
        </w:rPr>
        <w:t xml:space="preserve"> los derechos humanos. </w:t>
      </w:r>
      <w:r w:rsidRPr="004C6EB5">
        <w:rPr>
          <w:rFonts w:ascii="Palatino Linotype" w:eastAsia="Calibri" w:hAnsi="Palatino Linotype"/>
          <w:b/>
          <w:i/>
          <w:color w:val="000000" w:themeColor="text1"/>
          <w:sz w:val="24"/>
          <w:szCs w:val="24"/>
          <w:lang w:val="es-ES"/>
        </w:rPr>
        <w:t>En cuanto al derecho de acceso a la información, la Ley de Transparencia y Acceso a la Información Pública del Estado de México y Municipios prevé establece que e</w:t>
      </w:r>
      <w:r w:rsidRPr="004C6EB5">
        <w:rPr>
          <w:rFonts w:ascii="Palatino Linotype" w:hAnsi="Palatino Linotype"/>
          <w:i/>
          <w:color w:val="000000" w:themeColor="text1"/>
          <w:sz w:val="24"/>
          <w:szCs w:val="24"/>
        </w:rPr>
        <w:t>l procedimiento de acceso a la información es la garantía primaria del derecho en cuestión y se rige por los principios de simplicidad, rapidez y gratuidad del procedimiento, auxilio y orientación a los particulares</w:t>
      </w:r>
      <w:r w:rsidRPr="004C6EB5">
        <w:rPr>
          <w:rStyle w:val="Refdenotaalpie"/>
          <w:rFonts w:ascii="Palatino Linotype" w:hAnsi="Palatino Linotype"/>
          <w:i/>
          <w:color w:val="000000" w:themeColor="text1"/>
          <w:sz w:val="24"/>
          <w:szCs w:val="24"/>
        </w:rPr>
        <w:footnoteReference w:id="1"/>
      </w:r>
      <w:r w:rsidRPr="004C6EB5">
        <w:rPr>
          <w:rFonts w:ascii="Palatino Linotype" w:hAnsi="Palatino Linotype"/>
          <w:i/>
          <w:color w:val="000000" w:themeColor="text1"/>
          <w:sz w:val="24"/>
          <w:szCs w:val="24"/>
        </w:rPr>
        <w:t xml:space="preserve">, </w:t>
      </w:r>
      <w:r w:rsidRPr="004C6EB5">
        <w:rPr>
          <w:rFonts w:ascii="Palatino Linotype" w:hAnsi="Palatino Linotype"/>
          <w:color w:val="000000" w:themeColor="text1"/>
          <w:sz w:val="24"/>
          <w:szCs w:val="24"/>
        </w:rPr>
        <w:t>asimismo establece</w:t>
      </w:r>
      <w:r w:rsidRPr="004C6EB5">
        <w:rPr>
          <w:rFonts w:ascii="Palatino Linotype" w:hAnsi="Palatino Linotype"/>
          <w:i/>
          <w:color w:val="000000" w:themeColor="text1"/>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06690" w:rsidRPr="004C6EB5" w:rsidRDefault="00C06690" w:rsidP="004C6EB5">
      <w:pPr>
        <w:pStyle w:val="Prrafodelista"/>
        <w:ind w:left="0"/>
        <w:rPr>
          <w:rFonts w:ascii="Palatino Linotype" w:eastAsia="Calibri" w:hAnsi="Palatino Linotype" w:cs="Arial"/>
          <w:color w:val="000000" w:themeColor="text1"/>
          <w:sz w:val="24"/>
        </w:rPr>
      </w:pPr>
    </w:p>
    <w:p w:rsidR="00C06690" w:rsidRPr="004C6EB5" w:rsidRDefault="00C06690" w:rsidP="004C6EB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4C6EB5">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C06690" w:rsidRPr="004C6EB5" w:rsidRDefault="00C06690" w:rsidP="004C6EB5">
      <w:pPr>
        <w:pStyle w:val="Prrafodelista"/>
        <w:ind w:left="0"/>
        <w:rPr>
          <w:rFonts w:ascii="Palatino Linotype" w:hAnsi="Palatino Linotype"/>
          <w:color w:val="000000" w:themeColor="text1"/>
          <w:sz w:val="24"/>
        </w:rPr>
      </w:pPr>
    </w:p>
    <w:p w:rsidR="00C06690" w:rsidRPr="004C6EB5" w:rsidRDefault="00C06690" w:rsidP="004C6EB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4C6EB5">
        <w:rPr>
          <w:rFonts w:ascii="Palatino Linotype" w:hAnsi="Palatino Linotype"/>
          <w:color w:val="000000" w:themeColor="text1"/>
          <w:sz w:val="24"/>
        </w:rPr>
        <w:lastRenderedPageBreak/>
        <w:t xml:space="preserve">Es así que, su obligación es </w:t>
      </w:r>
      <w:r w:rsidRPr="004C6EB5">
        <w:rPr>
          <w:rFonts w:ascii="Palatino Linotype" w:hAnsi="Palatino Linotype"/>
          <w:i/>
          <w:color w:val="000000" w:themeColor="text1"/>
          <w:sz w:val="24"/>
        </w:rPr>
        <w:t>realizar, con efectividad, los trámites internos necesarios para la atención de las solicitudes de información</w:t>
      </w:r>
      <w:r w:rsidRPr="004C6EB5">
        <w:rPr>
          <w:rStyle w:val="Refdenotaalpie"/>
          <w:rFonts w:ascii="Palatino Linotype" w:hAnsi="Palatino Linotype"/>
          <w:color w:val="000000" w:themeColor="text1"/>
          <w:sz w:val="24"/>
        </w:rPr>
        <w:footnoteReference w:id="2"/>
      </w:r>
      <w:r w:rsidRPr="004C6EB5">
        <w:rPr>
          <w:rFonts w:ascii="Palatino Linotype" w:hAnsi="Palatino Linotype"/>
          <w:color w:val="000000" w:themeColor="text1"/>
          <w:sz w:val="24"/>
        </w:rPr>
        <w:t>, es decir, deben otorgar respuestas concisas, contundentes y sobre todo que den la certeza de los actos que realizan.</w:t>
      </w:r>
    </w:p>
    <w:p w:rsidR="00C06690" w:rsidRPr="004C6EB5" w:rsidRDefault="00C06690" w:rsidP="004C6EB5">
      <w:pPr>
        <w:pStyle w:val="Prrafodelista"/>
        <w:ind w:left="0"/>
        <w:rPr>
          <w:rFonts w:ascii="Palatino Linotype" w:eastAsia="Calibri" w:hAnsi="Palatino Linotype" w:cs="Arial"/>
          <w:color w:val="000000" w:themeColor="text1"/>
          <w:sz w:val="24"/>
        </w:rPr>
      </w:pPr>
    </w:p>
    <w:p w:rsidR="00C06690" w:rsidRPr="004C6EB5" w:rsidRDefault="00C06690" w:rsidP="004C6EB5">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4C6EB5">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4C6EB5">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b/>
          <w:i/>
          <w:iCs/>
          <w:color w:val="000000" w:themeColor="text1"/>
          <w:sz w:val="24"/>
          <w:szCs w:val="24"/>
        </w:rPr>
        <w:t xml:space="preserve">Artículo 50. </w:t>
      </w:r>
      <w:r w:rsidRPr="004C6EB5">
        <w:rPr>
          <w:rFonts w:ascii="Palatino Linotype" w:eastAsia="Palatino Linotype" w:hAnsi="Palatino Linotype" w:cs="Palatino Linotype"/>
          <w:i/>
          <w:iCs/>
          <w:color w:val="000000" w:themeColor="text1"/>
          <w:sz w:val="24"/>
          <w:szCs w:val="24"/>
        </w:rPr>
        <w:t>Los sujetos obligados contarán con un área responsable para la atención de las solicitudes de información, a la que se le denominará Unidad de Transparencia.</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b/>
          <w:i/>
          <w:iCs/>
          <w:color w:val="000000" w:themeColor="text1"/>
          <w:sz w:val="24"/>
          <w:szCs w:val="24"/>
        </w:rPr>
        <w:t xml:space="preserve">Artículo 53. </w:t>
      </w:r>
      <w:r w:rsidRPr="004C6EB5">
        <w:rPr>
          <w:rFonts w:ascii="Palatino Linotype" w:eastAsia="Palatino Linotype" w:hAnsi="Palatino Linotype" w:cs="Palatino Linotype"/>
          <w:i/>
          <w:iCs/>
          <w:color w:val="000000" w:themeColor="text1"/>
          <w:sz w:val="24"/>
          <w:szCs w:val="24"/>
        </w:rPr>
        <w:t>Las Unidades de Transparencia tendrán las siguientes funciones:</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i/>
          <w:iCs/>
          <w:color w:val="000000" w:themeColor="text1"/>
          <w:sz w:val="24"/>
          <w:szCs w:val="24"/>
        </w:rPr>
        <w:t>(…)</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b/>
          <w:bCs/>
          <w:i/>
          <w:iCs/>
          <w:color w:val="000000" w:themeColor="text1"/>
          <w:sz w:val="24"/>
          <w:szCs w:val="24"/>
        </w:rPr>
        <w:t>II.</w:t>
      </w:r>
      <w:r w:rsidRPr="004C6EB5">
        <w:rPr>
          <w:rFonts w:ascii="Palatino Linotype" w:eastAsia="Palatino Linotype" w:hAnsi="Palatino Linotype" w:cs="Palatino Linotype"/>
          <w:i/>
          <w:iCs/>
          <w:color w:val="000000" w:themeColor="text1"/>
          <w:sz w:val="24"/>
          <w:szCs w:val="24"/>
        </w:rPr>
        <w:t xml:space="preserve"> Recibir, tramitar y dar respuesta a las solicitudes de acceso a la información;</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i/>
          <w:iCs/>
          <w:color w:val="000000" w:themeColor="text1"/>
          <w:sz w:val="24"/>
          <w:szCs w:val="24"/>
        </w:rPr>
        <w:t>(…)</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b/>
          <w:bCs/>
          <w:i/>
          <w:iCs/>
          <w:color w:val="000000" w:themeColor="text1"/>
          <w:sz w:val="24"/>
          <w:szCs w:val="24"/>
        </w:rPr>
        <w:t>IV.</w:t>
      </w:r>
      <w:r w:rsidRPr="004C6EB5">
        <w:rPr>
          <w:rFonts w:ascii="Palatino Linotype" w:eastAsia="Palatino Linotype" w:hAnsi="Palatino Linotype" w:cs="Palatino Linotype"/>
          <w:i/>
          <w:iCs/>
          <w:color w:val="000000" w:themeColor="text1"/>
          <w:sz w:val="24"/>
          <w:szCs w:val="24"/>
        </w:rPr>
        <w:t xml:space="preserve"> Realizar, con efectividad, los trámites internos necesarios para la atención de las solicitudes de acceso a la información;</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b/>
          <w:bCs/>
          <w:i/>
          <w:iCs/>
          <w:color w:val="000000" w:themeColor="text1"/>
          <w:sz w:val="24"/>
          <w:szCs w:val="24"/>
        </w:rPr>
        <w:t>V.</w:t>
      </w:r>
      <w:r w:rsidRPr="004C6EB5">
        <w:rPr>
          <w:rFonts w:ascii="Palatino Linotype" w:eastAsia="Palatino Linotype" w:hAnsi="Palatino Linotype" w:cs="Palatino Linotype"/>
          <w:i/>
          <w:iCs/>
          <w:color w:val="000000" w:themeColor="text1"/>
          <w:sz w:val="24"/>
          <w:szCs w:val="24"/>
        </w:rPr>
        <w:t xml:space="preserve"> Entregar, en su caso, a los particulares la información solicitada;</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i/>
          <w:iCs/>
          <w:color w:val="000000" w:themeColor="text1"/>
          <w:sz w:val="24"/>
          <w:szCs w:val="24"/>
        </w:rPr>
        <w:t>(…)</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b/>
          <w:i/>
          <w:iCs/>
          <w:color w:val="000000" w:themeColor="text1"/>
          <w:sz w:val="24"/>
          <w:szCs w:val="24"/>
        </w:rPr>
        <w:t xml:space="preserve">Artículo 58. </w:t>
      </w:r>
      <w:r w:rsidRPr="004C6EB5">
        <w:rPr>
          <w:rFonts w:ascii="Palatino Linotype" w:eastAsia="Palatino Linotype" w:hAnsi="Palatino Linotype" w:cs="Palatino Linotype"/>
          <w:i/>
          <w:iCs/>
          <w:color w:val="000000" w:themeColor="text1"/>
          <w:sz w:val="24"/>
          <w:szCs w:val="24"/>
        </w:rPr>
        <w:t>Los servidores públicos habilitados serán designados por el titular del sujeto obligado a propuesta del responsable de la Unidad de Transparencia.</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b/>
          <w:i/>
          <w:iCs/>
          <w:color w:val="000000" w:themeColor="text1"/>
          <w:sz w:val="24"/>
          <w:szCs w:val="24"/>
        </w:rPr>
        <w:t xml:space="preserve">Artículo 59. </w:t>
      </w:r>
      <w:r w:rsidRPr="004C6EB5">
        <w:rPr>
          <w:rFonts w:ascii="Palatino Linotype" w:eastAsia="Palatino Linotype" w:hAnsi="Palatino Linotype" w:cs="Palatino Linotype"/>
          <w:i/>
          <w:iCs/>
          <w:color w:val="000000" w:themeColor="text1"/>
          <w:sz w:val="24"/>
          <w:szCs w:val="24"/>
        </w:rPr>
        <w:t>Los servidores públicos habilitados tendrán las funciones siguientes:</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b/>
          <w:bCs/>
          <w:i/>
          <w:iCs/>
          <w:color w:val="000000" w:themeColor="text1"/>
          <w:sz w:val="24"/>
          <w:szCs w:val="24"/>
        </w:rPr>
        <w:t>I.</w:t>
      </w:r>
      <w:r w:rsidRPr="004C6EB5">
        <w:rPr>
          <w:rFonts w:ascii="Palatino Linotype" w:eastAsia="Palatino Linotype" w:hAnsi="Palatino Linotype" w:cs="Palatino Linotype"/>
          <w:i/>
          <w:iCs/>
          <w:color w:val="000000" w:themeColor="text1"/>
          <w:sz w:val="24"/>
          <w:szCs w:val="24"/>
        </w:rPr>
        <w:t xml:space="preserve"> Localizar la información que le solicite la Unidad de Transparencia;</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b/>
          <w:bCs/>
          <w:i/>
          <w:iCs/>
          <w:color w:val="000000" w:themeColor="text1"/>
          <w:sz w:val="24"/>
          <w:szCs w:val="24"/>
        </w:rPr>
        <w:t>II.</w:t>
      </w:r>
      <w:r w:rsidRPr="004C6EB5">
        <w:rPr>
          <w:rFonts w:ascii="Palatino Linotype" w:eastAsia="Palatino Linotype" w:hAnsi="Palatino Linotype" w:cs="Palatino Linotype"/>
          <w:i/>
          <w:iCs/>
          <w:color w:val="000000" w:themeColor="text1"/>
          <w:sz w:val="24"/>
          <w:szCs w:val="24"/>
        </w:rPr>
        <w:t xml:space="preserve"> Proporcionar la información que obre en los archivos y que le sea solicitada por la Unidad de Transparencia;</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i/>
          <w:iCs/>
          <w:color w:val="000000" w:themeColor="text1"/>
          <w:sz w:val="24"/>
          <w:szCs w:val="24"/>
        </w:rPr>
        <w:t>(...)</w:t>
      </w: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p>
    <w:p w:rsidR="00C06690" w:rsidRPr="004C6EB5" w:rsidRDefault="00C06690" w:rsidP="004C6EB5">
      <w:pPr>
        <w:jc w:val="both"/>
        <w:rPr>
          <w:rFonts w:ascii="Palatino Linotype" w:eastAsia="Palatino Linotype" w:hAnsi="Palatino Linotype" w:cs="Palatino Linotype"/>
          <w:i/>
          <w:iCs/>
          <w:color w:val="000000" w:themeColor="text1"/>
          <w:sz w:val="24"/>
          <w:szCs w:val="24"/>
        </w:rPr>
      </w:pPr>
      <w:r w:rsidRPr="004C6EB5">
        <w:rPr>
          <w:rFonts w:ascii="Palatino Linotype" w:eastAsia="Palatino Linotype" w:hAnsi="Palatino Linotype" w:cs="Palatino Linotype"/>
          <w:b/>
          <w:i/>
          <w:iCs/>
          <w:color w:val="000000" w:themeColor="text1"/>
          <w:sz w:val="24"/>
          <w:szCs w:val="24"/>
        </w:rPr>
        <w:lastRenderedPageBreak/>
        <w:t xml:space="preserve">Artículo 162. </w:t>
      </w:r>
      <w:r w:rsidRPr="004C6EB5">
        <w:rPr>
          <w:rFonts w:ascii="Palatino Linotype" w:eastAsia="Palatino Linotype" w:hAnsi="Palatino Linotype" w:cs="Palatino Linotype"/>
          <w:i/>
          <w:iCs/>
          <w:color w:val="000000" w:themeColor="text1"/>
          <w:sz w:val="24"/>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4C6EB5">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4C6EB5">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C06690" w:rsidRPr="004C6EB5" w:rsidRDefault="00C06690" w:rsidP="004C6EB5">
      <w:pPr>
        <w:pStyle w:val="Prrafodelista"/>
        <w:spacing w:line="360" w:lineRule="auto"/>
        <w:ind w:left="0"/>
        <w:jc w:val="both"/>
        <w:rPr>
          <w:rFonts w:ascii="Palatino Linotype" w:eastAsia="Arial Unicode MS" w:hAnsi="Palatino Linotype" w:cs="Arial"/>
          <w:color w:val="000000" w:themeColor="text1"/>
          <w:sz w:val="24"/>
          <w:lang w:eastAsia="en-US"/>
        </w:rPr>
      </w:pPr>
    </w:p>
    <w:p w:rsidR="00C06690" w:rsidRPr="004C6EB5" w:rsidRDefault="00C06690" w:rsidP="004C6EB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4C6EB5">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C06690" w:rsidRPr="004C6EB5" w:rsidRDefault="00C06690" w:rsidP="004C6EB5">
      <w:pPr>
        <w:pStyle w:val="Prrafodelista"/>
        <w:ind w:left="0"/>
        <w:rPr>
          <w:rFonts w:ascii="Palatino Linotype" w:eastAsia="Arial Unicode MS" w:hAnsi="Palatino Linotype" w:cs="Arial"/>
          <w:color w:val="000000" w:themeColor="text1"/>
          <w:sz w:val="24"/>
          <w:lang w:eastAsia="en-US"/>
        </w:rPr>
      </w:pPr>
    </w:p>
    <w:p w:rsidR="00C732E4" w:rsidRPr="004C6EB5" w:rsidRDefault="00C06690" w:rsidP="004C6EB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4C6EB5">
        <w:rPr>
          <w:rFonts w:ascii="Palatino Linotype" w:eastAsia="Arial Unicode MS" w:hAnsi="Palatino Linotype" w:cs="Arial"/>
          <w:color w:val="000000" w:themeColor="text1"/>
          <w:sz w:val="24"/>
          <w:lang w:eastAsia="en-US"/>
        </w:rPr>
        <w:t xml:space="preserve">Ahora bien, </w:t>
      </w:r>
      <w:r w:rsidR="006D2FC7" w:rsidRPr="004C6EB5">
        <w:rPr>
          <w:rFonts w:ascii="Palatino Linotype" w:eastAsia="Arial Unicode MS" w:hAnsi="Palatino Linotype" w:cs="Arial"/>
          <w:color w:val="000000" w:themeColor="text1"/>
          <w:sz w:val="24"/>
          <w:lang w:eastAsia="en-US"/>
        </w:rPr>
        <w:t xml:space="preserve">recordemos que el Sujeto Obligado no emitió respuesta, sin embargo, a través de informe justificado se pronunció la Dirección de Administración, quien de acuerdo </w:t>
      </w:r>
      <w:r w:rsidR="00C732E4" w:rsidRPr="004C6EB5">
        <w:rPr>
          <w:rFonts w:ascii="Palatino Linotype" w:eastAsia="Arial Unicode MS" w:hAnsi="Palatino Linotype" w:cs="Arial"/>
          <w:color w:val="000000" w:themeColor="text1"/>
          <w:sz w:val="24"/>
          <w:lang w:eastAsia="en-US"/>
        </w:rPr>
        <w:t xml:space="preserve">al artículo 99 y 100 del Reglamento Orgánico de la Administración Pública Municipal, es el </w:t>
      </w:r>
      <w:r w:rsidR="00C732E4" w:rsidRPr="004C6EB5">
        <w:rPr>
          <w:rFonts w:ascii="Palatino Linotype" w:eastAsia="Arial Unicode MS" w:hAnsi="Palatino Linotype" w:cs="Arial"/>
          <w:color w:val="000000" w:themeColor="text1"/>
          <w:sz w:val="24"/>
          <w:lang w:eastAsia="en-US"/>
        </w:rPr>
        <w:lastRenderedPageBreak/>
        <w:t>área encargada de integrar, en coordinación con las demás dependencias administrativas, el presupuesto de egresos con el fin de proporcionar recursos humanos y  materiales para el mejor funcionamiento y desempeño de las dependencias, asimismo, se desataca que tiene entre sus atribuciones y funciones, administrar, dirigir y validar los movimientos respecto a los servidores públicos municipales, como las altas, bajas, cambios, permisos, licencias.</w:t>
      </w:r>
    </w:p>
    <w:p w:rsidR="00C732E4" w:rsidRPr="004C6EB5" w:rsidRDefault="00C732E4" w:rsidP="004C6EB5">
      <w:pPr>
        <w:pStyle w:val="Prrafodelista"/>
        <w:ind w:left="0"/>
        <w:rPr>
          <w:rFonts w:ascii="Palatino Linotype" w:eastAsia="Arial Unicode MS" w:hAnsi="Palatino Linotype" w:cs="Arial"/>
          <w:color w:val="000000" w:themeColor="text1"/>
          <w:sz w:val="24"/>
          <w:lang w:eastAsia="en-US"/>
        </w:rPr>
      </w:pPr>
    </w:p>
    <w:p w:rsidR="00C06690" w:rsidRPr="004C6EB5" w:rsidRDefault="00C732E4" w:rsidP="004C6EB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4C6EB5">
        <w:rPr>
          <w:rFonts w:ascii="Palatino Linotype" w:eastAsia="Arial Unicode MS" w:hAnsi="Palatino Linotype" w:cs="Arial"/>
          <w:color w:val="000000" w:themeColor="text1"/>
          <w:sz w:val="24"/>
          <w:lang w:eastAsia="en-US"/>
        </w:rPr>
        <w:t xml:space="preserve">En ese sentido, se puede advertir que el informe justificado fue entregado por el servidor público con facultades para generar, poseer y/o administrar la información solicitada, es decir, que el Sujeto Obligado dio cumplimiento al proceso de búsqueda establecido en la legislación aplicable. </w:t>
      </w:r>
    </w:p>
    <w:p w:rsidR="00373AF1" w:rsidRPr="004C6EB5" w:rsidRDefault="00373AF1" w:rsidP="004C6EB5">
      <w:pPr>
        <w:pStyle w:val="Prrafodelista"/>
        <w:ind w:left="0"/>
        <w:rPr>
          <w:rFonts w:ascii="Palatino Linotype" w:eastAsia="Arial Unicode MS" w:hAnsi="Palatino Linotype" w:cs="Arial"/>
          <w:color w:val="000000" w:themeColor="text1"/>
          <w:sz w:val="24"/>
          <w:lang w:eastAsia="en-US"/>
        </w:rPr>
      </w:pPr>
    </w:p>
    <w:p w:rsidR="00C06690" w:rsidRDefault="00C06690" w:rsidP="004C6EB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4C6EB5">
        <w:rPr>
          <w:rFonts w:ascii="Palatino Linotype" w:eastAsia="Arial Unicode MS" w:hAnsi="Palatino Linotype" w:cs="Arial"/>
          <w:color w:val="000000" w:themeColor="text1"/>
          <w:sz w:val="24"/>
          <w:lang w:eastAsia="en-US"/>
        </w:rPr>
        <w:t>Consecuentemente, una vez que quedó establecido que el informe fue entregado por el servidor público habilitado, es necesario analizar la respuesta que emitió, para así determinar si colma con el derecho de acceso a la información del particular; para ello, se inserta la siguiente tabla con la solicitud y la información emitida en informe justificado:</w:t>
      </w:r>
    </w:p>
    <w:p w:rsidR="004C6EB5" w:rsidRDefault="004C6EB5" w:rsidP="004C6EB5">
      <w:pPr>
        <w:pStyle w:val="Prrafodelista"/>
        <w:spacing w:line="360" w:lineRule="auto"/>
        <w:ind w:left="0"/>
        <w:jc w:val="both"/>
        <w:rPr>
          <w:rFonts w:ascii="Palatino Linotype" w:eastAsia="Arial Unicode MS" w:hAnsi="Palatino Linotype" w:cs="Arial"/>
          <w:color w:val="000000" w:themeColor="text1"/>
          <w:sz w:val="24"/>
          <w:lang w:eastAsia="en-US"/>
        </w:rPr>
      </w:pPr>
    </w:p>
    <w:tbl>
      <w:tblPr>
        <w:tblStyle w:val="Tabladecuadrcula4-nfasis3"/>
        <w:tblW w:w="10100" w:type="dxa"/>
        <w:tblLook w:val="04A0" w:firstRow="1" w:lastRow="0" w:firstColumn="1" w:lastColumn="0" w:noHBand="0" w:noVBand="1"/>
      </w:tblPr>
      <w:tblGrid>
        <w:gridCol w:w="2258"/>
        <w:gridCol w:w="1975"/>
        <w:gridCol w:w="3497"/>
        <w:gridCol w:w="2370"/>
      </w:tblGrid>
      <w:tr w:rsidR="004C6EB5" w:rsidRPr="004C6EB5" w:rsidTr="007E1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0" w:type="dxa"/>
            <w:gridSpan w:val="4"/>
          </w:tcPr>
          <w:p w:rsidR="00373AF1" w:rsidRPr="004C6EB5" w:rsidRDefault="00373AF1" w:rsidP="004C6EB5">
            <w:pPr>
              <w:jc w:val="center"/>
              <w:rPr>
                <w:rFonts w:ascii="Palatino Linotype" w:hAnsi="Palatino Linotype"/>
                <w:color w:val="000000" w:themeColor="text1"/>
                <w:sz w:val="24"/>
                <w:szCs w:val="24"/>
              </w:rPr>
            </w:pPr>
          </w:p>
          <w:p w:rsidR="00373AF1" w:rsidRPr="004C6EB5" w:rsidRDefault="00373AF1" w:rsidP="004C6EB5">
            <w:pPr>
              <w:jc w:val="center"/>
              <w:rPr>
                <w:rFonts w:ascii="Palatino Linotype" w:hAnsi="Palatino Linotype"/>
                <w:color w:val="000000" w:themeColor="text1"/>
                <w:sz w:val="24"/>
                <w:szCs w:val="24"/>
              </w:rPr>
            </w:pPr>
            <w:r w:rsidRPr="004C6EB5">
              <w:rPr>
                <w:rFonts w:ascii="Palatino Linotype" w:hAnsi="Palatino Linotype"/>
                <w:color w:val="000000" w:themeColor="text1"/>
                <w:sz w:val="24"/>
                <w:szCs w:val="24"/>
              </w:rPr>
              <w:t>Del contralor Municipal</w:t>
            </w:r>
          </w:p>
          <w:p w:rsidR="00373AF1" w:rsidRPr="004C6EB5" w:rsidRDefault="00373AF1" w:rsidP="004C6EB5">
            <w:pPr>
              <w:rPr>
                <w:rFonts w:ascii="Palatino Linotype" w:hAnsi="Palatino Linotype"/>
                <w:color w:val="000000" w:themeColor="text1"/>
                <w:sz w:val="24"/>
                <w:szCs w:val="24"/>
              </w:rPr>
            </w:pPr>
          </w:p>
        </w:tc>
      </w:tr>
      <w:tr w:rsidR="004C6EB5" w:rsidRPr="004C6EB5" w:rsidTr="007E1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373AF1" w:rsidRPr="004C6EB5" w:rsidRDefault="00373AF1" w:rsidP="004C6EB5">
            <w:pPr>
              <w:rPr>
                <w:rFonts w:ascii="Palatino Linotype" w:hAnsi="Palatino Linotype"/>
                <w:color w:val="000000" w:themeColor="text1"/>
                <w:sz w:val="24"/>
                <w:szCs w:val="24"/>
              </w:rPr>
            </w:pPr>
            <w:r w:rsidRPr="004C6EB5">
              <w:rPr>
                <w:rFonts w:ascii="Palatino Linotype" w:hAnsi="Palatino Linotype"/>
                <w:color w:val="000000" w:themeColor="text1"/>
                <w:sz w:val="24"/>
                <w:szCs w:val="24"/>
              </w:rPr>
              <w:t>SOLICITUD</w:t>
            </w:r>
          </w:p>
          <w:p w:rsidR="00373AF1" w:rsidRPr="004C6EB5" w:rsidRDefault="00373AF1" w:rsidP="004C6EB5">
            <w:pPr>
              <w:rPr>
                <w:rFonts w:ascii="Palatino Linotype" w:hAnsi="Palatino Linotype"/>
                <w:color w:val="000000" w:themeColor="text1"/>
                <w:sz w:val="24"/>
                <w:szCs w:val="24"/>
              </w:rPr>
            </w:pPr>
          </w:p>
        </w:tc>
        <w:tc>
          <w:tcPr>
            <w:tcW w:w="1985" w:type="dxa"/>
          </w:tcPr>
          <w:p w:rsidR="00373AF1" w:rsidRPr="00A2425E" w:rsidRDefault="00373AF1" w:rsidP="004C6EB5">
            <w:pP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24"/>
                <w:szCs w:val="24"/>
              </w:rPr>
            </w:pPr>
            <w:r w:rsidRPr="00A2425E">
              <w:rPr>
                <w:rFonts w:ascii="Palatino Linotype" w:hAnsi="Palatino Linotype"/>
                <w:b/>
                <w:color w:val="000000" w:themeColor="text1"/>
                <w:sz w:val="24"/>
                <w:szCs w:val="24"/>
              </w:rPr>
              <w:t>RESPUESTA</w:t>
            </w:r>
          </w:p>
        </w:tc>
        <w:tc>
          <w:tcPr>
            <w:tcW w:w="3544" w:type="dxa"/>
          </w:tcPr>
          <w:p w:rsidR="00373AF1" w:rsidRPr="00A2425E" w:rsidRDefault="00373AF1" w:rsidP="004C6EB5">
            <w:pP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24"/>
                <w:szCs w:val="24"/>
              </w:rPr>
            </w:pPr>
            <w:r w:rsidRPr="00A2425E">
              <w:rPr>
                <w:rFonts w:ascii="Palatino Linotype" w:hAnsi="Palatino Linotype"/>
                <w:b/>
                <w:color w:val="000000" w:themeColor="text1"/>
                <w:sz w:val="24"/>
                <w:szCs w:val="24"/>
              </w:rPr>
              <w:t>INFORME JUSTIFICADO</w:t>
            </w:r>
          </w:p>
        </w:tc>
        <w:tc>
          <w:tcPr>
            <w:tcW w:w="2308" w:type="dxa"/>
          </w:tcPr>
          <w:p w:rsidR="00373AF1" w:rsidRPr="00A2425E" w:rsidRDefault="00373AF1" w:rsidP="004C6EB5">
            <w:pP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24"/>
                <w:szCs w:val="24"/>
              </w:rPr>
            </w:pPr>
            <w:r w:rsidRPr="00A2425E">
              <w:rPr>
                <w:rFonts w:ascii="Palatino Linotype" w:hAnsi="Palatino Linotype"/>
                <w:b/>
                <w:color w:val="000000" w:themeColor="text1"/>
                <w:sz w:val="24"/>
                <w:szCs w:val="24"/>
              </w:rPr>
              <w:t>OBSERVACIONES</w:t>
            </w:r>
          </w:p>
        </w:tc>
      </w:tr>
      <w:tr w:rsidR="004C6EB5" w:rsidRPr="004C6EB5" w:rsidTr="007E1ADE">
        <w:tc>
          <w:tcPr>
            <w:cnfStyle w:val="001000000000" w:firstRow="0" w:lastRow="0" w:firstColumn="1" w:lastColumn="0" w:oddVBand="0" w:evenVBand="0" w:oddHBand="0" w:evenHBand="0" w:firstRowFirstColumn="0" w:firstRowLastColumn="0" w:lastRowFirstColumn="0" w:lastRowLastColumn="0"/>
            <w:tcW w:w="2263" w:type="dxa"/>
          </w:tcPr>
          <w:p w:rsidR="00373AF1" w:rsidRPr="004C6EB5" w:rsidRDefault="00373AF1" w:rsidP="004C6EB5">
            <w:pPr>
              <w:rPr>
                <w:rFonts w:ascii="Palatino Linotype" w:hAnsi="Palatino Linotype"/>
                <w:color w:val="000000" w:themeColor="text1"/>
                <w:sz w:val="24"/>
                <w:szCs w:val="24"/>
              </w:rPr>
            </w:pPr>
          </w:p>
          <w:p w:rsidR="00373AF1" w:rsidRPr="004C6EB5" w:rsidRDefault="00373AF1" w:rsidP="004C6EB5">
            <w:pPr>
              <w:rPr>
                <w:rFonts w:ascii="Palatino Linotype" w:hAnsi="Palatino Linotype"/>
                <w:color w:val="000000" w:themeColor="text1"/>
                <w:sz w:val="24"/>
                <w:szCs w:val="24"/>
              </w:rPr>
            </w:pPr>
            <w:r w:rsidRPr="004C6EB5">
              <w:rPr>
                <w:rFonts w:ascii="Palatino Linotype" w:hAnsi="Palatino Linotype"/>
                <w:color w:val="000000" w:themeColor="text1"/>
                <w:sz w:val="24"/>
                <w:szCs w:val="24"/>
              </w:rPr>
              <w:t>Cédula profesional</w:t>
            </w:r>
          </w:p>
          <w:p w:rsidR="00373AF1" w:rsidRPr="004C6EB5" w:rsidRDefault="00373AF1" w:rsidP="004C6EB5">
            <w:pPr>
              <w:rPr>
                <w:rFonts w:ascii="Palatino Linotype" w:hAnsi="Palatino Linotype"/>
                <w:color w:val="000000" w:themeColor="text1"/>
                <w:sz w:val="24"/>
                <w:szCs w:val="24"/>
              </w:rPr>
            </w:pPr>
          </w:p>
        </w:tc>
        <w:tc>
          <w:tcPr>
            <w:tcW w:w="1985" w:type="dxa"/>
            <w:vMerge w:val="restart"/>
          </w:tcPr>
          <w:p w:rsidR="00373AF1" w:rsidRPr="004C6EB5" w:rsidRDefault="00373AF1" w:rsidP="004C6EB5">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r w:rsidRPr="004C6EB5">
              <w:rPr>
                <w:rFonts w:ascii="Palatino Linotype" w:hAnsi="Palatino Linotype"/>
                <w:color w:val="000000" w:themeColor="text1"/>
                <w:sz w:val="24"/>
                <w:szCs w:val="24"/>
              </w:rPr>
              <w:t>No dio  respuesta</w:t>
            </w:r>
          </w:p>
        </w:tc>
        <w:tc>
          <w:tcPr>
            <w:tcW w:w="3544" w:type="dxa"/>
          </w:tcPr>
          <w:p w:rsidR="00373AF1" w:rsidRPr="004C6EB5" w:rsidRDefault="00373AF1" w:rsidP="004C6EB5">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r w:rsidRPr="004C6EB5">
              <w:rPr>
                <w:rFonts w:ascii="Palatino Linotype" w:hAnsi="Palatino Linotype"/>
                <w:color w:val="000000" w:themeColor="text1"/>
                <w:sz w:val="24"/>
                <w:szCs w:val="24"/>
              </w:rPr>
              <w:t xml:space="preserve">No se pronunció, sin embargo, dentro del currículum del servidor público se advierte el número de cédula profesional. </w:t>
            </w:r>
          </w:p>
          <w:p w:rsidR="00373AF1" w:rsidRPr="004C6EB5" w:rsidRDefault="00373AF1" w:rsidP="004C6EB5">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c>
          <w:tcPr>
            <w:tcW w:w="2308" w:type="dxa"/>
          </w:tcPr>
          <w:p w:rsidR="00373AF1" w:rsidRPr="004C6EB5" w:rsidRDefault="00373AF1" w:rsidP="004C6EB5">
            <w:pPr>
              <w:pStyle w:val="Prrafodelista"/>
              <w:numPr>
                <w:ilvl w:val="0"/>
                <w:numId w:val="6"/>
              </w:numPr>
              <w:ind w:left="0" w:firstLine="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rPr>
            </w:pPr>
            <w:r w:rsidRPr="004C6EB5">
              <w:rPr>
                <w:rFonts w:ascii="Palatino Linotype" w:hAnsi="Palatino Linotype"/>
                <w:color w:val="000000" w:themeColor="text1"/>
                <w:sz w:val="24"/>
              </w:rPr>
              <w:t xml:space="preserve">Colma de forma parcial. </w:t>
            </w:r>
          </w:p>
        </w:tc>
      </w:tr>
      <w:tr w:rsidR="004C6EB5" w:rsidRPr="004C6EB5" w:rsidTr="007E1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373AF1" w:rsidRPr="004C6EB5" w:rsidRDefault="00373AF1" w:rsidP="004C6EB5">
            <w:pPr>
              <w:rPr>
                <w:rFonts w:ascii="Palatino Linotype" w:hAnsi="Palatino Linotype"/>
                <w:color w:val="000000" w:themeColor="text1"/>
                <w:sz w:val="24"/>
                <w:szCs w:val="24"/>
              </w:rPr>
            </w:pPr>
            <w:r w:rsidRPr="004C6EB5">
              <w:rPr>
                <w:rFonts w:ascii="Palatino Linotype" w:hAnsi="Palatino Linotype"/>
                <w:color w:val="000000" w:themeColor="text1"/>
                <w:sz w:val="24"/>
                <w:szCs w:val="24"/>
              </w:rPr>
              <w:lastRenderedPageBreak/>
              <w:t xml:space="preserve">Currículum </w:t>
            </w:r>
          </w:p>
          <w:p w:rsidR="00373AF1" w:rsidRPr="004C6EB5" w:rsidRDefault="00373AF1" w:rsidP="004C6EB5">
            <w:pPr>
              <w:rPr>
                <w:rFonts w:ascii="Palatino Linotype" w:hAnsi="Palatino Linotype"/>
                <w:color w:val="000000" w:themeColor="text1"/>
                <w:sz w:val="24"/>
                <w:szCs w:val="24"/>
              </w:rPr>
            </w:pPr>
          </w:p>
        </w:tc>
        <w:tc>
          <w:tcPr>
            <w:tcW w:w="1985" w:type="dxa"/>
            <w:vMerge/>
          </w:tcPr>
          <w:p w:rsidR="00373AF1" w:rsidRPr="004C6EB5" w:rsidRDefault="00373AF1" w:rsidP="004C6EB5">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c>
          <w:tcPr>
            <w:tcW w:w="3544" w:type="dxa"/>
          </w:tcPr>
          <w:p w:rsidR="00373AF1" w:rsidRPr="004C6EB5" w:rsidRDefault="00373AF1" w:rsidP="004C6EB5">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r w:rsidRPr="004C6EB5">
              <w:rPr>
                <w:rFonts w:ascii="Palatino Linotype" w:hAnsi="Palatino Linotype"/>
                <w:color w:val="000000" w:themeColor="text1"/>
                <w:sz w:val="24"/>
                <w:szCs w:val="24"/>
              </w:rPr>
              <w:t>Se adjuntó el currículum del servidor público</w:t>
            </w:r>
          </w:p>
          <w:p w:rsidR="00373AF1" w:rsidRPr="004C6EB5" w:rsidRDefault="00373AF1" w:rsidP="004C6EB5">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c>
          <w:tcPr>
            <w:tcW w:w="2308" w:type="dxa"/>
          </w:tcPr>
          <w:p w:rsidR="00373AF1" w:rsidRPr="004C6EB5" w:rsidRDefault="00373AF1" w:rsidP="004C6EB5">
            <w:pPr>
              <w:pStyle w:val="Prrafodelista"/>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rPr>
            </w:pPr>
            <w:r w:rsidRPr="004C6EB5">
              <w:rPr>
                <w:rFonts w:ascii="Palatino Linotype" w:hAnsi="Palatino Linotype"/>
                <w:color w:val="000000" w:themeColor="text1"/>
                <w:sz w:val="24"/>
              </w:rPr>
              <w:t xml:space="preserve">Colma </w:t>
            </w:r>
          </w:p>
        </w:tc>
      </w:tr>
      <w:tr w:rsidR="004C6EB5" w:rsidRPr="004C6EB5" w:rsidTr="007E1ADE">
        <w:tc>
          <w:tcPr>
            <w:cnfStyle w:val="001000000000" w:firstRow="0" w:lastRow="0" w:firstColumn="1" w:lastColumn="0" w:oddVBand="0" w:evenVBand="0" w:oddHBand="0" w:evenHBand="0" w:firstRowFirstColumn="0" w:firstRowLastColumn="0" w:lastRowFirstColumn="0" w:lastRowLastColumn="0"/>
            <w:tcW w:w="2263" w:type="dxa"/>
          </w:tcPr>
          <w:p w:rsidR="00373AF1" w:rsidRPr="004C6EB5" w:rsidRDefault="00373AF1" w:rsidP="004C6EB5">
            <w:pPr>
              <w:rPr>
                <w:rFonts w:ascii="Palatino Linotype" w:hAnsi="Palatino Linotype"/>
                <w:color w:val="000000" w:themeColor="text1"/>
                <w:sz w:val="24"/>
                <w:szCs w:val="24"/>
              </w:rPr>
            </w:pPr>
            <w:r w:rsidRPr="004C6EB5">
              <w:rPr>
                <w:rFonts w:ascii="Palatino Linotype" w:hAnsi="Palatino Linotype"/>
                <w:color w:val="000000" w:themeColor="text1"/>
                <w:sz w:val="24"/>
                <w:szCs w:val="24"/>
              </w:rPr>
              <w:t>Recibos de nómina correspondientes al año 2024 y de la primera y segunda quince de enero y la primera quincena de febrero de 2025.</w:t>
            </w:r>
          </w:p>
          <w:p w:rsidR="00373AF1" w:rsidRPr="004C6EB5" w:rsidRDefault="00373AF1" w:rsidP="004C6EB5">
            <w:pPr>
              <w:rPr>
                <w:rFonts w:ascii="Palatino Linotype" w:hAnsi="Palatino Linotype"/>
                <w:color w:val="000000" w:themeColor="text1"/>
                <w:sz w:val="24"/>
                <w:szCs w:val="24"/>
              </w:rPr>
            </w:pPr>
          </w:p>
        </w:tc>
        <w:tc>
          <w:tcPr>
            <w:tcW w:w="1985" w:type="dxa"/>
            <w:vMerge/>
          </w:tcPr>
          <w:p w:rsidR="00373AF1" w:rsidRPr="004C6EB5" w:rsidRDefault="00373AF1" w:rsidP="004C6EB5">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c>
          <w:tcPr>
            <w:tcW w:w="3544" w:type="dxa"/>
          </w:tcPr>
          <w:p w:rsidR="00373AF1" w:rsidRPr="004C6EB5" w:rsidRDefault="00373AF1" w:rsidP="004C6EB5">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p w:rsidR="00373AF1" w:rsidRPr="004C6EB5" w:rsidRDefault="00373AF1" w:rsidP="004C6EB5">
            <w:pPr>
              <w:pStyle w:val="Prrafodelista"/>
              <w:numPr>
                <w:ilvl w:val="0"/>
                <w:numId w:val="4"/>
              </w:numPr>
              <w:ind w:left="0" w:firstLine="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rPr>
            </w:pPr>
            <w:r w:rsidRPr="004C6EB5">
              <w:rPr>
                <w:rFonts w:ascii="Palatino Linotype" w:hAnsi="Palatino Linotype"/>
                <w:color w:val="000000" w:themeColor="text1"/>
                <w:sz w:val="24"/>
              </w:rPr>
              <w:t>Recibos de la primera y segunda quincena de quincena de enero a junio de 2024, y la primera quincena de julio de 2024, así como de la primera y segunda quincena de agosto a noviembre de 2024.</w:t>
            </w:r>
          </w:p>
          <w:p w:rsidR="00373AF1" w:rsidRPr="004C6EB5" w:rsidRDefault="00373AF1" w:rsidP="004C6EB5">
            <w:pPr>
              <w:pStyle w:val="Prrafodelista"/>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rPr>
            </w:pPr>
          </w:p>
          <w:p w:rsidR="00373AF1" w:rsidRPr="004C6EB5" w:rsidRDefault="00373AF1" w:rsidP="004C6EB5">
            <w:pPr>
              <w:pStyle w:val="Prrafodelista"/>
              <w:numPr>
                <w:ilvl w:val="0"/>
                <w:numId w:val="4"/>
              </w:numPr>
              <w:ind w:left="0" w:firstLine="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rPr>
            </w:pPr>
            <w:r w:rsidRPr="004C6EB5">
              <w:rPr>
                <w:rFonts w:ascii="Palatino Linotype" w:hAnsi="Palatino Linotype"/>
                <w:color w:val="000000" w:themeColor="text1"/>
                <w:sz w:val="24"/>
              </w:rPr>
              <w:t xml:space="preserve">Recibo de nómina correspondiente a la primera y segunda quincena de enero y primera quincena de febrero de 2025. </w:t>
            </w:r>
          </w:p>
          <w:p w:rsidR="00373AF1" w:rsidRPr="004C6EB5" w:rsidRDefault="00373AF1" w:rsidP="004C6EB5">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c>
          <w:tcPr>
            <w:tcW w:w="2308" w:type="dxa"/>
          </w:tcPr>
          <w:p w:rsidR="00373AF1" w:rsidRPr="004C6EB5" w:rsidRDefault="00373AF1" w:rsidP="004C6EB5">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p w:rsidR="00373AF1" w:rsidRPr="004C6EB5" w:rsidRDefault="00373AF1" w:rsidP="004C6EB5">
            <w:pPr>
              <w:pStyle w:val="Prrafodelista"/>
              <w:numPr>
                <w:ilvl w:val="0"/>
                <w:numId w:val="4"/>
              </w:numPr>
              <w:ind w:left="0" w:firstLine="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rPr>
            </w:pPr>
            <w:r w:rsidRPr="004C6EB5">
              <w:rPr>
                <w:rFonts w:ascii="Palatino Linotype" w:hAnsi="Palatino Linotype"/>
                <w:color w:val="000000" w:themeColor="text1"/>
                <w:sz w:val="24"/>
              </w:rPr>
              <w:t>Colma de forma parcial.</w:t>
            </w:r>
          </w:p>
          <w:p w:rsidR="00373AF1" w:rsidRPr="004C6EB5" w:rsidRDefault="00373AF1" w:rsidP="004C6EB5">
            <w:pPr>
              <w:pStyle w:val="Prrafodelista"/>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rPr>
            </w:pPr>
          </w:p>
          <w:p w:rsidR="00373AF1" w:rsidRPr="004C6EB5" w:rsidRDefault="00373AF1" w:rsidP="004C6EB5">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r w:rsidRPr="004C6EB5">
              <w:rPr>
                <w:rFonts w:ascii="Palatino Linotype" w:hAnsi="Palatino Linotype"/>
                <w:color w:val="000000" w:themeColor="text1"/>
                <w:sz w:val="24"/>
                <w:szCs w:val="24"/>
              </w:rPr>
              <w:t xml:space="preserve">Falta el recibo de nómina de la segunda quincena de julio de 2024 y la primera y segunda quincena de diciembre de 2024. </w:t>
            </w:r>
          </w:p>
          <w:p w:rsidR="00373AF1" w:rsidRPr="004C6EB5" w:rsidRDefault="00373AF1" w:rsidP="004C6EB5">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p w:rsidR="00373AF1" w:rsidRPr="004C6EB5" w:rsidRDefault="00373AF1" w:rsidP="004C6EB5">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4C6EB5" w:rsidRPr="004C6EB5" w:rsidTr="007E1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373AF1" w:rsidRPr="004C6EB5" w:rsidRDefault="00373AF1" w:rsidP="004C6EB5">
            <w:pPr>
              <w:rPr>
                <w:rFonts w:ascii="Palatino Linotype" w:hAnsi="Palatino Linotype"/>
                <w:color w:val="000000" w:themeColor="text1"/>
                <w:sz w:val="24"/>
                <w:szCs w:val="24"/>
              </w:rPr>
            </w:pPr>
            <w:r w:rsidRPr="004C6EB5">
              <w:rPr>
                <w:rFonts w:ascii="Palatino Linotype" w:hAnsi="Palatino Linotype"/>
                <w:color w:val="000000" w:themeColor="text1"/>
                <w:sz w:val="24"/>
                <w:szCs w:val="24"/>
              </w:rPr>
              <w:t xml:space="preserve">Si radica en el municipio. </w:t>
            </w:r>
          </w:p>
          <w:p w:rsidR="00373AF1" w:rsidRPr="004C6EB5" w:rsidRDefault="00373AF1" w:rsidP="004C6EB5">
            <w:pPr>
              <w:rPr>
                <w:rFonts w:ascii="Palatino Linotype" w:hAnsi="Palatino Linotype"/>
                <w:color w:val="000000" w:themeColor="text1"/>
                <w:sz w:val="24"/>
                <w:szCs w:val="24"/>
              </w:rPr>
            </w:pPr>
          </w:p>
        </w:tc>
        <w:tc>
          <w:tcPr>
            <w:tcW w:w="1985" w:type="dxa"/>
            <w:vMerge/>
          </w:tcPr>
          <w:p w:rsidR="00373AF1" w:rsidRPr="004C6EB5" w:rsidRDefault="00373AF1" w:rsidP="004C6EB5">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c>
          <w:tcPr>
            <w:tcW w:w="3544" w:type="dxa"/>
          </w:tcPr>
          <w:p w:rsidR="00373AF1" w:rsidRPr="004C6EB5" w:rsidRDefault="00373AF1" w:rsidP="004C6EB5">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r w:rsidRPr="004C6EB5">
              <w:rPr>
                <w:rFonts w:ascii="Palatino Linotype" w:hAnsi="Palatino Linotype"/>
                <w:color w:val="000000" w:themeColor="text1"/>
                <w:sz w:val="24"/>
                <w:szCs w:val="24"/>
              </w:rPr>
              <w:t>No se pronunció</w:t>
            </w:r>
          </w:p>
        </w:tc>
        <w:tc>
          <w:tcPr>
            <w:tcW w:w="2308" w:type="dxa"/>
          </w:tcPr>
          <w:p w:rsidR="00373AF1" w:rsidRPr="004C6EB5" w:rsidRDefault="00D76366" w:rsidP="004C6EB5">
            <w:pPr>
              <w:pStyle w:val="Prrafodelista"/>
              <w:numPr>
                <w:ilvl w:val="0"/>
                <w:numId w:val="4"/>
              </w:numPr>
              <w:ind w:left="0" w:firstLine="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rPr>
            </w:pPr>
            <w:r w:rsidRPr="004C6EB5">
              <w:rPr>
                <w:rFonts w:ascii="Palatino Linotype" w:hAnsi="Palatino Linotype"/>
                <w:color w:val="000000" w:themeColor="text1"/>
                <w:sz w:val="24"/>
              </w:rPr>
              <w:t xml:space="preserve">No </w:t>
            </w:r>
            <w:r w:rsidR="00C418EE" w:rsidRPr="004C6EB5">
              <w:rPr>
                <w:rFonts w:ascii="Palatino Linotype" w:hAnsi="Palatino Linotype"/>
                <w:color w:val="000000" w:themeColor="text1"/>
                <w:sz w:val="24"/>
              </w:rPr>
              <w:t>C</w:t>
            </w:r>
            <w:r w:rsidR="00373AF1" w:rsidRPr="004C6EB5">
              <w:rPr>
                <w:rFonts w:ascii="Palatino Linotype" w:hAnsi="Palatino Linotype"/>
                <w:color w:val="000000" w:themeColor="text1"/>
                <w:sz w:val="24"/>
              </w:rPr>
              <w:t xml:space="preserve">olma </w:t>
            </w:r>
          </w:p>
          <w:p w:rsidR="00373AF1" w:rsidRPr="004C6EB5" w:rsidRDefault="00373AF1" w:rsidP="004C6EB5">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p w:rsidR="00C418EE" w:rsidRPr="004C6EB5" w:rsidRDefault="00C418EE" w:rsidP="004C6EB5">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bl>
    <w:p w:rsidR="00C06690" w:rsidRPr="004C6EB5" w:rsidRDefault="00C06690" w:rsidP="004C6EB5">
      <w:pPr>
        <w:pStyle w:val="Prrafodelista"/>
        <w:spacing w:line="360" w:lineRule="auto"/>
        <w:ind w:left="0"/>
        <w:jc w:val="both"/>
        <w:rPr>
          <w:rFonts w:ascii="Palatino Linotype" w:eastAsia="Arial Unicode MS" w:hAnsi="Palatino Linotype" w:cs="Arial"/>
          <w:color w:val="000000" w:themeColor="text1"/>
          <w:sz w:val="24"/>
          <w:lang w:eastAsia="en-US"/>
        </w:rPr>
      </w:pPr>
    </w:p>
    <w:p w:rsidR="00C418EE" w:rsidRPr="004C6EB5" w:rsidRDefault="00C06690" w:rsidP="004C6EB5">
      <w:pPr>
        <w:pStyle w:val="Prrafodelista"/>
        <w:numPr>
          <w:ilvl w:val="0"/>
          <w:numId w:val="1"/>
        </w:numPr>
        <w:spacing w:line="360" w:lineRule="auto"/>
        <w:ind w:left="0" w:firstLine="0"/>
        <w:jc w:val="both"/>
        <w:rPr>
          <w:rFonts w:ascii="Palatino Linotype" w:hAnsi="Palatino Linotype"/>
          <w:color w:val="000000" w:themeColor="text1"/>
          <w:sz w:val="24"/>
          <w:lang w:val="es-ES"/>
        </w:rPr>
      </w:pPr>
      <w:r w:rsidRPr="004C6EB5">
        <w:rPr>
          <w:rFonts w:ascii="Palatino Linotype" w:eastAsia="Arial Unicode MS" w:hAnsi="Palatino Linotype" w:cs="Arial"/>
          <w:color w:val="000000" w:themeColor="text1"/>
          <w:sz w:val="24"/>
          <w:lang w:eastAsia="en-US"/>
        </w:rPr>
        <w:t xml:space="preserve">Como se advierte, el Sujeto Obligado </w:t>
      </w:r>
      <w:r w:rsidR="00C418EE" w:rsidRPr="004C6EB5">
        <w:rPr>
          <w:rFonts w:ascii="Palatino Linotype" w:eastAsia="Arial Unicode MS" w:hAnsi="Palatino Linotype" w:cs="Arial"/>
          <w:color w:val="000000" w:themeColor="text1"/>
          <w:sz w:val="24"/>
          <w:lang w:eastAsia="en-US"/>
        </w:rPr>
        <w:t>remitió diversa información</w:t>
      </w:r>
      <w:r w:rsidRPr="004C6EB5">
        <w:rPr>
          <w:rFonts w:ascii="Palatino Linotype" w:eastAsia="Arial Unicode MS" w:hAnsi="Palatino Linotype" w:cs="Arial"/>
          <w:color w:val="000000" w:themeColor="text1"/>
          <w:sz w:val="24"/>
          <w:lang w:eastAsia="en-US"/>
        </w:rPr>
        <w:t xml:space="preserve">, sin embargo, solo colmó </w:t>
      </w:r>
      <w:r w:rsidR="00C418EE" w:rsidRPr="004C6EB5">
        <w:rPr>
          <w:rFonts w:ascii="Palatino Linotype" w:eastAsia="Arial Unicode MS" w:hAnsi="Palatino Linotype" w:cs="Arial"/>
          <w:color w:val="000000" w:themeColor="text1"/>
          <w:sz w:val="24"/>
          <w:lang w:eastAsia="en-US"/>
        </w:rPr>
        <w:t>el punto relativo al currículum vitae</w:t>
      </w:r>
      <w:r w:rsidRPr="004C6EB5">
        <w:rPr>
          <w:rFonts w:ascii="Palatino Linotype" w:eastAsia="Arial Unicode MS" w:hAnsi="Palatino Linotype" w:cs="Arial"/>
          <w:color w:val="000000" w:themeColor="text1"/>
          <w:sz w:val="24"/>
          <w:lang w:eastAsia="en-US"/>
        </w:rPr>
        <w:t xml:space="preserve">, ya que </w:t>
      </w:r>
      <w:r w:rsidR="00C418EE" w:rsidRPr="004C6EB5">
        <w:rPr>
          <w:rFonts w:ascii="Palatino Linotype" w:eastAsia="Arial Unicode MS" w:hAnsi="Palatino Linotype" w:cs="Arial"/>
          <w:color w:val="000000" w:themeColor="text1"/>
          <w:sz w:val="24"/>
          <w:lang w:eastAsia="en-US"/>
        </w:rPr>
        <w:t>remitió el mismo a través de informe justificado</w:t>
      </w:r>
      <w:r w:rsidRPr="004C6EB5">
        <w:rPr>
          <w:rFonts w:ascii="Palatino Linotype" w:eastAsia="Arial Unicode MS" w:hAnsi="Palatino Linotype" w:cs="Arial"/>
          <w:color w:val="000000" w:themeColor="text1"/>
          <w:sz w:val="24"/>
          <w:lang w:eastAsia="en-US"/>
        </w:rPr>
        <w:t xml:space="preserve">, aunado a eso, este Órgano Garante no está facultado para dudar de la veracidad de la información entrega por el Sujeto Obligado. </w:t>
      </w:r>
    </w:p>
    <w:p w:rsidR="00C06690" w:rsidRPr="004C6EB5" w:rsidRDefault="00C06690" w:rsidP="004C6EB5">
      <w:pPr>
        <w:pStyle w:val="Prrafodelista"/>
        <w:tabs>
          <w:tab w:val="left" w:pos="851"/>
        </w:tabs>
        <w:spacing w:line="360" w:lineRule="auto"/>
        <w:ind w:left="0"/>
        <w:jc w:val="both"/>
        <w:rPr>
          <w:rFonts w:ascii="Palatino Linotype" w:hAnsi="Palatino Linotype"/>
          <w:color w:val="000000" w:themeColor="text1"/>
          <w:sz w:val="24"/>
          <w:lang w:val="es-ES"/>
        </w:rPr>
      </w:pPr>
    </w:p>
    <w:p w:rsidR="00D76366" w:rsidRPr="004C6EB5" w:rsidRDefault="00D76366"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Por otro lado, respecto a la cédula profesional, recordemos que el Sujeto Obligado no se pronunció, sin embargo, entregó el currículum vitae en el que se advierte el número de </w:t>
      </w:r>
      <w:r w:rsidRPr="004C6EB5">
        <w:rPr>
          <w:rFonts w:ascii="Palatino Linotype" w:eastAsia="Palatino Linotype" w:hAnsi="Palatino Linotype" w:cs="Palatino Linotype"/>
          <w:color w:val="000000" w:themeColor="text1"/>
          <w:sz w:val="24"/>
          <w:szCs w:val="24"/>
        </w:rPr>
        <w:lastRenderedPageBreak/>
        <w:t xml:space="preserve">cédula profesional del servidor público, ahora bien, </w:t>
      </w:r>
      <w:r w:rsidRPr="004C6EB5">
        <w:rPr>
          <w:rFonts w:ascii="Palatino Linotype" w:eastAsia="Calibri" w:hAnsi="Palatino Linotype" w:cs="Tahoma"/>
          <w:color w:val="000000" w:themeColor="text1"/>
          <w:sz w:val="24"/>
          <w:szCs w:val="24"/>
        </w:rPr>
        <w:t>es necesario señalar que la cédula profesional, es aquel documento con validez legal, para certificar o demostrar que efectivamente una persona está calificado para ejercer la profesión para la cual se ha preparado y ha recibido un título profesional.</w:t>
      </w:r>
    </w:p>
    <w:p w:rsidR="00D76366" w:rsidRPr="004C6EB5" w:rsidRDefault="00D76366" w:rsidP="004C6EB5">
      <w:pPr>
        <w:pStyle w:val="Prrafodelista"/>
        <w:ind w:left="0"/>
        <w:rPr>
          <w:rFonts w:ascii="Palatino Linotype" w:eastAsia="Calibri" w:hAnsi="Palatino Linotype" w:cs="Tahoma"/>
          <w:color w:val="000000" w:themeColor="text1"/>
          <w:sz w:val="24"/>
        </w:rPr>
      </w:pPr>
    </w:p>
    <w:p w:rsidR="00D76366" w:rsidRPr="004C6EB5" w:rsidRDefault="00D76366"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Calibri" w:hAnsi="Palatino Linotype" w:cs="Tahoma"/>
          <w:color w:val="000000" w:themeColor="text1"/>
          <w:sz w:val="24"/>
          <w:szCs w:val="24"/>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rsidR="00D76366" w:rsidRPr="004C6EB5" w:rsidRDefault="00D76366" w:rsidP="004C6EB5">
      <w:pPr>
        <w:pStyle w:val="Prrafodelista"/>
        <w:ind w:left="0"/>
        <w:rPr>
          <w:rFonts w:ascii="Palatino Linotype" w:eastAsia="Calibri" w:hAnsi="Palatino Linotype" w:cs="Tahoma"/>
          <w:bCs/>
          <w:iCs/>
          <w:color w:val="000000" w:themeColor="text1"/>
          <w:sz w:val="24"/>
        </w:rPr>
      </w:pPr>
    </w:p>
    <w:p w:rsidR="00D76366" w:rsidRPr="004C6EB5" w:rsidRDefault="00D76366"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Calibri" w:hAnsi="Palatino Linotype" w:cs="Tahoma"/>
          <w:bCs/>
          <w:iCs/>
          <w:color w:val="000000" w:themeColor="text1"/>
          <w:sz w:val="24"/>
          <w:szCs w:val="24"/>
        </w:rPr>
        <w:t xml:space="preserve">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 en ese sentido, este Órgano Garante considera que es procedente ordenar la entrega de la cédula profesional del servidor público, sin embargo, para el caso de que no obre en los archivos del Sujeto Obligado, bastara que lo haga del conocimiento del Recurrente en términos del párrafo segundo del artículo 19 de la Ley de Transparencia y Acceso a la Información Pública del Estado de México y Municipios. </w:t>
      </w:r>
    </w:p>
    <w:p w:rsidR="00D76366" w:rsidRPr="004C6EB5" w:rsidRDefault="00D76366"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418EE" w:rsidRPr="004C6EB5" w:rsidRDefault="00D76366"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 xml:space="preserve">Por otro lado, el Recurrente también solicitó los recibos de nómina del contralor municipal, correspondientes al </w:t>
      </w:r>
      <w:r w:rsidR="009F53E0" w:rsidRPr="004C6EB5">
        <w:rPr>
          <w:rFonts w:ascii="Palatino Linotype" w:eastAsia="Palatino Linotype" w:hAnsi="Palatino Linotype" w:cs="Palatino Linotype"/>
          <w:color w:val="000000" w:themeColor="text1"/>
          <w:sz w:val="24"/>
          <w:szCs w:val="24"/>
        </w:rPr>
        <w:t>año</w:t>
      </w:r>
      <w:r w:rsidRPr="004C6EB5">
        <w:rPr>
          <w:rFonts w:ascii="Palatino Linotype" w:eastAsia="Palatino Linotype" w:hAnsi="Palatino Linotype" w:cs="Palatino Linotype"/>
          <w:color w:val="000000" w:themeColor="text1"/>
          <w:sz w:val="24"/>
          <w:szCs w:val="24"/>
        </w:rPr>
        <w:t xml:space="preserve"> 2024, así como los recibos de nómina de la primera y segunda quincena de enero y la primera quincena de febrero de 2025, sin embargo, dentro de la información remitida a través de informe justificado, </w:t>
      </w:r>
      <w:r w:rsidR="009F53E0" w:rsidRPr="004C6EB5">
        <w:rPr>
          <w:rFonts w:ascii="Palatino Linotype" w:eastAsia="Palatino Linotype" w:hAnsi="Palatino Linotype" w:cs="Palatino Linotype"/>
          <w:color w:val="000000" w:themeColor="text1"/>
          <w:sz w:val="24"/>
          <w:szCs w:val="24"/>
        </w:rPr>
        <w:t xml:space="preserve">se advierte que faltan los recibos de la segunda quincena de julio y de la primera y segunda quincena de diciembre de 2024, es decir, que se entregó la información de forma incompleta, por lo que resulta procedente ordenar los recibos de nómina faltantes. </w:t>
      </w:r>
    </w:p>
    <w:p w:rsidR="00C418EE" w:rsidRPr="004C6EB5" w:rsidRDefault="00C418EE"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F53E0" w:rsidRPr="004C6EB5" w:rsidRDefault="009F53E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Ahora bien, respecto a conocer si el Contralor Municipal radica en el municipio, el Sujeto obligado no se pronunció, </w:t>
      </w:r>
      <w:r w:rsidRPr="004C6EB5">
        <w:rPr>
          <w:rFonts w:ascii="Palatino Linotype" w:hAnsi="Palatino Linotype"/>
          <w:color w:val="000000" w:themeColor="text1"/>
          <w:sz w:val="24"/>
          <w:szCs w:val="24"/>
          <w:lang w:val="es-ES"/>
        </w:rPr>
        <w:t xml:space="preserve">al respecto, es aplicable el </w:t>
      </w:r>
      <w:r w:rsidRPr="004C6EB5">
        <w:rPr>
          <w:rFonts w:ascii="Palatino Linotype" w:eastAsia="Palatino Linotype" w:hAnsi="Palatino Linotype" w:cs="Palatino Linotype"/>
          <w:color w:val="000000" w:themeColor="text1"/>
          <w:sz w:val="24"/>
          <w:szCs w:val="24"/>
        </w:rPr>
        <w:t xml:space="preserve">Criterio 02/2017 emitido por el Instituto Nacional de Transparencia, Acceso a la Información  y Protección de Datos Personales se establece que: </w:t>
      </w:r>
    </w:p>
    <w:p w:rsidR="009F53E0" w:rsidRPr="004C6EB5" w:rsidRDefault="009F53E0" w:rsidP="004C6EB5">
      <w:pPr>
        <w:pStyle w:val="Prrafodelista"/>
        <w:spacing w:line="276" w:lineRule="auto"/>
        <w:ind w:left="0"/>
        <w:jc w:val="both"/>
        <w:rPr>
          <w:rFonts w:ascii="Palatino Linotype" w:hAnsi="Palatino Linotype" w:cs="Arial"/>
          <w:i/>
          <w:iCs/>
          <w:color w:val="000000" w:themeColor="text1"/>
          <w:sz w:val="24"/>
        </w:rPr>
      </w:pPr>
      <w:r w:rsidRPr="004C6EB5">
        <w:rPr>
          <w:rStyle w:val="normaltextrun"/>
          <w:rFonts w:ascii="Palatino Linotype" w:hAnsi="Palatino Linotype" w:cs="Arial"/>
          <w:b/>
          <w:bCs/>
          <w:i/>
          <w:iCs/>
          <w:color w:val="000000" w:themeColor="text1"/>
          <w:sz w:val="24"/>
          <w:shd w:val="clear" w:color="auto" w:fill="FFFFFF"/>
        </w:rPr>
        <w:t xml:space="preserve">Congruencia y exhaustividad. Sus alcances para garantizar el derecho de acceso a la información. </w:t>
      </w:r>
      <w:r w:rsidRPr="004C6EB5">
        <w:rPr>
          <w:rStyle w:val="normaltextrun"/>
          <w:rFonts w:ascii="Palatino Linotype" w:hAnsi="Palatino Linotype" w:cs="Arial"/>
          <w:i/>
          <w:iCs/>
          <w:color w:val="000000" w:themeColor="text1"/>
          <w:sz w:val="24"/>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F53E0" w:rsidRPr="004C6EB5" w:rsidRDefault="009F53E0" w:rsidP="004C6EB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rsidR="009F53E0" w:rsidRPr="004C6EB5" w:rsidRDefault="009F53E0" w:rsidP="004C6EB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 xml:space="preserve">Es así, que los sujetos obligados para garantizar el derecho de acceso a la Información, deberán cumplir con los principios de exhaustividad y congruencia, esto es, que la </w:t>
      </w:r>
      <w:r w:rsidRPr="004C6EB5">
        <w:rPr>
          <w:rFonts w:ascii="Palatino Linotype" w:eastAsia="Palatino Linotype" w:hAnsi="Palatino Linotype" w:cs="Palatino Linotype"/>
          <w:color w:val="000000" w:themeColor="text1"/>
          <w:sz w:val="24"/>
        </w:rPr>
        <w:lastRenderedPageBreak/>
        <w:t xml:space="preserve">congruencia implica que exista concordancia entre el requerimiento formulado por el particular y la respuesta proporcionada por el sujeto obligado, mientras que </w:t>
      </w:r>
      <w:r w:rsidRPr="004C6EB5">
        <w:rPr>
          <w:rFonts w:ascii="Palatino Linotype" w:eastAsia="Palatino Linotype" w:hAnsi="Palatino Linotype" w:cs="Palatino Linotype"/>
          <w:b/>
          <w:color w:val="000000" w:themeColor="text1"/>
          <w:sz w:val="24"/>
        </w:rPr>
        <w:t>la exhaustividad</w:t>
      </w:r>
      <w:r w:rsidRPr="004C6EB5">
        <w:rPr>
          <w:rFonts w:ascii="Palatino Linotype" w:eastAsia="Palatino Linotype" w:hAnsi="Palatino Linotype" w:cs="Palatino Linotype"/>
          <w:color w:val="000000" w:themeColor="text1"/>
          <w:sz w:val="24"/>
        </w:rPr>
        <w:t xml:space="preserve"> establece que </w:t>
      </w:r>
      <w:r w:rsidRPr="004C6EB5">
        <w:rPr>
          <w:rFonts w:ascii="Palatino Linotype" w:eastAsia="Palatino Linotype" w:hAnsi="Palatino Linotype" w:cs="Palatino Linotype"/>
          <w:b/>
          <w:color w:val="000000" w:themeColor="text1"/>
          <w:sz w:val="24"/>
        </w:rPr>
        <w:t>el sujeto obligado deberá atender de manera expresa cada uno de los puntos solicitados, situación que en el presente caso no aconteció</w:t>
      </w:r>
      <w:r w:rsidRPr="004C6EB5">
        <w:rPr>
          <w:rFonts w:ascii="Palatino Linotype" w:eastAsia="Palatino Linotype" w:hAnsi="Palatino Linotype" w:cs="Palatino Linotype"/>
          <w:color w:val="000000" w:themeColor="text1"/>
          <w:sz w:val="24"/>
        </w:rPr>
        <w:t xml:space="preserve">. </w:t>
      </w:r>
    </w:p>
    <w:p w:rsidR="00CA116F" w:rsidRPr="004C6EB5" w:rsidRDefault="00CA116F" w:rsidP="004C6EB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rsidR="00CA116F" w:rsidRPr="004C6EB5" w:rsidRDefault="009F53E0"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Ahora bien, conviene señalar que </w:t>
      </w:r>
      <w:r w:rsidR="00CA116F" w:rsidRPr="004C6EB5">
        <w:rPr>
          <w:rFonts w:ascii="Palatino Linotype" w:eastAsia="Palatino Linotype" w:hAnsi="Palatino Linotype" w:cs="Palatino Linotype"/>
          <w:color w:val="000000" w:themeColor="text1"/>
          <w:sz w:val="24"/>
          <w:szCs w:val="24"/>
        </w:rPr>
        <w:t xml:space="preserve">la información relativa  a la residencia, </w:t>
      </w:r>
      <w:r w:rsidR="00CA116F" w:rsidRPr="004C6EB5">
        <w:rPr>
          <w:rFonts w:ascii="Palatino Linotype" w:eastAsia="Palatino Linotype" w:hAnsi="Palatino Linotype" w:cs="Palatino Linotype"/>
          <w:color w:val="000000" w:themeColor="text1"/>
          <w:sz w:val="24"/>
          <w:szCs w:val="24"/>
          <w:lang w:val="es-ES_tradnl"/>
        </w:rPr>
        <w:t>el diccionario de la lengua española define la palabra residir como </w:t>
      </w:r>
      <w:r w:rsidR="00CA116F" w:rsidRPr="004C6EB5">
        <w:rPr>
          <w:rFonts w:ascii="Palatino Linotype" w:eastAsia="Palatino Linotype" w:hAnsi="Palatino Linotype" w:cs="Palatino Linotype"/>
          <w:i/>
          <w:color w:val="000000" w:themeColor="text1"/>
          <w:sz w:val="24"/>
          <w:szCs w:val="24"/>
          <w:lang w:val="es-ES_tradnl"/>
        </w:rPr>
        <w:t>“Estar establecido en un lugar”</w:t>
      </w:r>
      <w:r w:rsidR="00CA116F" w:rsidRPr="004C6EB5">
        <w:rPr>
          <w:rFonts w:ascii="Palatino Linotype" w:eastAsia="Palatino Linotype" w:hAnsi="Palatino Linotype" w:cs="Palatino Linotype"/>
          <w:color w:val="000000" w:themeColor="text1"/>
          <w:sz w:val="24"/>
          <w:szCs w:val="24"/>
          <w:lang w:val="es-ES_tradnl"/>
        </w:rPr>
        <w:t>, señalando diversos sinónimos tales como “</w:t>
      </w:r>
      <w:r w:rsidR="00CA116F" w:rsidRPr="004C6EB5">
        <w:rPr>
          <w:rFonts w:ascii="Palatino Linotype" w:eastAsia="Palatino Linotype" w:hAnsi="Palatino Linotype" w:cs="Palatino Linotype"/>
          <w:bCs/>
          <w:i/>
          <w:color w:val="000000" w:themeColor="text1"/>
          <w:sz w:val="24"/>
          <w:szCs w:val="24"/>
        </w:rPr>
        <w:t>vivir</w:t>
      </w:r>
      <w:r w:rsidR="00CA116F" w:rsidRPr="004C6EB5">
        <w:rPr>
          <w:rFonts w:ascii="Palatino Linotype" w:eastAsia="Palatino Linotype" w:hAnsi="Palatino Linotype" w:cs="Palatino Linotype"/>
          <w:i/>
          <w:color w:val="000000" w:themeColor="text1"/>
          <w:sz w:val="24"/>
          <w:szCs w:val="24"/>
        </w:rPr>
        <w:t>, </w:t>
      </w:r>
      <w:r w:rsidR="00CA116F" w:rsidRPr="004C6EB5">
        <w:rPr>
          <w:rFonts w:ascii="Palatino Linotype" w:eastAsia="Palatino Linotype" w:hAnsi="Palatino Linotype" w:cs="Palatino Linotype"/>
          <w:bCs/>
          <w:i/>
          <w:color w:val="000000" w:themeColor="text1"/>
          <w:sz w:val="24"/>
          <w:szCs w:val="24"/>
        </w:rPr>
        <w:t>habitar</w:t>
      </w:r>
      <w:r w:rsidR="00CA116F" w:rsidRPr="004C6EB5">
        <w:rPr>
          <w:rFonts w:ascii="Palatino Linotype" w:eastAsia="Palatino Linotype" w:hAnsi="Palatino Linotype" w:cs="Palatino Linotype"/>
          <w:i/>
          <w:color w:val="000000" w:themeColor="text1"/>
          <w:sz w:val="24"/>
          <w:szCs w:val="24"/>
        </w:rPr>
        <w:t>, </w:t>
      </w:r>
      <w:r w:rsidR="00CA116F" w:rsidRPr="004C6EB5">
        <w:rPr>
          <w:rFonts w:ascii="Palatino Linotype" w:eastAsia="Palatino Linotype" w:hAnsi="Palatino Linotype" w:cs="Palatino Linotype"/>
          <w:bCs/>
          <w:i/>
          <w:color w:val="000000" w:themeColor="text1"/>
          <w:sz w:val="24"/>
          <w:szCs w:val="24"/>
        </w:rPr>
        <w:t>morar</w:t>
      </w:r>
      <w:r w:rsidR="00CA116F" w:rsidRPr="004C6EB5">
        <w:rPr>
          <w:rFonts w:ascii="Palatino Linotype" w:eastAsia="Palatino Linotype" w:hAnsi="Palatino Linotype" w:cs="Palatino Linotype"/>
          <w:i/>
          <w:color w:val="000000" w:themeColor="text1"/>
          <w:sz w:val="24"/>
          <w:szCs w:val="24"/>
        </w:rPr>
        <w:t>, </w:t>
      </w:r>
      <w:r w:rsidR="00CA116F" w:rsidRPr="004C6EB5">
        <w:rPr>
          <w:rFonts w:ascii="Palatino Linotype" w:eastAsia="Palatino Linotype" w:hAnsi="Palatino Linotype" w:cs="Palatino Linotype"/>
          <w:bCs/>
          <w:i/>
          <w:color w:val="000000" w:themeColor="text1"/>
          <w:sz w:val="24"/>
          <w:szCs w:val="24"/>
        </w:rPr>
        <w:t>radicar</w:t>
      </w:r>
      <w:r w:rsidR="00CA116F" w:rsidRPr="004C6EB5">
        <w:rPr>
          <w:rFonts w:ascii="Palatino Linotype" w:eastAsia="Palatino Linotype" w:hAnsi="Palatino Linotype" w:cs="Palatino Linotype"/>
          <w:i/>
          <w:color w:val="000000" w:themeColor="text1"/>
          <w:sz w:val="24"/>
          <w:szCs w:val="24"/>
        </w:rPr>
        <w:t>”</w:t>
      </w:r>
      <w:r w:rsidR="00CA116F" w:rsidRPr="004C6EB5">
        <w:rPr>
          <w:rFonts w:ascii="Palatino Linotype" w:eastAsia="Palatino Linotype" w:hAnsi="Palatino Linotype" w:cs="Palatino Linotype"/>
          <w:color w:val="000000" w:themeColor="text1"/>
          <w:sz w:val="24"/>
          <w:szCs w:val="24"/>
        </w:rPr>
        <w:t xml:space="preserve">; es decir, que dicha palabra  hace referencia al lugar donde una persona habitualmente vive, por lo que se debe resaltar lo siguiente: </w:t>
      </w:r>
    </w:p>
    <w:p w:rsidR="00C418EE" w:rsidRPr="004C6EB5" w:rsidRDefault="00C418EE"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A116F" w:rsidRPr="007E1ADE" w:rsidRDefault="00CA116F" w:rsidP="007E1ADE">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bCs/>
          <w:color w:val="000000" w:themeColor="text1"/>
          <w:sz w:val="24"/>
        </w:rPr>
      </w:pPr>
      <w:r w:rsidRPr="007E1ADE">
        <w:rPr>
          <w:rFonts w:ascii="Palatino Linotype" w:eastAsia="Palatino Linotype" w:hAnsi="Palatino Linotype" w:cs="Palatino Linotype"/>
          <w:b/>
          <w:bCs/>
          <w:color w:val="000000" w:themeColor="text1"/>
          <w:sz w:val="24"/>
        </w:rPr>
        <w:t>Domicilio particular</w:t>
      </w:r>
    </w:p>
    <w:p w:rsidR="00CA116F" w:rsidRPr="004C6EB5" w:rsidRDefault="00CA116F"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lang w:val="es-ES"/>
        </w:rPr>
      </w:pPr>
      <w:r w:rsidRPr="004C6EB5">
        <w:rPr>
          <w:rFonts w:ascii="Palatino Linotype" w:eastAsia="Palatino Linotype" w:hAnsi="Palatino Linotype" w:cs="Palatino Linotype"/>
          <w:color w:val="000000" w:themeColor="text1"/>
          <w:sz w:val="24"/>
          <w:szCs w:val="24"/>
          <w:lang w:val="es-ES"/>
        </w:rPr>
        <w:t xml:space="preserve">De acuerdo a lo señalado en los artículos 2.3 y 2.5 del Código Civil del Estado de México, </w:t>
      </w:r>
      <w:r w:rsidRPr="004C6EB5">
        <w:rPr>
          <w:rFonts w:ascii="Palatino Linotype" w:eastAsia="Palatino Linotype" w:hAnsi="Palatino Linotype" w:cs="Palatino Linotype"/>
          <w:b/>
          <w:color w:val="000000" w:themeColor="text1"/>
          <w:sz w:val="24"/>
          <w:szCs w:val="24"/>
          <w:lang w:val="es-ES"/>
        </w:rPr>
        <w:t>el domicilio es un atributo de la personalidad</w:t>
      </w:r>
      <w:r w:rsidRPr="004C6EB5">
        <w:rPr>
          <w:rFonts w:ascii="Palatino Linotype" w:eastAsia="Palatino Linotype" w:hAnsi="Palatino Linotype" w:cs="Palatino Linotype"/>
          <w:color w:val="000000" w:themeColor="text1"/>
          <w:sz w:val="24"/>
          <w:szCs w:val="24"/>
          <w:lang w:val="es-ES"/>
        </w:rPr>
        <w:t xml:space="preserve"> </w:t>
      </w:r>
      <w:r w:rsidRPr="004C6EB5">
        <w:rPr>
          <w:rFonts w:ascii="Palatino Linotype" w:eastAsia="Palatino Linotype" w:hAnsi="Palatino Linotype" w:cs="Palatino Linotype"/>
          <w:b/>
          <w:color w:val="000000" w:themeColor="text1"/>
          <w:sz w:val="24"/>
          <w:szCs w:val="24"/>
          <w:lang w:val="es-ES"/>
        </w:rPr>
        <w:t>y un derecho de las personas</w:t>
      </w:r>
      <w:r w:rsidRPr="004C6EB5">
        <w:rPr>
          <w:rFonts w:ascii="Palatino Linotype" w:eastAsia="Palatino Linotype" w:hAnsi="Palatino Linotype" w:cs="Palatino Linotype"/>
          <w:color w:val="000000" w:themeColor="text1"/>
          <w:sz w:val="24"/>
          <w:szCs w:val="24"/>
          <w:lang w:val="es-ES"/>
        </w:rPr>
        <w:t xml:space="preserve">; además que tiene como propósito que una persona pueda establecerse temporal o permanentemente en un lugar determinado, para habitar, establecer su centro de trabajo o negocios. </w:t>
      </w:r>
    </w:p>
    <w:p w:rsidR="00CA116F" w:rsidRPr="004C6EB5" w:rsidRDefault="00CA116F"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lang w:val="es-ES"/>
        </w:rPr>
      </w:pPr>
    </w:p>
    <w:p w:rsidR="00CA116F" w:rsidRPr="004C6EB5" w:rsidRDefault="00CA116F"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lang w:val="es-ES"/>
        </w:rPr>
      </w:pPr>
      <w:r w:rsidRPr="004C6EB5">
        <w:rPr>
          <w:rFonts w:ascii="Palatino Linotype" w:eastAsia="Palatino Linotype" w:hAnsi="Palatino Linotype" w:cs="Palatino Linotype"/>
          <w:color w:val="000000" w:themeColor="text1"/>
          <w:sz w:val="24"/>
          <w:szCs w:val="24"/>
          <w:lang w:val="es-ES"/>
        </w:rPr>
        <w:t xml:space="preserve">De la misma manera, lo establece el artículo 2.17 del Código Civil del Estado de México, al precisar que </w:t>
      </w:r>
      <w:r w:rsidRPr="004C6EB5">
        <w:rPr>
          <w:rFonts w:ascii="Palatino Linotype" w:eastAsia="Palatino Linotype" w:hAnsi="Palatino Linotype" w:cs="Palatino Linotype"/>
          <w:b/>
          <w:color w:val="000000" w:themeColor="text1"/>
          <w:sz w:val="24"/>
          <w:szCs w:val="24"/>
          <w:lang w:val="es-ES_tradnl"/>
        </w:rPr>
        <w:t>el domicilio de una persona física es el lugar donde reside con el propósito de establecerse en él</w:t>
      </w:r>
      <w:r w:rsidRPr="004C6EB5">
        <w:rPr>
          <w:rFonts w:ascii="Palatino Linotype" w:eastAsia="Palatino Linotype" w:hAnsi="Palatino Linotype" w:cs="Palatino Linotype"/>
          <w:color w:val="000000" w:themeColor="text1"/>
          <w:sz w:val="24"/>
          <w:szCs w:val="24"/>
          <w:lang w:val="es-ES_tradnl"/>
        </w:rPr>
        <w:t>; a falta de éste, el lugar en que tiene el principal asiento de sus negocios; y a falta de uno y otro, el lugar en que se halle</w:t>
      </w:r>
      <w:r w:rsidRPr="004C6EB5">
        <w:rPr>
          <w:rFonts w:ascii="Palatino Linotype" w:eastAsia="Palatino Linotype" w:hAnsi="Palatino Linotype" w:cs="Palatino Linotype"/>
          <w:color w:val="000000" w:themeColor="text1"/>
          <w:sz w:val="24"/>
          <w:szCs w:val="24"/>
          <w:lang w:val="es-ES"/>
        </w:rPr>
        <w:t>.</w:t>
      </w:r>
    </w:p>
    <w:p w:rsidR="00CA116F" w:rsidRPr="004C6EB5" w:rsidRDefault="00CA116F" w:rsidP="004C6EB5">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sz w:val="24"/>
          <w:szCs w:val="24"/>
        </w:rPr>
      </w:pPr>
    </w:p>
    <w:p w:rsidR="00CA116F" w:rsidRPr="004C6EB5" w:rsidRDefault="00CA116F"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lang w:val="es-ES"/>
        </w:rPr>
      </w:pPr>
      <w:r w:rsidRPr="004C6EB5">
        <w:rPr>
          <w:rFonts w:ascii="Palatino Linotype" w:eastAsia="Palatino Linotype" w:hAnsi="Palatino Linotype" w:cs="Palatino Linotype"/>
          <w:color w:val="000000" w:themeColor="text1"/>
          <w:sz w:val="24"/>
          <w:szCs w:val="24"/>
          <w:lang w:val="es-ES"/>
        </w:rPr>
        <w:lastRenderedPageBreak/>
        <w:t>En ese contexto, l</w:t>
      </w:r>
      <w:r w:rsidRPr="004C6EB5">
        <w:rPr>
          <w:rFonts w:ascii="Palatino Linotype" w:eastAsia="Palatino Linotype" w:hAnsi="Palatino Linotype" w:cs="Palatino Linotype"/>
          <w:b/>
          <w:color w:val="000000" w:themeColor="text1"/>
          <w:sz w:val="24"/>
          <w:szCs w:val="24"/>
          <w:lang w:val="es-ES"/>
        </w:rPr>
        <w:t>a dirección o domicilio es el lugar en donde reside habitualmente una persona física, por lo que, permite hacerlo identificable y ubicable</w:t>
      </w:r>
      <w:r w:rsidRPr="004C6EB5">
        <w:rPr>
          <w:rFonts w:ascii="Palatino Linotype" w:eastAsia="Palatino Linotype" w:hAnsi="Palatino Linotype" w:cs="Palatino Linotype"/>
          <w:color w:val="000000" w:themeColor="text1"/>
          <w:sz w:val="24"/>
          <w:szCs w:val="24"/>
          <w:lang w:val="es-ES"/>
        </w:rPr>
        <w:t xml:space="preserve">, propiciando que pueda ser molestado en su casa o negocio, de este modo, </w:t>
      </w:r>
      <w:r w:rsidRPr="004C6EB5">
        <w:rPr>
          <w:rFonts w:ascii="Palatino Linotype" w:eastAsia="Palatino Linotype" w:hAnsi="Palatino Linotype" w:cs="Palatino Linotype"/>
          <w:b/>
          <w:color w:val="000000" w:themeColor="text1"/>
          <w:sz w:val="24"/>
          <w:szCs w:val="24"/>
          <w:lang w:val="es-ES"/>
        </w:rPr>
        <w:t>los datos que permiten</w:t>
      </w:r>
      <w:r w:rsidRPr="004C6EB5">
        <w:rPr>
          <w:rFonts w:ascii="Palatino Linotype" w:eastAsia="Palatino Linotype" w:hAnsi="Palatino Linotype" w:cs="Palatino Linotype"/>
          <w:color w:val="000000" w:themeColor="text1"/>
          <w:sz w:val="24"/>
          <w:szCs w:val="24"/>
          <w:lang w:val="es-ES"/>
        </w:rPr>
        <w:t xml:space="preserve"> a cualquier individuo con esfuerzos mínimos </w:t>
      </w:r>
      <w:r w:rsidRPr="004C6EB5">
        <w:rPr>
          <w:rFonts w:ascii="Palatino Linotype" w:eastAsia="Palatino Linotype" w:hAnsi="Palatino Linotype" w:cs="Palatino Linotype"/>
          <w:b/>
          <w:color w:val="000000" w:themeColor="text1"/>
          <w:sz w:val="24"/>
          <w:szCs w:val="24"/>
          <w:lang w:val="es-ES"/>
        </w:rPr>
        <w:t>identificar el lugar de residencia</w:t>
      </w:r>
      <w:r w:rsidRPr="004C6EB5">
        <w:rPr>
          <w:rFonts w:ascii="Palatino Linotype" w:eastAsia="Palatino Linotype" w:hAnsi="Palatino Linotype" w:cs="Palatino Linotype"/>
          <w:color w:val="000000" w:themeColor="text1"/>
          <w:sz w:val="24"/>
          <w:szCs w:val="24"/>
          <w:lang w:val="es-ES"/>
        </w:rPr>
        <w:t xml:space="preserve"> o de trabajo </w:t>
      </w:r>
      <w:r w:rsidRPr="004C6EB5">
        <w:rPr>
          <w:rFonts w:ascii="Palatino Linotype" w:eastAsia="Palatino Linotype" w:hAnsi="Palatino Linotype" w:cs="Palatino Linotype"/>
          <w:b/>
          <w:color w:val="000000" w:themeColor="text1"/>
          <w:sz w:val="24"/>
          <w:szCs w:val="24"/>
          <w:lang w:val="es-ES"/>
        </w:rPr>
        <w:t>constituye un dato personal y, por ende, confidencial</w:t>
      </w:r>
      <w:r w:rsidRPr="004C6EB5">
        <w:rPr>
          <w:rFonts w:ascii="Palatino Linotype" w:eastAsia="Palatino Linotype" w:hAnsi="Palatino Linotype" w:cs="Palatino Linotype"/>
          <w:color w:val="000000" w:themeColor="text1"/>
          <w:sz w:val="24"/>
          <w:szCs w:val="24"/>
          <w:lang w:val="es-ES"/>
        </w:rPr>
        <w:t xml:space="preserve">, ya que incide directamente en la privacidad de personas físicas identificadas y su difusión podría afectar la esfera privada de las mismas. </w:t>
      </w:r>
    </w:p>
    <w:p w:rsidR="00CA116F" w:rsidRPr="004C6EB5" w:rsidRDefault="00CA116F"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lang w:val="es-ES"/>
        </w:rPr>
      </w:pPr>
    </w:p>
    <w:p w:rsidR="00CA116F" w:rsidRPr="004C6EB5" w:rsidRDefault="00CA116F"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lang w:val="es-ES"/>
        </w:rPr>
      </w:pPr>
      <w:r w:rsidRPr="004C6EB5">
        <w:rPr>
          <w:rFonts w:ascii="Palatino Linotype" w:eastAsia="Palatino Linotype" w:hAnsi="Palatino Linotype" w:cs="Palatino Linotype"/>
          <w:color w:val="000000" w:themeColor="text1"/>
          <w:sz w:val="24"/>
          <w:szCs w:val="24"/>
          <w:lang w:val="es-ES"/>
        </w:rPr>
        <w:t>Por ello, el documento que pueda acreditar el domicilio de un servidor público, es de señalar que este documento guarda la naturaleza de privado, pues no abona en nada a la transparencia, ni rinde cuentas de la forma de actuar del mismo, al contrario lo hace ubicable en su carácter de particular.</w:t>
      </w:r>
    </w:p>
    <w:p w:rsidR="00CA116F" w:rsidRPr="004C6EB5" w:rsidRDefault="00CA116F"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lang w:val="es-ES"/>
        </w:rPr>
      </w:pPr>
    </w:p>
    <w:p w:rsidR="00CA116F" w:rsidRPr="004C6EB5" w:rsidRDefault="00CA116F"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lang w:val="es-ES"/>
        </w:rPr>
      </w:pPr>
      <w:r w:rsidRPr="004C6EB5">
        <w:rPr>
          <w:rFonts w:ascii="Palatino Linotype" w:eastAsia="Palatino Linotype" w:hAnsi="Palatino Linotype" w:cs="Palatino Linotype"/>
          <w:color w:val="000000" w:themeColor="text1"/>
          <w:sz w:val="24"/>
          <w:szCs w:val="24"/>
          <w:lang w:val="es-ES"/>
        </w:rPr>
        <w:t xml:space="preserve">Por lo tanto, </w:t>
      </w:r>
      <w:r w:rsidRPr="004C6EB5">
        <w:rPr>
          <w:rFonts w:ascii="Palatino Linotype" w:eastAsia="Palatino Linotype" w:hAnsi="Palatino Linotype" w:cs="Palatino Linotype"/>
          <w:b/>
          <w:color w:val="000000" w:themeColor="text1"/>
          <w:sz w:val="24"/>
          <w:szCs w:val="24"/>
          <w:lang w:val="es-ES"/>
        </w:rPr>
        <w:t>se actualiza la clasificación del domicilio</w:t>
      </w:r>
      <w:r w:rsidRPr="004C6EB5">
        <w:rPr>
          <w:rFonts w:ascii="Palatino Linotype" w:eastAsia="Palatino Linotype" w:hAnsi="Palatino Linotype" w:cs="Palatino Linotype"/>
          <w:color w:val="000000" w:themeColor="text1"/>
          <w:sz w:val="24"/>
          <w:szCs w:val="24"/>
          <w:lang w:val="es-ES"/>
        </w:rPr>
        <w:t xml:space="preserve">, de conformidad con la fracción I, del artículo 143 de la Ley de Transparencia y Acceso a la Información Pública del Estado de México y Municipios, por lo que lo procedente, es ordenar al acuerdo emitido por el comité de transparencia en el que se clasifique la información referente al lugar de residencia del servidor público. </w:t>
      </w:r>
    </w:p>
    <w:p w:rsidR="00CA116F" w:rsidRPr="004C6EB5" w:rsidRDefault="00CA116F" w:rsidP="004C6EB5">
      <w:pPr>
        <w:pStyle w:val="Prrafodelista"/>
        <w:ind w:left="0"/>
        <w:rPr>
          <w:rFonts w:ascii="Palatino Linotype" w:hAnsi="Palatino Linotype" w:cs="Arial"/>
          <w:color w:val="000000" w:themeColor="text1"/>
          <w:sz w:val="24"/>
          <w:lang w:val="es-ES"/>
        </w:rPr>
      </w:pPr>
    </w:p>
    <w:p w:rsidR="00CA116F" w:rsidRPr="004C6EB5" w:rsidRDefault="00CA116F"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lang w:val="es-ES"/>
        </w:rPr>
      </w:pPr>
      <w:r w:rsidRPr="004C6EB5">
        <w:rPr>
          <w:rFonts w:ascii="Palatino Linotype" w:hAnsi="Palatino Linotype" w:cs="Arial"/>
          <w:color w:val="000000" w:themeColor="text1"/>
          <w:sz w:val="24"/>
          <w:szCs w:val="24"/>
          <w:lang w:val="es-ES"/>
        </w:rPr>
        <w:t xml:space="preserve">Derivado de lo anteriormente señalado, se concluye que </w:t>
      </w:r>
      <w:r w:rsidRPr="004C6EB5">
        <w:rPr>
          <w:rFonts w:ascii="Palatino Linotype" w:eastAsia="Palatino Linotype" w:hAnsi="Palatino Linotype" w:cs="Palatino Linotype"/>
          <w:color w:val="000000" w:themeColor="text1"/>
          <w:sz w:val="24"/>
          <w:szCs w:val="24"/>
        </w:rPr>
        <w:t xml:space="preserve">resultan fundadas las razones o motivos de inconformidad hechos valer por el </w:t>
      </w:r>
      <w:r w:rsidRPr="004C6EB5">
        <w:rPr>
          <w:rFonts w:ascii="Palatino Linotype" w:eastAsia="Palatino Linotype" w:hAnsi="Palatino Linotype" w:cs="Palatino Linotype"/>
          <w:b/>
          <w:color w:val="000000" w:themeColor="text1"/>
          <w:sz w:val="24"/>
          <w:szCs w:val="24"/>
        </w:rPr>
        <w:t>RECURRENTE</w:t>
      </w:r>
      <w:r w:rsidRPr="004C6EB5">
        <w:rPr>
          <w:rFonts w:ascii="Palatino Linotype" w:eastAsia="Palatino Linotype" w:hAnsi="Palatino Linotype" w:cs="Palatino Linotype"/>
          <w:color w:val="000000" w:themeColor="text1"/>
          <w:sz w:val="24"/>
          <w:szCs w:val="24"/>
        </w:rPr>
        <w:t xml:space="preserve"> dentro del recurso de revisión </w:t>
      </w:r>
      <w:r w:rsidRPr="004C6EB5">
        <w:rPr>
          <w:rFonts w:ascii="Palatino Linotype" w:eastAsia="Palatino Linotype" w:hAnsi="Palatino Linotype" w:cs="Palatino Linotype"/>
          <w:b/>
          <w:color w:val="000000" w:themeColor="text1"/>
          <w:sz w:val="24"/>
          <w:szCs w:val="24"/>
        </w:rPr>
        <w:t>03743/INFOEM/IP/RR/2025</w:t>
      </w:r>
      <w:r w:rsidRPr="004C6EB5">
        <w:rPr>
          <w:rFonts w:ascii="Palatino Linotype" w:eastAsia="Palatino Linotype" w:hAnsi="Palatino Linotype" w:cs="Palatino Linotype"/>
          <w:color w:val="000000" w:themeColor="text1"/>
          <w:sz w:val="24"/>
          <w:szCs w:val="24"/>
        </w:rPr>
        <w:t xml:space="preserve">; por ello, es procedente </w:t>
      </w:r>
      <w:r w:rsidRPr="004C6EB5">
        <w:rPr>
          <w:rFonts w:ascii="Palatino Linotype" w:eastAsia="Palatino Linotype" w:hAnsi="Palatino Linotype" w:cs="Palatino Linotype"/>
          <w:b/>
          <w:color w:val="000000" w:themeColor="text1"/>
          <w:sz w:val="24"/>
          <w:szCs w:val="24"/>
        </w:rPr>
        <w:t>ORDENAR</w:t>
      </w:r>
      <w:r w:rsidRPr="004C6EB5">
        <w:rPr>
          <w:rFonts w:ascii="Palatino Linotype" w:eastAsia="Palatino Linotype" w:hAnsi="Palatino Linotype" w:cs="Palatino Linotype"/>
          <w:color w:val="000000" w:themeColor="text1"/>
          <w:sz w:val="24"/>
          <w:szCs w:val="24"/>
        </w:rPr>
        <w:t xml:space="preserve"> al </w:t>
      </w:r>
      <w:r w:rsidRPr="004C6EB5">
        <w:rPr>
          <w:rFonts w:ascii="Palatino Linotype" w:eastAsia="Palatino Linotype" w:hAnsi="Palatino Linotype" w:cs="Palatino Linotype"/>
          <w:b/>
          <w:color w:val="000000" w:themeColor="text1"/>
          <w:sz w:val="24"/>
          <w:szCs w:val="24"/>
        </w:rPr>
        <w:t>SUJETO OBLIGADO</w:t>
      </w:r>
      <w:r w:rsidRPr="004C6EB5">
        <w:rPr>
          <w:rFonts w:ascii="Palatino Linotype" w:eastAsia="Palatino Linotype" w:hAnsi="Palatino Linotype" w:cs="Palatino Linotype"/>
          <w:color w:val="000000" w:themeColor="text1"/>
          <w:sz w:val="24"/>
          <w:szCs w:val="24"/>
        </w:rPr>
        <w:t>, de ser procedente en versión pública, la entrega de lo siguiente:</w:t>
      </w:r>
    </w:p>
    <w:p w:rsidR="00CA116F" w:rsidRPr="004C6EB5" w:rsidRDefault="00CA116F" w:rsidP="004C6EB5">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lang w:val="es-ES"/>
        </w:rPr>
      </w:pPr>
      <w:r w:rsidRPr="004C6EB5">
        <w:rPr>
          <w:rFonts w:ascii="Palatino Linotype" w:eastAsia="Palatino Linotype" w:hAnsi="Palatino Linotype" w:cs="Palatino Linotype"/>
          <w:color w:val="000000" w:themeColor="text1"/>
          <w:sz w:val="24"/>
          <w:lang w:val="es-ES"/>
        </w:rPr>
        <w:t>Cédula profesional;</w:t>
      </w:r>
    </w:p>
    <w:p w:rsidR="00CA116F" w:rsidRPr="004C6EB5" w:rsidRDefault="00CA116F" w:rsidP="004C6EB5">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lang w:val="es-ES"/>
        </w:rPr>
      </w:pPr>
      <w:r w:rsidRPr="004C6EB5">
        <w:rPr>
          <w:rFonts w:ascii="Palatino Linotype" w:eastAsia="Palatino Linotype" w:hAnsi="Palatino Linotype" w:cs="Palatino Linotype"/>
          <w:color w:val="000000" w:themeColor="text1"/>
          <w:sz w:val="24"/>
          <w:lang w:val="es-ES"/>
        </w:rPr>
        <w:lastRenderedPageBreak/>
        <w:t>Recibos de nómina correspondiente a la segunda quincena de julio y la primera y segunda quincena de diciembre de 2024;</w:t>
      </w:r>
    </w:p>
    <w:p w:rsidR="00CA116F" w:rsidRPr="004C6EB5" w:rsidRDefault="00CA116F" w:rsidP="004C6EB5">
      <w:pPr>
        <w:pStyle w:val="Prrafodelista"/>
        <w:numPr>
          <w:ilvl w:val="0"/>
          <w:numId w:val="4"/>
        </w:numPr>
        <w:spacing w:line="360" w:lineRule="auto"/>
        <w:ind w:left="0" w:firstLine="0"/>
        <w:jc w:val="both"/>
        <w:rPr>
          <w:rFonts w:ascii="Palatino Linotype" w:eastAsia="Palatino Linotype" w:hAnsi="Palatino Linotype" w:cs="Palatino Linotype"/>
          <w:bCs/>
          <w:i/>
          <w:color w:val="000000" w:themeColor="text1"/>
          <w:sz w:val="24"/>
        </w:rPr>
      </w:pPr>
      <w:r w:rsidRPr="004C6EB5">
        <w:rPr>
          <w:rFonts w:ascii="Palatino Linotype" w:eastAsia="Palatino Linotype" w:hAnsi="Palatino Linotype" w:cs="Palatino Linotype"/>
          <w:bCs/>
          <w:i/>
          <w:color w:val="000000" w:themeColor="text1"/>
          <w:sz w:val="24"/>
        </w:rPr>
        <w:t xml:space="preserve">El Acuerdo emitido por el Comité de Transparencia, en donde de manera fundada y motivada, clasifique como información confidencial por tratarse de datos personales de acuerdo al artículo 143, fracción I, de la Ley de Transparencia y Acceso a la Información Pública del Estado de México y Municipios, </w:t>
      </w:r>
      <w:r w:rsidR="001B69B4" w:rsidRPr="004C6EB5">
        <w:rPr>
          <w:rFonts w:ascii="Palatino Linotype" w:eastAsia="Palatino Linotype" w:hAnsi="Palatino Linotype" w:cs="Palatino Linotype"/>
          <w:bCs/>
          <w:i/>
          <w:color w:val="000000" w:themeColor="text1"/>
          <w:sz w:val="24"/>
        </w:rPr>
        <w:t>el documento o documentos donde conste si el servidor público de quien se solicita información, radica en el Municipio de Valle de Chalco Solidaridad.</w:t>
      </w:r>
    </w:p>
    <w:p w:rsidR="008C65C5" w:rsidRPr="004C6EB5" w:rsidRDefault="008C65C5" w:rsidP="004C6EB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lang w:val="es-ES"/>
        </w:rPr>
      </w:pPr>
    </w:p>
    <w:p w:rsidR="00C418EE" w:rsidRPr="004C6EB5" w:rsidRDefault="00CA116F" w:rsidP="004C6EB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lang w:val="es-ES"/>
        </w:rPr>
      </w:pPr>
      <w:r w:rsidRPr="004C6EB5">
        <w:rPr>
          <w:rFonts w:ascii="Palatino Linotype" w:eastAsia="Palatino Linotype" w:hAnsi="Palatino Linotype" w:cs="Palatino Linotype"/>
          <w:color w:val="000000" w:themeColor="text1"/>
          <w:sz w:val="24"/>
          <w:szCs w:val="24"/>
        </w:rPr>
        <w:t xml:space="preserve">Asimismo, es indispensable destacar que la información que se está ordenando su entrega al </w:t>
      </w:r>
      <w:r w:rsidRPr="004C6EB5">
        <w:rPr>
          <w:rFonts w:ascii="Palatino Linotype" w:eastAsia="Palatino Linotype" w:hAnsi="Palatino Linotype" w:cs="Palatino Linotype"/>
          <w:b/>
          <w:color w:val="000000" w:themeColor="text1"/>
          <w:sz w:val="24"/>
          <w:szCs w:val="24"/>
        </w:rPr>
        <w:t>RECURRENTE</w:t>
      </w:r>
      <w:r w:rsidRPr="004C6EB5">
        <w:rPr>
          <w:rFonts w:ascii="Palatino Linotype" w:eastAsia="Palatino Linotype" w:hAnsi="Palatino Linotype" w:cs="Palatino Linotype"/>
          <w:color w:val="000000" w:themeColor="text1"/>
          <w:sz w:val="24"/>
          <w:szCs w:val="24"/>
        </w:rPr>
        <w:t>, deberá realizar en su caso una versión pública, esto es, el</w:t>
      </w:r>
      <w:r w:rsidRPr="004C6EB5">
        <w:rPr>
          <w:rFonts w:ascii="Palatino Linotype" w:eastAsia="Palatino Linotype" w:hAnsi="Palatino Linotype" w:cs="Palatino Linotype"/>
          <w:b/>
          <w:color w:val="000000" w:themeColor="text1"/>
          <w:sz w:val="24"/>
          <w:szCs w:val="24"/>
        </w:rPr>
        <w:t xml:space="preserve"> SUJETO OBLIGADO</w:t>
      </w:r>
      <w:r w:rsidRPr="004C6EB5">
        <w:rPr>
          <w:rFonts w:ascii="Palatino Linotype" w:eastAsia="Palatino Linotype" w:hAnsi="Palatino Linotype" w:cs="Palatino Linotype"/>
          <w:color w:val="000000" w:themeColor="text1"/>
          <w:sz w:val="24"/>
          <w:szCs w:val="24"/>
        </w:rPr>
        <w:t xml:space="preserve"> omitirá, eliminará o suprimirá la información personal </w:t>
      </w:r>
    </w:p>
    <w:p w:rsidR="00C06690" w:rsidRPr="004C6EB5" w:rsidRDefault="00C06690" w:rsidP="004C6E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keepNext/>
        <w:keepLines/>
        <w:spacing w:line="256" w:lineRule="auto"/>
        <w:rPr>
          <w:rFonts w:ascii="Palatino Linotype" w:eastAsia="Palatino Linotype" w:hAnsi="Palatino Linotype" w:cs="Palatino Linotype"/>
          <w:b/>
          <w:color w:val="000000" w:themeColor="text1"/>
          <w:sz w:val="24"/>
          <w:szCs w:val="24"/>
        </w:rPr>
      </w:pPr>
      <w:bookmarkStart w:id="7" w:name="_heading=h.1t3h5sf" w:colFirst="0" w:colLast="0"/>
      <w:bookmarkEnd w:id="7"/>
      <w:r w:rsidRPr="004C6EB5">
        <w:rPr>
          <w:rFonts w:ascii="Palatino Linotype" w:eastAsia="Palatino Linotype" w:hAnsi="Palatino Linotype" w:cs="Palatino Linotype"/>
          <w:b/>
          <w:color w:val="000000" w:themeColor="text1"/>
          <w:sz w:val="24"/>
          <w:szCs w:val="24"/>
        </w:rPr>
        <w:t>QUINTO. DE LA VERSIÓN PÚBLICA.</w:t>
      </w:r>
    </w:p>
    <w:p w:rsidR="00C06690" w:rsidRPr="004C6EB5" w:rsidRDefault="00C06690" w:rsidP="004C6EB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Debe destacarse que, debido a la naturaleza de la información solicitada</w:t>
      </w:r>
      <w:r w:rsidRPr="004C6EB5">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color w:val="000000" w:themeColor="text1"/>
          <w:sz w:val="24"/>
          <w:szCs w:val="24"/>
        </w:rPr>
        <w:t xml:space="preserve">eventualmente pudiera obrar datos personales susceptibles de protegerse, así como información susceptible de clasificarse como reservada, el </w:t>
      </w:r>
      <w:r w:rsidRPr="004C6EB5">
        <w:rPr>
          <w:rFonts w:ascii="Palatino Linotype" w:eastAsia="Palatino Linotype" w:hAnsi="Palatino Linotype" w:cs="Palatino Linotype"/>
          <w:b/>
          <w:color w:val="000000" w:themeColor="text1"/>
          <w:sz w:val="24"/>
          <w:szCs w:val="24"/>
        </w:rPr>
        <w:t xml:space="preserve">Sujeto Obligado </w:t>
      </w:r>
      <w:r w:rsidRPr="004C6EB5">
        <w:rPr>
          <w:rFonts w:ascii="Palatino Linotype" w:eastAsia="Palatino Linotype" w:hAnsi="Palatino Linotype" w:cs="Palatino Linotype"/>
          <w:color w:val="000000" w:themeColor="text1"/>
          <w:sz w:val="24"/>
          <w:szCs w:val="24"/>
        </w:rPr>
        <w:t>deberá de hacer la adecuada versión pública, protegiendo los datos que no son susceptibles de ser proporcionados.</w:t>
      </w:r>
    </w:p>
    <w:p w:rsidR="00C06690" w:rsidRPr="004C6EB5" w:rsidRDefault="00C06690" w:rsidP="004C6EB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7"/>
        <w:gridCol w:w="7371"/>
      </w:tblGrid>
      <w:tr w:rsidR="004C6EB5" w:rsidRPr="004C6EB5" w:rsidTr="007E1ADE">
        <w:tc>
          <w:tcPr>
            <w:tcW w:w="2547" w:type="dxa"/>
            <w:tcBorders>
              <w:top w:val="single" w:sz="4" w:space="0" w:color="BFBFBF"/>
              <w:left w:val="single" w:sz="4" w:space="0" w:color="BFBFBF"/>
              <w:bottom w:val="single" w:sz="4" w:space="0" w:color="BFBFBF"/>
              <w:right w:val="single" w:sz="4" w:space="0" w:color="BFBFBF"/>
            </w:tcBorders>
          </w:tcPr>
          <w:p w:rsidR="00C06690" w:rsidRPr="004C6EB5" w:rsidRDefault="00C06690" w:rsidP="004C6EB5">
            <w:pPr>
              <w:spacing w:line="360" w:lineRule="auto"/>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a) Requisitos previos.</w:t>
            </w:r>
          </w:p>
        </w:tc>
        <w:tc>
          <w:tcPr>
            <w:tcW w:w="7371" w:type="dxa"/>
            <w:tcBorders>
              <w:top w:val="single" w:sz="4" w:space="0" w:color="BFBFBF"/>
              <w:left w:val="single" w:sz="4" w:space="0" w:color="BFBFBF"/>
              <w:bottom w:val="single" w:sz="4" w:space="0" w:color="BFBFBF"/>
              <w:right w:val="single" w:sz="4" w:space="0" w:color="BFBFBF"/>
            </w:tcBorders>
          </w:tcPr>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Al hacerlo tienen que precisar de qué información se trata, señalando el supuesto de clasificación (confidencialidad o reserva).</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4C6EB5">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4C6EB5">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4C6EB5" w:rsidRPr="004C6EB5" w:rsidTr="007E1ADE">
        <w:tc>
          <w:tcPr>
            <w:tcW w:w="2547" w:type="dxa"/>
            <w:tcBorders>
              <w:top w:val="single" w:sz="4" w:space="0" w:color="BFBFBF"/>
              <w:left w:val="single" w:sz="4" w:space="0" w:color="BFBFBF"/>
              <w:bottom w:val="single" w:sz="4" w:space="0" w:color="BFBFBF"/>
              <w:right w:val="single" w:sz="4" w:space="0" w:color="BFBFBF"/>
            </w:tcBorders>
          </w:tcPr>
          <w:p w:rsidR="00C06690" w:rsidRPr="004C6EB5" w:rsidRDefault="00C06690" w:rsidP="004C6EB5">
            <w:pPr>
              <w:spacing w:line="360" w:lineRule="auto"/>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b) Supuestos de clasificación.</w:t>
            </w:r>
          </w:p>
        </w:tc>
        <w:tc>
          <w:tcPr>
            <w:tcW w:w="7371" w:type="dxa"/>
            <w:tcBorders>
              <w:top w:val="single" w:sz="4" w:space="0" w:color="BFBFBF"/>
              <w:left w:val="single" w:sz="4" w:space="0" w:color="BFBFBF"/>
              <w:bottom w:val="single" w:sz="4" w:space="0" w:color="BFBFBF"/>
              <w:right w:val="single" w:sz="4" w:space="0" w:color="BFBFBF"/>
            </w:tcBorders>
          </w:tcPr>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C6EB5" w:rsidRPr="004C6EB5" w:rsidTr="007E1ADE">
        <w:tc>
          <w:tcPr>
            <w:tcW w:w="2547" w:type="dxa"/>
            <w:tcBorders>
              <w:top w:val="single" w:sz="4" w:space="0" w:color="BFBFBF"/>
              <w:left w:val="single" w:sz="4" w:space="0" w:color="BFBFBF"/>
              <w:bottom w:val="single" w:sz="4" w:space="0" w:color="BFBFBF"/>
              <w:right w:val="single" w:sz="4" w:space="0" w:color="BFBFBF"/>
            </w:tcBorders>
          </w:tcPr>
          <w:p w:rsidR="00C06690" w:rsidRPr="004C6EB5" w:rsidRDefault="00C06690" w:rsidP="004C6EB5">
            <w:pPr>
              <w:spacing w:line="360" w:lineRule="auto"/>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7371" w:type="dxa"/>
            <w:tcBorders>
              <w:top w:val="single" w:sz="4" w:space="0" w:color="BFBFBF"/>
              <w:left w:val="single" w:sz="4" w:space="0" w:color="BFBFBF"/>
              <w:bottom w:val="single" w:sz="4" w:space="0" w:color="BFBFBF"/>
              <w:right w:val="single" w:sz="4" w:space="0" w:color="BFBFBF"/>
            </w:tcBorders>
          </w:tcPr>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Es necesario que </w:t>
            </w:r>
            <w:r w:rsidRPr="004C6EB5">
              <w:rPr>
                <w:rFonts w:ascii="Palatino Linotype" w:eastAsia="Palatino Linotype" w:hAnsi="Palatino Linotype" w:cs="Palatino Linotype"/>
                <w:color w:val="000000" w:themeColor="text1"/>
                <w:sz w:val="24"/>
                <w:szCs w:val="24"/>
                <w:u w:val="single"/>
              </w:rPr>
              <w:t>el acto reúna con los requisitos elementales</w:t>
            </w:r>
            <w:r w:rsidRPr="004C6EB5">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C6EB5" w:rsidRPr="004C6EB5" w:rsidTr="007E1ADE">
        <w:tc>
          <w:tcPr>
            <w:tcW w:w="2547" w:type="dxa"/>
            <w:tcBorders>
              <w:top w:val="single" w:sz="4" w:space="0" w:color="BFBFBF"/>
              <w:left w:val="single" w:sz="4" w:space="0" w:color="BFBFBF"/>
              <w:bottom w:val="single" w:sz="4" w:space="0" w:color="BFBFBF"/>
              <w:right w:val="single" w:sz="4" w:space="0" w:color="BFBFBF"/>
            </w:tcBorders>
          </w:tcPr>
          <w:p w:rsidR="00C06690" w:rsidRPr="004C6EB5" w:rsidRDefault="00C06690" w:rsidP="004C6EB5">
            <w:pPr>
              <w:spacing w:line="360" w:lineRule="auto"/>
              <w:rPr>
                <w:rFonts w:ascii="Palatino Linotype" w:eastAsia="Palatino Linotype" w:hAnsi="Palatino Linotype" w:cs="Palatino Linotype"/>
                <w:color w:val="000000" w:themeColor="text1"/>
                <w:sz w:val="24"/>
                <w:szCs w:val="24"/>
              </w:rPr>
            </w:pP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d) Requisitos de fondo del acuerdo de clasificación. </w:t>
            </w:r>
          </w:p>
        </w:tc>
        <w:tc>
          <w:tcPr>
            <w:tcW w:w="7371" w:type="dxa"/>
            <w:tcBorders>
              <w:top w:val="single" w:sz="4" w:space="0" w:color="BFBFBF"/>
              <w:left w:val="single" w:sz="4" w:space="0" w:color="BFBFBF"/>
              <w:bottom w:val="single" w:sz="4" w:space="0" w:color="BFBFBF"/>
              <w:right w:val="single" w:sz="4" w:space="0" w:color="BFBFBF"/>
            </w:tcBorders>
          </w:tcPr>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w:t>
            </w:r>
            <w:r w:rsidRPr="004C6EB5">
              <w:rPr>
                <w:rFonts w:ascii="Palatino Linotype" w:eastAsia="Palatino Linotype" w:hAnsi="Palatino Linotype" w:cs="Palatino Linotype"/>
                <w:color w:val="000000" w:themeColor="text1"/>
                <w:sz w:val="24"/>
                <w:szCs w:val="24"/>
              </w:rPr>
              <w:lastRenderedPageBreak/>
              <w:t xml:space="preserve">Transparencia, la ley señala que la carga de la prueba, para justificar las restricciones, corresponde a los Sujetos Obligados, por lo que deberán fundar y motivar debidamente la clasificación. </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Ahora bien, </w:t>
            </w:r>
            <w:r w:rsidRPr="004C6EB5">
              <w:rPr>
                <w:rFonts w:ascii="Palatino Linotype" w:eastAsia="Palatino Linotype" w:hAnsi="Palatino Linotype" w:cs="Palatino Linotype"/>
                <w:color w:val="000000" w:themeColor="text1"/>
                <w:sz w:val="24"/>
                <w:szCs w:val="24"/>
                <w:u w:val="single"/>
              </w:rPr>
              <w:t>para cada caso además de fundar y motivar</w:t>
            </w:r>
            <w:r w:rsidRPr="004C6EB5">
              <w:rPr>
                <w:rFonts w:ascii="Palatino Linotype" w:eastAsia="Palatino Linotype" w:hAnsi="Palatino Linotype" w:cs="Palatino Linotype"/>
                <w:color w:val="000000" w:themeColor="text1"/>
                <w:sz w:val="24"/>
                <w:szCs w:val="24"/>
              </w:rPr>
              <w:t xml:space="preserve">, se debe identificar con claridad que datos contenidos en las documentales que son susceptibles de suprimirse, por ejemplo; Clave Única de </w:t>
            </w:r>
            <w:r w:rsidRPr="004C6EB5">
              <w:rPr>
                <w:rFonts w:ascii="Palatino Linotype" w:eastAsia="Palatino Linotype" w:hAnsi="Palatino Linotype" w:cs="Palatino Linotype"/>
                <w:color w:val="000000" w:themeColor="text1"/>
                <w:sz w:val="24"/>
                <w:szCs w:val="24"/>
              </w:rPr>
              <w:lastRenderedPageBreak/>
              <w:t>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06690" w:rsidRPr="004C6EB5" w:rsidTr="007E1ADE">
        <w:tc>
          <w:tcPr>
            <w:tcW w:w="2547" w:type="dxa"/>
            <w:tcBorders>
              <w:top w:val="single" w:sz="4" w:space="0" w:color="BFBFBF"/>
              <w:left w:val="single" w:sz="4" w:space="0" w:color="BFBFBF"/>
              <w:bottom w:val="single" w:sz="4" w:space="0" w:color="BFBFBF"/>
              <w:right w:val="single" w:sz="4" w:space="0" w:color="BFBFBF"/>
            </w:tcBorders>
          </w:tcPr>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7371" w:type="dxa"/>
            <w:tcBorders>
              <w:top w:val="single" w:sz="4" w:space="0" w:color="BFBFBF"/>
              <w:left w:val="single" w:sz="4" w:space="0" w:color="BFBFBF"/>
              <w:bottom w:val="single" w:sz="4" w:space="0" w:color="BFBFBF"/>
              <w:right w:val="single" w:sz="4" w:space="0" w:color="BFBFBF"/>
            </w:tcBorders>
          </w:tcPr>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06690" w:rsidRPr="004C6EB5" w:rsidRDefault="00C06690" w:rsidP="004C6EB5">
            <w:pPr>
              <w:spacing w:line="360" w:lineRule="auto"/>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06690" w:rsidRPr="004C6EB5" w:rsidRDefault="00C06690" w:rsidP="004C6EB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873D76" w:rsidRDefault="00873D76" w:rsidP="004C6EB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A2425E" w:rsidRPr="004C6EB5" w:rsidRDefault="00A2425E" w:rsidP="004C6EB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873D76" w:rsidRPr="004C6EB5" w:rsidRDefault="00873D76" w:rsidP="004C6EB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4C6EB5">
        <w:rPr>
          <w:rFonts w:ascii="Palatino Linotype" w:hAnsi="Palatino Linotype"/>
          <w:color w:val="000000" w:themeColor="text1"/>
          <w:sz w:val="24"/>
        </w:rPr>
        <w:t>Por otro lado, de manera enunciativa mas no limitativas, dentro de los elementos que integran los recibos de nómina se pueden encontrar los siguientes:</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lastRenderedPageBreak/>
        <w:t>Clave Única de Registro de Población (CURP);</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Número de ISSEMyM;</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Número de empleado;</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Registro Federal de Contribuyentes (RFC);</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Número de Serie del CSD del SAT;</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Número de Serie del CDS del emisor;</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Serie y folio;</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Firma;</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Código QR;</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Sello Digital del Contribuyente; y</w:t>
      </w:r>
    </w:p>
    <w:p w:rsidR="00873D76" w:rsidRPr="004C6EB5" w:rsidRDefault="00873D76" w:rsidP="004C6EB5">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Sello Digital del SAT.</w:t>
      </w:r>
    </w:p>
    <w:p w:rsidR="00873D76" w:rsidRPr="004C6EB5" w:rsidRDefault="00873D76" w:rsidP="004C6EB5">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p>
    <w:p w:rsidR="00873D76" w:rsidRPr="004C6EB5" w:rsidRDefault="00873D76" w:rsidP="004C6EB5">
      <w:pPr>
        <w:pStyle w:val="Ttulo3"/>
        <w:numPr>
          <w:ilvl w:val="0"/>
          <w:numId w:val="12"/>
        </w:numPr>
        <w:ind w:left="0" w:firstLine="0"/>
        <w:rPr>
          <w:rFonts w:ascii="Palatino Linotype" w:eastAsia="Palatino Linotype" w:hAnsi="Palatino Linotype" w:cs="Palatino Linotype"/>
          <w:b/>
          <w:color w:val="000000" w:themeColor="text1"/>
        </w:rPr>
      </w:pPr>
      <w:r w:rsidRPr="004C6EB5">
        <w:rPr>
          <w:rFonts w:ascii="Palatino Linotype" w:eastAsia="Palatino Linotype" w:hAnsi="Palatino Linotype" w:cs="Palatino Linotype"/>
          <w:b/>
          <w:color w:val="000000" w:themeColor="text1"/>
        </w:rPr>
        <w:t>Clave Única de Registro de Población (CURP).</w:t>
      </w:r>
    </w:p>
    <w:p w:rsidR="00873D76" w:rsidRPr="004C6EB5" w:rsidRDefault="00873D76" w:rsidP="004C6EB5">
      <w:pPr>
        <w:pStyle w:val="Prrafodelista"/>
        <w:numPr>
          <w:ilvl w:val="0"/>
          <w:numId w:val="1"/>
        </w:numPr>
        <w:shd w:val="clear" w:color="auto" w:fill="FFFFFF"/>
        <w:spacing w:before="240" w:after="240" w:line="360" w:lineRule="auto"/>
        <w:ind w:left="0" w:firstLine="0"/>
        <w:jc w:val="both"/>
        <w:rPr>
          <w:rFonts w:ascii="Palatino Linotype" w:hAnsi="Palatino Linotype"/>
          <w:color w:val="000000" w:themeColor="text1"/>
          <w:sz w:val="24"/>
        </w:rPr>
      </w:pPr>
      <w:r w:rsidRPr="004C6EB5">
        <w:rPr>
          <w:rFonts w:ascii="Palatino Linotype" w:eastAsia="Palatino Linotype" w:hAnsi="Palatino Linotype" w:cs="Palatino Linotype"/>
          <w:color w:val="000000" w:themeColor="text1"/>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873D76" w:rsidRPr="004C6EB5" w:rsidRDefault="00873D76" w:rsidP="004C6EB5">
      <w:pPr>
        <w:shd w:val="clear" w:color="auto" w:fill="FFFFFF"/>
        <w:spacing w:before="240" w:after="240" w:line="360" w:lineRule="auto"/>
        <w:jc w:val="center"/>
        <w:rPr>
          <w:rFonts w:ascii="Palatino Linotype" w:hAnsi="Palatino Linotype"/>
          <w:color w:val="000000" w:themeColor="text1"/>
          <w:sz w:val="24"/>
          <w:szCs w:val="24"/>
        </w:rPr>
      </w:pPr>
      <w:r w:rsidRPr="004C6EB5">
        <w:rPr>
          <w:rFonts w:ascii="Palatino Linotype" w:hAnsi="Palatino Linotype"/>
          <w:noProof/>
          <w:color w:val="000000" w:themeColor="text1"/>
          <w:sz w:val="24"/>
          <w:szCs w:val="24"/>
          <w:lang w:eastAsia="es-MX"/>
        </w:rPr>
        <w:lastRenderedPageBreak/>
        <w:drawing>
          <wp:inline distT="0" distB="0" distL="0" distR="0" wp14:anchorId="2DE40694" wp14:editId="1FDD1A09">
            <wp:extent cx="5305425" cy="4676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25748" t="8269" r="41254" b="18081"/>
                    <a:stretch>
                      <a:fillRect/>
                    </a:stretch>
                  </pic:blipFill>
                  <pic:spPr>
                    <a:xfrm>
                      <a:off x="0" y="0"/>
                      <a:ext cx="5305425" cy="4676775"/>
                    </a:xfrm>
                    <a:prstGeom prst="rect">
                      <a:avLst/>
                    </a:prstGeom>
                    <a:ln/>
                  </pic:spPr>
                </pic:pic>
              </a:graphicData>
            </a:graphic>
          </wp:inline>
        </w:drawing>
      </w:r>
    </w:p>
    <w:p w:rsidR="00873D76" w:rsidRPr="00A2425E"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Entre las características de la CURP, se encuentra: </w:t>
      </w:r>
    </w:p>
    <w:p w:rsidR="00873D76" w:rsidRPr="004C6EB5" w:rsidRDefault="00873D76" w:rsidP="004C6EB5">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b/>
          <w:color w:val="000000" w:themeColor="text1"/>
          <w:sz w:val="24"/>
        </w:rPr>
        <w:t xml:space="preserve">Composición. </w:t>
      </w:r>
      <w:r w:rsidRPr="004C6EB5">
        <w:rPr>
          <w:rFonts w:ascii="Palatino Linotype" w:eastAsia="Palatino Linotype" w:hAnsi="Palatino Linotype" w:cs="Palatino Linotype"/>
          <w:color w:val="000000" w:themeColor="text1"/>
          <w:sz w:val="24"/>
        </w:rPr>
        <w:t>Alfanumérica.</w:t>
      </w:r>
    </w:p>
    <w:p w:rsidR="00873D76" w:rsidRPr="004C6EB5" w:rsidRDefault="00873D76" w:rsidP="004C6EB5">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b/>
          <w:color w:val="000000" w:themeColor="text1"/>
          <w:sz w:val="24"/>
        </w:rPr>
        <w:lastRenderedPageBreak/>
        <w:t xml:space="preserve">Longitud. </w:t>
      </w:r>
      <w:r w:rsidRPr="004C6EB5">
        <w:rPr>
          <w:rFonts w:ascii="Palatino Linotype" w:eastAsia="Palatino Linotype" w:hAnsi="Palatino Linotype" w:cs="Palatino Linotype"/>
          <w:color w:val="000000" w:themeColor="text1"/>
          <w:sz w:val="24"/>
        </w:rPr>
        <w:t xml:space="preserve"> 18 caracteres.</w:t>
      </w:r>
    </w:p>
    <w:p w:rsidR="00873D76" w:rsidRPr="004C6EB5" w:rsidRDefault="00873D76" w:rsidP="004C6EB5">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b/>
          <w:color w:val="000000" w:themeColor="text1"/>
          <w:sz w:val="24"/>
        </w:rPr>
        <w:t xml:space="preserve">Naturaleza. </w:t>
      </w:r>
      <w:r w:rsidRPr="004C6EB5">
        <w:rPr>
          <w:rFonts w:ascii="Palatino Linotype" w:eastAsia="Palatino Linotype" w:hAnsi="Palatino Linotype" w:cs="Palatino Linotype"/>
          <w:color w:val="000000" w:themeColor="text1"/>
          <w:sz w:val="24"/>
        </w:rPr>
        <w:t>Biunívoca.</w:t>
      </w:r>
    </w:p>
    <w:p w:rsidR="00873D76" w:rsidRPr="004C6EB5" w:rsidRDefault="00873D76" w:rsidP="004C6EB5">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b/>
          <w:color w:val="000000" w:themeColor="text1"/>
          <w:sz w:val="24"/>
        </w:rPr>
        <w:t xml:space="preserve">Universalidad. </w:t>
      </w:r>
      <w:r w:rsidRPr="004C6EB5">
        <w:rPr>
          <w:rFonts w:ascii="Palatino Linotype" w:eastAsia="Palatino Linotype" w:hAnsi="Palatino Linotype" w:cs="Palatino Linotype"/>
          <w:color w:val="000000" w:themeColor="text1"/>
          <w:sz w:val="24"/>
        </w:rPr>
        <w:t>Se asigna a todas las personas que conforman la población.</w:t>
      </w:r>
    </w:p>
    <w:p w:rsidR="00873D76" w:rsidRPr="004C6EB5" w:rsidRDefault="00873D76" w:rsidP="004C6EB5">
      <w:pPr>
        <w:pStyle w:val="Prrafodelista"/>
        <w:tabs>
          <w:tab w:val="left" w:pos="426"/>
          <w:tab w:val="left" w:pos="567"/>
        </w:tabs>
        <w:spacing w:line="360" w:lineRule="auto"/>
        <w:ind w:left="0"/>
        <w:jc w:val="both"/>
        <w:rPr>
          <w:rFonts w:ascii="Palatino Linotype" w:eastAsia="Palatino Linotype" w:hAnsi="Palatino Linotype" w:cs="Palatino Linotype"/>
          <w:b/>
          <w:color w:val="000000" w:themeColor="text1"/>
          <w:sz w:val="24"/>
        </w:rPr>
      </w:pPr>
      <w:r w:rsidRPr="004C6EB5">
        <w:rPr>
          <w:rFonts w:ascii="Palatino Linotype" w:eastAsia="Palatino Linotype" w:hAnsi="Palatino Linotype" w:cs="Palatino Linotype"/>
          <w:b/>
          <w:color w:val="000000" w:themeColor="text1"/>
          <w:sz w:val="24"/>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Ante ello, resulta aplicable el Criterio 18/17 emitido por el Instituto Nacional de Transparencia, Acceso a la Información y Protección de Datos Personales, que a la literalidad señala: </w:t>
      </w:r>
    </w:p>
    <w:p w:rsidR="00873D76" w:rsidRPr="004C6EB5" w:rsidRDefault="00873D76" w:rsidP="004C6EB5">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i/>
          <w:color w:val="000000" w:themeColor="text1"/>
          <w:sz w:val="24"/>
        </w:rPr>
        <w:lastRenderedPageBreak/>
        <w:t>“</w:t>
      </w:r>
      <w:r w:rsidRPr="004C6EB5">
        <w:rPr>
          <w:rFonts w:ascii="Palatino Linotype" w:eastAsia="Palatino Linotype" w:hAnsi="Palatino Linotype" w:cs="Palatino Linotype"/>
          <w:b/>
          <w:i/>
          <w:color w:val="000000" w:themeColor="text1"/>
          <w:sz w:val="24"/>
        </w:rPr>
        <w:t xml:space="preserve">Clave Única de Registro de Población (CURP). </w:t>
      </w:r>
      <w:r w:rsidRPr="004C6EB5">
        <w:rPr>
          <w:rFonts w:ascii="Palatino Linotype" w:eastAsia="Palatino Linotype" w:hAnsi="Palatino Linotype" w:cs="Palatino Linotype"/>
          <w:i/>
          <w:color w:val="000000" w:themeColor="text1"/>
          <w:sz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873D76" w:rsidRPr="004C6EB5" w:rsidRDefault="00873D76" w:rsidP="004C6EB5">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p>
    <w:p w:rsidR="00873D76" w:rsidRPr="004C6EB5" w:rsidRDefault="00873D76" w:rsidP="004C6EB5">
      <w:pPr>
        <w:pStyle w:val="Ttulo3"/>
        <w:numPr>
          <w:ilvl w:val="0"/>
          <w:numId w:val="14"/>
        </w:numPr>
        <w:ind w:left="0" w:firstLine="0"/>
        <w:rPr>
          <w:rFonts w:ascii="Palatino Linotype" w:eastAsia="Palatino Linotype" w:hAnsi="Palatino Linotype" w:cs="Palatino Linotype"/>
          <w:b/>
          <w:color w:val="000000" w:themeColor="text1"/>
        </w:rPr>
      </w:pPr>
      <w:r w:rsidRPr="004C6EB5">
        <w:rPr>
          <w:rFonts w:ascii="Palatino Linotype" w:eastAsia="Palatino Linotype" w:hAnsi="Palatino Linotype" w:cs="Palatino Linotype"/>
          <w:b/>
          <w:color w:val="000000" w:themeColor="text1"/>
        </w:rPr>
        <w:t>Clave ISSEMyM</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Como se advierte, el número del Instituto de Seguridad y Servicios Sociales del Estado de México y Municipios, es un dato personal que permite identificar que una persona que </w:t>
      </w:r>
      <w:r w:rsidRPr="004C6EB5">
        <w:rPr>
          <w:rFonts w:ascii="Palatino Linotype" w:eastAsia="Palatino Linotype" w:hAnsi="Palatino Linotype" w:cs="Palatino Linotype"/>
          <w:color w:val="000000" w:themeColor="text1"/>
          <w:sz w:val="24"/>
          <w:szCs w:val="24"/>
        </w:rPr>
        <w:lastRenderedPageBreak/>
        <w:t>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873D76" w:rsidRPr="004C6EB5" w:rsidRDefault="00873D76" w:rsidP="004C6EB5">
      <w:pPr>
        <w:pStyle w:val="Ttulo3"/>
        <w:numPr>
          <w:ilvl w:val="0"/>
          <w:numId w:val="14"/>
        </w:numPr>
        <w:ind w:left="0" w:firstLine="0"/>
        <w:rPr>
          <w:rFonts w:ascii="Palatino Linotype" w:eastAsia="Palatino Linotype" w:hAnsi="Palatino Linotype" w:cs="Palatino Linotype"/>
          <w:b/>
          <w:color w:val="000000" w:themeColor="text1"/>
        </w:rPr>
      </w:pPr>
      <w:r w:rsidRPr="004C6EB5">
        <w:rPr>
          <w:rFonts w:ascii="Palatino Linotype" w:eastAsia="Palatino Linotype" w:hAnsi="Palatino Linotype" w:cs="Palatino Linotype"/>
          <w:b/>
          <w:color w:val="000000" w:themeColor="text1"/>
        </w:rPr>
        <w:t>Número de empleado.</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873D76" w:rsidRPr="004C6EB5" w:rsidRDefault="00873D76" w:rsidP="004C6EB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rPr>
      </w:pPr>
      <w:r w:rsidRPr="004C6EB5">
        <w:rPr>
          <w:rFonts w:ascii="Palatino Linotype" w:eastAsia="Palatino Linotype" w:hAnsi="Palatino Linotype" w:cs="Palatino Linotype"/>
          <w:b/>
          <w:i/>
          <w:color w:val="000000" w:themeColor="text1"/>
          <w:sz w:val="24"/>
        </w:rPr>
        <w:t>Número de empleado.</w:t>
      </w:r>
      <w:r w:rsidRPr="004C6EB5">
        <w:rPr>
          <w:rFonts w:ascii="Palatino Linotype" w:eastAsia="Palatino Linotype" w:hAnsi="Palatino Linotype" w:cs="Palatino Linotype"/>
          <w:i/>
          <w:color w:val="000000" w:themeColor="text1"/>
          <w:sz w:val="24"/>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En otros escenarios, el número de empleado corresponde sólo a un número consecutivo que no contiene datos personales ni se relaciona con los mismos, por lo que, el Sujeto Obligado </w:t>
      </w:r>
      <w:r w:rsidRPr="004C6EB5">
        <w:rPr>
          <w:rFonts w:ascii="Palatino Linotype" w:eastAsia="Palatino Linotype" w:hAnsi="Palatino Linotype" w:cs="Palatino Linotype"/>
          <w:color w:val="000000" w:themeColor="text1"/>
          <w:sz w:val="24"/>
          <w:szCs w:val="24"/>
        </w:rPr>
        <w:lastRenderedPageBreak/>
        <w:t>deberá de clasificar dicho dato únicamente si se integra con datos personales, tal y como lo señala el criterio orientador.</w:t>
      </w:r>
    </w:p>
    <w:p w:rsidR="00873D76" w:rsidRPr="004C6EB5" w:rsidRDefault="00873D76" w:rsidP="004C6EB5">
      <w:pPr>
        <w:pStyle w:val="Prrafodelista"/>
        <w:numPr>
          <w:ilvl w:val="0"/>
          <w:numId w:val="14"/>
        </w:numPr>
        <w:shd w:val="clear" w:color="auto" w:fill="FFFFFF"/>
        <w:spacing w:before="240" w:after="240" w:line="360" w:lineRule="auto"/>
        <w:ind w:left="0" w:firstLine="0"/>
        <w:jc w:val="both"/>
        <w:rPr>
          <w:rFonts w:ascii="Palatino Linotype" w:hAnsi="Palatino Linotype"/>
          <w:color w:val="000000" w:themeColor="text1"/>
          <w:sz w:val="24"/>
        </w:rPr>
      </w:pPr>
      <w:r w:rsidRPr="004C6EB5">
        <w:rPr>
          <w:rFonts w:ascii="Palatino Linotype" w:eastAsia="Palatino Linotype" w:hAnsi="Palatino Linotype" w:cs="Palatino Linotype"/>
          <w:b/>
          <w:color w:val="000000" w:themeColor="text1"/>
          <w:sz w:val="24"/>
        </w:rPr>
        <w:t>Registro Federal de Contribuyentes (RFC)</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w:t>
      </w:r>
      <w:r w:rsidRPr="004C6EB5">
        <w:rPr>
          <w:rFonts w:ascii="Palatino Linotype" w:eastAsia="Palatino Linotype" w:hAnsi="Palatino Linotype" w:cs="Palatino Linotype"/>
          <w:color w:val="000000" w:themeColor="text1"/>
          <w:sz w:val="24"/>
          <w:szCs w:val="24"/>
        </w:rPr>
        <w:lastRenderedPageBreak/>
        <w:t>Contribuyentes únicamente sirve para efectos fiscales y pago de contribuciones, por lo que se trata de un dato relevante únicamente para las personas involucradas, en el pago de estos.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Lo anterior, resulta congruente con el Criterio 19/17 emitido por el Instituto Nacional de Transparencia, Acceso a la Información y Protección de Datos Personales, en el cual se señala lo siguiente:</w:t>
      </w:r>
    </w:p>
    <w:p w:rsidR="00873D76" w:rsidRPr="004C6EB5" w:rsidRDefault="00873D76" w:rsidP="004C6EB5">
      <w:pPr>
        <w:pStyle w:val="Prrafodelista"/>
        <w:spacing w:line="360" w:lineRule="auto"/>
        <w:ind w:left="0"/>
        <w:jc w:val="both"/>
        <w:rPr>
          <w:rFonts w:ascii="Palatino Linotype" w:eastAsia="Palatino Linotype" w:hAnsi="Palatino Linotype" w:cs="Palatino Linotype"/>
          <w:b/>
          <w:i/>
          <w:color w:val="000000" w:themeColor="text1"/>
          <w:sz w:val="24"/>
        </w:rPr>
      </w:pPr>
      <w:r w:rsidRPr="004C6EB5">
        <w:rPr>
          <w:rFonts w:ascii="Palatino Linotype" w:eastAsia="Palatino Linotype" w:hAnsi="Palatino Linotype" w:cs="Palatino Linotype"/>
          <w:b/>
          <w:i/>
          <w:color w:val="000000" w:themeColor="text1"/>
          <w:sz w:val="24"/>
        </w:rPr>
        <w:t xml:space="preserve">Registro Federal de Contribuyentes (RFC) de personas físicas. </w:t>
      </w:r>
    </w:p>
    <w:p w:rsidR="00873D76" w:rsidRPr="004C6EB5" w:rsidRDefault="00873D76" w:rsidP="004C6EB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rPr>
      </w:pPr>
      <w:r w:rsidRPr="004C6EB5">
        <w:rPr>
          <w:rFonts w:ascii="Palatino Linotype" w:eastAsia="Palatino Linotype" w:hAnsi="Palatino Linotype" w:cs="Palatino Linotype"/>
          <w:i/>
          <w:color w:val="000000" w:themeColor="text1"/>
          <w:sz w:val="24"/>
        </w:rPr>
        <w:t>El RFC es una clave de carácter fiscal, única e irrepetible, que permite identificar al titular, su edad y fecha de nacimiento, por lo que es un dato personal de carácter confidencial.</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b/>
          <w:color w:val="000000" w:themeColor="text1"/>
          <w:sz w:val="24"/>
          <w:szCs w:val="24"/>
        </w:rPr>
        <w:t>De tal suerte, el Registro Federal de Contribuyentes de las personas físicas no guarda relación con la transparencia de los recursos públicos</w:t>
      </w:r>
      <w:r w:rsidRPr="004C6EB5">
        <w:rPr>
          <w:rFonts w:ascii="Palatino Linotype" w:eastAsia="Palatino Linotype" w:hAnsi="Palatino Linotype" w:cs="Palatino Linotype"/>
          <w:color w:val="000000" w:themeColor="text1"/>
          <w:sz w:val="24"/>
          <w:szCs w:val="24"/>
        </w:rPr>
        <w:t>, así como tampoco con el desempeño laboral que pueda tener una persona.</w:t>
      </w:r>
      <w:bookmarkStart w:id="8" w:name="_heading=h.35nkun2" w:colFirst="0" w:colLast="0"/>
      <w:bookmarkEnd w:id="8"/>
    </w:p>
    <w:p w:rsidR="00873D76" w:rsidRPr="004C6EB5" w:rsidRDefault="00873D76" w:rsidP="004C6EB5">
      <w:pPr>
        <w:pStyle w:val="Ttulo3"/>
        <w:numPr>
          <w:ilvl w:val="0"/>
          <w:numId w:val="14"/>
        </w:numPr>
        <w:ind w:left="0" w:firstLine="0"/>
        <w:rPr>
          <w:rFonts w:ascii="Palatino Linotype" w:eastAsia="Palatino Linotype" w:hAnsi="Palatino Linotype" w:cs="Palatino Linotype"/>
          <w:b/>
          <w:color w:val="000000" w:themeColor="text1"/>
        </w:rPr>
      </w:pPr>
      <w:r w:rsidRPr="004C6EB5">
        <w:rPr>
          <w:rFonts w:ascii="Palatino Linotype" w:eastAsia="Palatino Linotype" w:hAnsi="Palatino Linotype" w:cs="Palatino Linotype"/>
          <w:b/>
          <w:color w:val="000000" w:themeColor="text1"/>
        </w:rPr>
        <w:t>Deducciones personales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Es necesario precisar que existen deducciones que se generan con motivo de una decisión libre y voluntaria de los servidores públicos, como son: créditos personales, </w:t>
      </w:r>
      <w:r w:rsidRPr="004C6EB5">
        <w:rPr>
          <w:rFonts w:ascii="Palatino Linotype" w:eastAsia="Palatino Linotype" w:hAnsi="Palatino Linotype" w:cs="Palatino Linotype"/>
          <w:b/>
          <w:color w:val="000000" w:themeColor="text1"/>
          <w:sz w:val="24"/>
          <w:szCs w:val="24"/>
          <w:u w:val="single"/>
        </w:rPr>
        <w:t>cuotas sindicales y fondo de resistencia del Sindicato Único de Trabajadores de los Poderes, Municipios e Institución Descentralizadas del Estado de México</w:t>
      </w:r>
      <w:r w:rsidRPr="004C6EB5">
        <w:rPr>
          <w:rFonts w:ascii="Palatino Linotype" w:eastAsia="Palatino Linotype" w:hAnsi="Palatino Linotype" w:cs="Palatino Linotype"/>
          <w:color w:val="000000" w:themeColor="text1"/>
          <w:sz w:val="24"/>
          <w:szCs w:val="24"/>
        </w:rPr>
        <w:t>, seguro de vida, accidentes y enfermedades.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Asimismo, hay otras que se generan con motivo de una sentencia judicial, como es la pensión alimenticia que periódicamente se retira de la cuenta de un empleado, a efecto de que sea entregado a un tercero.  </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Así, dichas deducciones reflejan el destino que un servidor público da a su patrimonio, lo que se aleja de la transparencia y rendición de cuentas.</w:t>
      </w:r>
      <w:bookmarkStart w:id="9" w:name="_heading=h.1ksv4uv" w:colFirst="0" w:colLast="0"/>
      <w:bookmarkEnd w:id="9"/>
    </w:p>
    <w:p w:rsidR="00873D76" w:rsidRPr="004C6EB5" w:rsidRDefault="00873D76" w:rsidP="004C6EB5">
      <w:pPr>
        <w:pStyle w:val="Ttulo3"/>
        <w:numPr>
          <w:ilvl w:val="0"/>
          <w:numId w:val="14"/>
        </w:numPr>
        <w:ind w:left="0" w:firstLine="0"/>
        <w:rPr>
          <w:rFonts w:ascii="Palatino Linotype" w:eastAsia="Palatino Linotype" w:hAnsi="Palatino Linotype" w:cs="Palatino Linotype"/>
          <w:b/>
          <w:color w:val="000000" w:themeColor="text1"/>
        </w:rPr>
      </w:pPr>
      <w:r w:rsidRPr="004C6EB5">
        <w:rPr>
          <w:rFonts w:ascii="Palatino Linotype" w:eastAsia="Palatino Linotype" w:hAnsi="Palatino Linotype" w:cs="Palatino Linotype"/>
          <w:b/>
          <w:color w:val="000000" w:themeColor="text1"/>
        </w:rPr>
        <w:t>CÓDIGO QR</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En principio, resulta necesario señalar que los comprobantes fiscales digitales por Internet, deben de incluir un código bidimensional conforme al formato </w:t>
      </w:r>
      <w:r w:rsidRPr="004C6EB5">
        <w:rPr>
          <w:rFonts w:ascii="Palatino Linotype" w:eastAsia="Palatino Linotype" w:hAnsi="Palatino Linotype" w:cs="Palatino Linotype"/>
          <w:i/>
          <w:color w:val="000000" w:themeColor="text1"/>
          <w:sz w:val="24"/>
          <w:szCs w:val="24"/>
        </w:rPr>
        <w:t>QR Code (Quick Response Code)</w:t>
      </w:r>
      <w:r w:rsidRPr="004C6EB5">
        <w:rPr>
          <w:rFonts w:ascii="Palatino Linotype" w:eastAsia="Palatino Linotype" w:hAnsi="Palatino Linotype" w:cs="Palatino Linotype"/>
          <w:color w:val="000000" w:themeColor="text1"/>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6">
        <w:r w:rsidRPr="004C6EB5">
          <w:rPr>
            <w:rFonts w:ascii="Palatino Linotype" w:eastAsia="Palatino Linotype" w:hAnsi="Palatino Linotype" w:cs="Palatino Linotype"/>
            <w:color w:val="000000" w:themeColor="text1"/>
            <w:sz w:val="24"/>
            <w:szCs w:val="24"/>
            <w:u w:val="single"/>
          </w:rPr>
          <w:t>http://dof.gob.mx/nota_detalle.php?codigo=5492254&amp;fecha=28/07/2017</w:t>
        </w:r>
      </w:hyperlink>
      <w:r w:rsidRPr="004C6EB5">
        <w:rPr>
          <w:rFonts w:ascii="Palatino Linotype" w:eastAsia="Palatino Linotype" w:hAnsi="Palatino Linotype" w:cs="Palatino Linotype"/>
          <w:color w:val="000000" w:themeColor="text1"/>
          <w:sz w:val="24"/>
          <w:szCs w:val="24"/>
        </w:rPr>
        <w:t>. Incluso con la captura de dicho código, a través de la aplicación móvil del Servicio de Administración Tributaria, permite el acceso al Registro Federal de Contribuyentes, como del Sujeto Obligado, como de los servidores públicos.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Hasta este punto, se considera que la información relacionada con los siguientes puntos actualiza una causal de confidencialidad, toda vez que identifica o hace identificable a su titular.</w:t>
      </w:r>
    </w:p>
    <w:p w:rsidR="00873D76" w:rsidRPr="004C6EB5" w:rsidRDefault="00873D76" w:rsidP="004C6EB5">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Clave Única de Registro de Población (CURP)</w:t>
      </w:r>
    </w:p>
    <w:p w:rsidR="00873D76" w:rsidRPr="004C6EB5" w:rsidRDefault="00873D76" w:rsidP="004C6EB5">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Clave ISSEMyM</w:t>
      </w:r>
    </w:p>
    <w:p w:rsidR="00873D76" w:rsidRPr="004C6EB5" w:rsidRDefault="00873D76" w:rsidP="004C6EB5">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 xml:space="preserve">Número de empleado </w:t>
      </w:r>
      <w:r w:rsidRPr="004C6EB5">
        <w:rPr>
          <w:rFonts w:ascii="Palatino Linotype" w:eastAsia="Palatino Linotype" w:hAnsi="Palatino Linotype" w:cs="Palatino Linotype"/>
          <w:b/>
          <w:color w:val="000000" w:themeColor="text1"/>
          <w:sz w:val="24"/>
        </w:rPr>
        <w:t>(sólo en el caso de que contenga datos personales o se relacione con los mismos, de lo contrario es información pública)</w:t>
      </w:r>
    </w:p>
    <w:p w:rsidR="00873D76" w:rsidRPr="004C6EB5" w:rsidRDefault="00873D76" w:rsidP="004C6EB5">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Registro Federal de Contribuyentes (RFC)</w:t>
      </w:r>
    </w:p>
    <w:p w:rsidR="00873D76" w:rsidRPr="004C6EB5" w:rsidRDefault="00873D76" w:rsidP="004C6EB5">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Deducciones personales</w:t>
      </w:r>
    </w:p>
    <w:p w:rsidR="00873D76" w:rsidRPr="004C6EB5" w:rsidRDefault="00873D76" w:rsidP="004C6EB5">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r w:rsidRPr="004C6EB5">
        <w:rPr>
          <w:rFonts w:ascii="Palatino Linotype" w:eastAsia="Palatino Linotype" w:hAnsi="Palatino Linotype" w:cs="Palatino Linotype"/>
          <w:b/>
          <w:color w:val="000000" w:themeColor="text1"/>
          <w:sz w:val="24"/>
        </w:rPr>
        <w:t>Código QR</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Ahora bien, siguiendo con el análisis de los datos que contienen los recibos remitidos, siguen los siguientes:</w:t>
      </w:r>
      <w:bookmarkStart w:id="10" w:name="_heading=h.44sinio" w:colFirst="0" w:colLast="0"/>
      <w:bookmarkEnd w:id="10"/>
    </w:p>
    <w:p w:rsidR="00873D76" w:rsidRPr="004C6EB5" w:rsidRDefault="00873D76" w:rsidP="004C6EB5">
      <w:pPr>
        <w:pStyle w:val="Ttulo3"/>
        <w:numPr>
          <w:ilvl w:val="0"/>
          <w:numId w:val="15"/>
        </w:numPr>
        <w:spacing w:line="360" w:lineRule="auto"/>
        <w:ind w:left="0" w:firstLine="0"/>
        <w:jc w:val="both"/>
        <w:rPr>
          <w:rFonts w:ascii="Palatino Linotype" w:eastAsia="Palatino Linotype" w:hAnsi="Palatino Linotype" w:cs="Palatino Linotype"/>
          <w:b/>
          <w:color w:val="000000" w:themeColor="text1"/>
        </w:rPr>
      </w:pPr>
      <w:r w:rsidRPr="004C6EB5">
        <w:rPr>
          <w:rFonts w:ascii="Palatino Linotype" w:eastAsia="Palatino Linotype" w:hAnsi="Palatino Linotype" w:cs="Palatino Linotype"/>
          <w:b/>
          <w:color w:val="000000" w:themeColor="text1"/>
        </w:rPr>
        <w:lastRenderedPageBreak/>
        <w:t>Sellos digitales del emisor y del Servicio de Administración Tributaria y cadena original del complemento de certificación digital del órgano previamente señalado; así como folio fiscal. (PUBLICOS)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Las cadenas originales y sellos que se agregan a las facturas</w:t>
      </w:r>
      <w:r w:rsidRPr="004C6EB5">
        <w:rPr>
          <w:rFonts w:ascii="Palatino Linotype" w:eastAsia="Palatino Linotype" w:hAnsi="Palatino Linotype" w:cs="Palatino Linotype"/>
          <w:b/>
          <w:color w:val="000000" w:themeColor="text1"/>
          <w:sz w:val="24"/>
          <w:szCs w:val="24"/>
        </w:rPr>
        <w:t>,</w:t>
      </w:r>
      <w:r w:rsidRPr="004C6EB5">
        <w:rPr>
          <w:rFonts w:ascii="Palatino Linotype" w:eastAsia="Palatino Linotype" w:hAnsi="Palatino Linotype" w:cs="Palatino Linotype"/>
          <w:color w:val="000000" w:themeColor="text1"/>
          <w:sz w:val="24"/>
          <w:szCs w:val="24"/>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873D76" w:rsidRPr="004C6EB5" w:rsidRDefault="00873D76" w:rsidP="004C6EB5">
      <w:pPr>
        <w:pStyle w:val="Prrafodelista"/>
        <w:spacing w:line="360" w:lineRule="auto"/>
        <w:ind w:left="0"/>
        <w:jc w:val="both"/>
        <w:rPr>
          <w:rFonts w:ascii="Palatino Linotype" w:eastAsia="Palatino Linotype" w:hAnsi="Palatino Linotype" w:cs="Palatino Linotype"/>
          <w:i/>
          <w:color w:val="000000" w:themeColor="text1"/>
          <w:sz w:val="24"/>
        </w:rPr>
      </w:pPr>
      <w:r w:rsidRPr="004C6EB5">
        <w:rPr>
          <w:rFonts w:ascii="Palatino Linotype" w:eastAsia="Palatino Linotype" w:hAnsi="Palatino Linotype" w:cs="Palatino Linotype"/>
          <w:i/>
          <w:color w:val="000000" w:themeColor="text1"/>
          <w:sz w:val="24"/>
        </w:rPr>
        <w:t>“Elementos utilizados en la generación de Sellos Digitales:</w:t>
      </w:r>
    </w:p>
    <w:p w:rsidR="00873D76" w:rsidRPr="004C6EB5" w:rsidRDefault="00873D76" w:rsidP="004C6EB5">
      <w:pPr>
        <w:pStyle w:val="Prrafodelista"/>
        <w:spacing w:line="360" w:lineRule="auto"/>
        <w:ind w:left="0"/>
        <w:jc w:val="both"/>
        <w:rPr>
          <w:rFonts w:ascii="Palatino Linotype" w:eastAsia="Palatino Linotype" w:hAnsi="Palatino Linotype" w:cs="Palatino Linotype"/>
          <w:i/>
          <w:color w:val="000000" w:themeColor="text1"/>
          <w:sz w:val="24"/>
        </w:rPr>
      </w:pPr>
      <w:r w:rsidRPr="004C6EB5">
        <w:rPr>
          <w:rFonts w:ascii="Palatino Linotype" w:eastAsia="Palatino Linotype" w:hAnsi="Palatino Linotype" w:cs="Palatino Linotype"/>
          <w:i/>
          <w:color w:val="000000" w:themeColor="text1"/>
          <w:sz w:val="24"/>
        </w:rPr>
        <w:t>•Cadena Original, el elemento a sellar, en este caso de un comprobante fiscal digital a través de Internet.</w:t>
      </w:r>
    </w:p>
    <w:p w:rsidR="00873D76" w:rsidRPr="004C6EB5" w:rsidRDefault="00873D76" w:rsidP="004C6EB5">
      <w:pPr>
        <w:pStyle w:val="Prrafodelista"/>
        <w:spacing w:line="360" w:lineRule="auto"/>
        <w:ind w:left="0"/>
        <w:jc w:val="both"/>
        <w:rPr>
          <w:rFonts w:ascii="Palatino Linotype" w:eastAsia="Palatino Linotype" w:hAnsi="Palatino Linotype" w:cs="Palatino Linotype"/>
          <w:i/>
          <w:color w:val="000000" w:themeColor="text1"/>
          <w:sz w:val="24"/>
        </w:rPr>
      </w:pPr>
      <w:r w:rsidRPr="004C6EB5">
        <w:rPr>
          <w:rFonts w:ascii="Palatino Linotype" w:eastAsia="Palatino Linotype" w:hAnsi="Palatino Linotype" w:cs="Palatino Linotype"/>
          <w:i/>
          <w:color w:val="000000" w:themeColor="text1"/>
          <w:sz w:val="24"/>
        </w:rPr>
        <w:lastRenderedPageBreak/>
        <w:t>•Certificado de Sello Digital y su correspondiente clave privada.</w:t>
      </w:r>
    </w:p>
    <w:p w:rsidR="00873D76" w:rsidRPr="004C6EB5" w:rsidRDefault="00873D76" w:rsidP="004C6EB5">
      <w:pPr>
        <w:pStyle w:val="Prrafodelista"/>
        <w:spacing w:line="360" w:lineRule="auto"/>
        <w:ind w:left="0"/>
        <w:jc w:val="both"/>
        <w:rPr>
          <w:rFonts w:ascii="Palatino Linotype" w:eastAsia="Palatino Linotype" w:hAnsi="Palatino Linotype" w:cs="Palatino Linotype"/>
          <w:i/>
          <w:color w:val="000000" w:themeColor="text1"/>
          <w:sz w:val="24"/>
        </w:rPr>
      </w:pPr>
      <w:r w:rsidRPr="004C6EB5">
        <w:rPr>
          <w:rFonts w:ascii="Palatino Linotype" w:eastAsia="Palatino Linotype" w:hAnsi="Palatino Linotype" w:cs="Palatino Linotype"/>
          <w:i/>
          <w:color w:val="000000" w:themeColor="text1"/>
          <w:sz w:val="24"/>
        </w:rPr>
        <w:t>•Algoritmos de criptografía de clave pública para firma electrónica avanzada.</w:t>
      </w:r>
    </w:p>
    <w:p w:rsidR="00873D76" w:rsidRPr="004C6EB5" w:rsidRDefault="00873D76" w:rsidP="004C6EB5">
      <w:pPr>
        <w:pStyle w:val="Prrafodelista"/>
        <w:spacing w:line="360" w:lineRule="auto"/>
        <w:ind w:left="0"/>
        <w:jc w:val="both"/>
        <w:rPr>
          <w:rFonts w:ascii="Palatino Linotype" w:eastAsia="Palatino Linotype" w:hAnsi="Palatino Linotype" w:cs="Palatino Linotype"/>
          <w:i/>
          <w:color w:val="000000" w:themeColor="text1"/>
          <w:sz w:val="24"/>
        </w:rPr>
      </w:pPr>
      <w:r w:rsidRPr="004C6EB5">
        <w:rPr>
          <w:rFonts w:ascii="Palatino Linotype" w:eastAsia="Palatino Linotype" w:hAnsi="Palatino Linotype" w:cs="Palatino Linotype"/>
          <w:i/>
          <w:color w:val="000000" w:themeColor="text1"/>
          <w:sz w:val="24"/>
        </w:rPr>
        <w:t>•Especificaciones de conversión de la firma electrónica avanzada a Base 64.</w:t>
      </w:r>
    </w:p>
    <w:p w:rsidR="00873D76" w:rsidRPr="004C6EB5" w:rsidRDefault="00873D76" w:rsidP="004C6EB5">
      <w:pPr>
        <w:spacing w:line="360"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i/>
          <w:color w:val="000000" w:themeColor="text1"/>
          <w:sz w:val="24"/>
          <w:szCs w:val="24"/>
        </w:rPr>
        <w:t>Para la generación de sellos digitales se utiliza criptografía de clave pública aplicada a una cadena original.</w:t>
      </w:r>
    </w:p>
    <w:p w:rsidR="00873D76" w:rsidRPr="004C6EB5" w:rsidRDefault="00873D76" w:rsidP="004C6EB5">
      <w:pPr>
        <w:spacing w:line="360" w:lineRule="auto"/>
        <w:jc w:val="both"/>
        <w:rPr>
          <w:rFonts w:ascii="Palatino Linotype" w:eastAsia="Palatino Linotype" w:hAnsi="Palatino Linotype" w:cs="Palatino Linotype"/>
          <w:i/>
          <w:color w:val="000000" w:themeColor="text1"/>
          <w:sz w:val="24"/>
          <w:szCs w:val="24"/>
        </w:rPr>
      </w:pPr>
    </w:p>
    <w:p w:rsidR="00873D76" w:rsidRPr="004C6EB5" w:rsidRDefault="00873D76" w:rsidP="004C6EB5">
      <w:pPr>
        <w:pStyle w:val="Prrafodelista"/>
        <w:spacing w:line="360" w:lineRule="auto"/>
        <w:ind w:left="0"/>
        <w:jc w:val="both"/>
        <w:rPr>
          <w:rFonts w:ascii="Palatino Linotype" w:eastAsia="Palatino Linotype" w:hAnsi="Palatino Linotype" w:cs="Palatino Linotype"/>
          <w:i/>
          <w:color w:val="000000" w:themeColor="text1"/>
          <w:sz w:val="24"/>
        </w:rPr>
      </w:pPr>
      <w:r w:rsidRPr="004C6EB5">
        <w:rPr>
          <w:rFonts w:ascii="Palatino Linotype" w:eastAsia="Palatino Linotype" w:hAnsi="Palatino Linotype" w:cs="Palatino Linotype"/>
          <w:i/>
          <w:color w:val="000000" w:themeColor="text1"/>
          <w:sz w:val="24"/>
        </w:rPr>
        <w:t>Criptografía de la Clave Pública</w:t>
      </w:r>
    </w:p>
    <w:p w:rsidR="00873D76" w:rsidRPr="004C6EB5" w:rsidRDefault="00873D76" w:rsidP="004C6EB5">
      <w:pPr>
        <w:pStyle w:val="Prrafodelista"/>
        <w:spacing w:line="360" w:lineRule="auto"/>
        <w:ind w:left="0"/>
        <w:jc w:val="both"/>
        <w:rPr>
          <w:rFonts w:ascii="Palatino Linotype" w:eastAsia="Palatino Linotype" w:hAnsi="Palatino Linotype" w:cs="Palatino Linotype"/>
          <w:i/>
          <w:color w:val="000000" w:themeColor="text1"/>
          <w:sz w:val="24"/>
        </w:rPr>
      </w:pPr>
      <w:r w:rsidRPr="004C6EB5">
        <w:rPr>
          <w:rFonts w:ascii="Palatino Linotype" w:eastAsia="Palatino Linotype" w:hAnsi="Palatino Linotype" w:cs="Palatino Linotype"/>
          <w:i/>
          <w:color w:val="000000" w:themeColor="text1"/>
          <w:sz w:val="24"/>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w:t>
      </w:r>
      <w:r w:rsidRPr="004C6EB5">
        <w:rPr>
          <w:rFonts w:ascii="Palatino Linotype" w:eastAsia="Palatino Linotype" w:hAnsi="Palatino Linotype" w:cs="Palatino Linotype"/>
          <w:color w:val="000000" w:themeColor="text1"/>
          <w:sz w:val="24"/>
          <w:szCs w:val="24"/>
        </w:rPr>
        <w:lastRenderedPageBreak/>
        <w:t>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873D76" w:rsidRPr="004C6EB5" w:rsidRDefault="00873D76" w:rsidP="004C6EB5">
      <w:pPr>
        <w:shd w:val="clear" w:color="auto" w:fill="FFFFFF"/>
        <w:spacing w:before="240" w:after="240" w:line="360" w:lineRule="auto"/>
        <w:jc w:val="both"/>
        <w:rPr>
          <w:rFonts w:ascii="Palatino Linotype" w:hAnsi="Palatino Linotype"/>
          <w:color w:val="000000" w:themeColor="text1"/>
          <w:sz w:val="24"/>
          <w:szCs w:val="24"/>
        </w:rPr>
      </w:pPr>
      <w:r w:rsidRPr="004C6EB5">
        <w:rPr>
          <w:rFonts w:ascii="Palatino Linotype" w:eastAsia="Palatino Linotype" w:hAnsi="Palatino Linotype" w:cs="Palatino Linotype"/>
          <w:noProof/>
          <w:color w:val="000000" w:themeColor="text1"/>
          <w:sz w:val="24"/>
          <w:szCs w:val="24"/>
          <w:lang w:eastAsia="es-MX"/>
        </w:rPr>
        <w:drawing>
          <wp:inline distT="0" distB="0" distL="0" distR="0" wp14:anchorId="003C7C94" wp14:editId="2B83DAD0">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t="40505" r="32588" b="47482"/>
                    <a:stretch>
                      <a:fillRect/>
                    </a:stretch>
                  </pic:blipFill>
                  <pic:spPr>
                    <a:xfrm>
                      <a:off x="0" y="0"/>
                      <a:ext cx="5612130" cy="424735"/>
                    </a:xfrm>
                    <a:prstGeom prst="rect">
                      <a:avLst/>
                    </a:prstGeom>
                    <a:ln/>
                  </pic:spPr>
                </pic:pic>
              </a:graphicData>
            </a:graphic>
          </wp:inline>
        </w:drawing>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873D76" w:rsidRPr="004C6EB5" w:rsidRDefault="00873D76" w:rsidP="004C6EB5">
      <w:pPr>
        <w:pStyle w:val="Prrafodelista"/>
        <w:numPr>
          <w:ilvl w:val="0"/>
          <w:numId w:val="15"/>
        </w:numPr>
        <w:spacing w:line="360" w:lineRule="auto"/>
        <w:ind w:left="0" w:firstLine="0"/>
        <w:jc w:val="both"/>
        <w:rPr>
          <w:rFonts w:ascii="Palatino Linotype" w:hAnsi="Palatino Linotype" w:cs="Arial"/>
          <w:b/>
          <w:color w:val="000000" w:themeColor="text1"/>
          <w:sz w:val="24"/>
        </w:rPr>
      </w:pPr>
      <w:r w:rsidRPr="004C6EB5">
        <w:rPr>
          <w:rFonts w:ascii="Palatino Linotype" w:hAnsi="Palatino Linotype" w:cs="Arial"/>
          <w:b/>
          <w:color w:val="000000" w:themeColor="text1"/>
          <w:sz w:val="24"/>
        </w:rPr>
        <w:t>Deducciones que no son personales.</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hAnsi="Palatino Linotype" w:cs="Arial"/>
          <w:color w:val="000000" w:themeColor="text1"/>
          <w:sz w:val="24"/>
          <w:szCs w:val="24"/>
        </w:rPr>
        <w:t>La Ley del Trabajo de los Servidores Públicos del Estado y Municipios</w:t>
      </w:r>
      <w:r w:rsidRPr="004C6EB5">
        <w:rPr>
          <w:rStyle w:val="Refdenotaalpie"/>
          <w:rFonts w:ascii="Palatino Linotype" w:hAnsi="Palatino Linotype" w:cs="Arial"/>
          <w:color w:val="000000" w:themeColor="text1"/>
          <w:sz w:val="24"/>
          <w:szCs w:val="24"/>
        </w:rPr>
        <w:footnoteReference w:id="3"/>
      </w:r>
      <w:r w:rsidRPr="004C6EB5">
        <w:rPr>
          <w:rFonts w:ascii="Palatino Linotype" w:hAnsi="Palatino Linotype" w:cs="Arial"/>
          <w:color w:val="000000" w:themeColor="text1"/>
          <w:sz w:val="24"/>
          <w:szCs w:val="24"/>
        </w:rPr>
        <w:t xml:space="preserve"> en el artículo 84 establece lo siguiente:</w:t>
      </w:r>
    </w:p>
    <w:p w:rsidR="00873D76" w:rsidRPr="004C6EB5" w:rsidRDefault="00873D76" w:rsidP="004C6EB5">
      <w:pPr>
        <w:pStyle w:val="Prrafodelista"/>
        <w:spacing w:line="360" w:lineRule="auto"/>
        <w:ind w:left="0"/>
        <w:jc w:val="both"/>
        <w:rPr>
          <w:rFonts w:ascii="Palatino Linotype" w:hAnsi="Palatino Linotype"/>
          <w:i/>
          <w:color w:val="000000" w:themeColor="text1"/>
          <w:sz w:val="24"/>
        </w:rPr>
      </w:pPr>
      <w:r w:rsidRPr="004C6EB5">
        <w:rPr>
          <w:rFonts w:ascii="Palatino Linotype" w:hAnsi="Palatino Linotype"/>
          <w:i/>
          <w:color w:val="000000" w:themeColor="text1"/>
          <w:sz w:val="24"/>
        </w:rPr>
        <w:t xml:space="preserve">ARTÍCULO 84. Sólo podrán hacerse retenciones, descuentos o deducciones al sueldo de los servidores públicos por concepto de: </w:t>
      </w:r>
    </w:p>
    <w:p w:rsidR="00873D76" w:rsidRPr="004C6EB5" w:rsidRDefault="00873D76" w:rsidP="004C6EB5">
      <w:pPr>
        <w:pStyle w:val="Prrafodelista"/>
        <w:spacing w:line="360" w:lineRule="auto"/>
        <w:ind w:left="0"/>
        <w:jc w:val="both"/>
        <w:rPr>
          <w:rFonts w:ascii="Palatino Linotype" w:hAnsi="Palatino Linotype"/>
          <w:b/>
          <w:i/>
          <w:color w:val="000000" w:themeColor="text1"/>
          <w:sz w:val="24"/>
        </w:rPr>
      </w:pPr>
      <w:r w:rsidRPr="004C6EB5">
        <w:rPr>
          <w:rFonts w:ascii="Palatino Linotype" w:hAnsi="Palatino Linotype"/>
          <w:b/>
          <w:i/>
          <w:color w:val="000000" w:themeColor="text1"/>
          <w:sz w:val="24"/>
        </w:rPr>
        <w:t>I. Gravámenes fiscales relacionados con el sueldo;</w:t>
      </w:r>
    </w:p>
    <w:p w:rsidR="00873D76" w:rsidRPr="004C6EB5" w:rsidRDefault="00873D76" w:rsidP="004C6EB5">
      <w:pPr>
        <w:pStyle w:val="Prrafodelista"/>
        <w:spacing w:line="360" w:lineRule="auto"/>
        <w:ind w:left="0"/>
        <w:jc w:val="both"/>
        <w:rPr>
          <w:rFonts w:ascii="Palatino Linotype" w:hAnsi="Palatino Linotype"/>
          <w:i/>
          <w:color w:val="000000" w:themeColor="text1"/>
          <w:sz w:val="24"/>
        </w:rPr>
      </w:pPr>
      <w:r w:rsidRPr="004C6EB5">
        <w:rPr>
          <w:rFonts w:ascii="Palatino Linotype" w:hAnsi="Palatino Linotype"/>
          <w:i/>
          <w:color w:val="000000" w:themeColor="text1"/>
          <w:sz w:val="24"/>
        </w:rPr>
        <w:lastRenderedPageBreak/>
        <w:t xml:space="preserve">II. Deudas contraídas con las instituciones públicas o dependencias por concepto de anticipos de sueldo, pagos hechos con exceso, errores o pérdidas debidamente comprobados; </w:t>
      </w:r>
    </w:p>
    <w:p w:rsidR="00873D76" w:rsidRPr="004C6EB5" w:rsidRDefault="00873D76" w:rsidP="004C6EB5">
      <w:pPr>
        <w:pStyle w:val="Prrafodelista"/>
        <w:spacing w:line="360" w:lineRule="auto"/>
        <w:ind w:left="0"/>
        <w:jc w:val="both"/>
        <w:rPr>
          <w:rFonts w:ascii="Palatino Linotype" w:hAnsi="Palatino Linotype"/>
          <w:i/>
          <w:color w:val="000000" w:themeColor="text1"/>
          <w:sz w:val="24"/>
        </w:rPr>
      </w:pPr>
      <w:r w:rsidRPr="004C6EB5">
        <w:rPr>
          <w:rFonts w:ascii="Palatino Linotype" w:hAnsi="Palatino Linotype"/>
          <w:i/>
          <w:color w:val="000000" w:themeColor="text1"/>
          <w:sz w:val="24"/>
        </w:rPr>
        <w:t xml:space="preserve">III. Cuotas sindicales; </w:t>
      </w:r>
    </w:p>
    <w:p w:rsidR="00873D76" w:rsidRPr="004C6EB5" w:rsidRDefault="00873D76" w:rsidP="004C6EB5">
      <w:pPr>
        <w:pStyle w:val="Prrafodelista"/>
        <w:spacing w:line="360" w:lineRule="auto"/>
        <w:ind w:left="0"/>
        <w:jc w:val="both"/>
        <w:rPr>
          <w:rFonts w:ascii="Palatino Linotype" w:hAnsi="Palatino Linotype"/>
          <w:b/>
          <w:i/>
          <w:color w:val="000000" w:themeColor="text1"/>
          <w:sz w:val="24"/>
        </w:rPr>
      </w:pPr>
      <w:r w:rsidRPr="004C6EB5">
        <w:rPr>
          <w:rFonts w:ascii="Palatino Linotype" w:hAnsi="Palatino Linotype"/>
          <w:b/>
          <w:i/>
          <w:color w:val="000000" w:themeColor="text1"/>
          <w:sz w:val="24"/>
        </w:rPr>
        <w:t xml:space="preserve">IV. Cuotas de aportación a fondos para la constitución de cooperativas y de cajas de ahorro, siempre que el servidor público hubiese manifestado previamente, de manera expresa, su conformidad; </w:t>
      </w:r>
    </w:p>
    <w:p w:rsidR="00873D76" w:rsidRPr="004C6EB5" w:rsidRDefault="00873D76" w:rsidP="004C6EB5">
      <w:pPr>
        <w:pStyle w:val="Prrafodelista"/>
        <w:spacing w:line="360" w:lineRule="auto"/>
        <w:ind w:left="0"/>
        <w:jc w:val="both"/>
        <w:rPr>
          <w:rFonts w:ascii="Palatino Linotype" w:hAnsi="Palatino Linotype"/>
          <w:b/>
          <w:i/>
          <w:color w:val="000000" w:themeColor="text1"/>
          <w:sz w:val="24"/>
        </w:rPr>
      </w:pPr>
      <w:r w:rsidRPr="004C6EB5">
        <w:rPr>
          <w:rFonts w:ascii="Palatino Linotype" w:hAnsi="Palatino Linotype"/>
          <w:b/>
          <w:i/>
          <w:color w:val="000000" w:themeColor="text1"/>
          <w:sz w:val="24"/>
        </w:rPr>
        <w:t xml:space="preserve">V. Descuentos ordenados por el Instituto de Seguridad Social del Estado de México y Municipios, con motivo de cuotas y obligaciones contraídas con éste por los servidores públicos; </w:t>
      </w:r>
    </w:p>
    <w:p w:rsidR="00873D76" w:rsidRPr="004C6EB5" w:rsidRDefault="00873D76" w:rsidP="004C6EB5">
      <w:pPr>
        <w:pStyle w:val="Prrafodelista"/>
        <w:spacing w:line="360" w:lineRule="auto"/>
        <w:ind w:left="0"/>
        <w:jc w:val="both"/>
        <w:rPr>
          <w:rFonts w:ascii="Palatino Linotype" w:hAnsi="Palatino Linotype"/>
          <w:i/>
          <w:color w:val="000000" w:themeColor="text1"/>
          <w:sz w:val="24"/>
        </w:rPr>
      </w:pPr>
      <w:r w:rsidRPr="004C6EB5">
        <w:rPr>
          <w:rFonts w:ascii="Palatino Linotype" w:hAnsi="Palatino Linotype"/>
          <w:i/>
          <w:color w:val="000000" w:themeColor="text1"/>
          <w:sz w:val="24"/>
        </w:rPr>
        <w:t xml:space="preserve">VI. Obligaciones a cargo del servidor público con las que haya consentido, derivadas de la adquisición o del uso de habitaciones consideradas como de interés social; </w:t>
      </w:r>
    </w:p>
    <w:p w:rsidR="00873D76" w:rsidRPr="004C6EB5" w:rsidRDefault="00873D76" w:rsidP="004C6EB5">
      <w:pPr>
        <w:pStyle w:val="Prrafodelista"/>
        <w:spacing w:line="360" w:lineRule="auto"/>
        <w:ind w:left="0"/>
        <w:jc w:val="both"/>
        <w:rPr>
          <w:rFonts w:ascii="Palatino Linotype" w:hAnsi="Palatino Linotype"/>
          <w:i/>
          <w:color w:val="000000" w:themeColor="text1"/>
          <w:sz w:val="24"/>
        </w:rPr>
      </w:pPr>
      <w:r w:rsidRPr="004C6EB5">
        <w:rPr>
          <w:rFonts w:ascii="Palatino Linotype" w:hAnsi="Palatino Linotype"/>
          <w:i/>
          <w:color w:val="000000" w:themeColor="text1"/>
          <w:sz w:val="24"/>
        </w:rPr>
        <w:t xml:space="preserve">VII. Faltas de puntualidad o de asistencia injustificadas; </w:t>
      </w:r>
    </w:p>
    <w:p w:rsidR="00873D76" w:rsidRPr="004C6EB5" w:rsidRDefault="00873D76" w:rsidP="004C6EB5">
      <w:pPr>
        <w:pStyle w:val="Prrafodelista"/>
        <w:spacing w:line="360" w:lineRule="auto"/>
        <w:ind w:left="0"/>
        <w:jc w:val="both"/>
        <w:rPr>
          <w:rFonts w:ascii="Palatino Linotype" w:hAnsi="Palatino Linotype"/>
          <w:i/>
          <w:color w:val="000000" w:themeColor="text1"/>
          <w:sz w:val="24"/>
        </w:rPr>
      </w:pPr>
      <w:r w:rsidRPr="004C6EB5">
        <w:rPr>
          <w:rFonts w:ascii="Palatino Linotype" w:hAnsi="Palatino Linotype"/>
          <w:i/>
          <w:color w:val="000000" w:themeColor="text1"/>
          <w:sz w:val="24"/>
        </w:rPr>
        <w:t xml:space="preserve">VIII. Pensiones alimenticias ordenadas por la autoridad judicial; o </w:t>
      </w:r>
    </w:p>
    <w:p w:rsidR="00873D76" w:rsidRPr="004C6EB5" w:rsidRDefault="00873D76" w:rsidP="004C6EB5">
      <w:pPr>
        <w:pStyle w:val="Prrafodelista"/>
        <w:spacing w:line="360" w:lineRule="auto"/>
        <w:ind w:left="0"/>
        <w:jc w:val="both"/>
        <w:rPr>
          <w:rFonts w:ascii="Palatino Linotype" w:hAnsi="Palatino Linotype"/>
          <w:i/>
          <w:color w:val="000000" w:themeColor="text1"/>
          <w:sz w:val="24"/>
        </w:rPr>
      </w:pPr>
      <w:r w:rsidRPr="004C6EB5">
        <w:rPr>
          <w:rFonts w:ascii="Palatino Linotype" w:hAnsi="Palatino Linotype"/>
          <w:i/>
          <w:color w:val="000000" w:themeColor="text1"/>
          <w:sz w:val="24"/>
        </w:rPr>
        <w:t>IX. Cualquier otro convenido con instituciones de servicios y aceptado por el servidor público.</w:t>
      </w:r>
    </w:p>
    <w:p w:rsidR="00873D76" w:rsidRPr="00E96C0D"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hAnsi="Palatino Linotype" w:cs="Arial"/>
          <w:color w:val="000000" w:themeColor="text1"/>
          <w:sz w:val="24"/>
          <w:szCs w:val="24"/>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E96C0D" w:rsidRPr="004C6EB5" w:rsidRDefault="00E96C0D" w:rsidP="00E96C0D">
      <w:pPr>
        <w:shd w:val="clear" w:color="auto" w:fill="FFFFFF"/>
        <w:spacing w:before="240" w:after="240" w:line="360" w:lineRule="auto"/>
        <w:jc w:val="both"/>
        <w:rPr>
          <w:rFonts w:ascii="Palatino Linotype" w:hAnsi="Palatino Linotype"/>
          <w:color w:val="000000" w:themeColor="text1"/>
          <w:sz w:val="24"/>
          <w:szCs w:val="24"/>
        </w:rPr>
      </w:pPr>
    </w:p>
    <w:p w:rsidR="00873D76" w:rsidRPr="004C6EB5" w:rsidRDefault="00873D76" w:rsidP="004C6EB5">
      <w:pPr>
        <w:pStyle w:val="Prrafodelista"/>
        <w:numPr>
          <w:ilvl w:val="0"/>
          <w:numId w:val="15"/>
        </w:numPr>
        <w:spacing w:line="360" w:lineRule="auto"/>
        <w:ind w:left="0" w:firstLine="0"/>
        <w:jc w:val="both"/>
        <w:rPr>
          <w:rFonts w:ascii="Palatino Linotype" w:hAnsi="Palatino Linotype" w:cs="Arial"/>
          <w:color w:val="000000" w:themeColor="text1"/>
          <w:sz w:val="24"/>
        </w:rPr>
      </w:pPr>
      <w:r w:rsidRPr="004C6EB5">
        <w:rPr>
          <w:rFonts w:ascii="Palatino Linotype" w:hAnsi="Palatino Linotype" w:cs="Arial"/>
          <w:b/>
          <w:color w:val="000000" w:themeColor="text1"/>
          <w:sz w:val="24"/>
        </w:rPr>
        <w:lastRenderedPageBreak/>
        <w:t>Seguro de Capitalización Individualizado.</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hAnsi="Palatino Linotype" w:cs="Arial"/>
          <w:color w:val="000000" w:themeColor="text1"/>
          <w:sz w:val="24"/>
          <w:szCs w:val="24"/>
        </w:rPr>
        <w:t>El Sistema de Capitalización Individualizado es el mecanismo mediante el cual, un servidor público y la Institución en la que labora, acumulan recursos, adicionales a su pensión; mismo que se integra hasta por tres rubros, los cuales son los siguientes:</w:t>
      </w:r>
    </w:p>
    <w:p w:rsidR="00873D76" w:rsidRPr="004C6EB5" w:rsidRDefault="00873D76" w:rsidP="004C6EB5">
      <w:pPr>
        <w:pStyle w:val="Prrafodelista"/>
        <w:spacing w:line="360" w:lineRule="auto"/>
        <w:ind w:left="0"/>
        <w:jc w:val="both"/>
        <w:rPr>
          <w:rFonts w:ascii="Palatino Linotype" w:hAnsi="Palatino Linotype" w:cs="Arial"/>
          <w:color w:val="000000" w:themeColor="text1"/>
          <w:sz w:val="24"/>
        </w:rPr>
      </w:pPr>
      <w:r w:rsidRPr="004C6EB5">
        <w:rPr>
          <w:rFonts w:ascii="Palatino Linotype" w:hAnsi="Palatino Linotype" w:cs="Arial"/>
          <w:color w:val="000000" w:themeColor="text1"/>
          <w:sz w:val="24"/>
        </w:rPr>
        <w:t>•</w:t>
      </w:r>
      <w:r w:rsidRPr="004C6EB5">
        <w:rPr>
          <w:rFonts w:ascii="Palatino Linotype" w:hAnsi="Palatino Linotype" w:cs="Arial"/>
          <w:color w:val="000000" w:themeColor="text1"/>
          <w:sz w:val="24"/>
        </w:rPr>
        <w:tab/>
        <w:t>Subcuenta de cuota obligatoria; que corresponde a un porcentaje del sueldo sujeto a cotización, que se descuenta al servir público de manera automática.</w:t>
      </w:r>
    </w:p>
    <w:p w:rsidR="00873D76" w:rsidRPr="004C6EB5" w:rsidRDefault="00873D76" w:rsidP="004C6EB5">
      <w:pPr>
        <w:pStyle w:val="Prrafodelista"/>
        <w:spacing w:line="360" w:lineRule="auto"/>
        <w:ind w:left="0"/>
        <w:jc w:val="both"/>
        <w:rPr>
          <w:rFonts w:ascii="Palatino Linotype" w:hAnsi="Palatino Linotype" w:cs="Arial"/>
          <w:color w:val="000000" w:themeColor="text1"/>
          <w:sz w:val="24"/>
        </w:rPr>
      </w:pPr>
      <w:r w:rsidRPr="004C6EB5">
        <w:rPr>
          <w:rFonts w:ascii="Palatino Linotype" w:hAnsi="Palatino Linotype" w:cs="Arial"/>
          <w:color w:val="000000" w:themeColor="text1"/>
          <w:sz w:val="24"/>
        </w:rPr>
        <w:t>•</w:t>
      </w:r>
      <w:r w:rsidRPr="004C6EB5">
        <w:rPr>
          <w:rFonts w:ascii="Palatino Linotype" w:hAnsi="Palatino Linotype" w:cs="Arial"/>
          <w:color w:val="000000" w:themeColor="text1"/>
          <w:sz w:val="24"/>
        </w:rPr>
        <w:tab/>
        <w:t>Subcuenta de aportación obligatoria: que es la aportación que realiza la Institución a favor del servidor público, el cual equivale a un porcentaje del sueldo sujeto a cotización.</w:t>
      </w:r>
    </w:p>
    <w:p w:rsidR="00873D76" w:rsidRPr="004C6EB5" w:rsidRDefault="00873D76" w:rsidP="004C6EB5">
      <w:pPr>
        <w:pStyle w:val="Prrafodelista"/>
        <w:spacing w:line="360" w:lineRule="auto"/>
        <w:ind w:left="0"/>
        <w:jc w:val="both"/>
        <w:rPr>
          <w:rFonts w:ascii="Palatino Linotype" w:hAnsi="Palatino Linotype" w:cs="Arial"/>
          <w:color w:val="000000" w:themeColor="text1"/>
          <w:sz w:val="24"/>
        </w:rPr>
      </w:pPr>
      <w:r w:rsidRPr="004C6EB5">
        <w:rPr>
          <w:rFonts w:ascii="Palatino Linotype" w:hAnsi="Palatino Linotype" w:cs="Arial"/>
          <w:color w:val="000000" w:themeColor="text1"/>
          <w:sz w:val="24"/>
        </w:rPr>
        <w:t>•</w:t>
      </w:r>
      <w:r w:rsidRPr="004C6EB5">
        <w:rPr>
          <w:rFonts w:ascii="Palatino Linotype" w:hAnsi="Palatino Linotype" w:cs="Arial"/>
          <w:color w:val="000000" w:themeColor="text1"/>
          <w:sz w:val="24"/>
        </w:rPr>
        <w:tab/>
        <w:t xml:space="preserve">Subcuenta voluntaria: que es la cantidad que cada servidor público decide ahorrar de acuerdo con sus aportaciones, permitiendo acumular mayores ingresos para su retiro. </w:t>
      </w:r>
    </w:p>
    <w:p w:rsidR="00873D76" w:rsidRPr="004C6EB5"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hAnsi="Palatino Linotype" w:cs="Arial"/>
          <w:color w:val="000000" w:themeColor="text1"/>
          <w:sz w:val="24"/>
          <w:szCs w:val="24"/>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873D76" w:rsidRPr="004C6EB5" w:rsidRDefault="00873D76" w:rsidP="004C6EB5">
      <w:pPr>
        <w:pStyle w:val="Prrafodelista"/>
        <w:spacing w:line="360" w:lineRule="auto"/>
        <w:ind w:left="0"/>
        <w:jc w:val="both"/>
        <w:rPr>
          <w:rFonts w:ascii="Palatino Linotype" w:hAnsi="Palatino Linotype" w:cs="Arial"/>
          <w:i/>
          <w:color w:val="000000" w:themeColor="text1"/>
          <w:sz w:val="24"/>
        </w:rPr>
      </w:pPr>
      <w:r w:rsidRPr="004C6EB5">
        <w:rPr>
          <w:rFonts w:ascii="Palatino Linotype" w:hAnsi="Palatino Linotype" w:cs="Arial"/>
          <w:i/>
          <w:color w:val="000000" w:themeColor="text1"/>
          <w:sz w:val="24"/>
        </w:rPr>
        <w:t xml:space="preserve">“Naturaleza de la información relativa a los montos aportados al Seguro de Separación Individualizado. De conformidad con la normatividad aplicable, las aportaciones relativas al Seguro de Separación </w:t>
      </w:r>
      <w:r w:rsidRPr="004C6EB5">
        <w:rPr>
          <w:rFonts w:ascii="Palatino Linotype" w:hAnsi="Palatino Linotype" w:cs="Arial"/>
          <w:i/>
          <w:color w:val="000000" w:themeColor="text1"/>
          <w:sz w:val="24"/>
        </w:rPr>
        <w:lastRenderedPageBreak/>
        <w:t>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4C6EB5">
        <w:rPr>
          <w:rFonts w:ascii="Palatino Linotype" w:hAnsi="Palatino Linotype" w:cs="Arial"/>
          <w:color w:val="000000" w:themeColor="text1"/>
          <w:sz w:val="24"/>
        </w:rPr>
        <w:t xml:space="preserve"> </w:t>
      </w:r>
    </w:p>
    <w:p w:rsidR="00873D76" w:rsidRPr="00A40CE9" w:rsidRDefault="00873D76" w:rsidP="004C6EB5">
      <w:pPr>
        <w:numPr>
          <w:ilvl w:val="0"/>
          <w:numId w:val="1"/>
        </w:numPr>
        <w:shd w:val="clear" w:color="auto" w:fill="FFFFFF"/>
        <w:spacing w:before="240" w:after="240" w:line="360" w:lineRule="auto"/>
        <w:ind w:left="0" w:firstLine="0"/>
        <w:jc w:val="both"/>
        <w:rPr>
          <w:rFonts w:ascii="Palatino Linotype" w:hAnsi="Palatino Linotype"/>
          <w:color w:val="000000" w:themeColor="text1"/>
          <w:sz w:val="24"/>
          <w:szCs w:val="24"/>
        </w:rPr>
      </w:pPr>
      <w:r w:rsidRPr="004C6EB5">
        <w:rPr>
          <w:rFonts w:ascii="Palatino Linotype" w:hAnsi="Palatino Linotype" w:cs="Arial"/>
          <w:color w:val="000000" w:themeColor="text1"/>
          <w:sz w:val="24"/>
          <w:szCs w:val="24"/>
        </w:rPr>
        <w:t xml:space="preserve">En suma, debe considerarse que la naturaleza de la subcuenta de cuota obligatoria y de la subcuenta de aportación obligatoria, son datos de naturaleza pública y por ende no procede </w:t>
      </w:r>
      <w:r w:rsidRPr="004C6EB5">
        <w:rPr>
          <w:rFonts w:ascii="Palatino Linotype" w:hAnsi="Palatino Linotype" w:cs="Arial"/>
          <w:color w:val="000000" w:themeColor="text1"/>
          <w:sz w:val="24"/>
          <w:szCs w:val="24"/>
        </w:rPr>
        <w:lastRenderedPageBreak/>
        <w:t xml:space="preserve">su clasificación en términos del artículo 143, fracción I de la Ley </w:t>
      </w:r>
      <w:r w:rsidRPr="00A40CE9">
        <w:rPr>
          <w:rFonts w:ascii="Palatino Linotype" w:hAnsi="Palatino Linotype" w:cs="Arial"/>
          <w:color w:val="000000" w:themeColor="text1"/>
          <w:sz w:val="24"/>
          <w:szCs w:val="24"/>
        </w:rPr>
        <w:t>de Transparencia y Acceso a la Información Pública del Estado de México y Municipios.</w:t>
      </w:r>
    </w:p>
    <w:p w:rsidR="00D84428" w:rsidRPr="00A40CE9" w:rsidRDefault="00D84428" w:rsidP="004C6EB5">
      <w:pPr>
        <w:pStyle w:val="Prrafodelista"/>
        <w:numPr>
          <w:ilvl w:val="0"/>
          <w:numId w:val="16"/>
        </w:numPr>
        <w:shd w:val="clear" w:color="auto" w:fill="FFFFFF"/>
        <w:spacing w:before="240" w:after="240" w:line="360" w:lineRule="auto"/>
        <w:ind w:left="0" w:firstLine="0"/>
        <w:jc w:val="both"/>
        <w:rPr>
          <w:rFonts w:ascii="Palatino Linotype" w:hAnsi="Palatino Linotype"/>
          <w:b/>
          <w:color w:val="000000" w:themeColor="text1"/>
          <w:sz w:val="24"/>
        </w:rPr>
      </w:pPr>
      <w:r w:rsidRPr="00A40CE9">
        <w:rPr>
          <w:rFonts w:ascii="Palatino Linotype" w:hAnsi="Palatino Linotype" w:cs="Arial"/>
          <w:b/>
          <w:color w:val="000000" w:themeColor="text1"/>
          <w:sz w:val="24"/>
        </w:rPr>
        <w:t>De la fotografía y firma de los servidores públicos.</w:t>
      </w:r>
    </w:p>
    <w:p w:rsidR="00D84428" w:rsidRPr="00A40CE9" w:rsidRDefault="00D84428" w:rsidP="004C6EB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A40CE9">
        <w:rPr>
          <w:rFonts w:ascii="Palatino Linotype" w:eastAsia="Calibri" w:hAnsi="Palatino Linotype" w:cs="Arial"/>
          <w:color w:val="000000" w:themeColor="text1"/>
          <w:sz w:val="24"/>
        </w:rPr>
        <w:t xml:space="preserve">Expuesto lo anterior, se precisa que, tanto las cédulas profesionales como las fichas curriculares podrían contener </w:t>
      </w:r>
      <w:r w:rsidRPr="00A40CE9">
        <w:rPr>
          <w:rFonts w:ascii="Palatino Linotype" w:eastAsia="Calibri" w:hAnsi="Palatino Linotype" w:cs="Arial"/>
          <w:b/>
          <w:color w:val="000000" w:themeColor="text1"/>
          <w:sz w:val="24"/>
        </w:rPr>
        <w:t>fotografías de Servidores Públicos</w:t>
      </w:r>
      <w:r w:rsidRPr="00A40CE9">
        <w:rPr>
          <w:rFonts w:ascii="Palatino Linotype" w:eastAsia="Calibri" w:hAnsi="Palatino Linotype" w:cs="Arial"/>
          <w:color w:val="000000" w:themeColor="text1"/>
          <w:sz w:val="24"/>
        </w:rPr>
        <w:t xml:space="preserve"> que ostentan cargos de mandos medios y superiores de la Dirección de Seguridad Pública. </w:t>
      </w:r>
    </w:p>
    <w:p w:rsidR="00D84428" w:rsidRPr="00A40CE9" w:rsidRDefault="00D84428" w:rsidP="004C6EB5">
      <w:pPr>
        <w:pStyle w:val="Prrafodelista"/>
        <w:spacing w:before="240" w:after="240" w:line="360" w:lineRule="auto"/>
        <w:ind w:left="0"/>
        <w:jc w:val="both"/>
        <w:rPr>
          <w:rFonts w:ascii="Palatino Linotype" w:eastAsia="Calibri" w:hAnsi="Palatino Linotype" w:cs="Arial"/>
          <w:color w:val="000000" w:themeColor="text1"/>
          <w:sz w:val="24"/>
        </w:rPr>
      </w:pPr>
    </w:p>
    <w:p w:rsidR="00D84428" w:rsidRPr="00A40CE9" w:rsidRDefault="00D84428" w:rsidP="004C6EB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A40CE9">
        <w:rPr>
          <w:rFonts w:ascii="Palatino Linotype" w:eastAsia="Calibri" w:hAnsi="Palatino Linotype" w:cs="Arial"/>
          <w:color w:val="000000" w:themeColor="text1"/>
          <w:sz w:val="24"/>
        </w:rPr>
        <w:t xml:space="preserve">Al respecto, </w:t>
      </w:r>
      <w:r w:rsidRPr="00A40CE9">
        <w:rPr>
          <w:rFonts w:ascii="Palatino Linotype" w:hAnsi="Palatino Linotype"/>
          <w:color w:val="000000" w:themeColor="text1"/>
          <w:sz w:val="24"/>
        </w:rPr>
        <w:t>es de señalar que estas fotografías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4C6EB5" w:rsidRPr="00A40CE9" w:rsidRDefault="004C6EB5" w:rsidP="004C6EB5">
      <w:pPr>
        <w:pStyle w:val="Prrafodelista"/>
        <w:spacing w:before="240" w:after="240" w:line="360" w:lineRule="auto"/>
        <w:ind w:left="0"/>
        <w:jc w:val="both"/>
        <w:rPr>
          <w:rFonts w:ascii="Palatino Linotype" w:eastAsia="Calibri" w:hAnsi="Palatino Linotype" w:cs="Arial"/>
          <w:color w:val="000000" w:themeColor="text1"/>
          <w:sz w:val="24"/>
        </w:rPr>
      </w:pPr>
    </w:p>
    <w:p w:rsidR="00D84428" w:rsidRPr="00A40CE9" w:rsidRDefault="00D84428" w:rsidP="004C6EB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A40CE9">
        <w:rPr>
          <w:rFonts w:ascii="Palatino Linotype" w:hAnsi="Palatino Linotype"/>
          <w:color w:val="000000" w:themeColor="text1"/>
          <w:sz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D84428" w:rsidRPr="00A40CE9" w:rsidRDefault="00D84428" w:rsidP="004C6EB5">
      <w:pPr>
        <w:pStyle w:val="Prrafodelista"/>
        <w:ind w:left="0"/>
        <w:rPr>
          <w:rFonts w:ascii="Palatino Linotype" w:eastAsia="MS Mincho" w:hAnsi="Palatino Linotype" w:cs="Arial"/>
          <w:bCs/>
          <w:color w:val="000000" w:themeColor="text1"/>
          <w:sz w:val="24"/>
        </w:rPr>
      </w:pPr>
    </w:p>
    <w:p w:rsidR="00D84428" w:rsidRPr="00A40CE9" w:rsidRDefault="00D84428" w:rsidP="004C6EB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A40CE9">
        <w:rPr>
          <w:rFonts w:ascii="Palatino Linotype" w:eastAsia="MS Mincho" w:hAnsi="Palatino Linotype" w:cs="Arial"/>
          <w:bCs/>
          <w:color w:val="000000" w:themeColor="text1"/>
          <w:sz w:val="24"/>
        </w:rPr>
        <w:lastRenderedPageBreak/>
        <w:t xml:space="preserve">Por </w:t>
      </w:r>
      <w:r w:rsidRPr="00A40CE9">
        <w:rPr>
          <w:rFonts w:ascii="Palatino Linotype" w:hAnsi="Palatino Linotype"/>
          <w:color w:val="000000" w:themeColor="text1"/>
          <w:sz w:val="24"/>
        </w:rPr>
        <w:t>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D84428" w:rsidRPr="00A40CE9" w:rsidRDefault="00D84428" w:rsidP="004C6EB5">
      <w:pPr>
        <w:pStyle w:val="Prrafodelista"/>
        <w:spacing w:before="240" w:after="240" w:line="360" w:lineRule="auto"/>
        <w:ind w:left="0"/>
        <w:jc w:val="both"/>
        <w:rPr>
          <w:rFonts w:ascii="Palatino Linotype" w:eastAsia="Calibri" w:hAnsi="Palatino Linotype" w:cs="Arial"/>
          <w:color w:val="000000" w:themeColor="text1"/>
          <w:sz w:val="24"/>
        </w:rPr>
      </w:pPr>
    </w:p>
    <w:p w:rsidR="00D84428" w:rsidRPr="00A40CE9" w:rsidRDefault="00D84428" w:rsidP="004C6EB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A40CE9">
        <w:rPr>
          <w:rFonts w:ascii="Palatino Linotype" w:eastAsia="MS Mincho" w:hAnsi="Palatino Linotype" w:cs="Arial"/>
          <w:bCs/>
          <w:color w:val="000000" w:themeColor="text1"/>
          <w:sz w:val="24"/>
        </w:rPr>
        <w:t xml:space="preserve">En este sentido, </w:t>
      </w:r>
      <w:r w:rsidRPr="00A40CE9">
        <w:rPr>
          <w:rFonts w:ascii="Palatino Linotype" w:hAnsi="Palatino Linotype"/>
          <w:color w:val="000000" w:themeColor="text1"/>
          <w:sz w:val="24"/>
        </w:rPr>
        <w:t>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D84428" w:rsidRPr="00A40CE9" w:rsidRDefault="00D84428" w:rsidP="004C6EB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D84428" w:rsidRPr="00A40CE9" w:rsidRDefault="00D84428" w:rsidP="004C6EB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A40CE9">
        <w:rPr>
          <w:rFonts w:ascii="Palatino Linotype" w:hAnsi="Palatino Linotype"/>
          <w:color w:val="000000" w:themeColor="text1"/>
          <w:sz w:val="24"/>
        </w:rPr>
        <w:t xml:space="preserve">En consecuencia, </w:t>
      </w:r>
      <w:r w:rsidRPr="00A40CE9">
        <w:rPr>
          <w:rFonts w:ascii="Palatino Linotype" w:hAnsi="Palatino Linotype"/>
          <w:b/>
          <w:color w:val="000000" w:themeColor="text1"/>
          <w:sz w:val="24"/>
        </w:rPr>
        <w:t>la fotografía de los servidores públicos, es de acceso público y no procede su clasificación como información confidencial</w:t>
      </w:r>
      <w:r w:rsidRPr="00A40CE9">
        <w:rPr>
          <w:rFonts w:ascii="Palatino Linotype" w:hAnsi="Palatino Linotype"/>
          <w:color w:val="000000" w:themeColor="text1"/>
          <w:sz w:val="24"/>
        </w:rPr>
        <w:t>, aún y cuando corresponde a un dato personal.</w:t>
      </w:r>
    </w:p>
    <w:p w:rsidR="00D84428" w:rsidRPr="00A40CE9" w:rsidRDefault="00D84428" w:rsidP="004C6EB5">
      <w:pPr>
        <w:pStyle w:val="Prrafodelista"/>
        <w:ind w:left="0"/>
        <w:rPr>
          <w:rFonts w:ascii="Palatino Linotype" w:eastAsia="Calibri" w:hAnsi="Palatino Linotype" w:cs="Arial"/>
          <w:color w:val="000000" w:themeColor="text1"/>
          <w:sz w:val="24"/>
        </w:rPr>
      </w:pPr>
    </w:p>
    <w:p w:rsidR="00D84428" w:rsidRPr="00A40CE9" w:rsidRDefault="00D84428" w:rsidP="004C6EB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A40CE9">
        <w:rPr>
          <w:rFonts w:ascii="Palatino Linotype" w:eastAsia="Calibri" w:hAnsi="Palatino Linotype" w:cs="Arial"/>
          <w:color w:val="000000" w:themeColor="text1"/>
          <w:sz w:val="24"/>
        </w:rPr>
        <w:t xml:space="preserve">Ahora bien, respecto a la </w:t>
      </w:r>
      <w:r w:rsidRPr="00A40CE9">
        <w:rPr>
          <w:rFonts w:ascii="Palatino Linotype" w:eastAsia="Calibri" w:hAnsi="Palatino Linotype" w:cs="Arial"/>
          <w:b/>
          <w:color w:val="000000" w:themeColor="text1"/>
          <w:sz w:val="24"/>
        </w:rPr>
        <w:t xml:space="preserve">firma </w:t>
      </w:r>
      <w:r w:rsidRPr="00A40CE9">
        <w:rPr>
          <w:rFonts w:ascii="Palatino Linotype" w:hAnsi="Palatino Linotype"/>
          <w:b/>
          <w:color w:val="000000" w:themeColor="text1"/>
          <w:sz w:val="24"/>
        </w:rPr>
        <w:t>en cédulas y títulos profesionales</w:t>
      </w:r>
      <w:r w:rsidRPr="00A40CE9">
        <w:rPr>
          <w:rFonts w:ascii="Palatino Linotype" w:hAnsi="Palatino Linotype"/>
          <w:color w:val="000000" w:themeColor="text1"/>
          <w:sz w:val="24"/>
        </w:rPr>
        <w:t xml:space="preserve">, debe situarse sobre la publicidad de los documentos solicitados a partir de su propia naturaleza como documentos de identidad para acreditar frente a terceros que se tiene determinado nivel académico, de conocimientos o nivel de experiencia laboral y, que estos efectivamente corresponden al servidor público del cual se requiere conocer información. </w:t>
      </w:r>
    </w:p>
    <w:p w:rsidR="00D84428" w:rsidRPr="00A40CE9" w:rsidRDefault="00D84428" w:rsidP="004C6EB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A40CE9">
        <w:rPr>
          <w:rFonts w:ascii="Palatino Linotype" w:hAnsi="Palatino Linotype"/>
          <w:color w:val="000000" w:themeColor="text1"/>
          <w:sz w:val="24"/>
        </w:rPr>
        <w:lastRenderedPageBreak/>
        <w:t>No obstante lo anterior, procede confirmar la clasificación de la firma por tratarse de un dato personal confidencial en términos del artículo 143, fracción I, de la Ley de Transparencia y Acceso a la Información Pública del Estado de México y Municipios.</w:t>
      </w:r>
    </w:p>
    <w:p w:rsidR="00C06690" w:rsidRPr="004C6EB5" w:rsidRDefault="00C06690" w:rsidP="004C6EB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sz w:val="24"/>
          <w:szCs w:val="24"/>
        </w:rPr>
      </w:pPr>
      <w:r w:rsidRPr="004C6EB5">
        <w:rPr>
          <w:rFonts w:ascii="Palatino Linotype" w:eastAsia="Palatino Linotype" w:hAnsi="Palatino Linotype" w:cs="Palatino Linotype"/>
          <w:b/>
          <w:color w:val="000000" w:themeColor="text1"/>
          <w:sz w:val="24"/>
          <w:szCs w:val="24"/>
        </w:rPr>
        <w:t>SEXTO. Vista al Órgano Interno de Control competente.</w:t>
      </w:r>
    </w:p>
    <w:p w:rsidR="00C06690" w:rsidRPr="004C6EB5" w:rsidRDefault="00C06690" w:rsidP="004C6EB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La Ley de Transparencia y Acceso a la Información Pública del Estado de México y Municipios en los artículos 222, fracciones I y II, 162 y 59, fracciones I y II, establecen los siguiente:</w:t>
      </w:r>
    </w:p>
    <w:p w:rsidR="00C06690" w:rsidRPr="004C6EB5" w:rsidRDefault="00C06690" w:rsidP="004C6EB5">
      <w:pPr>
        <w:spacing w:before="240" w:line="276"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i/>
          <w:color w:val="000000" w:themeColor="text1"/>
          <w:sz w:val="24"/>
          <w:szCs w:val="24"/>
        </w:rPr>
        <w:t>“</w:t>
      </w:r>
      <w:r w:rsidRPr="004C6EB5">
        <w:rPr>
          <w:rFonts w:ascii="Palatino Linotype" w:eastAsia="Palatino Linotype" w:hAnsi="Palatino Linotype" w:cs="Palatino Linotype"/>
          <w:b/>
          <w:i/>
          <w:color w:val="000000" w:themeColor="text1"/>
          <w:sz w:val="24"/>
          <w:szCs w:val="24"/>
        </w:rPr>
        <w:t>Artículo 222.</w:t>
      </w:r>
      <w:r w:rsidRPr="004C6EB5">
        <w:rPr>
          <w:rFonts w:ascii="Palatino Linotype" w:eastAsia="Palatino Linotype" w:hAnsi="Palatino Linotype" w:cs="Palatino Linotype"/>
          <w:i/>
          <w:color w:val="000000" w:themeColor="text1"/>
          <w:sz w:val="24"/>
          <w:szCs w:val="24"/>
        </w:rPr>
        <w:t xml:space="preserve"> Son causas de responsabilidad administrativa de los servidores públicos de los sujetos obligados, por incumplimiento de las obligaciones establecidas en la materia de la presente Ley, las siguientes:</w:t>
      </w:r>
    </w:p>
    <w:p w:rsidR="00C06690" w:rsidRPr="004C6EB5" w:rsidRDefault="00C06690" w:rsidP="004C6EB5">
      <w:pPr>
        <w:spacing w:line="276"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b/>
          <w:i/>
          <w:color w:val="000000" w:themeColor="text1"/>
          <w:sz w:val="24"/>
          <w:szCs w:val="24"/>
        </w:rPr>
        <w:t>I.</w:t>
      </w:r>
      <w:r w:rsidRPr="004C6EB5">
        <w:rPr>
          <w:rFonts w:ascii="Palatino Linotype" w:eastAsia="Palatino Linotype" w:hAnsi="Palatino Linotype" w:cs="Palatino Linotype"/>
          <w:i/>
          <w:color w:val="000000" w:themeColor="text1"/>
          <w:sz w:val="24"/>
          <w:szCs w:val="24"/>
        </w:rPr>
        <w:t xml:space="preserve"> Cualquier acto u omisión que provoque la suspensión o deficiencia en la atención de las solicitudes de información; </w:t>
      </w:r>
    </w:p>
    <w:p w:rsidR="00C06690" w:rsidRPr="004C6EB5" w:rsidRDefault="00C06690" w:rsidP="004C6EB5">
      <w:pPr>
        <w:spacing w:line="276"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b/>
          <w:i/>
          <w:color w:val="000000" w:themeColor="text1"/>
          <w:sz w:val="24"/>
          <w:szCs w:val="24"/>
        </w:rPr>
        <w:t>II.</w:t>
      </w:r>
      <w:r w:rsidRPr="004C6EB5">
        <w:rPr>
          <w:rFonts w:ascii="Palatino Linotype" w:eastAsia="Palatino Linotype" w:hAnsi="Palatino Linotype" w:cs="Palatino Linotype"/>
          <w:i/>
          <w:color w:val="000000" w:themeColor="text1"/>
          <w:sz w:val="24"/>
          <w:szCs w:val="24"/>
        </w:rPr>
        <w:t xml:space="preserve"> La falta de respuesta a las solicitudes de información en los plazos señalados en la normatividad aplicable;</w:t>
      </w:r>
    </w:p>
    <w:p w:rsidR="00C06690" w:rsidRPr="004C6EB5" w:rsidRDefault="00C06690" w:rsidP="004C6EB5">
      <w:pPr>
        <w:spacing w:line="276"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i/>
          <w:color w:val="000000" w:themeColor="text1"/>
          <w:sz w:val="24"/>
          <w:szCs w:val="24"/>
        </w:rPr>
        <w:t>(…)</w:t>
      </w:r>
    </w:p>
    <w:p w:rsidR="00C06690" w:rsidRPr="004C6EB5" w:rsidRDefault="00C06690" w:rsidP="004C6EB5">
      <w:pPr>
        <w:spacing w:line="276" w:lineRule="auto"/>
        <w:jc w:val="both"/>
        <w:rPr>
          <w:rFonts w:ascii="Palatino Linotype" w:eastAsia="Palatino Linotype" w:hAnsi="Palatino Linotype" w:cs="Palatino Linotype"/>
          <w:i/>
          <w:color w:val="000000" w:themeColor="text1"/>
          <w:sz w:val="24"/>
          <w:szCs w:val="24"/>
        </w:rPr>
      </w:pPr>
    </w:p>
    <w:p w:rsidR="00C06690" w:rsidRPr="004C6EB5" w:rsidRDefault="00C06690" w:rsidP="004C6EB5">
      <w:pPr>
        <w:spacing w:line="276"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b/>
          <w:i/>
          <w:color w:val="000000" w:themeColor="text1"/>
          <w:sz w:val="24"/>
          <w:szCs w:val="24"/>
        </w:rPr>
        <w:t>Artículo 162.</w:t>
      </w:r>
      <w:r w:rsidRPr="004C6EB5">
        <w:rPr>
          <w:rFonts w:ascii="Palatino Linotype" w:eastAsia="Palatino Linotype" w:hAnsi="Palatino Linotype" w:cs="Palatino Linotype"/>
          <w:i/>
          <w:color w:val="000000" w:themeColor="text1"/>
          <w:sz w:val="24"/>
          <w:szCs w:val="24"/>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06690" w:rsidRPr="004C6EB5" w:rsidRDefault="00C06690" w:rsidP="004C6EB5">
      <w:pPr>
        <w:spacing w:line="276" w:lineRule="auto"/>
        <w:jc w:val="both"/>
        <w:rPr>
          <w:rFonts w:ascii="Palatino Linotype" w:eastAsia="Palatino Linotype" w:hAnsi="Palatino Linotype" w:cs="Palatino Linotype"/>
          <w:i/>
          <w:color w:val="000000" w:themeColor="text1"/>
          <w:sz w:val="24"/>
          <w:szCs w:val="24"/>
        </w:rPr>
      </w:pPr>
    </w:p>
    <w:p w:rsidR="00C06690" w:rsidRPr="004C6EB5" w:rsidRDefault="00C06690" w:rsidP="004C6EB5">
      <w:pPr>
        <w:spacing w:line="276"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b/>
          <w:i/>
          <w:color w:val="000000" w:themeColor="text1"/>
          <w:sz w:val="24"/>
          <w:szCs w:val="24"/>
        </w:rPr>
        <w:t>Artículo 59.</w:t>
      </w:r>
      <w:r w:rsidRPr="004C6EB5">
        <w:rPr>
          <w:rFonts w:ascii="Palatino Linotype" w:eastAsia="Palatino Linotype" w:hAnsi="Palatino Linotype" w:cs="Palatino Linotype"/>
          <w:i/>
          <w:color w:val="000000" w:themeColor="text1"/>
          <w:sz w:val="24"/>
          <w:szCs w:val="24"/>
        </w:rPr>
        <w:t xml:space="preserve"> Los servidores públicos habilitados tendrán las funciones siguientes:</w:t>
      </w:r>
    </w:p>
    <w:p w:rsidR="00C06690" w:rsidRPr="004C6EB5" w:rsidRDefault="00C06690" w:rsidP="004C6EB5">
      <w:pPr>
        <w:spacing w:line="276"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b/>
          <w:i/>
          <w:color w:val="000000" w:themeColor="text1"/>
          <w:sz w:val="24"/>
          <w:szCs w:val="24"/>
        </w:rPr>
        <w:t>I.</w:t>
      </w:r>
      <w:r w:rsidRPr="004C6EB5">
        <w:rPr>
          <w:rFonts w:ascii="Palatino Linotype" w:eastAsia="Palatino Linotype" w:hAnsi="Palatino Linotype" w:cs="Palatino Linotype"/>
          <w:i/>
          <w:color w:val="000000" w:themeColor="text1"/>
          <w:sz w:val="24"/>
          <w:szCs w:val="24"/>
        </w:rPr>
        <w:t xml:space="preserve"> Localizar la información que le solicite la Unidad de Transparencia; </w:t>
      </w:r>
    </w:p>
    <w:p w:rsidR="00C06690" w:rsidRPr="004C6EB5" w:rsidRDefault="00C06690" w:rsidP="004C6EB5">
      <w:pPr>
        <w:spacing w:line="276"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b/>
          <w:i/>
          <w:color w:val="000000" w:themeColor="text1"/>
          <w:sz w:val="24"/>
          <w:szCs w:val="24"/>
        </w:rPr>
        <w:t>II.</w:t>
      </w:r>
      <w:r w:rsidRPr="004C6EB5">
        <w:rPr>
          <w:rFonts w:ascii="Palatino Linotype" w:eastAsia="Palatino Linotype" w:hAnsi="Palatino Linotype" w:cs="Palatino Linotype"/>
          <w:i/>
          <w:color w:val="000000" w:themeColor="text1"/>
          <w:sz w:val="24"/>
          <w:szCs w:val="24"/>
        </w:rPr>
        <w:t xml:space="preserve"> Proporcionar la información que obre en los archivos y que le sea solicitada por la Unidad de Transparencia;</w:t>
      </w:r>
    </w:p>
    <w:p w:rsidR="00C06690" w:rsidRPr="004C6EB5" w:rsidRDefault="00C06690" w:rsidP="004C6EB5">
      <w:pPr>
        <w:spacing w:after="240" w:line="276" w:lineRule="auto"/>
        <w:jc w:val="both"/>
        <w:rPr>
          <w:rFonts w:ascii="Palatino Linotype" w:eastAsia="Palatino Linotype" w:hAnsi="Palatino Linotype" w:cs="Palatino Linotype"/>
          <w:i/>
          <w:color w:val="000000" w:themeColor="text1"/>
          <w:sz w:val="24"/>
          <w:szCs w:val="24"/>
        </w:rPr>
      </w:pPr>
      <w:r w:rsidRPr="004C6EB5">
        <w:rPr>
          <w:rFonts w:ascii="Palatino Linotype" w:eastAsia="Palatino Linotype" w:hAnsi="Palatino Linotype" w:cs="Palatino Linotype"/>
          <w:i/>
          <w:color w:val="000000" w:themeColor="text1"/>
          <w:sz w:val="24"/>
          <w:szCs w:val="24"/>
        </w:rPr>
        <w:t>(…)”</w:t>
      </w:r>
    </w:p>
    <w:p w:rsidR="00C06690" w:rsidRPr="004C6EB5" w:rsidRDefault="00C06690" w:rsidP="004C6EB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lastRenderedPageBreak/>
        <w:t xml:space="preserve">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Pr="004C6EB5">
        <w:rPr>
          <w:rFonts w:ascii="Palatino Linotype" w:eastAsia="Palatino Linotype" w:hAnsi="Palatino Linotype" w:cs="Palatino Linotype"/>
          <w:b/>
          <w:color w:val="000000" w:themeColor="text1"/>
          <w:sz w:val="24"/>
          <w:szCs w:val="24"/>
        </w:rPr>
        <w:t>RECURRENTE</w:t>
      </w:r>
      <w:r w:rsidRPr="004C6EB5">
        <w:rPr>
          <w:rFonts w:ascii="Palatino Linotype" w:eastAsia="Palatino Linotype" w:hAnsi="Palatino Linotype" w:cs="Palatino Linotype"/>
          <w:color w:val="000000" w:themeColor="text1"/>
          <w:sz w:val="24"/>
          <w:szCs w:val="24"/>
        </w:rPr>
        <w:t>.</w:t>
      </w:r>
    </w:p>
    <w:p w:rsidR="00C06690" w:rsidRPr="004C6EB5" w:rsidRDefault="00C06690" w:rsidP="004C6EB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rsidR="00C06690" w:rsidRPr="004C6EB5" w:rsidRDefault="00C06690" w:rsidP="004C6EB5">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Así las cosas, se tiene que el Titular de la Unidad de Transparencia, así como la Servidora Pública Habilitada, incumplieron con sus funciones, atribuciones y competencias, al no dar trámite a la solicitud de información </w:t>
      </w:r>
      <w:r w:rsidRPr="004C6EB5">
        <w:rPr>
          <w:rFonts w:ascii="Palatino Linotype" w:eastAsia="Palatino Linotype" w:hAnsi="Palatino Linotype" w:cs="Palatino Linotype"/>
          <w:b/>
          <w:color w:val="000000" w:themeColor="text1"/>
          <w:sz w:val="24"/>
          <w:szCs w:val="24"/>
        </w:rPr>
        <w:t>000</w:t>
      </w:r>
      <w:r w:rsidR="004C6EB5">
        <w:rPr>
          <w:rFonts w:ascii="Palatino Linotype" w:eastAsia="Palatino Linotype" w:hAnsi="Palatino Linotype" w:cs="Palatino Linotype"/>
          <w:b/>
          <w:color w:val="000000" w:themeColor="text1"/>
          <w:sz w:val="24"/>
          <w:szCs w:val="24"/>
        </w:rPr>
        <w:t>63</w:t>
      </w:r>
      <w:r w:rsidRPr="004C6EB5">
        <w:rPr>
          <w:rFonts w:ascii="Palatino Linotype" w:eastAsia="Palatino Linotype" w:hAnsi="Palatino Linotype" w:cs="Palatino Linotype"/>
          <w:b/>
          <w:color w:val="000000" w:themeColor="text1"/>
          <w:sz w:val="24"/>
          <w:szCs w:val="24"/>
        </w:rPr>
        <w:t>/V</w:t>
      </w:r>
      <w:r w:rsidR="004C6EB5">
        <w:rPr>
          <w:rFonts w:ascii="Palatino Linotype" w:eastAsia="Palatino Linotype" w:hAnsi="Palatino Linotype" w:cs="Palatino Linotype"/>
          <w:b/>
          <w:color w:val="000000" w:themeColor="text1"/>
          <w:sz w:val="24"/>
          <w:szCs w:val="24"/>
        </w:rPr>
        <w:t>ACHASO</w:t>
      </w:r>
      <w:r w:rsidRPr="004C6EB5">
        <w:rPr>
          <w:rFonts w:ascii="Palatino Linotype" w:eastAsia="Palatino Linotype" w:hAnsi="Palatino Linotype" w:cs="Palatino Linotype"/>
          <w:b/>
          <w:color w:val="000000" w:themeColor="text1"/>
          <w:sz w:val="24"/>
          <w:szCs w:val="24"/>
        </w:rPr>
        <w:t>/IP/202</w:t>
      </w:r>
      <w:r w:rsidR="004C6EB5">
        <w:rPr>
          <w:rFonts w:ascii="Palatino Linotype" w:eastAsia="Palatino Linotype" w:hAnsi="Palatino Linotype" w:cs="Palatino Linotype"/>
          <w:b/>
          <w:color w:val="000000" w:themeColor="text1"/>
          <w:sz w:val="24"/>
          <w:szCs w:val="24"/>
        </w:rPr>
        <w:t>5</w:t>
      </w:r>
      <w:r w:rsidRPr="004C6EB5">
        <w:rPr>
          <w:rFonts w:ascii="Palatino Linotype" w:eastAsia="Palatino Linotype" w:hAnsi="Palatino Linotype" w:cs="Palatino Linotype"/>
          <w:color w:val="000000" w:themeColor="text1"/>
          <w:sz w:val="24"/>
          <w:szCs w:val="24"/>
        </w:rPr>
        <w:t>, lo cual tuvo como consecuencia la falta de respuesta.</w:t>
      </w:r>
    </w:p>
    <w:p w:rsidR="00C06690" w:rsidRPr="004C6EB5" w:rsidRDefault="00C06690" w:rsidP="004C6EB5">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Por lo tanto, la falta de respuesta a la solicitud de acceso a la información pública por parte del </w:t>
      </w:r>
      <w:r w:rsidRPr="004C6EB5">
        <w:rPr>
          <w:rFonts w:ascii="Palatino Linotype" w:eastAsia="Palatino Linotype" w:hAnsi="Palatino Linotype" w:cs="Palatino Linotype"/>
          <w:b/>
          <w:color w:val="000000" w:themeColor="text1"/>
          <w:sz w:val="24"/>
          <w:szCs w:val="24"/>
        </w:rPr>
        <w:t>SUJETO OBLIGADO</w:t>
      </w:r>
      <w:r w:rsidRPr="004C6EB5">
        <w:rPr>
          <w:rFonts w:ascii="Palatino Linotype" w:eastAsia="Palatino Linotype" w:hAnsi="Palatino Linotype" w:cs="Palatino Linotype"/>
          <w:color w:val="000000" w:themeColor="text1"/>
          <w:sz w:val="24"/>
          <w:szCs w:val="24"/>
        </w:rPr>
        <w:t xml:space="preserve"> actualiza una causa de responsabilidad, por lo que, de acuerdo con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rsidR="00C06690" w:rsidRPr="004C6EB5" w:rsidRDefault="00C06690" w:rsidP="004C6EB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bookmarkStart w:id="11" w:name="_heading=h.4d34og8" w:colFirst="0" w:colLast="0"/>
      <w:bookmarkEnd w:id="11"/>
      <w:r w:rsidRPr="004C6EB5">
        <w:rPr>
          <w:rFonts w:ascii="Palatino Linotype" w:eastAsia="Palatino Linotype" w:hAnsi="Palatino Linotype" w:cs="Palatino Linotype"/>
          <w:color w:val="000000" w:themeColor="text1"/>
          <w:sz w:val="24"/>
          <w:szCs w:val="24"/>
        </w:rPr>
        <w:t xml:space="preserve">Por lo anteriormente expuesto y fundado, este </w:t>
      </w:r>
      <w:r w:rsidRPr="004C6EB5">
        <w:rPr>
          <w:rFonts w:ascii="Palatino Linotype" w:eastAsia="Palatino Linotype" w:hAnsi="Palatino Linotype" w:cs="Palatino Linotype"/>
          <w:b/>
          <w:color w:val="000000" w:themeColor="text1"/>
          <w:sz w:val="24"/>
          <w:szCs w:val="24"/>
        </w:rPr>
        <w:t>ÓRGANO GARANTE</w:t>
      </w:r>
      <w:r w:rsidRPr="004C6EB5">
        <w:rPr>
          <w:rFonts w:ascii="Palatino Linotype" w:eastAsia="Palatino Linotype" w:hAnsi="Palatino Linotype" w:cs="Palatino Linotype"/>
          <w:color w:val="000000" w:themeColor="text1"/>
          <w:sz w:val="24"/>
          <w:szCs w:val="24"/>
        </w:rPr>
        <w:t xml:space="preserve"> emite los siguientes:</w:t>
      </w:r>
    </w:p>
    <w:p w:rsidR="00C06690" w:rsidRPr="004C6EB5" w:rsidRDefault="00C06690" w:rsidP="004C6EB5">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2" w:name="_heading=h.2s8eyo1" w:colFirst="0" w:colLast="0"/>
      <w:bookmarkStart w:id="13" w:name="_GoBack"/>
      <w:bookmarkEnd w:id="12"/>
      <w:bookmarkEnd w:id="13"/>
      <w:r w:rsidRPr="004C6EB5">
        <w:rPr>
          <w:rFonts w:ascii="Palatino Linotype" w:eastAsia="Palatino Linotype" w:hAnsi="Palatino Linotype" w:cs="Palatino Linotype"/>
          <w:b/>
          <w:color w:val="000000" w:themeColor="text1"/>
          <w:sz w:val="24"/>
          <w:szCs w:val="24"/>
        </w:rPr>
        <w:lastRenderedPageBreak/>
        <w:t>R E S O L U T I V O S</w:t>
      </w:r>
    </w:p>
    <w:p w:rsidR="00C06690" w:rsidRPr="004C6EB5" w:rsidRDefault="00C06690" w:rsidP="004C6EB5">
      <w:pPr>
        <w:rPr>
          <w:rFonts w:ascii="Palatino Linotype" w:eastAsia="Palatino Linotype" w:hAnsi="Palatino Linotype" w:cs="Palatino Linotype"/>
          <w:color w:val="000000" w:themeColor="text1"/>
          <w:sz w:val="24"/>
          <w:szCs w:val="24"/>
        </w:rPr>
      </w:pP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b/>
          <w:color w:val="000000" w:themeColor="text1"/>
          <w:sz w:val="24"/>
          <w:szCs w:val="24"/>
        </w:rPr>
        <w:t xml:space="preserve">PRIMERO. </w:t>
      </w:r>
      <w:r w:rsidRPr="004C6EB5">
        <w:rPr>
          <w:rFonts w:ascii="Palatino Linotype" w:eastAsia="Palatino Linotype" w:hAnsi="Palatino Linotype" w:cs="Palatino Linotype"/>
          <w:color w:val="000000" w:themeColor="text1"/>
          <w:sz w:val="24"/>
          <w:szCs w:val="24"/>
        </w:rPr>
        <w:t>Resultan fundadas las</w:t>
      </w:r>
      <w:r w:rsidRPr="004C6EB5">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color w:val="000000" w:themeColor="text1"/>
          <w:sz w:val="24"/>
          <w:szCs w:val="24"/>
        </w:rPr>
        <w:t>razones o motivos de inconformidad hechos valer en el recurso de revisión</w:t>
      </w:r>
      <w:r w:rsidR="00CA116F" w:rsidRPr="004C6EB5">
        <w:rPr>
          <w:rFonts w:ascii="Palatino Linotype" w:eastAsia="Palatino Linotype" w:hAnsi="Palatino Linotype" w:cs="Palatino Linotype"/>
          <w:b/>
          <w:color w:val="000000" w:themeColor="text1"/>
          <w:sz w:val="24"/>
          <w:szCs w:val="24"/>
        </w:rPr>
        <w:t> 03743/INFOEM/IP/RR/2025</w:t>
      </w:r>
      <w:r w:rsidRPr="004C6EB5">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color w:val="000000" w:themeColor="text1"/>
          <w:sz w:val="24"/>
          <w:szCs w:val="24"/>
        </w:rPr>
        <w:t xml:space="preserve">en términos del </w:t>
      </w:r>
      <w:r w:rsidRPr="004C6EB5">
        <w:rPr>
          <w:rFonts w:ascii="Palatino Linotype" w:eastAsia="Palatino Linotype" w:hAnsi="Palatino Linotype" w:cs="Palatino Linotype"/>
          <w:b/>
          <w:color w:val="000000" w:themeColor="text1"/>
          <w:sz w:val="24"/>
          <w:szCs w:val="24"/>
        </w:rPr>
        <w:t xml:space="preserve">Considerando CUARTO y QUINTO </w:t>
      </w:r>
      <w:r w:rsidRPr="004C6EB5">
        <w:rPr>
          <w:rFonts w:ascii="Palatino Linotype" w:eastAsia="Palatino Linotype" w:hAnsi="Palatino Linotype" w:cs="Palatino Linotype"/>
          <w:color w:val="000000" w:themeColor="text1"/>
          <w:sz w:val="24"/>
          <w:szCs w:val="24"/>
        </w:rPr>
        <w:t>de la presente resolución.</w:t>
      </w:r>
    </w:p>
    <w:p w:rsidR="00C06690" w:rsidRPr="004C6EB5" w:rsidRDefault="00C06690" w:rsidP="004C6EB5">
      <w:pPr>
        <w:spacing w:line="360" w:lineRule="auto"/>
        <w:jc w:val="both"/>
        <w:rPr>
          <w:rFonts w:ascii="Palatino Linotype" w:eastAsia="Palatino Linotype" w:hAnsi="Palatino Linotype" w:cs="Palatino Linotype"/>
          <w:b/>
          <w:color w:val="000000" w:themeColor="text1"/>
          <w:sz w:val="24"/>
          <w:szCs w:val="24"/>
        </w:rPr>
      </w:pP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bookmarkStart w:id="14" w:name="_heading=h.17dp8vu" w:colFirst="0" w:colLast="0"/>
      <w:bookmarkEnd w:id="14"/>
      <w:r w:rsidRPr="004C6EB5">
        <w:rPr>
          <w:rFonts w:ascii="Palatino Linotype" w:eastAsia="Palatino Linotype" w:hAnsi="Palatino Linotype" w:cs="Palatino Linotype"/>
          <w:b/>
          <w:color w:val="000000" w:themeColor="text1"/>
          <w:sz w:val="24"/>
          <w:szCs w:val="24"/>
        </w:rPr>
        <w:t>SEGUNDO.</w:t>
      </w:r>
      <w:r w:rsidRPr="004C6EB5">
        <w:rPr>
          <w:rFonts w:ascii="Palatino Linotype" w:eastAsia="Palatino Linotype" w:hAnsi="Palatino Linotype" w:cs="Palatino Linotype"/>
          <w:color w:val="000000" w:themeColor="text1"/>
          <w:sz w:val="24"/>
          <w:szCs w:val="24"/>
        </w:rPr>
        <w:t xml:space="preserve"> Se</w:t>
      </w:r>
      <w:r w:rsidRPr="004C6EB5">
        <w:rPr>
          <w:rFonts w:ascii="Palatino Linotype" w:eastAsia="Palatino Linotype" w:hAnsi="Palatino Linotype" w:cs="Palatino Linotype"/>
          <w:b/>
          <w:color w:val="000000" w:themeColor="text1"/>
          <w:sz w:val="24"/>
          <w:szCs w:val="24"/>
        </w:rPr>
        <w:t xml:space="preserve"> ORDENA </w:t>
      </w:r>
      <w:r w:rsidRPr="004C6EB5">
        <w:rPr>
          <w:rFonts w:ascii="Palatino Linotype" w:eastAsia="Palatino Linotype" w:hAnsi="Palatino Linotype" w:cs="Palatino Linotype"/>
          <w:color w:val="000000" w:themeColor="text1"/>
          <w:sz w:val="24"/>
          <w:szCs w:val="24"/>
        </w:rPr>
        <w:t xml:space="preserve">al </w:t>
      </w:r>
      <w:r w:rsidR="00CA116F" w:rsidRPr="004C6EB5">
        <w:rPr>
          <w:rFonts w:ascii="Palatino Linotype" w:eastAsia="Palatino Linotype" w:hAnsi="Palatino Linotype" w:cs="Palatino Linotype"/>
          <w:b/>
          <w:color w:val="000000" w:themeColor="text1"/>
          <w:sz w:val="24"/>
          <w:szCs w:val="24"/>
        </w:rPr>
        <w:t>Ayuntamiento de Valle de Chalco Solidaridad</w:t>
      </w:r>
      <w:r w:rsidRPr="004C6EB5">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color w:val="000000" w:themeColor="text1"/>
          <w:sz w:val="24"/>
          <w:szCs w:val="24"/>
        </w:rPr>
        <w:t xml:space="preserve">dar atención a la solicitud de información </w:t>
      </w:r>
      <w:r w:rsidR="00CA116F" w:rsidRPr="004C6EB5">
        <w:rPr>
          <w:rFonts w:ascii="Palatino Linotype" w:eastAsia="Palatino Linotype" w:hAnsi="Palatino Linotype" w:cs="Palatino Linotype"/>
          <w:b/>
          <w:bCs/>
          <w:color w:val="000000" w:themeColor="text1"/>
          <w:sz w:val="24"/>
          <w:szCs w:val="24"/>
        </w:rPr>
        <w:t>00063/VACHASO/IP/2025</w:t>
      </w:r>
      <w:r w:rsidRPr="004C6EB5">
        <w:rPr>
          <w:rFonts w:ascii="Palatino Linotype" w:eastAsia="Palatino Linotype" w:hAnsi="Palatino Linotype" w:cs="Palatino Linotype"/>
          <w:b/>
          <w:color w:val="000000" w:themeColor="text1"/>
          <w:sz w:val="24"/>
          <w:szCs w:val="24"/>
        </w:rPr>
        <w:t xml:space="preserve">, </w:t>
      </w:r>
      <w:r w:rsidRPr="004C6EB5">
        <w:rPr>
          <w:rFonts w:ascii="Palatino Linotype" w:eastAsia="Palatino Linotype" w:hAnsi="Palatino Linotype" w:cs="Palatino Linotype"/>
          <w:color w:val="000000" w:themeColor="text1"/>
          <w:sz w:val="24"/>
          <w:szCs w:val="24"/>
        </w:rPr>
        <w:t xml:space="preserve">y entregar vía Sistema de Acceso a la Información Mexiquense </w:t>
      </w:r>
      <w:r w:rsidRPr="004C6EB5">
        <w:rPr>
          <w:rFonts w:ascii="Palatino Linotype" w:eastAsia="Palatino Linotype" w:hAnsi="Palatino Linotype" w:cs="Palatino Linotype"/>
          <w:b/>
          <w:color w:val="000000" w:themeColor="text1"/>
          <w:sz w:val="24"/>
          <w:szCs w:val="24"/>
        </w:rPr>
        <w:t xml:space="preserve">(SAIMEX), </w:t>
      </w:r>
      <w:r w:rsidRPr="004C6EB5">
        <w:rPr>
          <w:rFonts w:ascii="Palatino Linotype" w:eastAsia="Palatino Linotype" w:hAnsi="Palatino Linotype" w:cs="Palatino Linotype"/>
          <w:color w:val="000000" w:themeColor="text1"/>
          <w:sz w:val="24"/>
          <w:szCs w:val="24"/>
        </w:rPr>
        <w:t xml:space="preserve">de ser procedente en versión pública, la siguiente </w:t>
      </w:r>
      <w:r w:rsidRPr="00A40CE9">
        <w:rPr>
          <w:rFonts w:ascii="Palatino Linotype" w:eastAsia="Palatino Linotype" w:hAnsi="Palatino Linotype" w:cs="Palatino Linotype"/>
          <w:color w:val="000000" w:themeColor="text1"/>
          <w:sz w:val="24"/>
          <w:szCs w:val="24"/>
        </w:rPr>
        <w:t>información</w:t>
      </w:r>
      <w:r w:rsidR="00836D78" w:rsidRPr="00A40CE9">
        <w:rPr>
          <w:rFonts w:ascii="Palatino Linotype" w:eastAsia="Palatino Linotype" w:hAnsi="Palatino Linotype" w:cs="Palatino Linotype"/>
          <w:color w:val="000000" w:themeColor="text1"/>
          <w:sz w:val="24"/>
          <w:szCs w:val="24"/>
        </w:rPr>
        <w:t xml:space="preserve"> del contralor municipal</w:t>
      </w:r>
      <w:r w:rsidRPr="00A40CE9">
        <w:rPr>
          <w:rFonts w:ascii="Palatino Linotype" w:eastAsia="Palatino Linotype" w:hAnsi="Palatino Linotype" w:cs="Palatino Linotype"/>
          <w:color w:val="000000" w:themeColor="text1"/>
          <w:sz w:val="24"/>
          <w:szCs w:val="24"/>
        </w:rPr>
        <w:t>:</w:t>
      </w:r>
    </w:p>
    <w:p w:rsidR="00C06690" w:rsidRPr="004C6EB5" w:rsidRDefault="00C06690" w:rsidP="004C6EB5">
      <w:pPr>
        <w:spacing w:line="360" w:lineRule="auto"/>
        <w:jc w:val="both"/>
        <w:rPr>
          <w:rFonts w:ascii="Palatino Linotype" w:eastAsia="Palatino Linotype" w:hAnsi="Palatino Linotype" w:cs="Palatino Linotype"/>
          <w:b/>
          <w:color w:val="000000" w:themeColor="text1"/>
          <w:sz w:val="24"/>
          <w:szCs w:val="24"/>
        </w:rPr>
      </w:pPr>
    </w:p>
    <w:p w:rsidR="00CA116F" w:rsidRPr="004C6EB5" w:rsidRDefault="00CA116F" w:rsidP="004C6EB5">
      <w:pPr>
        <w:pStyle w:val="Prrafodelista"/>
        <w:numPr>
          <w:ilvl w:val="7"/>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lang w:val="es-ES"/>
        </w:rPr>
      </w:pPr>
      <w:r w:rsidRPr="004C6EB5">
        <w:rPr>
          <w:rFonts w:ascii="Palatino Linotype" w:eastAsia="Palatino Linotype" w:hAnsi="Palatino Linotype" w:cs="Palatino Linotype"/>
          <w:b/>
          <w:color w:val="000000" w:themeColor="text1"/>
          <w:sz w:val="24"/>
          <w:lang w:val="es-ES"/>
        </w:rPr>
        <w:t>Cédula profesional;</w:t>
      </w:r>
    </w:p>
    <w:p w:rsidR="00CA116F" w:rsidRPr="004C6EB5" w:rsidRDefault="00CA116F" w:rsidP="004C6EB5">
      <w:pPr>
        <w:pStyle w:val="Prrafodelista"/>
        <w:numPr>
          <w:ilvl w:val="7"/>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lang w:val="es-ES"/>
        </w:rPr>
      </w:pPr>
      <w:r w:rsidRPr="004C6EB5">
        <w:rPr>
          <w:rFonts w:ascii="Palatino Linotype" w:eastAsia="Palatino Linotype" w:hAnsi="Palatino Linotype" w:cs="Palatino Linotype"/>
          <w:b/>
          <w:color w:val="000000" w:themeColor="text1"/>
          <w:sz w:val="24"/>
          <w:lang w:val="es-ES"/>
        </w:rPr>
        <w:t>Recibos de nómina correspondiente a la segunda quincena de julio y la primera y segunda quincena de diciembre de 2024;</w:t>
      </w:r>
    </w:p>
    <w:p w:rsidR="00CA116F" w:rsidRPr="004C6EB5" w:rsidRDefault="00CA116F" w:rsidP="004C6EB5">
      <w:pPr>
        <w:pStyle w:val="Prrafodelista"/>
        <w:numPr>
          <w:ilvl w:val="7"/>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lang w:val="es-ES"/>
        </w:rPr>
      </w:pPr>
      <w:r w:rsidRPr="004C6EB5">
        <w:rPr>
          <w:rFonts w:ascii="Palatino Linotype" w:eastAsia="Palatino Linotype" w:hAnsi="Palatino Linotype" w:cs="Palatino Linotype"/>
          <w:b/>
          <w:bCs/>
          <w:color w:val="000000" w:themeColor="text1"/>
          <w:sz w:val="24"/>
        </w:rPr>
        <w:t xml:space="preserve">El Acuerdo emitido por el Comité de Transparencia, en donde de manera fundada y motivada, clasifique como información confidencial por tratarse de datos personales de acuerdo al artículo 143, fracción I, de la Ley de Transparencia y Acceso a la Información Pública del Estado de México y Municipios, el documento o documentos donde </w:t>
      </w:r>
      <w:r w:rsidRPr="00A40CE9">
        <w:rPr>
          <w:rFonts w:ascii="Palatino Linotype" w:eastAsia="Palatino Linotype" w:hAnsi="Palatino Linotype" w:cs="Palatino Linotype"/>
          <w:b/>
          <w:bCs/>
          <w:color w:val="000000" w:themeColor="text1"/>
          <w:sz w:val="24"/>
        </w:rPr>
        <w:t xml:space="preserve">conste </w:t>
      </w:r>
      <w:r w:rsidR="00836D78" w:rsidRPr="00A40CE9">
        <w:rPr>
          <w:rFonts w:ascii="Palatino Linotype" w:eastAsia="Palatino Linotype" w:hAnsi="Palatino Linotype" w:cs="Palatino Linotype"/>
          <w:b/>
          <w:bCs/>
          <w:color w:val="000000" w:themeColor="text1"/>
          <w:sz w:val="24"/>
        </w:rPr>
        <w:t>si el contralor municipal</w:t>
      </w:r>
      <w:r w:rsidR="001B69B4" w:rsidRPr="00A40CE9">
        <w:rPr>
          <w:rFonts w:ascii="Palatino Linotype" w:eastAsia="Palatino Linotype" w:hAnsi="Palatino Linotype" w:cs="Palatino Linotype"/>
          <w:b/>
          <w:bCs/>
          <w:color w:val="000000" w:themeColor="text1"/>
          <w:sz w:val="24"/>
        </w:rPr>
        <w:t>, radica en el Municipio</w:t>
      </w:r>
      <w:r w:rsidR="001B69B4" w:rsidRPr="004C6EB5">
        <w:rPr>
          <w:rFonts w:ascii="Palatino Linotype" w:eastAsia="Palatino Linotype" w:hAnsi="Palatino Linotype" w:cs="Palatino Linotype"/>
          <w:b/>
          <w:bCs/>
          <w:color w:val="000000" w:themeColor="text1"/>
          <w:sz w:val="24"/>
        </w:rPr>
        <w:t xml:space="preserve"> de Valle de Chalco Solidaridad</w:t>
      </w:r>
      <w:r w:rsidRPr="004C6EB5">
        <w:rPr>
          <w:rFonts w:ascii="Palatino Linotype" w:eastAsia="Palatino Linotype" w:hAnsi="Palatino Linotype" w:cs="Palatino Linotype"/>
          <w:b/>
          <w:bCs/>
          <w:color w:val="000000" w:themeColor="text1"/>
          <w:sz w:val="24"/>
        </w:rPr>
        <w:t xml:space="preserve">. </w:t>
      </w:r>
    </w:p>
    <w:p w:rsidR="00C06690" w:rsidRPr="004C6EB5" w:rsidRDefault="00C06690" w:rsidP="004C6EB5">
      <w:pPr>
        <w:spacing w:line="360" w:lineRule="auto"/>
        <w:jc w:val="both"/>
        <w:rPr>
          <w:rFonts w:ascii="Palatino Linotype" w:eastAsia="Palatino Linotype" w:hAnsi="Palatino Linotype" w:cs="Palatino Linotype"/>
          <w:b/>
          <w:color w:val="000000" w:themeColor="text1"/>
          <w:sz w:val="24"/>
          <w:szCs w:val="24"/>
        </w:rPr>
      </w:pP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w:t>
      </w:r>
      <w:r w:rsidRPr="004C6EB5">
        <w:rPr>
          <w:rFonts w:ascii="Palatino Linotype" w:eastAsia="Palatino Linotype" w:hAnsi="Palatino Linotype" w:cs="Palatino Linotype"/>
          <w:color w:val="000000" w:themeColor="text1"/>
          <w:sz w:val="24"/>
          <w:szCs w:val="24"/>
        </w:rPr>
        <w:lastRenderedPageBreak/>
        <w:t>razones sobre los datos que se supriman o eliminen dentro del soporte documental respectivo objeto de las versiones públicas que se formulen y se ponga a disposición del recurrente.</w:t>
      </w:r>
    </w:p>
    <w:p w:rsidR="00854323" w:rsidRPr="004C6EB5" w:rsidRDefault="00854323" w:rsidP="004C6EB5">
      <w:pPr>
        <w:spacing w:line="360" w:lineRule="auto"/>
        <w:jc w:val="both"/>
        <w:rPr>
          <w:rFonts w:ascii="Palatino Linotype" w:eastAsia="Palatino Linotype" w:hAnsi="Palatino Linotype" w:cs="Palatino Linotype"/>
          <w:color w:val="000000" w:themeColor="text1"/>
          <w:sz w:val="24"/>
          <w:szCs w:val="24"/>
        </w:rPr>
      </w:pPr>
    </w:p>
    <w:p w:rsidR="00854323" w:rsidRPr="004C6EB5" w:rsidRDefault="00854323" w:rsidP="004C6EB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r w:rsidRPr="004C6EB5">
        <w:rPr>
          <w:rFonts w:ascii="Palatino Linotype" w:eastAsia="Palatino Linotype" w:hAnsi="Palatino Linotype" w:cs="Palatino Linotype"/>
          <w:color w:val="000000" w:themeColor="text1"/>
          <w:sz w:val="24"/>
        </w:rPr>
        <w:t xml:space="preserve">Para el caso de que la información que se ordena entregar en el punto </w:t>
      </w:r>
      <w:r w:rsidRPr="004C6EB5">
        <w:rPr>
          <w:rFonts w:ascii="Palatino Linotype" w:eastAsia="Palatino Linotype" w:hAnsi="Palatino Linotype" w:cs="Palatino Linotype"/>
          <w:b/>
          <w:color w:val="000000" w:themeColor="text1"/>
          <w:sz w:val="24"/>
        </w:rPr>
        <w:t>a</w:t>
      </w:r>
      <w:r w:rsidRPr="004C6EB5">
        <w:rPr>
          <w:rFonts w:ascii="Palatino Linotype" w:eastAsia="Palatino Linotype" w:hAnsi="Palatino Linotype" w:cs="Palatino Linotype"/>
          <w:color w:val="000000" w:themeColor="text1"/>
          <w:sz w:val="24"/>
        </w:rPr>
        <w:t xml:space="preserve">,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tabs>
          <w:tab w:val="left" w:pos="8080"/>
        </w:tabs>
        <w:spacing w:line="360" w:lineRule="auto"/>
        <w:jc w:val="both"/>
        <w:rPr>
          <w:rFonts w:ascii="Palatino Linotype" w:eastAsia="Palatino Linotype" w:hAnsi="Palatino Linotype" w:cs="Palatino Linotype"/>
          <w:b/>
          <w:color w:val="000000" w:themeColor="text1"/>
          <w:sz w:val="24"/>
          <w:szCs w:val="24"/>
        </w:rPr>
      </w:pPr>
      <w:r w:rsidRPr="004C6EB5">
        <w:rPr>
          <w:rFonts w:ascii="Palatino Linotype" w:eastAsia="Palatino Linotype" w:hAnsi="Palatino Linotype" w:cs="Palatino Linotype"/>
          <w:b/>
          <w:color w:val="000000" w:themeColor="text1"/>
          <w:sz w:val="24"/>
          <w:szCs w:val="24"/>
        </w:rPr>
        <w:t>TERCERO. Notifíquese</w:t>
      </w:r>
      <w:r w:rsidRPr="004C6EB5">
        <w:rPr>
          <w:rFonts w:ascii="Palatino Linotype" w:eastAsia="Palatino Linotype" w:hAnsi="Palatino Linotype" w:cs="Palatino Linotype"/>
          <w:color w:val="000000" w:themeColor="text1"/>
          <w:sz w:val="24"/>
          <w:szCs w:val="24"/>
        </w:rPr>
        <w:t xml:space="preserve"> al Titular de la Unidad de Transparencia del </w:t>
      </w:r>
      <w:r w:rsidRPr="004C6EB5">
        <w:rPr>
          <w:rFonts w:ascii="Palatino Linotype" w:eastAsia="Palatino Linotype" w:hAnsi="Palatino Linotype" w:cs="Palatino Linotype"/>
          <w:b/>
          <w:color w:val="000000" w:themeColor="text1"/>
          <w:sz w:val="24"/>
          <w:szCs w:val="24"/>
        </w:rPr>
        <w:t>SUJETO OBLIGADO</w:t>
      </w:r>
      <w:r w:rsidRPr="004C6EB5">
        <w:rPr>
          <w:rFonts w:ascii="Palatino Linotype" w:eastAsia="Palatino Linotype" w:hAnsi="Palatino Linotype" w:cs="Palatino Linotype"/>
          <w:color w:val="000000" w:themeColor="text1"/>
          <w:sz w:val="24"/>
          <w:szCs w:val="24"/>
        </w:rPr>
        <w:t xml:space="preserve">, vía SAIMEX, la presente resolución, para que conforme al artículo 186 último párrafo, 189 segundo párrafo y 194 de la Ley de Transparencia y Acceso a la Información Pública del Estado de México y Municipios </w:t>
      </w:r>
      <w:r w:rsidRPr="004C6EB5">
        <w:rPr>
          <w:rFonts w:ascii="Palatino Linotype" w:eastAsia="Palatino Linotype" w:hAnsi="Palatino Linotype" w:cs="Palatino Linotype"/>
          <w:b/>
          <w:color w:val="000000" w:themeColor="text1"/>
          <w:sz w:val="24"/>
          <w:szCs w:val="24"/>
        </w:rPr>
        <w:t>dé cumplimiento a lo ordenado dentro del plazo de diez días hábiles</w:t>
      </w:r>
      <w:r w:rsidRPr="004C6EB5">
        <w:rPr>
          <w:rFonts w:ascii="Palatino Linotype" w:eastAsia="Palatino Linotype" w:hAnsi="Palatino Linotype" w:cs="Palatino Linotype"/>
          <w:color w:val="000000" w:themeColor="text1"/>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06690" w:rsidRPr="004C6EB5" w:rsidRDefault="00C06690" w:rsidP="004C6EB5">
      <w:pPr>
        <w:shd w:val="clear" w:color="auto" w:fill="FFFFFF"/>
        <w:spacing w:line="360" w:lineRule="auto"/>
        <w:jc w:val="both"/>
        <w:rPr>
          <w:rFonts w:ascii="Palatino Linotype" w:eastAsia="Palatino Linotype" w:hAnsi="Palatino Linotype" w:cs="Palatino Linotype"/>
          <w:b/>
          <w:color w:val="000000" w:themeColor="text1"/>
          <w:sz w:val="24"/>
          <w:szCs w:val="24"/>
        </w:rPr>
      </w:pPr>
    </w:p>
    <w:p w:rsidR="00C06690" w:rsidRPr="004C6EB5" w:rsidRDefault="00C06690" w:rsidP="004C6EB5">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b/>
          <w:color w:val="000000" w:themeColor="text1"/>
          <w:sz w:val="24"/>
          <w:szCs w:val="24"/>
        </w:rPr>
        <w:t xml:space="preserve">CUARTO. </w:t>
      </w:r>
      <w:r w:rsidRPr="004C6EB5">
        <w:rPr>
          <w:rFonts w:ascii="Palatino Linotype" w:eastAsia="Palatino Linotype" w:hAnsi="Palatino Linotype" w:cs="Palatino Linotype"/>
          <w:color w:val="000000" w:themeColor="text1"/>
          <w:sz w:val="24"/>
          <w:szCs w:val="24"/>
        </w:rPr>
        <w:t xml:space="preserve">Notifíquese al </w:t>
      </w:r>
      <w:r w:rsidRPr="004C6EB5">
        <w:rPr>
          <w:rFonts w:ascii="Palatino Linotype" w:eastAsia="Palatino Linotype" w:hAnsi="Palatino Linotype" w:cs="Palatino Linotype"/>
          <w:b/>
          <w:color w:val="000000" w:themeColor="text1"/>
          <w:sz w:val="24"/>
          <w:szCs w:val="24"/>
        </w:rPr>
        <w:t xml:space="preserve">RECURRENTE </w:t>
      </w:r>
      <w:r w:rsidRPr="004C6EB5">
        <w:rPr>
          <w:rFonts w:ascii="Palatino Linotype" w:eastAsia="Palatino Linotype" w:hAnsi="Palatino Linotype" w:cs="Palatino Linotype"/>
          <w:color w:val="000000" w:themeColor="text1"/>
          <w:sz w:val="24"/>
          <w:szCs w:val="24"/>
        </w:rPr>
        <w:t>la presente resolución vía Sistema de Acceso a Información Mexiquense (SAIMEX).</w:t>
      </w:r>
    </w:p>
    <w:p w:rsidR="00C06690" w:rsidRPr="004C6EB5" w:rsidRDefault="00C06690" w:rsidP="004C6EB5">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b/>
          <w:color w:val="000000" w:themeColor="text1"/>
          <w:sz w:val="24"/>
          <w:szCs w:val="24"/>
        </w:rPr>
        <w:t>QUINTO.</w:t>
      </w:r>
      <w:r w:rsidRPr="004C6EB5">
        <w:rPr>
          <w:rFonts w:ascii="Palatino Linotype" w:eastAsia="Palatino Linotype" w:hAnsi="Palatino Linotype" w:cs="Palatino Linotype"/>
          <w:color w:val="000000" w:themeColor="text1"/>
          <w:sz w:val="24"/>
          <w:szCs w:val="24"/>
        </w:rPr>
        <w:t xml:space="preserve"> Se hace del conocimiento del </w:t>
      </w:r>
      <w:r w:rsidRPr="004C6EB5">
        <w:rPr>
          <w:rFonts w:ascii="Palatino Linotype" w:eastAsia="Palatino Linotype" w:hAnsi="Palatino Linotype" w:cs="Palatino Linotype"/>
          <w:b/>
          <w:color w:val="000000" w:themeColor="text1"/>
          <w:sz w:val="24"/>
          <w:szCs w:val="24"/>
        </w:rPr>
        <w:t xml:space="preserve">RECURRENTE </w:t>
      </w:r>
      <w:r w:rsidRPr="004C6EB5">
        <w:rPr>
          <w:rFonts w:ascii="Palatino Linotype" w:eastAsia="Palatino Linotype" w:hAnsi="Palatino Linotype" w:cs="Palatino Linotype"/>
          <w:color w:val="000000" w:themeColor="text1"/>
          <w:sz w:val="24"/>
          <w:szCs w:val="24"/>
        </w:rPr>
        <w:t xml:space="preserve">que, de conformidad con lo establecido en el artículo 196 de la Ley de Transparencia y Acceso a la Información Pública del </w:t>
      </w:r>
      <w:r w:rsidRPr="004C6EB5">
        <w:rPr>
          <w:rFonts w:ascii="Palatino Linotype" w:eastAsia="Palatino Linotype" w:hAnsi="Palatino Linotype" w:cs="Palatino Linotype"/>
          <w:color w:val="000000" w:themeColor="text1"/>
          <w:sz w:val="24"/>
          <w:szCs w:val="24"/>
        </w:rPr>
        <w:lastRenderedPageBreak/>
        <w:t>Estado de México y Municipios, en caso de que considere que la resolución le cause algún perjuicio podrá impugnarla vía juicio de amparo en los términos de las leyes aplicables.</w:t>
      </w:r>
    </w:p>
    <w:p w:rsidR="00C06690" w:rsidRPr="004C6EB5" w:rsidRDefault="00C06690" w:rsidP="004C6EB5">
      <w:pPr>
        <w:shd w:val="clear" w:color="auto" w:fill="FFFFFF"/>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r w:rsidRPr="004C6EB5">
        <w:rPr>
          <w:rFonts w:ascii="Palatino Linotype" w:eastAsia="Palatino Linotype" w:hAnsi="Palatino Linotype" w:cs="Palatino Linotype"/>
          <w:b/>
          <w:color w:val="000000" w:themeColor="text1"/>
          <w:sz w:val="24"/>
          <w:szCs w:val="24"/>
        </w:rPr>
        <w:t xml:space="preserve">SEXTO. </w:t>
      </w:r>
      <w:r w:rsidRPr="004C6EB5">
        <w:rPr>
          <w:rFonts w:ascii="Palatino Linotype" w:eastAsia="Palatino Linotype" w:hAnsi="Palatino Linotype" w:cs="Palatino Linotype"/>
          <w:color w:val="000000" w:themeColor="text1"/>
          <w:sz w:val="24"/>
          <w:szCs w:val="24"/>
        </w:rPr>
        <w:t>Hágase del conocimiento del</w:t>
      </w:r>
      <w:r w:rsidRPr="004C6EB5">
        <w:rPr>
          <w:rFonts w:ascii="Palatino Linotype" w:eastAsia="Palatino Linotype" w:hAnsi="Palatino Linotype" w:cs="Palatino Linotype"/>
          <w:b/>
          <w:color w:val="000000" w:themeColor="text1"/>
          <w:sz w:val="24"/>
          <w:szCs w:val="24"/>
        </w:rPr>
        <w:t xml:space="preserve"> RECURRENTE</w:t>
      </w:r>
      <w:r w:rsidRPr="004C6EB5">
        <w:rPr>
          <w:rFonts w:ascii="Palatino Linotype" w:eastAsia="Palatino Linotype" w:hAnsi="Palatino Linotype" w:cs="Palatino Linotype"/>
          <w:color w:val="000000" w:themeColor="text1"/>
          <w:sz w:val="24"/>
          <w:szCs w:val="24"/>
        </w:rPr>
        <w:t xml:space="preserve"> que la respuesta que dé el</w:t>
      </w:r>
      <w:r w:rsidRPr="004C6EB5">
        <w:rPr>
          <w:rFonts w:ascii="Palatino Linotype" w:eastAsia="Palatino Linotype" w:hAnsi="Palatino Linotype" w:cs="Palatino Linotype"/>
          <w:b/>
          <w:color w:val="000000" w:themeColor="text1"/>
          <w:sz w:val="24"/>
          <w:szCs w:val="24"/>
        </w:rPr>
        <w:t xml:space="preserve"> SUJETO OBLIGADO</w:t>
      </w:r>
      <w:r w:rsidRPr="004C6EB5">
        <w:rPr>
          <w:rFonts w:ascii="Palatino Linotype" w:eastAsia="Palatino Linotype" w:hAnsi="Palatino Linotype" w:cs="Palatino Linotype"/>
          <w:color w:val="000000" w:themeColor="text1"/>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06690" w:rsidRPr="004C6EB5" w:rsidRDefault="00C06690" w:rsidP="004C6EB5">
      <w:pPr>
        <w:spacing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line="360" w:lineRule="auto"/>
        <w:jc w:val="both"/>
        <w:rPr>
          <w:rFonts w:ascii="Palatino Linotype" w:eastAsia="Palatino Linotype" w:hAnsi="Palatino Linotype" w:cs="Palatino Linotype"/>
          <w:b/>
          <w:color w:val="000000" w:themeColor="text1"/>
          <w:sz w:val="24"/>
          <w:szCs w:val="24"/>
        </w:rPr>
      </w:pPr>
      <w:r w:rsidRPr="004C6EB5">
        <w:rPr>
          <w:rFonts w:ascii="Palatino Linotype" w:eastAsia="Palatino Linotype" w:hAnsi="Palatino Linotype" w:cs="Palatino Linotype"/>
          <w:b/>
          <w:color w:val="000000" w:themeColor="text1"/>
          <w:sz w:val="24"/>
          <w:szCs w:val="24"/>
        </w:rPr>
        <w:t>SÉPTIMO.</w:t>
      </w:r>
      <w:r w:rsidRPr="004C6EB5">
        <w:rPr>
          <w:rFonts w:ascii="Palatino Linotype" w:eastAsia="Palatino Linotype" w:hAnsi="Palatino Linotype" w:cs="Palatino Linotype"/>
          <w:color w:val="000000" w:themeColor="text1"/>
          <w:sz w:val="24"/>
          <w:szCs w:val="24"/>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4C6EB5">
        <w:rPr>
          <w:rFonts w:ascii="Palatino Linotype" w:eastAsia="Palatino Linotype" w:hAnsi="Palatino Linotype" w:cs="Palatino Linotype"/>
          <w:b/>
          <w:color w:val="000000" w:themeColor="text1"/>
          <w:sz w:val="24"/>
          <w:szCs w:val="24"/>
        </w:rPr>
        <w:t>Considerando SEXTO</w:t>
      </w:r>
      <w:r w:rsidRPr="004C6EB5">
        <w:rPr>
          <w:rFonts w:ascii="Palatino Linotype" w:eastAsia="Palatino Linotype" w:hAnsi="Palatino Linotype" w:cs="Palatino Linotype"/>
          <w:color w:val="000000" w:themeColor="text1"/>
          <w:sz w:val="24"/>
          <w:szCs w:val="24"/>
        </w:rPr>
        <w:t xml:space="preserve"> de la presente Resolución</w:t>
      </w:r>
      <w:r w:rsidRPr="004C6EB5">
        <w:rPr>
          <w:rFonts w:ascii="Palatino Linotype" w:eastAsia="Palatino Linotype" w:hAnsi="Palatino Linotype" w:cs="Palatino Linotype"/>
          <w:b/>
          <w:color w:val="000000" w:themeColor="text1"/>
          <w:sz w:val="24"/>
          <w:szCs w:val="24"/>
        </w:rPr>
        <w:t>.</w:t>
      </w:r>
    </w:p>
    <w:p w:rsidR="00C06690" w:rsidRDefault="00C06690" w:rsidP="004C6EB5">
      <w:pPr>
        <w:spacing w:line="360" w:lineRule="auto"/>
        <w:jc w:val="both"/>
        <w:rPr>
          <w:rFonts w:ascii="Palatino Linotype" w:eastAsia="Palatino Linotype" w:hAnsi="Palatino Linotype" w:cs="Palatino Linotype"/>
          <w:b/>
          <w:color w:val="000000" w:themeColor="text1"/>
          <w:sz w:val="24"/>
          <w:szCs w:val="24"/>
        </w:rPr>
      </w:pPr>
    </w:p>
    <w:p w:rsidR="003A758D" w:rsidRDefault="003A758D" w:rsidP="003A758D">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10805">
        <w:rPr>
          <w:rFonts w:ascii="Palatino Linotype" w:eastAsia="Palatino Linotype" w:hAnsi="Palatino Linotype" w:cs="Palatino Linotype"/>
          <w:sz w:val="24"/>
          <w:szCs w:val="24"/>
        </w:rPr>
        <w:t xml:space="preserve"> </w:t>
      </w:r>
      <w:r w:rsidR="00B10805" w:rsidRPr="00B10805">
        <w:rPr>
          <w:rFonts w:ascii="Palatino Linotype" w:eastAsia="Palatino Linotype" w:hAnsi="Palatino Linotype" w:cs="Palatino Linotype"/>
          <w:sz w:val="24"/>
          <w:szCs w:val="24"/>
        </w:rPr>
        <w:t>EMITIENDO VOTO PARTICULAR</w:t>
      </w:r>
      <w:r w:rsidR="00B10805">
        <w:rPr>
          <w:rFonts w:ascii="Palatino Linotype" w:eastAsia="Palatino Linotype" w:hAnsi="Palatino Linotype" w:cs="Palatino Linotype"/>
          <w:sz w:val="24"/>
          <w:szCs w:val="24"/>
        </w:rPr>
        <w:t xml:space="preserve"> CONCURRENTE</w:t>
      </w:r>
      <w:r w:rsidRPr="00575AE2">
        <w:rPr>
          <w:rFonts w:ascii="Palatino Linotype" w:eastAsia="Palatino Linotype" w:hAnsi="Palatino Linotype" w:cs="Palatino Linotype"/>
          <w:sz w:val="24"/>
          <w:szCs w:val="24"/>
        </w:rPr>
        <w:t>, SHARON CRISTINA MORALES MARTÍNEZ, LUIS GUSTAVO PARRA NORIEGA</w:t>
      </w:r>
      <w:r w:rsidR="00B10805">
        <w:rPr>
          <w:rFonts w:ascii="Palatino Linotype" w:eastAsia="Palatino Linotype" w:hAnsi="Palatino Linotype" w:cs="Palatino Linotype"/>
          <w:sz w:val="24"/>
          <w:szCs w:val="24"/>
        </w:rPr>
        <w:t xml:space="preserve"> EMITIENDO VOTO PARTICULAR CONCURRENTE </w:t>
      </w:r>
      <w:r w:rsidRPr="00575AE2">
        <w:rPr>
          <w:rFonts w:ascii="Palatino Linotype" w:eastAsia="Palatino Linotype" w:hAnsi="Palatino Linotype" w:cs="Palatino Linotype"/>
          <w:sz w:val="24"/>
          <w:szCs w:val="24"/>
        </w:rPr>
        <w:t>Y GUADALUPE RAMÍREZ PEÑA</w:t>
      </w:r>
      <w:r w:rsidR="00B10805">
        <w:rPr>
          <w:rFonts w:ascii="Palatino Linotype" w:eastAsia="Palatino Linotype" w:hAnsi="Palatino Linotype" w:cs="Palatino Linotype"/>
          <w:sz w:val="24"/>
          <w:szCs w:val="24"/>
        </w:rPr>
        <w:t xml:space="preserve"> EMITIENDO VOTO PARTICULAR</w:t>
      </w:r>
      <w:r w:rsidRPr="00575AE2">
        <w:rPr>
          <w:rFonts w:ascii="Palatino Linotype" w:eastAsia="Palatino Linotype" w:hAnsi="Palatino Linotype" w:cs="Palatino Linotype"/>
          <w:sz w:val="24"/>
          <w:szCs w:val="24"/>
        </w:rPr>
        <w:t xml:space="preserve">;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lastRenderedPageBreak/>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E96C0D" w:rsidRDefault="00E96C0D" w:rsidP="003A758D">
      <w:pPr>
        <w:tabs>
          <w:tab w:val="left" w:pos="5387"/>
        </w:tabs>
        <w:spacing w:line="360" w:lineRule="auto"/>
        <w:ind w:right="49"/>
        <w:jc w:val="both"/>
        <w:rPr>
          <w:rFonts w:ascii="Palatino Linotype" w:eastAsia="Palatino Linotype" w:hAnsi="Palatino Linotype" w:cs="Palatino Linotype"/>
          <w:sz w:val="24"/>
          <w:szCs w:val="24"/>
        </w:rPr>
      </w:pPr>
    </w:p>
    <w:p w:rsidR="00E96C0D" w:rsidRDefault="00E96C0D" w:rsidP="003A758D">
      <w:pPr>
        <w:tabs>
          <w:tab w:val="left" w:pos="5387"/>
        </w:tabs>
        <w:spacing w:line="360" w:lineRule="auto"/>
        <w:ind w:right="49"/>
        <w:jc w:val="both"/>
        <w:rPr>
          <w:rFonts w:ascii="Palatino Linotype" w:eastAsia="Palatino Linotype" w:hAnsi="Palatino Linotype" w:cs="Palatino Linotype"/>
          <w:sz w:val="24"/>
          <w:szCs w:val="24"/>
        </w:rPr>
      </w:pPr>
    </w:p>
    <w:p w:rsidR="00E96C0D" w:rsidRDefault="00E96C0D" w:rsidP="003A758D">
      <w:pPr>
        <w:tabs>
          <w:tab w:val="left" w:pos="5387"/>
        </w:tabs>
        <w:spacing w:line="360" w:lineRule="auto"/>
        <w:ind w:right="49"/>
        <w:jc w:val="both"/>
        <w:rPr>
          <w:rFonts w:ascii="Palatino Linotype" w:eastAsia="Palatino Linotype" w:hAnsi="Palatino Linotype" w:cs="Palatino Linotype"/>
          <w:sz w:val="24"/>
          <w:szCs w:val="24"/>
        </w:rPr>
      </w:pPr>
    </w:p>
    <w:p w:rsidR="00E96C0D" w:rsidRPr="00444783" w:rsidRDefault="00E96C0D" w:rsidP="003A758D">
      <w:pPr>
        <w:tabs>
          <w:tab w:val="left" w:pos="5387"/>
        </w:tabs>
        <w:spacing w:line="360" w:lineRule="auto"/>
        <w:ind w:right="49"/>
        <w:jc w:val="both"/>
        <w:rPr>
          <w:rFonts w:ascii="Palatino Linotype" w:eastAsia="Palatino Linotype" w:hAnsi="Palatino Linotype" w:cs="Palatino Linotype"/>
          <w:sz w:val="24"/>
          <w:szCs w:val="24"/>
        </w:rPr>
      </w:pPr>
    </w:p>
    <w:p w:rsidR="00C06690" w:rsidRPr="004C6EB5" w:rsidRDefault="00C06690" w:rsidP="004C6EB5">
      <w:pPr>
        <w:spacing w:before="240" w:after="360"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before="240" w:after="360"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before="240" w:after="360"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before="240" w:after="360"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before="240" w:after="360"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before="240" w:after="360"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before="240" w:after="360"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before="240" w:after="360"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spacing w:before="240" w:after="360" w:line="360" w:lineRule="auto"/>
        <w:jc w:val="both"/>
        <w:rPr>
          <w:rFonts w:ascii="Palatino Linotype" w:eastAsia="Palatino Linotype" w:hAnsi="Palatino Linotype" w:cs="Palatino Linotype"/>
          <w:color w:val="000000" w:themeColor="text1"/>
          <w:sz w:val="24"/>
          <w:szCs w:val="24"/>
        </w:rPr>
      </w:pPr>
    </w:p>
    <w:p w:rsidR="00C06690" w:rsidRPr="004C6EB5" w:rsidRDefault="00C06690" w:rsidP="004C6EB5">
      <w:pPr>
        <w:rPr>
          <w:rFonts w:ascii="Palatino Linotype" w:eastAsia="Palatino Linotype" w:hAnsi="Palatino Linotype" w:cs="Palatino Linotype"/>
          <w:color w:val="000000" w:themeColor="text1"/>
          <w:sz w:val="24"/>
          <w:szCs w:val="24"/>
        </w:rPr>
      </w:pPr>
    </w:p>
    <w:p w:rsidR="00C06690" w:rsidRPr="004C6EB5" w:rsidRDefault="00C06690" w:rsidP="004C6EB5">
      <w:pPr>
        <w:rPr>
          <w:rFonts w:ascii="Palatino Linotype" w:hAnsi="Palatino Linotype"/>
          <w:color w:val="000000" w:themeColor="text1"/>
          <w:sz w:val="24"/>
          <w:szCs w:val="24"/>
        </w:rPr>
      </w:pPr>
    </w:p>
    <w:p w:rsidR="00C06690" w:rsidRPr="004C6EB5" w:rsidRDefault="00C06690" w:rsidP="004C6EB5">
      <w:pPr>
        <w:rPr>
          <w:rFonts w:ascii="Palatino Linotype" w:hAnsi="Palatino Linotype"/>
          <w:color w:val="000000" w:themeColor="text1"/>
          <w:sz w:val="24"/>
          <w:szCs w:val="24"/>
        </w:rPr>
      </w:pPr>
    </w:p>
    <w:p w:rsidR="00C06690" w:rsidRPr="004C6EB5" w:rsidRDefault="00C06690" w:rsidP="004C6EB5">
      <w:pPr>
        <w:rPr>
          <w:rFonts w:ascii="Palatino Linotype" w:hAnsi="Palatino Linotype"/>
          <w:color w:val="000000" w:themeColor="text1"/>
          <w:sz w:val="24"/>
          <w:szCs w:val="24"/>
        </w:rPr>
      </w:pPr>
    </w:p>
    <w:p w:rsidR="0036416B" w:rsidRPr="004C6EB5" w:rsidRDefault="0036416B" w:rsidP="004C6EB5">
      <w:pPr>
        <w:rPr>
          <w:rFonts w:ascii="Palatino Linotype" w:hAnsi="Palatino Linotype"/>
          <w:color w:val="000000" w:themeColor="text1"/>
          <w:sz w:val="24"/>
          <w:szCs w:val="24"/>
        </w:rPr>
      </w:pPr>
    </w:p>
    <w:sectPr w:rsidR="0036416B" w:rsidRPr="004C6EB5" w:rsidSect="007E1ADE">
      <w:headerReference w:type="even" r:id="rId18"/>
      <w:headerReference w:type="default" r:id="rId19"/>
      <w:footerReference w:type="default" r:id="rId20"/>
      <w:headerReference w:type="first" r:id="rId21"/>
      <w:footerReference w:type="first" r:id="rId22"/>
      <w:pgSz w:w="12240" w:h="15840"/>
      <w:pgMar w:top="80" w:right="75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D21" w:rsidRDefault="00D43D21" w:rsidP="00C06690">
      <w:r>
        <w:separator/>
      </w:r>
    </w:p>
  </w:endnote>
  <w:endnote w:type="continuationSeparator" w:id="0">
    <w:p w:rsidR="00D43D21" w:rsidRDefault="00D43D21" w:rsidP="00C0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5C5" w:rsidRDefault="008C65C5">
    <w:pPr>
      <w:pBdr>
        <w:top w:val="nil"/>
        <w:left w:val="nil"/>
        <w:bottom w:val="nil"/>
        <w:right w:val="nil"/>
        <w:between w:val="nil"/>
      </w:pBdr>
      <w:tabs>
        <w:tab w:val="center" w:pos="4419"/>
        <w:tab w:val="right" w:pos="8838"/>
      </w:tabs>
      <w:jc w:val="right"/>
      <w:rPr>
        <w:color w:val="000000"/>
      </w:rPr>
    </w:pPr>
  </w:p>
  <w:p w:rsidR="008C65C5" w:rsidRDefault="008C65C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2425E">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2425E">
      <w:rPr>
        <w:b/>
        <w:noProof/>
        <w:color w:val="000000"/>
        <w:sz w:val="24"/>
        <w:szCs w:val="24"/>
      </w:rPr>
      <w:t>46</w:t>
    </w:r>
    <w:r>
      <w:rPr>
        <w:b/>
        <w:color w:val="000000"/>
        <w:sz w:val="24"/>
        <w:szCs w:val="24"/>
      </w:rPr>
      <w:fldChar w:fldCharType="end"/>
    </w:r>
  </w:p>
  <w:p w:rsidR="008C65C5" w:rsidRDefault="008C65C5">
    <w:pPr>
      <w:pBdr>
        <w:top w:val="nil"/>
        <w:left w:val="nil"/>
        <w:bottom w:val="nil"/>
        <w:right w:val="nil"/>
        <w:between w:val="nil"/>
      </w:pBdr>
      <w:tabs>
        <w:tab w:val="center" w:pos="4419"/>
        <w:tab w:val="right" w:pos="8838"/>
      </w:tabs>
      <w:rPr>
        <w:color w:val="000000"/>
      </w:rPr>
    </w:pPr>
  </w:p>
  <w:p w:rsidR="008C65C5" w:rsidRDefault="008C65C5"/>
  <w:p w:rsidR="008C65C5" w:rsidRDefault="008C65C5"/>
  <w:p w:rsidR="008C65C5" w:rsidRDefault="008C65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5C5" w:rsidRDefault="008C65C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2425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2425E">
      <w:rPr>
        <w:b/>
        <w:noProof/>
        <w:color w:val="000000"/>
        <w:sz w:val="24"/>
        <w:szCs w:val="24"/>
      </w:rPr>
      <w:t>46</w:t>
    </w:r>
    <w:r>
      <w:rPr>
        <w:b/>
        <w:color w:val="000000"/>
        <w:sz w:val="24"/>
        <w:szCs w:val="24"/>
      </w:rPr>
      <w:fldChar w:fldCharType="end"/>
    </w:r>
  </w:p>
  <w:p w:rsidR="008C65C5" w:rsidRDefault="008C65C5">
    <w:pPr>
      <w:pBdr>
        <w:top w:val="nil"/>
        <w:left w:val="nil"/>
        <w:bottom w:val="nil"/>
        <w:right w:val="nil"/>
        <w:between w:val="nil"/>
      </w:pBdr>
      <w:tabs>
        <w:tab w:val="center" w:pos="4419"/>
        <w:tab w:val="right" w:pos="8838"/>
      </w:tabs>
      <w:rPr>
        <w:color w:val="000000"/>
      </w:rPr>
    </w:pPr>
  </w:p>
  <w:p w:rsidR="008C65C5" w:rsidRDefault="008C65C5"/>
  <w:p w:rsidR="008C65C5" w:rsidRDefault="008C65C5"/>
  <w:p w:rsidR="008C65C5" w:rsidRDefault="008C65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D21" w:rsidRDefault="00D43D21" w:rsidP="00C06690">
      <w:r>
        <w:separator/>
      </w:r>
    </w:p>
  </w:footnote>
  <w:footnote w:type="continuationSeparator" w:id="0">
    <w:p w:rsidR="00D43D21" w:rsidRDefault="00D43D21" w:rsidP="00C06690">
      <w:r>
        <w:continuationSeparator/>
      </w:r>
    </w:p>
  </w:footnote>
  <w:footnote w:id="1">
    <w:p w:rsidR="008C65C5" w:rsidRDefault="008C65C5" w:rsidP="00C06690">
      <w:pPr>
        <w:pStyle w:val="Textonotapie"/>
      </w:pPr>
      <w:r>
        <w:rPr>
          <w:rStyle w:val="Refdenotaalpie"/>
        </w:rPr>
        <w:footnoteRef/>
      </w:r>
      <w:r>
        <w:t xml:space="preserve"> Artículo 150. Ley de Transparencia y Acceso a la Información Pública del Estado de México y Municipios.</w:t>
      </w:r>
    </w:p>
    <w:p w:rsidR="008C65C5" w:rsidRDefault="008C65C5" w:rsidP="00C06690">
      <w:pPr>
        <w:pStyle w:val="Textonotapie"/>
      </w:pPr>
      <w:r>
        <w:t>Artículo 151. Ibídem.</w:t>
      </w:r>
    </w:p>
  </w:footnote>
  <w:footnote w:id="2">
    <w:p w:rsidR="008C65C5" w:rsidRDefault="008C65C5" w:rsidP="00C06690">
      <w:pPr>
        <w:pStyle w:val="Textonotapie"/>
      </w:pPr>
      <w:r>
        <w:rPr>
          <w:rStyle w:val="Refdenotaalpie"/>
        </w:rPr>
        <w:footnoteRef/>
      </w:r>
      <w:r>
        <w:t xml:space="preserve"> Fracción IV. Artículo 53. Ibídem.</w:t>
      </w:r>
    </w:p>
  </w:footnote>
  <w:footnote w:id="3">
    <w:p w:rsidR="008C65C5" w:rsidRDefault="008C65C5" w:rsidP="00873D76">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8C65C5" w:rsidRDefault="008C65C5" w:rsidP="00873D7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5C5" w:rsidRDefault="00D43D2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63.5pt;height:12in;z-index:-251659776;mso-position-horizontal:center;mso-position-horizontal-relative:margin;mso-position-vertical:center;mso-position-vertical-relative:margin">
          <v:imagedata r:id="rId1" o:title="image1"/>
          <w10:wrap anchorx="margin" anchory="margin"/>
        </v:shape>
      </w:pict>
    </w:r>
  </w:p>
  <w:p w:rsidR="008C65C5" w:rsidRDefault="008C65C5"/>
  <w:p w:rsidR="008C65C5" w:rsidRDefault="008C65C5"/>
  <w:p w:rsidR="008C65C5" w:rsidRDefault="008C65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1843"/>
      <w:gridCol w:w="8647"/>
    </w:tblGrid>
    <w:tr w:rsidR="008C65C5" w:rsidTr="004C6EB5">
      <w:trPr>
        <w:trHeight w:val="1435"/>
      </w:trPr>
      <w:tc>
        <w:tcPr>
          <w:tcW w:w="1843" w:type="dxa"/>
          <w:shd w:val="clear" w:color="auto" w:fill="auto"/>
        </w:tcPr>
        <w:p w:rsidR="008C65C5" w:rsidRDefault="008C65C5">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647" w:type="dxa"/>
          <w:shd w:val="clear" w:color="auto" w:fill="auto"/>
        </w:tcPr>
        <w:tbl>
          <w:tblPr>
            <w:tblW w:w="7797" w:type="dxa"/>
            <w:tblInd w:w="459" w:type="dxa"/>
            <w:tblBorders>
              <w:top w:val="nil"/>
              <w:left w:val="nil"/>
              <w:bottom w:val="nil"/>
              <w:right w:val="nil"/>
              <w:insideH w:val="nil"/>
              <w:insideV w:val="nil"/>
            </w:tblBorders>
            <w:tblLayout w:type="fixed"/>
            <w:tblLook w:val="0400" w:firstRow="0" w:lastRow="0" w:firstColumn="0" w:lastColumn="0" w:noHBand="0" w:noVBand="1"/>
          </w:tblPr>
          <w:tblGrid>
            <w:gridCol w:w="2694"/>
            <w:gridCol w:w="5103"/>
          </w:tblGrid>
          <w:tr w:rsidR="008C65C5" w:rsidRPr="004C6EB5" w:rsidTr="004C6EB5">
            <w:trPr>
              <w:trHeight w:val="338"/>
            </w:trPr>
            <w:tc>
              <w:tcPr>
                <w:tcW w:w="2694" w:type="dxa"/>
              </w:tcPr>
              <w:p w:rsidR="008C65C5" w:rsidRPr="004C6EB5" w:rsidRDefault="008C65C5" w:rsidP="004C6EB5">
                <w:pPr>
                  <w:tabs>
                    <w:tab w:val="right" w:pos="8838"/>
                  </w:tabs>
                  <w:ind w:right="-105"/>
                  <w:rPr>
                    <w:rFonts w:ascii="Palatino Linotype" w:eastAsia="Palatino Linotype" w:hAnsi="Palatino Linotype" w:cs="Palatino Linotype"/>
                    <w:b/>
                    <w:sz w:val="24"/>
                    <w:szCs w:val="24"/>
                  </w:rPr>
                </w:pPr>
                <w:r w:rsidRPr="004C6EB5">
                  <w:rPr>
                    <w:rFonts w:ascii="Palatino Linotype" w:eastAsia="Palatino Linotype" w:hAnsi="Palatino Linotype" w:cs="Palatino Linotype"/>
                    <w:b/>
                    <w:sz w:val="24"/>
                    <w:szCs w:val="24"/>
                  </w:rPr>
                  <w:t>Recurso de Revisión:</w:t>
                </w:r>
              </w:p>
            </w:tc>
            <w:tc>
              <w:tcPr>
                <w:tcW w:w="5103" w:type="dxa"/>
              </w:tcPr>
              <w:p w:rsidR="008C65C5" w:rsidRPr="004C6EB5" w:rsidRDefault="008C65C5" w:rsidP="004C6EB5">
                <w:pPr>
                  <w:tabs>
                    <w:tab w:val="right" w:pos="8838"/>
                  </w:tabs>
                  <w:ind w:right="-105"/>
                  <w:jc w:val="both"/>
                  <w:rPr>
                    <w:rFonts w:ascii="Palatino Linotype" w:eastAsia="Palatino Linotype" w:hAnsi="Palatino Linotype" w:cs="Palatino Linotype"/>
                    <w:sz w:val="24"/>
                    <w:szCs w:val="24"/>
                  </w:rPr>
                </w:pPr>
                <w:r w:rsidRPr="004C6EB5">
                  <w:rPr>
                    <w:rFonts w:ascii="Palatino Linotype" w:eastAsia="Palatino Linotype" w:hAnsi="Palatino Linotype" w:cs="Palatino Linotype"/>
                    <w:sz w:val="24"/>
                    <w:szCs w:val="24"/>
                  </w:rPr>
                  <w:t>03743/INFOEM/IP/RR/2025</w:t>
                </w:r>
              </w:p>
            </w:tc>
          </w:tr>
          <w:tr w:rsidR="008C65C5" w:rsidRPr="004C6EB5" w:rsidTr="004C6EB5">
            <w:trPr>
              <w:trHeight w:val="283"/>
            </w:trPr>
            <w:tc>
              <w:tcPr>
                <w:tcW w:w="2694" w:type="dxa"/>
              </w:tcPr>
              <w:p w:rsidR="008C65C5" w:rsidRPr="004C6EB5" w:rsidRDefault="008C65C5" w:rsidP="004C6EB5">
                <w:pPr>
                  <w:tabs>
                    <w:tab w:val="right" w:pos="8838"/>
                  </w:tabs>
                  <w:ind w:right="-105"/>
                  <w:rPr>
                    <w:rFonts w:ascii="Palatino Linotype" w:eastAsia="Palatino Linotype" w:hAnsi="Palatino Linotype" w:cs="Palatino Linotype"/>
                    <w:b/>
                    <w:sz w:val="24"/>
                    <w:szCs w:val="24"/>
                  </w:rPr>
                </w:pPr>
                <w:bookmarkStart w:id="15" w:name="_heading=h.3rdcrjn" w:colFirst="0" w:colLast="0"/>
                <w:bookmarkEnd w:id="15"/>
                <w:r w:rsidRPr="004C6EB5">
                  <w:rPr>
                    <w:rFonts w:ascii="Palatino Linotype" w:eastAsia="Palatino Linotype" w:hAnsi="Palatino Linotype" w:cs="Palatino Linotype"/>
                    <w:b/>
                    <w:sz w:val="24"/>
                    <w:szCs w:val="24"/>
                  </w:rPr>
                  <w:t>Sujeto Obligado:</w:t>
                </w:r>
              </w:p>
            </w:tc>
            <w:tc>
              <w:tcPr>
                <w:tcW w:w="5103" w:type="dxa"/>
              </w:tcPr>
              <w:p w:rsidR="008C65C5" w:rsidRPr="004C6EB5" w:rsidRDefault="008C65C5" w:rsidP="004C6EB5">
                <w:pPr>
                  <w:tabs>
                    <w:tab w:val="right" w:pos="8838"/>
                  </w:tabs>
                  <w:jc w:val="both"/>
                  <w:rPr>
                    <w:rFonts w:ascii="Palatino Linotype" w:eastAsia="Palatino Linotype" w:hAnsi="Palatino Linotype" w:cs="Palatino Linotype"/>
                    <w:sz w:val="24"/>
                    <w:szCs w:val="24"/>
                  </w:rPr>
                </w:pPr>
                <w:r w:rsidRPr="004C6EB5">
                  <w:rPr>
                    <w:rFonts w:ascii="Palatino Linotype" w:eastAsia="Palatino Linotype" w:hAnsi="Palatino Linotype" w:cs="Palatino Linotype"/>
                    <w:sz w:val="24"/>
                    <w:szCs w:val="24"/>
                  </w:rPr>
                  <w:t>Ayuntamiento de Valle de Chalco Solidaridad</w:t>
                </w:r>
              </w:p>
            </w:tc>
          </w:tr>
          <w:tr w:rsidR="008C65C5" w:rsidRPr="004C6EB5" w:rsidTr="004C6EB5">
            <w:trPr>
              <w:trHeight w:val="283"/>
            </w:trPr>
            <w:tc>
              <w:tcPr>
                <w:tcW w:w="2694" w:type="dxa"/>
              </w:tcPr>
              <w:p w:rsidR="008C65C5" w:rsidRPr="004C6EB5" w:rsidRDefault="008C65C5" w:rsidP="004C6EB5">
                <w:pPr>
                  <w:tabs>
                    <w:tab w:val="right" w:pos="8838"/>
                  </w:tabs>
                  <w:ind w:right="-105"/>
                  <w:rPr>
                    <w:rFonts w:ascii="Palatino Linotype" w:eastAsia="Palatino Linotype" w:hAnsi="Palatino Linotype" w:cs="Palatino Linotype"/>
                    <w:b/>
                    <w:sz w:val="24"/>
                    <w:szCs w:val="24"/>
                  </w:rPr>
                </w:pPr>
                <w:r w:rsidRPr="004C6EB5">
                  <w:rPr>
                    <w:rFonts w:ascii="Palatino Linotype" w:eastAsia="Palatino Linotype" w:hAnsi="Palatino Linotype" w:cs="Palatino Linotype"/>
                    <w:b/>
                    <w:sz w:val="24"/>
                    <w:szCs w:val="24"/>
                  </w:rPr>
                  <w:t>Comisionada Ponente:</w:t>
                </w:r>
              </w:p>
            </w:tc>
            <w:tc>
              <w:tcPr>
                <w:tcW w:w="5103" w:type="dxa"/>
              </w:tcPr>
              <w:p w:rsidR="008C65C5" w:rsidRPr="004C6EB5" w:rsidRDefault="008C65C5" w:rsidP="004C6EB5">
                <w:pPr>
                  <w:tabs>
                    <w:tab w:val="right" w:pos="8838"/>
                  </w:tabs>
                  <w:ind w:right="-105"/>
                  <w:jc w:val="both"/>
                  <w:rPr>
                    <w:rFonts w:ascii="Palatino Linotype" w:eastAsia="Palatino Linotype" w:hAnsi="Palatino Linotype" w:cs="Palatino Linotype"/>
                    <w:sz w:val="24"/>
                    <w:szCs w:val="24"/>
                  </w:rPr>
                </w:pPr>
                <w:r w:rsidRPr="004C6EB5">
                  <w:rPr>
                    <w:rFonts w:ascii="Palatino Linotype" w:eastAsia="Palatino Linotype" w:hAnsi="Palatino Linotype" w:cs="Palatino Linotype"/>
                    <w:sz w:val="24"/>
                    <w:szCs w:val="24"/>
                  </w:rPr>
                  <w:t>María del Rosario Mejía Ayala</w:t>
                </w:r>
              </w:p>
            </w:tc>
          </w:tr>
        </w:tbl>
        <w:p w:rsidR="008C65C5" w:rsidRDefault="008C65C5">
          <w:pPr>
            <w:tabs>
              <w:tab w:val="right" w:pos="8838"/>
            </w:tabs>
            <w:ind w:left="-28"/>
            <w:jc w:val="both"/>
            <w:rPr>
              <w:rFonts w:ascii="Arial" w:eastAsia="Arial" w:hAnsi="Arial" w:cs="Arial"/>
              <w:b/>
              <w:sz w:val="22"/>
              <w:szCs w:val="22"/>
            </w:rPr>
          </w:pPr>
        </w:p>
      </w:tc>
    </w:tr>
  </w:tbl>
  <w:p w:rsidR="008C65C5" w:rsidRPr="007E1ADE" w:rsidRDefault="00D43D21" w:rsidP="007E1AD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05pt;margin-top:-130.1pt;width:663.5pt;height:12in;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Layout w:type="fixed"/>
      <w:tblLook w:val="0400" w:firstRow="0" w:lastRow="0" w:firstColumn="0" w:lastColumn="0" w:noHBand="0" w:noVBand="1"/>
    </w:tblPr>
    <w:tblGrid>
      <w:gridCol w:w="1560"/>
      <w:gridCol w:w="9213"/>
    </w:tblGrid>
    <w:tr w:rsidR="008C65C5" w:rsidTr="007E1ADE">
      <w:trPr>
        <w:trHeight w:val="1134"/>
      </w:trPr>
      <w:tc>
        <w:tcPr>
          <w:tcW w:w="1560" w:type="dxa"/>
          <w:shd w:val="clear" w:color="auto" w:fill="auto"/>
        </w:tcPr>
        <w:p w:rsidR="008C65C5" w:rsidRDefault="008C65C5">
          <w:pPr>
            <w:tabs>
              <w:tab w:val="right" w:pos="4273"/>
            </w:tabs>
            <w:rPr>
              <w:rFonts w:ascii="Garamond" w:eastAsia="Garamond" w:hAnsi="Garamond" w:cs="Garamond"/>
              <w:sz w:val="22"/>
              <w:szCs w:val="22"/>
            </w:rPr>
          </w:pPr>
        </w:p>
      </w:tc>
      <w:tc>
        <w:tcPr>
          <w:tcW w:w="9213" w:type="dxa"/>
          <w:shd w:val="clear" w:color="auto" w:fill="auto"/>
        </w:tcPr>
        <w:tbl>
          <w:tblPr>
            <w:tblW w:w="10915" w:type="dxa"/>
            <w:tblInd w:w="1026" w:type="dxa"/>
            <w:tblBorders>
              <w:top w:val="nil"/>
              <w:left w:val="nil"/>
              <w:bottom w:val="nil"/>
              <w:right w:val="nil"/>
              <w:insideH w:val="nil"/>
              <w:insideV w:val="nil"/>
            </w:tblBorders>
            <w:tblLayout w:type="fixed"/>
            <w:tblLook w:val="0400" w:firstRow="0" w:lastRow="0" w:firstColumn="0" w:lastColumn="0" w:noHBand="0" w:noVBand="1"/>
          </w:tblPr>
          <w:tblGrid>
            <w:gridCol w:w="2552"/>
            <w:gridCol w:w="4961"/>
            <w:gridCol w:w="3402"/>
          </w:tblGrid>
          <w:tr w:rsidR="008C65C5" w:rsidRPr="004C6EB5" w:rsidTr="004C6EB5">
            <w:trPr>
              <w:trHeight w:val="144"/>
            </w:trPr>
            <w:tc>
              <w:tcPr>
                <w:tcW w:w="2552" w:type="dxa"/>
              </w:tcPr>
              <w:p w:rsidR="008C65C5" w:rsidRPr="004C6EB5" w:rsidRDefault="008C65C5" w:rsidP="004C6EB5">
                <w:pPr>
                  <w:tabs>
                    <w:tab w:val="right" w:pos="8838"/>
                  </w:tabs>
                  <w:ind w:left="-74" w:right="-105"/>
                  <w:rPr>
                    <w:rFonts w:ascii="Palatino Linotype" w:eastAsia="Palatino Linotype" w:hAnsi="Palatino Linotype" w:cs="Palatino Linotype"/>
                    <w:b/>
                    <w:sz w:val="24"/>
                    <w:szCs w:val="24"/>
                  </w:rPr>
                </w:pPr>
                <w:bookmarkStart w:id="16" w:name="_heading=h.26in1rg" w:colFirst="0" w:colLast="0"/>
                <w:bookmarkEnd w:id="16"/>
                <w:r w:rsidRPr="004C6EB5">
                  <w:rPr>
                    <w:rFonts w:ascii="Palatino Linotype" w:eastAsia="Palatino Linotype" w:hAnsi="Palatino Linotype" w:cs="Palatino Linotype"/>
                    <w:b/>
                    <w:sz w:val="24"/>
                    <w:szCs w:val="24"/>
                  </w:rPr>
                  <w:t>Recurso de Revisión:</w:t>
                </w:r>
              </w:p>
            </w:tc>
            <w:tc>
              <w:tcPr>
                <w:tcW w:w="4961" w:type="dxa"/>
              </w:tcPr>
              <w:p w:rsidR="008C65C5" w:rsidRPr="004C6EB5" w:rsidRDefault="008C65C5" w:rsidP="004C6EB5">
                <w:pPr>
                  <w:tabs>
                    <w:tab w:val="right" w:pos="8838"/>
                  </w:tabs>
                  <w:ind w:left="-3" w:right="-105"/>
                  <w:jc w:val="both"/>
                  <w:rPr>
                    <w:rFonts w:ascii="Palatino Linotype" w:eastAsia="Palatino Linotype" w:hAnsi="Palatino Linotype" w:cs="Palatino Linotype"/>
                    <w:sz w:val="24"/>
                    <w:szCs w:val="24"/>
                  </w:rPr>
                </w:pPr>
                <w:r w:rsidRPr="004C6EB5">
                  <w:rPr>
                    <w:rFonts w:ascii="Palatino Linotype" w:eastAsia="Palatino Linotype" w:hAnsi="Palatino Linotype" w:cs="Palatino Linotype"/>
                    <w:sz w:val="24"/>
                    <w:szCs w:val="24"/>
                  </w:rPr>
                  <w:t>03743/INFOEM/IP/RR/2025</w:t>
                </w:r>
              </w:p>
            </w:tc>
            <w:tc>
              <w:tcPr>
                <w:tcW w:w="3402" w:type="dxa"/>
              </w:tcPr>
              <w:p w:rsidR="008C65C5" w:rsidRPr="004C6EB5" w:rsidRDefault="008C65C5" w:rsidP="004C6EB5">
                <w:pPr>
                  <w:tabs>
                    <w:tab w:val="right" w:pos="8838"/>
                  </w:tabs>
                  <w:ind w:left="-74" w:right="-105"/>
                  <w:jc w:val="both"/>
                  <w:rPr>
                    <w:rFonts w:ascii="Palatino Linotype" w:eastAsia="Palatino Linotype" w:hAnsi="Palatino Linotype" w:cs="Palatino Linotype"/>
                    <w:sz w:val="24"/>
                    <w:szCs w:val="24"/>
                  </w:rPr>
                </w:pPr>
              </w:p>
            </w:tc>
          </w:tr>
          <w:tr w:rsidR="008C65C5" w:rsidRPr="004C6EB5" w:rsidTr="004C6EB5">
            <w:trPr>
              <w:trHeight w:val="144"/>
            </w:trPr>
            <w:tc>
              <w:tcPr>
                <w:tcW w:w="2552" w:type="dxa"/>
              </w:tcPr>
              <w:p w:rsidR="008C65C5" w:rsidRPr="004C6EB5" w:rsidRDefault="008C65C5" w:rsidP="004C6EB5">
                <w:pPr>
                  <w:tabs>
                    <w:tab w:val="right" w:pos="8838"/>
                  </w:tabs>
                  <w:ind w:left="-74" w:right="-105"/>
                  <w:rPr>
                    <w:rFonts w:ascii="Palatino Linotype" w:eastAsia="Palatino Linotype" w:hAnsi="Palatino Linotype" w:cs="Palatino Linotype"/>
                    <w:b/>
                    <w:sz w:val="24"/>
                    <w:szCs w:val="24"/>
                  </w:rPr>
                </w:pPr>
                <w:bookmarkStart w:id="17" w:name="_heading=h.lnxbz9" w:colFirst="0" w:colLast="0"/>
                <w:bookmarkEnd w:id="17"/>
                <w:r w:rsidRPr="004C6EB5">
                  <w:rPr>
                    <w:rFonts w:ascii="Palatino Linotype" w:eastAsia="Palatino Linotype" w:hAnsi="Palatino Linotype" w:cs="Palatino Linotype"/>
                    <w:b/>
                    <w:sz w:val="24"/>
                    <w:szCs w:val="24"/>
                  </w:rPr>
                  <w:t>Recurrente:</w:t>
                </w:r>
              </w:p>
            </w:tc>
            <w:tc>
              <w:tcPr>
                <w:tcW w:w="4961" w:type="dxa"/>
              </w:tcPr>
              <w:p w:rsidR="008C65C5" w:rsidRPr="004C6EB5" w:rsidRDefault="00A2425E" w:rsidP="004C6EB5">
                <w:pPr>
                  <w:tabs>
                    <w:tab w:val="left" w:pos="3122"/>
                    <w:tab w:val="right" w:pos="8838"/>
                  </w:tabs>
                  <w:ind w:left="-3" w:right="-105"/>
                  <w:jc w:val="both"/>
                  <w:rPr>
                    <w:rFonts w:ascii="Palatino Linotype" w:eastAsia="Palatino Linotype" w:hAnsi="Palatino Linotype" w:cs="Palatino Linotype"/>
                    <w:sz w:val="24"/>
                    <w:szCs w:val="24"/>
                  </w:rPr>
                </w:pPr>
                <w:r>
                  <w:rPr>
                    <w:rFonts w:ascii="Palatino Linotype" w:eastAsia="Palatino Linotype" w:hAnsi="Palatino Linotype" w:cs="Palatino Linotype"/>
                    <w:bCs/>
                    <w:sz w:val="24"/>
                    <w:szCs w:val="24"/>
                  </w:rPr>
                  <w:t>XXXX</w:t>
                </w:r>
              </w:p>
            </w:tc>
            <w:tc>
              <w:tcPr>
                <w:tcW w:w="3402" w:type="dxa"/>
              </w:tcPr>
              <w:p w:rsidR="008C65C5" w:rsidRPr="004C6EB5" w:rsidRDefault="008C65C5" w:rsidP="004C6EB5">
                <w:pPr>
                  <w:tabs>
                    <w:tab w:val="left" w:pos="3122"/>
                    <w:tab w:val="right" w:pos="8838"/>
                  </w:tabs>
                  <w:ind w:right="-105"/>
                  <w:jc w:val="both"/>
                  <w:rPr>
                    <w:rFonts w:ascii="Palatino Linotype" w:eastAsia="Palatino Linotype" w:hAnsi="Palatino Linotype" w:cs="Palatino Linotype"/>
                    <w:sz w:val="24"/>
                    <w:szCs w:val="24"/>
                  </w:rPr>
                </w:pPr>
              </w:p>
            </w:tc>
          </w:tr>
          <w:tr w:rsidR="008C65C5" w:rsidRPr="004C6EB5" w:rsidTr="004C6EB5">
            <w:trPr>
              <w:trHeight w:val="283"/>
            </w:trPr>
            <w:tc>
              <w:tcPr>
                <w:tcW w:w="2552" w:type="dxa"/>
              </w:tcPr>
              <w:p w:rsidR="008C65C5" w:rsidRPr="004C6EB5" w:rsidRDefault="008C65C5" w:rsidP="004C6EB5">
                <w:pPr>
                  <w:tabs>
                    <w:tab w:val="right" w:pos="8838"/>
                  </w:tabs>
                  <w:ind w:left="-74" w:right="-105"/>
                  <w:rPr>
                    <w:rFonts w:ascii="Palatino Linotype" w:eastAsia="Palatino Linotype" w:hAnsi="Palatino Linotype" w:cs="Palatino Linotype"/>
                    <w:b/>
                    <w:sz w:val="24"/>
                    <w:szCs w:val="24"/>
                  </w:rPr>
                </w:pPr>
                <w:r w:rsidRPr="004C6EB5">
                  <w:rPr>
                    <w:rFonts w:ascii="Palatino Linotype" w:eastAsia="Palatino Linotype" w:hAnsi="Palatino Linotype" w:cs="Palatino Linotype"/>
                    <w:b/>
                    <w:sz w:val="24"/>
                    <w:szCs w:val="24"/>
                  </w:rPr>
                  <w:t>Sujeto Obligado:</w:t>
                </w:r>
              </w:p>
            </w:tc>
            <w:tc>
              <w:tcPr>
                <w:tcW w:w="4961" w:type="dxa"/>
              </w:tcPr>
              <w:p w:rsidR="008C65C5" w:rsidRPr="004C6EB5" w:rsidRDefault="008C65C5" w:rsidP="004C6EB5">
                <w:pPr>
                  <w:tabs>
                    <w:tab w:val="left" w:pos="2834"/>
                    <w:tab w:val="right" w:pos="8838"/>
                  </w:tabs>
                  <w:ind w:left="-3" w:right="-105"/>
                  <w:jc w:val="both"/>
                  <w:rPr>
                    <w:rFonts w:ascii="Palatino Linotype" w:eastAsia="Palatino Linotype" w:hAnsi="Palatino Linotype" w:cs="Palatino Linotype"/>
                    <w:sz w:val="24"/>
                    <w:szCs w:val="24"/>
                  </w:rPr>
                </w:pPr>
                <w:r w:rsidRPr="004C6EB5">
                  <w:rPr>
                    <w:rFonts w:ascii="Palatino Linotype" w:eastAsia="Palatino Linotype" w:hAnsi="Palatino Linotype" w:cs="Palatino Linotype"/>
                    <w:sz w:val="24"/>
                    <w:szCs w:val="24"/>
                  </w:rPr>
                  <w:t>Ayuntamiento de Valle de Chalco Solidaridad</w:t>
                </w:r>
              </w:p>
            </w:tc>
            <w:tc>
              <w:tcPr>
                <w:tcW w:w="3402" w:type="dxa"/>
              </w:tcPr>
              <w:p w:rsidR="008C65C5" w:rsidRPr="004C6EB5" w:rsidRDefault="008C65C5" w:rsidP="004C6EB5">
                <w:pPr>
                  <w:tabs>
                    <w:tab w:val="left" w:pos="2834"/>
                    <w:tab w:val="right" w:pos="8838"/>
                  </w:tabs>
                  <w:ind w:left="-74" w:right="-105"/>
                  <w:jc w:val="both"/>
                  <w:rPr>
                    <w:rFonts w:ascii="Palatino Linotype" w:eastAsia="Palatino Linotype" w:hAnsi="Palatino Linotype" w:cs="Palatino Linotype"/>
                    <w:sz w:val="24"/>
                    <w:szCs w:val="24"/>
                  </w:rPr>
                </w:pPr>
              </w:p>
            </w:tc>
          </w:tr>
          <w:tr w:rsidR="008C65C5" w:rsidRPr="004C6EB5" w:rsidTr="004C6EB5">
            <w:trPr>
              <w:trHeight w:val="283"/>
            </w:trPr>
            <w:tc>
              <w:tcPr>
                <w:tcW w:w="2552" w:type="dxa"/>
              </w:tcPr>
              <w:p w:rsidR="008C65C5" w:rsidRPr="004C6EB5" w:rsidRDefault="008C65C5" w:rsidP="004C6EB5">
                <w:pPr>
                  <w:tabs>
                    <w:tab w:val="right" w:pos="8838"/>
                  </w:tabs>
                  <w:ind w:left="-74" w:right="-105"/>
                  <w:rPr>
                    <w:rFonts w:ascii="Palatino Linotype" w:eastAsia="Palatino Linotype" w:hAnsi="Palatino Linotype" w:cs="Palatino Linotype"/>
                    <w:b/>
                    <w:sz w:val="24"/>
                    <w:szCs w:val="24"/>
                  </w:rPr>
                </w:pPr>
                <w:r w:rsidRPr="004C6EB5">
                  <w:rPr>
                    <w:rFonts w:ascii="Palatino Linotype" w:eastAsia="Palatino Linotype" w:hAnsi="Palatino Linotype" w:cs="Palatino Linotype"/>
                    <w:b/>
                    <w:sz w:val="24"/>
                    <w:szCs w:val="24"/>
                  </w:rPr>
                  <w:t>Comisionada Ponente:</w:t>
                </w:r>
              </w:p>
            </w:tc>
            <w:tc>
              <w:tcPr>
                <w:tcW w:w="4961" w:type="dxa"/>
              </w:tcPr>
              <w:p w:rsidR="008C65C5" w:rsidRPr="004C6EB5" w:rsidRDefault="008C65C5" w:rsidP="004C6EB5">
                <w:pPr>
                  <w:tabs>
                    <w:tab w:val="right" w:pos="8838"/>
                  </w:tabs>
                  <w:ind w:left="-3" w:right="-105"/>
                  <w:jc w:val="both"/>
                  <w:rPr>
                    <w:rFonts w:ascii="Palatino Linotype" w:eastAsia="Palatino Linotype" w:hAnsi="Palatino Linotype" w:cs="Palatino Linotype"/>
                    <w:sz w:val="24"/>
                    <w:szCs w:val="24"/>
                  </w:rPr>
                </w:pPr>
                <w:r w:rsidRPr="004C6EB5">
                  <w:rPr>
                    <w:rFonts w:ascii="Palatino Linotype" w:eastAsia="Palatino Linotype" w:hAnsi="Palatino Linotype" w:cs="Palatino Linotype"/>
                    <w:sz w:val="24"/>
                    <w:szCs w:val="24"/>
                  </w:rPr>
                  <w:t>María del Rosario Mejía Ayala</w:t>
                </w:r>
              </w:p>
            </w:tc>
            <w:tc>
              <w:tcPr>
                <w:tcW w:w="3402" w:type="dxa"/>
              </w:tcPr>
              <w:p w:rsidR="008C65C5" w:rsidRPr="004C6EB5" w:rsidRDefault="008C65C5" w:rsidP="004C6EB5">
                <w:pPr>
                  <w:tabs>
                    <w:tab w:val="right" w:pos="8838"/>
                  </w:tabs>
                  <w:ind w:left="-74" w:right="-105"/>
                  <w:jc w:val="both"/>
                  <w:rPr>
                    <w:rFonts w:ascii="Palatino Linotype" w:eastAsia="Palatino Linotype" w:hAnsi="Palatino Linotype" w:cs="Palatino Linotype"/>
                    <w:sz w:val="24"/>
                    <w:szCs w:val="24"/>
                  </w:rPr>
                </w:pPr>
              </w:p>
            </w:tc>
          </w:tr>
        </w:tbl>
        <w:p w:rsidR="008C65C5" w:rsidRDefault="008C65C5">
          <w:pPr>
            <w:tabs>
              <w:tab w:val="right" w:pos="8838"/>
            </w:tabs>
            <w:ind w:left="-28"/>
            <w:jc w:val="both"/>
            <w:rPr>
              <w:rFonts w:ascii="Arial" w:eastAsia="Arial" w:hAnsi="Arial" w:cs="Arial"/>
              <w:b/>
              <w:sz w:val="22"/>
              <w:szCs w:val="22"/>
            </w:rPr>
          </w:pPr>
        </w:p>
      </w:tc>
    </w:tr>
  </w:tbl>
  <w:p w:rsidR="008C65C5" w:rsidRPr="007E1ADE" w:rsidRDefault="00D43D21" w:rsidP="007E1ADE">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8.05pt;margin-top:-125.65pt;width:663.5pt;height:12in;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0D55"/>
    <w:multiLevelType w:val="hybridMultilevel"/>
    <w:tmpl w:val="0186D16E"/>
    <w:lvl w:ilvl="0" w:tplc="0E9E1CB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2E2842"/>
    <w:multiLevelType w:val="hybridMultilevel"/>
    <w:tmpl w:val="58541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5D6F45"/>
    <w:multiLevelType w:val="hybridMultilevel"/>
    <w:tmpl w:val="9D3C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B20654"/>
    <w:multiLevelType w:val="hybridMultilevel"/>
    <w:tmpl w:val="6200E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34446BB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C043D4"/>
    <w:multiLevelType w:val="hybridMultilevel"/>
    <w:tmpl w:val="B39AC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52A2A9A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026C73"/>
    <w:multiLevelType w:val="hybridMultilevel"/>
    <w:tmpl w:val="C510A1A8"/>
    <w:lvl w:ilvl="0" w:tplc="8CA4E51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1D3EDD"/>
    <w:multiLevelType w:val="hybridMultilevel"/>
    <w:tmpl w:val="42B462B6"/>
    <w:lvl w:ilvl="0" w:tplc="0EECD9D4">
      <w:numFmt w:val="bullet"/>
      <w:lvlText w:val="-"/>
      <w:lvlJc w:val="left"/>
      <w:pPr>
        <w:ind w:left="720" w:hanging="360"/>
      </w:pPr>
      <w:rPr>
        <w:rFonts w:ascii="Palatino Linotype" w:eastAsia="Palatino Linotype" w:hAnsi="Palatino Linotype" w:cs="Palatino Linotype"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9A6497"/>
    <w:multiLevelType w:val="hybridMultilevel"/>
    <w:tmpl w:val="A838D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2B533E"/>
    <w:multiLevelType w:val="hybridMultilevel"/>
    <w:tmpl w:val="59C67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D155EF"/>
    <w:multiLevelType w:val="hybridMultilevel"/>
    <w:tmpl w:val="54D49C84"/>
    <w:lvl w:ilvl="0" w:tplc="4AE6BC5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2"/>
  </w:num>
  <w:num w:numId="4">
    <w:abstractNumId w:val="8"/>
  </w:num>
  <w:num w:numId="5">
    <w:abstractNumId w:val="17"/>
  </w:num>
  <w:num w:numId="6">
    <w:abstractNumId w:val="0"/>
  </w:num>
  <w:num w:numId="7">
    <w:abstractNumId w:val="7"/>
  </w:num>
  <w:num w:numId="8">
    <w:abstractNumId w:val="16"/>
  </w:num>
  <w:num w:numId="9">
    <w:abstractNumId w:val="4"/>
  </w:num>
  <w:num w:numId="10">
    <w:abstractNumId w:val="11"/>
  </w:num>
  <w:num w:numId="11">
    <w:abstractNumId w:val="15"/>
  </w:num>
  <w:num w:numId="12">
    <w:abstractNumId w:val="9"/>
  </w:num>
  <w:num w:numId="13">
    <w:abstractNumId w:val="14"/>
  </w:num>
  <w:num w:numId="14">
    <w:abstractNumId w:val="2"/>
  </w:num>
  <w:num w:numId="15">
    <w:abstractNumId w:val="3"/>
  </w:num>
  <w:num w:numId="16">
    <w:abstractNumId w:val="1"/>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90"/>
    <w:rsid w:val="000C5A51"/>
    <w:rsid w:val="000F2F72"/>
    <w:rsid w:val="001B69B4"/>
    <w:rsid w:val="0036416B"/>
    <w:rsid w:val="00373AF1"/>
    <w:rsid w:val="0038085F"/>
    <w:rsid w:val="003A758D"/>
    <w:rsid w:val="00443655"/>
    <w:rsid w:val="004A610A"/>
    <w:rsid w:val="004C6EB5"/>
    <w:rsid w:val="004E19EC"/>
    <w:rsid w:val="005C045A"/>
    <w:rsid w:val="00653E1D"/>
    <w:rsid w:val="00682EDF"/>
    <w:rsid w:val="006C6EDD"/>
    <w:rsid w:val="006D2FC7"/>
    <w:rsid w:val="007E1ADE"/>
    <w:rsid w:val="0080424C"/>
    <w:rsid w:val="00836D78"/>
    <w:rsid w:val="00851DEC"/>
    <w:rsid w:val="00854323"/>
    <w:rsid w:val="00873D76"/>
    <w:rsid w:val="008C65C5"/>
    <w:rsid w:val="00911D2F"/>
    <w:rsid w:val="009F53E0"/>
    <w:rsid w:val="00A2425E"/>
    <w:rsid w:val="00A40CE9"/>
    <w:rsid w:val="00B10805"/>
    <w:rsid w:val="00BB34DE"/>
    <w:rsid w:val="00C06690"/>
    <w:rsid w:val="00C418EE"/>
    <w:rsid w:val="00C732E4"/>
    <w:rsid w:val="00CA116F"/>
    <w:rsid w:val="00CA142E"/>
    <w:rsid w:val="00D20CC0"/>
    <w:rsid w:val="00D43D21"/>
    <w:rsid w:val="00D56DAE"/>
    <w:rsid w:val="00D76366"/>
    <w:rsid w:val="00D84428"/>
    <w:rsid w:val="00E15662"/>
    <w:rsid w:val="00E96C0D"/>
    <w:rsid w:val="00FF7F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A118E28-ABC0-4BAB-BCD4-C3DC1AFA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6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C066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066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73D76"/>
    <w:pPr>
      <w:keepNext/>
      <w:keepLines/>
      <w:spacing w:before="40"/>
      <w:outlineLvl w:val="2"/>
    </w:pPr>
    <w:rPr>
      <w:rFonts w:asciiTheme="majorHAnsi" w:eastAsiaTheme="majorEastAsia" w:hAnsiTheme="majorHAnsi" w:cstheme="majorBidi"/>
      <w:color w:val="1F4D78" w:themeColor="accent1" w:themeShade="7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6690"/>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C06690"/>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6690"/>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06690"/>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C0669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06690"/>
    <w:rPr>
      <w:rFonts w:asciiTheme="minorHAnsi" w:eastAsiaTheme="minorHAnsi" w:hAnsiTheme="minorHAnsi" w:cstheme="minorBid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C0669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06690"/>
    <w:rPr>
      <w:vertAlign w:val="superscript"/>
    </w:rPr>
  </w:style>
  <w:style w:type="table" w:styleId="Tabladecuadrcula4-nfasis3">
    <w:name w:val="Grid Table 4 Accent 3"/>
    <w:basedOn w:val="Tablanormal"/>
    <w:uiPriority w:val="49"/>
    <w:rsid w:val="00C066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iedepgina">
    <w:name w:val="footer"/>
    <w:basedOn w:val="Normal"/>
    <w:link w:val="PiedepginaCar"/>
    <w:uiPriority w:val="99"/>
    <w:unhideWhenUsed/>
    <w:rsid w:val="00C06690"/>
    <w:pPr>
      <w:tabs>
        <w:tab w:val="center" w:pos="4419"/>
        <w:tab w:val="right" w:pos="8838"/>
      </w:tabs>
    </w:pPr>
  </w:style>
  <w:style w:type="character" w:customStyle="1" w:styleId="PiedepginaCar">
    <w:name w:val="Pie de página Car"/>
    <w:basedOn w:val="Fuentedeprrafopredeter"/>
    <w:link w:val="Piedepgina"/>
    <w:uiPriority w:val="99"/>
    <w:rsid w:val="00C06690"/>
    <w:rPr>
      <w:rFonts w:ascii="Times New Roman" w:eastAsia="Times New Roman" w:hAnsi="Times New Roman" w:cs="Times New Roman"/>
      <w:sz w:val="20"/>
      <w:szCs w:val="20"/>
      <w:lang w:eastAsia="es-ES"/>
    </w:rPr>
  </w:style>
  <w:style w:type="character" w:customStyle="1" w:styleId="normaltextrun">
    <w:name w:val="normaltextrun"/>
    <w:basedOn w:val="Fuentedeprrafopredeter"/>
    <w:rsid w:val="009F53E0"/>
  </w:style>
  <w:style w:type="character" w:customStyle="1" w:styleId="Ttulo3Car">
    <w:name w:val="Título 3 Car"/>
    <w:basedOn w:val="Fuentedeprrafopredeter"/>
    <w:link w:val="Ttulo3"/>
    <w:uiPriority w:val="9"/>
    <w:rsid w:val="00873D76"/>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3348.page" TargetMode="External"/><Relationship Id="rId13" Type="http://schemas.openxmlformats.org/officeDocument/2006/relationships/hyperlink" Target="https://saimex.org.mx/saimex/solicitud/downloadAttach/2403353.pag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saimex.org.mx/saimex/solicitud/downloadAttach/2403352.page"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dof.gob.mx/nota_detalle.php?codigo=5492254&amp;fecha=28/07/201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03351.pa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saimex.org.mx/saimex/solicitud/downloadAttach/2403350.p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aimex.org.mx/saimex/solicitud/downloadAttach/2403349.page" TargetMode="External"/><Relationship Id="rId14" Type="http://schemas.openxmlformats.org/officeDocument/2006/relationships/hyperlink" Target="https://saimex.org.mx/saimex/solicitud/downloadAttach/2403354.pag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46</Pages>
  <Words>10303</Words>
  <Characters>56667</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2025-10-03T00:04:00Z</cp:lastPrinted>
  <dcterms:created xsi:type="dcterms:W3CDTF">2025-09-29T19:49:00Z</dcterms:created>
  <dcterms:modified xsi:type="dcterms:W3CDTF">2025-11-06T18:04:00Z</dcterms:modified>
</cp:coreProperties>
</file>