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2D5" w:rsidRPr="00AC3C6A" w:rsidRDefault="00B17D64" w:rsidP="00AC3C6A">
      <w:pPr>
        <w:spacing w:line="360" w:lineRule="auto"/>
        <w:jc w:val="both"/>
        <w:rPr>
          <w:rFonts w:ascii="Palatino Linotype" w:eastAsia="Palatino Linotype" w:hAnsi="Palatino Linotype" w:cs="Palatino Linotype"/>
          <w:color w:val="000000" w:themeColor="text1"/>
        </w:rPr>
      </w:pPr>
      <w:bookmarkStart w:id="0" w:name="_heading=h.3dy6vkm" w:colFirst="0" w:colLast="0"/>
      <w:bookmarkEnd w:id="0"/>
      <w:r w:rsidRPr="00AC3C6A">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AC3C6A">
        <w:rPr>
          <w:rFonts w:ascii="Palatino Linotype" w:eastAsia="Palatino Linotype" w:hAnsi="Palatino Linotype" w:cs="Palatino Linotype"/>
          <w:b/>
          <w:color w:val="000000" w:themeColor="text1"/>
        </w:rPr>
        <w:t>de fecha</w:t>
      </w:r>
      <w:r w:rsidRPr="00AC3C6A">
        <w:rPr>
          <w:rFonts w:ascii="Palatino Linotype" w:eastAsia="Palatino Linotype" w:hAnsi="Palatino Linotype" w:cs="Palatino Linotype"/>
          <w:color w:val="000000" w:themeColor="text1"/>
        </w:rPr>
        <w:t xml:space="preserve"> </w:t>
      </w:r>
      <w:r w:rsidR="00AB7156">
        <w:rPr>
          <w:rFonts w:ascii="Palatino Linotype" w:eastAsia="Palatino Linotype" w:hAnsi="Palatino Linotype" w:cs="Palatino Linotype"/>
          <w:b/>
          <w:color w:val="000000" w:themeColor="text1"/>
        </w:rPr>
        <w:t>uno (01)</w:t>
      </w:r>
      <w:r w:rsidRPr="00AC3C6A">
        <w:rPr>
          <w:rFonts w:ascii="Palatino Linotype" w:eastAsia="Palatino Linotype" w:hAnsi="Palatino Linotype" w:cs="Palatino Linotype"/>
          <w:b/>
          <w:color w:val="000000" w:themeColor="text1"/>
        </w:rPr>
        <w:t xml:space="preserve"> de octubre de dos mil veinticinco</w:t>
      </w:r>
      <w:r w:rsidRPr="00AC3C6A">
        <w:rPr>
          <w:rFonts w:ascii="Palatino Linotype" w:eastAsia="Palatino Linotype" w:hAnsi="Palatino Linotype" w:cs="Palatino Linotype"/>
          <w:color w:val="000000" w:themeColor="text1"/>
        </w:rPr>
        <w:t>.</w:t>
      </w: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spacing w:line="360" w:lineRule="auto"/>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b/>
          <w:color w:val="000000" w:themeColor="text1"/>
        </w:rPr>
        <w:t>VISTO</w:t>
      </w:r>
      <w:r w:rsidRPr="00AC3C6A">
        <w:rPr>
          <w:rFonts w:ascii="Palatino Linotype" w:eastAsia="Palatino Linotype" w:hAnsi="Palatino Linotype" w:cs="Palatino Linotype"/>
          <w:color w:val="000000" w:themeColor="text1"/>
        </w:rPr>
        <w:t xml:space="preserve"> el expediente electrónico formado con motivo del recurso de revisión </w:t>
      </w:r>
      <w:r w:rsidRPr="00AC3C6A">
        <w:rPr>
          <w:rFonts w:ascii="Palatino Linotype" w:eastAsia="Palatino Linotype" w:hAnsi="Palatino Linotype" w:cs="Palatino Linotype"/>
          <w:b/>
          <w:color w:val="000000" w:themeColor="text1"/>
        </w:rPr>
        <w:t xml:space="preserve">05588/INFOEM/IP/RR/2025, </w:t>
      </w:r>
      <w:r w:rsidRPr="00AC3C6A">
        <w:rPr>
          <w:rFonts w:ascii="Palatino Linotype" w:eastAsia="Palatino Linotype" w:hAnsi="Palatino Linotype" w:cs="Palatino Linotype"/>
          <w:color w:val="000000" w:themeColor="text1"/>
        </w:rPr>
        <w:t>promovido por</w:t>
      </w:r>
      <w:r w:rsidRPr="00AC3C6A">
        <w:rPr>
          <w:rFonts w:ascii="Palatino Linotype" w:eastAsia="Palatino Linotype" w:hAnsi="Palatino Linotype" w:cs="Palatino Linotype"/>
          <w:b/>
          <w:color w:val="000000" w:themeColor="text1"/>
        </w:rPr>
        <w:t xml:space="preserve"> una persona que no proporciona datos de identificación</w:t>
      </w:r>
      <w:r w:rsidRPr="00AC3C6A">
        <w:rPr>
          <w:rFonts w:ascii="Palatino Linotype" w:eastAsia="Palatino Linotype" w:hAnsi="Palatino Linotype" w:cs="Palatino Linotype"/>
          <w:color w:val="000000" w:themeColor="text1"/>
        </w:rPr>
        <w:t xml:space="preserve">, a quien en lo sucesivo se le identificará como </w:t>
      </w:r>
      <w:r w:rsidRPr="00AC3C6A">
        <w:rPr>
          <w:rFonts w:ascii="Palatino Linotype" w:eastAsia="Palatino Linotype" w:hAnsi="Palatino Linotype" w:cs="Palatino Linotype"/>
          <w:b/>
          <w:color w:val="000000" w:themeColor="text1"/>
        </w:rPr>
        <w:t>el RECURRENTE</w:t>
      </w:r>
      <w:r w:rsidRPr="00AC3C6A">
        <w:rPr>
          <w:rFonts w:ascii="Palatino Linotype" w:eastAsia="Palatino Linotype" w:hAnsi="Palatino Linotype" w:cs="Palatino Linotype"/>
          <w:color w:val="000000" w:themeColor="text1"/>
        </w:rPr>
        <w:t xml:space="preserve">, en contra de la respuesta del  </w:t>
      </w:r>
      <w:r w:rsidRPr="00AC3C6A">
        <w:rPr>
          <w:rFonts w:ascii="Palatino Linotype" w:eastAsia="Palatino Linotype" w:hAnsi="Palatino Linotype" w:cs="Palatino Linotype"/>
          <w:b/>
          <w:color w:val="000000" w:themeColor="text1"/>
        </w:rPr>
        <w:t xml:space="preserve">Ayuntamiento de Atlacomulco, </w:t>
      </w:r>
      <w:r w:rsidRPr="00AC3C6A">
        <w:rPr>
          <w:rFonts w:ascii="Palatino Linotype" w:eastAsia="Palatino Linotype" w:hAnsi="Palatino Linotype" w:cs="Palatino Linotype"/>
          <w:color w:val="000000" w:themeColor="text1"/>
        </w:rPr>
        <w:t>en adelante el</w:t>
      </w:r>
      <w:r w:rsidRPr="00AC3C6A">
        <w:rPr>
          <w:rFonts w:ascii="Palatino Linotype" w:eastAsia="Palatino Linotype" w:hAnsi="Palatino Linotype" w:cs="Palatino Linotype"/>
          <w:b/>
          <w:color w:val="000000" w:themeColor="text1"/>
        </w:rPr>
        <w:t xml:space="preserve"> SUJETO OBLIGADO</w:t>
      </w:r>
      <w:r w:rsidRPr="00AC3C6A">
        <w:rPr>
          <w:rFonts w:ascii="Palatino Linotype" w:eastAsia="Palatino Linotype" w:hAnsi="Palatino Linotype" w:cs="Palatino Linotype"/>
          <w:color w:val="000000" w:themeColor="text1"/>
        </w:rPr>
        <w:t>, se procede a dictar la presente resolución, con base en los siguientes:</w:t>
      </w:r>
    </w:p>
    <w:p w:rsidR="00D072D5" w:rsidRPr="00AC3C6A" w:rsidRDefault="00D072D5" w:rsidP="00AC3C6A">
      <w:pPr>
        <w:spacing w:line="360" w:lineRule="auto"/>
        <w:jc w:val="both"/>
        <w:rPr>
          <w:rFonts w:ascii="Palatino Linotype" w:eastAsia="Palatino Linotype" w:hAnsi="Palatino Linotype" w:cs="Palatino Linotype"/>
          <w:b/>
          <w:color w:val="000000" w:themeColor="text1"/>
        </w:rPr>
      </w:pPr>
    </w:p>
    <w:p w:rsidR="00D072D5" w:rsidRPr="00AC3C6A" w:rsidRDefault="00B17D64" w:rsidP="00AC3C6A">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1" w:name="_heading=h.gjdgxs" w:colFirst="0" w:colLast="0"/>
      <w:bookmarkEnd w:id="1"/>
      <w:r w:rsidRPr="00AC3C6A">
        <w:rPr>
          <w:rFonts w:ascii="Palatino Linotype" w:eastAsia="Palatino Linotype" w:hAnsi="Palatino Linotype" w:cs="Palatino Linotype"/>
          <w:b/>
          <w:color w:val="000000" w:themeColor="text1"/>
          <w:sz w:val="24"/>
          <w:szCs w:val="24"/>
        </w:rPr>
        <w:t>A N T E C E D E N T E S</w:t>
      </w:r>
    </w:p>
    <w:p w:rsidR="00D072D5" w:rsidRPr="00AC3C6A" w:rsidRDefault="00D072D5" w:rsidP="00AC3C6A">
      <w:pPr>
        <w:rPr>
          <w:rFonts w:ascii="Palatino Linotype" w:eastAsia="Palatino Linotype" w:hAnsi="Palatino Linotype" w:cs="Palatino Linotype"/>
          <w:color w:val="000000" w:themeColor="text1"/>
        </w:rPr>
      </w:pPr>
    </w:p>
    <w:p w:rsidR="00D072D5" w:rsidRPr="00AC3C6A" w:rsidRDefault="00B17D64" w:rsidP="00AC3C6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El día</w:t>
      </w:r>
      <w:r w:rsidRPr="00AC3C6A">
        <w:rPr>
          <w:rFonts w:ascii="Palatino Linotype" w:eastAsia="Palatino Linotype" w:hAnsi="Palatino Linotype" w:cs="Palatino Linotype"/>
          <w:b/>
          <w:color w:val="000000" w:themeColor="text1"/>
        </w:rPr>
        <w:t xml:space="preserve"> veintisiete de marzo de dos mil veinticinco, </w:t>
      </w:r>
      <w:r w:rsidRPr="00AC3C6A">
        <w:rPr>
          <w:rFonts w:ascii="Palatino Linotype" w:eastAsia="Palatino Linotype" w:hAnsi="Palatino Linotype" w:cs="Palatino Linotype"/>
          <w:color w:val="000000" w:themeColor="text1"/>
        </w:rPr>
        <w:t xml:space="preserve">se presentó ante el </w:t>
      </w:r>
      <w:r w:rsidRPr="00AC3C6A">
        <w:rPr>
          <w:rFonts w:ascii="Palatino Linotype" w:eastAsia="Palatino Linotype" w:hAnsi="Palatino Linotype" w:cs="Palatino Linotype"/>
          <w:b/>
          <w:color w:val="000000" w:themeColor="text1"/>
        </w:rPr>
        <w:t>SUJETO OBLIGADO</w:t>
      </w:r>
      <w:r w:rsidRPr="00AC3C6A">
        <w:rPr>
          <w:rFonts w:ascii="Palatino Linotype" w:eastAsia="Palatino Linotype" w:hAnsi="Palatino Linotype" w:cs="Palatino Linotype"/>
          <w:color w:val="000000" w:themeColor="text1"/>
        </w:rPr>
        <w:t xml:space="preserve"> vía Sistema de Acceso a la Información, la solicitud de información pública registrada con el número</w:t>
      </w:r>
      <w:r w:rsidRPr="00AC3C6A">
        <w:rPr>
          <w:rFonts w:ascii="Palatino Linotype" w:eastAsia="Palatino Linotype" w:hAnsi="Palatino Linotype" w:cs="Palatino Linotype"/>
          <w:b/>
          <w:color w:val="000000" w:themeColor="text1"/>
        </w:rPr>
        <w:t xml:space="preserve"> 00264/ATLACOM/IP/2025; </w:t>
      </w:r>
      <w:r w:rsidRPr="00AC3C6A">
        <w:rPr>
          <w:rFonts w:ascii="Palatino Linotype" w:eastAsia="Palatino Linotype" w:hAnsi="Palatino Linotype" w:cs="Palatino Linotype"/>
          <w:color w:val="000000" w:themeColor="text1"/>
        </w:rPr>
        <w:t>en la que se solicitó la siguiente información:</w:t>
      </w:r>
    </w:p>
    <w:p w:rsidR="00D072D5" w:rsidRPr="00AC3C6A" w:rsidRDefault="00D072D5" w:rsidP="00AC3C6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i/>
          <w:color w:val="000000" w:themeColor="text1"/>
        </w:rPr>
        <w:t>“TODAS LAS FACTURAS, TICKETS, NOTAS SI ES EL CASO DE TODAS LAS COMPRAS DE MATERIALES DE LIMPIEZA, PAPELERIA, IMPRENTA DE ENERO 01 AL 30 DE MARZO DE 2025, CON SU RESPECTIVO CATALOGO DE PROVEEDORES DEL PERIODO INDICADO, ASI COMO ACTA DEL CONSEJO O COMITE DE LICITACIONES SEGUN SEA EL CASO..”</w:t>
      </w:r>
    </w:p>
    <w:p w:rsidR="00D072D5" w:rsidRDefault="00D072D5" w:rsidP="00AC3C6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B7156" w:rsidRPr="00AC3C6A" w:rsidRDefault="00AB7156" w:rsidP="00AC3C6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b/>
          <w:color w:val="000000" w:themeColor="text1"/>
        </w:rPr>
        <w:t>Se eligió como modalidad de entrega de la información</w:t>
      </w:r>
      <w:r w:rsidRPr="00AC3C6A">
        <w:rPr>
          <w:rFonts w:ascii="Palatino Linotype" w:eastAsia="Palatino Linotype" w:hAnsi="Palatino Linotype" w:cs="Palatino Linotype"/>
          <w:color w:val="000000" w:themeColor="text1"/>
        </w:rPr>
        <w:t>: el  Sistema de Acceso a la Información</w:t>
      </w:r>
      <w:r w:rsidRPr="00AC3C6A">
        <w:rPr>
          <w:rFonts w:ascii="Palatino Linotype" w:eastAsia="Palatino Linotype" w:hAnsi="Palatino Linotype" w:cs="Palatino Linotype"/>
          <w:b/>
          <w:color w:val="000000" w:themeColor="text1"/>
        </w:rPr>
        <w:t>.</w:t>
      </w:r>
    </w:p>
    <w:p w:rsidR="00D072D5" w:rsidRPr="00AC3C6A" w:rsidRDefault="00B17D64" w:rsidP="00AC3C6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lastRenderedPageBreak/>
        <w:t xml:space="preserve">El </w:t>
      </w:r>
      <w:r w:rsidRPr="00AC3C6A">
        <w:rPr>
          <w:rFonts w:ascii="Palatino Linotype" w:eastAsia="Palatino Linotype" w:hAnsi="Palatino Linotype" w:cs="Palatino Linotype"/>
          <w:b/>
          <w:color w:val="000000" w:themeColor="text1"/>
        </w:rPr>
        <w:t xml:space="preserve">veintiocho de marzo de dos mil veinticinco, </w:t>
      </w:r>
      <w:r w:rsidRPr="00AC3C6A">
        <w:rPr>
          <w:rFonts w:ascii="Palatino Linotype" w:eastAsia="Palatino Linotype" w:hAnsi="Palatino Linotype" w:cs="Palatino Linotype"/>
          <w:color w:val="000000" w:themeColor="text1"/>
        </w:rPr>
        <w:t xml:space="preserve">el </w:t>
      </w:r>
      <w:r w:rsidRPr="00AC3C6A">
        <w:rPr>
          <w:rFonts w:ascii="Palatino Linotype" w:eastAsia="Palatino Linotype" w:hAnsi="Palatino Linotype" w:cs="Palatino Linotype"/>
          <w:b/>
          <w:color w:val="000000" w:themeColor="text1"/>
        </w:rPr>
        <w:t xml:space="preserve">SUJETO OBLIGADO </w:t>
      </w:r>
      <w:r w:rsidRPr="00AC3C6A">
        <w:rPr>
          <w:rFonts w:ascii="Palatino Linotype" w:eastAsia="Palatino Linotype" w:hAnsi="Palatino Linotype" w:cs="Palatino Linotype"/>
          <w:color w:val="000000" w:themeColor="text1"/>
        </w:rPr>
        <w:t xml:space="preserve">giró el requerimiento para que fuera atendida la solicitud de información </w:t>
      </w:r>
      <w:r w:rsidRPr="00AC3C6A">
        <w:rPr>
          <w:rFonts w:ascii="Palatino Linotype" w:eastAsia="Palatino Linotype" w:hAnsi="Palatino Linotype" w:cs="Palatino Linotype"/>
          <w:b/>
          <w:color w:val="000000" w:themeColor="text1"/>
        </w:rPr>
        <w:t>00264/ATLACOM/IP/2025.</w:t>
      </w:r>
    </w:p>
    <w:p w:rsidR="00D072D5" w:rsidRPr="00AC3C6A" w:rsidRDefault="00D072D5" w:rsidP="00AC3C6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 xml:space="preserve">El </w:t>
      </w:r>
      <w:r w:rsidRPr="00AC3C6A">
        <w:rPr>
          <w:rFonts w:ascii="Palatino Linotype" w:eastAsia="Palatino Linotype" w:hAnsi="Palatino Linotype" w:cs="Palatino Linotype"/>
          <w:b/>
          <w:color w:val="000000" w:themeColor="text1"/>
        </w:rPr>
        <w:t xml:space="preserve">veinticuatro de abril de dos mil veinticinco, </w:t>
      </w:r>
      <w:r w:rsidRPr="00AC3C6A">
        <w:rPr>
          <w:rFonts w:ascii="Palatino Linotype" w:eastAsia="Palatino Linotype" w:hAnsi="Palatino Linotype" w:cs="Palatino Linotype"/>
          <w:color w:val="000000" w:themeColor="text1"/>
        </w:rPr>
        <w:t xml:space="preserve">el </w:t>
      </w:r>
      <w:r w:rsidRPr="00AC3C6A">
        <w:rPr>
          <w:rFonts w:ascii="Palatino Linotype" w:eastAsia="Palatino Linotype" w:hAnsi="Palatino Linotype" w:cs="Palatino Linotype"/>
          <w:b/>
          <w:color w:val="000000" w:themeColor="text1"/>
        </w:rPr>
        <w:t xml:space="preserve">SUJETO OBLIGADO </w:t>
      </w:r>
      <w:r w:rsidRPr="00AC3C6A">
        <w:rPr>
          <w:rFonts w:ascii="Palatino Linotype" w:eastAsia="Palatino Linotype" w:hAnsi="Palatino Linotype" w:cs="Palatino Linotype"/>
          <w:color w:val="000000" w:themeColor="text1"/>
        </w:rPr>
        <w:t xml:space="preserve">emitió el acuerdo de prórroga para que fuera atendida la solicitud de información </w:t>
      </w:r>
      <w:r w:rsidRPr="00AC3C6A">
        <w:rPr>
          <w:rFonts w:ascii="Palatino Linotype" w:eastAsia="Palatino Linotype" w:hAnsi="Palatino Linotype" w:cs="Palatino Linotype"/>
          <w:b/>
          <w:color w:val="000000" w:themeColor="text1"/>
        </w:rPr>
        <w:t>00264/ATLACOM/IP/2025.</w:t>
      </w:r>
    </w:p>
    <w:p w:rsidR="00D072D5" w:rsidRPr="00AC3C6A" w:rsidRDefault="00D072D5" w:rsidP="00AC3C6A">
      <w:pPr>
        <w:pBdr>
          <w:top w:val="nil"/>
          <w:left w:val="nil"/>
          <w:bottom w:val="nil"/>
          <w:right w:val="nil"/>
          <w:between w:val="nil"/>
        </w:pBdr>
        <w:rPr>
          <w:rFonts w:ascii="Palatino Linotype" w:eastAsia="Palatino Linotype" w:hAnsi="Palatino Linotype" w:cs="Palatino Linotype"/>
          <w:color w:val="000000" w:themeColor="text1"/>
        </w:rPr>
      </w:pPr>
    </w:p>
    <w:p w:rsidR="00D072D5" w:rsidRPr="00AC3C6A" w:rsidRDefault="00B17D64" w:rsidP="00AC3C6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 xml:space="preserve">El </w:t>
      </w:r>
      <w:r w:rsidRPr="00AC3C6A">
        <w:rPr>
          <w:rFonts w:ascii="Palatino Linotype" w:eastAsia="Palatino Linotype" w:hAnsi="Palatino Linotype" w:cs="Palatino Linotype"/>
          <w:b/>
          <w:color w:val="000000" w:themeColor="text1"/>
        </w:rPr>
        <w:t>siete de mayo de dos mil veinticinco</w:t>
      </w:r>
      <w:r w:rsidRPr="00AC3C6A">
        <w:rPr>
          <w:rFonts w:ascii="Palatino Linotype" w:eastAsia="Palatino Linotype" w:hAnsi="Palatino Linotype" w:cs="Palatino Linotype"/>
          <w:color w:val="000000" w:themeColor="text1"/>
        </w:rPr>
        <w:t xml:space="preserve">, el </w:t>
      </w:r>
      <w:r w:rsidRPr="00AC3C6A">
        <w:rPr>
          <w:rFonts w:ascii="Palatino Linotype" w:eastAsia="Palatino Linotype" w:hAnsi="Palatino Linotype" w:cs="Palatino Linotype"/>
          <w:b/>
          <w:color w:val="000000" w:themeColor="text1"/>
        </w:rPr>
        <w:t>SUJETO OBLIGADO,</w:t>
      </w:r>
      <w:r w:rsidRPr="00AC3C6A">
        <w:rPr>
          <w:rFonts w:ascii="Palatino Linotype" w:eastAsia="Palatino Linotype" w:hAnsi="Palatino Linotype" w:cs="Palatino Linotype"/>
          <w:color w:val="000000" w:themeColor="text1"/>
        </w:rPr>
        <w:t xml:space="preserve"> dio respuesta a través de dos archivos electrónicos en formato pdf, cuyo conten</w:t>
      </w:r>
      <w:r w:rsidR="009A10B4">
        <w:rPr>
          <w:rFonts w:ascii="Palatino Linotype" w:eastAsia="Palatino Linotype" w:hAnsi="Palatino Linotype" w:cs="Palatino Linotype"/>
          <w:color w:val="000000" w:themeColor="text1"/>
        </w:rPr>
        <w:t>ido grosso modo es el siguiente:</w:t>
      </w:r>
      <w:r w:rsidRPr="00AC3C6A">
        <w:rPr>
          <w:rFonts w:ascii="Palatino Linotype" w:eastAsia="Palatino Linotype" w:hAnsi="Palatino Linotype" w:cs="Palatino Linotype"/>
          <w:color w:val="000000" w:themeColor="text1"/>
        </w:rPr>
        <w:t xml:space="preserve"> </w:t>
      </w:r>
    </w:p>
    <w:p w:rsidR="00D072D5" w:rsidRPr="00AC3C6A" w:rsidRDefault="00B17D64" w:rsidP="00AC3C6A">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b/>
          <w:i/>
          <w:color w:val="000000" w:themeColor="text1"/>
        </w:rPr>
        <w:t xml:space="preserve">264_SOL_RESP_ADMON_2024.pdf: </w:t>
      </w:r>
      <w:r w:rsidRPr="00AC3C6A">
        <w:rPr>
          <w:rFonts w:ascii="Palatino Linotype" w:eastAsia="Palatino Linotype" w:hAnsi="Palatino Linotype" w:cs="Palatino Linotype"/>
          <w:i/>
          <w:color w:val="000000" w:themeColor="text1"/>
        </w:rPr>
        <w:t xml:space="preserve">oficio de la  Directora de Administración, mediante el cual informa que anexa el catálogo de proveedores y el Acta de Instalación del Comité de Adquisiciones. </w:t>
      </w:r>
    </w:p>
    <w:p w:rsidR="00D072D5" w:rsidRPr="00AC3C6A" w:rsidRDefault="00B17D64" w:rsidP="00AC3C6A">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b/>
          <w:i/>
          <w:color w:val="000000" w:themeColor="text1"/>
        </w:rPr>
        <w:t xml:space="preserve">0264_RESP_UT_2025.pdf: </w:t>
      </w:r>
      <w:r w:rsidRPr="00AC3C6A">
        <w:rPr>
          <w:rFonts w:ascii="Palatino Linotype" w:eastAsia="Palatino Linotype" w:hAnsi="Palatino Linotype" w:cs="Palatino Linotype"/>
          <w:i/>
          <w:color w:val="000000" w:themeColor="text1"/>
        </w:rPr>
        <w:t xml:space="preserve">oficio dl Titular de la Unidad de Transparencia, mediante el cual informa que anexa la respuesta de área a la que fue turnada la solicitud de información. </w:t>
      </w:r>
    </w:p>
    <w:p w:rsidR="00D072D5" w:rsidRPr="00AC3C6A" w:rsidRDefault="00D072D5" w:rsidP="00AC3C6A">
      <w:pPr>
        <w:pBdr>
          <w:top w:val="nil"/>
          <w:left w:val="nil"/>
          <w:bottom w:val="nil"/>
          <w:right w:val="nil"/>
          <w:between w:val="nil"/>
        </w:pBdr>
        <w:jc w:val="both"/>
        <w:rPr>
          <w:rFonts w:ascii="Palatino Linotype" w:eastAsia="Palatino Linotype" w:hAnsi="Palatino Linotype" w:cs="Palatino Linotype"/>
          <w:i/>
          <w:color w:val="000000" w:themeColor="text1"/>
        </w:rPr>
      </w:pPr>
    </w:p>
    <w:p w:rsidR="00D072D5" w:rsidRPr="00AC3C6A" w:rsidRDefault="00B17D64" w:rsidP="00AC3C6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i/>
          <w:color w:val="000000" w:themeColor="text1"/>
        </w:rPr>
      </w:pPr>
      <w:bookmarkStart w:id="2" w:name="_heading=h.9pf8vy1dgkhd" w:colFirst="0" w:colLast="0"/>
      <w:bookmarkEnd w:id="2"/>
      <w:r w:rsidRPr="00AC3C6A">
        <w:rPr>
          <w:rFonts w:ascii="Palatino Linotype" w:eastAsia="Palatino Linotype" w:hAnsi="Palatino Linotype" w:cs="Palatino Linotype"/>
          <w:color w:val="000000" w:themeColor="text1"/>
        </w:rPr>
        <w:t>El</w:t>
      </w:r>
      <w:r w:rsidRPr="00AC3C6A">
        <w:rPr>
          <w:rFonts w:ascii="Palatino Linotype" w:eastAsia="Palatino Linotype" w:hAnsi="Palatino Linotype" w:cs="Palatino Linotype"/>
          <w:b/>
          <w:color w:val="000000" w:themeColor="text1"/>
        </w:rPr>
        <w:t xml:space="preserve"> dieciséis de mayo de dos mil veinticinco</w:t>
      </w:r>
      <w:r w:rsidRPr="00AC3C6A">
        <w:rPr>
          <w:rFonts w:ascii="Palatino Linotype" w:eastAsia="Palatino Linotype" w:hAnsi="Palatino Linotype" w:cs="Palatino Linotype"/>
          <w:color w:val="000000" w:themeColor="text1"/>
        </w:rPr>
        <w:t>, el particular interpuso el recurso de revisión en contra de la respuesta, manifestando las siguientes razones o motivos de inconformidad:</w:t>
      </w:r>
    </w:p>
    <w:p w:rsidR="00D072D5" w:rsidRPr="00AC3C6A" w:rsidRDefault="00D072D5" w:rsidP="00AC3C6A">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p>
    <w:p w:rsidR="00D072D5" w:rsidRPr="00AC3C6A" w:rsidRDefault="00B17D64" w:rsidP="00AC3C6A">
      <w:pPr>
        <w:numPr>
          <w:ilvl w:val="0"/>
          <w:numId w:val="3"/>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bookmarkStart w:id="3" w:name="_heading=h.bu48n3507cx8" w:colFirst="0" w:colLast="0"/>
      <w:bookmarkEnd w:id="3"/>
      <w:r w:rsidRPr="00AC3C6A">
        <w:rPr>
          <w:rFonts w:ascii="Palatino Linotype" w:eastAsia="Palatino Linotype" w:hAnsi="Palatino Linotype" w:cs="Palatino Linotype"/>
          <w:b/>
          <w:color w:val="000000" w:themeColor="text1"/>
        </w:rPr>
        <w:t xml:space="preserve">Acto impugnado: </w:t>
      </w:r>
      <w:r w:rsidRPr="00AC3C6A">
        <w:rPr>
          <w:rFonts w:ascii="Palatino Linotype" w:eastAsia="Palatino Linotype" w:hAnsi="Palatino Linotype" w:cs="Palatino Linotype"/>
          <w:i/>
          <w:color w:val="000000" w:themeColor="text1"/>
        </w:rPr>
        <w:t>“NO PRESENTA LOS TICKETS, NI NOTAS O FACTURAS DEL PERIODO INDICADO. Y EL CATALOGO DE PROVEEDORES ESTA IMCOMPLETO.”</w:t>
      </w:r>
    </w:p>
    <w:p w:rsidR="00D072D5" w:rsidRPr="00AC3C6A" w:rsidRDefault="00B17D64" w:rsidP="00AC3C6A">
      <w:pPr>
        <w:pBdr>
          <w:top w:val="nil"/>
          <w:left w:val="nil"/>
          <w:bottom w:val="nil"/>
          <w:right w:val="nil"/>
          <w:between w:val="nil"/>
        </w:pBdr>
        <w:tabs>
          <w:tab w:val="left" w:pos="7020"/>
        </w:tabs>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ab/>
      </w:r>
    </w:p>
    <w:p w:rsidR="00D072D5" w:rsidRPr="00AC3C6A" w:rsidRDefault="00B17D64" w:rsidP="00AC3C6A">
      <w:pPr>
        <w:numPr>
          <w:ilvl w:val="0"/>
          <w:numId w:val="3"/>
        </w:numPr>
        <w:pBdr>
          <w:top w:val="nil"/>
          <w:left w:val="nil"/>
          <w:bottom w:val="nil"/>
          <w:right w:val="nil"/>
          <w:between w:val="nil"/>
        </w:pBdr>
        <w:ind w:left="0" w:firstLine="0"/>
        <w:jc w:val="both"/>
        <w:rPr>
          <w:rFonts w:ascii="Palatino Linotype" w:eastAsia="Palatino Linotype" w:hAnsi="Palatino Linotype" w:cs="Palatino Linotype"/>
          <w:b/>
          <w:i/>
          <w:color w:val="000000" w:themeColor="text1"/>
        </w:rPr>
      </w:pPr>
      <w:bookmarkStart w:id="4" w:name="_heading=h.966ghff0b3fn" w:colFirst="0" w:colLast="0"/>
      <w:bookmarkEnd w:id="4"/>
      <w:r w:rsidRPr="00AC3C6A">
        <w:rPr>
          <w:rFonts w:ascii="Palatino Linotype" w:eastAsia="Palatino Linotype" w:hAnsi="Palatino Linotype" w:cs="Palatino Linotype"/>
          <w:b/>
          <w:color w:val="000000" w:themeColor="text1"/>
        </w:rPr>
        <w:t xml:space="preserve">Razones o Motivos de inconformidad: </w:t>
      </w:r>
      <w:r w:rsidRPr="00AC3C6A">
        <w:rPr>
          <w:rFonts w:ascii="Palatino Linotype" w:eastAsia="Palatino Linotype" w:hAnsi="Palatino Linotype" w:cs="Palatino Linotype"/>
          <w:i/>
          <w:color w:val="000000" w:themeColor="text1"/>
        </w:rPr>
        <w:t>“NO PRESENTA LOS TICKETS, NI NOTAS O FACTURAS DEL PERIODO INDICADO. Y EL CATALOGO DE PROVEEDORES ESTA IMCOMPLETO”</w:t>
      </w:r>
    </w:p>
    <w:p w:rsidR="00D072D5" w:rsidRPr="00AC3C6A" w:rsidRDefault="00D072D5" w:rsidP="00AC3C6A">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D072D5" w:rsidRPr="00AC3C6A" w:rsidRDefault="00B17D64" w:rsidP="00AC3C6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 fecha </w:t>
      </w:r>
      <w:r w:rsidRPr="00AC3C6A">
        <w:rPr>
          <w:rFonts w:ascii="Palatino Linotype" w:eastAsia="Palatino Linotype" w:hAnsi="Palatino Linotype" w:cs="Palatino Linotype"/>
          <w:b/>
          <w:color w:val="000000" w:themeColor="text1"/>
        </w:rPr>
        <w:t xml:space="preserve">veinte de mayo de dos </w:t>
      </w:r>
      <w:r w:rsidRPr="00AC3C6A">
        <w:rPr>
          <w:rFonts w:ascii="Palatino Linotype" w:eastAsia="Palatino Linotype" w:hAnsi="Palatino Linotype" w:cs="Palatino Linotype"/>
          <w:b/>
          <w:color w:val="000000" w:themeColor="text1"/>
        </w:rPr>
        <w:lastRenderedPageBreak/>
        <w:t>mil veinticinco</w:t>
      </w:r>
      <w:r w:rsidRPr="00AC3C6A">
        <w:rPr>
          <w:rFonts w:ascii="Palatino Linotype" w:eastAsia="Palatino Linotype" w:hAnsi="Palatino Linotype" w:cs="Palatino Linotype"/>
          <w:color w:val="000000" w:themeColor="text1"/>
        </w:rPr>
        <w:t xml:space="preserve">, puso a disposición de las partes el expediente electrónico vía </w:t>
      </w:r>
      <w:r w:rsidRPr="00AC3C6A">
        <w:rPr>
          <w:rFonts w:ascii="Palatino Linotype" w:eastAsia="Palatino Linotype" w:hAnsi="Palatino Linotype" w:cs="Palatino Linotype"/>
          <w:b/>
          <w:color w:val="000000" w:themeColor="text1"/>
        </w:rPr>
        <w:t xml:space="preserve">SAIMEX </w:t>
      </w:r>
      <w:r w:rsidRPr="00AC3C6A">
        <w:rPr>
          <w:rFonts w:ascii="Palatino Linotype" w:eastAsia="Palatino Linotype" w:hAnsi="Palatino Linotype" w:cs="Palatino Linotype"/>
          <w:color w:val="000000" w:themeColor="text1"/>
        </w:rPr>
        <w:t xml:space="preserve">a efecto de que en un plazo máximo de siete días manifestaran lo que a su derecho conviniera, ofrecieran pruebas y alegatos según corresponda a los casos concretos, y el </w:t>
      </w:r>
      <w:r w:rsidRPr="00AC3C6A">
        <w:rPr>
          <w:rFonts w:ascii="Palatino Linotype" w:eastAsia="Palatino Linotype" w:hAnsi="Palatino Linotype" w:cs="Palatino Linotype"/>
          <w:b/>
          <w:color w:val="000000" w:themeColor="text1"/>
        </w:rPr>
        <w:t>SUJETO OBLIGADO</w:t>
      </w:r>
      <w:r w:rsidRPr="00AC3C6A">
        <w:rPr>
          <w:rFonts w:ascii="Palatino Linotype" w:eastAsia="Palatino Linotype" w:hAnsi="Palatino Linotype" w:cs="Palatino Linotype"/>
          <w:color w:val="000000" w:themeColor="text1"/>
        </w:rPr>
        <w:t xml:space="preserve"> presentará el Informe Justificado procedente.</w:t>
      </w:r>
    </w:p>
    <w:p w:rsidR="00D072D5" w:rsidRPr="00AC3C6A" w:rsidRDefault="00D072D5" w:rsidP="00AC3C6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color w:val="000000" w:themeColor="text1"/>
        </w:rPr>
        <w:t xml:space="preserve">De lo anterior, tal y como se observa en el expediente electrónico el </w:t>
      </w:r>
      <w:r w:rsidRPr="00AC3C6A">
        <w:rPr>
          <w:rFonts w:ascii="Palatino Linotype" w:eastAsia="Palatino Linotype" w:hAnsi="Palatino Linotype" w:cs="Palatino Linotype"/>
          <w:b/>
          <w:color w:val="000000" w:themeColor="text1"/>
        </w:rPr>
        <w:t>veintinueve de dos mil veinticinco, el</w:t>
      </w:r>
      <w:r w:rsidRPr="00AC3C6A">
        <w:rPr>
          <w:rFonts w:ascii="Palatino Linotype" w:eastAsia="Palatino Linotype" w:hAnsi="Palatino Linotype" w:cs="Palatino Linotype"/>
          <w:color w:val="000000" w:themeColor="text1"/>
        </w:rPr>
        <w:t xml:space="preserve"> </w:t>
      </w:r>
      <w:r w:rsidRPr="00AC3C6A">
        <w:rPr>
          <w:rFonts w:ascii="Palatino Linotype" w:eastAsia="Palatino Linotype" w:hAnsi="Palatino Linotype" w:cs="Palatino Linotype"/>
          <w:b/>
          <w:color w:val="000000" w:themeColor="text1"/>
        </w:rPr>
        <w:t xml:space="preserve">SUJETO OBLIGADO </w:t>
      </w:r>
      <w:r w:rsidRPr="00AC3C6A">
        <w:rPr>
          <w:rFonts w:ascii="Palatino Linotype" w:eastAsia="Palatino Linotype" w:hAnsi="Palatino Linotype" w:cs="Palatino Linotype"/>
          <w:color w:val="000000" w:themeColor="text1"/>
        </w:rPr>
        <w:t>entregó un archivo electrónico en formato pdf, cuyo contenido grosso modo es el si</w:t>
      </w:r>
      <w:r w:rsidR="00AB7156">
        <w:rPr>
          <w:rFonts w:ascii="Palatino Linotype" w:eastAsia="Palatino Linotype" w:hAnsi="Palatino Linotype" w:cs="Palatino Linotype"/>
          <w:color w:val="000000" w:themeColor="text1"/>
        </w:rPr>
        <w:t>guiente:</w:t>
      </w:r>
    </w:p>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b/>
          <w:i/>
          <w:color w:val="000000" w:themeColor="text1"/>
        </w:rPr>
        <w:t>05588_RR_IFJ_2025.pdf</w:t>
      </w:r>
      <w:r w:rsidRPr="00AC3C6A">
        <w:rPr>
          <w:rFonts w:ascii="Palatino Linotype" w:eastAsia="Palatino Linotype" w:hAnsi="Palatino Linotype" w:cs="Palatino Linotype"/>
          <w:i/>
          <w:color w:val="000000" w:themeColor="text1"/>
        </w:rPr>
        <w:t xml:space="preserve">: documento mediante el cual se informa que se anexan las facturas del periodo solicitado de los conceptos referidos en la solicitud de información, en el documento se informa que el Catálogo de proveedores es con el que se cuenta y el que está registrado en la página del IPOMEX del Ayuntamiento.  </w:t>
      </w:r>
    </w:p>
    <w:p w:rsidR="00D072D5" w:rsidRDefault="00D072D5" w:rsidP="00AC3C6A">
      <w:pPr>
        <w:pBdr>
          <w:top w:val="nil"/>
          <w:left w:val="nil"/>
          <w:bottom w:val="nil"/>
          <w:right w:val="nil"/>
          <w:between w:val="nil"/>
        </w:pBdr>
        <w:rPr>
          <w:rFonts w:ascii="Palatino Linotype" w:eastAsia="Palatino Linotype" w:hAnsi="Palatino Linotype" w:cs="Palatino Linotype"/>
          <w:i/>
          <w:color w:val="000000" w:themeColor="text1"/>
        </w:rPr>
      </w:pPr>
    </w:p>
    <w:p w:rsidR="00AB7156" w:rsidRPr="00AC3C6A" w:rsidRDefault="00AB7156" w:rsidP="00AC3C6A">
      <w:pPr>
        <w:pBdr>
          <w:top w:val="nil"/>
          <w:left w:val="nil"/>
          <w:bottom w:val="nil"/>
          <w:right w:val="nil"/>
          <w:between w:val="nil"/>
        </w:pBdr>
        <w:rPr>
          <w:rFonts w:ascii="Palatino Linotype" w:eastAsia="Palatino Linotype" w:hAnsi="Palatino Linotype" w:cs="Palatino Linotype"/>
          <w:i/>
          <w:color w:val="000000" w:themeColor="text1"/>
        </w:rPr>
      </w:pPr>
    </w:p>
    <w:p w:rsidR="00D072D5" w:rsidRPr="00AC3C6A" w:rsidRDefault="00B17D64" w:rsidP="00AC3C6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b/>
          <w:color w:val="000000" w:themeColor="text1"/>
        </w:rPr>
        <w:t xml:space="preserve"> </w:t>
      </w:r>
      <w:r w:rsidRPr="00AC3C6A">
        <w:rPr>
          <w:rFonts w:ascii="Palatino Linotype" w:eastAsia="Palatino Linotype" w:hAnsi="Palatino Linotype" w:cs="Palatino Linotype"/>
          <w:color w:val="000000" w:themeColor="text1"/>
        </w:rPr>
        <w:t xml:space="preserve">Por su parte el </w:t>
      </w:r>
      <w:r w:rsidRPr="00AC3C6A">
        <w:rPr>
          <w:rFonts w:ascii="Palatino Linotype" w:eastAsia="Palatino Linotype" w:hAnsi="Palatino Linotype" w:cs="Palatino Linotype"/>
          <w:b/>
          <w:color w:val="000000" w:themeColor="text1"/>
        </w:rPr>
        <w:t xml:space="preserve">RECURRENTE </w:t>
      </w:r>
      <w:r w:rsidRPr="00AC3C6A">
        <w:rPr>
          <w:rFonts w:ascii="Palatino Linotype" w:eastAsia="Palatino Linotype" w:hAnsi="Palatino Linotype" w:cs="Palatino Linotype"/>
          <w:color w:val="000000" w:themeColor="text1"/>
        </w:rPr>
        <w:t xml:space="preserve">fue omiso en manifestar lo que a su derecho conviniera y asistiera. </w:t>
      </w:r>
    </w:p>
    <w:p w:rsidR="00D072D5" w:rsidRPr="00AC3C6A" w:rsidRDefault="00D072D5" w:rsidP="00AC3C6A">
      <w:pPr>
        <w:pBdr>
          <w:top w:val="nil"/>
          <w:left w:val="nil"/>
          <w:bottom w:val="nil"/>
          <w:right w:val="nil"/>
          <w:between w:val="nil"/>
        </w:pBdr>
        <w:tabs>
          <w:tab w:val="left" w:pos="0"/>
        </w:tabs>
        <w:spacing w:line="360" w:lineRule="auto"/>
        <w:rPr>
          <w:rFonts w:ascii="Palatino Linotype" w:eastAsia="Palatino Linotype" w:hAnsi="Palatino Linotype" w:cs="Palatino Linotype"/>
          <w:i/>
          <w:color w:val="000000" w:themeColor="text1"/>
        </w:rPr>
      </w:pPr>
    </w:p>
    <w:p w:rsidR="00D072D5" w:rsidRDefault="00B17D64" w:rsidP="00AC3C6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bookmarkStart w:id="5" w:name="_heading=h.l3xxakc7t6i0" w:colFirst="0" w:colLast="0"/>
      <w:bookmarkEnd w:id="5"/>
      <w:r w:rsidRPr="00AC3C6A">
        <w:rPr>
          <w:rFonts w:ascii="Palatino Linotype" w:eastAsia="Palatino Linotype" w:hAnsi="Palatino Linotype" w:cs="Palatino Linotype"/>
          <w:color w:val="000000" w:themeColor="text1"/>
        </w:rPr>
        <w:t xml:space="preserve">El </w:t>
      </w:r>
      <w:r w:rsidRPr="00AC3C6A">
        <w:rPr>
          <w:rFonts w:ascii="Palatino Linotype" w:eastAsia="Palatino Linotype" w:hAnsi="Palatino Linotype" w:cs="Palatino Linotype"/>
          <w:b/>
          <w:color w:val="000000" w:themeColor="text1"/>
        </w:rPr>
        <w:t>dieciocho de septiembre de septiembre de dos mil veinticinco</w:t>
      </w:r>
      <w:r w:rsidRPr="00AC3C6A">
        <w:rPr>
          <w:rFonts w:ascii="Palatino Linotype" w:eastAsia="Palatino Linotype" w:hAnsi="Palatino Linotype" w:cs="Palatino Linotype"/>
          <w:color w:val="000000" w:themeColor="text1"/>
        </w:rPr>
        <w:t>, la Comisionada Ponente notificó el acuerdo de ampliación para emitir resolución, en términos del artículo 181 párrafo tercero de la Ley de Transparencia y Acceso a la Información Pública d</w:t>
      </w:r>
      <w:r w:rsidR="00AC3C6A">
        <w:rPr>
          <w:rFonts w:ascii="Palatino Linotype" w:eastAsia="Palatino Linotype" w:hAnsi="Palatino Linotype" w:cs="Palatino Linotype"/>
          <w:color w:val="000000" w:themeColor="text1"/>
        </w:rPr>
        <w:t>el Estado de México y Municipios.</w:t>
      </w:r>
    </w:p>
    <w:p w:rsidR="00AC3C6A" w:rsidRPr="00AC3C6A" w:rsidRDefault="00AC3C6A" w:rsidP="00AC3C6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D072D5" w:rsidRDefault="00B17D64" w:rsidP="00AC3C6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Finalmente, la Comisionada Ponente mediante acuerdo de fecha</w:t>
      </w:r>
      <w:r w:rsidRPr="00AC3C6A">
        <w:rPr>
          <w:rFonts w:ascii="Palatino Linotype" w:eastAsia="Palatino Linotype" w:hAnsi="Palatino Linotype" w:cs="Palatino Linotype"/>
          <w:b/>
          <w:color w:val="000000" w:themeColor="text1"/>
        </w:rPr>
        <w:t xml:space="preserve"> veinticuatro de septiembre de dos mil veinticinco</w:t>
      </w:r>
      <w:r w:rsidRPr="00AC3C6A">
        <w:rPr>
          <w:rFonts w:ascii="Palatino Linotype" w:eastAsia="Palatino Linotype" w:hAnsi="Palatino Linotype" w:cs="Palatino Linotype"/>
          <w:color w:val="000000" w:themeColor="text1"/>
        </w:rPr>
        <w:t>, decretó el cierre de instrucción de los expedientes, por lo que no hab</w:t>
      </w:r>
      <w:r w:rsidR="00AC3C6A">
        <w:rPr>
          <w:rFonts w:ascii="Palatino Linotype" w:eastAsia="Palatino Linotype" w:hAnsi="Palatino Linotype" w:cs="Palatino Linotype"/>
          <w:color w:val="000000" w:themeColor="text1"/>
        </w:rPr>
        <w:t>iendo más que hacer constar, y</w:t>
      </w:r>
      <w:r w:rsidR="009A10B4">
        <w:rPr>
          <w:rFonts w:ascii="Palatino Linotype" w:eastAsia="Palatino Linotype" w:hAnsi="Palatino Linotype" w:cs="Palatino Linotype"/>
          <w:color w:val="000000" w:themeColor="text1"/>
        </w:rPr>
        <w:t xml:space="preserve"> -------------------------------------------------------------</w:t>
      </w:r>
    </w:p>
    <w:p w:rsidR="009A10B4" w:rsidRDefault="009A10B4" w:rsidP="009A10B4">
      <w:pPr>
        <w:pStyle w:val="Prrafodelista"/>
        <w:rPr>
          <w:rFonts w:ascii="Palatino Linotype" w:eastAsia="Palatino Linotype" w:hAnsi="Palatino Linotype" w:cs="Palatino Linotype"/>
          <w:color w:val="000000" w:themeColor="text1"/>
        </w:rPr>
      </w:pPr>
    </w:p>
    <w:p w:rsidR="009A10B4" w:rsidRPr="00AC3C6A" w:rsidRDefault="009A10B4" w:rsidP="009A10B4">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AC3C6A">
        <w:rPr>
          <w:rFonts w:ascii="Palatino Linotype" w:eastAsia="Palatino Linotype" w:hAnsi="Palatino Linotype" w:cs="Palatino Linotype"/>
          <w:b/>
          <w:color w:val="000000" w:themeColor="text1"/>
        </w:rPr>
        <w:lastRenderedPageBreak/>
        <w:t>C</w:t>
      </w:r>
      <w:r w:rsidR="00AB7156">
        <w:rPr>
          <w:rFonts w:ascii="Palatino Linotype" w:eastAsia="Palatino Linotype" w:hAnsi="Palatino Linotype" w:cs="Palatino Linotype"/>
          <w:b/>
          <w:color w:val="000000" w:themeColor="text1"/>
        </w:rPr>
        <w:t xml:space="preserve"> </w:t>
      </w:r>
      <w:r w:rsidRPr="00AC3C6A">
        <w:rPr>
          <w:rFonts w:ascii="Palatino Linotype" w:eastAsia="Palatino Linotype" w:hAnsi="Palatino Linotype" w:cs="Palatino Linotype"/>
          <w:b/>
          <w:color w:val="000000" w:themeColor="text1"/>
        </w:rPr>
        <w:t>O</w:t>
      </w:r>
      <w:r w:rsidR="00AB7156">
        <w:rPr>
          <w:rFonts w:ascii="Palatino Linotype" w:eastAsia="Palatino Linotype" w:hAnsi="Palatino Linotype" w:cs="Palatino Linotype"/>
          <w:b/>
          <w:color w:val="000000" w:themeColor="text1"/>
        </w:rPr>
        <w:t xml:space="preserve"> </w:t>
      </w:r>
      <w:r w:rsidRPr="00AC3C6A">
        <w:rPr>
          <w:rFonts w:ascii="Palatino Linotype" w:eastAsia="Palatino Linotype" w:hAnsi="Palatino Linotype" w:cs="Palatino Linotype"/>
          <w:b/>
          <w:color w:val="000000" w:themeColor="text1"/>
        </w:rPr>
        <w:t>N</w:t>
      </w:r>
      <w:r w:rsidR="00AB7156">
        <w:rPr>
          <w:rFonts w:ascii="Palatino Linotype" w:eastAsia="Palatino Linotype" w:hAnsi="Palatino Linotype" w:cs="Palatino Linotype"/>
          <w:b/>
          <w:color w:val="000000" w:themeColor="text1"/>
        </w:rPr>
        <w:t xml:space="preserve"> </w:t>
      </w:r>
      <w:r w:rsidRPr="00AC3C6A">
        <w:rPr>
          <w:rFonts w:ascii="Palatino Linotype" w:eastAsia="Palatino Linotype" w:hAnsi="Palatino Linotype" w:cs="Palatino Linotype"/>
          <w:b/>
          <w:color w:val="000000" w:themeColor="text1"/>
        </w:rPr>
        <w:t>S</w:t>
      </w:r>
      <w:r w:rsidR="00AB7156">
        <w:rPr>
          <w:rFonts w:ascii="Palatino Linotype" w:eastAsia="Palatino Linotype" w:hAnsi="Palatino Linotype" w:cs="Palatino Linotype"/>
          <w:b/>
          <w:color w:val="000000" w:themeColor="text1"/>
        </w:rPr>
        <w:t xml:space="preserve"> </w:t>
      </w:r>
      <w:r w:rsidRPr="00AC3C6A">
        <w:rPr>
          <w:rFonts w:ascii="Palatino Linotype" w:eastAsia="Palatino Linotype" w:hAnsi="Palatino Linotype" w:cs="Palatino Linotype"/>
          <w:b/>
          <w:color w:val="000000" w:themeColor="text1"/>
        </w:rPr>
        <w:t>I</w:t>
      </w:r>
      <w:r w:rsidR="00AB7156">
        <w:rPr>
          <w:rFonts w:ascii="Palatino Linotype" w:eastAsia="Palatino Linotype" w:hAnsi="Palatino Linotype" w:cs="Palatino Linotype"/>
          <w:b/>
          <w:color w:val="000000" w:themeColor="text1"/>
        </w:rPr>
        <w:t xml:space="preserve"> </w:t>
      </w:r>
      <w:r w:rsidRPr="00AC3C6A">
        <w:rPr>
          <w:rFonts w:ascii="Palatino Linotype" w:eastAsia="Palatino Linotype" w:hAnsi="Palatino Linotype" w:cs="Palatino Linotype"/>
          <w:b/>
          <w:color w:val="000000" w:themeColor="text1"/>
        </w:rPr>
        <w:t>D</w:t>
      </w:r>
      <w:r w:rsidR="00AB7156">
        <w:rPr>
          <w:rFonts w:ascii="Palatino Linotype" w:eastAsia="Palatino Linotype" w:hAnsi="Palatino Linotype" w:cs="Palatino Linotype"/>
          <w:b/>
          <w:color w:val="000000" w:themeColor="text1"/>
        </w:rPr>
        <w:t xml:space="preserve"> </w:t>
      </w:r>
      <w:r w:rsidRPr="00AC3C6A">
        <w:rPr>
          <w:rFonts w:ascii="Palatino Linotype" w:eastAsia="Palatino Linotype" w:hAnsi="Palatino Linotype" w:cs="Palatino Linotype"/>
          <w:b/>
          <w:color w:val="000000" w:themeColor="text1"/>
        </w:rPr>
        <w:t>E</w:t>
      </w:r>
      <w:r w:rsidR="00AB7156">
        <w:rPr>
          <w:rFonts w:ascii="Palatino Linotype" w:eastAsia="Palatino Linotype" w:hAnsi="Palatino Linotype" w:cs="Palatino Linotype"/>
          <w:b/>
          <w:color w:val="000000" w:themeColor="text1"/>
        </w:rPr>
        <w:t xml:space="preserve"> </w:t>
      </w:r>
      <w:r w:rsidRPr="00AC3C6A">
        <w:rPr>
          <w:rFonts w:ascii="Palatino Linotype" w:eastAsia="Palatino Linotype" w:hAnsi="Palatino Linotype" w:cs="Palatino Linotype"/>
          <w:b/>
          <w:color w:val="000000" w:themeColor="text1"/>
        </w:rPr>
        <w:t>R</w:t>
      </w:r>
      <w:r w:rsidR="00AB7156">
        <w:rPr>
          <w:rFonts w:ascii="Palatino Linotype" w:eastAsia="Palatino Linotype" w:hAnsi="Palatino Linotype" w:cs="Palatino Linotype"/>
          <w:b/>
          <w:color w:val="000000" w:themeColor="text1"/>
        </w:rPr>
        <w:t xml:space="preserve"> </w:t>
      </w:r>
      <w:r w:rsidRPr="00AC3C6A">
        <w:rPr>
          <w:rFonts w:ascii="Palatino Linotype" w:eastAsia="Palatino Linotype" w:hAnsi="Palatino Linotype" w:cs="Palatino Linotype"/>
          <w:b/>
          <w:color w:val="000000" w:themeColor="text1"/>
        </w:rPr>
        <w:t>A</w:t>
      </w:r>
      <w:r w:rsidR="00AB7156">
        <w:rPr>
          <w:rFonts w:ascii="Palatino Linotype" w:eastAsia="Palatino Linotype" w:hAnsi="Palatino Linotype" w:cs="Palatino Linotype"/>
          <w:b/>
          <w:color w:val="000000" w:themeColor="text1"/>
        </w:rPr>
        <w:t xml:space="preserve"> </w:t>
      </w:r>
      <w:r w:rsidRPr="00AC3C6A">
        <w:rPr>
          <w:rFonts w:ascii="Palatino Linotype" w:eastAsia="Palatino Linotype" w:hAnsi="Palatino Linotype" w:cs="Palatino Linotype"/>
          <w:b/>
          <w:color w:val="000000" w:themeColor="text1"/>
        </w:rPr>
        <w:t>N</w:t>
      </w:r>
      <w:r w:rsidR="00AB7156">
        <w:rPr>
          <w:rFonts w:ascii="Palatino Linotype" w:eastAsia="Palatino Linotype" w:hAnsi="Palatino Linotype" w:cs="Palatino Linotype"/>
          <w:b/>
          <w:color w:val="000000" w:themeColor="text1"/>
        </w:rPr>
        <w:t xml:space="preserve"> </w:t>
      </w:r>
      <w:r w:rsidRPr="00AC3C6A">
        <w:rPr>
          <w:rFonts w:ascii="Palatino Linotype" w:eastAsia="Palatino Linotype" w:hAnsi="Palatino Linotype" w:cs="Palatino Linotype"/>
          <w:b/>
          <w:color w:val="000000" w:themeColor="text1"/>
        </w:rPr>
        <w:t>D</w:t>
      </w:r>
      <w:r w:rsidR="00AB7156">
        <w:rPr>
          <w:rFonts w:ascii="Palatino Linotype" w:eastAsia="Palatino Linotype" w:hAnsi="Palatino Linotype" w:cs="Palatino Linotype"/>
          <w:b/>
          <w:color w:val="000000" w:themeColor="text1"/>
        </w:rPr>
        <w:t xml:space="preserve"> </w:t>
      </w:r>
      <w:r w:rsidRPr="00AC3C6A">
        <w:rPr>
          <w:rFonts w:ascii="Palatino Linotype" w:eastAsia="Palatino Linotype" w:hAnsi="Palatino Linotype" w:cs="Palatino Linotype"/>
          <w:b/>
          <w:color w:val="000000" w:themeColor="text1"/>
        </w:rPr>
        <w:t>O</w:t>
      </w:r>
    </w:p>
    <w:p w:rsidR="00D072D5" w:rsidRPr="00AC3C6A" w:rsidRDefault="00D072D5" w:rsidP="00AC3C6A">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rsidR="00D072D5" w:rsidRPr="00AC3C6A" w:rsidRDefault="00B17D64" w:rsidP="00AC3C6A">
      <w:pPr>
        <w:pStyle w:val="Ttulo2"/>
        <w:spacing w:before="0" w:line="360" w:lineRule="auto"/>
        <w:rPr>
          <w:rFonts w:ascii="Palatino Linotype" w:eastAsia="Palatino Linotype" w:hAnsi="Palatino Linotype" w:cs="Palatino Linotype"/>
          <w:b/>
          <w:color w:val="000000" w:themeColor="text1"/>
          <w:sz w:val="24"/>
          <w:szCs w:val="24"/>
        </w:rPr>
      </w:pPr>
      <w:bookmarkStart w:id="6" w:name="_heading=h.tgyb9poxpo9e" w:colFirst="0" w:colLast="0"/>
      <w:bookmarkEnd w:id="6"/>
      <w:r w:rsidRPr="00AC3C6A">
        <w:rPr>
          <w:rFonts w:ascii="Palatino Linotype" w:eastAsia="Palatino Linotype" w:hAnsi="Palatino Linotype" w:cs="Palatino Linotype"/>
          <w:b/>
          <w:color w:val="000000" w:themeColor="text1"/>
          <w:sz w:val="24"/>
          <w:szCs w:val="24"/>
        </w:rPr>
        <w:t>PRIMERO. De la competencia</w:t>
      </w:r>
    </w:p>
    <w:p w:rsidR="00D072D5" w:rsidRPr="00AC3C6A" w:rsidRDefault="00B17D64" w:rsidP="00AC3C6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color w:val="000000" w:themeColor="text1"/>
        </w:rPr>
      </w:pPr>
      <w:bookmarkStart w:id="7" w:name="_heading=h.8vqc9jp1uzo6" w:colFirst="0" w:colLast="0"/>
      <w:bookmarkEnd w:id="7"/>
      <w:r w:rsidRPr="00AC3C6A">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w:t>
      </w:r>
      <w:r w:rsidRPr="00AC3C6A">
        <w:rPr>
          <w:rFonts w:ascii="Palatino Linotype" w:eastAsia="Palatino Linotype" w:hAnsi="Palatino Linotype" w:cs="Palatino Linotype"/>
          <w:b/>
          <w:color w:val="000000" w:themeColor="text1"/>
        </w:rPr>
        <w:t>.</w:t>
      </w:r>
    </w:p>
    <w:p w:rsidR="00D072D5" w:rsidRPr="00AC3C6A" w:rsidRDefault="00D072D5" w:rsidP="00AC3C6A">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D072D5" w:rsidRPr="00AC3C6A" w:rsidRDefault="00B17D64" w:rsidP="00AC3C6A">
      <w:pPr>
        <w:spacing w:line="360" w:lineRule="auto"/>
        <w:rPr>
          <w:rFonts w:ascii="Palatino Linotype" w:eastAsia="Palatino Linotype" w:hAnsi="Palatino Linotype" w:cs="Palatino Linotype"/>
          <w:b/>
          <w:color w:val="000000" w:themeColor="text1"/>
        </w:rPr>
      </w:pPr>
      <w:r w:rsidRPr="00AC3C6A">
        <w:rPr>
          <w:rFonts w:ascii="Palatino Linotype" w:eastAsia="Palatino Linotype" w:hAnsi="Palatino Linotype" w:cs="Palatino Linotype"/>
          <w:b/>
          <w:color w:val="000000" w:themeColor="text1"/>
        </w:rPr>
        <w:t>SEGUNDO. De la oportunidad y procedencia.</w:t>
      </w:r>
    </w:p>
    <w:p w:rsidR="00D072D5" w:rsidRPr="00AC3C6A" w:rsidRDefault="00B17D64" w:rsidP="00AC3C6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 xml:space="preserve">El medio de impugnación fue presentado a través del </w:t>
      </w:r>
      <w:r w:rsidRPr="00AC3C6A">
        <w:rPr>
          <w:rFonts w:ascii="Palatino Linotype" w:eastAsia="Palatino Linotype" w:hAnsi="Palatino Linotype" w:cs="Palatino Linotype"/>
          <w:b/>
          <w:color w:val="000000" w:themeColor="text1"/>
        </w:rPr>
        <w:t>SAIMEX,</w:t>
      </w:r>
      <w:r w:rsidRPr="00AC3C6A">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AC3C6A">
        <w:rPr>
          <w:rFonts w:ascii="Palatino Linotype" w:eastAsia="Palatino Linotype" w:hAnsi="Palatino Linotype" w:cs="Palatino Linotype"/>
          <w:b/>
          <w:color w:val="000000" w:themeColor="text1"/>
        </w:rPr>
        <w:t>SUJETO OBLIGADO</w:t>
      </w:r>
      <w:r w:rsidRPr="00AC3C6A">
        <w:rPr>
          <w:rFonts w:ascii="Palatino Linotype" w:eastAsia="Palatino Linotype" w:hAnsi="Palatino Linotype" w:cs="Palatino Linotype"/>
          <w:color w:val="000000" w:themeColor="text1"/>
        </w:rPr>
        <w:t xml:space="preserve"> entregó su respuesta el </w:t>
      </w:r>
      <w:r w:rsidRPr="00AC3C6A">
        <w:rPr>
          <w:rFonts w:ascii="Palatino Linotype" w:eastAsia="Palatino Linotype" w:hAnsi="Palatino Linotype" w:cs="Palatino Linotype"/>
          <w:b/>
          <w:color w:val="000000" w:themeColor="text1"/>
        </w:rPr>
        <w:t>siete de mayo de dos mil veinticinco</w:t>
      </w:r>
      <w:r w:rsidRPr="00AC3C6A">
        <w:rPr>
          <w:rFonts w:ascii="Palatino Linotype" w:eastAsia="Palatino Linotype" w:hAnsi="Palatino Linotype" w:cs="Palatino Linotype"/>
          <w:color w:val="000000" w:themeColor="text1"/>
        </w:rPr>
        <w:t xml:space="preserve">, de tal forma que el plazo para interponer el recurso de revisión transcurrió del </w:t>
      </w:r>
      <w:r w:rsidRPr="00AC3C6A">
        <w:rPr>
          <w:rFonts w:ascii="Palatino Linotype" w:eastAsia="Palatino Linotype" w:hAnsi="Palatino Linotype" w:cs="Palatino Linotype"/>
          <w:b/>
          <w:color w:val="000000" w:themeColor="text1"/>
        </w:rPr>
        <w:t>ocho al veintiocho de mayo de dos mil veinticinco</w:t>
      </w:r>
      <w:r w:rsidRPr="00AC3C6A">
        <w:rPr>
          <w:rFonts w:ascii="Palatino Linotype" w:eastAsia="Palatino Linotype" w:hAnsi="Palatino Linotype" w:cs="Palatino Linotype"/>
          <w:color w:val="000000" w:themeColor="text1"/>
        </w:rPr>
        <w:t xml:space="preserve">; en consecuencia, el ahora </w:t>
      </w:r>
      <w:r w:rsidRPr="00AC3C6A">
        <w:rPr>
          <w:rFonts w:ascii="Palatino Linotype" w:eastAsia="Palatino Linotype" w:hAnsi="Palatino Linotype" w:cs="Palatino Linotype"/>
          <w:b/>
          <w:color w:val="000000" w:themeColor="text1"/>
        </w:rPr>
        <w:t>RECURRENTE</w:t>
      </w:r>
      <w:r w:rsidRPr="00AC3C6A">
        <w:rPr>
          <w:rFonts w:ascii="Palatino Linotype" w:eastAsia="Palatino Linotype" w:hAnsi="Palatino Linotype" w:cs="Palatino Linotype"/>
          <w:color w:val="000000" w:themeColor="text1"/>
        </w:rPr>
        <w:t xml:space="preserve"> presentó su inconformidad el día </w:t>
      </w:r>
      <w:r w:rsidRPr="00AC3C6A">
        <w:rPr>
          <w:rFonts w:ascii="Palatino Linotype" w:eastAsia="Palatino Linotype" w:hAnsi="Palatino Linotype" w:cs="Palatino Linotype"/>
          <w:b/>
          <w:color w:val="000000" w:themeColor="text1"/>
        </w:rPr>
        <w:t>dieciséis de mayo de dos mil veinticinco</w:t>
      </w:r>
      <w:r w:rsidRPr="00AC3C6A">
        <w:rPr>
          <w:rFonts w:ascii="Palatino Linotype" w:eastAsia="Palatino Linotype" w:hAnsi="Palatino Linotype" w:cs="Palatino Linotype"/>
          <w:color w:val="000000" w:themeColor="text1"/>
        </w:rPr>
        <w:t>; por lo que se estima que la inconformidad se presentó dentro del lapso legalmente establecido para tal efecto.</w:t>
      </w:r>
    </w:p>
    <w:p w:rsidR="00D072D5" w:rsidRPr="00AC3C6A" w:rsidRDefault="00D072D5" w:rsidP="00AC3C6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lastRenderedPageBreak/>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w:t>
      </w:r>
      <w:r w:rsidRPr="00AC3C6A">
        <w:rPr>
          <w:rFonts w:ascii="Palatino Linotype" w:eastAsia="Palatino Linotype" w:hAnsi="Palatino Linotype" w:cs="Palatino Linotype"/>
          <w:b/>
          <w:i/>
          <w:color w:val="000000" w:themeColor="text1"/>
        </w:rPr>
        <w:t>Las solicitudes anónimas</w:t>
      </w:r>
      <w:r w:rsidRPr="00AC3C6A">
        <w:rPr>
          <w:rFonts w:ascii="Palatino Linotype" w:eastAsia="Palatino Linotype" w:hAnsi="Palatino Linotype" w:cs="Palatino Linotype"/>
          <w:i/>
          <w:color w:val="000000" w:themeColor="text1"/>
        </w:rPr>
        <w:t xml:space="preserve">, con nombre incompleto o seudónimo </w:t>
      </w:r>
      <w:r w:rsidRPr="00AC3C6A">
        <w:rPr>
          <w:rFonts w:ascii="Palatino Linotype" w:eastAsia="Palatino Linotype" w:hAnsi="Palatino Linotype" w:cs="Palatino Linotype"/>
          <w:b/>
          <w:i/>
          <w:color w:val="000000" w:themeColor="text1"/>
        </w:rPr>
        <w:t>serán procedentes para su trámite por parte del sujeto obligado ante quien se presente</w:t>
      </w:r>
      <w:r w:rsidRPr="00AC3C6A">
        <w:rPr>
          <w:rFonts w:ascii="Palatino Linotype" w:eastAsia="Palatino Linotype" w:hAnsi="Palatino Linotype" w:cs="Palatino Linotype"/>
          <w:i/>
          <w:color w:val="000000" w:themeColor="text1"/>
        </w:rPr>
        <w:t>. No podrá requerirse información adicional con motivo del nombre proporcionado por el solicitante."</w:t>
      </w: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w:t>
      </w:r>
      <w:r w:rsidRPr="00AC3C6A">
        <w:rPr>
          <w:rFonts w:ascii="Palatino Linotype" w:eastAsia="Palatino Linotype" w:hAnsi="Palatino Linotype" w:cs="Palatino Linotype"/>
          <w:b/>
          <w:i/>
          <w:color w:val="000000" w:themeColor="text1"/>
        </w:rPr>
        <w:t>Artículo 6.-</w:t>
      </w:r>
      <w:r w:rsidRPr="00AC3C6A">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Para efectos de lo dispuesto en el presente artículo se observará lo siguiente:</w:t>
      </w:r>
    </w:p>
    <w:p w:rsidR="00D072D5" w:rsidRPr="00AC3C6A" w:rsidRDefault="00D072D5" w:rsidP="00AC3C6A">
      <w:pPr>
        <w:jc w:val="both"/>
        <w:rPr>
          <w:rFonts w:ascii="Palatino Linotype" w:eastAsia="Palatino Linotype" w:hAnsi="Palatino Linotype" w:cs="Palatino Linotype"/>
          <w:i/>
          <w:color w:val="000000" w:themeColor="text1"/>
        </w:rPr>
      </w:pP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rsidR="00D072D5" w:rsidRPr="00AC3C6A" w:rsidRDefault="00D072D5" w:rsidP="00AC3C6A">
      <w:pPr>
        <w:jc w:val="both"/>
        <w:rPr>
          <w:rFonts w:ascii="Palatino Linotype" w:eastAsia="Palatino Linotype" w:hAnsi="Palatino Linotype" w:cs="Palatino Linotype"/>
          <w:i/>
          <w:color w:val="000000" w:themeColor="text1"/>
        </w:rPr>
      </w:pP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AC3C6A">
        <w:rPr>
          <w:rFonts w:ascii="Palatino Linotype" w:eastAsia="Palatino Linotype" w:hAnsi="Palatino Linotype" w:cs="Palatino Linotype"/>
          <w:color w:val="000000" w:themeColor="text1"/>
        </w:rPr>
        <w:t>(Sic)</w:t>
      </w:r>
    </w:p>
    <w:p w:rsidR="00D072D5" w:rsidRPr="00AC3C6A" w:rsidRDefault="00D072D5" w:rsidP="00AC3C6A">
      <w:pPr>
        <w:spacing w:line="360" w:lineRule="auto"/>
        <w:jc w:val="both"/>
        <w:rPr>
          <w:rFonts w:ascii="Palatino Linotype" w:eastAsia="Palatino Linotype" w:hAnsi="Palatino Linotype" w:cs="Palatino Linotype"/>
          <w:i/>
          <w:color w:val="000000" w:themeColor="text1"/>
        </w:rPr>
      </w:pPr>
    </w:p>
    <w:p w:rsidR="00D072D5" w:rsidRPr="00AC3C6A" w:rsidRDefault="00B17D64" w:rsidP="00AC3C6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Así como el artículo 5 fracción III, párrafo vigésimo noveno, trigésimo y trigésimo primero, de la Constitución Política del Estado Libre y Soberano de México, que determina lo siguiente:</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w:t>
      </w:r>
      <w:r w:rsidRPr="00AC3C6A">
        <w:rPr>
          <w:rFonts w:ascii="Palatino Linotype" w:eastAsia="Palatino Linotype" w:hAnsi="Palatino Linotype" w:cs="Palatino Linotype"/>
          <w:b/>
          <w:i/>
          <w:color w:val="000000" w:themeColor="text1"/>
        </w:rPr>
        <w:t>Artículo 5.-</w:t>
      </w:r>
      <w:r w:rsidRPr="00AC3C6A">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w:t>
      </w:r>
      <w:r w:rsidRPr="00AC3C6A">
        <w:rPr>
          <w:rFonts w:ascii="Palatino Linotype" w:eastAsia="Palatino Linotype" w:hAnsi="Palatino Linotype" w:cs="Palatino Linotype"/>
          <w:i/>
          <w:color w:val="000000" w:themeColor="text1"/>
        </w:rPr>
        <w:lastRenderedPageBreak/>
        <w:t>ésta emanen, por lo que gozarán de las garantías para su protección, las cuales no podrán restringirse ni suspenderse salvo en los casos y bajo las condiciones que la Constitución Política de los Estados Unidos Mexicanos establece”.(Sic)</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AC3C6A">
        <w:rPr>
          <w:rFonts w:ascii="Palatino Linotype" w:eastAsia="Palatino Linotype" w:hAnsi="Palatino Linotype" w:cs="Palatino Linotype"/>
          <w:color w:val="000000" w:themeColor="text1"/>
        </w:rPr>
        <w:t>(Sic)</w:t>
      </w:r>
    </w:p>
    <w:p w:rsidR="00D072D5" w:rsidRPr="00AC3C6A" w:rsidRDefault="00D072D5" w:rsidP="00AC3C6A">
      <w:pPr>
        <w:spacing w:line="360" w:lineRule="auto"/>
        <w:jc w:val="both"/>
        <w:rPr>
          <w:rFonts w:ascii="Palatino Linotype" w:eastAsia="Palatino Linotype" w:hAnsi="Palatino Linotype" w:cs="Palatino Linotype"/>
          <w:i/>
          <w:color w:val="000000" w:themeColor="text1"/>
        </w:rPr>
      </w:pPr>
    </w:p>
    <w:p w:rsidR="00D072D5" w:rsidRPr="00AC3C6A" w:rsidRDefault="00B17D64" w:rsidP="00AC3C6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w:t>
      </w:r>
      <w:r w:rsidRPr="00AC3C6A">
        <w:rPr>
          <w:rFonts w:ascii="Palatino Linotype" w:eastAsia="Palatino Linotype" w:hAnsi="Palatino Linotype" w:cs="Palatino Linotype"/>
          <w:b/>
          <w:i/>
          <w:color w:val="000000" w:themeColor="text1"/>
        </w:rPr>
        <w:t>Artículo 1</w:t>
      </w:r>
      <w:r w:rsidRPr="00AC3C6A">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 xml:space="preserve">Todas las autoridades, en el ámbito de sus competencias, tienen la obligación de promover, respetar, proteger y garantizar los derechos humanos de conformidad con los principios de universalidad, </w:t>
      </w:r>
      <w:r w:rsidRPr="00AC3C6A">
        <w:rPr>
          <w:rFonts w:ascii="Palatino Linotype" w:eastAsia="Palatino Linotype" w:hAnsi="Palatino Linotype" w:cs="Palatino Linotype"/>
          <w:i/>
          <w:color w:val="000000" w:themeColor="text1"/>
        </w:rPr>
        <w:lastRenderedPageBreak/>
        <w:t>interdependencia, indivisibilidad y progresividad. En consecuencia, el Estado deberá prevenir, investigar, sancionar y reparar las violaciones a los derechos humanos, en los términos que establezca la ley."(Sic)</w:t>
      </w:r>
    </w:p>
    <w:p w:rsidR="00D072D5" w:rsidRPr="00AC3C6A" w:rsidRDefault="00D072D5" w:rsidP="00AC3C6A">
      <w:pPr>
        <w:jc w:val="both"/>
        <w:rPr>
          <w:rFonts w:ascii="Palatino Linotype" w:eastAsia="Palatino Linotype" w:hAnsi="Palatino Linotype" w:cs="Palatino Linotype"/>
          <w:i/>
          <w:color w:val="000000" w:themeColor="text1"/>
        </w:rPr>
      </w:pPr>
    </w:p>
    <w:p w:rsidR="00D072D5" w:rsidRPr="00AC3C6A" w:rsidRDefault="00B17D64" w:rsidP="00AC3C6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AC3C6A">
        <w:rPr>
          <w:rFonts w:ascii="Palatino Linotype" w:eastAsia="Palatino Linotype" w:hAnsi="Palatino Linotype" w:cs="Palatino Linotype"/>
          <w:i/>
          <w:color w:val="000000" w:themeColor="text1"/>
        </w:rPr>
        <w:t>derecho fundamental exime a quien lo ejerce</w:t>
      </w:r>
      <w:r w:rsidRPr="00AC3C6A">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 xml:space="preserve">En consecuencia, dado lo expuesto y fundado con anterioridad, se estima que el requisito relativo al nombre del </w:t>
      </w:r>
      <w:r w:rsidRPr="00AC3C6A">
        <w:rPr>
          <w:rFonts w:ascii="Palatino Linotype" w:eastAsia="Palatino Linotype" w:hAnsi="Palatino Linotype" w:cs="Palatino Linotype"/>
          <w:b/>
          <w:color w:val="000000" w:themeColor="text1"/>
        </w:rPr>
        <w:t>RECURRENTE</w:t>
      </w:r>
      <w:r w:rsidRPr="00AC3C6A">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D072D5" w:rsidRPr="00AC3C6A" w:rsidRDefault="00D072D5" w:rsidP="00AC3C6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lastRenderedPageBreak/>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D072D5" w:rsidRPr="00AC3C6A" w:rsidRDefault="00D072D5" w:rsidP="00AC3C6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keepNext/>
        <w:keepLines/>
        <w:spacing w:line="360" w:lineRule="auto"/>
        <w:rPr>
          <w:rFonts w:ascii="Palatino Linotype" w:eastAsia="Palatino Linotype" w:hAnsi="Palatino Linotype" w:cs="Palatino Linotype"/>
          <w:b/>
          <w:color w:val="000000" w:themeColor="text1"/>
        </w:rPr>
      </w:pPr>
      <w:r w:rsidRPr="00AC3C6A">
        <w:rPr>
          <w:rFonts w:ascii="Palatino Linotype" w:eastAsia="Palatino Linotype" w:hAnsi="Palatino Linotype" w:cs="Palatino Linotype"/>
          <w:b/>
          <w:color w:val="000000" w:themeColor="text1"/>
        </w:rPr>
        <w:t>TERCERO. De las causales de sobreseimiento.</w:t>
      </w: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El artículo 192 de la Ley Transparencia y Acceso a la Información Pública del Estado de México y Municipios, señala las causales por las cuales se puede sobreseer en todo o en parte el Recurso de Revisión; por lo que hace a la hipótesis prevista en la fracción III, señala que una vez admitido el Recurso de Revisión, el sujeto obligado responsable del acto lo modifique o revoque de tal manera que el recurso de revisión quede sin materia, resulta necesario traer a colación el artículo 191, fracción III, de dicho ordenamiento jurídico, que establece que el Recurso de Revisión será desechado por improcedente, cuando dicho medio no actualice alguno de los supuestos previstos en el diverso 179 de la presente Ley. En ese orden de ideas, dicho artículo prevé lo siguiente:</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b/>
          <w:i/>
          <w:color w:val="000000" w:themeColor="text1"/>
        </w:rPr>
        <w:t xml:space="preserve">“Artículo 179. </w:t>
      </w:r>
      <w:r w:rsidRPr="00AC3C6A">
        <w:rPr>
          <w:rFonts w:ascii="Palatino Linotype" w:eastAsia="Palatino Linotype" w:hAnsi="Palatino Linotype" w:cs="Palatino Linotype"/>
          <w:i/>
          <w:color w:val="000000" w:themeColor="text1"/>
        </w:rPr>
        <w:t xml:space="preserve">El recurso de revisión es un medio de protección que la Ley otorga a los particulares, para hacer valer su derecho de acceso a la información pública, y procederá en contra de las siguientes causas: </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 xml:space="preserve">I. La negativa a la información solicitada; </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 xml:space="preserve">II. La clasificación de la información; </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 xml:space="preserve">III. La declaración de inexistencia de la información; </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 xml:space="preserve">IV. La declaración de incompetencia por el sujeto obligado; </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 xml:space="preserve">V. La entrega de información incompleta; </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 xml:space="preserve">VI. La entrega de información que no corresponda con lo solicitado; </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 xml:space="preserve">VII. La falta de respuesta a una solicitud de acceso a la información; </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 xml:space="preserve">VIII. La notificación, entrega o puesta a disposición de información en una modalidad o formato distinto al solicitado; </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 xml:space="preserve">IX. La entrega o puesta a disposición de información en un formato incomprensible y/o no accesible para el solicitante; </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lastRenderedPageBreak/>
        <w:t xml:space="preserve">X. Los costos o tiempos de entrega de la información; </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 xml:space="preserve">XI. La falta de trámite a una solicitud; </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 xml:space="preserve">XII. La negativa a permitir la consulta directa de la información; </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 xml:space="preserve">XIII. La falta, deficiencia o insuficiencia de la fundamentación y/o motivación en la respuesta; y </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XIV. La orientación a un trámite específico.</w:t>
      </w:r>
    </w:p>
    <w:p w:rsidR="00D072D5" w:rsidRPr="00AC3C6A" w:rsidRDefault="00B17D64" w:rsidP="00AC3C6A">
      <w:pP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w:t>
      </w:r>
    </w:p>
    <w:p w:rsidR="00D072D5" w:rsidRPr="00AC3C6A" w:rsidRDefault="00D072D5" w:rsidP="00AC3C6A">
      <w:pPr>
        <w:jc w:val="both"/>
        <w:rPr>
          <w:rFonts w:ascii="Palatino Linotype" w:eastAsia="Palatino Linotype" w:hAnsi="Palatino Linotype" w:cs="Palatino Linotype"/>
          <w:i/>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Ahora bien,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rsidR="00D072D5" w:rsidRPr="00AC3C6A" w:rsidRDefault="00D072D5" w:rsidP="00AC3C6A">
      <w:pPr>
        <w:tabs>
          <w:tab w:val="left" w:pos="4962"/>
        </w:tabs>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Además, conforme al Diccionario de Transparencia y Acceso a la Información Pública y la página oficial de este Instituto (</w:t>
      </w:r>
      <w:hyperlink r:id="rId8" w:anchor="queEsRRdeIP">
        <w:r w:rsidRPr="00AC3C6A">
          <w:rPr>
            <w:rFonts w:ascii="Palatino Linotype" w:eastAsia="Palatino Linotype" w:hAnsi="Palatino Linotype" w:cs="Palatino Linotype"/>
            <w:color w:val="000000" w:themeColor="text1"/>
          </w:rPr>
          <w:t>https://www.infoem.org.mx/es/content/informacion-publica#queEsRRdeIP</w:t>
        </w:r>
      </w:hyperlink>
      <w:r w:rsidRPr="00AC3C6A">
        <w:rPr>
          <w:rFonts w:ascii="Palatino Linotype" w:eastAsia="Palatino Linotype" w:hAnsi="Palatino Linotype" w:cs="Palatino Linotype"/>
          <w:color w:val="000000" w:themeColor="text1"/>
        </w:rPr>
        <w:t>), el Recurso de Revisión constituye un medio reconocido en la Ley de Transparencia y Acceso a la Información Pública del Estado de México y Municipios, a través del cual los Solicitantes pueden manifestar su inconformidad ante la respuesta otorgada por el Sujeto Obligado a una solicitud de información pública.</w:t>
      </w: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AC3C6A">
        <w:rPr>
          <w:rFonts w:ascii="Palatino Linotype" w:eastAsia="Palatino Linotype" w:hAnsi="Palatino Linotype" w:cs="Palatino Linotype"/>
          <w:color w:val="000000" w:themeColor="text1"/>
        </w:rPr>
        <w:t xml:space="preserve">Así, se logra vislumbrar que el Recurso de Revisión es una garantía secundaría al Derecho de Acceso a la Información Pública, por lo que, es procedente cuando los Particulares se inconforman con la falta de respuesta o trámite, o bien, de alguna circunstancia </w:t>
      </w:r>
      <w:r w:rsidRPr="00AC3C6A">
        <w:rPr>
          <w:rFonts w:ascii="Palatino Linotype" w:eastAsia="Palatino Linotype" w:hAnsi="Palatino Linotype" w:cs="Palatino Linotype"/>
          <w:b/>
          <w:i/>
          <w:color w:val="000000" w:themeColor="text1"/>
          <w:u w:val="single"/>
        </w:rPr>
        <w:t>de la contestación realizada por los Sujetos Obligados a una solicitud de información específica.</w:t>
      </w: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lastRenderedPageBreak/>
        <w:t>De manera preliminar en el caso concreto conviene analizar si se actualiza alguna de las causales de sobreseimiento del recurso de revisión.</w:t>
      </w:r>
    </w:p>
    <w:p w:rsidR="00D072D5" w:rsidRPr="00AC3C6A" w:rsidRDefault="00D072D5" w:rsidP="00AC3C6A">
      <w:pPr>
        <w:pBdr>
          <w:top w:val="nil"/>
          <w:left w:val="nil"/>
          <w:bottom w:val="nil"/>
          <w:right w:val="nil"/>
          <w:between w:val="nil"/>
        </w:pBdr>
        <w:rPr>
          <w:rFonts w:ascii="Palatino Linotype" w:eastAsia="Palatino Linotype" w:hAnsi="Palatino Linotype" w:cs="Palatino Linotype"/>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 xml:space="preserve">En esa línea, se debe de analizar la información solicitada y las respuestas proporcionadas por el </w:t>
      </w:r>
      <w:r w:rsidRPr="00AC3C6A">
        <w:rPr>
          <w:rFonts w:ascii="Palatino Linotype" w:eastAsia="Palatino Linotype" w:hAnsi="Palatino Linotype" w:cs="Palatino Linotype"/>
          <w:b/>
          <w:color w:val="000000" w:themeColor="text1"/>
        </w:rPr>
        <w:t xml:space="preserve">SUJETO OBLIGADO </w:t>
      </w:r>
      <w:r w:rsidRPr="00AC3C6A">
        <w:rPr>
          <w:rFonts w:ascii="Palatino Linotype" w:eastAsia="Palatino Linotype" w:hAnsi="Palatino Linotype" w:cs="Palatino Linotype"/>
          <w:color w:val="000000" w:themeColor="text1"/>
        </w:rPr>
        <w:t xml:space="preserve">mediante el siguiente cuadro. </w:t>
      </w:r>
    </w:p>
    <w:p w:rsidR="00D072D5" w:rsidRPr="00AC3C6A" w:rsidRDefault="00B17D64" w:rsidP="00AC3C6A">
      <w:pPr>
        <w:spacing w:line="360" w:lineRule="auto"/>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 xml:space="preserve"> </w:t>
      </w:r>
    </w:p>
    <w:tbl>
      <w:tblPr>
        <w:tblStyle w:val="a"/>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117"/>
        <w:gridCol w:w="2419"/>
        <w:gridCol w:w="2268"/>
      </w:tblGrid>
      <w:tr w:rsidR="00AC3C6A" w:rsidRPr="00AC3C6A" w:rsidTr="00AB7156">
        <w:trPr>
          <w:jc w:val="center"/>
        </w:trPr>
        <w:tc>
          <w:tcPr>
            <w:tcW w:w="2263" w:type="dxa"/>
          </w:tcPr>
          <w:p w:rsidR="00D072D5" w:rsidRPr="00AC3C6A" w:rsidRDefault="00B17D64" w:rsidP="00AB7156">
            <w:pPr>
              <w:pBdr>
                <w:top w:val="nil"/>
                <w:left w:val="nil"/>
                <w:bottom w:val="nil"/>
                <w:right w:val="nil"/>
                <w:between w:val="nil"/>
              </w:pBdr>
              <w:jc w:val="center"/>
              <w:rPr>
                <w:rFonts w:ascii="Palatino Linotype" w:eastAsia="Palatino Linotype" w:hAnsi="Palatino Linotype" w:cs="Palatino Linotype"/>
                <w:b/>
                <w:i/>
                <w:color w:val="000000" w:themeColor="text1"/>
              </w:rPr>
            </w:pPr>
            <w:r w:rsidRPr="00AC3C6A">
              <w:rPr>
                <w:rFonts w:ascii="Palatino Linotype" w:eastAsia="Palatino Linotype" w:hAnsi="Palatino Linotype" w:cs="Palatino Linotype"/>
                <w:b/>
                <w:i/>
                <w:color w:val="000000" w:themeColor="text1"/>
              </w:rPr>
              <w:t>Información Solicitada</w:t>
            </w:r>
          </w:p>
        </w:tc>
        <w:tc>
          <w:tcPr>
            <w:tcW w:w="2117" w:type="dxa"/>
          </w:tcPr>
          <w:p w:rsidR="00D072D5" w:rsidRPr="00AC3C6A" w:rsidRDefault="00B17D64" w:rsidP="00AB7156">
            <w:pPr>
              <w:pBdr>
                <w:top w:val="nil"/>
                <w:left w:val="nil"/>
                <w:bottom w:val="nil"/>
                <w:right w:val="nil"/>
                <w:between w:val="nil"/>
              </w:pBdr>
              <w:jc w:val="center"/>
              <w:rPr>
                <w:rFonts w:ascii="Palatino Linotype" w:eastAsia="Palatino Linotype" w:hAnsi="Palatino Linotype" w:cs="Palatino Linotype"/>
                <w:b/>
                <w:i/>
                <w:color w:val="000000" w:themeColor="text1"/>
              </w:rPr>
            </w:pPr>
            <w:r w:rsidRPr="00AC3C6A">
              <w:rPr>
                <w:rFonts w:ascii="Palatino Linotype" w:eastAsia="Palatino Linotype" w:hAnsi="Palatino Linotype" w:cs="Palatino Linotype"/>
                <w:b/>
                <w:i/>
                <w:color w:val="000000" w:themeColor="text1"/>
              </w:rPr>
              <w:t>Respuesta Inicial</w:t>
            </w:r>
          </w:p>
        </w:tc>
        <w:tc>
          <w:tcPr>
            <w:tcW w:w="2419" w:type="dxa"/>
          </w:tcPr>
          <w:p w:rsidR="00D072D5" w:rsidRPr="00AC3C6A" w:rsidRDefault="00B17D64" w:rsidP="00AB7156">
            <w:pPr>
              <w:pBdr>
                <w:top w:val="nil"/>
                <w:left w:val="nil"/>
                <w:bottom w:val="nil"/>
                <w:right w:val="nil"/>
                <w:between w:val="nil"/>
              </w:pBdr>
              <w:jc w:val="center"/>
              <w:rPr>
                <w:rFonts w:ascii="Palatino Linotype" w:eastAsia="Palatino Linotype" w:hAnsi="Palatino Linotype" w:cs="Palatino Linotype"/>
                <w:b/>
                <w:i/>
                <w:color w:val="000000" w:themeColor="text1"/>
              </w:rPr>
            </w:pPr>
            <w:r w:rsidRPr="00AC3C6A">
              <w:rPr>
                <w:rFonts w:ascii="Palatino Linotype" w:eastAsia="Palatino Linotype" w:hAnsi="Palatino Linotype" w:cs="Palatino Linotype"/>
                <w:b/>
                <w:i/>
                <w:color w:val="000000" w:themeColor="text1"/>
              </w:rPr>
              <w:t>Manifestaciones</w:t>
            </w:r>
          </w:p>
        </w:tc>
        <w:tc>
          <w:tcPr>
            <w:tcW w:w="2268" w:type="dxa"/>
          </w:tcPr>
          <w:p w:rsidR="00D072D5" w:rsidRPr="00AC3C6A" w:rsidRDefault="00B17D64" w:rsidP="00AB7156">
            <w:pPr>
              <w:pBdr>
                <w:top w:val="nil"/>
                <w:left w:val="nil"/>
                <w:bottom w:val="nil"/>
                <w:right w:val="nil"/>
                <w:between w:val="nil"/>
              </w:pBdr>
              <w:jc w:val="center"/>
              <w:rPr>
                <w:rFonts w:ascii="Palatino Linotype" w:eastAsia="Palatino Linotype" w:hAnsi="Palatino Linotype" w:cs="Palatino Linotype"/>
                <w:b/>
                <w:i/>
                <w:color w:val="000000" w:themeColor="text1"/>
              </w:rPr>
            </w:pPr>
            <w:r w:rsidRPr="00AC3C6A">
              <w:rPr>
                <w:rFonts w:ascii="Palatino Linotype" w:eastAsia="Palatino Linotype" w:hAnsi="Palatino Linotype" w:cs="Palatino Linotype"/>
                <w:b/>
                <w:i/>
                <w:color w:val="000000" w:themeColor="text1"/>
              </w:rPr>
              <w:t>Colma</w:t>
            </w:r>
          </w:p>
        </w:tc>
      </w:tr>
      <w:tr w:rsidR="00AC3C6A" w:rsidRPr="00AC3C6A" w:rsidTr="00AB7156">
        <w:trPr>
          <w:jc w:val="center"/>
        </w:trPr>
        <w:tc>
          <w:tcPr>
            <w:tcW w:w="2263" w:type="dxa"/>
          </w:tcPr>
          <w:p w:rsidR="00D072D5" w:rsidRPr="00AC3C6A" w:rsidRDefault="00B17D64" w:rsidP="00AC3C6A">
            <w:pPr>
              <w:numPr>
                <w:ilvl w:val="0"/>
                <w:numId w:val="4"/>
              </w:numPr>
              <w:pBdr>
                <w:top w:val="nil"/>
                <w:left w:val="nil"/>
                <w:bottom w:val="nil"/>
                <w:right w:val="nil"/>
                <w:between w:val="nil"/>
              </w:pBdr>
              <w:ind w:left="0" w:firstLine="0"/>
              <w:jc w:val="both"/>
              <w:rPr>
                <w:rFonts w:ascii="Palatino Linotype" w:eastAsia="Palatino Linotype" w:hAnsi="Palatino Linotype" w:cs="Palatino Linotype"/>
                <w:b/>
                <w:i/>
                <w:color w:val="000000" w:themeColor="text1"/>
              </w:rPr>
            </w:pPr>
            <w:r w:rsidRPr="00AC3C6A">
              <w:rPr>
                <w:rFonts w:ascii="Palatino Linotype" w:eastAsia="Palatino Linotype" w:hAnsi="Palatino Linotype" w:cs="Palatino Linotype"/>
                <w:b/>
                <w:i/>
                <w:color w:val="000000" w:themeColor="text1"/>
              </w:rPr>
              <w:t>Facturas, tickets, notas de las compras de materiales de limpieza, papelería e  imprenta del enero 01 al 30 de marzo de 2025</w:t>
            </w:r>
          </w:p>
          <w:p w:rsidR="00D072D5" w:rsidRPr="00AC3C6A" w:rsidRDefault="00D072D5" w:rsidP="00AC3C6A">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117" w:type="dxa"/>
          </w:tcPr>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No hay pronunciamiento</w:t>
            </w:r>
          </w:p>
        </w:tc>
        <w:tc>
          <w:tcPr>
            <w:tcW w:w="2419" w:type="dxa"/>
          </w:tcPr>
          <w:p w:rsidR="00D072D5" w:rsidRPr="00AC3C6A" w:rsidRDefault="00B17D64" w:rsidP="00AC3C6A">
            <w:pPr>
              <w:pBdr>
                <w:left w:val="nil"/>
                <w:bottom w:val="nil"/>
                <w:right w:val="nil"/>
                <w:between w:val="nil"/>
              </w:pBd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b/>
                <w:i/>
                <w:color w:val="000000" w:themeColor="text1"/>
              </w:rPr>
              <w:t>05588_RR_IFJ_2025.pdf</w:t>
            </w:r>
            <w:r w:rsidRPr="00AC3C6A">
              <w:rPr>
                <w:rFonts w:ascii="Palatino Linotype" w:eastAsia="Palatino Linotype" w:hAnsi="Palatino Linotype" w:cs="Palatino Linotype"/>
                <w:i/>
                <w:color w:val="000000" w:themeColor="text1"/>
              </w:rPr>
              <w:t xml:space="preserve">: documento mediante el cual se informa que se anexan las facturas del periodo solicitado de los conceptos referidos en la solicitud de información, en el documento se informa que el Catalogo de proveedores es con el que se cuenta y el que esta registrado en la página del IPOMEX del Ayuntamiento.  </w:t>
            </w:r>
          </w:p>
          <w:p w:rsidR="00D072D5" w:rsidRPr="00AC3C6A" w:rsidRDefault="00D072D5" w:rsidP="00AC3C6A">
            <w:pPr>
              <w:pBdr>
                <w:left w:val="nil"/>
                <w:bottom w:val="nil"/>
                <w:right w:val="nil"/>
                <w:between w:val="nil"/>
              </w:pBdr>
              <w:jc w:val="both"/>
              <w:rPr>
                <w:rFonts w:ascii="Palatino Linotype" w:eastAsia="Palatino Linotype" w:hAnsi="Palatino Linotype" w:cs="Palatino Linotype"/>
                <w:i/>
                <w:color w:val="000000" w:themeColor="text1"/>
              </w:rPr>
            </w:pPr>
          </w:p>
          <w:p w:rsidR="00D072D5" w:rsidRPr="00AC3C6A" w:rsidRDefault="00D072D5" w:rsidP="00AC3C6A">
            <w:pPr>
              <w:pBdr>
                <w:left w:val="nil"/>
                <w:bottom w:val="nil"/>
                <w:right w:val="nil"/>
                <w:between w:val="nil"/>
              </w:pBdr>
              <w:jc w:val="both"/>
              <w:rPr>
                <w:rFonts w:ascii="Palatino Linotype" w:eastAsia="Palatino Linotype" w:hAnsi="Palatino Linotype" w:cs="Palatino Linotype"/>
                <w:i/>
                <w:color w:val="000000" w:themeColor="text1"/>
              </w:rPr>
            </w:pPr>
          </w:p>
        </w:tc>
        <w:tc>
          <w:tcPr>
            <w:tcW w:w="2268" w:type="dxa"/>
          </w:tcPr>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b/>
                <w:i/>
                <w:color w:val="000000" w:themeColor="text1"/>
              </w:rPr>
            </w:pPr>
            <w:r w:rsidRPr="00AC3C6A">
              <w:rPr>
                <w:rFonts w:ascii="Palatino Linotype" w:eastAsia="Palatino Linotype" w:hAnsi="Palatino Linotype" w:cs="Palatino Linotype"/>
                <w:b/>
                <w:i/>
                <w:color w:val="000000" w:themeColor="text1"/>
              </w:rPr>
              <w:t xml:space="preserve">Colma </w:t>
            </w:r>
          </w:p>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En la etapa de manifestaciones fueron entregadas las facturas de las comprar realizadas por el Ayuntamiento de Atlacomulco con los conceptos de materiales de limpieza, papelería e imprenta.</w:t>
            </w:r>
          </w:p>
          <w:p w:rsidR="00D072D5" w:rsidRPr="00AC3C6A" w:rsidRDefault="00D072D5" w:rsidP="00AC3C6A">
            <w:pPr>
              <w:pBdr>
                <w:top w:val="nil"/>
                <w:left w:val="nil"/>
                <w:bottom w:val="nil"/>
                <w:right w:val="nil"/>
                <w:between w:val="nil"/>
              </w:pBdr>
              <w:jc w:val="both"/>
              <w:rPr>
                <w:rFonts w:ascii="Palatino Linotype" w:eastAsia="Palatino Linotype" w:hAnsi="Palatino Linotype" w:cs="Palatino Linotype"/>
                <w:i/>
                <w:color w:val="000000" w:themeColor="text1"/>
              </w:rPr>
            </w:pPr>
          </w:p>
        </w:tc>
      </w:tr>
      <w:tr w:rsidR="00AC3C6A" w:rsidRPr="00AC3C6A" w:rsidTr="00AB7156">
        <w:trPr>
          <w:jc w:val="center"/>
        </w:trPr>
        <w:tc>
          <w:tcPr>
            <w:tcW w:w="2263" w:type="dxa"/>
          </w:tcPr>
          <w:p w:rsidR="00D072D5" w:rsidRPr="00AC3C6A" w:rsidRDefault="00B17D64" w:rsidP="00AC3C6A">
            <w:pPr>
              <w:numPr>
                <w:ilvl w:val="0"/>
                <w:numId w:val="4"/>
              </w:numPr>
              <w:pBdr>
                <w:top w:val="nil"/>
                <w:left w:val="nil"/>
                <w:bottom w:val="nil"/>
                <w:right w:val="nil"/>
                <w:between w:val="nil"/>
              </w:pBdr>
              <w:ind w:left="0" w:firstLine="0"/>
              <w:jc w:val="both"/>
              <w:rPr>
                <w:rFonts w:ascii="Palatino Linotype" w:eastAsia="Palatino Linotype" w:hAnsi="Palatino Linotype" w:cs="Palatino Linotype"/>
                <w:b/>
                <w:i/>
                <w:color w:val="000000" w:themeColor="text1"/>
              </w:rPr>
            </w:pPr>
            <w:r w:rsidRPr="00AC3C6A">
              <w:rPr>
                <w:rFonts w:ascii="Palatino Linotype" w:eastAsia="Palatino Linotype" w:hAnsi="Palatino Linotype" w:cs="Palatino Linotype"/>
                <w:b/>
                <w:i/>
                <w:color w:val="000000" w:themeColor="text1"/>
              </w:rPr>
              <w:t>Catálogo de proveedores del periodo indicado</w:t>
            </w:r>
          </w:p>
          <w:p w:rsidR="00D072D5" w:rsidRPr="00AC3C6A" w:rsidRDefault="00D072D5" w:rsidP="00AC3C6A">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117" w:type="dxa"/>
          </w:tcPr>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b/>
                <w:i/>
                <w:color w:val="000000" w:themeColor="text1"/>
              </w:rPr>
              <w:t xml:space="preserve">264_SOL_RESP_ADMON_2024.pdf: </w:t>
            </w:r>
            <w:r w:rsidRPr="00AC3C6A">
              <w:rPr>
                <w:rFonts w:ascii="Palatino Linotype" w:eastAsia="Palatino Linotype" w:hAnsi="Palatino Linotype" w:cs="Palatino Linotype"/>
                <w:i/>
                <w:color w:val="000000" w:themeColor="text1"/>
              </w:rPr>
              <w:t xml:space="preserve">oficio de la  Directora de Administración, mediante el cual informa que anexa el catálogo de </w:t>
            </w:r>
            <w:r w:rsidRPr="00AC3C6A">
              <w:rPr>
                <w:rFonts w:ascii="Palatino Linotype" w:eastAsia="Palatino Linotype" w:hAnsi="Palatino Linotype" w:cs="Palatino Linotype"/>
                <w:i/>
                <w:color w:val="000000" w:themeColor="text1"/>
              </w:rPr>
              <w:lastRenderedPageBreak/>
              <w:t xml:space="preserve">proveedores y el Acta de Instalación del Comité de Adquisiciones. </w:t>
            </w:r>
          </w:p>
          <w:p w:rsidR="00D072D5" w:rsidRPr="00AC3C6A" w:rsidRDefault="00D072D5" w:rsidP="00AC3C6A">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419" w:type="dxa"/>
          </w:tcPr>
          <w:p w:rsidR="00D072D5" w:rsidRPr="00AC3C6A" w:rsidRDefault="00B17D64" w:rsidP="00AC3C6A">
            <w:pPr>
              <w:pBdr>
                <w:left w:val="nil"/>
                <w:bottom w:val="nil"/>
                <w:right w:val="nil"/>
                <w:between w:val="nil"/>
              </w:pBd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lastRenderedPageBreak/>
              <w:t>Ratifica respuesta inicial</w:t>
            </w:r>
          </w:p>
        </w:tc>
        <w:tc>
          <w:tcPr>
            <w:tcW w:w="2268" w:type="dxa"/>
          </w:tcPr>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b/>
                <w:i/>
                <w:color w:val="000000" w:themeColor="text1"/>
              </w:rPr>
            </w:pPr>
            <w:r w:rsidRPr="00AC3C6A">
              <w:rPr>
                <w:rFonts w:ascii="Palatino Linotype" w:eastAsia="Palatino Linotype" w:hAnsi="Palatino Linotype" w:cs="Palatino Linotype"/>
                <w:b/>
                <w:i/>
                <w:color w:val="000000" w:themeColor="text1"/>
              </w:rPr>
              <w:t xml:space="preserve">Colma </w:t>
            </w:r>
          </w:p>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 xml:space="preserve">Toda vez que si bien el </w:t>
            </w:r>
            <w:r w:rsidRPr="00AC3C6A">
              <w:rPr>
                <w:rFonts w:ascii="Palatino Linotype" w:eastAsia="Palatino Linotype" w:hAnsi="Palatino Linotype" w:cs="Palatino Linotype"/>
                <w:b/>
                <w:i/>
                <w:color w:val="000000" w:themeColor="text1"/>
              </w:rPr>
              <w:t xml:space="preserve">RECURRENTE </w:t>
            </w:r>
            <w:r w:rsidRPr="00AC3C6A">
              <w:rPr>
                <w:rFonts w:ascii="Palatino Linotype" w:eastAsia="Palatino Linotype" w:hAnsi="Palatino Linotype" w:cs="Palatino Linotype"/>
                <w:i/>
                <w:color w:val="000000" w:themeColor="text1"/>
              </w:rPr>
              <w:t xml:space="preserve">se inconforma porque está incompleto el catálogo de proveedores, también lo es que la entrega de </w:t>
            </w:r>
            <w:r w:rsidRPr="00AC3C6A">
              <w:rPr>
                <w:rFonts w:ascii="Palatino Linotype" w:eastAsia="Palatino Linotype" w:hAnsi="Palatino Linotype" w:cs="Palatino Linotype"/>
                <w:i/>
                <w:color w:val="000000" w:themeColor="text1"/>
              </w:rPr>
              <w:lastRenderedPageBreak/>
              <w:t xml:space="preserve">información debe de ser al veintisiete de marzo de dos mil veinticinco, situación por la cual no se puede entregar información de los días faltantes del mes de marzo, por lo que, se colige que es la información con la que contaba el </w:t>
            </w:r>
            <w:r w:rsidRPr="00AC3C6A">
              <w:rPr>
                <w:rFonts w:ascii="Palatino Linotype" w:eastAsia="Palatino Linotype" w:hAnsi="Palatino Linotype" w:cs="Palatino Linotype"/>
                <w:b/>
                <w:i/>
                <w:color w:val="000000" w:themeColor="text1"/>
              </w:rPr>
              <w:t xml:space="preserve">SUJETO OBLIGADO </w:t>
            </w:r>
            <w:r w:rsidRPr="00AC3C6A">
              <w:rPr>
                <w:rFonts w:ascii="Palatino Linotype" w:eastAsia="Palatino Linotype" w:hAnsi="Palatino Linotype" w:cs="Palatino Linotype"/>
                <w:i/>
                <w:color w:val="000000" w:themeColor="text1"/>
              </w:rPr>
              <w:t xml:space="preserve">a la fecha de la solicitud. </w:t>
            </w:r>
          </w:p>
        </w:tc>
      </w:tr>
      <w:tr w:rsidR="00AC3C6A" w:rsidRPr="00AC3C6A" w:rsidTr="00AB7156">
        <w:trPr>
          <w:jc w:val="center"/>
        </w:trPr>
        <w:tc>
          <w:tcPr>
            <w:tcW w:w="2263" w:type="dxa"/>
          </w:tcPr>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b/>
                <w:i/>
                <w:color w:val="000000" w:themeColor="text1"/>
              </w:rPr>
            </w:pPr>
            <w:r w:rsidRPr="00AC3C6A">
              <w:rPr>
                <w:rFonts w:ascii="Palatino Linotype" w:eastAsia="Palatino Linotype" w:hAnsi="Palatino Linotype" w:cs="Palatino Linotype"/>
                <w:b/>
                <w:i/>
                <w:color w:val="000000" w:themeColor="text1"/>
              </w:rPr>
              <w:lastRenderedPageBreak/>
              <w:t>c)</w:t>
            </w:r>
            <w:r w:rsidRPr="00AC3C6A">
              <w:rPr>
                <w:rFonts w:ascii="Palatino Linotype" w:eastAsia="Palatino Linotype" w:hAnsi="Palatino Linotype" w:cs="Palatino Linotype"/>
                <w:b/>
                <w:i/>
                <w:color w:val="000000" w:themeColor="text1"/>
              </w:rPr>
              <w:tab/>
              <w:t>Acta del consejo o comité de licitaciones según sea el caso.</w:t>
            </w:r>
          </w:p>
        </w:tc>
        <w:tc>
          <w:tcPr>
            <w:tcW w:w="2117" w:type="dxa"/>
          </w:tcPr>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b/>
                <w:i/>
                <w:color w:val="000000" w:themeColor="text1"/>
              </w:rPr>
              <w:t xml:space="preserve">264_SOL_RESP_ADMON_2024.pdf: </w:t>
            </w:r>
            <w:r w:rsidRPr="00AC3C6A">
              <w:rPr>
                <w:rFonts w:ascii="Palatino Linotype" w:eastAsia="Palatino Linotype" w:hAnsi="Palatino Linotype" w:cs="Palatino Linotype"/>
                <w:i/>
                <w:color w:val="000000" w:themeColor="text1"/>
              </w:rPr>
              <w:t xml:space="preserve">oficio de la  Directora de Administración, mediante el cual informa que anexa el catálogo de proveedores y el Acta de Instalación del Comité de Adquisiciones. </w:t>
            </w:r>
          </w:p>
          <w:p w:rsidR="00D072D5" w:rsidRPr="00AC3C6A" w:rsidRDefault="00D072D5" w:rsidP="00AC3C6A">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419" w:type="dxa"/>
          </w:tcPr>
          <w:p w:rsidR="00D072D5" w:rsidRPr="00AC3C6A" w:rsidRDefault="00B17D64" w:rsidP="00AC3C6A">
            <w:pPr>
              <w:pBdr>
                <w:left w:val="nil"/>
                <w:bottom w:val="nil"/>
                <w:right w:val="nil"/>
                <w:between w:val="nil"/>
              </w:pBd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 xml:space="preserve">Se ratifica </w:t>
            </w:r>
          </w:p>
        </w:tc>
        <w:tc>
          <w:tcPr>
            <w:tcW w:w="2268" w:type="dxa"/>
          </w:tcPr>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Se tiene como actos consentidos</w:t>
            </w:r>
          </w:p>
        </w:tc>
      </w:tr>
    </w:tbl>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 xml:space="preserve">Acotada la </w:t>
      </w:r>
      <w:r w:rsidRPr="00AC3C6A">
        <w:rPr>
          <w:rFonts w:ascii="Palatino Linotype" w:eastAsia="Palatino Linotype" w:hAnsi="Palatino Linotype" w:cs="Palatino Linotype"/>
          <w:i/>
          <w:color w:val="000000" w:themeColor="text1"/>
        </w:rPr>
        <w:t>Litis</w:t>
      </w:r>
      <w:r w:rsidRPr="00AC3C6A">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 los rubros de “</w:t>
      </w:r>
      <w:r w:rsidRPr="00AC3C6A">
        <w:rPr>
          <w:rFonts w:ascii="Palatino Linotype" w:eastAsia="Palatino Linotype" w:hAnsi="Palatino Linotype" w:cs="Palatino Linotype"/>
          <w:b/>
          <w:i/>
          <w:color w:val="000000" w:themeColor="text1"/>
        </w:rPr>
        <w:t>de las facturas y del catálogo de proveedores”</w:t>
      </w:r>
      <w:r w:rsidRPr="00AC3C6A">
        <w:rPr>
          <w:rFonts w:ascii="Palatino Linotype" w:eastAsia="Palatino Linotype" w:hAnsi="Palatino Linotype" w:cs="Palatino Linotype"/>
          <w:color w:val="000000" w:themeColor="text1"/>
        </w:rPr>
        <w:t xml:space="preserve">, por lo que lo referente al </w:t>
      </w:r>
      <w:r w:rsidRPr="00AC3C6A">
        <w:rPr>
          <w:rFonts w:ascii="Palatino Linotype" w:eastAsia="Palatino Linotype" w:hAnsi="Palatino Linotype" w:cs="Palatino Linotype"/>
          <w:b/>
          <w:i/>
          <w:color w:val="000000" w:themeColor="text1"/>
        </w:rPr>
        <w:t>Acta del consejo o comité de licitaciones según sea el caso,</w:t>
      </w:r>
      <w:r w:rsidRPr="00AC3C6A">
        <w:rPr>
          <w:rFonts w:ascii="Palatino Linotype" w:eastAsia="Palatino Linotype" w:hAnsi="Palatino Linotype" w:cs="Palatino Linotype"/>
          <w:color w:val="000000" w:themeColor="text1"/>
        </w:rPr>
        <w:t xml:space="preserve"> se debe de tener como actos consentidos, lo anterior por no haber hecho pronunciamiento de impugnación a este punto de la solicitud.</w:t>
      </w: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lastRenderedPageBreak/>
        <w:t>Luego entonces, al no existir inconformidad del resto de información entregada, es que se tiene por consentida, ya</w:t>
      </w:r>
      <w:r w:rsidRPr="00AC3C6A">
        <w:rPr>
          <w:rFonts w:ascii="Palatino Linotype" w:eastAsia="Palatino Linotype" w:hAnsi="Palatino Linotype" w:cs="Palatino Linotype"/>
          <w:b/>
          <w:color w:val="000000" w:themeColor="text1"/>
        </w:rPr>
        <w:t xml:space="preserve"> </w:t>
      </w:r>
      <w:r w:rsidRPr="00AC3C6A">
        <w:rPr>
          <w:rFonts w:ascii="Palatino Linotype" w:eastAsia="Palatino Linotype" w:hAnsi="Palatino Linotype" w:cs="Palatino Linotype"/>
          <w:color w:val="000000" w:themeColor="text1"/>
        </w:rPr>
        <w:t xml:space="preserve">que la falta de impugnación respecto de los requerimientos que no fueron manifestados en el recurso de revisión, debe entenderse como </w:t>
      </w:r>
      <w:r w:rsidRPr="00AC3C6A">
        <w:rPr>
          <w:rFonts w:ascii="Palatino Linotype" w:eastAsia="Palatino Linotype" w:hAnsi="Palatino Linotype" w:cs="Palatino Linotype"/>
          <w:b/>
          <w:color w:val="000000" w:themeColor="text1"/>
        </w:rPr>
        <w:t>actos consentidos</w:t>
      </w:r>
      <w:r w:rsidRPr="00AC3C6A">
        <w:rPr>
          <w:rFonts w:ascii="Palatino Linotype" w:eastAsia="Palatino Linotype" w:hAnsi="Palatino Linotype" w:cs="Palatino Linotype"/>
          <w:color w:val="000000" w:themeColor="text1"/>
        </w:rPr>
        <w:t>.</w:t>
      </w:r>
    </w:p>
    <w:p w:rsidR="00D072D5" w:rsidRPr="00AC3C6A" w:rsidRDefault="00D072D5" w:rsidP="00AC3C6A">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b/>
          <w:i/>
          <w:color w:val="000000" w:themeColor="text1"/>
        </w:rPr>
        <w:t>“REVISIÓN EN AMPARO. LOS RESOLUTIVOS NO COMBATIDOS DEBEN DECLARARSE FIRMES. </w:t>
      </w:r>
      <w:r w:rsidRPr="00AC3C6A">
        <w:rPr>
          <w:rFonts w:ascii="Palatino Linotype" w:eastAsia="Palatino Linotype" w:hAnsi="Palatino Linotype" w:cs="Palatino Linotype"/>
          <w:i/>
          <w:color w:val="000000" w:themeColor="text1"/>
          <w:u w:val="single"/>
        </w:rPr>
        <w:t>Cuando algún resolutivo de la sentencia impugnada afecta a EL RECURRENTE, y ésta no expresa agravio en contra de las consideraciones que le sirven de base, dicho resolutivo debe declararse firme.</w:t>
      </w:r>
      <w:r w:rsidRPr="00AC3C6A">
        <w:rPr>
          <w:rFonts w:ascii="Palatino Linotype" w:eastAsia="Palatino Linotype" w:hAnsi="Palatino Linotype" w:cs="Palatino Linotype"/>
          <w:i/>
          <w:color w:val="000000" w:themeColor="text1"/>
        </w:rPr>
        <w:t> Esto es, en el caso referido, no obstante que la materia de la revisión comprende a todos los resolutivos que afectan a EL RECURRENTE, </w:t>
      </w:r>
      <w:r w:rsidRPr="00AC3C6A">
        <w:rPr>
          <w:rFonts w:ascii="Palatino Linotype" w:eastAsia="Palatino Linotype" w:hAnsi="Palatino Linotype" w:cs="Palatino Linotype"/>
          <w:i/>
          <w:color w:val="000000" w:themeColor="text1"/>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AC3C6A">
        <w:rPr>
          <w:rFonts w:ascii="Palatino Linotype" w:eastAsia="Palatino Linotype" w:hAnsi="Palatino Linotype" w:cs="Palatino Linotype"/>
          <w:i/>
          <w:color w:val="000000" w:themeColor="text1"/>
        </w:rPr>
        <w:t>.”</w:t>
      </w:r>
    </w:p>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(Énfasis añadido)</w:t>
      </w:r>
    </w:p>
    <w:p w:rsidR="00D072D5" w:rsidRPr="00AC3C6A" w:rsidRDefault="00D072D5" w:rsidP="00AC3C6A">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 xml:space="preserve">Consecutivamente, </w:t>
      </w:r>
      <w:r w:rsidRPr="00AC3C6A">
        <w:rPr>
          <w:rFonts w:ascii="Palatino Linotype" w:eastAsia="Palatino Linotype" w:hAnsi="Palatino Linotype" w:cs="Palatino Linotype"/>
          <w:b/>
          <w:color w:val="000000" w:themeColor="text1"/>
        </w:rPr>
        <w:t xml:space="preserve">la parte de la respuesta que no fue impugnada debe </w:t>
      </w:r>
      <w:r w:rsidRPr="00AC3C6A">
        <w:rPr>
          <w:rFonts w:ascii="Palatino Linotype" w:eastAsia="Palatino Linotype" w:hAnsi="Palatino Linotype" w:cs="Palatino Linotype"/>
          <w:color w:val="000000" w:themeColor="text1"/>
        </w:rPr>
        <w:t>declararse</w:t>
      </w:r>
      <w:r w:rsidRPr="00AC3C6A">
        <w:rPr>
          <w:rFonts w:ascii="Palatino Linotype" w:eastAsia="Palatino Linotype" w:hAnsi="Palatino Linotype" w:cs="Palatino Linotype"/>
          <w:b/>
          <w:color w:val="000000" w:themeColor="text1"/>
        </w:rPr>
        <w:t xml:space="preserve"> </w:t>
      </w:r>
      <w:r w:rsidRPr="00AC3C6A">
        <w:rPr>
          <w:rFonts w:ascii="Palatino Linotype" w:eastAsia="Palatino Linotype" w:hAnsi="Palatino Linotype" w:cs="Palatino Linotype"/>
          <w:color w:val="000000" w:themeColor="text1"/>
        </w:rPr>
        <w:t>consentida</w:t>
      </w:r>
      <w:r w:rsidRPr="00AC3C6A">
        <w:rPr>
          <w:rFonts w:ascii="Palatino Linotype" w:eastAsia="Palatino Linotype" w:hAnsi="Palatino Linotype" w:cs="Palatino Linotype"/>
          <w:b/>
          <w:color w:val="000000" w:themeColor="text1"/>
        </w:rPr>
        <w:t xml:space="preserve"> por el recurrente, toda vez que no realizó </w:t>
      </w:r>
      <w:r w:rsidRPr="00AC3C6A">
        <w:rPr>
          <w:rFonts w:ascii="Palatino Linotype" w:eastAsia="Palatino Linotype" w:hAnsi="Palatino Linotype" w:cs="Palatino Linotype"/>
          <w:color w:val="000000" w:themeColor="text1"/>
        </w:rPr>
        <w:t>manifestaciones</w:t>
      </w:r>
      <w:r w:rsidRPr="00AC3C6A">
        <w:rPr>
          <w:rFonts w:ascii="Palatino Linotype" w:eastAsia="Palatino Linotype" w:hAnsi="Palatino Linotype" w:cs="Palatino Linotype"/>
          <w:b/>
          <w:color w:val="000000" w:themeColor="text1"/>
        </w:rPr>
        <w:t xml:space="preserve"> de inconformidad</w:t>
      </w:r>
      <w:r w:rsidRPr="00AC3C6A">
        <w:rPr>
          <w:rFonts w:ascii="Palatino Linotype" w:eastAsia="Palatino Linotype" w:hAnsi="Palatino Linotype" w:cs="Palatino Linotype"/>
          <w:color w:val="000000" w:themeColor="text1"/>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b/>
          <w:i/>
          <w:color w:val="000000" w:themeColor="text1"/>
        </w:rPr>
        <w:lastRenderedPageBreak/>
        <w:t>“ACTOS CONSENTIDOS. SON LOS QUE NO SE IMPUGNAN MEDIANTE EL RECURSO IDÓNEO. </w:t>
      </w:r>
      <w:r w:rsidRPr="00AC3C6A">
        <w:rPr>
          <w:rFonts w:ascii="Palatino Linotype" w:eastAsia="Palatino Linotype" w:hAnsi="Palatino Linotype" w:cs="Palatino Linotype"/>
          <w:i/>
          <w:color w:val="000000" w:themeColor="text1"/>
          <w:u w:val="single"/>
        </w:rPr>
        <w:t>Debe reputarse como consentido el acto que no se impugnó por el medio establecido por la ley</w:t>
      </w:r>
      <w:r w:rsidRPr="00AC3C6A">
        <w:rPr>
          <w:rFonts w:ascii="Palatino Linotype" w:eastAsia="Palatino Linotype" w:hAnsi="Palatino Linotype" w:cs="Palatino Linotype"/>
          <w:i/>
          <w:color w:val="000000" w:themeColor="text1"/>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(Énfasis añadido)</w:t>
      </w: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 xml:space="preserve">De la tabla anterior, se debe de precisar que el </w:t>
      </w:r>
      <w:r w:rsidRPr="00AC3C6A">
        <w:rPr>
          <w:rFonts w:ascii="Palatino Linotype" w:eastAsia="Palatino Linotype" w:hAnsi="Palatino Linotype" w:cs="Palatino Linotype"/>
          <w:b/>
          <w:color w:val="000000" w:themeColor="text1"/>
        </w:rPr>
        <w:t xml:space="preserve">SUJETO OBLIGADO </w:t>
      </w:r>
      <w:r w:rsidRPr="00AC3C6A">
        <w:rPr>
          <w:rFonts w:ascii="Palatino Linotype" w:eastAsia="Palatino Linotype" w:hAnsi="Palatino Linotype" w:cs="Palatino Linotype"/>
          <w:color w:val="000000" w:themeColor="text1"/>
        </w:rPr>
        <w:t xml:space="preserve">colmo el derecho de acceso a la información del </w:t>
      </w:r>
      <w:r w:rsidRPr="00AC3C6A">
        <w:rPr>
          <w:rFonts w:ascii="Palatino Linotype" w:eastAsia="Palatino Linotype" w:hAnsi="Palatino Linotype" w:cs="Palatino Linotype"/>
          <w:b/>
          <w:color w:val="000000" w:themeColor="text1"/>
        </w:rPr>
        <w:t xml:space="preserve">RECURRENTE </w:t>
      </w:r>
      <w:r w:rsidRPr="00AC3C6A">
        <w:rPr>
          <w:rFonts w:ascii="Palatino Linotype" w:eastAsia="Palatino Linotype" w:hAnsi="Palatino Linotype" w:cs="Palatino Linotype"/>
          <w:color w:val="000000" w:themeColor="text1"/>
        </w:rPr>
        <w:t xml:space="preserve">al informarle que la información solicitada ya no forma parte de sus atribuciones al haberse hecho la transferencia del programa referido en la solicitud de información en el mes de febrero de dos mil veintiuno a la actual Secretaría del Bienestar. </w:t>
      </w: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 xml:space="preserve">Ahora bien, respecto de las facturas o tickets por las compras de artículos de limpieza, papelería e imprenta, la Dirección de Administración y la Tesorería Municipal en la etapa de manifestaciones entregaron las facturas por los conceptos de comprar de los meses enero, febrero y marzo de dos mil veinticinco, tal y como muestra en las siguientes capturas de pantalla. </w:t>
      </w:r>
    </w:p>
    <w:p w:rsidR="00D072D5" w:rsidRPr="00AC3C6A" w:rsidRDefault="00B17D64" w:rsidP="00AC3C6A">
      <w:pPr>
        <w:pBdr>
          <w:top w:val="nil"/>
          <w:left w:val="nil"/>
          <w:bottom w:val="nil"/>
          <w:right w:val="nil"/>
          <w:between w:val="nil"/>
        </w:pBdr>
        <w:rPr>
          <w:rFonts w:ascii="Palatino Linotype" w:eastAsia="Palatino Linotype" w:hAnsi="Palatino Linotype" w:cs="Palatino Linotype"/>
          <w:color w:val="000000" w:themeColor="text1"/>
        </w:rPr>
      </w:pPr>
      <w:r w:rsidRPr="00AC3C6A">
        <w:rPr>
          <w:rFonts w:ascii="Palatino Linotype" w:hAnsi="Palatino Linotype"/>
          <w:noProof/>
          <w:color w:val="000000" w:themeColor="text1"/>
          <w:lang w:val="es-MX"/>
        </w:rPr>
        <w:lastRenderedPageBreak/>
        <w:drawing>
          <wp:anchor distT="0" distB="0" distL="114300" distR="114300" simplePos="0" relativeHeight="251658240" behindDoc="0" locked="0" layoutInCell="1" hidden="0" allowOverlap="1">
            <wp:simplePos x="0" y="0"/>
            <wp:positionH relativeFrom="column">
              <wp:posOffset>-479665</wp:posOffset>
            </wp:positionH>
            <wp:positionV relativeFrom="paragraph">
              <wp:posOffset>152504</wp:posOffset>
            </wp:positionV>
            <wp:extent cx="3040520" cy="1551911"/>
            <wp:effectExtent l="0" t="0" r="0" b="0"/>
            <wp:wrapSquare wrapText="bothSides" distT="0" distB="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040520" cy="1551911"/>
                    </a:xfrm>
                    <a:prstGeom prst="rect">
                      <a:avLst/>
                    </a:prstGeom>
                    <a:ln/>
                  </pic:spPr>
                </pic:pic>
              </a:graphicData>
            </a:graphic>
          </wp:anchor>
        </w:drawing>
      </w:r>
      <w:r w:rsidRPr="00AC3C6A">
        <w:rPr>
          <w:rFonts w:ascii="Palatino Linotype" w:hAnsi="Palatino Linotype"/>
          <w:noProof/>
          <w:color w:val="000000" w:themeColor="text1"/>
          <w:lang w:val="es-MX"/>
        </w:rPr>
        <w:drawing>
          <wp:anchor distT="0" distB="0" distL="114300" distR="114300" simplePos="0" relativeHeight="251659264" behindDoc="0" locked="0" layoutInCell="1" hidden="0" allowOverlap="1">
            <wp:simplePos x="0" y="0"/>
            <wp:positionH relativeFrom="column">
              <wp:posOffset>2981255</wp:posOffset>
            </wp:positionH>
            <wp:positionV relativeFrom="paragraph">
              <wp:posOffset>152606</wp:posOffset>
            </wp:positionV>
            <wp:extent cx="3006725" cy="1586865"/>
            <wp:effectExtent l="0" t="0" r="0" b="0"/>
            <wp:wrapSquare wrapText="bothSides" distT="0" distB="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006725" cy="1586865"/>
                    </a:xfrm>
                    <a:prstGeom prst="rect">
                      <a:avLst/>
                    </a:prstGeom>
                    <a:ln/>
                  </pic:spPr>
                </pic:pic>
              </a:graphicData>
            </a:graphic>
          </wp:anchor>
        </w:drawing>
      </w:r>
      <w:r w:rsidRPr="00AC3C6A">
        <w:rPr>
          <w:rFonts w:ascii="Palatino Linotype" w:hAnsi="Palatino Linotype"/>
          <w:noProof/>
          <w:color w:val="000000" w:themeColor="text1"/>
          <w:lang w:val="es-MX"/>
        </w:rPr>
        <w:drawing>
          <wp:anchor distT="0" distB="0" distL="114300" distR="114300" simplePos="0" relativeHeight="251660288" behindDoc="0" locked="0" layoutInCell="1" hidden="0" allowOverlap="1">
            <wp:simplePos x="0" y="0"/>
            <wp:positionH relativeFrom="column">
              <wp:posOffset>1017582</wp:posOffset>
            </wp:positionH>
            <wp:positionV relativeFrom="paragraph">
              <wp:posOffset>2043386</wp:posOffset>
            </wp:positionV>
            <wp:extent cx="3680039" cy="2024896"/>
            <wp:effectExtent l="0" t="0" r="0" b="0"/>
            <wp:wrapSquare wrapText="bothSides" distT="0" distB="0" distL="114300" distR="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680039" cy="2024896"/>
                    </a:xfrm>
                    <a:prstGeom prst="rect">
                      <a:avLst/>
                    </a:prstGeom>
                    <a:ln/>
                  </pic:spPr>
                </pic:pic>
              </a:graphicData>
            </a:graphic>
          </wp:anchor>
        </w:drawing>
      </w: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D072D5" w:rsidP="00AC3C6A">
      <w:pPr>
        <w:pBdr>
          <w:top w:val="nil"/>
          <w:left w:val="nil"/>
          <w:bottom w:val="nil"/>
          <w:right w:val="nil"/>
          <w:between w:val="nil"/>
        </w:pBdr>
        <w:rPr>
          <w:rFonts w:ascii="Palatino Linotype" w:eastAsia="Palatino Linotype" w:hAnsi="Palatino Linotype" w:cs="Palatino Linotype"/>
          <w:color w:val="000000" w:themeColor="text1"/>
        </w:rPr>
      </w:pP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Default="00D072D5" w:rsidP="00AC3C6A">
      <w:pPr>
        <w:spacing w:line="360" w:lineRule="auto"/>
        <w:jc w:val="both"/>
        <w:rPr>
          <w:rFonts w:ascii="Palatino Linotype" w:eastAsia="Palatino Linotype" w:hAnsi="Palatino Linotype" w:cs="Palatino Linotype"/>
          <w:color w:val="000000" w:themeColor="text1"/>
        </w:rPr>
      </w:pPr>
    </w:p>
    <w:p w:rsidR="009A10B4" w:rsidRPr="00AC3C6A" w:rsidRDefault="009A10B4" w:rsidP="00AC3C6A">
      <w:pPr>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 xml:space="preserve">De las imágenes insertadas, se observa que las fechas y los conceptos de compra colman el derecho de acceso a la información del </w:t>
      </w:r>
      <w:r w:rsidRPr="00AC3C6A">
        <w:rPr>
          <w:rFonts w:ascii="Palatino Linotype" w:eastAsia="Palatino Linotype" w:hAnsi="Palatino Linotype" w:cs="Palatino Linotype"/>
          <w:b/>
          <w:color w:val="000000" w:themeColor="text1"/>
        </w:rPr>
        <w:t xml:space="preserve">RECURRENTE. </w:t>
      </w: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 xml:space="preserve">En esa línea, se tiene que dio atención a la solicitud de información el área habilitada del Ayuntamiento de Atlacomulco, toda vez que de la Dirección de Administración depende el Departamento de Recursos Materiales y Adquisiciones, quien tiene las siguientes especificaciones en sus funciones. </w:t>
      </w:r>
    </w:p>
    <w:p w:rsidR="00D072D5" w:rsidRPr="00AC3C6A" w:rsidRDefault="00D072D5" w:rsidP="00AC3C6A">
      <w:pPr>
        <w:pBdr>
          <w:top w:val="nil"/>
          <w:left w:val="nil"/>
          <w:bottom w:val="nil"/>
          <w:right w:val="nil"/>
          <w:between w:val="nil"/>
        </w:pBdr>
        <w:rPr>
          <w:rFonts w:ascii="Palatino Linotype" w:eastAsia="Palatino Linotype" w:hAnsi="Palatino Linotype" w:cs="Palatino Linotype"/>
          <w:color w:val="000000" w:themeColor="text1"/>
        </w:rPr>
      </w:pPr>
    </w:p>
    <w:p w:rsidR="00D072D5" w:rsidRDefault="00B17D64" w:rsidP="00AC3C6A">
      <w:pPr>
        <w:spacing w:line="360" w:lineRule="auto"/>
        <w:jc w:val="center"/>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noProof/>
          <w:color w:val="000000" w:themeColor="text1"/>
          <w:lang w:val="es-MX"/>
        </w:rPr>
        <w:lastRenderedPageBreak/>
        <w:drawing>
          <wp:inline distT="0" distB="0" distL="0" distR="0">
            <wp:extent cx="1834731" cy="3573619"/>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834731" cy="3573619"/>
                    </a:xfrm>
                    <a:prstGeom prst="rect">
                      <a:avLst/>
                    </a:prstGeom>
                    <a:ln/>
                  </pic:spPr>
                </pic:pic>
              </a:graphicData>
            </a:graphic>
          </wp:inline>
        </w:drawing>
      </w:r>
    </w:p>
    <w:p w:rsidR="009A10B4" w:rsidRPr="00AC3C6A" w:rsidRDefault="009A10B4" w:rsidP="00AC3C6A">
      <w:pPr>
        <w:spacing w:line="360" w:lineRule="auto"/>
        <w:jc w:val="center"/>
        <w:rPr>
          <w:rFonts w:ascii="Palatino Linotype" w:eastAsia="Palatino Linotype" w:hAnsi="Palatino Linotype" w:cs="Palatino Linotype"/>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 xml:space="preserve">De lo anterior, se tiene el punto de las facturas solicitadas quedó colmado para el </w:t>
      </w:r>
      <w:r w:rsidRPr="00AC3C6A">
        <w:rPr>
          <w:rFonts w:ascii="Palatino Linotype" w:eastAsia="Palatino Linotype" w:hAnsi="Palatino Linotype" w:cs="Palatino Linotype"/>
          <w:b/>
          <w:color w:val="000000" w:themeColor="text1"/>
        </w:rPr>
        <w:t>RECURRENTE</w:t>
      </w:r>
      <w:r w:rsidRPr="00AC3C6A">
        <w:rPr>
          <w:rFonts w:ascii="Palatino Linotype" w:eastAsia="Palatino Linotype" w:hAnsi="Palatino Linotype" w:cs="Palatino Linotype"/>
          <w:color w:val="000000" w:themeColor="text1"/>
        </w:rPr>
        <w:t xml:space="preserve">, toda vez que las mismas fueron remitidas en la etapa de manifestaciones por el </w:t>
      </w:r>
      <w:r w:rsidRPr="00AC3C6A">
        <w:rPr>
          <w:rFonts w:ascii="Palatino Linotype" w:eastAsia="Palatino Linotype" w:hAnsi="Palatino Linotype" w:cs="Palatino Linotype"/>
          <w:b/>
          <w:color w:val="000000" w:themeColor="text1"/>
        </w:rPr>
        <w:t>SUJETO OBLIGADO.</w:t>
      </w: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 xml:space="preserve">Ahora bien, por lo que respecta al catálogo de proveedores del cual el </w:t>
      </w:r>
      <w:r w:rsidRPr="00AC3C6A">
        <w:rPr>
          <w:rFonts w:ascii="Palatino Linotype" w:eastAsia="Palatino Linotype" w:hAnsi="Palatino Linotype" w:cs="Palatino Linotype"/>
          <w:b/>
          <w:color w:val="000000" w:themeColor="text1"/>
        </w:rPr>
        <w:t xml:space="preserve">RECURRENTE </w:t>
      </w:r>
      <w:r w:rsidRPr="00AC3C6A">
        <w:rPr>
          <w:rFonts w:ascii="Palatino Linotype" w:eastAsia="Palatino Linotype" w:hAnsi="Palatino Linotype" w:cs="Palatino Linotype"/>
          <w:color w:val="000000" w:themeColor="text1"/>
        </w:rPr>
        <w:t xml:space="preserve">se inconforma porque se encuentra incompleto, se debe de establecer que de la literalidad de la solicitud de información solicita del periodo del uno de enero al treinta de marzo de dos mil veinticinco, sin embargo, la solicitud de información ingreso el </w:t>
      </w:r>
      <w:r w:rsidRPr="00AC3C6A">
        <w:rPr>
          <w:rFonts w:ascii="Palatino Linotype" w:eastAsia="Palatino Linotype" w:hAnsi="Palatino Linotype" w:cs="Palatino Linotype"/>
          <w:b/>
          <w:color w:val="000000" w:themeColor="text1"/>
        </w:rPr>
        <w:t xml:space="preserve">veintisiete de marzo de dos mil veinticinco, </w:t>
      </w:r>
      <w:r w:rsidRPr="00AC3C6A">
        <w:rPr>
          <w:rFonts w:ascii="Palatino Linotype" w:eastAsia="Palatino Linotype" w:hAnsi="Palatino Linotype" w:cs="Palatino Linotype"/>
          <w:color w:val="000000" w:themeColor="text1"/>
        </w:rPr>
        <w:t>situación por la cual al no haber transcurrido los días veintiocho, veintinueve y treinta de marzo, no se puede entregar información, toda vez que el periodo del tiempo no había transcurrido, situación por la cual se configuran hechos futuros.</w:t>
      </w: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lastRenderedPageBreak/>
        <w:t>Sirve como referencia la Jurisprudencia emitida por la Suprema Corte de Justicia de la Nación, que es del texto y rubro siguiente:</w:t>
      </w:r>
    </w:p>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b/>
          <w:i/>
          <w:color w:val="000000" w:themeColor="text1"/>
        </w:rPr>
        <w:t>“DEMANDA DE AMPARO. LA RECLAMACIÓN DE UN ACTO FUTURO O INCIERTO, DEL CUAL NO PUEDA SABERSE CON EXACTITUD SI ES INMINENTE O SI LLEGARÁ O NO A MATERIALIZARSE, NO CONSTITUYE UN MOTIVO MANIFIESTO E INDUDABLE DE IMPROCEDENCIA, POR LO QUE EL JUEZ DE DISTRITO DEBE ADMITIRLA A TRÁMITE.</w:t>
      </w:r>
      <w:r w:rsidRPr="00AC3C6A">
        <w:rPr>
          <w:rFonts w:ascii="Palatino Linotype" w:eastAsia="Palatino Linotype" w:hAnsi="Palatino Linotype" w:cs="Palatino Linotype"/>
          <w:i/>
          <w:color w:val="000000" w:themeColor="text1"/>
        </w:rPr>
        <w:t xml:space="preserve"> El artículo 145 de la Ley de Amparo faculta al Juez de Distrito para desechar la demanda de amparo indirecto cuando al examinarla aparezca un motivo manifiesto e indudable de improcedencia; sin embargo, esa potestad del Juez no es ilimitada, ni depende de un criterio puramente subjetivo, pues tal motivo debe estar plenamente demostrado, y advertirse en forma patente y absolutamente clara de la lectura del escrito de demanda, de los escritos aclaratorios o de los documentos que se anexen a esas promociones. De ahí que cuando se reclame un acto futuro e incierto y no pueda saberse con exactitud si es inminente, o bien, si llegará o no a materializarse, sino que es necesario contar con elementos de prueba que permitan una correcta conclusión, no debe considerarse que existe un motivo manifiesto e indudable de improcedencia que amerite aplicar el indicado artículo 145 para desechar de plano la demanda, por lo que el Juez de Distrito deberá admitirla a trámite. Lo anterior obedece a que para que el juzgador se encuentre en condiciones de saber si el acto reclamado, considerado como futuro, se realizará por parte de la autoridad, debe analizar los elementos probatorios existentes, y si estimara racionalmente que la responsable ya ordenó la realización del acto reclamado o que está a punto de hacerlo, deberá admitir la demanda, sin perjuicio de que durante la sustanciación del juicio quede plenamente probado que efectivamente se trata de un acto de ese tipo, o se tenga la certeza de la existencia de alguna otra causa de improcedencia regulada en el artículo 73 de la citada ley, u otra prevista en diverso precepto legal relacionado con la fracción XVIII de este numeral.No obstante, en términos del artículo 6 de la Constitución Política de los Estados Unidos Mexicanos, toda persona sin necesidad de acreditar interés alguno, tendrá acceso gratuito a la información pública </w:t>
      </w:r>
      <w:r w:rsidRPr="00AC3C6A">
        <w:rPr>
          <w:rFonts w:ascii="Palatino Linotype" w:eastAsia="Palatino Linotype" w:hAnsi="Palatino Linotype" w:cs="Palatino Linotype"/>
          <w:b/>
          <w:i/>
          <w:color w:val="000000" w:themeColor="text1"/>
        </w:rPr>
        <w:t>en posesión</w:t>
      </w:r>
      <w:r w:rsidRPr="00AC3C6A">
        <w:rPr>
          <w:rFonts w:ascii="Palatino Linotype" w:eastAsia="Palatino Linotype" w:hAnsi="Palatino Linotype" w:cs="Palatino Linotype"/>
          <w:i/>
          <w:color w:val="000000" w:themeColor="text1"/>
        </w:rPr>
        <w:t xml:space="preserve"> de cualquier autoridad, entidad, órgano y organismo federal, estatal y municipal, la cual sólo podrá ser reservada temporalmente por razones de interés público en los términos que fijen las leyes, debiendo prevalecer en la interpretación del derecho el principio de máxima publicidad, de ahí que los sujetos obligados deban conservar sus documentos en archivos administrados actualizados.”</w:t>
      </w:r>
    </w:p>
    <w:p w:rsidR="00D072D5" w:rsidRPr="00AC3C6A" w:rsidRDefault="00D072D5" w:rsidP="00AC3C6A">
      <w:pPr>
        <w:rPr>
          <w:rFonts w:ascii="Palatino Linotype" w:eastAsia="Palatino Linotype" w:hAnsi="Palatino Linotype" w:cs="Palatino Linotype"/>
          <w:color w:val="000000" w:themeColor="text1"/>
          <w:highlight w:val="yellow"/>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 xml:space="preserve">En esa línea, se tiene que no se puede entregar información de un periodo que no ha transcurrido, situación por la cual al haber sido la solicitud de información por la Dirección de Administración que por medio del Departamento de Recursos Materiales y </w:t>
      </w:r>
      <w:r w:rsidRPr="00AC3C6A">
        <w:rPr>
          <w:rFonts w:ascii="Palatino Linotype" w:eastAsia="Palatino Linotype" w:hAnsi="Palatino Linotype" w:cs="Palatino Linotype"/>
          <w:color w:val="000000" w:themeColor="text1"/>
        </w:rPr>
        <w:lastRenderedPageBreak/>
        <w:t xml:space="preserve">Adquisiciones, tiene a cargo actualizar el catálogo del padrón de proveedores, información que no debe perderse de vista que forma parte de las obligaciones de transparencia común de acuerdo con el artículo 92 fracción XXXVI de la Ley de Transparencia y Acceso a la Información Pública del Estado de México y Municipios. </w:t>
      </w:r>
    </w:p>
    <w:p w:rsidR="00D072D5" w:rsidRPr="00AC3C6A" w:rsidRDefault="00D072D5" w:rsidP="00AC3C6A">
      <w:pPr>
        <w:pBdr>
          <w:top w:val="nil"/>
          <w:left w:val="nil"/>
          <w:bottom w:val="nil"/>
          <w:right w:val="nil"/>
          <w:between w:val="nil"/>
        </w:pBdr>
        <w:rPr>
          <w:rFonts w:ascii="Palatino Linotype" w:eastAsia="Palatino Linotype" w:hAnsi="Palatino Linotype" w:cs="Palatino Linotype"/>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AC3C6A">
        <w:rPr>
          <w:rFonts w:ascii="Palatino Linotype" w:eastAsia="Palatino Linotype" w:hAnsi="Palatino Linotype" w:cs="Palatino Linotype"/>
          <w:color w:val="000000" w:themeColor="text1"/>
        </w:rPr>
        <w:t xml:space="preserve">De lo anteriormente expuesto, se debe de determinar que este Órgano Garante no está facultado para dudar de la veracidad de la información entregada por parte del Dirección de Administración,  como área habilitada, situación por la cual es aplicable lo siguiente. </w:t>
      </w:r>
    </w:p>
    <w:p w:rsidR="00D072D5" w:rsidRPr="00AC3C6A" w:rsidRDefault="00D072D5" w:rsidP="00AC3C6A">
      <w:pPr>
        <w:pBdr>
          <w:top w:val="nil"/>
          <w:left w:val="nil"/>
          <w:bottom w:val="nil"/>
          <w:right w:val="nil"/>
          <w:between w:val="nil"/>
        </w:pBdr>
        <w:rPr>
          <w:rFonts w:ascii="Palatino Linotype" w:eastAsia="Palatino Linotype" w:hAnsi="Palatino Linotype" w:cs="Palatino Linotype"/>
          <w:b/>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AC3C6A">
        <w:rPr>
          <w:rFonts w:ascii="Palatino Linotype" w:eastAsia="Palatino Linotype" w:hAnsi="Palatino Linotype" w:cs="Palatino Linotype"/>
          <w:color w:val="000000" w:themeColor="text1"/>
        </w:rPr>
        <w:t xml:space="preserve">En ese sentido se reitera que éste Órgano Garante no está facultado para pronunciarse sobre la veracidad de la información que los Sujetos Obligados ponen a disposición de los solicitantes; situación que se aleja de las atribuciones de este Instituto </w:t>
      </w:r>
      <w:r w:rsidRPr="00AC3C6A">
        <w:rPr>
          <w:rFonts w:ascii="Palatino Linotype" w:eastAsia="Palatino Linotype" w:hAnsi="Palatino Linotype" w:cs="Palatino Linotype"/>
          <w:i/>
          <w:color w:val="000000" w:themeColor="text1"/>
        </w:rPr>
        <w:t>máxime</w:t>
      </w:r>
      <w:r w:rsidRPr="00AC3C6A">
        <w:rPr>
          <w:rFonts w:ascii="Palatino Linotype" w:eastAsia="Palatino Linotype" w:hAnsi="Palatino Linotype" w:cs="Palatino Linotype"/>
          <w:color w:val="000000" w:themeColor="text1"/>
        </w:rPr>
        <w:t xml:space="preserve"> que </w:t>
      </w:r>
      <w:r w:rsidRPr="00AC3C6A">
        <w:rPr>
          <w:rFonts w:ascii="Palatino Linotype" w:eastAsia="Palatino Linotype" w:hAnsi="Palatino Linotype" w:cs="Palatino Linotype"/>
          <w:b/>
          <w:color w:val="000000" w:themeColor="text1"/>
          <w:u w:val="single"/>
        </w:rPr>
        <w:t>al momento que ponen a disposición ésta, la misma tiene el carácter oficial y se presume veraz, tan es así que la misma queda registrada en el Sistema de Acceso a la Información Mexiquense (SAIMEX).</w:t>
      </w:r>
    </w:p>
    <w:p w:rsidR="00D072D5" w:rsidRPr="00AC3C6A" w:rsidRDefault="00D072D5" w:rsidP="00AC3C6A">
      <w:pPr>
        <w:spacing w:line="360" w:lineRule="auto"/>
        <w:jc w:val="both"/>
        <w:rPr>
          <w:rFonts w:ascii="Palatino Linotype" w:eastAsia="Palatino Linotype" w:hAnsi="Palatino Linotype" w:cs="Palatino Linotype"/>
          <w:i/>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 xml:space="preserve">Así mismo, la </w:t>
      </w:r>
      <w:r w:rsidRPr="00AC3C6A">
        <w:rPr>
          <w:rFonts w:ascii="Palatino Linotype" w:eastAsia="Palatino Linotype" w:hAnsi="Palatino Linotype" w:cs="Palatino Linotype"/>
          <w:b/>
          <w:color w:val="000000" w:themeColor="text1"/>
        </w:rPr>
        <w:t>Ley de Transparencia y Acceso a la Información Pública del Estado de México y Municipios</w:t>
      </w:r>
      <w:r w:rsidRPr="00AC3C6A">
        <w:rPr>
          <w:rFonts w:ascii="Palatino Linotype" w:eastAsia="Palatino Linotype" w:hAnsi="Palatino Linotype" w:cs="Palatino Linotype"/>
          <w:color w:val="000000" w:themeColor="text1"/>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jc w:val="both"/>
        <w:rPr>
          <w:rFonts w:ascii="Palatino Linotype" w:eastAsia="Palatino Linotype" w:hAnsi="Palatino Linotype" w:cs="Palatino Linotype"/>
          <w:b/>
          <w:i/>
          <w:color w:val="000000" w:themeColor="text1"/>
        </w:rPr>
      </w:pPr>
      <w:r w:rsidRPr="00AC3C6A">
        <w:rPr>
          <w:rFonts w:ascii="Palatino Linotype" w:eastAsia="Palatino Linotype" w:hAnsi="Palatino Linotype" w:cs="Palatino Linotype"/>
          <w:i/>
          <w:color w:val="000000" w:themeColor="text1"/>
        </w:rPr>
        <w:lastRenderedPageBreak/>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AC3C6A">
        <w:rPr>
          <w:rFonts w:ascii="Palatino Linotype" w:eastAsia="Palatino Linotype" w:hAnsi="Palatino Linotype" w:cs="Palatino Linotype"/>
          <w:b/>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D072D5" w:rsidRPr="00AC3C6A" w:rsidRDefault="00D072D5" w:rsidP="00AC3C6A">
      <w:pPr>
        <w:rPr>
          <w:rFonts w:ascii="Palatino Linotype" w:eastAsia="Palatino Linotype" w:hAnsi="Palatino Linotype" w:cs="Palatino Linotype"/>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 xml:space="preserve">De lo anterior, se determina que el derecho de acceso a la información del </w:t>
      </w:r>
      <w:r w:rsidRPr="00AC3C6A">
        <w:rPr>
          <w:rFonts w:ascii="Palatino Linotype" w:eastAsia="Palatino Linotype" w:hAnsi="Palatino Linotype" w:cs="Palatino Linotype"/>
          <w:b/>
          <w:color w:val="000000" w:themeColor="text1"/>
        </w:rPr>
        <w:t xml:space="preserve">RECURRENTE </w:t>
      </w:r>
      <w:r w:rsidRPr="00AC3C6A">
        <w:rPr>
          <w:rFonts w:ascii="Palatino Linotype" w:eastAsia="Palatino Linotype" w:hAnsi="Palatino Linotype" w:cs="Palatino Linotype"/>
          <w:color w:val="000000" w:themeColor="text1"/>
        </w:rPr>
        <w:t xml:space="preserve">fue colmado, toda vez que el </w:t>
      </w:r>
      <w:r w:rsidRPr="00AC3C6A">
        <w:rPr>
          <w:rFonts w:ascii="Palatino Linotype" w:eastAsia="Palatino Linotype" w:hAnsi="Palatino Linotype" w:cs="Palatino Linotype"/>
          <w:b/>
          <w:color w:val="000000" w:themeColor="text1"/>
        </w:rPr>
        <w:t xml:space="preserve">SUJETO OBLIGADO </w:t>
      </w:r>
      <w:r w:rsidRPr="00AC3C6A">
        <w:rPr>
          <w:rFonts w:ascii="Palatino Linotype" w:eastAsia="Palatino Linotype" w:hAnsi="Palatino Linotype" w:cs="Palatino Linotype"/>
          <w:color w:val="000000" w:themeColor="text1"/>
        </w:rPr>
        <w:t xml:space="preserve">por medio del área habilitada, entregó la información con la que contaba a la fecha de la solicitud de información. </w:t>
      </w: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 xml:space="preserve">Finalmente,  se dejan a salvo los derechos del </w:t>
      </w:r>
      <w:r w:rsidRPr="00AC3C6A">
        <w:rPr>
          <w:rFonts w:ascii="Palatino Linotype" w:eastAsia="Palatino Linotype" w:hAnsi="Palatino Linotype" w:cs="Palatino Linotype"/>
          <w:b/>
          <w:color w:val="000000" w:themeColor="text1"/>
        </w:rPr>
        <w:t xml:space="preserve">RECURRENTE </w:t>
      </w:r>
      <w:r w:rsidRPr="00AC3C6A">
        <w:rPr>
          <w:rFonts w:ascii="Palatino Linotype" w:eastAsia="Palatino Linotype" w:hAnsi="Palatino Linotype" w:cs="Palatino Linotype"/>
          <w:color w:val="000000" w:themeColor="text1"/>
        </w:rPr>
        <w:t xml:space="preserve">para que  tramite nuevas solicitudes de información al Ayuntamiento de Atlacomulco,  de los temas que sean de su interés. </w:t>
      </w:r>
    </w:p>
    <w:p w:rsidR="00D072D5" w:rsidRPr="00AC3C6A" w:rsidRDefault="00D072D5" w:rsidP="00AC3C6A">
      <w:pPr>
        <w:pBdr>
          <w:top w:val="nil"/>
          <w:left w:val="nil"/>
          <w:bottom w:val="nil"/>
          <w:right w:val="nil"/>
          <w:between w:val="nil"/>
        </w:pBdr>
        <w:rPr>
          <w:rFonts w:ascii="Palatino Linotype" w:eastAsia="Palatino Linotype" w:hAnsi="Palatino Linotype" w:cs="Palatino Linotype"/>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 xml:space="preserve">Por lo tanto, en virtud de  los argumentos expuestos con anterioridad así como del análisis realizado a las constancias que obran en el expediente electrónico, toda vez el </w:t>
      </w:r>
      <w:r w:rsidRPr="00AC3C6A">
        <w:rPr>
          <w:rFonts w:ascii="Palatino Linotype" w:eastAsia="Palatino Linotype" w:hAnsi="Palatino Linotype" w:cs="Palatino Linotype"/>
          <w:b/>
          <w:color w:val="000000" w:themeColor="text1"/>
        </w:rPr>
        <w:t xml:space="preserve">SUJETO OBLIGADO </w:t>
      </w:r>
      <w:r w:rsidRPr="00AC3C6A">
        <w:rPr>
          <w:rFonts w:ascii="Palatino Linotype" w:eastAsia="Palatino Linotype" w:hAnsi="Palatino Linotype" w:cs="Palatino Linotype"/>
          <w:color w:val="000000" w:themeColor="text1"/>
        </w:rPr>
        <w:t>modificó su respuesta inicial, se determina sobreseer el presente recurso de revisión por actualizarse la causal de sobreseimiento prevista en la fracción III del artículo 192 de la Ley de Transparencia y Acceso a la Información Pública del Estado de México y Municipios, el que se transcribe a continuación, para un mejor entendimiento:</w:t>
      </w:r>
    </w:p>
    <w:p w:rsidR="00D072D5" w:rsidRPr="00AC3C6A" w:rsidRDefault="00B17D64" w:rsidP="00AC3C6A">
      <w:pPr>
        <w:pBdr>
          <w:top w:val="nil"/>
          <w:left w:val="nil"/>
          <w:bottom w:val="nil"/>
          <w:right w:val="nil"/>
          <w:between w:val="nil"/>
        </w:pBdr>
        <w:tabs>
          <w:tab w:val="left" w:pos="7938"/>
        </w:tabs>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b/>
          <w:i/>
          <w:color w:val="000000" w:themeColor="text1"/>
        </w:rPr>
        <w:t>Artículo 192.</w:t>
      </w:r>
      <w:r w:rsidRPr="00AC3C6A">
        <w:rPr>
          <w:rFonts w:ascii="Palatino Linotype" w:eastAsia="Palatino Linotype" w:hAnsi="Palatino Linotype" w:cs="Palatino Linotype"/>
          <w:i/>
          <w:color w:val="000000" w:themeColor="text1"/>
        </w:rPr>
        <w:t xml:space="preserve"> El recurso será sobreseído, en todo o en parte, cuando una vez admitido, se actualicen alguno de los siguientes supuestos:</w:t>
      </w:r>
    </w:p>
    <w:p w:rsidR="00D072D5" w:rsidRPr="00AC3C6A" w:rsidRDefault="00D072D5" w:rsidP="00AC3C6A">
      <w:pPr>
        <w:pBdr>
          <w:top w:val="nil"/>
          <w:left w:val="nil"/>
          <w:bottom w:val="nil"/>
          <w:right w:val="nil"/>
          <w:between w:val="nil"/>
        </w:pBdr>
        <w:tabs>
          <w:tab w:val="left" w:pos="7938"/>
        </w:tabs>
        <w:jc w:val="both"/>
        <w:rPr>
          <w:rFonts w:ascii="Palatino Linotype" w:eastAsia="Palatino Linotype" w:hAnsi="Palatino Linotype" w:cs="Palatino Linotype"/>
          <w:i/>
          <w:color w:val="000000" w:themeColor="text1"/>
        </w:rPr>
      </w:pPr>
    </w:p>
    <w:p w:rsidR="00D072D5" w:rsidRPr="00AC3C6A" w:rsidRDefault="00B17D64" w:rsidP="00AC3C6A">
      <w:pPr>
        <w:pBdr>
          <w:top w:val="nil"/>
          <w:left w:val="nil"/>
          <w:bottom w:val="nil"/>
          <w:right w:val="nil"/>
          <w:between w:val="nil"/>
        </w:pBdr>
        <w:tabs>
          <w:tab w:val="left" w:pos="7938"/>
        </w:tabs>
        <w:spacing w:after="120"/>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b/>
          <w:i/>
          <w:color w:val="000000" w:themeColor="text1"/>
        </w:rPr>
        <w:t xml:space="preserve">III. </w:t>
      </w:r>
      <w:r w:rsidRPr="00AC3C6A">
        <w:rPr>
          <w:rFonts w:ascii="Palatino Linotype" w:eastAsia="Palatino Linotype" w:hAnsi="Palatino Linotype" w:cs="Palatino Linotype"/>
          <w:i/>
          <w:color w:val="000000" w:themeColor="text1"/>
        </w:rPr>
        <w:t xml:space="preserve">El sujeto obligado responsable del acto lo </w:t>
      </w:r>
      <w:r w:rsidRPr="00AC3C6A">
        <w:rPr>
          <w:rFonts w:ascii="Palatino Linotype" w:eastAsia="Palatino Linotype" w:hAnsi="Palatino Linotype" w:cs="Palatino Linotype"/>
          <w:b/>
          <w:i/>
          <w:color w:val="000000" w:themeColor="text1"/>
        </w:rPr>
        <w:t>modifique</w:t>
      </w:r>
      <w:r w:rsidRPr="00AC3C6A">
        <w:rPr>
          <w:rFonts w:ascii="Palatino Linotype" w:eastAsia="Palatino Linotype" w:hAnsi="Palatino Linotype" w:cs="Palatino Linotype"/>
          <w:i/>
          <w:color w:val="000000" w:themeColor="text1"/>
        </w:rPr>
        <w:t xml:space="preserve"> o </w:t>
      </w:r>
      <w:r w:rsidRPr="00AC3C6A">
        <w:rPr>
          <w:rFonts w:ascii="Palatino Linotype" w:eastAsia="Palatino Linotype" w:hAnsi="Palatino Linotype" w:cs="Palatino Linotype"/>
          <w:b/>
          <w:i/>
          <w:color w:val="000000" w:themeColor="text1"/>
        </w:rPr>
        <w:t>revoque</w:t>
      </w:r>
      <w:r w:rsidRPr="00AC3C6A">
        <w:rPr>
          <w:rFonts w:ascii="Palatino Linotype" w:eastAsia="Palatino Linotype" w:hAnsi="Palatino Linotype" w:cs="Palatino Linotype"/>
          <w:i/>
          <w:color w:val="000000" w:themeColor="text1"/>
        </w:rPr>
        <w:t xml:space="preserve"> de tal manera que el recurso de revisión quede sin materia; “</w:t>
      </w:r>
    </w:p>
    <w:p w:rsidR="00D072D5" w:rsidRPr="00AC3C6A" w:rsidRDefault="00D072D5" w:rsidP="00AC3C6A">
      <w:pPr>
        <w:pBdr>
          <w:top w:val="nil"/>
          <w:left w:val="nil"/>
          <w:bottom w:val="nil"/>
          <w:right w:val="nil"/>
          <w:between w:val="nil"/>
        </w:pBdr>
        <w:tabs>
          <w:tab w:val="left" w:pos="7938"/>
        </w:tabs>
        <w:spacing w:before="120" w:after="120"/>
        <w:jc w:val="both"/>
        <w:rPr>
          <w:rFonts w:ascii="Palatino Linotype" w:eastAsia="Palatino Linotype" w:hAnsi="Palatino Linotype" w:cs="Palatino Linotype"/>
          <w:i/>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lastRenderedPageBreak/>
        <w:t xml:space="preserve">Siendo el </w:t>
      </w:r>
      <w:r w:rsidRPr="00AC3C6A">
        <w:rPr>
          <w:rFonts w:ascii="Palatino Linotype" w:eastAsia="Palatino Linotype" w:hAnsi="Palatino Linotype" w:cs="Palatino Linotype"/>
          <w:i/>
          <w:color w:val="000000" w:themeColor="text1"/>
        </w:rPr>
        <w:t>sobreseimiento</w:t>
      </w:r>
      <w:r w:rsidRPr="00AC3C6A">
        <w:rPr>
          <w:rFonts w:ascii="Palatino Linotype" w:eastAsia="Palatino Linotype" w:hAnsi="Palatino Linotype" w:cs="Palatino Linotype"/>
          <w:color w:val="000000" w:themeColor="text1"/>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b/>
          <w:i/>
          <w:color w:val="000000" w:themeColor="text1"/>
        </w:rPr>
      </w:pPr>
      <w:r w:rsidRPr="00AC3C6A">
        <w:rPr>
          <w:rFonts w:ascii="Palatino Linotype" w:eastAsia="Palatino Linotype" w:hAnsi="Palatino Linotype" w:cs="Palatino Linotype"/>
          <w:i/>
          <w:color w:val="000000" w:themeColor="text1"/>
        </w:rPr>
        <w:t>“</w:t>
      </w:r>
      <w:r w:rsidRPr="00AC3C6A">
        <w:rPr>
          <w:rFonts w:ascii="Palatino Linotype" w:eastAsia="Palatino Linotype" w:hAnsi="Palatino Linotype" w:cs="Palatino Linotype"/>
          <w:b/>
          <w:i/>
          <w:color w:val="000000" w:themeColor="text1"/>
        </w:rPr>
        <w:t>SOBRESEIMIENTO, NO PERMITE ENTRAR AL ESTUDIO DE LAS CUESTIONES DE FONDO</w:t>
      </w:r>
    </w:p>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Localización: 213609. II.2o.183 K. Tribunales Colegiados de Circuito. Octava Época. Semanario Judicial de la Federación. Tomo XIII, Febrero de 1994, Pág. 420</w:t>
      </w:r>
    </w:p>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D072D5" w:rsidRPr="00AC3C6A" w:rsidRDefault="00D072D5" w:rsidP="00AC3C6A">
      <w:pPr>
        <w:pBdr>
          <w:top w:val="nil"/>
          <w:left w:val="nil"/>
          <w:bottom w:val="nil"/>
          <w:right w:val="nil"/>
          <w:between w:val="nil"/>
        </w:pBdr>
        <w:spacing w:after="120"/>
        <w:jc w:val="both"/>
        <w:rPr>
          <w:rFonts w:ascii="Palatino Linotype" w:eastAsia="Palatino Linotype" w:hAnsi="Palatino Linotype" w:cs="Palatino Linotype"/>
          <w:i/>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Cabe destacar que la decisión de este Organismo Colegiado de sobreseer el recurso de revisión no implica una limitación o negación a la justicia, según lo ha establecido el Poder Judicial Federal, en el criterio que es aplicable por analogía, con rubro:</w:t>
      </w:r>
    </w:p>
    <w:p w:rsidR="00D072D5" w:rsidRPr="00AC3C6A" w:rsidRDefault="00B17D64" w:rsidP="00AC3C6A">
      <w:pPr>
        <w:pBdr>
          <w:top w:val="nil"/>
          <w:left w:val="nil"/>
          <w:bottom w:val="nil"/>
          <w:right w:val="nil"/>
          <w:between w:val="nil"/>
        </w:pBdr>
        <w:spacing w:before="120"/>
        <w:jc w:val="both"/>
        <w:rPr>
          <w:rFonts w:ascii="Palatino Linotype" w:eastAsia="Palatino Linotype" w:hAnsi="Palatino Linotype" w:cs="Palatino Linotype"/>
          <w:b/>
          <w:i/>
          <w:color w:val="000000" w:themeColor="text1"/>
        </w:rPr>
      </w:pPr>
      <w:r w:rsidRPr="00AC3C6A">
        <w:rPr>
          <w:rFonts w:ascii="Palatino Linotype" w:eastAsia="Palatino Linotype" w:hAnsi="Palatino Linotype" w:cs="Palatino Linotype"/>
          <w:b/>
          <w:i/>
          <w:color w:val="000000" w:themeColor="text1"/>
        </w:rPr>
        <w:t>“DESECHAMIENTO O SOBRESEIMIENTO EN EL JUICIO DE AMPARO. NO IMPLICA DENEGACIÓN DE JUSTICIA NI GENERA INSEGURIDAD JURÍDICA”</w:t>
      </w:r>
    </w:p>
    <w:p w:rsidR="00D072D5" w:rsidRPr="00AC3C6A" w:rsidRDefault="00B17D64" w:rsidP="00AC3C6A">
      <w:pPr>
        <w:pBdr>
          <w:top w:val="nil"/>
          <w:left w:val="nil"/>
          <w:bottom w:val="nil"/>
          <w:right w:val="nil"/>
          <w:between w:val="nil"/>
        </w:pBdr>
        <w:jc w:val="both"/>
        <w:rPr>
          <w:rFonts w:ascii="Palatino Linotype" w:eastAsia="Palatino Linotype" w:hAnsi="Palatino Linotype" w:cs="Palatino Linotype"/>
          <w:i/>
          <w:color w:val="000000" w:themeColor="text1"/>
        </w:rPr>
      </w:pPr>
      <w:r w:rsidRPr="00AC3C6A">
        <w:rPr>
          <w:rFonts w:ascii="Palatino Linotype" w:eastAsia="Palatino Linotype" w:hAnsi="Palatino Linotype" w:cs="Palatino Linotype"/>
          <w:i/>
          <w:color w:val="000000" w:themeColor="text1"/>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AC3C6A">
        <w:rPr>
          <w:rFonts w:ascii="Palatino Linotype" w:eastAsia="Palatino Linotype" w:hAnsi="Palatino Linotype" w:cs="Palatino Linotype"/>
          <w:color w:val="000000" w:themeColor="text1"/>
        </w:rPr>
        <w:tab/>
      </w: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bookmarkStart w:id="8" w:name="_heading=h.17dp8vu" w:colFirst="0" w:colLast="0"/>
      <w:bookmarkEnd w:id="8"/>
      <w:r w:rsidRPr="00AC3C6A">
        <w:rPr>
          <w:rFonts w:ascii="Palatino Linotype" w:eastAsia="Palatino Linotype" w:hAnsi="Palatino Linotype" w:cs="Palatino Linotype"/>
          <w:color w:val="000000" w:themeColor="text1"/>
        </w:rPr>
        <w:lastRenderedPageBreak/>
        <w:t xml:space="preserve">Bajo ese tenor con fundamento en la segunda hipótesis de la fracción I del artículo 186, de la Ley de Transparencia y Acceso a la Información Pública del Estado de México y Municipios, se Sobresee el recurso de revisión </w:t>
      </w:r>
      <w:r w:rsidRPr="00AC3C6A">
        <w:rPr>
          <w:rFonts w:ascii="Palatino Linotype" w:eastAsia="Palatino Linotype" w:hAnsi="Palatino Linotype" w:cs="Palatino Linotype"/>
          <w:b/>
          <w:color w:val="000000" w:themeColor="text1"/>
        </w:rPr>
        <w:t>05588/INFOEM/IP/RR/2025</w:t>
      </w:r>
      <w:r w:rsidRPr="00AC3C6A">
        <w:rPr>
          <w:rFonts w:ascii="Palatino Linotype" w:eastAsia="Palatino Linotype" w:hAnsi="Palatino Linotype" w:cs="Palatino Linotype"/>
          <w:color w:val="000000" w:themeColor="text1"/>
        </w:rPr>
        <w:t>, que ha sido materia del presente fallo.</w:t>
      </w:r>
    </w:p>
    <w:p w:rsidR="00D072D5" w:rsidRPr="00AC3C6A" w:rsidRDefault="00D072D5" w:rsidP="00AC3C6A">
      <w:pPr>
        <w:pBdr>
          <w:top w:val="nil"/>
          <w:left w:val="nil"/>
          <w:bottom w:val="nil"/>
          <w:right w:val="nil"/>
          <w:between w:val="nil"/>
        </w:pBdr>
        <w:rPr>
          <w:rFonts w:ascii="Palatino Linotype" w:eastAsia="Palatino Linotype" w:hAnsi="Palatino Linotype" w:cs="Palatino Linotype"/>
          <w:color w:val="000000" w:themeColor="text1"/>
        </w:rPr>
      </w:pPr>
    </w:p>
    <w:p w:rsidR="00D072D5" w:rsidRPr="00AC3C6A" w:rsidRDefault="00B17D64" w:rsidP="00AC3C6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color w:val="000000" w:themeColor="text1"/>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D072D5" w:rsidRPr="00AC3C6A" w:rsidRDefault="00D072D5" w:rsidP="00AC3C6A">
      <w:pPr>
        <w:pBdr>
          <w:top w:val="nil"/>
          <w:left w:val="nil"/>
          <w:bottom w:val="nil"/>
          <w:right w:val="nil"/>
          <w:between w:val="nil"/>
        </w:pBdr>
        <w:rPr>
          <w:rFonts w:ascii="Palatino Linotype" w:eastAsia="Palatino Linotype" w:hAnsi="Palatino Linotype" w:cs="Palatino Linotype"/>
          <w:color w:val="000000" w:themeColor="text1"/>
        </w:rPr>
      </w:pPr>
    </w:p>
    <w:p w:rsidR="00D072D5" w:rsidRPr="00AC3C6A" w:rsidRDefault="00B17D64" w:rsidP="00AC3C6A">
      <w:pPr>
        <w:keepNext/>
        <w:keepLines/>
        <w:spacing w:line="360" w:lineRule="auto"/>
        <w:jc w:val="center"/>
        <w:rPr>
          <w:rFonts w:ascii="Palatino Linotype" w:eastAsia="Palatino Linotype" w:hAnsi="Palatino Linotype" w:cs="Palatino Linotype"/>
          <w:b/>
          <w:color w:val="000000" w:themeColor="text1"/>
        </w:rPr>
      </w:pPr>
      <w:bookmarkStart w:id="9" w:name="_heading=h.3rdcrjn" w:colFirst="0" w:colLast="0"/>
      <w:bookmarkEnd w:id="9"/>
      <w:r w:rsidRPr="00AC3C6A">
        <w:rPr>
          <w:rFonts w:ascii="Palatino Linotype" w:eastAsia="Palatino Linotype" w:hAnsi="Palatino Linotype" w:cs="Palatino Linotype"/>
          <w:b/>
          <w:color w:val="000000" w:themeColor="text1"/>
        </w:rPr>
        <w:t>R E S O L U T I V O S</w:t>
      </w:r>
    </w:p>
    <w:p w:rsidR="00D072D5" w:rsidRPr="00AC3C6A" w:rsidRDefault="00D072D5" w:rsidP="00AC3C6A">
      <w:pPr>
        <w:rPr>
          <w:rFonts w:ascii="Palatino Linotype" w:eastAsia="Palatino Linotype" w:hAnsi="Palatino Linotype" w:cs="Palatino Linotype"/>
          <w:color w:val="000000" w:themeColor="text1"/>
        </w:rPr>
      </w:pPr>
    </w:p>
    <w:p w:rsidR="00D072D5" w:rsidRPr="00AC3C6A" w:rsidRDefault="00B17D64" w:rsidP="00AC3C6A">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b/>
          <w:color w:val="000000" w:themeColor="text1"/>
        </w:rPr>
      </w:pPr>
      <w:r w:rsidRPr="00AC3C6A">
        <w:rPr>
          <w:rFonts w:ascii="Palatino Linotype" w:eastAsia="Palatino Linotype" w:hAnsi="Palatino Linotype" w:cs="Palatino Linotype"/>
          <w:b/>
          <w:color w:val="000000" w:themeColor="text1"/>
        </w:rPr>
        <w:t xml:space="preserve">PRIMERO. </w:t>
      </w:r>
      <w:r w:rsidRPr="00AC3C6A">
        <w:rPr>
          <w:rFonts w:ascii="Palatino Linotype" w:eastAsia="Palatino Linotype" w:hAnsi="Palatino Linotype" w:cs="Palatino Linotype"/>
          <w:color w:val="000000" w:themeColor="text1"/>
        </w:rPr>
        <w:t xml:space="preserve">Se </w:t>
      </w:r>
      <w:r w:rsidRPr="00AC3C6A">
        <w:rPr>
          <w:rFonts w:ascii="Palatino Linotype" w:eastAsia="Palatino Linotype" w:hAnsi="Palatino Linotype" w:cs="Palatino Linotype"/>
          <w:b/>
          <w:color w:val="000000" w:themeColor="text1"/>
        </w:rPr>
        <w:t>SOBRESEE</w:t>
      </w:r>
      <w:r w:rsidRPr="00AC3C6A">
        <w:rPr>
          <w:rFonts w:ascii="Palatino Linotype" w:eastAsia="Palatino Linotype" w:hAnsi="Palatino Linotype" w:cs="Palatino Linotype"/>
          <w:color w:val="000000" w:themeColor="text1"/>
        </w:rPr>
        <w:t xml:space="preserve"> el recurso de revisión número </w:t>
      </w:r>
      <w:r w:rsidRPr="00AC3C6A">
        <w:rPr>
          <w:rFonts w:ascii="Palatino Linotype" w:eastAsia="Palatino Linotype" w:hAnsi="Palatino Linotype" w:cs="Palatino Linotype"/>
          <w:b/>
          <w:color w:val="000000" w:themeColor="text1"/>
        </w:rPr>
        <w:t>05588/INFOEM/IP/RR/2025,</w:t>
      </w:r>
      <w:r w:rsidRPr="00AC3C6A">
        <w:rPr>
          <w:rFonts w:ascii="Palatino Linotype" w:eastAsia="Palatino Linotype" w:hAnsi="Palatino Linotype" w:cs="Palatino Linotype"/>
          <w:color w:val="000000" w:themeColor="text1"/>
        </w:rPr>
        <w:t xml:space="preserve"> porque al modificar la respuesta a través del informe justificado, el recurso de revisión quedó sin materia, conforme a la fracción III del artículo 192 de la Ley de Transparencia y Acceso a la Información Pública del Estado de México y Municipios, en términos del Considerando </w:t>
      </w:r>
      <w:r w:rsidRPr="00AC3C6A">
        <w:rPr>
          <w:rFonts w:ascii="Palatino Linotype" w:eastAsia="Palatino Linotype" w:hAnsi="Palatino Linotype" w:cs="Palatino Linotype"/>
          <w:b/>
          <w:color w:val="000000" w:themeColor="text1"/>
        </w:rPr>
        <w:t>TERCERO</w:t>
      </w:r>
      <w:r w:rsidRPr="00AC3C6A">
        <w:rPr>
          <w:rFonts w:ascii="Palatino Linotype" w:eastAsia="Palatino Linotype" w:hAnsi="Palatino Linotype" w:cs="Palatino Linotype"/>
          <w:color w:val="000000" w:themeColor="text1"/>
        </w:rPr>
        <w:t xml:space="preserve"> de la presente resolución.</w:t>
      </w:r>
    </w:p>
    <w:p w:rsidR="00D072D5" w:rsidRPr="00AC3C6A" w:rsidRDefault="00B17D64" w:rsidP="00AC3C6A">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b/>
          <w:color w:val="000000" w:themeColor="text1"/>
        </w:rPr>
        <w:t xml:space="preserve">SEGUNDO. Notifíquese, </w:t>
      </w:r>
      <w:r w:rsidRPr="00AC3C6A">
        <w:rPr>
          <w:rFonts w:ascii="Palatino Linotype" w:eastAsia="Palatino Linotype" w:hAnsi="Palatino Linotype" w:cs="Palatino Linotype"/>
          <w:color w:val="000000" w:themeColor="text1"/>
        </w:rPr>
        <w:t>vía</w:t>
      </w:r>
      <w:r w:rsidRPr="00AC3C6A">
        <w:rPr>
          <w:rFonts w:ascii="Palatino Linotype" w:eastAsia="Palatino Linotype" w:hAnsi="Palatino Linotype" w:cs="Palatino Linotype"/>
          <w:b/>
          <w:color w:val="000000" w:themeColor="text1"/>
        </w:rPr>
        <w:t xml:space="preserve"> SAIMEX,</w:t>
      </w:r>
      <w:r w:rsidRPr="00AC3C6A">
        <w:rPr>
          <w:rFonts w:ascii="Palatino Linotype" w:eastAsia="Palatino Linotype" w:hAnsi="Palatino Linotype" w:cs="Palatino Linotype"/>
          <w:color w:val="000000" w:themeColor="text1"/>
        </w:rPr>
        <w:t xml:space="preserve"> al Responsable de la Unidad de Transparencia del </w:t>
      </w:r>
      <w:r w:rsidRPr="00AC3C6A">
        <w:rPr>
          <w:rFonts w:ascii="Palatino Linotype" w:eastAsia="Palatino Linotype" w:hAnsi="Palatino Linotype" w:cs="Palatino Linotype"/>
          <w:b/>
          <w:color w:val="000000" w:themeColor="text1"/>
        </w:rPr>
        <w:t>Sujeto Obligado</w:t>
      </w:r>
      <w:r w:rsidRPr="00AC3C6A">
        <w:rPr>
          <w:rFonts w:ascii="Palatino Linotype" w:eastAsia="Palatino Linotype" w:hAnsi="Palatino Linotype" w:cs="Palatino Linotype"/>
          <w:color w:val="000000" w:themeColor="text1"/>
        </w:rPr>
        <w:t xml:space="preserve"> la presente resolución, para su conocimiento.</w:t>
      </w:r>
    </w:p>
    <w:p w:rsidR="00D072D5" w:rsidRPr="00AC3C6A" w:rsidRDefault="00B17D64" w:rsidP="00AC3C6A">
      <w:pPr>
        <w:widowControl w:val="0"/>
        <w:pBdr>
          <w:top w:val="nil"/>
          <w:left w:val="nil"/>
          <w:bottom w:val="nil"/>
          <w:right w:val="nil"/>
          <w:between w:val="nil"/>
        </w:pBdr>
        <w:tabs>
          <w:tab w:val="left" w:pos="1701"/>
        </w:tabs>
        <w:spacing w:before="240" w:line="360" w:lineRule="auto"/>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b/>
          <w:color w:val="000000" w:themeColor="text1"/>
        </w:rPr>
        <w:t xml:space="preserve">TERCERO. Notifíquese </w:t>
      </w:r>
      <w:r w:rsidRPr="00AC3C6A">
        <w:rPr>
          <w:rFonts w:ascii="Palatino Linotype" w:eastAsia="Palatino Linotype" w:hAnsi="Palatino Linotype" w:cs="Palatino Linotype"/>
          <w:color w:val="000000" w:themeColor="text1"/>
        </w:rPr>
        <w:t>a</w:t>
      </w:r>
      <w:r w:rsidRPr="00AC3C6A">
        <w:rPr>
          <w:rFonts w:ascii="Palatino Linotype" w:eastAsia="Palatino Linotype" w:hAnsi="Palatino Linotype" w:cs="Palatino Linotype"/>
          <w:b/>
          <w:color w:val="000000" w:themeColor="text1"/>
        </w:rPr>
        <w:t xml:space="preserve"> EL RECURRENTE</w:t>
      </w:r>
      <w:r w:rsidRPr="00AC3C6A">
        <w:rPr>
          <w:rFonts w:ascii="Palatino Linotype" w:eastAsia="Palatino Linotype" w:hAnsi="Palatino Linotype" w:cs="Palatino Linotype"/>
          <w:color w:val="000000" w:themeColor="text1"/>
        </w:rPr>
        <w:t xml:space="preserve"> la presente resolución, vía </w:t>
      </w:r>
      <w:r w:rsidR="001375A8">
        <w:rPr>
          <w:rFonts w:ascii="Palatino Linotype" w:eastAsia="Palatino Linotype" w:hAnsi="Palatino Linotype" w:cs="Palatino Linotype"/>
          <w:b/>
          <w:color w:val="000000" w:themeColor="text1"/>
        </w:rPr>
        <w:t>SAIMEX</w:t>
      </w:r>
    </w:p>
    <w:p w:rsidR="00D072D5" w:rsidRPr="00AC3C6A" w:rsidRDefault="00D072D5" w:rsidP="00AC3C6A">
      <w:pPr>
        <w:widowControl w:val="0"/>
        <w:pBdr>
          <w:top w:val="nil"/>
          <w:left w:val="nil"/>
          <w:bottom w:val="nil"/>
          <w:right w:val="nil"/>
          <w:between w:val="nil"/>
        </w:pBdr>
        <w:tabs>
          <w:tab w:val="left" w:pos="1701"/>
        </w:tabs>
        <w:spacing w:after="240" w:line="360" w:lineRule="auto"/>
        <w:jc w:val="both"/>
        <w:rPr>
          <w:rFonts w:ascii="Palatino Linotype" w:eastAsia="Palatino Linotype" w:hAnsi="Palatino Linotype" w:cs="Palatino Linotype"/>
          <w:color w:val="000000" w:themeColor="text1"/>
        </w:rPr>
      </w:pPr>
    </w:p>
    <w:p w:rsidR="00D072D5" w:rsidRPr="00AC3C6A" w:rsidRDefault="00B17D64" w:rsidP="00AC3C6A">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color w:val="000000" w:themeColor="text1"/>
        </w:rPr>
      </w:pPr>
      <w:r w:rsidRPr="00AC3C6A">
        <w:rPr>
          <w:rFonts w:ascii="Palatino Linotype" w:eastAsia="Palatino Linotype" w:hAnsi="Palatino Linotype" w:cs="Palatino Linotype"/>
          <w:b/>
          <w:color w:val="000000" w:themeColor="text1"/>
        </w:rPr>
        <w:lastRenderedPageBreak/>
        <w:t xml:space="preserve">CUARTO. </w:t>
      </w:r>
      <w:r w:rsidRPr="00AC3C6A">
        <w:rPr>
          <w:rFonts w:ascii="Palatino Linotype" w:eastAsia="Palatino Linotype" w:hAnsi="Palatino Linotype" w:cs="Palatino Linotype"/>
          <w:color w:val="000000" w:themeColor="text1"/>
        </w:rPr>
        <w:t xml:space="preserve">Se hace del conocimiento de </w:t>
      </w:r>
      <w:r w:rsidRPr="00AC3C6A">
        <w:rPr>
          <w:rFonts w:ascii="Palatino Linotype" w:eastAsia="Palatino Linotype" w:hAnsi="Palatino Linotype" w:cs="Palatino Linotype"/>
          <w:b/>
          <w:color w:val="000000" w:themeColor="text1"/>
        </w:rPr>
        <w:t>EL RECURRENTE</w:t>
      </w:r>
      <w:r w:rsidRPr="00AC3C6A">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w:t>
      </w:r>
    </w:p>
    <w:p w:rsidR="00BE2138" w:rsidRPr="00444783" w:rsidRDefault="00BE2138" w:rsidP="00BE2138">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eastAsia="Palatino Linotype" w:hAnsi="Palatino Linotype" w:cs="Palatino Linotype"/>
        </w:rPr>
        <w:t xml:space="preserve">QUINTA </w:t>
      </w:r>
      <w:r w:rsidRPr="00575AE2">
        <w:rPr>
          <w:rFonts w:ascii="Palatino Linotype" w:eastAsia="Palatino Linotype" w:hAnsi="Palatino Linotype" w:cs="Palatino Linotype"/>
        </w:rPr>
        <w:t xml:space="preserve">SESIÓN ORDINARIA, CELEBRADA EL </w:t>
      </w:r>
      <w:r>
        <w:rPr>
          <w:rFonts w:ascii="Palatino Linotype" w:eastAsia="Palatino Linotype" w:hAnsi="Palatino Linotype" w:cs="Palatino Linotype"/>
        </w:rPr>
        <w:t>PRIMERO (01</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OCTUBRE </w:t>
      </w:r>
      <w:r w:rsidRPr="00575AE2">
        <w:rPr>
          <w:rFonts w:ascii="Palatino Linotype" w:eastAsia="Palatino Linotype" w:hAnsi="Palatino Linotype" w:cs="Palatino Linotype"/>
        </w:rPr>
        <w:t>DE DOS MIL VEINTICINCO, ANTE EL SECRETARIO TÉCNICO DEL PLENO ALEXIS TAPIA RAMÍREZ.</w:t>
      </w:r>
      <w:bookmarkStart w:id="10" w:name="_GoBack"/>
      <w:bookmarkEnd w:id="10"/>
    </w:p>
    <w:p w:rsidR="00D072D5" w:rsidRPr="00AC3C6A" w:rsidRDefault="00D072D5" w:rsidP="00AC3C6A">
      <w:pPr>
        <w:spacing w:before="240" w:after="240" w:line="360" w:lineRule="auto"/>
        <w:jc w:val="both"/>
        <w:rPr>
          <w:rFonts w:ascii="Palatino Linotype" w:eastAsia="Palatino Linotype" w:hAnsi="Palatino Linotype" w:cs="Palatino Linotype"/>
          <w:color w:val="000000" w:themeColor="text1"/>
        </w:rPr>
      </w:pP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D072D5" w:rsidP="00AC3C6A">
      <w:pPr>
        <w:spacing w:line="360" w:lineRule="auto"/>
        <w:jc w:val="both"/>
        <w:rPr>
          <w:rFonts w:ascii="Palatino Linotype" w:eastAsia="Palatino Linotype" w:hAnsi="Palatino Linotype" w:cs="Palatino Linotype"/>
          <w:color w:val="000000" w:themeColor="text1"/>
        </w:rPr>
      </w:pPr>
    </w:p>
    <w:p w:rsidR="00D072D5" w:rsidRPr="00AC3C6A" w:rsidRDefault="00D072D5" w:rsidP="00AC3C6A">
      <w:pPr>
        <w:rPr>
          <w:rFonts w:ascii="Palatino Linotype" w:eastAsia="Palatino Linotype" w:hAnsi="Palatino Linotype" w:cs="Palatino Linotype"/>
          <w:color w:val="000000" w:themeColor="text1"/>
        </w:rPr>
      </w:pPr>
    </w:p>
    <w:p w:rsidR="00D072D5" w:rsidRPr="00AC3C6A" w:rsidRDefault="00D072D5" w:rsidP="00AC3C6A">
      <w:pPr>
        <w:rPr>
          <w:rFonts w:ascii="Palatino Linotype" w:eastAsia="Palatino Linotype" w:hAnsi="Palatino Linotype" w:cs="Palatino Linotype"/>
          <w:color w:val="000000" w:themeColor="text1"/>
        </w:rPr>
      </w:pPr>
    </w:p>
    <w:p w:rsidR="00D072D5" w:rsidRPr="00AC3C6A" w:rsidRDefault="00D072D5" w:rsidP="00AC3C6A">
      <w:pPr>
        <w:rPr>
          <w:rFonts w:ascii="Palatino Linotype" w:eastAsia="Palatino Linotype" w:hAnsi="Palatino Linotype" w:cs="Palatino Linotype"/>
          <w:color w:val="000000" w:themeColor="text1"/>
        </w:rPr>
      </w:pPr>
    </w:p>
    <w:p w:rsidR="00D072D5" w:rsidRPr="00AC3C6A" w:rsidRDefault="00D072D5" w:rsidP="00AC3C6A">
      <w:pPr>
        <w:rPr>
          <w:rFonts w:ascii="Palatino Linotype" w:hAnsi="Palatino Linotype"/>
          <w:color w:val="000000" w:themeColor="text1"/>
        </w:rPr>
      </w:pPr>
    </w:p>
    <w:p w:rsidR="00D072D5" w:rsidRDefault="00D072D5" w:rsidP="00AC3C6A">
      <w:pPr>
        <w:rPr>
          <w:rFonts w:ascii="Palatino Linotype" w:hAnsi="Palatino Linotype"/>
          <w:color w:val="000000" w:themeColor="text1"/>
        </w:rPr>
      </w:pPr>
    </w:p>
    <w:p w:rsidR="001375A8" w:rsidRDefault="001375A8" w:rsidP="00AC3C6A">
      <w:pPr>
        <w:rPr>
          <w:rFonts w:ascii="Palatino Linotype" w:hAnsi="Palatino Linotype"/>
          <w:color w:val="000000" w:themeColor="text1"/>
        </w:rPr>
      </w:pPr>
    </w:p>
    <w:p w:rsidR="001375A8" w:rsidRDefault="001375A8" w:rsidP="00AC3C6A">
      <w:pPr>
        <w:rPr>
          <w:rFonts w:ascii="Palatino Linotype" w:hAnsi="Palatino Linotype"/>
          <w:color w:val="000000" w:themeColor="text1"/>
        </w:rPr>
      </w:pPr>
    </w:p>
    <w:p w:rsidR="001375A8" w:rsidRDefault="001375A8" w:rsidP="00AC3C6A">
      <w:pPr>
        <w:rPr>
          <w:rFonts w:ascii="Palatino Linotype" w:hAnsi="Palatino Linotype"/>
          <w:color w:val="000000" w:themeColor="text1"/>
        </w:rPr>
      </w:pPr>
    </w:p>
    <w:p w:rsidR="001375A8" w:rsidRDefault="001375A8" w:rsidP="00AC3C6A">
      <w:pPr>
        <w:rPr>
          <w:rFonts w:ascii="Palatino Linotype" w:hAnsi="Palatino Linotype"/>
          <w:color w:val="000000" w:themeColor="text1"/>
        </w:rPr>
      </w:pPr>
    </w:p>
    <w:p w:rsidR="001375A8" w:rsidRDefault="001375A8" w:rsidP="00AC3C6A">
      <w:pPr>
        <w:rPr>
          <w:rFonts w:ascii="Palatino Linotype" w:hAnsi="Palatino Linotype"/>
          <w:color w:val="000000" w:themeColor="text1"/>
        </w:rPr>
      </w:pPr>
    </w:p>
    <w:p w:rsidR="001375A8" w:rsidRDefault="001375A8" w:rsidP="00AC3C6A">
      <w:pPr>
        <w:rPr>
          <w:rFonts w:ascii="Palatino Linotype" w:hAnsi="Palatino Linotype"/>
          <w:color w:val="000000" w:themeColor="text1"/>
        </w:rPr>
      </w:pPr>
    </w:p>
    <w:p w:rsidR="001375A8" w:rsidRDefault="001375A8" w:rsidP="00AC3C6A">
      <w:pPr>
        <w:rPr>
          <w:rFonts w:ascii="Palatino Linotype" w:hAnsi="Palatino Linotype"/>
          <w:color w:val="000000" w:themeColor="text1"/>
        </w:rPr>
      </w:pPr>
    </w:p>
    <w:p w:rsidR="001375A8" w:rsidRDefault="001375A8" w:rsidP="00AC3C6A">
      <w:pPr>
        <w:rPr>
          <w:rFonts w:ascii="Palatino Linotype" w:hAnsi="Palatino Linotype"/>
          <w:color w:val="000000" w:themeColor="text1"/>
        </w:rPr>
      </w:pPr>
    </w:p>
    <w:p w:rsidR="001375A8" w:rsidRDefault="001375A8" w:rsidP="00AC3C6A">
      <w:pPr>
        <w:rPr>
          <w:rFonts w:ascii="Palatino Linotype" w:hAnsi="Palatino Linotype"/>
          <w:color w:val="000000" w:themeColor="text1"/>
        </w:rPr>
      </w:pPr>
    </w:p>
    <w:p w:rsidR="001375A8" w:rsidRDefault="001375A8" w:rsidP="00AC3C6A">
      <w:pPr>
        <w:rPr>
          <w:rFonts w:ascii="Palatino Linotype" w:hAnsi="Palatino Linotype"/>
          <w:color w:val="000000" w:themeColor="text1"/>
        </w:rPr>
      </w:pPr>
    </w:p>
    <w:p w:rsidR="001375A8" w:rsidRDefault="001375A8" w:rsidP="00AC3C6A">
      <w:pPr>
        <w:rPr>
          <w:rFonts w:ascii="Palatino Linotype" w:hAnsi="Palatino Linotype"/>
          <w:color w:val="000000" w:themeColor="text1"/>
        </w:rPr>
      </w:pPr>
    </w:p>
    <w:p w:rsidR="001375A8" w:rsidRDefault="001375A8" w:rsidP="00AC3C6A">
      <w:pPr>
        <w:rPr>
          <w:rFonts w:ascii="Palatino Linotype" w:hAnsi="Palatino Linotype"/>
          <w:color w:val="000000" w:themeColor="text1"/>
        </w:rPr>
      </w:pPr>
    </w:p>
    <w:p w:rsidR="001375A8" w:rsidRDefault="001375A8" w:rsidP="00AC3C6A">
      <w:pPr>
        <w:rPr>
          <w:rFonts w:ascii="Palatino Linotype" w:hAnsi="Palatino Linotype"/>
          <w:color w:val="000000" w:themeColor="text1"/>
        </w:rPr>
      </w:pPr>
    </w:p>
    <w:p w:rsidR="001375A8" w:rsidRPr="00AC3C6A" w:rsidRDefault="001375A8" w:rsidP="00AC3C6A">
      <w:pPr>
        <w:rPr>
          <w:rFonts w:ascii="Palatino Linotype" w:hAnsi="Palatino Linotype"/>
          <w:color w:val="000000" w:themeColor="text1"/>
        </w:rPr>
      </w:pPr>
    </w:p>
    <w:sectPr w:rsidR="001375A8" w:rsidRPr="00AC3C6A" w:rsidSect="00AB7156">
      <w:headerReference w:type="even" r:id="rId13"/>
      <w:headerReference w:type="default" r:id="rId14"/>
      <w:footerReference w:type="default" r:id="rId15"/>
      <w:headerReference w:type="first" r:id="rId16"/>
      <w:footerReference w:type="first" r:id="rId17"/>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59C" w:rsidRDefault="0005559C">
      <w:r>
        <w:separator/>
      </w:r>
    </w:p>
  </w:endnote>
  <w:endnote w:type="continuationSeparator" w:id="0">
    <w:p w:rsidR="0005559C" w:rsidRDefault="00055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2D5" w:rsidRDefault="00B17D6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9A10B4">
      <w:rPr>
        <w:rFonts w:ascii="Palatino Linotype" w:eastAsia="Palatino Linotype" w:hAnsi="Palatino Linotype" w:cs="Palatino Linotype"/>
        <w:noProof/>
        <w:color w:val="000000"/>
        <w:sz w:val="20"/>
        <w:szCs w:val="20"/>
      </w:rPr>
      <w:t>22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9A10B4">
      <w:rPr>
        <w:rFonts w:ascii="Palatino Linotype" w:eastAsia="Palatino Linotype" w:hAnsi="Palatino Linotype" w:cs="Palatino Linotype"/>
        <w:noProof/>
        <w:color w:val="000000"/>
        <w:sz w:val="20"/>
        <w:szCs w:val="20"/>
      </w:rPr>
      <w:t>22</w:t>
    </w:r>
    <w:r>
      <w:rPr>
        <w:rFonts w:ascii="Palatino Linotype" w:eastAsia="Palatino Linotype" w:hAnsi="Palatino Linotype" w:cs="Palatino Linotype"/>
        <w:color w:val="000000"/>
        <w:sz w:val="20"/>
        <w:szCs w:val="20"/>
      </w:rPr>
      <w:fldChar w:fldCharType="end"/>
    </w:r>
  </w:p>
  <w:p w:rsidR="00D072D5" w:rsidRDefault="00D072D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2D5" w:rsidRDefault="00B17D6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9A10B4">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9A10B4">
      <w:rPr>
        <w:rFonts w:ascii="Palatino Linotype" w:eastAsia="Palatino Linotype" w:hAnsi="Palatino Linotype" w:cs="Palatino Linotype"/>
        <w:noProof/>
        <w:color w:val="000000"/>
        <w:sz w:val="20"/>
        <w:szCs w:val="20"/>
      </w:rPr>
      <w:t>22</w:t>
    </w:r>
    <w:r>
      <w:rPr>
        <w:rFonts w:ascii="Palatino Linotype" w:eastAsia="Palatino Linotype" w:hAnsi="Palatino Linotype" w:cs="Palatino Linotype"/>
        <w:color w:val="000000"/>
        <w:sz w:val="20"/>
        <w:szCs w:val="20"/>
      </w:rPr>
      <w:fldChar w:fldCharType="end"/>
    </w:r>
  </w:p>
  <w:p w:rsidR="00D072D5" w:rsidRDefault="00D072D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59C" w:rsidRDefault="0005559C">
      <w:r>
        <w:separator/>
      </w:r>
    </w:p>
  </w:footnote>
  <w:footnote w:type="continuationSeparator" w:id="0">
    <w:p w:rsidR="0005559C" w:rsidRDefault="000555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2D5" w:rsidRDefault="0005559C">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033" w:type="dxa"/>
      <w:tblInd w:w="3261" w:type="dxa"/>
      <w:tblLayout w:type="fixed"/>
      <w:tblLook w:val="0400" w:firstRow="0" w:lastRow="0" w:firstColumn="0" w:lastColumn="0" w:noHBand="0" w:noVBand="1"/>
    </w:tblPr>
    <w:tblGrid>
      <w:gridCol w:w="2976"/>
      <w:gridCol w:w="4057"/>
    </w:tblGrid>
    <w:tr w:rsidR="00D072D5" w:rsidTr="00AB7156">
      <w:trPr>
        <w:trHeight w:val="227"/>
      </w:trPr>
      <w:tc>
        <w:tcPr>
          <w:tcW w:w="2976" w:type="dxa"/>
          <w:vAlign w:val="center"/>
        </w:tcPr>
        <w:p w:rsidR="00D072D5" w:rsidRPr="00AC3C6A" w:rsidRDefault="00B17D64" w:rsidP="00AC3C6A">
          <w:pPr>
            <w:ind w:right="34"/>
            <w:jc w:val="right"/>
            <w:rPr>
              <w:rFonts w:ascii="Palatino Linotype" w:eastAsia="Palatino Linotype" w:hAnsi="Palatino Linotype" w:cs="Palatino Linotype"/>
              <w:b/>
            </w:rPr>
          </w:pPr>
          <w:r w:rsidRPr="00AC3C6A">
            <w:rPr>
              <w:rFonts w:ascii="Palatino Linotype" w:eastAsia="Palatino Linotype" w:hAnsi="Palatino Linotype" w:cs="Palatino Linotype"/>
              <w:b/>
            </w:rPr>
            <w:t>Recurso de Revisión:</w:t>
          </w:r>
        </w:p>
      </w:tc>
      <w:tc>
        <w:tcPr>
          <w:tcW w:w="4057" w:type="dxa"/>
          <w:vAlign w:val="center"/>
        </w:tcPr>
        <w:p w:rsidR="00D072D5" w:rsidRPr="00AC3C6A" w:rsidRDefault="00B17D64" w:rsidP="00AC3C6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AC3C6A">
            <w:rPr>
              <w:rFonts w:ascii="Palatino Linotype" w:eastAsia="Palatino Linotype" w:hAnsi="Palatino Linotype" w:cs="Palatino Linotype"/>
              <w:color w:val="000000"/>
            </w:rPr>
            <w:t>05588/INFOEM/IP/RR/2025</w:t>
          </w:r>
        </w:p>
      </w:tc>
    </w:tr>
    <w:tr w:rsidR="00D072D5" w:rsidTr="00AB7156">
      <w:trPr>
        <w:trHeight w:val="242"/>
      </w:trPr>
      <w:tc>
        <w:tcPr>
          <w:tcW w:w="2976" w:type="dxa"/>
          <w:vAlign w:val="center"/>
        </w:tcPr>
        <w:p w:rsidR="00D072D5" w:rsidRPr="00AC3C6A" w:rsidRDefault="00B17D64" w:rsidP="00AC3C6A">
          <w:pPr>
            <w:ind w:right="34"/>
            <w:jc w:val="right"/>
            <w:rPr>
              <w:rFonts w:ascii="Palatino Linotype" w:eastAsia="Palatino Linotype" w:hAnsi="Palatino Linotype" w:cs="Palatino Linotype"/>
              <w:b/>
            </w:rPr>
          </w:pPr>
          <w:r w:rsidRPr="00AC3C6A">
            <w:rPr>
              <w:rFonts w:ascii="Palatino Linotype" w:eastAsia="Palatino Linotype" w:hAnsi="Palatino Linotype" w:cs="Palatino Linotype"/>
              <w:b/>
            </w:rPr>
            <w:t>Sujeto Obligado:</w:t>
          </w:r>
        </w:p>
      </w:tc>
      <w:tc>
        <w:tcPr>
          <w:tcW w:w="4057" w:type="dxa"/>
          <w:vAlign w:val="center"/>
        </w:tcPr>
        <w:p w:rsidR="00D072D5" w:rsidRPr="00AC3C6A" w:rsidRDefault="00B17D64" w:rsidP="00AC3C6A">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AC3C6A">
            <w:rPr>
              <w:rFonts w:ascii="Palatino Linotype" w:eastAsia="Palatino Linotype" w:hAnsi="Palatino Linotype" w:cs="Palatino Linotype"/>
              <w:color w:val="000000"/>
            </w:rPr>
            <w:t>Ayuntamiento de Atlacomulco</w:t>
          </w:r>
        </w:p>
      </w:tc>
    </w:tr>
    <w:tr w:rsidR="00D072D5" w:rsidTr="00AB7156">
      <w:trPr>
        <w:trHeight w:val="342"/>
      </w:trPr>
      <w:tc>
        <w:tcPr>
          <w:tcW w:w="2976" w:type="dxa"/>
          <w:vAlign w:val="center"/>
        </w:tcPr>
        <w:p w:rsidR="00D072D5" w:rsidRPr="00AC3C6A" w:rsidRDefault="00B17D64" w:rsidP="00AC3C6A">
          <w:pPr>
            <w:ind w:right="34"/>
            <w:jc w:val="right"/>
            <w:rPr>
              <w:rFonts w:ascii="Palatino Linotype" w:eastAsia="Palatino Linotype" w:hAnsi="Palatino Linotype" w:cs="Palatino Linotype"/>
              <w:b/>
            </w:rPr>
          </w:pPr>
          <w:r w:rsidRPr="00AC3C6A">
            <w:rPr>
              <w:rFonts w:ascii="Palatino Linotype" w:eastAsia="Palatino Linotype" w:hAnsi="Palatino Linotype" w:cs="Palatino Linotype"/>
              <w:b/>
            </w:rPr>
            <w:t>Comisionada Ponente:</w:t>
          </w:r>
        </w:p>
      </w:tc>
      <w:tc>
        <w:tcPr>
          <w:tcW w:w="4057" w:type="dxa"/>
          <w:vAlign w:val="center"/>
        </w:tcPr>
        <w:p w:rsidR="00D072D5" w:rsidRPr="00AC3C6A" w:rsidRDefault="00B17D64" w:rsidP="00AC3C6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AC3C6A">
            <w:rPr>
              <w:rFonts w:ascii="Palatino Linotype" w:eastAsia="Palatino Linotype" w:hAnsi="Palatino Linotype" w:cs="Palatino Linotype"/>
              <w:color w:val="000000"/>
            </w:rPr>
            <w:t>María del Rosario Mejía Ayala</w:t>
          </w:r>
        </w:p>
      </w:tc>
    </w:tr>
  </w:tbl>
  <w:p w:rsidR="00D072D5" w:rsidRDefault="0005559C">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73.45pt;margin-top:-128.4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6858" w:type="dxa"/>
      <w:tblInd w:w="3261" w:type="dxa"/>
      <w:tblLayout w:type="fixed"/>
      <w:tblLook w:val="0400" w:firstRow="0" w:lastRow="0" w:firstColumn="0" w:lastColumn="0" w:noHBand="0" w:noVBand="1"/>
    </w:tblPr>
    <w:tblGrid>
      <w:gridCol w:w="2977"/>
      <w:gridCol w:w="3881"/>
    </w:tblGrid>
    <w:tr w:rsidR="00D072D5" w:rsidTr="00AB7156">
      <w:trPr>
        <w:trHeight w:val="227"/>
      </w:trPr>
      <w:tc>
        <w:tcPr>
          <w:tcW w:w="2977" w:type="dxa"/>
          <w:vAlign w:val="center"/>
        </w:tcPr>
        <w:p w:rsidR="00D072D5" w:rsidRPr="00AC3C6A" w:rsidRDefault="00B17D64" w:rsidP="00AC3C6A">
          <w:pPr>
            <w:jc w:val="right"/>
            <w:rPr>
              <w:rFonts w:ascii="Palatino Linotype" w:eastAsia="Palatino Linotype" w:hAnsi="Palatino Linotype" w:cs="Palatino Linotype"/>
              <w:b/>
            </w:rPr>
          </w:pPr>
          <w:r w:rsidRPr="00AC3C6A">
            <w:rPr>
              <w:rFonts w:ascii="Palatino Linotype" w:eastAsia="Palatino Linotype" w:hAnsi="Palatino Linotype" w:cs="Palatino Linotype"/>
              <w:b/>
            </w:rPr>
            <w:t>Recurso de Revisión:</w:t>
          </w:r>
        </w:p>
      </w:tc>
      <w:tc>
        <w:tcPr>
          <w:tcW w:w="3881" w:type="dxa"/>
          <w:vAlign w:val="center"/>
        </w:tcPr>
        <w:p w:rsidR="00D072D5" w:rsidRPr="00AC3C6A" w:rsidRDefault="00B17D64" w:rsidP="00AC3C6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AC3C6A">
            <w:rPr>
              <w:rFonts w:ascii="Palatino Linotype" w:eastAsia="Palatino Linotype" w:hAnsi="Palatino Linotype" w:cs="Palatino Linotype"/>
              <w:color w:val="000000"/>
            </w:rPr>
            <w:t>05588/INFOEM/IP/RR/2025</w:t>
          </w:r>
        </w:p>
      </w:tc>
    </w:tr>
    <w:tr w:rsidR="00D072D5" w:rsidTr="00AB7156">
      <w:trPr>
        <w:trHeight w:val="242"/>
      </w:trPr>
      <w:tc>
        <w:tcPr>
          <w:tcW w:w="2977" w:type="dxa"/>
          <w:vAlign w:val="center"/>
        </w:tcPr>
        <w:p w:rsidR="00D072D5" w:rsidRPr="00AC3C6A" w:rsidRDefault="00B17D64" w:rsidP="00AC3C6A">
          <w:pPr>
            <w:jc w:val="right"/>
            <w:rPr>
              <w:rFonts w:ascii="Palatino Linotype" w:eastAsia="Palatino Linotype" w:hAnsi="Palatino Linotype" w:cs="Palatino Linotype"/>
              <w:b/>
            </w:rPr>
          </w:pPr>
          <w:r w:rsidRPr="00AC3C6A">
            <w:rPr>
              <w:rFonts w:ascii="Palatino Linotype" w:eastAsia="Palatino Linotype" w:hAnsi="Palatino Linotype" w:cs="Palatino Linotype"/>
              <w:b/>
            </w:rPr>
            <w:t>Recurrente:</w:t>
          </w:r>
        </w:p>
      </w:tc>
      <w:tc>
        <w:tcPr>
          <w:tcW w:w="3881" w:type="dxa"/>
        </w:tcPr>
        <w:p w:rsidR="00D072D5" w:rsidRPr="00AC3C6A" w:rsidRDefault="00D072D5" w:rsidP="00AC3C6A">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highlight w:val="green"/>
            </w:rPr>
          </w:pPr>
        </w:p>
      </w:tc>
    </w:tr>
    <w:tr w:rsidR="00D072D5" w:rsidTr="00AB7156">
      <w:trPr>
        <w:trHeight w:val="342"/>
      </w:trPr>
      <w:tc>
        <w:tcPr>
          <w:tcW w:w="2977" w:type="dxa"/>
          <w:vAlign w:val="center"/>
        </w:tcPr>
        <w:p w:rsidR="00D072D5" w:rsidRPr="00AC3C6A" w:rsidRDefault="00B17D64" w:rsidP="00AC3C6A">
          <w:pPr>
            <w:jc w:val="right"/>
            <w:rPr>
              <w:rFonts w:ascii="Palatino Linotype" w:eastAsia="Palatino Linotype" w:hAnsi="Palatino Linotype" w:cs="Palatino Linotype"/>
              <w:b/>
            </w:rPr>
          </w:pPr>
          <w:r w:rsidRPr="00AC3C6A">
            <w:rPr>
              <w:rFonts w:ascii="Palatino Linotype" w:eastAsia="Palatino Linotype" w:hAnsi="Palatino Linotype" w:cs="Palatino Linotype"/>
              <w:b/>
            </w:rPr>
            <w:t>Sujeto Obligado:</w:t>
          </w:r>
        </w:p>
      </w:tc>
      <w:tc>
        <w:tcPr>
          <w:tcW w:w="3881" w:type="dxa"/>
          <w:vAlign w:val="center"/>
        </w:tcPr>
        <w:p w:rsidR="00D072D5" w:rsidRPr="00AC3C6A" w:rsidRDefault="00B17D64" w:rsidP="00AC3C6A">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AC3C6A">
            <w:rPr>
              <w:rFonts w:ascii="Palatino Linotype" w:eastAsia="Palatino Linotype" w:hAnsi="Palatino Linotype" w:cs="Palatino Linotype"/>
              <w:color w:val="000000"/>
            </w:rPr>
            <w:t>Ayuntamiento de Atlacomulco</w:t>
          </w:r>
        </w:p>
      </w:tc>
    </w:tr>
    <w:tr w:rsidR="00D072D5" w:rsidTr="00AB7156">
      <w:trPr>
        <w:trHeight w:val="342"/>
      </w:trPr>
      <w:tc>
        <w:tcPr>
          <w:tcW w:w="2977" w:type="dxa"/>
          <w:vAlign w:val="center"/>
        </w:tcPr>
        <w:p w:rsidR="00D072D5" w:rsidRPr="00AC3C6A" w:rsidRDefault="00B17D64" w:rsidP="00AC3C6A">
          <w:pPr>
            <w:jc w:val="right"/>
            <w:rPr>
              <w:rFonts w:ascii="Palatino Linotype" w:eastAsia="Palatino Linotype" w:hAnsi="Palatino Linotype" w:cs="Palatino Linotype"/>
              <w:b/>
            </w:rPr>
          </w:pPr>
          <w:r w:rsidRPr="00AC3C6A">
            <w:rPr>
              <w:rFonts w:ascii="Palatino Linotype" w:eastAsia="Palatino Linotype" w:hAnsi="Palatino Linotype" w:cs="Palatino Linotype"/>
              <w:b/>
            </w:rPr>
            <w:t>Comisionada Ponente:</w:t>
          </w:r>
        </w:p>
      </w:tc>
      <w:tc>
        <w:tcPr>
          <w:tcW w:w="3881" w:type="dxa"/>
          <w:vAlign w:val="center"/>
        </w:tcPr>
        <w:p w:rsidR="00D072D5" w:rsidRPr="00AC3C6A" w:rsidRDefault="00B17D64" w:rsidP="00AC3C6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AC3C6A">
            <w:rPr>
              <w:rFonts w:ascii="Palatino Linotype" w:eastAsia="Palatino Linotype" w:hAnsi="Palatino Linotype" w:cs="Palatino Linotype"/>
              <w:color w:val="000000"/>
            </w:rPr>
            <w:t>María del Rosario Mejía Ayala</w:t>
          </w:r>
        </w:p>
      </w:tc>
    </w:tr>
  </w:tbl>
  <w:p w:rsidR="00D072D5" w:rsidRDefault="0005559C">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24.7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4F61C1"/>
    <w:multiLevelType w:val="multilevel"/>
    <w:tmpl w:val="01104354"/>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47A07CF0"/>
    <w:multiLevelType w:val="multilevel"/>
    <w:tmpl w:val="C6DA421A"/>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 w15:restartNumberingAfterBreak="0">
    <w:nsid w:val="57B33CB3"/>
    <w:multiLevelType w:val="multilevel"/>
    <w:tmpl w:val="ABD2207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EDA15F2"/>
    <w:multiLevelType w:val="multilevel"/>
    <w:tmpl w:val="542EE90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2D5"/>
    <w:rsid w:val="0005559C"/>
    <w:rsid w:val="001375A8"/>
    <w:rsid w:val="007B1619"/>
    <w:rsid w:val="009A10B4"/>
    <w:rsid w:val="00AB7156"/>
    <w:rsid w:val="00AC3C6A"/>
    <w:rsid w:val="00B17D64"/>
    <w:rsid w:val="00BE2138"/>
    <w:rsid w:val="00D072D5"/>
    <w:rsid w:val="00D3316B"/>
    <w:rsid w:val="00EE02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ED35BBC-3FBA-4622-9AA2-C490D3743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E75B5"/>
      <w:sz w:val="32"/>
      <w:szCs w:val="32"/>
    </w:rPr>
  </w:style>
  <w:style w:type="paragraph" w:styleId="Ttulo2">
    <w:name w:val="heading 2"/>
    <w:basedOn w:val="Normal"/>
    <w:next w:val="Normal"/>
    <w:pPr>
      <w:keepNext/>
      <w:keepLines/>
      <w:spacing w:before="40"/>
      <w:outlineLvl w:val="1"/>
    </w:pPr>
    <w:rPr>
      <w:color w:val="2E75B5"/>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uiPriority w:val="9"/>
    <w:rsid w:val="008D659D"/>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uiPriority w:val="9"/>
    <w:rsid w:val="008D659D"/>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D659D"/>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D659D"/>
    <w:rPr>
      <w:rFonts w:ascii="Calibri" w:eastAsiaTheme="minorEastAsia" w:hAnsi="Calibri" w:cs="Calibri"/>
      <w:sz w:val="24"/>
      <w:szCs w:val="24"/>
      <w:lang w:val="es-ES_tradnl" w:eastAsia="es-ES"/>
    </w:rPr>
  </w:style>
  <w:style w:type="paragraph" w:styleId="Piedepgina">
    <w:name w:val="footer"/>
    <w:basedOn w:val="Normal"/>
    <w:link w:val="PiedepginaCar"/>
    <w:uiPriority w:val="99"/>
    <w:unhideWhenUsed/>
    <w:rsid w:val="00774ED2"/>
    <w:pPr>
      <w:tabs>
        <w:tab w:val="center" w:pos="4419"/>
        <w:tab w:val="right" w:pos="8838"/>
      </w:tabs>
    </w:pPr>
  </w:style>
  <w:style w:type="character" w:customStyle="1" w:styleId="PiedepginaCar">
    <w:name w:val="Pie de página Car"/>
    <w:basedOn w:val="Fuentedeprrafopredeter"/>
    <w:link w:val="Piedepgina"/>
    <w:uiPriority w:val="99"/>
    <w:rsid w:val="00774ED2"/>
    <w:rPr>
      <w:rFonts w:ascii="Calibri" w:eastAsiaTheme="minorEastAsia" w:hAnsi="Calibri" w:cs="Calibri"/>
      <w:sz w:val="24"/>
      <w:szCs w:val="24"/>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foem.org.mx/es/content/informacion-publica"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9vwG6A/2PRxQXdkjBTNHWVqKA==">CgMxLjAyCWguM2R5NnZrbTIIaC5namRneHMyDmguOXBmOHZ5MWRna2hkMg5oLmJ1NDhuMzUwN2N4ODIOaC45NjZnaGZmMGIzZm4yDmgubDN4eGFrYzd0NmkwMg5oLnRneWI5cG94cG85ZTIOaC44dnFjOWpwMXV6bzYyCWguMTdkcDh2dTIJaC4zcmRjcmpuOAByITFzNlA4MXVwRzR3VVNrcGZBVHJHMk9BZEdaZWxEZVk4RA==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22</Pages>
  <Words>5226</Words>
  <Characters>28747</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33906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7</cp:revision>
  <cp:lastPrinted>2025-10-03T00:10:00Z</cp:lastPrinted>
  <dcterms:created xsi:type="dcterms:W3CDTF">2025-09-18T19:35:00Z</dcterms:created>
  <dcterms:modified xsi:type="dcterms:W3CDTF">2025-11-06T19:31:00Z</dcterms:modified>
</cp:coreProperties>
</file>