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B65C2"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0" w:name="_heading=h.3rdcrjn" w:colFirst="0" w:colLast="0"/>
      <w:bookmarkStart w:id="1" w:name="_GoBack"/>
      <w:bookmarkEnd w:id="0"/>
      <w:bookmarkEnd w:id="1"/>
      <w:r w:rsidRPr="00E24FD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uno de octubre de dos mil veinticinco. </w:t>
      </w:r>
    </w:p>
    <w:p w14:paraId="33DB6F9C" w14:textId="77777777" w:rsidR="00320E68" w:rsidRPr="00E24FD4" w:rsidRDefault="00146250">
      <w:pPr>
        <w:tabs>
          <w:tab w:val="left" w:pos="5812"/>
        </w:tabs>
        <w:spacing w:before="240" w:after="240" w:line="360" w:lineRule="auto"/>
        <w:jc w:val="both"/>
        <w:rPr>
          <w:rFonts w:ascii="Palatino Linotype" w:eastAsia="Palatino Linotype" w:hAnsi="Palatino Linotype" w:cs="Palatino Linotype"/>
        </w:rPr>
      </w:pPr>
      <w:bookmarkStart w:id="2" w:name="_heading=h.daj3j2xo6q66" w:colFirst="0" w:colLast="0"/>
      <w:bookmarkEnd w:id="2"/>
      <w:r w:rsidRPr="00E24FD4">
        <w:rPr>
          <w:rFonts w:ascii="Palatino Linotype" w:eastAsia="Palatino Linotype" w:hAnsi="Palatino Linotype" w:cs="Palatino Linotype"/>
          <w:b/>
        </w:rPr>
        <w:t>VISTO</w:t>
      </w:r>
      <w:r w:rsidRPr="00E24FD4">
        <w:rPr>
          <w:rFonts w:ascii="Palatino Linotype" w:eastAsia="Palatino Linotype" w:hAnsi="Palatino Linotype" w:cs="Palatino Linotype"/>
        </w:rPr>
        <w:t xml:space="preserve"> el expediente formado con motivo del recurso de revisión </w:t>
      </w:r>
      <w:r w:rsidRPr="00E24FD4">
        <w:rPr>
          <w:rFonts w:ascii="Palatino Linotype" w:eastAsia="Palatino Linotype" w:hAnsi="Palatino Linotype" w:cs="Palatino Linotype"/>
          <w:b/>
        </w:rPr>
        <w:t>08704/INFOEM/IP/RR/2025</w:t>
      </w:r>
      <w:r w:rsidRPr="00E24FD4">
        <w:rPr>
          <w:rFonts w:ascii="Palatino Linotype" w:eastAsia="Palatino Linotype" w:hAnsi="Palatino Linotype" w:cs="Palatino Linotype"/>
        </w:rPr>
        <w:t>, interpuesto por</w:t>
      </w:r>
      <w:r w:rsidRPr="00E24FD4">
        <w:rPr>
          <w:rFonts w:ascii="Palatino Linotype" w:eastAsia="Palatino Linotype" w:hAnsi="Palatino Linotype" w:cs="Palatino Linotype"/>
          <w:b/>
        </w:rPr>
        <w:t xml:space="preserve"> una persona que no proporcionó nombre o seudónimo,</w:t>
      </w:r>
      <w:r w:rsidRPr="00E24FD4">
        <w:rPr>
          <w:rFonts w:ascii="Palatino Linotype" w:eastAsia="Palatino Linotype" w:hAnsi="Palatino Linotype" w:cs="Palatino Linotype"/>
        </w:rPr>
        <w:t xml:space="preserve"> en lo sucesivo</w:t>
      </w:r>
      <w:r w:rsidRPr="00E24FD4">
        <w:rPr>
          <w:rFonts w:ascii="Palatino Linotype" w:eastAsia="Palatino Linotype" w:hAnsi="Palatino Linotype" w:cs="Palatino Linotype"/>
          <w:b/>
        </w:rPr>
        <w:t xml:space="preserve"> </w:t>
      </w:r>
      <w:r w:rsidRPr="00E24FD4">
        <w:rPr>
          <w:rFonts w:ascii="Palatino Linotype" w:eastAsia="Palatino Linotype" w:hAnsi="Palatino Linotype" w:cs="Palatino Linotype"/>
        </w:rPr>
        <w:t xml:space="preserve">la parte </w:t>
      </w:r>
      <w:r w:rsidRPr="00E24FD4">
        <w:rPr>
          <w:rFonts w:ascii="Palatino Linotype" w:eastAsia="Palatino Linotype" w:hAnsi="Palatino Linotype" w:cs="Palatino Linotype"/>
          <w:b/>
        </w:rPr>
        <w:t>Recurrente,</w:t>
      </w:r>
      <w:r w:rsidRPr="00E24FD4">
        <w:rPr>
          <w:rFonts w:ascii="Palatino Linotype" w:eastAsia="Palatino Linotype" w:hAnsi="Palatino Linotype" w:cs="Palatino Linotype"/>
        </w:rPr>
        <w:t xml:space="preserve"> en contra de la respuesta a la solicitud de información con número de folio</w:t>
      </w:r>
      <w:r w:rsidRPr="00E24FD4">
        <w:rPr>
          <w:rFonts w:ascii="Palatino Linotype" w:eastAsia="Palatino Linotype" w:hAnsi="Palatino Linotype" w:cs="Palatino Linotype"/>
          <w:b/>
        </w:rPr>
        <w:t xml:space="preserve"> 00467/ZINACANT/IP/2025, </w:t>
      </w:r>
      <w:r w:rsidRPr="00E24FD4">
        <w:rPr>
          <w:rFonts w:ascii="Palatino Linotype" w:eastAsia="Palatino Linotype" w:hAnsi="Palatino Linotype" w:cs="Palatino Linotype"/>
        </w:rPr>
        <w:t xml:space="preserve">por parte del </w:t>
      </w:r>
      <w:r w:rsidRPr="00E24FD4">
        <w:rPr>
          <w:rFonts w:ascii="Palatino Linotype" w:eastAsia="Palatino Linotype" w:hAnsi="Palatino Linotype" w:cs="Palatino Linotype"/>
          <w:b/>
        </w:rPr>
        <w:t xml:space="preserve">Ayuntamiento de Zinacantepec, </w:t>
      </w:r>
      <w:r w:rsidRPr="00E24FD4">
        <w:rPr>
          <w:rFonts w:ascii="Palatino Linotype" w:eastAsia="Palatino Linotype" w:hAnsi="Palatino Linotype" w:cs="Palatino Linotype"/>
        </w:rPr>
        <w:t xml:space="preserve">en lo sucesivo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 xml:space="preserve">se procede a dictar la presente resolución con base en los siguientes: </w:t>
      </w:r>
    </w:p>
    <w:p w14:paraId="04558CFE" w14:textId="77777777" w:rsidR="00320E68" w:rsidRPr="00E24FD4" w:rsidRDefault="00146250">
      <w:pPr>
        <w:spacing w:before="240" w:after="240" w:line="360" w:lineRule="auto"/>
        <w:jc w:val="center"/>
        <w:rPr>
          <w:rFonts w:ascii="Palatino Linotype" w:eastAsia="Palatino Linotype" w:hAnsi="Palatino Linotype" w:cs="Palatino Linotype"/>
          <w:b/>
        </w:rPr>
      </w:pPr>
      <w:r w:rsidRPr="00E24FD4">
        <w:rPr>
          <w:rFonts w:ascii="Palatino Linotype" w:eastAsia="Palatino Linotype" w:hAnsi="Palatino Linotype" w:cs="Palatino Linotype"/>
          <w:b/>
        </w:rPr>
        <w:t>I. A N T E C E D E N T E S</w:t>
      </w:r>
    </w:p>
    <w:p w14:paraId="610E8D2A"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3" w:name="_heading=h.gjdgxs" w:colFirst="0" w:colLast="0"/>
      <w:bookmarkEnd w:id="3"/>
      <w:r w:rsidRPr="00E24FD4">
        <w:rPr>
          <w:rFonts w:ascii="Palatino Linotype" w:eastAsia="Palatino Linotype" w:hAnsi="Palatino Linotype" w:cs="Palatino Linotype"/>
          <w:b/>
        </w:rPr>
        <w:t>1. Solicitud de acceso a la información.</w:t>
      </w:r>
      <w:r w:rsidRPr="00E24FD4">
        <w:rPr>
          <w:rFonts w:ascii="Palatino Linotype" w:eastAsia="Palatino Linotype" w:hAnsi="Palatino Linotype" w:cs="Palatino Linotype"/>
        </w:rPr>
        <w:t xml:space="preserve"> El </w:t>
      </w:r>
      <w:r w:rsidRPr="00E24FD4">
        <w:rPr>
          <w:rFonts w:ascii="Palatino Linotype" w:eastAsia="Palatino Linotype" w:hAnsi="Palatino Linotype" w:cs="Palatino Linotype"/>
          <w:b/>
        </w:rPr>
        <w:t>diecisiete de junio de dos mil veinticinco,</w:t>
      </w:r>
      <w:r w:rsidRPr="00E24FD4">
        <w:rPr>
          <w:rFonts w:ascii="Palatino Linotype" w:eastAsia="Palatino Linotype" w:hAnsi="Palatino Linotype" w:cs="Palatino Linotype"/>
        </w:rPr>
        <w:t xml:space="preserve"> la parte </w:t>
      </w:r>
      <w:r w:rsidRPr="00E24FD4">
        <w:rPr>
          <w:rFonts w:ascii="Palatino Linotype" w:eastAsia="Palatino Linotype" w:hAnsi="Palatino Linotype" w:cs="Palatino Linotype"/>
          <w:b/>
        </w:rPr>
        <w:t xml:space="preserve">Recurrente </w:t>
      </w:r>
      <w:r w:rsidRPr="00E24FD4">
        <w:rPr>
          <w:rFonts w:ascii="Palatino Linotype" w:eastAsia="Palatino Linotype" w:hAnsi="Palatino Linotype" w:cs="Palatino Linotype"/>
        </w:rPr>
        <w:t xml:space="preserve">presentó la solicitud de acceso a la información pública ante 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xml:space="preserve">, a través del Sistema de Acceso a la Información Mexiquense, en lo subsecuente el </w:t>
      </w:r>
      <w:r w:rsidRPr="00E24FD4">
        <w:rPr>
          <w:rFonts w:ascii="Palatino Linotype" w:eastAsia="Palatino Linotype" w:hAnsi="Palatino Linotype" w:cs="Palatino Linotype"/>
          <w:b/>
        </w:rPr>
        <w:t>SAIMEX,</w:t>
      </w:r>
      <w:r w:rsidRPr="00E24FD4">
        <w:rPr>
          <w:rFonts w:ascii="Palatino Linotype" w:eastAsia="Palatino Linotype" w:hAnsi="Palatino Linotype" w:cs="Palatino Linotype"/>
        </w:rPr>
        <w:t xml:space="preserve"> mediante la cual requirió lo siguiente:</w:t>
      </w:r>
    </w:p>
    <w:p w14:paraId="064A7A80" w14:textId="77777777" w:rsidR="00320E68" w:rsidRPr="00E24FD4" w:rsidRDefault="00146250">
      <w:pPr>
        <w:spacing w:before="120" w:after="120"/>
        <w:ind w:left="851" w:right="902"/>
        <w:jc w:val="both"/>
        <w:rPr>
          <w:rFonts w:ascii="Palatino Linotype" w:eastAsia="Palatino Linotype" w:hAnsi="Palatino Linotype" w:cs="Palatino Linotype"/>
          <w:b/>
          <w:i/>
          <w:sz w:val="22"/>
          <w:szCs w:val="22"/>
        </w:rPr>
      </w:pPr>
      <w:r w:rsidRPr="00E24FD4">
        <w:rPr>
          <w:rFonts w:ascii="Palatino Linotype" w:eastAsia="Palatino Linotype" w:hAnsi="Palatino Linotype" w:cs="Palatino Linotype"/>
          <w:i/>
          <w:sz w:val="22"/>
          <w:szCs w:val="22"/>
        </w:rPr>
        <w:t xml:space="preserve"> “Solicito las renuncias de todo lo que va del año 2025</w:t>
      </w:r>
      <w:r w:rsidRPr="00E24FD4">
        <w:rPr>
          <w:rFonts w:ascii="Palatino Linotype" w:eastAsia="Palatino Linotype" w:hAnsi="Palatino Linotype" w:cs="Palatino Linotype"/>
          <w:b/>
          <w:i/>
          <w:sz w:val="22"/>
          <w:szCs w:val="22"/>
        </w:rPr>
        <w:t>”</w:t>
      </w:r>
      <w:r w:rsidRPr="00E24FD4">
        <w:rPr>
          <w:rFonts w:ascii="Palatino Linotype" w:eastAsia="Palatino Linotype" w:hAnsi="Palatino Linotype" w:cs="Palatino Linotype"/>
          <w:i/>
          <w:sz w:val="22"/>
          <w:szCs w:val="22"/>
        </w:rPr>
        <w:t xml:space="preserve"> (sic) </w:t>
      </w:r>
    </w:p>
    <w:p w14:paraId="724A25BD"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E24FD4">
        <w:rPr>
          <w:rFonts w:ascii="Palatino Linotype" w:eastAsia="Palatino Linotype" w:hAnsi="Palatino Linotype" w:cs="Palatino Linotype"/>
          <w:b/>
        </w:rPr>
        <w:t>Modalidad de Entrega:</w:t>
      </w:r>
      <w:r w:rsidRPr="00E24FD4">
        <w:rPr>
          <w:rFonts w:ascii="Palatino Linotype" w:eastAsia="Palatino Linotype" w:hAnsi="Palatino Linotype" w:cs="Palatino Linotype"/>
        </w:rPr>
        <w:t xml:space="preserve"> a través del</w:t>
      </w:r>
      <w:r w:rsidRPr="00E24FD4">
        <w:rPr>
          <w:rFonts w:ascii="Palatino Linotype" w:eastAsia="Palatino Linotype" w:hAnsi="Palatino Linotype" w:cs="Palatino Linotype"/>
          <w:b/>
        </w:rPr>
        <w:t xml:space="preserve"> SAIMEX.</w:t>
      </w:r>
    </w:p>
    <w:p w14:paraId="2196A811" w14:textId="77777777" w:rsidR="00320E68" w:rsidRPr="00E24FD4" w:rsidRDefault="00146250">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b/>
        </w:rPr>
        <w:t xml:space="preserve">2. Prórroga. </w:t>
      </w:r>
      <w:r w:rsidRPr="00E24FD4">
        <w:rPr>
          <w:rFonts w:ascii="Palatino Linotype" w:eastAsia="Palatino Linotype" w:hAnsi="Palatino Linotype" w:cs="Palatino Linotype"/>
        </w:rPr>
        <w:t xml:space="preserve">El </w:t>
      </w:r>
      <w:r w:rsidRPr="00E24FD4">
        <w:rPr>
          <w:rFonts w:ascii="Palatino Linotype" w:eastAsia="Palatino Linotype" w:hAnsi="Palatino Linotype" w:cs="Palatino Linotype"/>
          <w:b/>
        </w:rPr>
        <w:t>ocho de julio del dos mil veinticinco</w:t>
      </w:r>
      <w:r w:rsidRPr="00E24FD4">
        <w:rPr>
          <w:rFonts w:ascii="Palatino Linotype" w:eastAsia="Palatino Linotype" w:hAnsi="Palatino Linotype" w:cs="Palatino Linotype"/>
        </w:rPr>
        <w:t xml:space="preserve">, 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xml:space="preserve"> notificó a la persona solicitante la prórroga para dar respuesta a la solicitud</w:t>
      </w:r>
      <w:r w:rsidRPr="00E24FD4">
        <w:rPr>
          <w:rFonts w:ascii="Palatino Linotype" w:eastAsia="Palatino Linotype" w:hAnsi="Palatino Linotype" w:cs="Palatino Linotype"/>
          <w:b/>
        </w:rPr>
        <w:t>,</w:t>
      </w:r>
      <w:r w:rsidRPr="00E24FD4">
        <w:rPr>
          <w:rFonts w:ascii="Palatino Linotype" w:eastAsia="Palatino Linotype" w:hAnsi="Palatino Linotype" w:cs="Palatino Linotype"/>
        </w:rPr>
        <w:t xml:space="preserve"> medularmente en los siguientes términos:</w:t>
      </w:r>
    </w:p>
    <w:p w14:paraId="2BBA56F0"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 “Con fundamento en el artículo 163 de la Ley de Transparencia y Acceso a la Información Pública del Estado de México y Municipios, se le hace de su </w:t>
      </w:r>
      <w:r w:rsidRPr="00E24FD4">
        <w:rPr>
          <w:rFonts w:ascii="Palatino Linotype" w:eastAsia="Palatino Linotype" w:hAnsi="Palatino Linotype" w:cs="Palatino Linotype"/>
          <w:i/>
          <w:sz w:val="22"/>
          <w:szCs w:val="22"/>
        </w:rPr>
        <w:lastRenderedPageBreak/>
        <w:t>conocimiento que el plazo de 15 días hábiles para atender su solicitud de información ha sido prorrogado por 7 días en virtud de las siguientes razones:</w:t>
      </w:r>
    </w:p>
    <w:p w14:paraId="26A608F6"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se aprueba prórroga solicitada con la finalidad de dar cabal cumplimiento a su requerimiento </w:t>
      </w:r>
      <w:proofErr w:type="gramStart"/>
      <w:r w:rsidRPr="00E24FD4">
        <w:rPr>
          <w:rFonts w:ascii="Palatino Linotype" w:eastAsia="Palatino Linotype" w:hAnsi="Palatino Linotype" w:cs="Palatino Linotype"/>
          <w:i/>
          <w:sz w:val="22"/>
          <w:szCs w:val="22"/>
        </w:rPr>
        <w:t>“ (</w:t>
      </w:r>
      <w:proofErr w:type="gramEnd"/>
      <w:r w:rsidRPr="00E24FD4">
        <w:rPr>
          <w:rFonts w:ascii="Palatino Linotype" w:eastAsia="Palatino Linotype" w:hAnsi="Palatino Linotype" w:cs="Palatino Linotype"/>
          <w:i/>
          <w:sz w:val="22"/>
          <w:szCs w:val="22"/>
        </w:rPr>
        <w:t>sic)</w:t>
      </w:r>
    </w:p>
    <w:p w14:paraId="4AB27BB1"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Como refiere 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C40033A"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b/>
        </w:rPr>
        <w:t xml:space="preserve">3. Respuesta. </w:t>
      </w:r>
      <w:r w:rsidRPr="00E24FD4">
        <w:rPr>
          <w:rFonts w:ascii="Palatino Linotype" w:eastAsia="Palatino Linotype" w:hAnsi="Palatino Linotype" w:cs="Palatino Linotype"/>
        </w:rPr>
        <w:t xml:space="preserve">El </w:t>
      </w:r>
      <w:r w:rsidRPr="00E24FD4">
        <w:rPr>
          <w:rFonts w:ascii="Palatino Linotype" w:eastAsia="Palatino Linotype" w:hAnsi="Palatino Linotype" w:cs="Palatino Linotype"/>
          <w:b/>
        </w:rPr>
        <w:t>dieciséis de julio de dos mil veinticinco,</w:t>
      </w:r>
      <w:r w:rsidRPr="00E24FD4">
        <w:rPr>
          <w:rFonts w:ascii="Palatino Linotype" w:eastAsia="Palatino Linotype" w:hAnsi="Palatino Linotype" w:cs="Palatino Linotype"/>
        </w:rPr>
        <w:t xml:space="preserve">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7EC89E4F" w14:textId="77777777" w:rsidR="00320E68" w:rsidRPr="00E24FD4" w:rsidRDefault="00146250">
      <w:pPr>
        <w:spacing w:before="240" w:after="24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w:t>
      </w:r>
      <w:r w:rsidRPr="00E24FD4">
        <w:rPr>
          <w:rFonts w:ascii="Palatino Linotype" w:eastAsia="Palatino Linotype" w:hAnsi="Palatino Linotype" w:cs="Palatino Linotype"/>
          <w:i/>
          <w:sz w:val="22"/>
          <w:szCs w:val="22"/>
        </w:rPr>
        <w:lastRenderedPageBreak/>
        <w:t>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716E3F85"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adjuntó lo siguiente:</w:t>
      </w:r>
    </w:p>
    <w:p w14:paraId="2D87D737"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 Escrito mediante el cual la titular de la Unidad de Transparencia notificó a la persona solicitante la respuesta proporcionada por el área competente. </w:t>
      </w:r>
    </w:p>
    <w:p w14:paraId="4F58233C"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 Oficio número ZIN/DA/SRH/175/2025 mediante el cual el Subdirector de Recursos Humanos refirió adjuntar el archivo electrónico denominado “Renuncias 2025” en versión pública.</w:t>
      </w:r>
    </w:p>
    <w:p w14:paraId="034C8EDD"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- 32 escritos de renuncia testados.</w:t>
      </w:r>
    </w:p>
    <w:p w14:paraId="2B117480"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b/>
        </w:rPr>
        <w:t xml:space="preserve">4. Interposición del recurso de revisión. </w:t>
      </w:r>
      <w:r w:rsidRPr="00E24FD4">
        <w:rPr>
          <w:rFonts w:ascii="Palatino Linotype" w:eastAsia="Palatino Linotype" w:hAnsi="Palatino Linotype" w:cs="Palatino Linotype"/>
        </w:rPr>
        <w:t xml:space="preserve">Inconforme con los términos de la respuesta emitida por parte del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xml:space="preserve">, el </w:t>
      </w:r>
      <w:r w:rsidRPr="00E24FD4">
        <w:rPr>
          <w:rFonts w:ascii="Palatino Linotype" w:eastAsia="Palatino Linotype" w:hAnsi="Palatino Linotype" w:cs="Palatino Linotype"/>
          <w:b/>
        </w:rPr>
        <w:t>diecisiete de julio de dos mil veinticinco,</w:t>
      </w:r>
      <w:r w:rsidRPr="00E24FD4">
        <w:rPr>
          <w:rFonts w:ascii="Palatino Linotype" w:eastAsia="Palatino Linotype" w:hAnsi="Palatino Linotype" w:cs="Palatino Linotype"/>
        </w:rPr>
        <w:t xml:space="preserve"> la parte </w:t>
      </w:r>
      <w:r w:rsidRPr="00E24FD4">
        <w:rPr>
          <w:rFonts w:ascii="Palatino Linotype" w:eastAsia="Palatino Linotype" w:hAnsi="Palatino Linotype" w:cs="Palatino Linotype"/>
          <w:b/>
        </w:rPr>
        <w:t>Recurrente</w:t>
      </w:r>
      <w:r w:rsidRPr="00E24FD4">
        <w:rPr>
          <w:rFonts w:ascii="Palatino Linotype" w:eastAsia="Palatino Linotype" w:hAnsi="Palatino Linotype" w:cs="Palatino Linotype"/>
        </w:rPr>
        <w:t xml:space="preserve"> interpuso el recurso de revisión a través de </w:t>
      </w:r>
      <w:r w:rsidRPr="00E24FD4">
        <w:rPr>
          <w:rFonts w:ascii="Palatino Linotype" w:eastAsia="Palatino Linotype" w:hAnsi="Palatino Linotype" w:cs="Palatino Linotype"/>
          <w:b/>
        </w:rPr>
        <w:t xml:space="preserve">SAIMEX, </w:t>
      </w:r>
      <w:r w:rsidRPr="00E24FD4">
        <w:rPr>
          <w:rFonts w:ascii="Palatino Linotype" w:eastAsia="Palatino Linotype" w:hAnsi="Palatino Linotype" w:cs="Palatino Linotype"/>
        </w:rPr>
        <w:t>en donde se manifestó de la siguiente manera:</w:t>
      </w:r>
    </w:p>
    <w:p w14:paraId="57AF1F87" w14:textId="77777777" w:rsidR="00320E68" w:rsidRPr="00E24FD4" w:rsidRDefault="00146250">
      <w:pPr>
        <w:spacing w:before="240" w:after="240" w:line="360" w:lineRule="auto"/>
        <w:ind w:right="49"/>
        <w:jc w:val="both"/>
        <w:rPr>
          <w:rFonts w:ascii="Palatino Linotype" w:eastAsia="Palatino Linotype" w:hAnsi="Palatino Linotype" w:cs="Palatino Linotype"/>
          <w:b/>
        </w:rPr>
      </w:pPr>
      <w:r w:rsidRPr="00E24FD4">
        <w:rPr>
          <w:rFonts w:ascii="Palatino Linotype" w:eastAsia="Palatino Linotype" w:hAnsi="Palatino Linotype" w:cs="Palatino Linotype"/>
          <w:b/>
        </w:rPr>
        <w:t xml:space="preserve">Acto impugnado: </w:t>
      </w:r>
    </w:p>
    <w:p w14:paraId="74596464" w14:textId="77777777" w:rsidR="00320E68" w:rsidRPr="00E24FD4" w:rsidRDefault="00146250">
      <w:pPr>
        <w:tabs>
          <w:tab w:val="left" w:pos="2745"/>
        </w:tabs>
        <w:spacing w:before="240" w:after="24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“NO ENTREGA INFORMACION” (sic)</w:t>
      </w:r>
    </w:p>
    <w:p w14:paraId="246D552E" w14:textId="77777777" w:rsidR="00320E68" w:rsidRPr="00E24FD4" w:rsidRDefault="00146250">
      <w:pPr>
        <w:spacing w:line="360" w:lineRule="auto"/>
        <w:jc w:val="both"/>
        <w:rPr>
          <w:rFonts w:ascii="Palatino Linotype" w:eastAsia="Palatino Linotype" w:hAnsi="Palatino Linotype" w:cs="Palatino Linotype"/>
        </w:rPr>
      </w:pPr>
      <w:bookmarkStart w:id="5" w:name="_heading=h.30j0zll" w:colFirst="0" w:colLast="0"/>
      <w:bookmarkEnd w:id="5"/>
      <w:r w:rsidRPr="00E24FD4">
        <w:rPr>
          <w:rFonts w:ascii="Palatino Linotype" w:eastAsia="Palatino Linotype" w:hAnsi="Palatino Linotype" w:cs="Palatino Linotype"/>
          <w:b/>
        </w:rPr>
        <w:t>Y, Razones o motivos de inconformidad</w:t>
      </w:r>
      <w:r w:rsidRPr="00E24FD4">
        <w:rPr>
          <w:rFonts w:ascii="Palatino Linotype" w:eastAsia="Palatino Linotype" w:hAnsi="Palatino Linotype" w:cs="Palatino Linotype"/>
        </w:rPr>
        <w:t>:</w:t>
      </w:r>
    </w:p>
    <w:p w14:paraId="11697B23" w14:textId="77777777" w:rsidR="00320E68" w:rsidRPr="00E24FD4" w:rsidRDefault="00146250">
      <w:pPr>
        <w:tabs>
          <w:tab w:val="left" w:pos="2745"/>
        </w:tabs>
        <w:spacing w:before="240" w:after="24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“NO ENTREGA INFORMACION, NO ENTREGA INFORMACION COMPLETA Y SIN ACTA DEL COMITE OMISOS” (sic)</w:t>
      </w:r>
    </w:p>
    <w:p w14:paraId="16A5B4C0" w14:textId="77777777" w:rsidR="00320E68" w:rsidRPr="00E24FD4" w:rsidRDefault="00146250">
      <w:pPr>
        <w:spacing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b/>
        </w:rPr>
        <w:t xml:space="preserve">5. Turno. </w:t>
      </w:r>
      <w:r w:rsidRPr="00E24FD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24FD4">
        <w:rPr>
          <w:rFonts w:ascii="Palatino Linotype" w:eastAsia="Palatino Linotype" w:hAnsi="Palatino Linotype" w:cs="Palatino Linotype"/>
          <w:b/>
        </w:rPr>
        <w:t xml:space="preserve">Guadalupe Ramírez Peña, </w:t>
      </w:r>
      <w:r w:rsidRPr="00E24FD4">
        <w:rPr>
          <w:rFonts w:ascii="Palatino Linotype" w:eastAsia="Palatino Linotype" w:hAnsi="Palatino Linotype" w:cs="Palatino Linotype"/>
        </w:rPr>
        <w:t xml:space="preserve">a efecto de que analizara sobre su admisión o su </w:t>
      </w:r>
      <w:proofErr w:type="spellStart"/>
      <w:r w:rsidRPr="00E24FD4">
        <w:rPr>
          <w:rFonts w:ascii="Palatino Linotype" w:eastAsia="Palatino Linotype" w:hAnsi="Palatino Linotype" w:cs="Palatino Linotype"/>
        </w:rPr>
        <w:t>desechamiento</w:t>
      </w:r>
      <w:proofErr w:type="spellEnd"/>
      <w:r w:rsidRPr="00E24FD4">
        <w:rPr>
          <w:rFonts w:ascii="Palatino Linotype" w:eastAsia="Palatino Linotype" w:hAnsi="Palatino Linotype" w:cs="Palatino Linotype"/>
        </w:rPr>
        <w:t>.</w:t>
      </w:r>
    </w:p>
    <w:p w14:paraId="6E13E4B7" w14:textId="77777777" w:rsidR="00320E68" w:rsidRPr="00E24FD4" w:rsidRDefault="00146250">
      <w:pPr>
        <w:spacing w:before="240" w:after="240" w:line="360" w:lineRule="auto"/>
        <w:jc w:val="both"/>
        <w:rPr>
          <w:rFonts w:ascii="Palatino Linotype" w:eastAsia="Palatino Linotype" w:hAnsi="Palatino Linotype" w:cs="Palatino Linotype"/>
          <w:b/>
        </w:rPr>
      </w:pPr>
      <w:r w:rsidRPr="00E24FD4">
        <w:rPr>
          <w:rFonts w:ascii="Palatino Linotype" w:eastAsia="Palatino Linotype" w:hAnsi="Palatino Linotype" w:cs="Palatino Linotype"/>
          <w:b/>
        </w:rPr>
        <w:t>6. Admisión del Recurso de revisión.</w:t>
      </w:r>
      <w:r w:rsidRPr="00E24FD4">
        <w:rPr>
          <w:rFonts w:ascii="Palatino Linotype" w:eastAsia="Palatino Linotype" w:hAnsi="Palatino Linotype" w:cs="Palatino Linotype"/>
        </w:rPr>
        <w:t xml:space="preserve"> El</w:t>
      </w:r>
      <w:r w:rsidRPr="00E24FD4">
        <w:rPr>
          <w:rFonts w:ascii="Palatino Linotype" w:eastAsia="Palatino Linotype" w:hAnsi="Palatino Linotype" w:cs="Palatino Linotype"/>
          <w:b/>
        </w:rPr>
        <w:t xml:space="preserve"> cinco de agosto de dos mil veinticinco, </w:t>
      </w:r>
      <w:r w:rsidRPr="00E24FD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presentara su informe justificado.</w:t>
      </w:r>
    </w:p>
    <w:p w14:paraId="0C3A3ED0"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6" w:name="_heading=h.2s8eyo1" w:colFirst="0" w:colLast="0"/>
      <w:bookmarkEnd w:id="6"/>
      <w:r w:rsidRPr="00E24FD4">
        <w:rPr>
          <w:rFonts w:ascii="Palatino Linotype" w:eastAsia="Palatino Linotype" w:hAnsi="Palatino Linotype" w:cs="Palatino Linotype"/>
          <w:b/>
        </w:rPr>
        <w:t>7. Manifestaciones</w:t>
      </w:r>
      <w:r w:rsidRPr="00E24FD4">
        <w:rPr>
          <w:rFonts w:ascii="Palatino Linotype" w:eastAsia="Palatino Linotype" w:hAnsi="Palatino Linotype" w:cs="Palatino Linotype"/>
        </w:rPr>
        <w:t xml:space="preserve">. De las constancias que obran en el expediente electrónico del SAIMEX se desprende que 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xml:space="preserve"> no rindió su Informe Justificado, del mismo modo la parte</w:t>
      </w:r>
      <w:r w:rsidRPr="00E24FD4">
        <w:rPr>
          <w:rFonts w:ascii="Palatino Linotype" w:eastAsia="Palatino Linotype" w:hAnsi="Palatino Linotype" w:cs="Palatino Linotype"/>
          <w:b/>
        </w:rPr>
        <w:t xml:space="preserve"> Recurrente</w:t>
      </w:r>
      <w:r w:rsidRPr="00E24FD4">
        <w:rPr>
          <w:rFonts w:ascii="Palatino Linotype" w:eastAsia="Palatino Linotype" w:hAnsi="Palatino Linotype" w:cs="Palatino Linotype"/>
        </w:rPr>
        <w:t xml:space="preserve"> omitió realizar manifestaciones, como se observa a continuación:</w:t>
      </w:r>
    </w:p>
    <w:p w14:paraId="31886EA1"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noProof/>
        </w:rPr>
        <w:drawing>
          <wp:inline distT="0" distB="0" distL="0" distR="0" wp14:anchorId="3A2C0E5C" wp14:editId="472FB477">
            <wp:extent cx="5612130" cy="1588135"/>
            <wp:effectExtent l="0" t="0" r="0" b="0"/>
            <wp:docPr id="21401318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88135"/>
                    </a:xfrm>
                    <a:prstGeom prst="rect">
                      <a:avLst/>
                    </a:prstGeom>
                    <a:ln/>
                  </pic:spPr>
                </pic:pic>
              </a:graphicData>
            </a:graphic>
          </wp:inline>
        </w:drawing>
      </w:r>
    </w:p>
    <w:p w14:paraId="5A08F1C0"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b/>
        </w:rPr>
        <w:t xml:space="preserve">8. Cierre de instrucción. </w:t>
      </w:r>
      <w:r w:rsidRPr="00E24FD4">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E24FD4">
        <w:rPr>
          <w:rFonts w:ascii="Palatino Linotype" w:eastAsia="Palatino Linotype" w:hAnsi="Palatino Linotype" w:cs="Palatino Linotype"/>
          <w:b/>
        </w:rPr>
        <w:t>uno de septiembre de dos mil veinticinco</w:t>
      </w:r>
      <w:r w:rsidRPr="00E24FD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42F35BB" w14:textId="77777777" w:rsidR="00320E68" w:rsidRPr="00E24FD4" w:rsidRDefault="00146250">
      <w:pPr>
        <w:spacing w:before="240" w:after="240" w:line="360" w:lineRule="auto"/>
        <w:jc w:val="both"/>
        <w:rPr>
          <w:rFonts w:ascii="Palatino Linotype" w:eastAsia="Palatino Linotype" w:hAnsi="Palatino Linotype" w:cs="Palatino Linotype"/>
          <w:b/>
        </w:rPr>
      </w:pPr>
      <w:r w:rsidRPr="00E24FD4">
        <w:rPr>
          <w:rFonts w:ascii="Palatino Linotype" w:eastAsia="Palatino Linotype" w:hAnsi="Palatino Linotype" w:cs="Palatino Linotype"/>
          <w:b/>
        </w:rPr>
        <w:t>9</w:t>
      </w:r>
      <w:r w:rsidRPr="00E24FD4">
        <w:rPr>
          <w:rFonts w:ascii="Palatino Linotype" w:eastAsia="Palatino Linotype" w:hAnsi="Palatino Linotype" w:cs="Palatino Linotype"/>
        </w:rPr>
        <w:t xml:space="preserve">. </w:t>
      </w:r>
      <w:r w:rsidRPr="00E24FD4">
        <w:rPr>
          <w:rFonts w:ascii="Palatino Linotype" w:eastAsia="Palatino Linotype" w:hAnsi="Palatino Linotype" w:cs="Palatino Linotype"/>
          <w:b/>
        </w:rPr>
        <w:t>Ampliación del término para resolver</w:t>
      </w:r>
      <w:r w:rsidRPr="00E24FD4">
        <w:rPr>
          <w:rFonts w:ascii="Palatino Linotype" w:eastAsia="Palatino Linotype" w:hAnsi="Palatino Linotype" w:cs="Palatino Linotype"/>
        </w:rPr>
        <w:t xml:space="preserve">. El </w:t>
      </w:r>
      <w:r w:rsidRPr="00E24FD4">
        <w:rPr>
          <w:rFonts w:ascii="Palatino Linotype" w:eastAsia="Palatino Linotype" w:hAnsi="Palatino Linotype" w:cs="Palatino Linotype"/>
          <w:b/>
        </w:rPr>
        <w:t>diez de septiembre de dos mil veinticinco</w:t>
      </w:r>
      <w:r w:rsidRPr="00E24FD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22D1EC0"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8018118" w14:textId="77777777" w:rsidR="00320E68" w:rsidRPr="00E24FD4" w:rsidRDefault="00146250">
      <w:pPr>
        <w:widowControl w:val="0"/>
        <w:spacing w:before="240" w:after="240" w:line="360" w:lineRule="auto"/>
        <w:jc w:val="center"/>
        <w:rPr>
          <w:rFonts w:ascii="Palatino Linotype" w:eastAsia="Palatino Linotype" w:hAnsi="Palatino Linotype" w:cs="Palatino Linotype"/>
          <w:b/>
        </w:rPr>
      </w:pPr>
      <w:r w:rsidRPr="00E24FD4">
        <w:rPr>
          <w:rFonts w:ascii="Palatino Linotype" w:eastAsia="Palatino Linotype" w:hAnsi="Palatino Linotype" w:cs="Palatino Linotype"/>
          <w:b/>
        </w:rPr>
        <w:t>II. C O N S I D E R A N D O S</w:t>
      </w:r>
    </w:p>
    <w:p w14:paraId="4CC24B49"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b/>
        </w:rPr>
        <w:t>Primero. Competencia.</w:t>
      </w:r>
      <w:r w:rsidRPr="00E24FD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4CF19FE"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E24FD4">
        <w:rPr>
          <w:rFonts w:ascii="Palatino Linotype" w:eastAsia="Palatino Linotype" w:hAnsi="Palatino Linotype" w:cs="Palatino Linotype"/>
          <w:b/>
        </w:rPr>
        <w:t>Segundo. Oportunidad y Procedibilidad del Recurso de Revisión</w:t>
      </w:r>
      <w:r w:rsidRPr="00E24FD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8250363"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 xml:space="preserve">remitió la respuesta a la solicitud de información el día </w:t>
      </w:r>
      <w:r w:rsidRPr="00E24FD4">
        <w:rPr>
          <w:rFonts w:ascii="Palatino Linotype" w:eastAsia="Palatino Linotype" w:hAnsi="Palatino Linotype" w:cs="Palatino Linotype"/>
          <w:b/>
        </w:rPr>
        <w:t xml:space="preserve">dieciséis de julio de dos mil veinticinco, </w:t>
      </w:r>
      <w:r w:rsidRPr="00E24FD4">
        <w:rPr>
          <w:rFonts w:ascii="Palatino Linotype" w:eastAsia="Palatino Linotype" w:hAnsi="Palatino Linotype" w:cs="Palatino Linotype"/>
        </w:rPr>
        <w:t xml:space="preserve">mientras que el recurso de revisión interpuesto por la parte </w:t>
      </w:r>
      <w:r w:rsidRPr="00E24FD4">
        <w:rPr>
          <w:rFonts w:ascii="Palatino Linotype" w:eastAsia="Palatino Linotype" w:hAnsi="Palatino Linotype" w:cs="Palatino Linotype"/>
          <w:b/>
        </w:rPr>
        <w:t xml:space="preserve">Recurrente, </w:t>
      </w:r>
      <w:r w:rsidRPr="00E24FD4">
        <w:rPr>
          <w:rFonts w:ascii="Palatino Linotype" w:eastAsia="Palatino Linotype" w:hAnsi="Palatino Linotype" w:cs="Palatino Linotype"/>
        </w:rPr>
        <w:t>se tuvo por presentado el día</w:t>
      </w:r>
      <w:r w:rsidRPr="00E24FD4">
        <w:rPr>
          <w:rFonts w:ascii="Palatino Linotype" w:eastAsia="Palatino Linotype" w:hAnsi="Palatino Linotype" w:cs="Palatino Linotype"/>
          <w:b/>
        </w:rPr>
        <w:t xml:space="preserve"> diecisiete de julio de dos mil veinticinco, </w:t>
      </w:r>
      <w:r w:rsidRPr="00E24FD4">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2EFFA5D6" w14:textId="77777777" w:rsidR="00320E68" w:rsidRPr="00E24FD4" w:rsidRDefault="00146250">
      <w:pPr>
        <w:spacing w:line="360" w:lineRule="auto"/>
        <w:jc w:val="both"/>
        <w:rPr>
          <w:rFonts w:ascii="Palatino Linotype" w:eastAsia="Palatino Linotype" w:hAnsi="Palatino Linotype" w:cs="Palatino Linotype"/>
        </w:rPr>
      </w:pPr>
      <w:bookmarkStart w:id="8" w:name="_heading=h.3znysh7" w:colFirst="0" w:colLast="0"/>
      <w:bookmarkEnd w:id="8"/>
      <w:r w:rsidRPr="00E24FD4">
        <w:rPr>
          <w:rFonts w:ascii="Palatino Linotype" w:eastAsia="Palatino Linotype" w:hAnsi="Palatino Linotype" w:cs="Palatino Linotype"/>
        </w:rPr>
        <w:t>Además, por cuanto hace a la procedibilidad del recurso de revisión, es de suma importancia señalar que la parte</w:t>
      </w:r>
      <w:r w:rsidRPr="00E24FD4">
        <w:rPr>
          <w:rFonts w:ascii="Palatino Linotype" w:eastAsia="Palatino Linotype" w:hAnsi="Palatino Linotype" w:cs="Palatino Linotype"/>
          <w:b/>
        </w:rPr>
        <w:t xml:space="preserve"> Recurrente</w:t>
      </w:r>
      <w:r w:rsidRPr="00E24FD4">
        <w:rPr>
          <w:rFonts w:ascii="Palatino Linotype" w:eastAsia="Palatino Linotype" w:hAnsi="Palatino Linotype" w:cs="Palatino Linotype"/>
        </w:rPr>
        <w:t xml:space="preserve">, no señaló </w:t>
      </w:r>
      <w:r w:rsidRPr="00E24FD4">
        <w:rPr>
          <w:rFonts w:ascii="Palatino Linotype" w:eastAsia="Palatino Linotype" w:hAnsi="Palatino Linotype" w:cs="Palatino Linotype"/>
          <w:b/>
        </w:rPr>
        <w:t>nombre,</w:t>
      </w:r>
      <w:r w:rsidRPr="00E24FD4">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089D76A"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w:t>
      </w:r>
      <w:r w:rsidRPr="00E24FD4">
        <w:rPr>
          <w:rFonts w:ascii="Palatino Linotype" w:eastAsia="Palatino Linotype" w:hAnsi="Palatino Linotype" w:cs="Palatino Linotype"/>
          <w:b/>
          <w:i/>
          <w:sz w:val="22"/>
          <w:szCs w:val="22"/>
        </w:rPr>
        <w:t>Las solicitudes anónimas</w:t>
      </w:r>
      <w:r w:rsidRPr="00E24FD4">
        <w:rPr>
          <w:rFonts w:ascii="Palatino Linotype" w:eastAsia="Palatino Linotype" w:hAnsi="Palatino Linotype" w:cs="Palatino Linotype"/>
          <w:i/>
          <w:sz w:val="22"/>
          <w:szCs w:val="22"/>
        </w:rPr>
        <w:t xml:space="preserve">, con nombre incompleto o </w:t>
      </w:r>
      <w:r w:rsidRPr="00E24FD4">
        <w:rPr>
          <w:rFonts w:ascii="Palatino Linotype" w:eastAsia="Palatino Linotype" w:hAnsi="Palatino Linotype" w:cs="Palatino Linotype"/>
          <w:b/>
          <w:i/>
          <w:sz w:val="22"/>
          <w:szCs w:val="22"/>
        </w:rPr>
        <w:t>seudónimo</w:t>
      </w:r>
      <w:r w:rsidRPr="00E24FD4">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319BAB9" w14:textId="77777777" w:rsidR="00320E68" w:rsidRPr="00E24FD4" w:rsidRDefault="00146250">
      <w:pPr>
        <w:spacing w:before="240" w:after="240" w:line="360" w:lineRule="auto"/>
        <w:jc w:val="both"/>
        <w:rPr>
          <w:rFonts w:ascii="Palatino Linotype" w:eastAsia="Palatino Linotype" w:hAnsi="Palatino Linotype" w:cs="Palatino Linotype"/>
          <w:b/>
        </w:rPr>
      </w:pPr>
      <w:r w:rsidRPr="00E24FD4">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E24FD4">
        <w:rPr>
          <w:rFonts w:ascii="Palatino Linotype" w:eastAsia="Palatino Linotype" w:hAnsi="Palatino Linotype" w:cs="Palatino Linotype"/>
          <w:b/>
        </w:rPr>
        <w:t xml:space="preserve"> SAIMEX.</w:t>
      </w:r>
    </w:p>
    <w:p w14:paraId="6D1D3467" w14:textId="23E0BCA3"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Finalmente, se advierte que resulta procedente la interposición del recurso, según lo manifestado por la parte </w:t>
      </w:r>
      <w:r w:rsidRPr="00E24FD4">
        <w:rPr>
          <w:rFonts w:ascii="Palatino Linotype" w:eastAsia="Palatino Linotype" w:hAnsi="Palatino Linotype" w:cs="Palatino Linotype"/>
          <w:b/>
        </w:rPr>
        <w:t>Recurrente</w:t>
      </w:r>
      <w:r w:rsidRPr="00E24FD4">
        <w:rPr>
          <w:rFonts w:ascii="Palatino Linotype" w:eastAsia="Palatino Linotype" w:hAnsi="Palatino Linotype" w:cs="Palatino Linotype"/>
        </w:rPr>
        <w:t xml:space="preserve"> en sus motivos de inconformidad, de acuerdo al artículo 179, </w:t>
      </w:r>
      <w:r w:rsidR="00E25252" w:rsidRPr="00E24FD4">
        <w:rPr>
          <w:rFonts w:ascii="Palatino Linotype" w:eastAsia="Palatino Linotype" w:hAnsi="Palatino Linotype" w:cs="Palatino Linotype"/>
        </w:rPr>
        <w:t xml:space="preserve">fracciones </w:t>
      </w:r>
      <w:r w:rsidRPr="00E24FD4">
        <w:rPr>
          <w:rFonts w:ascii="Palatino Linotype" w:eastAsia="Palatino Linotype" w:hAnsi="Palatino Linotype" w:cs="Palatino Linotype"/>
        </w:rPr>
        <w:t>I</w:t>
      </w:r>
      <w:r w:rsidR="00E25252" w:rsidRPr="00E24FD4">
        <w:rPr>
          <w:rFonts w:ascii="Palatino Linotype" w:eastAsia="Palatino Linotype" w:hAnsi="Palatino Linotype" w:cs="Palatino Linotype"/>
        </w:rPr>
        <w:t xml:space="preserve"> y V</w:t>
      </w:r>
      <w:r w:rsidRPr="00E24FD4">
        <w:rPr>
          <w:rFonts w:ascii="Palatino Linotype" w:eastAsia="Palatino Linotype" w:hAnsi="Palatino Linotype" w:cs="Palatino Linotype"/>
        </w:rPr>
        <w:t xml:space="preserve"> del ordenamiento legal citado, que a la letra dice</w:t>
      </w:r>
      <w:r w:rsidR="00E25252" w:rsidRPr="00E24FD4">
        <w:rPr>
          <w:rFonts w:ascii="Palatino Linotype" w:eastAsia="Palatino Linotype" w:hAnsi="Palatino Linotype" w:cs="Palatino Linotype"/>
        </w:rPr>
        <w:t>:</w:t>
      </w:r>
      <w:r w:rsidR="005F316E" w:rsidRPr="00E24FD4">
        <w:rPr>
          <w:rFonts w:ascii="Palatino Linotype" w:eastAsia="Palatino Linotype" w:hAnsi="Palatino Linotype" w:cs="Palatino Linotype"/>
        </w:rPr>
        <w:t xml:space="preserve"> </w:t>
      </w:r>
    </w:p>
    <w:p w14:paraId="14705486" w14:textId="77777777" w:rsidR="00320E68" w:rsidRPr="00E24FD4" w:rsidRDefault="00146250">
      <w:pPr>
        <w:tabs>
          <w:tab w:val="left" w:pos="7938"/>
        </w:tabs>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w:t>
      </w:r>
      <w:r w:rsidRPr="00E24FD4">
        <w:rPr>
          <w:rFonts w:ascii="Palatino Linotype" w:eastAsia="Palatino Linotype" w:hAnsi="Palatino Linotype" w:cs="Palatino Linotype"/>
          <w:b/>
          <w:i/>
          <w:sz w:val="22"/>
          <w:szCs w:val="22"/>
        </w:rPr>
        <w:t>Artículo 179.</w:t>
      </w:r>
      <w:r w:rsidRPr="00E24FD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FB180C5" w14:textId="77777777" w:rsidR="00E25252" w:rsidRPr="00E24FD4" w:rsidRDefault="00146250">
      <w:pPr>
        <w:tabs>
          <w:tab w:val="left" w:pos="7938"/>
        </w:tabs>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w:t>
      </w:r>
      <w:r w:rsidRPr="00E24FD4">
        <w:rPr>
          <w:rFonts w:ascii="Palatino Linotype" w:eastAsia="Palatino Linotype" w:hAnsi="Palatino Linotype" w:cs="Palatino Linotype"/>
          <w:i/>
          <w:sz w:val="22"/>
          <w:szCs w:val="22"/>
        </w:rPr>
        <w:t xml:space="preserve"> La negativa a la información solicitada;</w:t>
      </w:r>
    </w:p>
    <w:p w14:paraId="7C2E5F0C" w14:textId="7A7475EF" w:rsidR="00E25252" w:rsidRPr="00E24FD4" w:rsidRDefault="00E25252">
      <w:pPr>
        <w:tabs>
          <w:tab w:val="left" w:pos="7938"/>
        </w:tabs>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w:t>
      </w:r>
      <w:r w:rsidRPr="00E24FD4">
        <w:rPr>
          <w:rFonts w:ascii="Palatino Linotype" w:eastAsia="Palatino Linotype" w:hAnsi="Palatino Linotype" w:cs="Palatino Linotype"/>
          <w:i/>
          <w:sz w:val="22"/>
          <w:szCs w:val="22"/>
        </w:rPr>
        <w:t>..</w:t>
      </w:r>
    </w:p>
    <w:p w14:paraId="34674AF5" w14:textId="2655AB4F" w:rsidR="00320E68" w:rsidRPr="00E24FD4" w:rsidRDefault="00E25252">
      <w:pPr>
        <w:tabs>
          <w:tab w:val="left" w:pos="7938"/>
        </w:tabs>
        <w:spacing w:before="120" w:after="120"/>
        <w:ind w:left="1134" w:right="900"/>
        <w:jc w:val="both"/>
        <w:rPr>
          <w:rFonts w:ascii="Palatino Linotype" w:eastAsia="Palatino Linotype" w:hAnsi="Palatino Linotype" w:cs="Palatino Linotype"/>
          <w:i/>
          <w:sz w:val="22"/>
          <w:szCs w:val="22"/>
        </w:rPr>
      </w:pPr>
      <w:r w:rsidRPr="00E24FD4">
        <w:rPr>
          <w:rFonts w:ascii="Palatino Linotype" w:hAnsi="Palatino Linotype"/>
          <w:b/>
          <w:i/>
          <w:sz w:val="22"/>
        </w:rPr>
        <w:t>V.</w:t>
      </w:r>
      <w:r w:rsidRPr="00E24FD4">
        <w:rPr>
          <w:rFonts w:ascii="Palatino Linotype" w:hAnsi="Palatino Linotype"/>
          <w:i/>
          <w:sz w:val="22"/>
        </w:rPr>
        <w:t xml:space="preserve"> La entrega de información incompleta</w:t>
      </w:r>
      <w:r w:rsidRPr="00E24FD4">
        <w:t>;</w:t>
      </w:r>
      <w:r w:rsidR="00146250" w:rsidRPr="00E24FD4">
        <w:rPr>
          <w:rFonts w:ascii="Palatino Linotype" w:eastAsia="Palatino Linotype" w:hAnsi="Palatino Linotype" w:cs="Palatino Linotype"/>
          <w:i/>
          <w:sz w:val="22"/>
          <w:szCs w:val="22"/>
        </w:rPr>
        <w:t>”</w:t>
      </w:r>
    </w:p>
    <w:p w14:paraId="79B36E45" w14:textId="77777777" w:rsidR="00320E68" w:rsidRPr="00E24FD4" w:rsidRDefault="00146250">
      <w:pPr>
        <w:spacing w:before="240" w:after="240" w:line="360" w:lineRule="auto"/>
        <w:jc w:val="both"/>
        <w:rPr>
          <w:rFonts w:ascii="Palatino Linotype" w:eastAsia="Palatino Linotype" w:hAnsi="Palatino Linotype" w:cs="Palatino Linotype"/>
          <w:b/>
        </w:rPr>
      </w:pPr>
      <w:r w:rsidRPr="00E24FD4">
        <w:rPr>
          <w:rFonts w:ascii="Palatino Linotype" w:eastAsia="Palatino Linotype" w:hAnsi="Palatino Linotype" w:cs="Palatino Linotype"/>
          <w:b/>
        </w:rPr>
        <w:t xml:space="preserve">Tercero. Materia de la revisión. </w:t>
      </w:r>
      <w:r w:rsidRPr="00E24FD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E24FD4">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E24FD4">
        <w:rPr>
          <w:rFonts w:ascii="Palatino Linotype" w:eastAsia="Palatino Linotype" w:hAnsi="Palatino Linotype" w:cs="Palatino Linotype"/>
        </w:rPr>
        <w:t xml:space="preserve">de la parte </w:t>
      </w:r>
      <w:r w:rsidRPr="00E24FD4">
        <w:rPr>
          <w:rFonts w:ascii="Palatino Linotype" w:eastAsia="Palatino Linotype" w:hAnsi="Palatino Linotype" w:cs="Palatino Linotype"/>
          <w:b/>
        </w:rPr>
        <w:t>Recurrente</w:t>
      </w:r>
      <w:r w:rsidRPr="00E24FD4">
        <w:rPr>
          <w:rFonts w:ascii="Palatino Linotype" w:eastAsia="Palatino Linotype" w:hAnsi="Palatino Linotype" w:cs="Palatino Linotype"/>
        </w:rPr>
        <w:t>, o en su defecto, en caso de ser procedente, ordenar la entrega de información.</w:t>
      </w:r>
    </w:p>
    <w:p w14:paraId="739A4207"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9" w:name="_heading=h.2et92p0" w:colFirst="0" w:colLast="0"/>
      <w:bookmarkEnd w:id="9"/>
      <w:r w:rsidRPr="00E24FD4">
        <w:rPr>
          <w:rFonts w:ascii="Palatino Linotype" w:eastAsia="Palatino Linotype" w:hAnsi="Palatino Linotype" w:cs="Palatino Linotype"/>
          <w:b/>
        </w:rPr>
        <w:t xml:space="preserve">Cuarto. Estudio del asunto. </w:t>
      </w:r>
      <w:r w:rsidRPr="00E24FD4">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E3F535"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w:t>
      </w:r>
      <w:r w:rsidRPr="00E24FD4">
        <w:rPr>
          <w:rFonts w:ascii="Palatino Linotype" w:eastAsia="Palatino Linotype" w:hAnsi="Palatino Linotype" w:cs="Palatino Linotype"/>
          <w:b/>
          <w:i/>
          <w:sz w:val="22"/>
          <w:szCs w:val="22"/>
        </w:rPr>
        <w:t>Artículo 4</w:t>
      </w:r>
      <w:r w:rsidRPr="00E24FD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742FD65"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24FD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FFFF15F"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24FD4">
        <w:rPr>
          <w:rFonts w:ascii="Palatino Linotype" w:eastAsia="Palatino Linotype" w:hAnsi="Palatino Linotype" w:cs="Palatino Linotype"/>
          <w:i/>
          <w:sz w:val="22"/>
          <w:szCs w:val="22"/>
        </w:rPr>
        <w:t>.”</w:t>
      </w:r>
    </w:p>
    <w:p w14:paraId="68DB8FA4"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A228761"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“Artículo 12.-</w:t>
      </w:r>
      <w:r w:rsidRPr="00E24FD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9B0774C"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24FD4">
        <w:rPr>
          <w:rFonts w:ascii="Palatino Linotype" w:eastAsia="Palatino Linotype" w:hAnsi="Palatino Linotype" w:cs="Palatino Linotype"/>
          <w:i/>
          <w:sz w:val="22"/>
          <w:szCs w:val="22"/>
        </w:rPr>
        <w:t xml:space="preserve">. </w:t>
      </w:r>
      <w:r w:rsidRPr="00E24FD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1DD5707" w14:textId="77777777" w:rsidR="00320E68" w:rsidRPr="00E24FD4" w:rsidRDefault="00146250">
      <w:pPr>
        <w:spacing w:before="240" w:after="240" w:line="360" w:lineRule="auto"/>
        <w:ind w:right="-93"/>
        <w:jc w:val="both"/>
        <w:rPr>
          <w:rFonts w:ascii="Palatino Linotype" w:eastAsia="Palatino Linotype" w:hAnsi="Palatino Linotype" w:cs="Palatino Linotype"/>
        </w:rPr>
      </w:pPr>
      <w:r w:rsidRPr="00E24FD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3609F21" w14:textId="77777777" w:rsidR="00320E68" w:rsidRPr="00E24FD4" w:rsidRDefault="00146250">
      <w:pPr>
        <w:spacing w:before="240" w:after="240" w:line="360" w:lineRule="auto"/>
        <w:jc w:val="both"/>
        <w:rPr>
          <w:rFonts w:ascii="Palatino Linotype" w:eastAsia="Palatino Linotype" w:hAnsi="Palatino Linotype" w:cs="Palatino Linotype"/>
          <w:b/>
        </w:rPr>
      </w:pPr>
      <w:r w:rsidRPr="00E24FD4">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E24FD4">
        <w:rPr>
          <w:rFonts w:ascii="Palatino Linotype" w:eastAsia="Palatino Linotype" w:hAnsi="Palatino Linotype" w:cs="Palatino Linotype"/>
          <w:b/>
        </w:rPr>
        <w:t xml:space="preserve"> </w:t>
      </w:r>
    </w:p>
    <w:p w14:paraId="3CC58AEE"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 “</w:t>
      </w:r>
      <w:r w:rsidRPr="00E24FD4">
        <w:rPr>
          <w:rFonts w:ascii="Palatino Linotype" w:eastAsia="Palatino Linotype" w:hAnsi="Palatino Linotype" w:cs="Palatino Linotype"/>
          <w:b/>
          <w:i/>
          <w:sz w:val="22"/>
          <w:szCs w:val="22"/>
        </w:rPr>
        <w:t>No existe obligación de elaborar documentos ad hoc para atender las solicitudes de acceso a la información.</w:t>
      </w:r>
      <w:r w:rsidRPr="00E24FD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6FB36B" w14:textId="77777777" w:rsidR="00320E68" w:rsidRPr="00E24FD4" w:rsidRDefault="00146250">
      <w:pPr>
        <w:spacing w:before="120" w:after="12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42B303" w14:textId="77777777" w:rsidR="00320E68" w:rsidRPr="00E24FD4" w:rsidRDefault="00146250">
      <w:pPr>
        <w:spacing w:before="120" w:after="12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DA5B32"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w:t>
      </w:r>
      <w:r w:rsidRPr="00E24FD4">
        <w:rPr>
          <w:rFonts w:ascii="Palatino Linotype" w:eastAsia="Palatino Linotype" w:hAnsi="Palatino Linotype" w:cs="Palatino Linotype"/>
          <w:b/>
          <w:i/>
          <w:sz w:val="22"/>
          <w:szCs w:val="22"/>
        </w:rPr>
        <w:t xml:space="preserve">Artículo 3. </w:t>
      </w:r>
      <w:r w:rsidRPr="00E24FD4">
        <w:rPr>
          <w:rFonts w:ascii="Palatino Linotype" w:eastAsia="Palatino Linotype" w:hAnsi="Palatino Linotype" w:cs="Palatino Linotype"/>
          <w:i/>
          <w:sz w:val="22"/>
          <w:szCs w:val="22"/>
        </w:rPr>
        <w:t>Para los efectos de la presente Ley se entenderá por:</w:t>
      </w:r>
    </w:p>
    <w:p w14:paraId="05E98218"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w:t>
      </w:r>
    </w:p>
    <w:p w14:paraId="6A308452"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XI. Documento:</w:t>
      </w:r>
      <w:r w:rsidRPr="00E24FD4">
        <w:rPr>
          <w:rFonts w:ascii="Palatino Linotype" w:eastAsia="Palatino Linotype" w:hAnsi="Palatino Linotype" w:cs="Palatino Linotype"/>
          <w:i/>
          <w:sz w:val="22"/>
          <w:szCs w:val="22"/>
        </w:rPr>
        <w:t xml:space="preserve"> Los expedientes, reportes, estudios, actas</w:t>
      </w:r>
      <w:r w:rsidRPr="00E24FD4">
        <w:rPr>
          <w:rFonts w:ascii="Palatino Linotype" w:eastAsia="Palatino Linotype" w:hAnsi="Palatino Linotype" w:cs="Palatino Linotype"/>
          <w:b/>
          <w:i/>
          <w:sz w:val="22"/>
          <w:szCs w:val="22"/>
        </w:rPr>
        <w:t>,</w:t>
      </w:r>
      <w:r w:rsidRPr="00E24FD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2512111"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6E7CDD"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sz w:val="22"/>
          <w:szCs w:val="22"/>
        </w:rPr>
        <w:t>“</w:t>
      </w:r>
      <w:r w:rsidRPr="00E24FD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24FD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B91581"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7AF34B"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4D460C9"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91BF03"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C598E36" w14:textId="77777777" w:rsidR="00320E68" w:rsidRPr="00E24FD4" w:rsidRDefault="00146250">
      <w:pPr>
        <w:spacing w:before="240" w:after="240" w:line="360" w:lineRule="auto"/>
        <w:ind w:right="51"/>
        <w:jc w:val="both"/>
        <w:rPr>
          <w:rFonts w:ascii="Palatino Linotype" w:eastAsia="Palatino Linotype" w:hAnsi="Palatino Linotype" w:cs="Palatino Linotype"/>
        </w:rPr>
      </w:pPr>
      <w:r w:rsidRPr="00E24FD4">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B18956"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FEE58F1" w14:textId="77777777" w:rsidR="00320E68" w:rsidRPr="00E24FD4" w:rsidRDefault="00146250">
      <w:pPr>
        <w:spacing w:before="240" w:after="240" w:line="360" w:lineRule="auto"/>
        <w:ind w:right="51"/>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E24FD4">
        <w:rPr>
          <w:rFonts w:ascii="Palatino Linotype" w:eastAsia="Palatino Linotype" w:hAnsi="Palatino Linotype" w:cs="Palatino Linotype"/>
          <w:b/>
        </w:rPr>
        <w:t>Recurrente</w:t>
      </w:r>
      <w:r w:rsidRPr="00E24FD4">
        <w:rPr>
          <w:rFonts w:ascii="Palatino Linotype" w:eastAsia="Palatino Linotype" w:hAnsi="Palatino Linotype" w:cs="Palatino Linotype"/>
        </w:rPr>
        <w:t xml:space="preserve"> requirió al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le proporcione, información consistente en lo siguiente:</w:t>
      </w:r>
    </w:p>
    <w:p w14:paraId="25D7184E" w14:textId="77777777" w:rsidR="00320E68" w:rsidRPr="00E24FD4" w:rsidRDefault="00146250">
      <w:pPr>
        <w:spacing w:before="240" w:after="240" w:line="360" w:lineRule="auto"/>
        <w:ind w:left="284" w:right="51"/>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1. Las renuncias de todo lo que va del año 2025. </w:t>
      </w:r>
    </w:p>
    <w:p w14:paraId="47CC3164"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F8FA6FC"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50613B3" w14:textId="77777777" w:rsidR="00320E68" w:rsidRPr="00E24FD4" w:rsidRDefault="00146250">
      <w:pPr>
        <w:spacing w:before="240" w:after="240" w:line="360" w:lineRule="auto"/>
        <w:ind w:right="51"/>
        <w:jc w:val="both"/>
        <w:rPr>
          <w:rFonts w:ascii="Palatino Linotype" w:eastAsia="Palatino Linotype" w:hAnsi="Palatino Linotype" w:cs="Palatino Linotype"/>
        </w:rPr>
      </w:pPr>
      <w:r w:rsidRPr="00E24FD4">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152E8123"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41CDDA7"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para su atención a la Subdirección de Recursos Humanos, adscrita a la Dirección de Administración, la cual, de acuerdo con los artículos 52 y 53 del Reglamento Orgánico Municipal de Zinacantepec, es la unidad administrativa encargada de brindar apoyo administrativo, técnico y humano, a los servidores públicos que conforman la Administración Pública Municipal, entre cuyas atribuciones se encuentran las siguientes: </w:t>
      </w:r>
    </w:p>
    <w:p w14:paraId="52702383" w14:textId="77777777" w:rsidR="00320E68" w:rsidRPr="00E24FD4" w:rsidRDefault="00146250">
      <w:pPr>
        <w:spacing w:before="240" w:after="240" w:line="360" w:lineRule="auto"/>
        <w:ind w:left="284" w:right="49"/>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 Mantener el resguardo y actualización del </w:t>
      </w:r>
      <w:r w:rsidRPr="00E24FD4">
        <w:rPr>
          <w:rFonts w:ascii="Palatino Linotype" w:eastAsia="Palatino Linotype" w:hAnsi="Palatino Linotype" w:cs="Palatino Linotype"/>
          <w:b/>
        </w:rPr>
        <w:t>Archivo de personal</w:t>
      </w:r>
      <w:r w:rsidRPr="00E24FD4">
        <w:rPr>
          <w:rFonts w:ascii="Palatino Linotype" w:eastAsia="Palatino Linotype" w:hAnsi="Palatino Linotype" w:cs="Palatino Linotype"/>
        </w:rPr>
        <w:t xml:space="preserve"> del Ayuntamiento;</w:t>
      </w:r>
    </w:p>
    <w:p w14:paraId="330F3C3F" w14:textId="77777777" w:rsidR="00320E68" w:rsidRPr="00E24FD4" w:rsidRDefault="00146250">
      <w:pPr>
        <w:spacing w:before="240" w:after="240" w:line="360" w:lineRule="auto"/>
        <w:ind w:left="284" w:right="49"/>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 Desarrollar un registro para el control de asistencias, nombramientos, remociones, </w:t>
      </w:r>
      <w:r w:rsidRPr="00E24FD4">
        <w:rPr>
          <w:rFonts w:ascii="Palatino Linotype" w:eastAsia="Palatino Linotype" w:hAnsi="Palatino Linotype" w:cs="Palatino Linotype"/>
          <w:b/>
        </w:rPr>
        <w:t>renuncias,</w:t>
      </w:r>
      <w:r w:rsidRPr="00E24FD4">
        <w:rPr>
          <w:rFonts w:ascii="Palatino Linotype" w:eastAsia="Palatino Linotype" w:hAnsi="Palatino Linotype" w:cs="Palatino Linotype"/>
        </w:rPr>
        <w:t xml:space="preserve"> licencias, cambios de adscripción, promociones, incapacidades, vacaciones, días no laborables, y demás días de inconsistencia en los Servidores Públicos Municipales;</w:t>
      </w:r>
    </w:p>
    <w:p w14:paraId="6A8706B0" w14:textId="77777777" w:rsidR="00320E68" w:rsidRPr="00E24FD4" w:rsidRDefault="00146250">
      <w:pPr>
        <w:tabs>
          <w:tab w:val="left" w:pos="3544"/>
        </w:tabs>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Atento a lo anterior, se colige que Subdirección de Recursos Humanos cuenta con atribuciones para conocer de la información solicitada por la parte </w:t>
      </w:r>
      <w:r w:rsidRPr="00E24FD4">
        <w:rPr>
          <w:rFonts w:ascii="Palatino Linotype" w:eastAsia="Palatino Linotype" w:hAnsi="Palatino Linotype" w:cs="Palatino Linotype"/>
          <w:b/>
        </w:rPr>
        <w:t>Recurrente</w:t>
      </w:r>
      <w:r w:rsidRPr="00E24FD4">
        <w:rPr>
          <w:rFonts w:ascii="Palatino Linotype" w:eastAsia="Palatino Linotype" w:hAnsi="Palatino Linotype" w:cs="Palatino Linotype"/>
        </w:rPr>
        <w:t>, por lo tanto, la Unidad de Transparencia cumplió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59188AEB"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En este tenor, en respuesta a la solicitud, la persona servidora pública habilitada de la Subdirección de Recursos Humanos hizo entrega de 32 escritos de renuncia, testados, con fechas del 31 de diciembre de 2024 al 03 julio de 2025.</w:t>
      </w:r>
    </w:p>
    <w:p w14:paraId="1D963250"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No obstante, la parte </w:t>
      </w:r>
      <w:r w:rsidRPr="00E24FD4">
        <w:rPr>
          <w:rFonts w:ascii="Palatino Linotype" w:eastAsia="Palatino Linotype" w:hAnsi="Palatino Linotype" w:cs="Palatino Linotype"/>
          <w:b/>
        </w:rPr>
        <w:t xml:space="preserve">Recurrente </w:t>
      </w:r>
      <w:r w:rsidRPr="00E24FD4">
        <w:rPr>
          <w:rFonts w:ascii="Palatino Linotype" w:eastAsia="Palatino Linotype" w:hAnsi="Palatino Linotype" w:cs="Palatino Linotype"/>
        </w:rPr>
        <w:t xml:space="preserve">interpuso el recurso de revisión que nos ocupa, donde manifestó en lo medular que </w:t>
      </w:r>
      <w:r w:rsidRPr="00E24FD4">
        <w:rPr>
          <w:rFonts w:ascii="Palatino Linotype" w:eastAsia="Palatino Linotype" w:hAnsi="Palatino Linotype" w:cs="Palatino Linotype"/>
          <w:b/>
          <w:bCs/>
          <w:u w:val="single"/>
        </w:rPr>
        <w:t>se no se hizo entrega de la información completa, al no haber proporcionado el acta del Comité de Transparencia</w:t>
      </w:r>
      <w:r w:rsidRPr="00E24FD4">
        <w:rPr>
          <w:rFonts w:ascii="Palatino Linotype" w:eastAsia="Palatino Linotype" w:hAnsi="Palatino Linotype" w:cs="Palatino Linotype"/>
        </w:rPr>
        <w:t>.</w:t>
      </w:r>
    </w:p>
    <w:p w14:paraId="2614F1D8"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Durante el periodo de manifestaciones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 xml:space="preserve">fue omiso en rendir su informe justificado, y la parte </w:t>
      </w:r>
      <w:r w:rsidRPr="00E24FD4">
        <w:rPr>
          <w:rFonts w:ascii="Palatino Linotype" w:eastAsia="Palatino Linotype" w:hAnsi="Palatino Linotype" w:cs="Palatino Linotype"/>
          <w:b/>
        </w:rPr>
        <w:t xml:space="preserve">Recurrente </w:t>
      </w:r>
      <w:r w:rsidRPr="00E24FD4">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0C8EA996" w14:textId="77777777" w:rsidR="00320E68" w:rsidRPr="00E24FD4" w:rsidRDefault="00146250">
      <w:pPr>
        <w:spacing w:before="280" w:after="28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 xml:space="preserve">en contraposición con el motivo de inconformidad alegado por la parte </w:t>
      </w:r>
      <w:r w:rsidRPr="00E24FD4">
        <w:rPr>
          <w:rFonts w:ascii="Palatino Linotype" w:eastAsia="Palatino Linotype" w:hAnsi="Palatino Linotype" w:cs="Palatino Linotype"/>
          <w:b/>
        </w:rPr>
        <w:t xml:space="preserve">Recurrente, </w:t>
      </w:r>
      <w:r w:rsidRPr="00E24FD4">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80CA938"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En tal contexto, por lo que se refiere a la materia de la solicitud, es oportuno traer a colación el contenido de la Ley del Trabajo de los Servidores Públicos del Estado de México y Municipios, como el ordenamiento, de conformidad con su artículo 1º, es de orden público e interés social y tiene por objeto consiste en regular las relaciones de trabajo comprendidas entre los poderes públicos del Estado y los Municipios, y sus respectivos servidores públicos.</w:t>
      </w:r>
    </w:p>
    <w:p w14:paraId="78C4BF5A"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En esta tesitura, el artículo 89 de la Ley del Trabajo de los Servidores Públicos en cita, establece como causas de terminación de la relación laboral sin responsabilidad para las instituciones públicas, entendidas estas como cada uno de los poderes públicos del Estado, los municipios y los tribunales administrativos; así como los organismos descentralizados, fideicomisos de carácter estatal y municipal, y los órganos autónomos que sus leyes de creación así lo determinen, las siguientes:</w:t>
      </w:r>
    </w:p>
    <w:p w14:paraId="2EEDE31F" w14:textId="77777777" w:rsidR="00320E68" w:rsidRPr="00E24FD4" w:rsidRDefault="00146250">
      <w:pPr>
        <w:spacing w:before="240" w:after="240" w:line="360" w:lineRule="auto"/>
        <w:ind w:left="284"/>
        <w:jc w:val="both"/>
        <w:rPr>
          <w:rFonts w:ascii="Palatino Linotype" w:eastAsia="Palatino Linotype" w:hAnsi="Palatino Linotype" w:cs="Palatino Linotype"/>
          <w:b/>
          <w:u w:val="single"/>
        </w:rPr>
      </w:pPr>
      <w:r w:rsidRPr="00E24FD4">
        <w:rPr>
          <w:rFonts w:ascii="Palatino Linotype" w:eastAsia="Palatino Linotype" w:hAnsi="Palatino Linotype" w:cs="Palatino Linotype"/>
          <w:b/>
          <w:u w:val="single"/>
        </w:rPr>
        <w:t>I. La renuncia del servidor público;</w:t>
      </w:r>
    </w:p>
    <w:p w14:paraId="772EE6D0" w14:textId="77777777" w:rsidR="00320E68" w:rsidRPr="00E24FD4" w:rsidRDefault="00146250">
      <w:pPr>
        <w:spacing w:before="240" w:after="240" w:line="360" w:lineRule="auto"/>
        <w:ind w:left="284"/>
        <w:jc w:val="both"/>
        <w:rPr>
          <w:rFonts w:ascii="Palatino Linotype" w:eastAsia="Palatino Linotype" w:hAnsi="Palatino Linotype" w:cs="Palatino Linotype"/>
        </w:rPr>
      </w:pPr>
      <w:r w:rsidRPr="00E24FD4">
        <w:rPr>
          <w:rFonts w:ascii="Palatino Linotype" w:eastAsia="Palatino Linotype" w:hAnsi="Palatino Linotype" w:cs="Palatino Linotype"/>
          <w:b/>
        </w:rPr>
        <w:t>II.</w:t>
      </w:r>
      <w:r w:rsidRPr="00E24FD4">
        <w:rPr>
          <w:rFonts w:ascii="Palatino Linotype" w:eastAsia="Palatino Linotype" w:hAnsi="Palatino Linotype" w:cs="Palatino Linotype"/>
        </w:rPr>
        <w:t xml:space="preserve"> El mutuo consentimiento de las partes; </w:t>
      </w:r>
    </w:p>
    <w:p w14:paraId="5D59AF80" w14:textId="77777777" w:rsidR="00320E68" w:rsidRPr="00E24FD4" w:rsidRDefault="00146250">
      <w:pPr>
        <w:spacing w:before="240" w:after="240" w:line="360" w:lineRule="auto"/>
        <w:ind w:left="284"/>
        <w:jc w:val="both"/>
        <w:rPr>
          <w:rFonts w:ascii="Palatino Linotype" w:eastAsia="Palatino Linotype" w:hAnsi="Palatino Linotype" w:cs="Palatino Linotype"/>
        </w:rPr>
      </w:pPr>
      <w:r w:rsidRPr="00E24FD4">
        <w:rPr>
          <w:rFonts w:ascii="Palatino Linotype" w:eastAsia="Palatino Linotype" w:hAnsi="Palatino Linotype" w:cs="Palatino Linotype"/>
          <w:b/>
        </w:rPr>
        <w:t>III.</w:t>
      </w:r>
      <w:r w:rsidRPr="00E24FD4">
        <w:rPr>
          <w:rFonts w:ascii="Palatino Linotype" w:eastAsia="Palatino Linotype" w:hAnsi="Palatino Linotype" w:cs="Palatino Linotype"/>
        </w:rPr>
        <w:t xml:space="preserve"> El vencimiento del término o conclusión de la obra determinantes de la contratación; </w:t>
      </w:r>
    </w:p>
    <w:p w14:paraId="54AE97BE" w14:textId="77777777" w:rsidR="00320E68" w:rsidRPr="00E24FD4" w:rsidRDefault="00146250">
      <w:pPr>
        <w:spacing w:before="240" w:after="240" w:line="360" w:lineRule="auto"/>
        <w:ind w:left="284"/>
        <w:jc w:val="both"/>
        <w:rPr>
          <w:rFonts w:ascii="Palatino Linotype" w:eastAsia="Palatino Linotype" w:hAnsi="Palatino Linotype" w:cs="Palatino Linotype"/>
        </w:rPr>
      </w:pPr>
      <w:r w:rsidRPr="00E24FD4">
        <w:rPr>
          <w:rFonts w:ascii="Palatino Linotype" w:eastAsia="Palatino Linotype" w:hAnsi="Palatino Linotype" w:cs="Palatino Linotype"/>
          <w:b/>
        </w:rPr>
        <w:t>IV.</w:t>
      </w:r>
      <w:r w:rsidRPr="00E24FD4">
        <w:rPr>
          <w:rFonts w:ascii="Palatino Linotype" w:eastAsia="Palatino Linotype" w:hAnsi="Palatino Linotype" w:cs="Palatino Linotype"/>
        </w:rPr>
        <w:t xml:space="preserve"> El término o conclusión de la administración en la cual fue contratado el servidor público a que se refiere el artículo 8 de ésta Ley; </w:t>
      </w:r>
    </w:p>
    <w:p w14:paraId="4900307C" w14:textId="77777777" w:rsidR="00320E68" w:rsidRPr="00E24FD4" w:rsidRDefault="00146250">
      <w:pPr>
        <w:spacing w:before="240" w:after="240" w:line="360" w:lineRule="auto"/>
        <w:ind w:left="284"/>
        <w:jc w:val="both"/>
        <w:rPr>
          <w:rFonts w:ascii="Palatino Linotype" w:eastAsia="Palatino Linotype" w:hAnsi="Palatino Linotype" w:cs="Palatino Linotype"/>
        </w:rPr>
      </w:pPr>
      <w:r w:rsidRPr="00E24FD4">
        <w:rPr>
          <w:rFonts w:ascii="Palatino Linotype" w:eastAsia="Palatino Linotype" w:hAnsi="Palatino Linotype" w:cs="Palatino Linotype"/>
          <w:b/>
        </w:rPr>
        <w:t>V</w:t>
      </w:r>
      <w:r w:rsidRPr="00E24FD4">
        <w:rPr>
          <w:rFonts w:ascii="Palatino Linotype" w:eastAsia="Palatino Linotype" w:hAnsi="Palatino Linotype" w:cs="Palatino Linotype"/>
        </w:rPr>
        <w:t xml:space="preserve">. La muerte del servidor público; y </w:t>
      </w:r>
    </w:p>
    <w:p w14:paraId="2750E46F" w14:textId="77777777" w:rsidR="00320E68" w:rsidRPr="00E24FD4" w:rsidRDefault="00146250">
      <w:pPr>
        <w:spacing w:before="240" w:after="240" w:line="360" w:lineRule="auto"/>
        <w:ind w:left="284"/>
        <w:jc w:val="both"/>
        <w:rPr>
          <w:rFonts w:ascii="Palatino Linotype" w:eastAsia="Palatino Linotype" w:hAnsi="Palatino Linotype" w:cs="Palatino Linotype"/>
        </w:rPr>
      </w:pPr>
      <w:r w:rsidRPr="00E24FD4">
        <w:rPr>
          <w:rFonts w:ascii="Palatino Linotype" w:eastAsia="Palatino Linotype" w:hAnsi="Palatino Linotype" w:cs="Palatino Linotype"/>
          <w:b/>
        </w:rPr>
        <w:t>VI</w:t>
      </w:r>
      <w:r w:rsidRPr="00E24FD4">
        <w:rPr>
          <w:rFonts w:ascii="Palatino Linotype" w:eastAsia="Palatino Linotype" w:hAnsi="Palatino Linotype" w:cs="Palatino Linotype"/>
        </w:rPr>
        <w:t>. La incapacidad permanente del servidor público que le impida el desempeño de sus labores.</w:t>
      </w:r>
    </w:p>
    <w:p w14:paraId="65583291"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Por lo que se refiere a la renuncia, es de señalar que se trata de un acto libre y unilateral de la voluntad del trabajador, por el que decide dar por terminada la relación laboral, ya sea por motivos de carácter personal, profesional, o por causas distintas. </w:t>
      </w:r>
    </w:p>
    <w:p w14:paraId="0398C004"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Asimismo, cabe mencionar que la normativa en la materia no establece ninguna formalidad que deba cumplir la renuncia para su validez, sin embargo, en caso de conflicto, debe quedar probado de manera fehaciente e indubitable que el trabajador manifestó su voluntad de extinguir la relación laboral, por ello es que debe presentarse mediante escrito formal firmado, en el que se manifieste de manera clara la decisión unilateral de dejar el puesto o cargo que se venía desempeñando de manera voluntaria, cuya autenticidad se perfecciona por medio de la firma de la persona que renuncia. </w:t>
      </w:r>
    </w:p>
    <w:p w14:paraId="160B1D0B"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Asimismo, es de mencionar que la renuncia es un acto que llevan a cabo de manera voluntaria, libre y unilateral los servidores públicos, en el momento en el que desean dar por terminada su relación laboral con el empleador, en este caso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por lo que no hay disposición legal alguna que establezca que se deba contar con un número determinado de renuncias en cierto periodo.</w:t>
      </w:r>
    </w:p>
    <w:p w14:paraId="4365DC54"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El escrito de renuncia debe presentarse ante la autoridad competente y debe ser aceptada para dar paso a la liquidación de derechos laborales y económicos de la persona que se separa de manera voluntaria del puesto o cargo, conforme a lo establecido en la normatividad correspondiente.</w:t>
      </w:r>
    </w:p>
    <w:p w14:paraId="35C2583C"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En esta línea de pensamiento se considera que los escritos de renuncia proporcionados en respuesta por la persona servidora pública habilitada de la Subdirección de Recursos Humanos, corresponden con la información generada, administrada y/o poseída por dicha área en el periodo solicitado, tomando en consideración que de la revisión efectuada por este Organismo Garante se advirtió que se hizo entrega las renuncias presentadas desde el 31 de diciembre de 2024 al 03 julio de 2025, tal y como se observa en seguida:</w:t>
      </w:r>
    </w:p>
    <w:p w14:paraId="7BBFC7D7" w14:textId="77777777" w:rsidR="00320E68" w:rsidRPr="00E24FD4" w:rsidRDefault="00146250">
      <w:pPr>
        <w:spacing w:before="240" w:after="240" w:line="360" w:lineRule="auto"/>
        <w:jc w:val="center"/>
        <w:rPr>
          <w:rFonts w:ascii="Palatino Linotype" w:eastAsia="Palatino Linotype" w:hAnsi="Palatino Linotype" w:cs="Palatino Linotype"/>
        </w:rPr>
      </w:pPr>
      <w:r w:rsidRPr="00E24FD4">
        <w:rPr>
          <w:rFonts w:ascii="Palatino Linotype" w:eastAsia="Palatino Linotype" w:hAnsi="Palatino Linotype" w:cs="Palatino Linotype"/>
          <w:noProof/>
        </w:rPr>
        <w:drawing>
          <wp:inline distT="0" distB="0" distL="0" distR="0" wp14:anchorId="0C2B194B" wp14:editId="6C760079">
            <wp:extent cx="4500000" cy="1159962"/>
            <wp:effectExtent l="0" t="0" r="0" b="0"/>
            <wp:docPr id="21401318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500000" cy="1159962"/>
                    </a:xfrm>
                    <a:prstGeom prst="rect">
                      <a:avLst/>
                    </a:prstGeom>
                    <a:ln/>
                  </pic:spPr>
                </pic:pic>
              </a:graphicData>
            </a:graphic>
          </wp:inline>
        </w:drawing>
      </w:r>
      <w:r w:rsidRPr="00E24FD4">
        <w:rPr>
          <w:rFonts w:ascii="Palatino Linotype" w:eastAsia="Palatino Linotype" w:hAnsi="Palatino Linotype" w:cs="Palatino Linotype"/>
          <w:noProof/>
        </w:rPr>
        <w:drawing>
          <wp:inline distT="0" distB="0" distL="0" distR="0" wp14:anchorId="05FD24F0" wp14:editId="5B7EABC8">
            <wp:extent cx="4500000" cy="2063637"/>
            <wp:effectExtent l="0" t="0" r="0" b="0"/>
            <wp:docPr id="21401318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500000" cy="2063637"/>
                    </a:xfrm>
                    <a:prstGeom prst="rect">
                      <a:avLst/>
                    </a:prstGeom>
                    <a:ln/>
                  </pic:spPr>
                </pic:pic>
              </a:graphicData>
            </a:graphic>
          </wp:inline>
        </w:drawing>
      </w:r>
    </w:p>
    <w:p w14:paraId="07627F57" w14:textId="77777777" w:rsidR="00320E68" w:rsidRPr="00E24FD4" w:rsidRDefault="00146250">
      <w:pPr>
        <w:spacing w:before="240" w:after="240" w:line="360" w:lineRule="auto"/>
        <w:jc w:val="center"/>
        <w:rPr>
          <w:rFonts w:ascii="Palatino Linotype" w:eastAsia="Palatino Linotype" w:hAnsi="Palatino Linotype" w:cs="Palatino Linotype"/>
        </w:rPr>
      </w:pPr>
      <w:r w:rsidRPr="00E24FD4">
        <w:rPr>
          <w:rFonts w:ascii="Palatino Linotype" w:eastAsia="Palatino Linotype" w:hAnsi="Palatino Linotype" w:cs="Palatino Linotype"/>
          <w:noProof/>
        </w:rPr>
        <w:drawing>
          <wp:inline distT="0" distB="0" distL="0" distR="0" wp14:anchorId="2590F206" wp14:editId="44A185E7">
            <wp:extent cx="4500000" cy="1216734"/>
            <wp:effectExtent l="0" t="0" r="0" b="0"/>
            <wp:docPr id="21401318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b="32589"/>
                    <a:stretch>
                      <a:fillRect/>
                    </a:stretch>
                  </pic:blipFill>
                  <pic:spPr>
                    <a:xfrm>
                      <a:off x="0" y="0"/>
                      <a:ext cx="4500000" cy="1216734"/>
                    </a:xfrm>
                    <a:prstGeom prst="rect">
                      <a:avLst/>
                    </a:prstGeom>
                    <a:ln/>
                  </pic:spPr>
                </pic:pic>
              </a:graphicData>
            </a:graphic>
          </wp:inline>
        </w:drawing>
      </w:r>
    </w:p>
    <w:p w14:paraId="68BBE65F" w14:textId="77777777" w:rsidR="00320E68" w:rsidRPr="00E24FD4" w:rsidRDefault="00146250">
      <w:pPr>
        <w:spacing w:before="240" w:after="240" w:line="360" w:lineRule="auto"/>
        <w:jc w:val="center"/>
        <w:rPr>
          <w:rFonts w:ascii="Palatino Linotype" w:eastAsia="Palatino Linotype" w:hAnsi="Palatino Linotype" w:cs="Palatino Linotype"/>
        </w:rPr>
      </w:pPr>
      <w:r w:rsidRPr="00E24FD4">
        <w:rPr>
          <w:rFonts w:ascii="Palatino Linotype" w:eastAsia="Palatino Linotype" w:hAnsi="Palatino Linotype" w:cs="Palatino Linotype"/>
          <w:noProof/>
        </w:rPr>
        <w:drawing>
          <wp:inline distT="0" distB="0" distL="0" distR="0" wp14:anchorId="039AD1D4" wp14:editId="65705C7F">
            <wp:extent cx="4500000" cy="1288223"/>
            <wp:effectExtent l="0" t="0" r="0" b="0"/>
            <wp:docPr id="21401318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39371"/>
                    <a:stretch>
                      <a:fillRect/>
                    </a:stretch>
                  </pic:blipFill>
                  <pic:spPr>
                    <a:xfrm>
                      <a:off x="0" y="0"/>
                      <a:ext cx="4500000" cy="1288223"/>
                    </a:xfrm>
                    <a:prstGeom prst="rect">
                      <a:avLst/>
                    </a:prstGeom>
                    <a:ln/>
                  </pic:spPr>
                </pic:pic>
              </a:graphicData>
            </a:graphic>
          </wp:inline>
        </w:drawing>
      </w:r>
    </w:p>
    <w:p w14:paraId="0B81CC71" w14:textId="77777777" w:rsidR="00320E68" w:rsidRPr="00E24FD4" w:rsidRDefault="0014625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Como se logra vislumbrar, los escritos de renuncia proporcionados incluyen aquellos que fueron presentados en la presente administración a la fecha de presentación de la solicitud, esto es del 01 de enero al 17 de junio de 2025.</w:t>
      </w:r>
    </w:p>
    <w:p w14:paraId="0D8CBD2E" w14:textId="4CD319C7" w:rsidR="00320E68" w:rsidRPr="00E24FD4" w:rsidRDefault="0014625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No obstante, si bien dichos documentos corresponden con lo solicitado, no escapa de la óptica de este Organismo Garante que estos se entregaron en versión pública, en la cual se testó el número de </w:t>
      </w:r>
      <w:r w:rsidR="005F316E" w:rsidRPr="00E24FD4">
        <w:rPr>
          <w:rFonts w:ascii="Palatino Linotype" w:eastAsia="Palatino Linotype" w:hAnsi="Palatino Linotype" w:cs="Palatino Linotype"/>
        </w:rPr>
        <w:t>empleado,</w:t>
      </w:r>
      <w:r w:rsidRPr="00E24FD4">
        <w:rPr>
          <w:rFonts w:ascii="Palatino Linotype" w:eastAsia="Palatino Linotype" w:hAnsi="Palatino Linotype" w:cs="Palatino Linotype"/>
        </w:rPr>
        <w:t xml:space="preserve"> así como la huella dactilar, como desprende del cuadro de clasificación:</w:t>
      </w:r>
    </w:p>
    <w:p w14:paraId="6B42550A" w14:textId="77777777" w:rsidR="00320E68" w:rsidRPr="00E24FD4" w:rsidRDefault="00146250" w:rsidP="00E25252">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E24FD4">
        <w:rPr>
          <w:rFonts w:ascii="Palatino Linotype" w:eastAsia="Palatino Linotype" w:hAnsi="Palatino Linotype" w:cs="Palatino Linotype"/>
          <w:noProof/>
        </w:rPr>
        <w:drawing>
          <wp:inline distT="0" distB="0" distL="0" distR="0" wp14:anchorId="229973F7" wp14:editId="40FF92AA">
            <wp:extent cx="4208400" cy="3423600"/>
            <wp:effectExtent l="0" t="0" r="1905" b="5715"/>
            <wp:docPr id="21401318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208400" cy="3423600"/>
                    </a:xfrm>
                    <a:prstGeom prst="rect">
                      <a:avLst/>
                    </a:prstGeom>
                    <a:ln/>
                  </pic:spPr>
                </pic:pic>
              </a:graphicData>
            </a:graphic>
          </wp:inline>
        </w:drawing>
      </w:r>
    </w:p>
    <w:p w14:paraId="6AC55DD6" w14:textId="77777777" w:rsidR="00320E68" w:rsidRPr="00E24FD4" w:rsidRDefault="00146250">
      <w:pPr>
        <w:spacing w:before="240" w:after="240" w:line="360" w:lineRule="auto"/>
        <w:ind w:right="49"/>
        <w:jc w:val="both"/>
        <w:rPr>
          <w:rFonts w:ascii="Palatino Linotype" w:eastAsia="Palatino Linotype" w:hAnsi="Palatino Linotype" w:cs="Palatino Linotype"/>
          <w:b/>
        </w:rPr>
      </w:pPr>
      <w:r w:rsidRPr="00E24FD4">
        <w:rPr>
          <w:rFonts w:ascii="Palatino Linotype" w:eastAsia="Palatino Linotype" w:hAnsi="Palatino Linotype" w:cs="Palatino Linotype"/>
        </w:rPr>
        <w:t xml:space="preserve">Respecto al </w:t>
      </w:r>
      <w:r w:rsidRPr="00E24FD4">
        <w:rPr>
          <w:rFonts w:ascii="Palatino Linotype" w:eastAsia="Palatino Linotype" w:hAnsi="Palatino Linotype" w:cs="Palatino Linotype"/>
          <w:b/>
        </w:rPr>
        <w:t>número de empleado</w:t>
      </w:r>
      <w:r w:rsidRPr="00E24FD4">
        <w:rPr>
          <w:rFonts w:ascii="Palatino Linotype" w:eastAsia="Palatino Linotype" w:hAnsi="Palatino Linotype" w:cs="Palatino Linotype"/>
        </w:rPr>
        <w:t xml:space="preserve">, debe decirse que constituye un instrumento de control interno que permite a las dependencias y entidades identificar a sus trabajadores y a estos les facilita la realización de gestiones en su carácter de empleado, siendo importante mencionar que en el presente caso,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 xml:space="preserve">argumentó que dicho dato </w:t>
      </w:r>
      <w:r w:rsidRPr="00E24FD4">
        <w:rPr>
          <w:rFonts w:ascii="Palatino Linotype" w:eastAsia="Palatino Linotype" w:hAnsi="Palatino Linotype" w:cs="Palatino Linotype"/>
          <w:b/>
        </w:rPr>
        <w:t>permite identificar a los servidores públicos ya que contiene su RFC.</w:t>
      </w:r>
    </w:p>
    <w:p w14:paraId="30ADC8AA" w14:textId="77777777" w:rsidR="00320E68" w:rsidRPr="00E24FD4" w:rsidRDefault="0014625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Lo anterior, toma sustento en el criterio orientador de la Segunda Época, con clave de control SO/006/2019, emitido por el entonces Instituto Nacional de Transparencia, Acceso a la Información y Protección de Datos Personales, que establece lo siguiente: </w:t>
      </w:r>
    </w:p>
    <w:p w14:paraId="15F7E738" w14:textId="77777777" w:rsidR="00320E68" w:rsidRPr="00E24FD4" w:rsidRDefault="0014625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w:t>
      </w:r>
      <w:r w:rsidRPr="00E24FD4">
        <w:rPr>
          <w:rFonts w:ascii="Palatino Linotype" w:eastAsia="Palatino Linotype" w:hAnsi="Palatino Linotype" w:cs="Palatino Linotype"/>
          <w:b/>
          <w:i/>
          <w:sz w:val="22"/>
          <w:szCs w:val="22"/>
        </w:rPr>
        <w:t>Número de empleado</w:t>
      </w:r>
      <w:r w:rsidRPr="00E24FD4">
        <w:rPr>
          <w:rFonts w:ascii="Palatino Linotype" w:eastAsia="Palatino Linotype" w:hAnsi="Palatino Linotype" w:cs="Palatino Linotype"/>
          <w:i/>
          <w:sz w:val="22"/>
          <w:szCs w:val="22"/>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26E116E" w14:textId="77777777" w:rsidR="00320E68" w:rsidRPr="00E24FD4" w:rsidRDefault="0014625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De lo anterior se desprende que solamente procederá la clasificación del número de empleado, cuando se integre con datos personales de los servidores públicos </w:t>
      </w:r>
      <w:r w:rsidRPr="00E24FD4">
        <w:rPr>
          <w:rFonts w:ascii="Palatino Linotype" w:eastAsia="Palatino Linotype" w:hAnsi="Palatino Linotype" w:cs="Palatino Linotype"/>
          <w:b/>
        </w:rPr>
        <w:t xml:space="preserve">o funcione como clave de acceso que no requiera una contraseña para ingresar a sistemas o bases de datos, </w:t>
      </w:r>
      <w:r w:rsidRPr="00E24FD4">
        <w:rPr>
          <w:rFonts w:ascii="Palatino Linotype" w:eastAsia="Palatino Linotype" w:hAnsi="Palatino Linotype" w:cs="Palatino Linotype"/>
        </w:rPr>
        <w:t xml:space="preserve">como lo hizo valer 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por lo tanto, es procedente la clasificación de dicho dato.</w:t>
      </w:r>
    </w:p>
    <w:p w14:paraId="339F8ABE"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Asimismo, el </w:t>
      </w:r>
      <w:r w:rsidRPr="00E24FD4">
        <w:rPr>
          <w:rFonts w:ascii="Palatino Linotype" w:eastAsia="Palatino Linotype" w:hAnsi="Palatino Linotype" w:cs="Palatino Linotype"/>
          <w:b/>
        </w:rPr>
        <w:t>Registro Federal de Contribuyentes (RFC)</w:t>
      </w:r>
      <w:r w:rsidRPr="00E24FD4">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E24FD4">
        <w:rPr>
          <w:rFonts w:ascii="Palatino Linotype" w:eastAsia="Palatino Linotype" w:hAnsi="Palatino Linotype" w:cs="Palatino Linotype"/>
        </w:rPr>
        <w:t>homoclave</w:t>
      </w:r>
      <w:proofErr w:type="spellEnd"/>
      <w:r w:rsidRPr="00E24FD4">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0A9A7671"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2BE713D"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E24FD4">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3F0B2719" w14:textId="77777777" w:rsidR="00320E68" w:rsidRPr="00E24FD4" w:rsidRDefault="00146250">
      <w:pPr>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 xml:space="preserve"> “Registro Federal de Contribuyentes (RFC) de personas físicas</w:t>
      </w:r>
      <w:r w:rsidRPr="00E24FD4">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9E7C02D" w14:textId="77777777" w:rsidR="00320E68" w:rsidRPr="00E24FD4" w:rsidRDefault="0014625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E24FD4">
        <w:rPr>
          <w:rFonts w:ascii="Palatino Linotype" w:eastAsia="Palatino Linotype" w:hAnsi="Palatino Linotype" w:cs="Palatino Linotype"/>
        </w:rPr>
        <w:t>homoclave</w:t>
      </w:r>
      <w:proofErr w:type="spellEnd"/>
      <w:r w:rsidRPr="00E24FD4">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AC44CE0"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rPr>
        <w:t>Bajo tales argumentos, es evidente que en el presente asunto el número de empleado es un dato susceptible de protegerse al actualizar el supuesto de clasificación establecido en el artículo 143, fracción I Ley de Transparencia y Acceso a la Información Pública del Estado de México y Municipios, a saber:</w:t>
      </w:r>
    </w:p>
    <w:p w14:paraId="17C5EEA4"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“Artículo 143.</w:t>
      </w:r>
      <w:r w:rsidRPr="00E24FD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F60C513"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w:t>
      </w:r>
      <w:r w:rsidRPr="00E24FD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E7525EB"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Respecto a las huellas dactilares plasmadas en los escritos de renuncia, debe decirse que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4">
        <w:r w:rsidRPr="00E24FD4">
          <w:rPr>
            <w:rFonts w:ascii="Palatino Linotype" w:eastAsia="Palatino Linotype" w:hAnsi="Palatino Linotype" w:cs="Palatino Linotype"/>
            <w:u w:val="single"/>
          </w:rPr>
          <w:t>https://docplayer.es/5455342-Nuevas-tecnologias-biometricas-instituto-nacional-de-ciencias-penales-procuraduria-general-de-la-republica-version-1-0.html</w:t>
        </w:r>
      </w:hyperlink>
      <w:r w:rsidRPr="00E24FD4">
        <w:rPr>
          <w:rFonts w:ascii="Palatino Linotype" w:eastAsia="Palatino Linotype" w:hAnsi="Palatino Linotype" w:cs="Palatino Linotype"/>
        </w:rPr>
        <w:t xml:space="preserve">, se indica que existen tres principios fundamentales para la identificación de las huellas dactilares, a saber: </w:t>
      </w:r>
    </w:p>
    <w:p w14:paraId="4F3C952B" w14:textId="77777777" w:rsidR="00320E68" w:rsidRPr="00E24FD4" w:rsidRDefault="00146250">
      <w:pPr>
        <w:numPr>
          <w:ilvl w:val="0"/>
          <w:numId w:val="1"/>
        </w:numPr>
        <w:spacing w:before="240" w:after="240" w:line="360" w:lineRule="auto"/>
        <w:ind w:right="474"/>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Primer principio. La huella es una característica individual. No hay dos huellas con características en las crestas que sean idénticas. </w:t>
      </w:r>
    </w:p>
    <w:p w14:paraId="62336291" w14:textId="77777777" w:rsidR="00320E68" w:rsidRPr="00E24FD4" w:rsidRDefault="00146250">
      <w:pPr>
        <w:numPr>
          <w:ilvl w:val="0"/>
          <w:numId w:val="1"/>
        </w:numPr>
        <w:spacing w:before="240" w:after="240" w:line="360" w:lineRule="auto"/>
        <w:ind w:right="474"/>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Segundo principio. Una huella permanece sin cambios durante toda la vida de un individuo (sin embargo, puede adquirir cicatrices o cualquier otra deformación que impida su identificación clara). </w:t>
      </w:r>
    </w:p>
    <w:p w14:paraId="68594D9C" w14:textId="77777777" w:rsidR="00320E68" w:rsidRPr="00E24FD4" w:rsidRDefault="00146250">
      <w:pPr>
        <w:numPr>
          <w:ilvl w:val="0"/>
          <w:numId w:val="1"/>
        </w:numPr>
        <w:spacing w:before="240" w:after="240" w:line="360" w:lineRule="auto"/>
        <w:ind w:right="474"/>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Tercer principio. Las huellas tienen patrones que se forman con sus crestas, lo que hace posible clasificarlas sistemáticamente para agilizar las búsquedas. </w:t>
      </w:r>
    </w:p>
    <w:p w14:paraId="450339F4"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27D32F24"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14:paraId="6BC44853" w14:textId="77777777" w:rsidR="00320E68" w:rsidRPr="00E24FD4" w:rsidRDefault="00146250">
      <w:pPr>
        <w:spacing w:before="120" w:after="12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E24FD4">
        <w:rPr>
          <w:rFonts w:ascii="Palatino Linotype" w:eastAsia="Palatino Linotype" w:hAnsi="Palatino Linotype" w:cs="Palatino Linotype"/>
          <w:i/>
          <w:sz w:val="22"/>
          <w:szCs w:val="22"/>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64178698"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En la actualidad existen sistemas denominados AFIS por sus siglas en inglés </w:t>
      </w:r>
      <w:proofErr w:type="spellStart"/>
      <w:r w:rsidRPr="00E24FD4">
        <w:rPr>
          <w:rFonts w:ascii="Palatino Linotype" w:eastAsia="Palatino Linotype" w:hAnsi="Palatino Linotype" w:cs="Palatino Linotype"/>
          <w:i/>
        </w:rPr>
        <w:t>Automated</w:t>
      </w:r>
      <w:proofErr w:type="spellEnd"/>
      <w:r w:rsidRPr="00E24FD4">
        <w:rPr>
          <w:rFonts w:ascii="Palatino Linotype" w:eastAsia="Palatino Linotype" w:hAnsi="Palatino Linotype" w:cs="Palatino Linotype"/>
          <w:i/>
        </w:rPr>
        <w:t xml:space="preserve"> </w:t>
      </w:r>
      <w:proofErr w:type="spellStart"/>
      <w:r w:rsidRPr="00E24FD4">
        <w:rPr>
          <w:rFonts w:ascii="Palatino Linotype" w:eastAsia="Palatino Linotype" w:hAnsi="Palatino Linotype" w:cs="Palatino Linotype"/>
          <w:i/>
        </w:rPr>
        <w:t>Fingerprint</w:t>
      </w:r>
      <w:proofErr w:type="spellEnd"/>
      <w:r w:rsidRPr="00E24FD4">
        <w:rPr>
          <w:rFonts w:ascii="Palatino Linotype" w:eastAsia="Palatino Linotype" w:hAnsi="Palatino Linotype" w:cs="Palatino Linotype"/>
          <w:i/>
        </w:rPr>
        <w:t xml:space="preserve"> </w:t>
      </w:r>
      <w:proofErr w:type="spellStart"/>
      <w:r w:rsidRPr="00E24FD4">
        <w:rPr>
          <w:rFonts w:ascii="Palatino Linotype" w:eastAsia="Palatino Linotype" w:hAnsi="Palatino Linotype" w:cs="Palatino Linotype"/>
          <w:i/>
        </w:rPr>
        <w:t>Identification</w:t>
      </w:r>
      <w:proofErr w:type="spellEnd"/>
      <w:r w:rsidRPr="00E24FD4">
        <w:rPr>
          <w:rFonts w:ascii="Palatino Linotype" w:eastAsia="Palatino Linotype" w:hAnsi="Palatino Linotype" w:cs="Palatino Linotype"/>
          <w:i/>
        </w:rPr>
        <w:t xml:space="preserve"> </w:t>
      </w:r>
      <w:proofErr w:type="spellStart"/>
      <w:r w:rsidRPr="00E24FD4">
        <w:rPr>
          <w:rFonts w:ascii="Palatino Linotype" w:eastAsia="Palatino Linotype" w:hAnsi="Palatino Linotype" w:cs="Palatino Linotype"/>
          <w:i/>
        </w:rPr>
        <w:t>System</w:t>
      </w:r>
      <w:proofErr w:type="spellEnd"/>
      <w:r w:rsidRPr="00E24FD4">
        <w:rPr>
          <w:rFonts w:ascii="Palatino Linotype" w:eastAsia="Palatino Linotype" w:hAnsi="Palatino Linotype" w:cs="Palatino Linotype"/>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75936B87"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339112FA"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5F91E140" w14:textId="77777777" w:rsidR="00320E68" w:rsidRPr="00E24FD4" w:rsidRDefault="00146250">
      <w:pPr>
        <w:spacing w:before="240" w:after="240" w:line="360" w:lineRule="auto"/>
        <w:ind w:right="50"/>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 citado con antelación, tal y como lo hizo 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w:t>
      </w:r>
    </w:p>
    <w:p w14:paraId="7A7B4BAF"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No obstante, si bien se comparte la clasificación del número de empleado así como la huella dactilar de los servidores públicos que presentaron su renuncia, como información confidencial, debe decirse que </w:t>
      </w:r>
      <w:r w:rsidRPr="00E24FD4">
        <w:rPr>
          <w:rFonts w:ascii="Palatino Linotype" w:eastAsia="Palatino Linotype" w:hAnsi="Palatino Linotype" w:cs="Palatino Linotype"/>
          <w:b/>
          <w:u w:val="single"/>
        </w:rPr>
        <w:t>la restricción al derecho de acceso a la información implica necesariamente una clasificación</w:t>
      </w:r>
      <w:r w:rsidRPr="00E24FD4">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671366F1" w14:textId="77777777" w:rsidR="00320E68" w:rsidRPr="00E24FD4" w:rsidRDefault="00146250">
      <w:pPr>
        <w:spacing w:before="280" w:after="280" w:line="360" w:lineRule="auto"/>
        <w:ind w:right="51"/>
        <w:jc w:val="both"/>
        <w:rPr>
          <w:rFonts w:ascii="Palatino Linotype" w:eastAsia="Palatino Linotype" w:hAnsi="Palatino Linotype" w:cs="Palatino Linotype"/>
        </w:rPr>
      </w:pPr>
      <w:r w:rsidRPr="00E24FD4">
        <w:rPr>
          <w:rFonts w:ascii="Palatino Linotype" w:eastAsia="Palatino Linotype" w:hAnsi="Palatino Linotype" w:cs="Palatino Linotype"/>
        </w:rPr>
        <w:t>En ese sentido,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fracción VIII de la Ley de Transparencia y Acceso a la Información Pública del Estado de México y Municipios, cuyo sentido literal es el siguiente:</w:t>
      </w:r>
    </w:p>
    <w:p w14:paraId="6E611AD1" w14:textId="77777777" w:rsidR="00320E68" w:rsidRPr="00E24FD4" w:rsidRDefault="00146250">
      <w:pPr>
        <w:spacing w:before="120" w:after="12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“Artículo 49.</w:t>
      </w:r>
      <w:r w:rsidRPr="00E24FD4">
        <w:rPr>
          <w:rFonts w:ascii="Palatino Linotype" w:eastAsia="Palatino Linotype" w:hAnsi="Palatino Linotype" w:cs="Palatino Linotype"/>
          <w:i/>
          <w:sz w:val="22"/>
          <w:szCs w:val="22"/>
        </w:rPr>
        <w:t xml:space="preserve"> </w:t>
      </w:r>
      <w:r w:rsidRPr="00E24FD4">
        <w:rPr>
          <w:rFonts w:ascii="Palatino Linotype" w:eastAsia="Palatino Linotype" w:hAnsi="Palatino Linotype" w:cs="Palatino Linotype"/>
          <w:b/>
          <w:i/>
          <w:sz w:val="22"/>
          <w:szCs w:val="22"/>
        </w:rPr>
        <w:t>Los Comités de Transparencia</w:t>
      </w:r>
      <w:r w:rsidRPr="00E24FD4">
        <w:rPr>
          <w:rFonts w:ascii="Palatino Linotype" w:eastAsia="Palatino Linotype" w:hAnsi="Palatino Linotype" w:cs="Palatino Linotype"/>
          <w:i/>
          <w:sz w:val="22"/>
          <w:szCs w:val="22"/>
        </w:rPr>
        <w:t xml:space="preserve"> tendrán las siguientes atribuciones:</w:t>
      </w:r>
    </w:p>
    <w:p w14:paraId="1E4EBA04" w14:textId="77777777" w:rsidR="00320E68" w:rsidRPr="00E24FD4" w:rsidRDefault="00146250">
      <w:pPr>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VIII. Aprobar, modificar o revocar la clasificación de la información</w:t>
      </w:r>
      <w:r w:rsidRPr="00E24FD4">
        <w:rPr>
          <w:rFonts w:ascii="Palatino Linotype" w:eastAsia="Palatino Linotype" w:hAnsi="Palatino Linotype" w:cs="Palatino Linotype"/>
          <w:i/>
          <w:sz w:val="22"/>
          <w:szCs w:val="22"/>
        </w:rPr>
        <w:t>…”</w:t>
      </w:r>
    </w:p>
    <w:p w14:paraId="4D42E91E" w14:textId="77777777" w:rsidR="00320E68" w:rsidRPr="00E24FD4" w:rsidRDefault="00146250">
      <w:pPr>
        <w:spacing w:before="120" w:after="12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w:t>
      </w:r>
      <w:r w:rsidRPr="00E24FD4">
        <w:rPr>
          <w:rFonts w:ascii="Palatino Linotype" w:eastAsia="Palatino Linotype" w:hAnsi="Palatino Linotype" w:cs="Palatino Linotype"/>
          <w:b/>
          <w:i/>
          <w:sz w:val="22"/>
          <w:szCs w:val="22"/>
        </w:rPr>
        <w:t>Artículo 53.</w:t>
      </w:r>
      <w:r w:rsidRPr="00E24FD4">
        <w:rPr>
          <w:rFonts w:ascii="Palatino Linotype" w:eastAsia="Palatino Linotype" w:hAnsi="Palatino Linotype" w:cs="Palatino Linotype"/>
          <w:i/>
          <w:sz w:val="22"/>
          <w:szCs w:val="22"/>
        </w:rPr>
        <w:t xml:space="preserve"> Las </w:t>
      </w:r>
      <w:r w:rsidRPr="00E24FD4">
        <w:rPr>
          <w:rFonts w:ascii="Palatino Linotype" w:eastAsia="Palatino Linotype" w:hAnsi="Palatino Linotype" w:cs="Palatino Linotype"/>
          <w:b/>
          <w:i/>
          <w:sz w:val="22"/>
          <w:szCs w:val="22"/>
        </w:rPr>
        <w:t>Unidades de Transparencia</w:t>
      </w:r>
      <w:r w:rsidRPr="00E24FD4">
        <w:rPr>
          <w:rFonts w:ascii="Palatino Linotype" w:eastAsia="Palatino Linotype" w:hAnsi="Palatino Linotype" w:cs="Palatino Linotype"/>
          <w:i/>
          <w:sz w:val="22"/>
          <w:szCs w:val="22"/>
        </w:rPr>
        <w:t xml:space="preserve"> tendrán las siguientes </w:t>
      </w:r>
      <w:r w:rsidRPr="00E24FD4">
        <w:rPr>
          <w:rFonts w:ascii="Palatino Linotype" w:eastAsia="Palatino Linotype" w:hAnsi="Palatino Linotype" w:cs="Palatino Linotype"/>
          <w:b/>
          <w:i/>
          <w:sz w:val="22"/>
          <w:szCs w:val="22"/>
        </w:rPr>
        <w:t>funciones</w:t>
      </w:r>
      <w:r w:rsidRPr="00E24FD4">
        <w:rPr>
          <w:rFonts w:ascii="Palatino Linotype" w:eastAsia="Palatino Linotype" w:hAnsi="Palatino Linotype" w:cs="Palatino Linotype"/>
          <w:i/>
          <w:sz w:val="22"/>
          <w:szCs w:val="22"/>
        </w:rPr>
        <w:t>:</w:t>
      </w:r>
    </w:p>
    <w:p w14:paraId="1AF6108C" w14:textId="77777777" w:rsidR="00320E68" w:rsidRPr="00E24FD4" w:rsidRDefault="00146250">
      <w:pPr>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X. Presentar ante el Comité, el proyecto de clasificación de información</w:t>
      </w:r>
      <w:r w:rsidRPr="00E24FD4">
        <w:rPr>
          <w:rFonts w:ascii="Palatino Linotype" w:eastAsia="Palatino Linotype" w:hAnsi="Palatino Linotype" w:cs="Palatino Linotype"/>
          <w:i/>
          <w:sz w:val="22"/>
          <w:szCs w:val="22"/>
        </w:rPr>
        <w:t xml:space="preserve">…” </w:t>
      </w:r>
    </w:p>
    <w:p w14:paraId="6CE58CDE" w14:textId="77777777" w:rsidR="00320E68" w:rsidRPr="00E24FD4" w:rsidRDefault="00146250">
      <w:pPr>
        <w:spacing w:before="120" w:after="12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“Artículo 59.</w:t>
      </w:r>
      <w:r w:rsidRPr="00E24FD4">
        <w:rPr>
          <w:rFonts w:ascii="Palatino Linotype" w:eastAsia="Palatino Linotype" w:hAnsi="Palatino Linotype" w:cs="Palatino Linotype"/>
          <w:i/>
          <w:sz w:val="22"/>
          <w:szCs w:val="22"/>
        </w:rPr>
        <w:t xml:space="preserve"> Los </w:t>
      </w:r>
      <w:r w:rsidRPr="00E24FD4">
        <w:rPr>
          <w:rFonts w:ascii="Palatino Linotype" w:eastAsia="Palatino Linotype" w:hAnsi="Palatino Linotype" w:cs="Palatino Linotype"/>
          <w:b/>
          <w:i/>
          <w:sz w:val="22"/>
          <w:szCs w:val="22"/>
        </w:rPr>
        <w:t>servidores públicos habilitados</w:t>
      </w:r>
      <w:r w:rsidRPr="00E24FD4">
        <w:rPr>
          <w:rFonts w:ascii="Palatino Linotype" w:eastAsia="Palatino Linotype" w:hAnsi="Palatino Linotype" w:cs="Palatino Linotype"/>
          <w:i/>
          <w:sz w:val="22"/>
          <w:szCs w:val="22"/>
        </w:rPr>
        <w:t xml:space="preserve"> tendrán las </w:t>
      </w:r>
      <w:r w:rsidRPr="00E24FD4">
        <w:rPr>
          <w:rFonts w:ascii="Palatino Linotype" w:eastAsia="Palatino Linotype" w:hAnsi="Palatino Linotype" w:cs="Palatino Linotype"/>
          <w:b/>
          <w:i/>
          <w:sz w:val="22"/>
          <w:szCs w:val="22"/>
        </w:rPr>
        <w:t>funciones</w:t>
      </w:r>
      <w:r w:rsidRPr="00E24FD4">
        <w:rPr>
          <w:rFonts w:ascii="Palatino Linotype" w:eastAsia="Palatino Linotype" w:hAnsi="Palatino Linotype" w:cs="Palatino Linotype"/>
          <w:i/>
          <w:sz w:val="22"/>
          <w:szCs w:val="22"/>
        </w:rPr>
        <w:t xml:space="preserve"> siguientes:</w:t>
      </w:r>
    </w:p>
    <w:p w14:paraId="3D5A21D3" w14:textId="77777777" w:rsidR="00320E68" w:rsidRPr="00E24FD4" w:rsidRDefault="00146250">
      <w:pPr>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24FD4">
        <w:rPr>
          <w:rFonts w:ascii="Palatino Linotype" w:eastAsia="Palatino Linotype" w:hAnsi="Palatino Linotype" w:cs="Palatino Linotype"/>
          <w:i/>
          <w:sz w:val="22"/>
          <w:szCs w:val="22"/>
        </w:rPr>
        <w:t>, la cual tendrá los fundamentos y argumentos en que se basa dicha propuesta…”</w:t>
      </w:r>
    </w:p>
    <w:p w14:paraId="45D07B30" w14:textId="77777777" w:rsidR="00320E68" w:rsidRPr="00E24FD4" w:rsidRDefault="00146250">
      <w:pPr>
        <w:spacing w:before="280" w:after="280" w:line="360" w:lineRule="auto"/>
        <w:ind w:right="51"/>
        <w:jc w:val="both"/>
        <w:rPr>
          <w:rFonts w:ascii="Palatino Linotype" w:eastAsia="Palatino Linotype" w:hAnsi="Palatino Linotype" w:cs="Palatino Linotype"/>
        </w:rPr>
      </w:pPr>
      <w:r w:rsidRPr="00E24FD4">
        <w:rPr>
          <w:rFonts w:ascii="Palatino Linotype" w:eastAsia="Palatino Linotype" w:hAnsi="Palatino Linotype" w:cs="Palatino Linotype"/>
        </w:rPr>
        <w:t>Asimismo, 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12AA9D" w14:textId="77777777" w:rsidR="00320E68" w:rsidRPr="00E24FD4" w:rsidRDefault="00146250">
      <w:pPr>
        <w:spacing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En este tenor, los Lineamientos Quincuagésimo, Quincuagésimo primero, Quincuagésimo segundo, de los Lineamientos Generales en Materia de Clasificación y Desclasificación señalan las formalidades que deberá llevar el acuerdo de clasificación, siendo estas las siguientes:</w:t>
      </w:r>
    </w:p>
    <w:p w14:paraId="6928427E"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 xml:space="preserve"> “Quincuagésimo. </w:t>
      </w:r>
      <w:r w:rsidRPr="00E24FD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8BC679" w14:textId="77777777" w:rsidR="00320E68" w:rsidRPr="00E24FD4" w:rsidRDefault="0014625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 xml:space="preserve">Quincuagésimo primero. </w:t>
      </w:r>
      <w:r w:rsidRPr="00E24FD4">
        <w:rPr>
          <w:rFonts w:ascii="Palatino Linotype" w:eastAsia="Palatino Linotype" w:hAnsi="Palatino Linotype" w:cs="Palatino Linotype"/>
          <w:i/>
          <w:sz w:val="22"/>
          <w:szCs w:val="22"/>
        </w:rPr>
        <w:t xml:space="preserve">Toda acta del Comité de Transparencia deberá contener: </w:t>
      </w:r>
    </w:p>
    <w:p w14:paraId="3549DC9C"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w:t>
      </w:r>
      <w:r w:rsidRPr="00E24FD4">
        <w:rPr>
          <w:rFonts w:ascii="Palatino Linotype" w:eastAsia="Palatino Linotype" w:hAnsi="Palatino Linotype" w:cs="Palatino Linotype"/>
          <w:i/>
          <w:sz w:val="22"/>
          <w:szCs w:val="22"/>
        </w:rPr>
        <w:t xml:space="preserve"> El número de sesión y fecha; </w:t>
      </w:r>
    </w:p>
    <w:p w14:paraId="6DA11F8A"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II</w:t>
      </w:r>
      <w:r w:rsidRPr="00E24FD4">
        <w:rPr>
          <w:rFonts w:ascii="Palatino Linotype" w:eastAsia="Palatino Linotype" w:hAnsi="Palatino Linotype" w:cs="Palatino Linotype"/>
          <w:i/>
          <w:sz w:val="22"/>
          <w:szCs w:val="22"/>
        </w:rPr>
        <w:t xml:space="preserve">. El nombre del área que solicitó la clasificación de información; </w:t>
      </w:r>
    </w:p>
    <w:p w14:paraId="5943ED4A"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III</w:t>
      </w:r>
      <w:r w:rsidRPr="00E24FD4">
        <w:rPr>
          <w:rFonts w:ascii="Palatino Linotype" w:eastAsia="Palatino Linotype" w:hAnsi="Palatino Linotype" w:cs="Palatino Linotype"/>
          <w:i/>
          <w:sz w:val="22"/>
          <w:szCs w:val="22"/>
        </w:rPr>
        <w:t xml:space="preserve">. La fundamentación legal y motivación correspondiente; </w:t>
      </w:r>
    </w:p>
    <w:p w14:paraId="1DF308FA"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IV</w:t>
      </w:r>
      <w:r w:rsidRPr="00E24FD4">
        <w:rPr>
          <w:rFonts w:ascii="Palatino Linotype" w:eastAsia="Palatino Linotype" w:hAnsi="Palatino Linotype" w:cs="Palatino Linotype"/>
          <w:i/>
          <w:sz w:val="22"/>
          <w:szCs w:val="22"/>
        </w:rPr>
        <w:t xml:space="preserve">. La resolución o resoluciones aprobadas; y </w:t>
      </w:r>
    </w:p>
    <w:p w14:paraId="0FAC112D"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V</w:t>
      </w:r>
      <w:r w:rsidRPr="00E24FD4">
        <w:rPr>
          <w:rFonts w:ascii="Palatino Linotype" w:eastAsia="Palatino Linotype" w:hAnsi="Palatino Linotype" w:cs="Palatino Linotype"/>
          <w:i/>
          <w:sz w:val="22"/>
          <w:szCs w:val="22"/>
        </w:rPr>
        <w:t xml:space="preserve">. La rúbrica o firma digital de cada integrante del Comité de Transparencia. </w:t>
      </w:r>
    </w:p>
    <w:p w14:paraId="571BA138" w14:textId="77777777" w:rsidR="00320E68" w:rsidRPr="00E24FD4" w:rsidRDefault="0014625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A04D22F"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w:t>
      </w:r>
      <w:r w:rsidRPr="00E24FD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600440C"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E24FD4">
        <w:rPr>
          <w:rFonts w:ascii="Palatino Linotype" w:eastAsia="Palatino Linotype" w:hAnsi="Palatino Linotype" w:cs="Palatino Linotype"/>
          <w:b/>
          <w:i/>
          <w:sz w:val="22"/>
          <w:szCs w:val="22"/>
        </w:rPr>
        <w:t>II</w:t>
      </w:r>
      <w:r w:rsidRPr="00E24FD4">
        <w:rPr>
          <w:rFonts w:ascii="Palatino Linotype" w:eastAsia="Palatino Linotype" w:hAnsi="Palatino Linotype" w:cs="Palatino Linotype"/>
          <w:i/>
          <w:sz w:val="22"/>
          <w:szCs w:val="22"/>
        </w:rPr>
        <w:t>. Descripción de las partes o secciones reservadas, en caso de clasificación parcial</w:t>
      </w:r>
      <w:r w:rsidRPr="00E24FD4">
        <w:rPr>
          <w:rFonts w:ascii="Palatino Linotype" w:eastAsia="Palatino Linotype" w:hAnsi="Palatino Linotype" w:cs="Palatino Linotype"/>
          <w:b/>
          <w:i/>
          <w:sz w:val="22"/>
          <w:szCs w:val="22"/>
        </w:rPr>
        <w:t xml:space="preserve">; </w:t>
      </w:r>
    </w:p>
    <w:p w14:paraId="533F3435"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III.</w:t>
      </w:r>
      <w:r w:rsidRPr="00E24FD4">
        <w:rPr>
          <w:rFonts w:ascii="Palatino Linotype" w:eastAsia="Palatino Linotype" w:hAnsi="Palatino Linotype" w:cs="Palatino Linotype"/>
          <w:i/>
          <w:sz w:val="22"/>
          <w:szCs w:val="22"/>
        </w:rPr>
        <w:t xml:space="preserve"> El periodo por el que mantendrá su clasificación y fecha de expiración; y </w:t>
      </w:r>
    </w:p>
    <w:p w14:paraId="3AC2C9C5" w14:textId="77777777" w:rsidR="00320E68" w:rsidRPr="00E24FD4" w:rsidRDefault="0014625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IV.</w:t>
      </w:r>
      <w:r w:rsidRPr="00E24FD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DC34F59" w14:textId="77777777" w:rsidR="00320E68" w:rsidRPr="00E24FD4" w:rsidRDefault="0014625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8C7FFCC" w14:textId="77777777" w:rsidR="00320E68" w:rsidRPr="00E24FD4" w:rsidRDefault="0014625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BACEF42" w14:textId="77777777" w:rsidR="00320E68" w:rsidRPr="00E24FD4" w:rsidRDefault="00146250">
      <w:pPr>
        <w:spacing w:before="120" w:after="12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Quincuagésimo segundo</w:t>
      </w:r>
      <w:r w:rsidRPr="00E24FD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46368A7" w14:textId="77777777" w:rsidR="00320E68" w:rsidRPr="00E24FD4" w:rsidRDefault="00146250">
      <w:pPr>
        <w:spacing w:before="120" w:after="12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En el caso </w:t>
      </w:r>
      <w:proofErr w:type="spellStart"/>
      <w:r w:rsidRPr="00E24FD4">
        <w:rPr>
          <w:rFonts w:ascii="Palatino Linotype" w:eastAsia="Palatino Linotype" w:hAnsi="Palatino Linotype" w:cs="Palatino Linotype"/>
          <w:i/>
          <w:sz w:val="22"/>
          <w:szCs w:val="22"/>
        </w:rPr>
        <w:t>especifico</w:t>
      </w:r>
      <w:proofErr w:type="spellEnd"/>
      <w:r w:rsidRPr="00E24FD4">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04B2B8EC" w14:textId="77777777" w:rsidR="00320E68" w:rsidRPr="00E24FD4" w:rsidRDefault="00146250">
      <w:pPr>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w:t>
      </w:r>
      <w:r w:rsidRPr="00E24FD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76CD893" w14:textId="77777777" w:rsidR="00320E68" w:rsidRPr="00E24FD4" w:rsidRDefault="00146250">
      <w:pPr>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II.</w:t>
      </w:r>
      <w:r w:rsidRPr="00E24FD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5BD6B01" w14:textId="77777777" w:rsidR="00320E68" w:rsidRPr="00E24FD4" w:rsidRDefault="00146250">
      <w:pPr>
        <w:spacing w:before="120" w:after="120"/>
        <w:ind w:left="1134"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III.</w:t>
      </w:r>
      <w:r w:rsidRPr="00E24FD4">
        <w:rPr>
          <w:rFonts w:ascii="Palatino Linotype" w:eastAsia="Palatino Linotype" w:hAnsi="Palatino Linotype" w:cs="Palatino Linotype"/>
          <w:i/>
          <w:sz w:val="22"/>
          <w:szCs w:val="22"/>
        </w:rPr>
        <w:t xml:space="preserve"> Señalar las personas o instancias autorizadas a acceder a la información clasificada.</w:t>
      </w:r>
    </w:p>
    <w:p w14:paraId="4EBEB28B" w14:textId="77777777" w:rsidR="00320E68" w:rsidRPr="00E24FD4" w:rsidRDefault="00146250">
      <w:pPr>
        <w:spacing w:before="120" w:after="120"/>
        <w:ind w:left="851" w:right="900"/>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4D46CA5"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Asimismo, los Lineamientos Quincuagésimo cuarto, Quincuagésimo quinto, Quincuagésimo sexto, Quincuagésimo séptimo y Quincuagésimo octavo, de los Lineamientos Generales en Materia de Clasificación y Desclasificación, establecen lo siguiente:</w:t>
      </w:r>
    </w:p>
    <w:p w14:paraId="6458A9DD" w14:textId="77777777" w:rsidR="00320E68" w:rsidRPr="00E24FD4" w:rsidRDefault="00146250">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E24FD4">
        <w:rPr>
          <w:rFonts w:ascii="Palatino Linotype" w:eastAsia="Palatino Linotype" w:hAnsi="Palatino Linotype" w:cs="Palatino Linotype"/>
          <w:i/>
          <w:sz w:val="22"/>
          <w:szCs w:val="22"/>
        </w:rPr>
        <w:t>“</w:t>
      </w:r>
      <w:r w:rsidRPr="00E24FD4">
        <w:rPr>
          <w:rFonts w:ascii="Palatino Linotype" w:eastAsia="Palatino Linotype" w:hAnsi="Palatino Linotype" w:cs="Palatino Linotype"/>
          <w:b/>
          <w:i/>
          <w:sz w:val="22"/>
          <w:szCs w:val="22"/>
        </w:rPr>
        <w:t xml:space="preserve">Quincuagésimo cuarto. </w:t>
      </w:r>
      <w:r w:rsidRPr="00E24FD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E24FD4">
        <w:rPr>
          <w:rFonts w:ascii="Palatino Linotype" w:eastAsia="Palatino Linotype" w:hAnsi="Palatino Linotype" w:cs="Palatino Linotype"/>
          <w:b/>
          <w:i/>
          <w:sz w:val="22"/>
          <w:szCs w:val="22"/>
        </w:rPr>
        <w:t xml:space="preserve"> </w:t>
      </w:r>
    </w:p>
    <w:p w14:paraId="38797EC5"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 xml:space="preserve">Quincuagésimo quinto. </w:t>
      </w:r>
      <w:r w:rsidRPr="00E24FD4">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E24FD4">
        <w:rPr>
          <w:rFonts w:ascii="Palatino Linotype" w:eastAsia="Palatino Linotype" w:hAnsi="Palatino Linotype" w:cs="Palatino Linotype"/>
          <w:i/>
          <w:sz w:val="22"/>
          <w:szCs w:val="22"/>
        </w:rPr>
        <w:t>testado</w:t>
      </w:r>
      <w:proofErr w:type="spellEnd"/>
      <w:r w:rsidRPr="00E24FD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8010C3B" w14:textId="77777777" w:rsidR="00320E68" w:rsidRPr="00E24FD4" w:rsidRDefault="00146250">
      <w:pPr>
        <w:spacing w:before="120" w:after="120"/>
        <w:ind w:left="851" w:right="902"/>
        <w:jc w:val="both"/>
        <w:rPr>
          <w:rFonts w:ascii="Palatino Linotype" w:eastAsia="Palatino Linotype" w:hAnsi="Palatino Linotype" w:cs="Palatino Linotype"/>
          <w:b/>
          <w:i/>
          <w:sz w:val="22"/>
          <w:szCs w:val="22"/>
        </w:rPr>
      </w:pPr>
      <w:r w:rsidRPr="00E24FD4">
        <w:rPr>
          <w:rFonts w:ascii="Palatino Linotype" w:eastAsia="Palatino Linotype" w:hAnsi="Palatino Linotype" w:cs="Palatino Linotype"/>
          <w:b/>
          <w:i/>
          <w:sz w:val="22"/>
          <w:szCs w:val="22"/>
        </w:rPr>
        <w:t>...</w:t>
      </w:r>
    </w:p>
    <w:p w14:paraId="4B3F03E8"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Quincuagésimo séptimo</w:t>
      </w:r>
      <w:r w:rsidRPr="00E24FD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B85B844"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w:t>
      </w:r>
      <w:r w:rsidRPr="00E24FD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3FAF280"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II.</w:t>
      </w:r>
      <w:r w:rsidRPr="00E24FD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D36049F" w14:textId="77777777" w:rsidR="00320E68" w:rsidRPr="00E24FD4" w:rsidRDefault="00146250">
      <w:pPr>
        <w:spacing w:before="120" w:after="120"/>
        <w:ind w:left="1134"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III</w:t>
      </w:r>
      <w:r w:rsidRPr="00E24FD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C5C25BA"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61FFB81" w14:textId="77777777" w:rsidR="00320E68" w:rsidRPr="00E24FD4" w:rsidRDefault="00146250">
      <w:pPr>
        <w:spacing w:before="120" w:after="120"/>
        <w:ind w:left="851" w:right="902"/>
        <w:jc w:val="both"/>
        <w:rPr>
          <w:rFonts w:ascii="Palatino Linotype" w:eastAsia="Palatino Linotype" w:hAnsi="Palatino Linotype" w:cs="Palatino Linotype"/>
          <w:i/>
          <w:sz w:val="22"/>
          <w:szCs w:val="22"/>
        </w:rPr>
      </w:pPr>
      <w:r w:rsidRPr="00E24FD4">
        <w:rPr>
          <w:rFonts w:ascii="Palatino Linotype" w:eastAsia="Palatino Linotype" w:hAnsi="Palatino Linotype" w:cs="Palatino Linotype"/>
          <w:b/>
          <w:i/>
          <w:sz w:val="22"/>
          <w:szCs w:val="22"/>
        </w:rPr>
        <w:t>Quincuagésimo octavo</w:t>
      </w:r>
      <w:r w:rsidRPr="00E24FD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40060C6" w14:textId="77777777" w:rsidR="00320E68" w:rsidRPr="00E24FD4" w:rsidRDefault="00146250">
      <w:pPr>
        <w:spacing w:before="240" w:after="240" w:line="360" w:lineRule="auto"/>
        <w:jc w:val="both"/>
        <w:rPr>
          <w:rFonts w:ascii="Palatino Linotype" w:eastAsia="Palatino Linotype" w:hAnsi="Palatino Linotype" w:cs="Palatino Linotype"/>
          <w:b/>
          <w:u w:val="single"/>
        </w:rPr>
      </w:pPr>
      <w:r w:rsidRPr="00E24FD4">
        <w:rPr>
          <w:rFonts w:ascii="Palatino Linotype" w:eastAsia="Palatino Linotype" w:hAnsi="Palatino Linotype" w:cs="Palatino Linotype"/>
        </w:rPr>
        <w:t xml:space="preserve">Por lo tanto, la entrega de documentos en su versión pública </w:t>
      </w:r>
      <w:r w:rsidRPr="00E24FD4">
        <w:rPr>
          <w:rFonts w:ascii="Palatino Linotype" w:eastAsia="Palatino Linotype" w:hAnsi="Palatino Linotype" w:cs="Palatino Linotype"/>
          <w:b/>
          <w:u w:val="single"/>
        </w:rPr>
        <w:t>debe acompañarse necesariamente del Acuerdo del Comité de Transparencia</w:t>
      </w:r>
      <w:r w:rsidRPr="00E24FD4">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como acontece en el presente asunto, ya que e</w:t>
      </w:r>
      <w:r w:rsidRPr="00E24FD4">
        <w:rPr>
          <w:rFonts w:ascii="Palatino Linotype" w:eastAsia="Palatino Linotype" w:hAnsi="Palatino Linotype" w:cs="Palatino Linotype"/>
          <w:b/>
          <w:u w:val="single"/>
        </w:rPr>
        <w:t>l Sujeto Obligado omitió hacer entrega del Acta del Comité de Transparencia que sustentara la pretendida versión pública de las renuncias proporcionada en respuesta.</w:t>
      </w:r>
    </w:p>
    <w:p w14:paraId="2D8D6EC3"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Bajo los argumentos expuestos, se estima que para tener por satisfecho el Derecho de acceso a la información de la parte </w:t>
      </w:r>
      <w:r w:rsidRPr="00E24FD4">
        <w:rPr>
          <w:rFonts w:ascii="Palatino Linotype" w:eastAsia="Palatino Linotype" w:hAnsi="Palatino Linotype" w:cs="Palatino Linotype"/>
          <w:b/>
        </w:rPr>
        <w:t xml:space="preserve">Recurrente, </w:t>
      </w:r>
      <w:r w:rsidRPr="00E24FD4">
        <w:rPr>
          <w:rFonts w:ascii="Palatino Linotype" w:eastAsia="Palatino Linotype" w:hAnsi="Palatino Linotype" w:cs="Palatino Linotype"/>
        </w:rPr>
        <w:t>el</w:t>
      </w:r>
      <w:r w:rsidRPr="00E24FD4">
        <w:rPr>
          <w:rFonts w:ascii="Palatino Linotype" w:eastAsia="Palatino Linotype" w:hAnsi="Palatino Linotype" w:cs="Palatino Linotype"/>
          <w:b/>
        </w:rPr>
        <w:t xml:space="preserve"> Sujeto Obligado </w:t>
      </w:r>
      <w:r w:rsidRPr="00E24FD4">
        <w:rPr>
          <w:rFonts w:ascii="Palatino Linotype" w:eastAsia="Palatino Linotype" w:hAnsi="Palatino Linotype" w:cs="Palatino Linotype"/>
        </w:rPr>
        <w:t>deberá hacer entrega del Acta mediante la cual el Comité de Transparencia aprobó la clasificación del número de empleado y la huella dactilar contenidos en los escritos de renuncia remitidos en respuesta, como información confidencial.</w:t>
      </w:r>
    </w:p>
    <w:p w14:paraId="75F8886D" w14:textId="77777777" w:rsidR="00320E68" w:rsidRPr="00E24FD4" w:rsidRDefault="0014625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De lo hasta aquí expuesto, se concluye que los motivos de inconformidad de la parte </w:t>
      </w:r>
      <w:r w:rsidRPr="00E24FD4">
        <w:rPr>
          <w:rFonts w:ascii="Palatino Linotype" w:eastAsia="Palatino Linotype" w:hAnsi="Palatino Linotype" w:cs="Palatino Linotype"/>
          <w:b/>
        </w:rPr>
        <w:t xml:space="preserve">Recurrente </w:t>
      </w:r>
      <w:r w:rsidRPr="00E24FD4">
        <w:rPr>
          <w:rFonts w:ascii="Palatino Linotype" w:eastAsia="Palatino Linotype" w:hAnsi="Palatino Linotype" w:cs="Palatino Linotype"/>
        </w:rPr>
        <w:t xml:space="preserve">devienen fundados, siendo procedente </w:t>
      </w:r>
      <w:r w:rsidRPr="00E24FD4">
        <w:rPr>
          <w:rFonts w:ascii="Palatino Linotype" w:eastAsia="Palatino Linotype" w:hAnsi="Palatino Linotype" w:cs="Palatino Linotype"/>
          <w:i/>
        </w:rPr>
        <w:t xml:space="preserve">Modificar </w:t>
      </w:r>
      <w:r w:rsidRPr="00E24FD4">
        <w:rPr>
          <w:rFonts w:ascii="Palatino Linotype" w:eastAsia="Palatino Linotype" w:hAnsi="Palatino Linotype" w:cs="Palatino Linotype"/>
        </w:rPr>
        <w:t xml:space="preserve">la respuesta proporcionada por el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A96B8C7"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33B9BCF" w14:textId="77777777" w:rsidR="00320E68" w:rsidRPr="00E24FD4" w:rsidRDefault="0014625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24FD4">
        <w:rPr>
          <w:rFonts w:ascii="Palatino Linotype" w:eastAsia="Palatino Linotype" w:hAnsi="Palatino Linotype" w:cs="Palatino Linotype"/>
          <w:b/>
        </w:rPr>
        <w:t>III. R E S U E L V E</w:t>
      </w:r>
    </w:p>
    <w:p w14:paraId="00D53529"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11" w:name="_heading=h.1t3h5sf" w:colFirst="0" w:colLast="0"/>
      <w:bookmarkEnd w:id="11"/>
      <w:r w:rsidRPr="00E24FD4">
        <w:rPr>
          <w:rFonts w:ascii="Palatino Linotype" w:eastAsia="Palatino Linotype" w:hAnsi="Palatino Linotype" w:cs="Palatino Linotype"/>
          <w:b/>
        </w:rPr>
        <w:t xml:space="preserve">Primero. </w:t>
      </w:r>
      <w:r w:rsidRPr="00E24FD4">
        <w:rPr>
          <w:rFonts w:ascii="Palatino Linotype" w:eastAsia="Palatino Linotype" w:hAnsi="Palatino Linotype" w:cs="Palatino Linotype"/>
        </w:rPr>
        <w:t>Resultan</w:t>
      </w:r>
      <w:r w:rsidRPr="00E24FD4">
        <w:rPr>
          <w:rFonts w:ascii="Palatino Linotype" w:eastAsia="Palatino Linotype" w:hAnsi="Palatino Linotype" w:cs="Palatino Linotype"/>
          <w:b/>
        </w:rPr>
        <w:t xml:space="preserve"> fundadas</w:t>
      </w:r>
      <w:r w:rsidRPr="00E24FD4">
        <w:rPr>
          <w:rFonts w:ascii="Palatino Linotype" w:eastAsia="Palatino Linotype" w:hAnsi="Palatino Linotype" w:cs="Palatino Linotype"/>
        </w:rPr>
        <w:t xml:space="preserve"> las razones o motivos de inconformidad hechos valer por la parte</w:t>
      </w:r>
      <w:r w:rsidRPr="00E24FD4">
        <w:rPr>
          <w:rFonts w:ascii="Palatino Linotype" w:eastAsia="Palatino Linotype" w:hAnsi="Palatino Linotype" w:cs="Palatino Linotype"/>
          <w:b/>
        </w:rPr>
        <w:t xml:space="preserve"> Recurrente</w:t>
      </w:r>
      <w:r w:rsidRPr="00E24FD4">
        <w:rPr>
          <w:rFonts w:ascii="Palatino Linotype" w:eastAsia="Palatino Linotype" w:hAnsi="Palatino Linotype" w:cs="Palatino Linotype"/>
        </w:rPr>
        <w:t xml:space="preserve"> en el recurso de revisión </w:t>
      </w:r>
      <w:r w:rsidRPr="00E24FD4">
        <w:rPr>
          <w:rFonts w:ascii="Palatino Linotype" w:eastAsia="Palatino Linotype" w:hAnsi="Palatino Linotype" w:cs="Palatino Linotype"/>
          <w:b/>
        </w:rPr>
        <w:t>08704/INFOEM/IP/RR/2025</w:t>
      </w:r>
      <w:r w:rsidRPr="00E24FD4">
        <w:rPr>
          <w:rFonts w:ascii="Palatino Linotype" w:eastAsia="Palatino Linotype" w:hAnsi="Palatino Linotype" w:cs="Palatino Linotype"/>
        </w:rPr>
        <w:t xml:space="preserve">; por lo que, en términos del </w:t>
      </w:r>
      <w:r w:rsidRPr="00E24FD4">
        <w:rPr>
          <w:rFonts w:ascii="Palatino Linotype" w:eastAsia="Palatino Linotype" w:hAnsi="Palatino Linotype" w:cs="Palatino Linotype"/>
          <w:b/>
        </w:rPr>
        <w:t>Considerando</w:t>
      </w:r>
      <w:r w:rsidRPr="00E24FD4">
        <w:rPr>
          <w:rFonts w:ascii="Palatino Linotype" w:eastAsia="Palatino Linotype" w:hAnsi="Palatino Linotype" w:cs="Palatino Linotype"/>
        </w:rPr>
        <w:t xml:space="preserve"> </w:t>
      </w:r>
      <w:r w:rsidRPr="00E24FD4">
        <w:rPr>
          <w:rFonts w:ascii="Palatino Linotype" w:eastAsia="Palatino Linotype" w:hAnsi="Palatino Linotype" w:cs="Palatino Linotype"/>
          <w:b/>
        </w:rPr>
        <w:t xml:space="preserve">Cuarto </w:t>
      </w:r>
      <w:r w:rsidRPr="00E24FD4">
        <w:rPr>
          <w:rFonts w:ascii="Palatino Linotype" w:eastAsia="Palatino Linotype" w:hAnsi="Palatino Linotype" w:cs="Palatino Linotype"/>
        </w:rPr>
        <w:t xml:space="preserve">de esta resolución, se </w:t>
      </w:r>
      <w:r w:rsidRPr="00E24FD4">
        <w:rPr>
          <w:rFonts w:ascii="Palatino Linotype" w:eastAsia="Palatino Linotype" w:hAnsi="Palatino Linotype" w:cs="Palatino Linotype"/>
          <w:b/>
        </w:rPr>
        <w:t xml:space="preserve">Modifica </w:t>
      </w:r>
      <w:r w:rsidRPr="00E24FD4">
        <w:rPr>
          <w:rFonts w:ascii="Palatino Linotype" w:eastAsia="Palatino Linotype" w:hAnsi="Palatino Linotype" w:cs="Palatino Linotype"/>
        </w:rPr>
        <w:t xml:space="preserve">la respuesta emitida por el </w:t>
      </w:r>
      <w:r w:rsidRPr="00E24FD4">
        <w:rPr>
          <w:rFonts w:ascii="Palatino Linotype" w:eastAsia="Palatino Linotype" w:hAnsi="Palatino Linotype" w:cs="Palatino Linotype"/>
          <w:b/>
        </w:rPr>
        <w:t xml:space="preserve">Sujeto Obligado. </w:t>
      </w:r>
    </w:p>
    <w:p w14:paraId="0E651B06" w14:textId="77777777" w:rsidR="00320E68" w:rsidRPr="00E24FD4" w:rsidRDefault="00146250">
      <w:pPr>
        <w:spacing w:before="240" w:after="240" w:line="360" w:lineRule="auto"/>
        <w:ind w:right="49"/>
        <w:jc w:val="both"/>
        <w:rPr>
          <w:rFonts w:ascii="Palatino Linotype" w:eastAsia="Palatino Linotype" w:hAnsi="Palatino Linotype" w:cs="Palatino Linotype"/>
        </w:rPr>
      </w:pPr>
      <w:r w:rsidRPr="00E24FD4">
        <w:rPr>
          <w:rFonts w:ascii="Palatino Linotype" w:eastAsia="Palatino Linotype" w:hAnsi="Palatino Linotype" w:cs="Palatino Linotype"/>
          <w:b/>
        </w:rPr>
        <w:t xml:space="preserve">Segundo. </w:t>
      </w:r>
      <w:r w:rsidRPr="00E24FD4">
        <w:rPr>
          <w:rFonts w:ascii="Palatino Linotype" w:eastAsia="Palatino Linotype" w:hAnsi="Palatino Linotype" w:cs="Palatino Linotype"/>
        </w:rPr>
        <w:t xml:space="preserve">Se </w:t>
      </w:r>
      <w:r w:rsidRPr="00E24FD4">
        <w:rPr>
          <w:rFonts w:ascii="Palatino Linotype" w:eastAsia="Palatino Linotype" w:hAnsi="Palatino Linotype" w:cs="Palatino Linotype"/>
          <w:b/>
        </w:rPr>
        <w:t xml:space="preserve">Ordena </w:t>
      </w:r>
      <w:r w:rsidRPr="00E24FD4">
        <w:rPr>
          <w:rFonts w:ascii="Palatino Linotype" w:eastAsia="Palatino Linotype" w:hAnsi="Palatino Linotype" w:cs="Palatino Linotype"/>
        </w:rPr>
        <w:t xml:space="preserve">al </w:t>
      </w:r>
      <w:r w:rsidRPr="00E24FD4">
        <w:rPr>
          <w:rFonts w:ascii="Palatino Linotype" w:eastAsia="Palatino Linotype" w:hAnsi="Palatino Linotype" w:cs="Palatino Linotype"/>
          <w:b/>
        </w:rPr>
        <w:t xml:space="preserve">Sujeto Obligado, </w:t>
      </w:r>
      <w:r w:rsidRPr="00E24FD4">
        <w:rPr>
          <w:rFonts w:ascii="Palatino Linotype" w:eastAsia="Palatino Linotype" w:hAnsi="Palatino Linotype" w:cs="Palatino Linotype"/>
        </w:rPr>
        <w:t xml:space="preserve">en términos del </w:t>
      </w:r>
      <w:r w:rsidRPr="00E24FD4">
        <w:rPr>
          <w:rFonts w:ascii="Palatino Linotype" w:eastAsia="Palatino Linotype" w:hAnsi="Palatino Linotype" w:cs="Palatino Linotype"/>
          <w:b/>
        </w:rPr>
        <w:t xml:space="preserve">Considerando Cuarto </w:t>
      </w:r>
      <w:r w:rsidRPr="00E24FD4">
        <w:rPr>
          <w:rFonts w:ascii="Palatino Linotype" w:eastAsia="Palatino Linotype" w:hAnsi="Palatino Linotype" w:cs="Palatino Linotype"/>
        </w:rPr>
        <w:t xml:space="preserve">de esta resolución, haga entrega, vía </w:t>
      </w:r>
      <w:r w:rsidRPr="00E24FD4">
        <w:rPr>
          <w:rFonts w:ascii="Palatino Linotype" w:eastAsia="Palatino Linotype" w:hAnsi="Palatino Linotype" w:cs="Palatino Linotype"/>
          <w:b/>
        </w:rPr>
        <w:t>SAIMEX</w:t>
      </w:r>
      <w:r w:rsidRPr="00E24FD4">
        <w:rPr>
          <w:rFonts w:ascii="Palatino Linotype" w:eastAsia="Palatino Linotype" w:hAnsi="Palatino Linotype" w:cs="Palatino Linotype"/>
        </w:rPr>
        <w:t>, de lo siguiente:</w:t>
      </w:r>
    </w:p>
    <w:p w14:paraId="57CA6057" w14:textId="5765E4D7" w:rsidR="00320E68" w:rsidRPr="00E24FD4" w:rsidRDefault="00146250">
      <w:pPr>
        <w:spacing w:before="240" w:after="240" w:line="360" w:lineRule="auto"/>
        <w:ind w:left="426" w:right="49"/>
        <w:jc w:val="both"/>
        <w:rPr>
          <w:rFonts w:ascii="Palatino Linotype" w:eastAsia="Palatino Linotype" w:hAnsi="Palatino Linotype" w:cs="Palatino Linotype"/>
        </w:rPr>
      </w:pPr>
      <w:r w:rsidRPr="00E24FD4">
        <w:rPr>
          <w:rFonts w:ascii="Palatino Linotype" w:eastAsia="Palatino Linotype" w:hAnsi="Palatino Linotype" w:cs="Palatino Linotype"/>
        </w:rPr>
        <w:t>1. Acuerdo del Comité de Transparencia en términos de la Ley de Transparencia y Acceso a la Información Pública del Estado de México y Municipios, mediante el cual se sus</w:t>
      </w:r>
      <w:r w:rsidR="00E25252" w:rsidRPr="00E24FD4">
        <w:rPr>
          <w:rFonts w:ascii="Palatino Linotype" w:eastAsia="Palatino Linotype" w:hAnsi="Palatino Linotype" w:cs="Palatino Linotype"/>
        </w:rPr>
        <w:t xml:space="preserve">tente la versión pública de los escritos de renuncia </w:t>
      </w:r>
      <w:r w:rsidRPr="00E24FD4">
        <w:rPr>
          <w:rFonts w:ascii="Palatino Linotype" w:eastAsia="Palatino Linotype" w:hAnsi="Palatino Linotype" w:cs="Palatino Linotype"/>
        </w:rPr>
        <w:t>remitidos en respuesta.</w:t>
      </w:r>
    </w:p>
    <w:p w14:paraId="09DEC090"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12" w:name="_heading=h.hnzxsch5gysz" w:colFirst="0" w:colLast="0"/>
      <w:bookmarkEnd w:id="12"/>
      <w:r w:rsidRPr="00E24FD4">
        <w:rPr>
          <w:rFonts w:ascii="Palatino Linotype" w:eastAsia="Palatino Linotype" w:hAnsi="Palatino Linotype" w:cs="Palatino Linotype"/>
          <w:b/>
        </w:rPr>
        <w:t xml:space="preserve">Tercero. Notifíquese, </w:t>
      </w:r>
      <w:r w:rsidRPr="00E24FD4">
        <w:rPr>
          <w:rFonts w:ascii="Palatino Linotype" w:eastAsia="Palatino Linotype" w:hAnsi="Palatino Linotype" w:cs="Palatino Linotype"/>
        </w:rPr>
        <w:t xml:space="preserve">vía </w:t>
      </w:r>
      <w:r w:rsidRPr="00E24FD4">
        <w:rPr>
          <w:rFonts w:ascii="Palatino Linotype" w:eastAsia="Palatino Linotype" w:hAnsi="Palatino Linotype" w:cs="Palatino Linotype"/>
          <w:b/>
        </w:rPr>
        <w:t>SAIMEX</w:t>
      </w:r>
      <w:r w:rsidRPr="00E24FD4">
        <w:rPr>
          <w:rFonts w:ascii="Palatino Linotype" w:eastAsia="Palatino Linotype" w:hAnsi="Palatino Linotype" w:cs="Palatino Linotype"/>
        </w:rPr>
        <w:t xml:space="preserve">, al Titular de la Unidad de Transparencia del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8E131A" w14:textId="77777777" w:rsidR="00320E68" w:rsidRPr="00E24FD4" w:rsidRDefault="00146250">
      <w:pPr>
        <w:spacing w:before="240" w:after="240" w:line="360" w:lineRule="auto"/>
        <w:jc w:val="both"/>
        <w:rPr>
          <w:rFonts w:ascii="Palatino Linotype" w:eastAsia="Palatino Linotype" w:hAnsi="Palatino Linotype" w:cs="Palatino Linotype"/>
        </w:rPr>
      </w:pPr>
      <w:r w:rsidRPr="00E24FD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E24FD4">
        <w:rPr>
          <w:rFonts w:ascii="Palatino Linotype" w:eastAsia="Palatino Linotype" w:hAnsi="Palatino Linotype" w:cs="Palatino Linotype"/>
          <w:b/>
        </w:rPr>
        <w:t>Sujeto Obligado</w:t>
      </w:r>
      <w:r w:rsidRPr="00E24FD4">
        <w:rPr>
          <w:rFonts w:ascii="Palatino Linotype" w:eastAsia="Palatino Linotype" w:hAnsi="Palatino Linotype" w:cs="Palatino Linotype"/>
        </w:rPr>
        <w:t xml:space="preserve"> de manera fundada y motivada, podrá solicitar una ampliación de plazo para el cumplimiento de la presente resolución.</w:t>
      </w:r>
    </w:p>
    <w:p w14:paraId="027FAE88" w14:textId="77777777" w:rsidR="00320E68" w:rsidRPr="00E24FD4" w:rsidRDefault="00146250">
      <w:pPr>
        <w:spacing w:before="240" w:after="240" w:line="360" w:lineRule="auto"/>
        <w:jc w:val="both"/>
        <w:rPr>
          <w:rFonts w:ascii="Palatino Linotype" w:eastAsia="Palatino Linotype" w:hAnsi="Palatino Linotype" w:cs="Palatino Linotype"/>
        </w:rPr>
      </w:pPr>
      <w:bookmarkStart w:id="13" w:name="_heading=h.ot3qq6vxa08f" w:colFirst="0" w:colLast="0"/>
      <w:bookmarkEnd w:id="13"/>
      <w:r w:rsidRPr="00E24FD4">
        <w:rPr>
          <w:rFonts w:ascii="Palatino Linotype" w:eastAsia="Palatino Linotype" w:hAnsi="Palatino Linotype" w:cs="Palatino Linotype"/>
          <w:b/>
        </w:rPr>
        <w:t xml:space="preserve">Cuarto.  Notifíquese, </w:t>
      </w:r>
      <w:r w:rsidRPr="00E24FD4">
        <w:rPr>
          <w:rFonts w:ascii="Palatino Linotype" w:eastAsia="Palatino Linotype" w:hAnsi="Palatino Linotype" w:cs="Palatino Linotype"/>
        </w:rPr>
        <w:t xml:space="preserve">vía </w:t>
      </w:r>
      <w:r w:rsidRPr="00E24FD4">
        <w:rPr>
          <w:rFonts w:ascii="Palatino Linotype" w:eastAsia="Palatino Linotype" w:hAnsi="Palatino Linotype" w:cs="Palatino Linotype"/>
          <w:b/>
        </w:rPr>
        <w:t>SAIMEX</w:t>
      </w:r>
      <w:r w:rsidRPr="00E24FD4">
        <w:rPr>
          <w:rFonts w:ascii="Palatino Linotype" w:eastAsia="Palatino Linotype" w:hAnsi="Palatino Linotype" w:cs="Palatino Linotype"/>
        </w:rPr>
        <w:t xml:space="preserve"> a la parte </w:t>
      </w:r>
      <w:r w:rsidRPr="00E24FD4">
        <w:rPr>
          <w:rFonts w:ascii="Palatino Linotype" w:eastAsia="Palatino Linotype" w:hAnsi="Palatino Linotype" w:cs="Palatino Linotype"/>
          <w:b/>
        </w:rPr>
        <w:t>Recurrente</w:t>
      </w:r>
      <w:r w:rsidRPr="00E24FD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98A812A" w14:textId="77777777" w:rsidR="00320E68" w:rsidRPr="00A63375" w:rsidRDefault="00146250">
      <w:pPr>
        <w:tabs>
          <w:tab w:val="left" w:pos="8647"/>
        </w:tabs>
        <w:spacing w:before="240" w:after="240" w:line="360" w:lineRule="auto"/>
        <w:ind w:right="51"/>
        <w:jc w:val="both"/>
        <w:rPr>
          <w:rFonts w:ascii="Palatino Linotype" w:eastAsia="Palatino Linotype" w:hAnsi="Palatino Linotype" w:cs="Palatino Linotype"/>
        </w:rPr>
      </w:pPr>
      <w:bookmarkStart w:id="14" w:name="_heading=h.lnxbz9" w:colFirst="0" w:colLast="0"/>
      <w:bookmarkEnd w:id="14"/>
      <w:r w:rsidRPr="00E24FD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p>
    <w:p w14:paraId="018A1056" w14:textId="77777777" w:rsidR="00320E68" w:rsidRPr="00A63375" w:rsidRDefault="00320E68">
      <w:pPr>
        <w:spacing w:line="360" w:lineRule="auto"/>
        <w:jc w:val="both"/>
        <w:rPr>
          <w:rFonts w:ascii="Palatino Linotype" w:eastAsia="Palatino Linotype" w:hAnsi="Palatino Linotype" w:cs="Palatino Linotype"/>
        </w:rPr>
      </w:pPr>
    </w:p>
    <w:p w14:paraId="28A1722F" w14:textId="77777777" w:rsidR="00320E68" w:rsidRPr="00A63375" w:rsidRDefault="00320E68">
      <w:pPr>
        <w:spacing w:line="360" w:lineRule="auto"/>
        <w:jc w:val="center"/>
        <w:rPr>
          <w:rFonts w:ascii="Palatino Linotype" w:eastAsia="Palatino Linotype" w:hAnsi="Palatino Linotype" w:cs="Palatino Linotype"/>
        </w:rPr>
      </w:pPr>
    </w:p>
    <w:p w14:paraId="54A63EBB" w14:textId="77777777" w:rsidR="00320E68" w:rsidRPr="00A63375" w:rsidRDefault="00320E68">
      <w:pPr>
        <w:spacing w:line="360" w:lineRule="auto"/>
        <w:jc w:val="both"/>
        <w:rPr>
          <w:rFonts w:ascii="Palatino Linotype" w:eastAsia="Palatino Linotype" w:hAnsi="Palatino Linotype" w:cs="Palatino Linotype"/>
        </w:rPr>
      </w:pPr>
    </w:p>
    <w:p w14:paraId="08C1601F" w14:textId="77777777" w:rsidR="00320E68" w:rsidRPr="00A63375" w:rsidRDefault="00320E68">
      <w:pPr>
        <w:spacing w:line="360" w:lineRule="auto"/>
        <w:jc w:val="both"/>
        <w:rPr>
          <w:rFonts w:ascii="Palatino Linotype" w:eastAsia="Palatino Linotype" w:hAnsi="Palatino Linotype" w:cs="Palatino Linotype"/>
        </w:rPr>
      </w:pPr>
    </w:p>
    <w:p w14:paraId="7D912853" w14:textId="77777777" w:rsidR="00320E68" w:rsidRPr="00A63375" w:rsidRDefault="00320E68">
      <w:pPr>
        <w:spacing w:line="360" w:lineRule="auto"/>
        <w:jc w:val="both"/>
        <w:rPr>
          <w:rFonts w:ascii="Palatino Linotype" w:eastAsia="Palatino Linotype" w:hAnsi="Palatino Linotype" w:cs="Palatino Linotype"/>
        </w:rPr>
      </w:pPr>
    </w:p>
    <w:p w14:paraId="053AE710" w14:textId="77777777" w:rsidR="00320E68" w:rsidRPr="00A63375" w:rsidRDefault="00320E68">
      <w:pPr>
        <w:spacing w:line="360" w:lineRule="auto"/>
        <w:jc w:val="both"/>
        <w:rPr>
          <w:rFonts w:ascii="Palatino Linotype" w:eastAsia="Palatino Linotype" w:hAnsi="Palatino Linotype" w:cs="Palatino Linotype"/>
        </w:rPr>
      </w:pPr>
    </w:p>
    <w:p w14:paraId="3FBEFFF1" w14:textId="77777777" w:rsidR="00320E68" w:rsidRPr="00A63375" w:rsidRDefault="00320E68">
      <w:pPr>
        <w:spacing w:line="360" w:lineRule="auto"/>
        <w:jc w:val="both"/>
        <w:rPr>
          <w:rFonts w:ascii="Palatino Linotype" w:eastAsia="Palatino Linotype" w:hAnsi="Palatino Linotype" w:cs="Palatino Linotype"/>
        </w:rPr>
      </w:pPr>
    </w:p>
    <w:p w14:paraId="1D6DA40F" w14:textId="77777777" w:rsidR="00320E68" w:rsidRPr="00A63375" w:rsidRDefault="00320E68">
      <w:pPr>
        <w:spacing w:line="360" w:lineRule="auto"/>
        <w:jc w:val="both"/>
        <w:rPr>
          <w:rFonts w:ascii="Palatino Linotype" w:eastAsia="Palatino Linotype" w:hAnsi="Palatino Linotype" w:cs="Palatino Linotype"/>
        </w:rPr>
      </w:pPr>
    </w:p>
    <w:p w14:paraId="123B8F52" w14:textId="77777777" w:rsidR="00320E68" w:rsidRPr="00A63375" w:rsidRDefault="00320E68">
      <w:pPr>
        <w:spacing w:line="360" w:lineRule="auto"/>
        <w:jc w:val="both"/>
        <w:rPr>
          <w:rFonts w:ascii="Palatino Linotype" w:eastAsia="Palatino Linotype" w:hAnsi="Palatino Linotype" w:cs="Palatino Linotype"/>
        </w:rPr>
      </w:pPr>
    </w:p>
    <w:p w14:paraId="11F5F54A" w14:textId="77777777" w:rsidR="00320E68" w:rsidRPr="00A63375" w:rsidRDefault="00320E68">
      <w:pPr>
        <w:spacing w:line="360" w:lineRule="auto"/>
        <w:jc w:val="both"/>
        <w:rPr>
          <w:rFonts w:ascii="Palatino Linotype" w:eastAsia="Palatino Linotype" w:hAnsi="Palatino Linotype" w:cs="Palatino Linotype"/>
        </w:rPr>
      </w:pPr>
    </w:p>
    <w:p w14:paraId="23CFC9B6" w14:textId="77777777" w:rsidR="00320E68" w:rsidRPr="00A63375" w:rsidRDefault="00320E68">
      <w:pPr>
        <w:spacing w:line="360" w:lineRule="auto"/>
        <w:jc w:val="both"/>
        <w:rPr>
          <w:rFonts w:ascii="Palatino Linotype" w:eastAsia="Palatino Linotype" w:hAnsi="Palatino Linotype" w:cs="Palatino Linotype"/>
        </w:rPr>
      </w:pPr>
    </w:p>
    <w:p w14:paraId="757A1CF0" w14:textId="77777777" w:rsidR="00320E68" w:rsidRPr="00A63375" w:rsidRDefault="00320E68">
      <w:pPr>
        <w:spacing w:line="360" w:lineRule="auto"/>
        <w:jc w:val="both"/>
        <w:rPr>
          <w:rFonts w:ascii="Palatino Linotype" w:eastAsia="Palatino Linotype" w:hAnsi="Palatino Linotype" w:cs="Palatino Linotype"/>
        </w:rPr>
      </w:pPr>
    </w:p>
    <w:p w14:paraId="68B50A83" w14:textId="77777777" w:rsidR="00320E68" w:rsidRPr="00A63375" w:rsidRDefault="00320E68">
      <w:pPr>
        <w:spacing w:line="360" w:lineRule="auto"/>
        <w:jc w:val="both"/>
        <w:rPr>
          <w:rFonts w:ascii="Palatino Linotype" w:eastAsia="Palatino Linotype" w:hAnsi="Palatino Linotype" w:cs="Palatino Linotype"/>
        </w:rPr>
      </w:pPr>
    </w:p>
    <w:p w14:paraId="04613004" w14:textId="77777777" w:rsidR="00320E68" w:rsidRPr="00A63375" w:rsidRDefault="00320E68">
      <w:pPr>
        <w:spacing w:line="360" w:lineRule="auto"/>
        <w:jc w:val="both"/>
        <w:rPr>
          <w:rFonts w:ascii="Palatino Linotype" w:eastAsia="Palatino Linotype" w:hAnsi="Palatino Linotype" w:cs="Palatino Linotype"/>
        </w:rPr>
      </w:pPr>
    </w:p>
    <w:p w14:paraId="1F7BB690" w14:textId="77777777" w:rsidR="00320E68" w:rsidRPr="00A63375" w:rsidRDefault="00320E68">
      <w:pPr>
        <w:spacing w:line="360" w:lineRule="auto"/>
        <w:jc w:val="both"/>
        <w:rPr>
          <w:rFonts w:ascii="Palatino Linotype" w:eastAsia="Palatino Linotype" w:hAnsi="Palatino Linotype" w:cs="Palatino Linotype"/>
        </w:rPr>
      </w:pPr>
    </w:p>
    <w:p w14:paraId="68177320" w14:textId="77777777" w:rsidR="00320E68" w:rsidRPr="00A63375" w:rsidRDefault="00320E68">
      <w:pPr>
        <w:spacing w:line="360" w:lineRule="auto"/>
        <w:jc w:val="both"/>
        <w:rPr>
          <w:rFonts w:ascii="Palatino Linotype" w:eastAsia="Palatino Linotype" w:hAnsi="Palatino Linotype" w:cs="Palatino Linotype"/>
        </w:rPr>
      </w:pPr>
    </w:p>
    <w:p w14:paraId="66A87108" w14:textId="77777777" w:rsidR="00320E68" w:rsidRPr="00A63375" w:rsidRDefault="00320E68">
      <w:pPr>
        <w:spacing w:line="360" w:lineRule="auto"/>
        <w:jc w:val="both"/>
        <w:rPr>
          <w:rFonts w:ascii="Palatino Linotype" w:eastAsia="Palatino Linotype" w:hAnsi="Palatino Linotype" w:cs="Palatino Linotype"/>
        </w:rPr>
      </w:pPr>
    </w:p>
    <w:p w14:paraId="67053B03" w14:textId="77777777" w:rsidR="00320E68" w:rsidRPr="00A63375" w:rsidRDefault="00320E68">
      <w:pPr>
        <w:spacing w:line="360" w:lineRule="auto"/>
        <w:jc w:val="both"/>
        <w:rPr>
          <w:rFonts w:ascii="Palatino Linotype" w:eastAsia="Palatino Linotype" w:hAnsi="Palatino Linotype" w:cs="Palatino Linotype"/>
        </w:rPr>
      </w:pPr>
    </w:p>
    <w:p w14:paraId="4EB5CCA3" w14:textId="77777777" w:rsidR="00320E68" w:rsidRPr="00A63375" w:rsidRDefault="00320E68">
      <w:pPr>
        <w:spacing w:line="360" w:lineRule="auto"/>
        <w:jc w:val="both"/>
        <w:rPr>
          <w:rFonts w:ascii="Palatino Linotype" w:eastAsia="Palatino Linotype" w:hAnsi="Palatino Linotype" w:cs="Palatino Linotype"/>
        </w:rPr>
      </w:pPr>
    </w:p>
    <w:p w14:paraId="2F786E4B" w14:textId="77777777" w:rsidR="00320E68" w:rsidRPr="00A63375" w:rsidRDefault="00320E68">
      <w:pPr>
        <w:spacing w:line="360" w:lineRule="auto"/>
        <w:jc w:val="both"/>
        <w:rPr>
          <w:rFonts w:ascii="Palatino Linotype" w:eastAsia="Palatino Linotype" w:hAnsi="Palatino Linotype" w:cs="Palatino Linotype"/>
        </w:rPr>
      </w:pPr>
    </w:p>
    <w:sectPr w:rsidR="00320E68" w:rsidRPr="00A63375">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02C4" w14:textId="77777777" w:rsidR="009A69E6" w:rsidRDefault="009A69E6">
      <w:r>
        <w:separator/>
      </w:r>
    </w:p>
  </w:endnote>
  <w:endnote w:type="continuationSeparator" w:id="0">
    <w:p w14:paraId="0D83D898" w14:textId="77777777" w:rsidR="009A69E6" w:rsidRDefault="009A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22B6" w14:textId="1AA4C3DE" w:rsidR="00320E68" w:rsidRDefault="001462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712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7125">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6BF17921" w14:textId="77777777" w:rsidR="00320E68" w:rsidRDefault="00320E6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D17C1" w14:textId="00E2FA55" w:rsidR="00320E68" w:rsidRDefault="001462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712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7125">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6E532DC" w14:textId="77777777" w:rsidR="00320E68" w:rsidRDefault="00320E6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53568" w14:textId="77777777" w:rsidR="009A69E6" w:rsidRDefault="009A69E6">
      <w:r>
        <w:separator/>
      </w:r>
    </w:p>
  </w:footnote>
  <w:footnote w:type="continuationSeparator" w:id="0">
    <w:p w14:paraId="7160A631" w14:textId="77777777" w:rsidR="009A69E6" w:rsidRDefault="009A69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DA7E" w14:textId="77777777" w:rsidR="00320E68" w:rsidRDefault="00146250">
    <w:pPr>
      <w:rPr>
        <w:rFonts w:ascii="Cambria" w:eastAsia="Cambria" w:hAnsi="Cambria" w:cs="Cambria"/>
        <w:color w:val="000000"/>
      </w:rPr>
    </w:pPr>
    <w:r>
      <w:rPr>
        <w:noProof/>
      </w:rPr>
      <w:drawing>
        <wp:anchor distT="0" distB="0" distL="0" distR="0" simplePos="0" relativeHeight="251658240" behindDoc="1" locked="0" layoutInCell="1" hidden="0" allowOverlap="1" wp14:anchorId="37C060D4" wp14:editId="6A4F73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6095" w:type="dxa"/>
      <w:tblInd w:w="3261" w:type="dxa"/>
      <w:tblLayout w:type="fixed"/>
      <w:tblLook w:val="0400" w:firstRow="0" w:lastRow="0" w:firstColumn="0" w:lastColumn="0" w:noHBand="0" w:noVBand="1"/>
    </w:tblPr>
    <w:tblGrid>
      <w:gridCol w:w="2489"/>
      <w:gridCol w:w="3606"/>
    </w:tblGrid>
    <w:tr w:rsidR="00320E68" w14:paraId="44E775F1" w14:textId="77777777">
      <w:tc>
        <w:tcPr>
          <w:tcW w:w="2489" w:type="dxa"/>
        </w:tcPr>
        <w:p w14:paraId="0A2FD258" w14:textId="77777777" w:rsidR="00320E68" w:rsidRDefault="001462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14:paraId="67A520C8" w14:textId="77777777" w:rsidR="00320E68" w:rsidRDefault="0014625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08704/INFOEM/IP/RR/2025</w:t>
          </w:r>
        </w:p>
      </w:tc>
    </w:tr>
    <w:tr w:rsidR="00320E68" w14:paraId="6A89197B" w14:textId="77777777">
      <w:trPr>
        <w:trHeight w:val="228"/>
      </w:trPr>
      <w:tc>
        <w:tcPr>
          <w:tcW w:w="2489" w:type="dxa"/>
          <w:vAlign w:val="center"/>
        </w:tcPr>
        <w:p w14:paraId="7EA47DDB" w14:textId="77777777" w:rsidR="00320E68" w:rsidRDefault="001462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14:paraId="077D3C90" w14:textId="77777777" w:rsidR="00320E68" w:rsidRDefault="0014625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20E68" w14:paraId="44763DF5" w14:textId="77777777">
      <w:tc>
        <w:tcPr>
          <w:tcW w:w="2489" w:type="dxa"/>
          <w:vAlign w:val="center"/>
        </w:tcPr>
        <w:p w14:paraId="28A3743A" w14:textId="77777777" w:rsidR="00320E68" w:rsidRDefault="0014625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14:paraId="21AEA82B" w14:textId="77777777" w:rsidR="00320E68" w:rsidRDefault="0014625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33ACA9" w14:textId="77777777" w:rsidR="00320E68" w:rsidRDefault="0014625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A283" w14:textId="77777777" w:rsidR="00320E68" w:rsidRDefault="0014625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4FF1D8A" wp14:editId="4A1CE4FD">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6095" w:type="dxa"/>
      <w:tblInd w:w="3119" w:type="dxa"/>
      <w:tblLayout w:type="fixed"/>
      <w:tblLook w:val="0400" w:firstRow="0" w:lastRow="0" w:firstColumn="0" w:lastColumn="0" w:noHBand="0" w:noVBand="1"/>
    </w:tblPr>
    <w:tblGrid>
      <w:gridCol w:w="2551"/>
      <w:gridCol w:w="3544"/>
    </w:tblGrid>
    <w:tr w:rsidR="00320E68" w14:paraId="21E73921" w14:textId="77777777">
      <w:tc>
        <w:tcPr>
          <w:tcW w:w="2551" w:type="dxa"/>
        </w:tcPr>
        <w:p w14:paraId="75D67306" w14:textId="77777777" w:rsidR="00320E68" w:rsidRDefault="001462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3F079B8D" w14:textId="77777777" w:rsidR="00320E68" w:rsidRDefault="0014625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08704/INFOEM/IP/RR/2025</w:t>
          </w:r>
        </w:p>
      </w:tc>
    </w:tr>
    <w:tr w:rsidR="00320E68" w14:paraId="135F6017" w14:textId="77777777">
      <w:tc>
        <w:tcPr>
          <w:tcW w:w="2551" w:type="dxa"/>
        </w:tcPr>
        <w:p w14:paraId="3E8776B6" w14:textId="77777777" w:rsidR="00320E68" w:rsidRDefault="001462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14:paraId="6DE20825" w14:textId="77777777" w:rsidR="00320E68" w:rsidRDefault="00320E68">
          <w:pPr>
            <w:ind w:right="175"/>
            <w:jc w:val="both"/>
            <w:rPr>
              <w:rFonts w:ascii="Palatino Linotype" w:eastAsia="Palatino Linotype" w:hAnsi="Palatino Linotype" w:cs="Palatino Linotype"/>
              <w:b/>
              <w:color w:val="FF0000"/>
              <w:sz w:val="22"/>
              <w:szCs w:val="22"/>
              <w:highlight w:val="yellow"/>
            </w:rPr>
          </w:pPr>
        </w:p>
      </w:tc>
    </w:tr>
    <w:tr w:rsidR="00320E68" w14:paraId="562174AE" w14:textId="77777777">
      <w:trPr>
        <w:trHeight w:val="228"/>
      </w:trPr>
      <w:tc>
        <w:tcPr>
          <w:tcW w:w="2551" w:type="dxa"/>
          <w:vAlign w:val="center"/>
        </w:tcPr>
        <w:p w14:paraId="4CF61484" w14:textId="77777777" w:rsidR="00320E68" w:rsidRDefault="001462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14:paraId="177DF4B5" w14:textId="77777777" w:rsidR="00320E68" w:rsidRDefault="0014625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20E68" w14:paraId="437900DC" w14:textId="77777777">
      <w:tc>
        <w:tcPr>
          <w:tcW w:w="2551" w:type="dxa"/>
          <w:vAlign w:val="center"/>
        </w:tcPr>
        <w:p w14:paraId="5C862880" w14:textId="77777777" w:rsidR="00320E68" w:rsidRDefault="0014625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21CCA8EB" w14:textId="77777777" w:rsidR="00320E68" w:rsidRDefault="0014625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22C853" w14:textId="77777777" w:rsidR="00320E68" w:rsidRDefault="00320E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577D"/>
    <w:multiLevelType w:val="multilevel"/>
    <w:tmpl w:val="3C6C4A4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68"/>
    <w:rsid w:val="00146250"/>
    <w:rsid w:val="001C7125"/>
    <w:rsid w:val="00242318"/>
    <w:rsid w:val="002F0EEC"/>
    <w:rsid w:val="00320E68"/>
    <w:rsid w:val="005F316E"/>
    <w:rsid w:val="007C6BB6"/>
    <w:rsid w:val="009A69E6"/>
    <w:rsid w:val="00A63375"/>
    <w:rsid w:val="00E24FD4"/>
    <w:rsid w:val="00E25252"/>
    <w:rsid w:val="00F05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E78F"/>
  <w15:docId w15:val="{2C463D68-6B5E-4CD4-A6C0-92C19834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player.es/5455342-Nuevas-tecnologias-biometricas-instituto-nacional-de-ciencias-penales-procuraduria-general-de-la-republica-version-1-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qhDy4Qo6BA0Esef2nEW6X4lWQ==">CgMxLjAyCWguM3JkY3JqbjIOaC5kYWozajJ4bzZxNjYyCGguZ2pkZ3hzMgloLjNkeTZ2a20yCWguMzBqMHpsbDIJaC4yczhleW8xMghoLnR5amN3dDIJaC4zem55c2g3MgloLjJldDkycDAyCWguNGQzNG9nODIJaC4xdDNoNXNmMg5oLmhuenhzY2g1Z3lzejIOaC5vdDNxcTZ2eGEwOGYyCGgubG54Yno5OAByITF0R0ZDWllWMEN4TkxLVmszQmF1OUdNRklPVWdWRkp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8241</Words>
  <Characters>45326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2025-10-03T19:57:00Z</cp:lastPrinted>
  <dcterms:created xsi:type="dcterms:W3CDTF">2025-11-11T23:17:00Z</dcterms:created>
  <dcterms:modified xsi:type="dcterms:W3CDTF">2025-11-11T23:17:00Z</dcterms:modified>
</cp:coreProperties>
</file>