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Content>
        <w:p w14:paraId="034304AF" w14:textId="77777777" w:rsidR="00342378" w:rsidRPr="000C4AB6" w:rsidRDefault="00342378">
          <w:pPr>
            <w:pStyle w:val="TtuloTDC"/>
            <w:rPr>
              <w:rFonts w:ascii="Palatino Linotype" w:hAnsi="Palatino Linotype"/>
              <w:color w:val="auto"/>
              <w:sz w:val="22"/>
              <w:szCs w:val="22"/>
            </w:rPr>
          </w:pPr>
          <w:r w:rsidRPr="000C4AB6">
            <w:rPr>
              <w:rFonts w:ascii="Palatino Linotype" w:hAnsi="Palatino Linotype"/>
              <w:color w:val="auto"/>
              <w:sz w:val="22"/>
              <w:szCs w:val="22"/>
              <w:lang w:val="es-ES"/>
            </w:rPr>
            <w:t>Contenido</w:t>
          </w:r>
        </w:p>
        <w:p w14:paraId="3D1772E2" w14:textId="77777777" w:rsidR="00A11C5C" w:rsidRPr="000C4AB6" w:rsidRDefault="00342378">
          <w:pPr>
            <w:pStyle w:val="TDC1"/>
            <w:tabs>
              <w:tab w:val="right" w:leader="dot" w:pos="9034"/>
            </w:tabs>
            <w:rPr>
              <w:rFonts w:asciiTheme="minorHAnsi" w:eastAsiaTheme="minorEastAsia" w:hAnsiTheme="minorHAnsi" w:cstheme="minorBidi"/>
              <w:noProof/>
              <w:sz w:val="22"/>
              <w:szCs w:val="22"/>
              <w:lang w:eastAsia="es-MX"/>
            </w:rPr>
          </w:pPr>
          <w:r w:rsidRPr="000C4AB6">
            <w:rPr>
              <w:rFonts w:ascii="Palatino Linotype" w:hAnsi="Palatino Linotype"/>
              <w:sz w:val="22"/>
              <w:szCs w:val="22"/>
              <w:lang w:val="es-ES"/>
            </w:rPr>
            <w:fldChar w:fldCharType="begin"/>
          </w:r>
          <w:r w:rsidRPr="000C4AB6">
            <w:rPr>
              <w:rFonts w:ascii="Palatino Linotype" w:hAnsi="Palatino Linotype"/>
              <w:sz w:val="22"/>
              <w:szCs w:val="22"/>
              <w:lang w:val="es-ES"/>
            </w:rPr>
            <w:instrText xml:space="preserve"> TOC \o "1-3" \h \z \u </w:instrText>
          </w:r>
          <w:r w:rsidRPr="000C4AB6">
            <w:rPr>
              <w:rFonts w:ascii="Palatino Linotype" w:hAnsi="Palatino Linotype"/>
              <w:sz w:val="22"/>
              <w:szCs w:val="22"/>
              <w:lang w:val="es-ES"/>
            </w:rPr>
            <w:fldChar w:fldCharType="separate"/>
          </w:r>
          <w:hyperlink w:anchor="_Toc205306983" w:history="1">
            <w:r w:rsidR="00A11C5C" w:rsidRPr="000C4AB6">
              <w:rPr>
                <w:rStyle w:val="Hipervnculo"/>
                <w:rFonts w:ascii="Palatino Linotype" w:hAnsi="Palatino Linotype"/>
                <w:noProof/>
              </w:rPr>
              <w:t>A N T E C E D E N T E S</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_Toc205306983 \h </w:instrText>
            </w:r>
            <w:r w:rsidR="00A11C5C" w:rsidRPr="000C4AB6">
              <w:rPr>
                <w:noProof/>
                <w:webHidden/>
              </w:rPr>
            </w:r>
            <w:r w:rsidR="00A11C5C" w:rsidRPr="000C4AB6">
              <w:rPr>
                <w:noProof/>
                <w:webHidden/>
              </w:rPr>
              <w:fldChar w:fldCharType="separate"/>
            </w:r>
            <w:r w:rsidR="00C81E12">
              <w:rPr>
                <w:noProof/>
                <w:webHidden/>
              </w:rPr>
              <w:t>2</w:t>
            </w:r>
            <w:r w:rsidR="00A11C5C" w:rsidRPr="000C4AB6">
              <w:rPr>
                <w:noProof/>
                <w:webHidden/>
              </w:rPr>
              <w:fldChar w:fldCharType="end"/>
            </w:r>
          </w:hyperlink>
        </w:p>
        <w:p w14:paraId="479F229E" w14:textId="77777777" w:rsidR="00A11C5C" w:rsidRPr="000C4AB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84" w:history="1">
            <w:r w:rsidR="00A11C5C" w:rsidRPr="000C4AB6">
              <w:rPr>
                <w:rStyle w:val="Hipervnculo"/>
                <w:rFonts w:ascii="Palatino Linotype" w:hAnsi="Palatino Linotype"/>
                <w:noProof/>
              </w:rPr>
              <w:t>I. Presentación de la solicitud de información</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_Toc205306984 \h </w:instrText>
            </w:r>
            <w:r w:rsidR="00A11C5C" w:rsidRPr="000C4AB6">
              <w:rPr>
                <w:noProof/>
                <w:webHidden/>
              </w:rPr>
            </w:r>
            <w:r w:rsidR="00A11C5C" w:rsidRPr="000C4AB6">
              <w:rPr>
                <w:noProof/>
                <w:webHidden/>
              </w:rPr>
              <w:fldChar w:fldCharType="separate"/>
            </w:r>
            <w:r w:rsidR="00C81E12">
              <w:rPr>
                <w:noProof/>
                <w:webHidden/>
              </w:rPr>
              <w:t>2</w:t>
            </w:r>
            <w:r w:rsidR="00A11C5C" w:rsidRPr="000C4AB6">
              <w:rPr>
                <w:noProof/>
                <w:webHidden/>
              </w:rPr>
              <w:fldChar w:fldCharType="end"/>
            </w:r>
          </w:hyperlink>
        </w:p>
        <w:p w14:paraId="3EFFE210" w14:textId="77777777" w:rsidR="00A11C5C" w:rsidRPr="000C4AB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85" w:history="1">
            <w:r w:rsidR="00A11C5C" w:rsidRPr="000C4AB6">
              <w:rPr>
                <w:rStyle w:val="Hipervnculo"/>
                <w:rFonts w:ascii="Palatino Linotype" w:hAnsi="Palatino Linotype" w:cs="Tahoma"/>
                <w:noProof/>
              </w:rPr>
              <w:t>II. Respuesta del Sujeto Obligado</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_Toc205306985 \h </w:instrText>
            </w:r>
            <w:r w:rsidR="00A11C5C" w:rsidRPr="000C4AB6">
              <w:rPr>
                <w:noProof/>
                <w:webHidden/>
              </w:rPr>
            </w:r>
            <w:r w:rsidR="00A11C5C" w:rsidRPr="000C4AB6">
              <w:rPr>
                <w:noProof/>
                <w:webHidden/>
              </w:rPr>
              <w:fldChar w:fldCharType="separate"/>
            </w:r>
            <w:r w:rsidR="00C81E12">
              <w:rPr>
                <w:noProof/>
                <w:webHidden/>
              </w:rPr>
              <w:t>2</w:t>
            </w:r>
            <w:r w:rsidR="00A11C5C" w:rsidRPr="000C4AB6">
              <w:rPr>
                <w:noProof/>
                <w:webHidden/>
              </w:rPr>
              <w:fldChar w:fldCharType="end"/>
            </w:r>
          </w:hyperlink>
        </w:p>
        <w:p w14:paraId="79905168" w14:textId="77777777" w:rsidR="00A11C5C" w:rsidRPr="000C4AB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86" w:history="1">
            <w:r w:rsidR="00A11C5C" w:rsidRPr="000C4AB6">
              <w:rPr>
                <w:rStyle w:val="Hipervnculo"/>
                <w:rFonts w:ascii="Palatino Linotype" w:hAnsi="Palatino Linotype" w:cs="Tahoma"/>
                <w:noProof/>
              </w:rPr>
              <w:t>III. Interposición del Recurso de Revisión</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_Toc205306986 \h </w:instrText>
            </w:r>
            <w:r w:rsidR="00A11C5C" w:rsidRPr="000C4AB6">
              <w:rPr>
                <w:noProof/>
                <w:webHidden/>
              </w:rPr>
            </w:r>
            <w:r w:rsidR="00A11C5C" w:rsidRPr="000C4AB6">
              <w:rPr>
                <w:noProof/>
                <w:webHidden/>
              </w:rPr>
              <w:fldChar w:fldCharType="separate"/>
            </w:r>
            <w:r w:rsidR="00C81E12">
              <w:rPr>
                <w:noProof/>
                <w:webHidden/>
              </w:rPr>
              <w:t>3</w:t>
            </w:r>
            <w:r w:rsidR="00A11C5C" w:rsidRPr="000C4AB6">
              <w:rPr>
                <w:noProof/>
                <w:webHidden/>
              </w:rPr>
              <w:fldChar w:fldCharType="end"/>
            </w:r>
          </w:hyperlink>
        </w:p>
        <w:p w14:paraId="308FFB91" w14:textId="77777777" w:rsidR="00A11C5C" w:rsidRPr="000C4AB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87" w:history="1">
            <w:r w:rsidR="00A11C5C" w:rsidRPr="000C4AB6">
              <w:rPr>
                <w:rStyle w:val="Hipervnculo"/>
                <w:rFonts w:ascii="Palatino Linotype" w:hAnsi="Palatino Linotype"/>
                <w:noProof/>
              </w:rPr>
              <w:t>IV. Trámite del Recurso de Revisión ante el Instituto</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_Toc205306987 \h </w:instrText>
            </w:r>
            <w:r w:rsidR="00A11C5C" w:rsidRPr="000C4AB6">
              <w:rPr>
                <w:noProof/>
                <w:webHidden/>
              </w:rPr>
            </w:r>
            <w:r w:rsidR="00A11C5C" w:rsidRPr="000C4AB6">
              <w:rPr>
                <w:noProof/>
                <w:webHidden/>
              </w:rPr>
              <w:fldChar w:fldCharType="separate"/>
            </w:r>
            <w:r w:rsidR="00C81E12">
              <w:rPr>
                <w:noProof/>
                <w:webHidden/>
              </w:rPr>
              <w:t>3</w:t>
            </w:r>
            <w:r w:rsidR="00A11C5C" w:rsidRPr="000C4AB6">
              <w:rPr>
                <w:noProof/>
                <w:webHidden/>
              </w:rPr>
              <w:fldChar w:fldCharType="end"/>
            </w:r>
          </w:hyperlink>
        </w:p>
        <w:p w14:paraId="1EB2BC06" w14:textId="77777777" w:rsidR="00A11C5C" w:rsidRPr="000C4AB6"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05306988" w:history="1">
            <w:r w:rsidR="00A11C5C" w:rsidRPr="000C4AB6">
              <w:rPr>
                <w:rStyle w:val="Hipervnculo"/>
                <w:rFonts w:ascii="Palatino Linotype" w:hAnsi="Palatino Linotype"/>
                <w:noProof/>
              </w:rPr>
              <w:t>a) Turno del Recurso de Revisión.</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_Toc205306988 \h </w:instrText>
            </w:r>
            <w:r w:rsidR="00A11C5C" w:rsidRPr="000C4AB6">
              <w:rPr>
                <w:noProof/>
                <w:webHidden/>
              </w:rPr>
            </w:r>
            <w:r w:rsidR="00A11C5C" w:rsidRPr="000C4AB6">
              <w:rPr>
                <w:noProof/>
                <w:webHidden/>
              </w:rPr>
              <w:fldChar w:fldCharType="separate"/>
            </w:r>
            <w:r w:rsidR="00C81E12">
              <w:rPr>
                <w:noProof/>
                <w:webHidden/>
              </w:rPr>
              <w:t>4</w:t>
            </w:r>
            <w:r w:rsidR="00A11C5C" w:rsidRPr="000C4AB6">
              <w:rPr>
                <w:noProof/>
                <w:webHidden/>
              </w:rPr>
              <w:fldChar w:fldCharType="end"/>
            </w:r>
          </w:hyperlink>
        </w:p>
        <w:p w14:paraId="49E3FD8F" w14:textId="77777777" w:rsidR="00A11C5C" w:rsidRPr="000C4AB6"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05306989" w:history="1">
            <w:r w:rsidR="00A11C5C" w:rsidRPr="000C4AB6">
              <w:rPr>
                <w:rStyle w:val="Hipervnculo"/>
                <w:rFonts w:ascii="Palatino Linotype" w:hAnsi="Palatino Linotype"/>
                <w:noProof/>
              </w:rPr>
              <w:t>b) Admisión del Recurso de Revisión.</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_Toc205306989 \h </w:instrText>
            </w:r>
            <w:r w:rsidR="00A11C5C" w:rsidRPr="000C4AB6">
              <w:rPr>
                <w:noProof/>
                <w:webHidden/>
              </w:rPr>
            </w:r>
            <w:r w:rsidR="00A11C5C" w:rsidRPr="000C4AB6">
              <w:rPr>
                <w:noProof/>
                <w:webHidden/>
              </w:rPr>
              <w:fldChar w:fldCharType="separate"/>
            </w:r>
            <w:r w:rsidR="00C81E12">
              <w:rPr>
                <w:noProof/>
                <w:webHidden/>
              </w:rPr>
              <w:t>4</w:t>
            </w:r>
            <w:r w:rsidR="00A11C5C" w:rsidRPr="000C4AB6">
              <w:rPr>
                <w:noProof/>
                <w:webHidden/>
              </w:rPr>
              <w:fldChar w:fldCharType="end"/>
            </w:r>
          </w:hyperlink>
        </w:p>
        <w:p w14:paraId="4A832673" w14:textId="77777777" w:rsidR="00A11C5C" w:rsidRPr="000C4AB6"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05306990" w:history="1">
            <w:r w:rsidR="00A11C5C" w:rsidRPr="000C4AB6">
              <w:rPr>
                <w:rStyle w:val="Hipervnculo"/>
                <w:rFonts w:ascii="Palatino Linotype" w:hAnsi="Palatino Linotype"/>
                <w:noProof/>
              </w:rPr>
              <w:t>c) Informe Justificado.</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_Toc205306990 \h </w:instrText>
            </w:r>
            <w:r w:rsidR="00A11C5C" w:rsidRPr="000C4AB6">
              <w:rPr>
                <w:noProof/>
                <w:webHidden/>
              </w:rPr>
            </w:r>
            <w:r w:rsidR="00A11C5C" w:rsidRPr="000C4AB6">
              <w:rPr>
                <w:noProof/>
                <w:webHidden/>
              </w:rPr>
              <w:fldChar w:fldCharType="separate"/>
            </w:r>
            <w:r w:rsidR="00C81E12">
              <w:rPr>
                <w:noProof/>
                <w:webHidden/>
              </w:rPr>
              <w:t>4</w:t>
            </w:r>
            <w:r w:rsidR="00A11C5C" w:rsidRPr="000C4AB6">
              <w:rPr>
                <w:noProof/>
                <w:webHidden/>
              </w:rPr>
              <w:fldChar w:fldCharType="end"/>
            </w:r>
          </w:hyperlink>
        </w:p>
        <w:p w14:paraId="2466D8E7" w14:textId="77777777" w:rsidR="00A11C5C" w:rsidRPr="000C4AB6"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05306991" w:history="1">
            <w:r w:rsidR="00A11C5C" w:rsidRPr="000C4AB6">
              <w:rPr>
                <w:rStyle w:val="Hipervnculo"/>
                <w:rFonts w:ascii="Palatino Linotype" w:hAnsi="Palatino Linotype"/>
                <w:noProof/>
              </w:rPr>
              <w:t>d). Vista del Informe Justificado.</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_Toc205306991 \h </w:instrText>
            </w:r>
            <w:r w:rsidR="00A11C5C" w:rsidRPr="000C4AB6">
              <w:rPr>
                <w:noProof/>
                <w:webHidden/>
              </w:rPr>
            </w:r>
            <w:r w:rsidR="00A11C5C" w:rsidRPr="000C4AB6">
              <w:rPr>
                <w:noProof/>
                <w:webHidden/>
              </w:rPr>
              <w:fldChar w:fldCharType="separate"/>
            </w:r>
            <w:r w:rsidR="00C81E12">
              <w:rPr>
                <w:noProof/>
                <w:webHidden/>
              </w:rPr>
              <w:t>4</w:t>
            </w:r>
            <w:r w:rsidR="00A11C5C" w:rsidRPr="000C4AB6">
              <w:rPr>
                <w:noProof/>
                <w:webHidden/>
              </w:rPr>
              <w:fldChar w:fldCharType="end"/>
            </w:r>
          </w:hyperlink>
        </w:p>
        <w:p w14:paraId="189BE891" w14:textId="77777777" w:rsidR="00A11C5C" w:rsidRPr="000C4AB6"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05306992" w:history="1">
            <w:r w:rsidR="00A11C5C" w:rsidRPr="000C4AB6">
              <w:rPr>
                <w:rStyle w:val="Hipervnculo"/>
                <w:rFonts w:ascii="Palatino Linotype" w:hAnsi="Palatino Linotype"/>
                <w:noProof/>
              </w:rPr>
              <w:t>e). Cierre de instrucción</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_Toc205306992 \h </w:instrText>
            </w:r>
            <w:r w:rsidR="00A11C5C" w:rsidRPr="000C4AB6">
              <w:rPr>
                <w:noProof/>
                <w:webHidden/>
              </w:rPr>
            </w:r>
            <w:r w:rsidR="00A11C5C" w:rsidRPr="000C4AB6">
              <w:rPr>
                <w:noProof/>
                <w:webHidden/>
              </w:rPr>
              <w:fldChar w:fldCharType="separate"/>
            </w:r>
            <w:r w:rsidR="00C81E12">
              <w:rPr>
                <w:noProof/>
                <w:webHidden/>
              </w:rPr>
              <w:t>4</w:t>
            </w:r>
            <w:r w:rsidR="00A11C5C" w:rsidRPr="000C4AB6">
              <w:rPr>
                <w:noProof/>
                <w:webHidden/>
              </w:rPr>
              <w:fldChar w:fldCharType="end"/>
            </w:r>
          </w:hyperlink>
        </w:p>
        <w:p w14:paraId="3035C391" w14:textId="77777777" w:rsidR="00A11C5C" w:rsidRPr="000C4AB6"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05306993" w:history="1">
            <w:r w:rsidR="00A11C5C" w:rsidRPr="000C4AB6">
              <w:rPr>
                <w:rStyle w:val="Hipervnculo"/>
                <w:rFonts w:ascii="Palatino Linotype" w:hAnsi="Palatino Linotype"/>
                <w:noProof/>
              </w:rPr>
              <w:t>C O N S I D E R A N D O S</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_Toc205306993 \h </w:instrText>
            </w:r>
            <w:r w:rsidR="00A11C5C" w:rsidRPr="000C4AB6">
              <w:rPr>
                <w:noProof/>
                <w:webHidden/>
              </w:rPr>
            </w:r>
            <w:r w:rsidR="00A11C5C" w:rsidRPr="000C4AB6">
              <w:rPr>
                <w:noProof/>
                <w:webHidden/>
              </w:rPr>
              <w:fldChar w:fldCharType="separate"/>
            </w:r>
            <w:r w:rsidR="00C81E12">
              <w:rPr>
                <w:noProof/>
                <w:webHidden/>
              </w:rPr>
              <w:t>5</w:t>
            </w:r>
            <w:r w:rsidR="00A11C5C" w:rsidRPr="000C4AB6">
              <w:rPr>
                <w:noProof/>
                <w:webHidden/>
              </w:rPr>
              <w:fldChar w:fldCharType="end"/>
            </w:r>
          </w:hyperlink>
        </w:p>
        <w:p w14:paraId="199C50B1" w14:textId="77777777" w:rsidR="00A11C5C" w:rsidRPr="000C4AB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94" w:history="1">
            <w:r w:rsidR="00A11C5C" w:rsidRPr="000C4AB6">
              <w:rPr>
                <w:rStyle w:val="Hipervnculo"/>
                <w:rFonts w:ascii="Palatino Linotype" w:eastAsia="Calibri" w:hAnsi="Palatino Linotype"/>
                <w:noProof/>
                <w:lang w:eastAsia="es-MX"/>
              </w:rPr>
              <w:t xml:space="preserve">PRIMERO. </w:t>
            </w:r>
            <w:r w:rsidR="00A11C5C" w:rsidRPr="000C4AB6">
              <w:rPr>
                <w:rStyle w:val="Hipervnculo"/>
                <w:rFonts w:ascii="Palatino Linotype" w:hAnsi="Palatino Linotype"/>
                <w:noProof/>
              </w:rPr>
              <w:t>Competencia</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_Toc205306994 \h </w:instrText>
            </w:r>
            <w:r w:rsidR="00A11C5C" w:rsidRPr="000C4AB6">
              <w:rPr>
                <w:noProof/>
                <w:webHidden/>
              </w:rPr>
            </w:r>
            <w:r w:rsidR="00A11C5C" w:rsidRPr="000C4AB6">
              <w:rPr>
                <w:noProof/>
                <w:webHidden/>
              </w:rPr>
              <w:fldChar w:fldCharType="separate"/>
            </w:r>
            <w:r w:rsidR="00C81E12">
              <w:rPr>
                <w:noProof/>
                <w:webHidden/>
              </w:rPr>
              <w:t>5</w:t>
            </w:r>
            <w:r w:rsidR="00A11C5C" w:rsidRPr="000C4AB6">
              <w:rPr>
                <w:noProof/>
                <w:webHidden/>
              </w:rPr>
              <w:fldChar w:fldCharType="end"/>
            </w:r>
          </w:hyperlink>
        </w:p>
        <w:p w14:paraId="1CD066ED" w14:textId="77777777" w:rsidR="00A11C5C" w:rsidRPr="000C4AB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95" w:history="1">
            <w:r w:rsidR="00A11C5C" w:rsidRPr="000C4AB6">
              <w:rPr>
                <w:rStyle w:val="Hipervnculo"/>
                <w:rFonts w:ascii="Palatino Linotype" w:eastAsia="Calibri" w:hAnsi="Palatino Linotype"/>
                <w:noProof/>
                <w:lang w:eastAsia="es-MX"/>
              </w:rPr>
              <w:t>SEGUNDO. Causales de improcedencia y sobreseimiento</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_Toc205306995 \h </w:instrText>
            </w:r>
            <w:r w:rsidR="00A11C5C" w:rsidRPr="000C4AB6">
              <w:rPr>
                <w:noProof/>
                <w:webHidden/>
              </w:rPr>
            </w:r>
            <w:r w:rsidR="00A11C5C" w:rsidRPr="000C4AB6">
              <w:rPr>
                <w:noProof/>
                <w:webHidden/>
              </w:rPr>
              <w:fldChar w:fldCharType="separate"/>
            </w:r>
            <w:r w:rsidR="00C81E12">
              <w:rPr>
                <w:noProof/>
                <w:webHidden/>
              </w:rPr>
              <w:t>5</w:t>
            </w:r>
            <w:r w:rsidR="00A11C5C" w:rsidRPr="000C4AB6">
              <w:rPr>
                <w:noProof/>
                <w:webHidden/>
              </w:rPr>
              <w:fldChar w:fldCharType="end"/>
            </w:r>
          </w:hyperlink>
        </w:p>
        <w:p w14:paraId="020956A9" w14:textId="77777777" w:rsidR="00A11C5C" w:rsidRPr="000C4AB6"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05306996" w:history="1">
            <w:r w:rsidR="00A11C5C" w:rsidRPr="000C4AB6">
              <w:rPr>
                <w:rStyle w:val="Hipervnculo"/>
                <w:rFonts w:ascii="Palatino Linotype" w:eastAsia="Calibri" w:hAnsi="Palatino Linotype" w:cs="Arial"/>
                <w:noProof/>
                <w:lang w:eastAsia="es-ES_tradnl"/>
              </w:rPr>
              <w:t>Causales de sobreseimiento</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_Toc205306996 \h </w:instrText>
            </w:r>
            <w:r w:rsidR="00A11C5C" w:rsidRPr="000C4AB6">
              <w:rPr>
                <w:noProof/>
                <w:webHidden/>
              </w:rPr>
            </w:r>
            <w:r w:rsidR="00A11C5C" w:rsidRPr="000C4AB6">
              <w:rPr>
                <w:noProof/>
                <w:webHidden/>
              </w:rPr>
              <w:fldChar w:fldCharType="separate"/>
            </w:r>
            <w:r w:rsidR="00C81E12">
              <w:rPr>
                <w:noProof/>
                <w:webHidden/>
              </w:rPr>
              <w:t>6</w:t>
            </w:r>
            <w:r w:rsidR="00A11C5C" w:rsidRPr="000C4AB6">
              <w:rPr>
                <w:noProof/>
                <w:webHidden/>
              </w:rPr>
              <w:fldChar w:fldCharType="end"/>
            </w:r>
          </w:hyperlink>
        </w:p>
        <w:p w14:paraId="3B4E4C97" w14:textId="77777777" w:rsidR="00A11C5C" w:rsidRPr="000C4AB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97" w:history="1">
            <w:r w:rsidR="00A11C5C" w:rsidRPr="000C4AB6">
              <w:rPr>
                <w:rStyle w:val="Hipervnculo"/>
                <w:rFonts w:ascii="Palatino Linotype" w:eastAsia="Calibri" w:hAnsi="Palatino Linotype"/>
                <w:noProof/>
                <w:lang w:eastAsia="es-ES_tradnl"/>
              </w:rPr>
              <w:t>TERCERO. Determinación de la Controversia</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_Toc205306997 \h </w:instrText>
            </w:r>
            <w:r w:rsidR="00A11C5C" w:rsidRPr="000C4AB6">
              <w:rPr>
                <w:noProof/>
                <w:webHidden/>
              </w:rPr>
            </w:r>
            <w:r w:rsidR="00A11C5C" w:rsidRPr="000C4AB6">
              <w:rPr>
                <w:noProof/>
                <w:webHidden/>
              </w:rPr>
              <w:fldChar w:fldCharType="separate"/>
            </w:r>
            <w:r w:rsidR="00C81E12">
              <w:rPr>
                <w:noProof/>
                <w:webHidden/>
              </w:rPr>
              <w:t>7</w:t>
            </w:r>
            <w:r w:rsidR="00A11C5C" w:rsidRPr="000C4AB6">
              <w:rPr>
                <w:noProof/>
                <w:webHidden/>
              </w:rPr>
              <w:fldChar w:fldCharType="end"/>
            </w:r>
          </w:hyperlink>
        </w:p>
        <w:p w14:paraId="45DD035E" w14:textId="77777777" w:rsidR="00A11C5C" w:rsidRPr="000C4AB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98" w:history="1">
            <w:r w:rsidR="00A11C5C" w:rsidRPr="000C4AB6">
              <w:rPr>
                <w:rStyle w:val="Hipervnculo"/>
                <w:rFonts w:ascii="Palatino Linotype" w:eastAsia="Calibri" w:hAnsi="Palatino Linotype" w:cs="Arial"/>
                <w:noProof/>
                <w:lang w:eastAsia="es-ES_tradnl"/>
              </w:rPr>
              <w:t>CUARTO. Marco normativo aplicable en materia de transparencia y acceso a la información pública</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_Toc205306998 \h </w:instrText>
            </w:r>
            <w:r w:rsidR="00A11C5C" w:rsidRPr="000C4AB6">
              <w:rPr>
                <w:noProof/>
                <w:webHidden/>
              </w:rPr>
            </w:r>
            <w:r w:rsidR="00A11C5C" w:rsidRPr="000C4AB6">
              <w:rPr>
                <w:noProof/>
                <w:webHidden/>
              </w:rPr>
              <w:fldChar w:fldCharType="separate"/>
            </w:r>
            <w:r w:rsidR="00C81E12">
              <w:rPr>
                <w:noProof/>
                <w:webHidden/>
              </w:rPr>
              <w:t>8</w:t>
            </w:r>
            <w:r w:rsidR="00A11C5C" w:rsidRPr="000C4AB6">
              <w:rPr>
                <w:noProof/>
                <w:webHidden/>
              </w:rPr>
              <w:fldChar w:fldCharType="end"/>
            </w:r>
          </w:hyperlink>
        </w:p>
        <w:p w14:paraId="4AD6F4B4" w14:textId="77777777" w:rsidR="00A11C5C" w:rsidRPr="000C4AB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99" w:history="1">
            <w:r w:rsidR="00A11C5C" w:rsidRPr="000C4AB6">
              <w:rPr>
                <w:rStyle w:val="Hipervnculo"/>
                <w:rFonts w:ascii="Palatino Linotype" w:eastAsia="Calibri" w:hAnsi="Palatino Linotype"/>
                <w:noProof/>
                <w:lang w:eastAsia="es-ES_tradnl"/>
              </w:rPr>
              <w:t>QUINTO. Estudio de Fondo</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_Toc205306999 \h </w:instrText>
            </w:r>
            <w:r w:rsidR="00A11C5C" w:rsidRPr="000C4AB6">
              <w:rPr>
                <w:noProof/>
                <w:webHidden/>
              </w:rPr>
            </w:r>
            <w:r w:rsidR="00A11C5C" w:rsidRPr="000C4AB6">
              <w:rPr>
                <w:noProof/>
                <w:webHidden/>
              </w:rPr>
              <w:fldChar w:fldCharType="separate"/>
            </w:r>
            <w:r w:rsidR="00C81E12">
              <w:rPr>
                <w:noProof/>
                <w:webHidden/>
              </w:rPr>
              <w:t>9</w:t>
            </w:r>
            <w:r w:rsidR="00A11C5C" w:rsidRPr="000C4AB6">
              <w:rPr>
                <w:noProof/>
                <w:webHidden/>
              </w:rPr>
              <w:fldChar w:fldCharType="end"/>
            </w:r>
          </w:hyperlink>
        </w:p>
        <w:p w14:paraId="33768923" w14:textId="77777777" w:rsidR="00A11C5C" w:rsidRPr="000C4AB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7000" w:history="1">
            <w:r w:rsidR="00A11C5C" w:rsidRPr="000C4AB6">
              <w:rPr>
                <w:rStyle w:val="Hipervnculo"/>
                <w:rFonts w:ascii="Palatino Linotype" w:hAnsi="Palatino Linotype"/>
                <w:noProof/>
              </w:rPr>
              <w:t>SEXTO. Decisión</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_Toc205307000 \h </w:instrText>
            </w:r>
            <w:r w:rsidR="00A11C5C" w:rsidRPr="000C4AB6">
              <w:rPr>
                <w:noProof/>
                <w:webHidden/>
              </w:rPr>
            </w:r>
            <w:r w:rsidR="00A11C5C" w:rsidRPr="000C4AB6">
              <w:rPr>
                <w:noProof/>
                <w:webHidden/>
              </w:rPr>
              <w:fldChar w:fldCharType="separate"/>
            </w:r>
            <w:r w:rsidR="00C81E12">
              <w:rPr>
                <w:noProof/>
                <w:webHidden/>
              </w:rPr>
              <w:t>19</w:t>
            </w:r>
            <w:r w:rsidR="00A11C5C" w:rsidRPr="000C4AB6">
              <w:rPr>
                <w:noProof/>
                <w:webHidden/>
              </w:rPr>
              <w:fldChar w:fldCharType="end"/>
            </w:r>
          </w:hyperlink>
        </w:p>
        <w:p w14:paraId="6577E532" w14:textId="77777777" w:rsidR="00A11C5C" w:rsidRPr="000C4AB6"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05307001" w:history="1">
            <w:r w:rsidR="00A11C5C" w:rsidRPr="000C4AB6">
              <w:rPr>
                <w:rStyle w:val="Hipervnculo"/>
                <w:rFonts w:ascii="Palatino Linotype" w:eastAsia="Calibri" w:hAnsi="Palatino Linotype"/>
                <w:noProof/>
                <w:lang w:eastAsia="en-US"/>
              </w:rPr>
              <w:t>R E S U E L V E</w:t>
            </w:r>
            <w:r w:rsidR="00A11C5C" w:rsidRPr="000C4AB6">
              <w:rPr>
                <w:noProof/>
                <w:webHidden/>
              </w:rPr>
              <w:tab/>
            </w:r>
            <w:r w:rsidR="00A11C5C" w:rsidRPr="000C4AB6">
              <w:rPr>
                <w:noProof/>
                <w:webHidden/>
              </w:rPr>
              <w:fldChar w:fldCharType="begin"/>
            </w:r>
            <w:r w:rsidR="00A11C5C" w:rsidRPr="000C4AB6">
              <w:rPr>
                <w:noProof/>
                <w:webHidden/>
              </w:rPr>
              <w:instrText xml:space="preserve"> PAGEREF _Toc205307001 \h </w:instrText>
            </w:r>
            <w:r w:rsidR="00A11C5C" w:rsidRPr="000C4AB6">
              <w:rPr>
                <w:noProof/>
                <w:webHidden/>
              </w:rPr>
            </w:r>
            <w:r w:rsidR="00A11C5C" w:rsidRPr="000C4AB6">
              <w:rPr>
                <w:noProof/>
                <w:webHidden/>
              </w:rPr>
              <w:fldChar w:fldCharType="separate"/>
            </w:r>
            <w:r w:rsidR="00C81E12">
              <w:rPr>
                <w:noProof/>
                <w:webHidden/>
              </w:rPr>
              <w:t>19</w:t>
            </w:r>
            <w:r w:rsidR="00A11C5C" w:rsidRPr="000C4AB6">
              <w:rPr>
                <w:noProof/>
                <w:webHidden/>
              </w:rPr>
              <w:fldChar w:fldCharType="end"/>
            </w:r>
          </w:hyperlink>
        </w:p>
        <w:p w14:paraId="43A09511" w14:textId="77777777" w:rsidR="00342378" w:rsidRPr="000C4AB6" w:rsidRDefault="00342378">
          <w:r w:rsidRPr="000C4AB6">
            <w:rPr>
              <w:rFonts w:ascii="Palatino Linotype" w:hAnsi="Palatino Linotype"/>
              <w:sz w:val="22"/>
              <w:szCs w:val="22"/>
              <w:lang w:val="es-ES"/>
            </w:rPr>
            <w:fldChar w:fldCharType="end"/>
          </w:r>
        </w:p>
      </w:sdtContent>
    </w:sdt>
    <w:p w14:paraId="02838838" w14:textId="77777777" w:rsidR="00ED76AF" w:rsidRPr="00FB571A" w:rsidRDefault="00ED76AF" w:rsidP="006B0B50">
      <w:pPr>
        <w:tabs>
          <w:tab w:val="left" w:pos="3969"/>
        </w:tabs>
        <w:spacing w:line="360" w:lineRule="auto"/>
        <w:contextualSpacing/>
        <w:jc w:val="both"/>
        <w:rPr>
          <w:rFonts w:ascii="Palatino Linotype" w:hAnsi="Palatino Linotype" w:cs="Tahoma"/>
          <w:bCs/>
          <w:sz w:val="22"/>
          <w:szCs w:val="22"/>
        </w:rPr>
      </w:pPr>
    </w:p>
    <w:p w14:paraId="0B0D740F" w14:textId="77777777" w:rsidR="00501E1B" w:rsidRPr="00FB571A" w:rsidRDefault="00501E1B" w:rsidP="006B0B50">
      <w:pPr>
        <w:tabs>
          <w:tab w:val="left" w:pos="3969"/>
        </w:tabs>
        <w:spacing w:line="360" w:lineRule="auto"/>
        <w:contextualSpacing/>
        <w:jc w:val="both"/>
        <w:rPr>
          <w:rFonts w:ascii="Palatino Linotype" w:hAnsi="Palatino Linotype" w:cs="Tahoma"/>
          <w:bCs/>
          <w:sz w:val="22"/>
          <w:szCs w:val="22"/>
        </w:rPr>
      </w:pPr>
    </w:p>
    <w:p w14:paraId="1E2A2145" w14:textId="77777777" w:rsidR="00342378" w:rsidRPr="00FB571A" w:rsidRDefault="00342378" w:rsidP="006B0B50">
      <w:pPr>
        <w:tabs>
          <w:tab w:val="left" w:pos="3969"/>
        </w:tabs>
        <w:spacing w:line="360" w:lineRule="auto"/>
        <w:contextualSpacing/>
        <w:jc w:val="both"/>
        <w:rPr>
          <w:rFonts w:ascii="Palatino Linotype" w:hAnsi="Palatino Linotype" w:cs="Tahoma"/>
          <w:bCs/>
          <w:sz w:val="22"/>
          <w:szCs w:val="22"/>
        </w:rPr>
      </w:pPr>
    </w:p>
    <w:p w14:paraId="514B18EA" w14:textId="77777777" w:rsidR="00342378" w:rsidRPr="00FB571A" w:rsidRDefault="00342378" w:rsidP="006B0B50">
      <w:pPr>
        <w:tabs>
          <w:tab w:val="left" w:pos="3969"/>
        </w:tabs>
        <w:spacing w:line="360" w:lineRule="auto"/>
        <w:contextualSpacing/>
        <w:jc w:val="both"/>
        <w:rPr>
          <w:rFonts w:ascii="Palatino Linotype" w:hAnsi="Palatino Linotype" w:cs="Tahoma"/>
          <w:bCs/>
          <w:sz w:val="22"/>
          <w:szCs w:val="22"/>
        </w:rPr>
      </w:pPr>
    </w:p>
    <w:p w14:paraId="4907B731" w14:textId="77777777" w:rsidR="00342378" w:rsidRDefault="00342378" w:rsidP="006B0B50">
      <w:pPr>
        <w:tabs>
          <w:tab w:val="left" w:pos="3969"/>
        </w:tabs>
        <w:spacing w:line="360" w:lineRule="auto"/>
        <w:contextualSpacing/>
        <w:jc w:val="both"/>
        <w:rPr>
          <w:rFonts w:ascii="Palatino Linotype" w:hAnsi="Palatino Linotype" w:cs="Tahoma"/>
          <w:bCs/>
          <w:sz w:val="22"/>
          <w:szCs w:val="22"/>
        </w:rPr>
      </w:pPr>
    </w:p>
    <w:p w14:paraId="480B9D6E" w14:textId="77777777" w:rsidR="00DB28B1" w:rsidRDefault="00DB28B1" w:rsidP="006B0B50">
      <w:pPr>
        <w:tabs>
          <w:tab w:val="left" w:pos="3969"/>
        </w:tabs>
        <w:spacing w:line="360" w:lineRule="auto"/>
        <w:contextualSpacing/>
        <w:jc w:val="both"/>
        <w:rPr>
          <w:rFonts w:ascii="Palatino Linotype" w:hAnsi="Palatino Linotype" w:cs="Tahoma"/>
          <w:bCs/>
          <w:sz w:val="22"/>
          <w:szCs w:val="22"/>
        </w:rPr>
      </w:pPr>
    </w:p>
    <w:p w14:paraId="00A35B82" w14:textId="77777777" w:rsidR="00DB28B1" w:rsidRDefault="00DB28B1" w:rsidP="006B0B50">
      <w:pPr>
        <w:tabs>
          <w:tab w:val="left" w:pos="3969"/>
        </w:tabs>
        <w:spacing w:line="360" w:lineRule="auto"/>
        <w:contextualSpacing/>
        <w:jc w:val="both"/>
        <w:rPr>
          <w:rFonts w:ascii="Palatino Linotype" w:hAnsi="Palatino Linotype" w:cs="Tahoma"/>
          <w:bCs/>
          <w:sz w:val="22"/>
          <w:szCs w:val="22"/>
        </w:rPr>
      </w:pPr>
    </w:p>
    <w:p w14:paraId="15FA35D6" w14:textId="77777777" w:rsidR="00DB28B1" w:rsidRPr="00FB571A" w:rsidRDefault="00DB28B1" w:rsidP="00FF426B">
      <w:pPr>
        <w:spacing w:line="360" w:lineRule="auto"/>
        <w:contextualSpacing/>
        <w:jc w:val="both"/>
        <w:rPr>
          <w:rFonts w:ascii="Palatino Linotype" w:hAnsi="Palatino Linotype" w:cs="Tahoma"/>
          <w:bCs/>
          <w:sz w:val="22"/>
          <w:szCs w:val="22"/>
        </w:rPr>
      </w:pPr>
    </w:p>
    <w:p w14:paraId="3AF021A5" w14:textId="77777777"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D63321">
        <w:rPr>
          <w:rFonts w:ascii="Palatino Linotype" w:hAnsi="Palatino Linotype" w:cs="Tahoma"/>
          <w:bCs/>
          <w:sz w:val="22"/>
          <w:szCs w:val="22"/>
        </w:rPr>
        <w:t>diecisiete</w:t>
      </w:r>
      <w:r w:rsidR="006C5C1E">
        <w:rPr>
          <w:rFonts w:ascii="Palatino Linotype" w:hAnsi="Palatino Linotype" w:cs="Tahoma"/>
          <w:bCs/>
          <w:sz w:val="22"/>
          <w:szCs w:val="22"/>
        </w:rPr>
        <w:t xml:space="preserve"> de diciembre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2947802F" w14:textId="77777777" w:rsidR="00E35DF9" w:rsidRPr="00FB571A" w:rsidRDefault="00E35DF9" w:rsidP="00FF426B">
      <w:pPr>
        <w:spacing w:line="360" w:lineRule="auto"/>
        <w:contextualSpacing/>
        <w:jc w:val="both"/>
        <w:rPr>
          <w:rFonts w:ascii="Palatino Linotype" w:hAnsi="Palatino Linotype" w:cs="Tahoma"/>
          <w:bCs/>
          <w:sz w:val="22"/>
          <w:szCs w:val="22"/>
        </w:rPr>
      </w:pPr>
    </w:p>
    <w:p w14:paraId="370D66F0" w14:textId="2E7F71F9"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910D68">
        <w:rPr>
          <w:rFonts w:ascii="Palatino Linotype" w:hAnsi="Palatino Linotype" w:cs="Tahoma"/>
          <w:b/>
          <w:bCs/>
          <w:color w:val="0D0D0D" w:themeColor="text1" w:themeTint="F2"/>
          <w:sz w:val="22"/>
          <w:szCs w:val="22"/>
        </w:rPr>
        <w:t>13006</w:t>
      </w:r>
      <w:r w:rsidR="0089175F" w:rsidRPr="00FB571A">
        <w:rPr>
          <w:rFonts w:ascii="Palatino Linotype" w:hAnsi="Palatino Linotype" w:cs="Tahoma"/>
          <w:b/>
          <w:bCs/>
          <w:color w:val="0D0D0D" w:themeColor="text1" w:themeTint="F2"/>
          <w:sz w:val="22"/>
          <w:szCs w:val="22"/>
        </w:rPr>
        <w:t>/INFOEM/IP/RR/202</w:t>
      </w:r>
      <w:r w:rsidR="00CD10BF" w:rsidRPr="00FB571A">
        <w:rPr>
          <w:rFonts w:ascii="Palatino Linotype" w:hAnsi="Palatino Linotype" w:cs="Tahoma"/>
          <w:b/>
          <w:bCs/>
          <w:color w:val="0D0D0D" w:themeColor="text1" w:themeTint="F2"/>
          <w:sz w:val="22"/>
          <w:szCs w:val="22"/>
        </w:rPr>
        <w:t>5</w:t>
      </w:r>
      <w:r w:rsidR="0089175F" w:rsidRPr="00FB571A">
        <w:rPr>
          <w:rFonts w:ascii="Palatino Linotype" w:hAnsi="Palatino Linotype" w:cs="Tahoma"/>
          <w:b/>
          <w:bCs/>
          <w:color w:val="0D0D0D" w:themeColor="text1" w:themeTint="F2"/>
          <w:sz w:val="22"/>
          <w:szCs w:val="22"/>
        </w:rPr>
        <w:t>,</w:t>
      </w:r>
      <w:r w:rsidRPr="00FB571A">
        <w:rPr>
          <w:rFonts w:ascii="Palatino Linotype" w:hAnsi="Palatino Linotype" w:cs="Tahoma"/>
          <w:bCs/>
          <w:color w:val="0D0D0D" w:themeColor="text1" w:themeTint="F2"/>
          <w:sz w:val="22"/>
          <w:szCs w:val="22"/>
        </w:rPr>
        <w:t xml:space="preserve"> interpuesto</w:t>
      </w:r>
      <w:r w:rsidR="00C74F5F" w:rsidRPr="00FB571A">
        <w:rPr>
          <w:rFonts w:ascii="Palatino Linotype" w:hAnsi="Palatino Linotype" w:cs="Tahoma"/>
          <w:color w:val="0D0D0D" w:themeColor="text1" w:themeTint="F2"/>
          <w:sz w:val="22"/>
          <w:szCs w:val="22"/>
        </w:rPr>
        <w:t xml:space="preserve"> </w:t>
      </w:r>
      <w:r w:rsidR="007E4927" w:rsidRPr="00FB571A">
        <w:rPr>
          <w:rFonts w:ascii="Palatino Linotype" w:hAnsi="Palatino Linotype" w:cs="Tahoma"/>
          <w:bCs/>
          <w:color w:val="0D0D0D" w:themeColor="text1" w:themeTint="F2"/>
          <w:sz w:val="22"/>
          <w:szCs w:val="22"/>
        </w:rPr>
        <w:t>por</w:t>
      </w:r>
      <w:r w:rsidR="00383BDB" w:rsidRPr="00FB571A">
        <w:rPr>
          <w:rFonts w:ascii="Palatino Linotype" w:hAnsi="Palatino Linotype" w:cs="Tahoma"/>
          <w:bCs/>
          <w:color w:val="0D0D0D" w:themeColor="text1" w:themeTint="F2"/>
          <w:sz w:val="22"/>
          <w:szCs w:val="22"/>
        </w:rPr>
        <w:t xml:space="preserve"> </w:t>
      </w:r>
      <w:r w:rsidR="00CD52E7" w:rsidRPr="00FB571A">
        <w:rPr>
          <w:rFonts w:ascii="Palatino Linotype" w:hAnsi="Palatino Linotype" w:cs="Tahoma"/>
          <w:color w:val="0D0D0D" w:themeColor="text1" w:themeTint="F2"/>
          <w:sz w:val="22"/>
          <w:szCs w:val="22"/>
        </w:rPr>
        <w:t>un</w:t>
      </w:r>
      <w:r w:rsidR="00F770EE" w:rsidRPr="00FB571A">
        <w:rPr>
          <w:rFonts w:ascii="Palatino Linotype" w:hAnsi="Palatino Linotype" w:cs="Tahoma"/>
          <w:color w:val="0D0D0D" w:themeColor="text1" w:themeTint="F2"/>
          <w:sz w:val="22"/>
          <w:szCs w:val="22"/>
        </w:rPr>
        <w:t xml:space="preserve"> </w:t>
      </w:r>
      <w:r w:rsidRPr="00FB571A">
        <w:rPr>
          <w:rFonts w:ascii="Palatino Linotype" w:hAnsi="Palatino Linotype" w:cs="Tahoma"/>
          <w:bCs/>
          <w:color w:val="0D0D0D" w:themeColor="text1" w:themeTint="F2"/>
          <w:sz w:val="22"/>
          <w:szCs w:val="22"/>
        </w:rPr>
        <w:t>Recurrente o Particular, en contra de la respuesta del Sujeto Obligado</w:t>
      </w:r>
      <w:r w:rsidRPr="00FB571A">
        <w:rPr>
          <w:rFonts w:ascii="Palatino Linotype" w:hAnsi="Palatino Linotype"/>
          <w:sz w:val="22"/>
          <w:szCs w:val="22"/>
        </w:rPr>
        <w:t xml:space="preserve"> </w:t>
      </w:r>
      <w:r w:rsidR="00910D68">
        <w:rPr>
          <w:rFonts w:ascii="Palatino Linotype" w:eastAsia="Calibri" w:hAnsi="Palatino Linotype" w:cs="Tahoma"/>
          <w:b/>
          <w:bCs/>
          <w:sz w:val="22"/>
          <w:szCs w:val="22"/>
          <w:lang w:eastAsia="en-US"/>
        </w:rPr>
        <w:t>Ayuntamiento de Ayapango</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1832D331" w14:textId="77777777" w:rsidR="00BB1F81" w:rsidRPr="00FB571A" w:rsidRDefault="00BB1F81" w:rsidP="00FF426B">
      <w:pPr>
        <w:spacing w:line="360" w:lineRule="auto"/>
        <w:contextualSpacing/>
        <w:jc w:val="both"/>
        <w:rPr>
          <w:rFonts w:ascii="Palatino Linotype" w:hAnsi="Palatino Linotype" w:cs="Tahoma"/>
          <w:b/>
          <w:color w:val="0D0D0D" w:themeColor="text1" w:themeTint="F2"/>
          <w:sz w:val="18"/>
          <w:szCs w:val="22"/>
        </w:rPr>
      </w:pPr>
    </w:p>
    <w:p w14:paraId="70DCB5A5" w14:textId="77777777" w:rsidR="00E35DF9" w:rsidRPr="00FB571A" w:rsidRDefault="00E35DF9" w:rsidP="00342378">
      <w:pPr>
        <w:pStyle w:val="Ttulo1"/>
        <w:jc w:val="center"/>
        <w:rPr>
          <w:rFonts w:ascii="Palatino Linotype" w:hAnsi="Palatino Linotype"/>
          <w:b/>
          <w:sz w:val="22"/>
          <w:szCs w:val="22"/>
        </w:rPr>
      </w:pPr>
      <w:bookmarkStart w:id="1" w:name="_Toc205306983"/>
      <w:r w:rsidRPr="00FB571A">
        <w:rPr>
          <w:rFonts w:ascii="Palatino Linotype" w:hAnsi="Palatino Linotype"/>
          <w:b/>
          <w:color w:val="auto"/>
          <w:sz w:val="22"/>
          <w:szCs w:val="22"/>
        </w:rPr>
        <w:t>A N T E C E D E N T E S</w:t>
      </w:r>
      <w:bookmarkEnd w:id="1"/>
    </w:p>
    <w:p w14:paraId="5E3179A5" w14:textId="77777777" w:rsidR="001E7B8B" w:rsidRPr="00FB571A" w:rsidRDefault="001E7B8B" w:rsidP="00FF426B">
      <w:pPr>
        <w:pStyle w:val="Prrafodelista"/>
        <w:tabs>
          <w:tab w:val="left" w:pos="567"/>
        </w:tabs>
        <w:spacing w:line="360" w:lineRule="auto"/>
        <w:ind w:left="0"/>
        <w:jc w:val="both"/>
        <w:rPr>
          <w:rFonts w:ascii="Palatino Linotype" w:hAnsi="Palatino Linotype" w:cs="Tahoma"/>
          <w:b/>
          <w:szCs w:val="22"/>
        </w:rPr>
      </w:pPr>
    </w:p>
    <w:p w14:paraId="2B148EC7" w14:textId="77777777" w:rsidR="00E35DF9" w:rsidRPr="00DB28B1" w:rsidRDefault="00E35DF9" w:rsidP="00DB28B1">
      <w:pPr>
        <w:pStyle w:val="Ttulo2"/>
        <w:rPr>
          <w:rFonts w:ascii="Palatino Linotype" w:hAnsi="Palatino Linotype"/>
          <w:b/>
          <w:color w:val="auto"/>
          <w:sz w:val="22"/>
          <w:szCs w:val="22"/>
        </w:rPr>
      </w:pPr>
      <w:bookmarkStart w:id="2" w:name="_Toc205306984"/>
      <w:r w:rsidRPr="00DB28B1">
        <w:rPr>
          <w:rFonts w:ascii="Palatino Linotype" w:hAnsi="Palatino Linotype"/>
          <w:b/>
          <w:color w:val="auto"/>
          <w:sz w:val="22"/>
          <w:szCs w:val="22"/>
        </w:rPr>
        <w:t>I. Presentación de la solicitud de información</w:t>
      </w:r>
      <w:bookmarkEnd w:id="2"/>
    </w:p>
    <w:p w14:paraId="4EB627FB" w14:textId="77777777" w:rsidR="00E35DF9" w:rsidRPr="00FB571A"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3D28B129" w14:textId="7ECC3EA6" w:rsidR="00E35DF9" w:rsidRPr="00FB571A" w:rsidRDefault="00BB1F81" w:rsidP="00FF426B">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910D68">
        <w:rPr>
          <w:rFonts w:ascii="Palatino Linotype" w:hAnsi="Palatino Linotype" w:cs="Tahoma"/>
          <w:sz w:val="22"/>
          <w:szCs w:val="22"/>
        </w:rPr>
        <w:t>diecisiete de octubre</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910D68">
        <w:rPr>
          <w:rFonts w:ascii="Palatino Linotype" w:hAnsi="Palatino Linotype" w:cs="Tahoma"/>
          <w:b/>
          <w:bCs/>
          <w:sz w:val="22"/>
          <w:szCs w:val="22"/>
        </w:rPr>
        <w:t>Ayuntamiento de Ayapango</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r w:rsidR="00910D68" w:rsidRPr="00910D68">
        <w:rPr>
          <w:rFonts w:ascii="Palatino Linotype" w:hAnsi="Palatino Linotype" w:cs="Tahoma"/>
          <w:b/>
          <w:bCs/>
          <w:sz w:val="22"/>
          <w:szCs w:val="22"/>
        </w:rPr>
        <w:t>00141/AYAPANGO/IP/2025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5D2137BA" w14:textId="77777777" w:rsidR="00D807FB" w:rsidRPr="00FB571A" w:rsidRDefault="00D807FB" w:rsidP="00FF426B">
      <w:pPr>
        <w:tabs>
          <w:tab w:val="left" w:pos="567"/>
        </w:tabs>
        <w:spacing w:line="360" w:lineRule="auto"/>
        <w:contextualSpacing/>
        <w:jc w:val="both"/>
        <w:rPr>
          <w:rFonts w:ascii="Palatino Linotype" w:hAnsi="Palatino Linotype" w:cs="Tahoma"/>
          <w:sz w:val="22"/>
        </w:rPr>
      </w:pPr>
    </w:p>
    <w:p w14:paraId="5E63BF7F" w14:textId="77777777" w:rsidR="00D807FB" w:rsidRPr="00FB571A"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33B65EAD" w14:textId="56E5109C" w:rsidR="000F2B83" w:rsidRPr="00FB571A" w:rsidRDefault="004B553D"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910D68" w:rsidRPr="00910D68">
        <w:t xml:space="preserve"> </w:t>
      </w:r>
      <w:r w:rsidR="00910D68" w:rsidRPr="00910D68">
        <w:rPr>
          <w:rFonts w:ascii="Palatino Linotype" w:hAnsi="Palatino Linotype"/>
          <w:i/>
          <w:iCs/>
          <w:color w:val="000000"/>
          <w:sz w:val="20"/>
          <w:szCs w:val="20"/>
        </w:rPr>
        <w:t xml:space="preserve">POLIZAS DE INGRESOS, FICHAS DE DEPOSITO POR LAS MULTAS, EFECTUADOS POR EL JUEZ CIVICO DEL 1 DE ENERO AL 17 DE OCTUBRE DE 2025. </w:t>
      </w:r>
      <w:r w:rsidR="00B50512" w:rsidRPr="00FB571A">
        <w:rPr>
          <w:rFonts w:ascii="Palatino Linotype" w:hAnsi="Palatino Linotype"/>
          <w:i/>
          <w:iCs/>
          <w:color w:val="000000"/>
          <w:sz w:val="20"/>
          <w:szCs w:val="20"/>
        </w:rPr>
        <w:t>"</w:t>
      </w:r>
    </w:p>
    <w:p w14:paraId="765AF021" w14:textId="77777777" w:rsidR="007E4927" w:rsidRPr="00FB571A"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19BB27AA" w14:textId="77777777" w:rsidR="00E35DF9"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3BED5A08" w14:textId="77777777" w:rsidR="004D62C9" w:rsidRDefault="004D62C9" w:rsidP="00062387">
      <w:pPr>
        <w:pStyle w:val="Prrafodelista"/>
        <w:tabs>
          <w:tab w:val="left" w:pos="567"/>
        </w:tabs>
        <w:spacing w:line="360" w:lineRule="auto"/>
        <w:ind w:left="567" w:right="539"/>
        <w:jc w:val="both"/>
        <w:rPr>
          <w:rFonts w:ascii="Palatino Linotype" w:hAnsi="Palatino Linotype" w:cs="Tahoma"/>
          <w:i/>
          <w:sz w:val="20"/>
          <w:szCs w:val="22"/>
        </w:rPr>
      </w:pPr>
    </w:p>
    <w:p w14:paraId="1BA3C45E" w14:textId="77777777" w:rsidR="00681D84" w:rsidRPr="00FB571A" w:rsidRDefault="00954EDD" w:rsidP="00342378">
      <w:pPr>
        <w:pStyle w:val="Ttulo2"/>
      </w:pPr>
      <w:bookmarkStart w:id="3" w:name="_Toc205306985"/>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74B10D5B" w14:textId="77777777" w:rsidR="00E0128F" w:rsidRPr="00FB571A"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475A59A3" w14:textId="01B5149E" w:rsidR="00D63321"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910D68">
        <w:rPr>
          <w:rFonts w:ascii="Palatino Linotype" w:hAnsi="Palatino Linotype" w:cs="Tahoma"/>
          <w:sz w:val="22"/>
          <w:szCs w:val="22"/>
        </w:rPr>
        <w:t>veintitrés de octubre</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w:t>
      </w:r>
      <w:r w:rsidR="006C5C1E">
        <w:rPr>
          <w:rFonts w:ascii="Palatino Linotype" w:hAnsi="Palatino Linotype" w:cs="Tahoma"/>
          <w:sz w:val="22"/>
          <w:szCs w:val="22"/>
        </w:rPr>
        <w:t xml:space="preserve"> la que adjuntó </w:t>
      </w:r>
      <w:r w:rsidR="00D63321">
        <w:rPr>
          <w:rFonts w:ascii="Palatino Linotype" w:hAnsi="Palatino Linotype" w:cs="Tahoma"/>
          <w:sz w:val="22"/>
          <w:szCs w:val="22"/>
        </w:rPr>
        <w:t>los siguientes archivos:</w:t>
      </w:r>
    </w:p>
    <w:p w14:paraId="4243999F" w14:textId="16614A31" w:rsidR="00910D68" w:rsidRPr="00910D68" w:rsidRDefault="00910D68" w:rsidP="009F6490">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910D68">
        <w:rPr>
          <w:rFonts w:ascii="Palatino Linotype" w:hAnsi="Palatino Linotype" w:cs="Tahoma"/>
          <w:b/>
          <w:bCs/>
          <w:i/>
          <w:iCs/>
          <w:szCs w:val="22"/>
        </w:rPr>
        <w:lastRenderedPageBreak/>
        <w:t>00141.pdf</w:t>
      </w:r>
      <w:r>
        <w:rPr>
          <w:rFonts w:ascii="Palatino Linotype" w:hAnsi="Palatino Linotype" w:cs="Tahoma"/>
          <w:b/>
          <w:bCs/>
          <w:i/>
          <w:iCs/>
          <w:szCs w:val="22"/>
        </w:rPr>
        <w:t>:</w:t>
      </w:r>
      <w:r w:rsidRPr="00910D68">
        <w:rPr>
          <w:rFonts w:ascii="Palatino Linotype" w:hAnsi="Palatino Linotype" w:cs="Tahoma"/>
          <w:szCs w:val="22"/>
        </w:rPr>
        <w:t xml:space="preserve"> Oficio suscrito por el a Directora de Finanzas y Tesorería en el que manifestó adjuntar trece copias de las órdenes de pago expedidas por la dependencia Juzgado Cívico, mismas que se encuentran adjuntas en versión pública.</w:t>
      </w:r>
    </w:p>
    <w:p w14:paraId="7BC0DC7D" w14:textId="77777777" w:rsidR="00910D68" w:rsidRDefault="00910D68" w:rsidP="00910D68">
      <w:pPr>
        <w:autoSpaceDE w:val="0"/>
        <w:autoSpaceDN w:val="0"/>
        <w:adjustRightInd w:val="0"/>
        <w:spacing w:line="360" w:lineRule="auto"/>
        <w:contextualSpacing/>
        <w:jc w:val="both"/>
        <w:rPr>
          <w:rFonts w:ascii="Palatino Linotype" w:hAnsi="Palatino Linotype" w:cs="Tahoma"/>
          <w:sz w:val="22"/>
          <w:szCs w:val="22"/>
        </w:rPr>
      </w:pPr>
    </w:p>
    <w:p w14:paraId="002C6F48" w14:textId="3A911081" w:rsidR="00910D68" w:rsidRPr="00910D68" w:rsidRDefault="00910D68" w:rsidP="009F6490">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910D68">
        <w:rPr>
          <w:rFonts w:ascii="Palatino Linotype" w:hAnsi="Palatino Linotype" w:cs="Tahoma"/>
          <w:b/>
          <w:bCs/>
          <w:i/>
          <w:iCs/>
          <w:szCs w:val="22"/>
        </w:rPr>
        <w:t xml:space="preserve">28 SESION EXTRAORDINARIA CLASIF CONFIDENCIAL.pdf: </w:t>
      </w:r>
      <w:r w:rsidRPr="00910D68">
        <w:rPr>
          <w:rFonts w:ascii="Palatino Linotype" w:hAnsi="Palatino Linotype" w:cs="Tahoma"/>
          <w:szCs w:val="22"/>
        </w:rPr>
        <w:t>Corresponde al Acta del Comité de Transparencia por la cual se aprobó la versión pública de la información entregada.</w:t>
      </w:r>
    </w:p>
    <w:p w14:paraId="22A7280E" w14:textId="77777777" w:rsidR="00EB61B6" w:rsidRDefault="00EB61B6" w:rsidP="004D62C9">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01B877C8" w14:textId="77777777" w:rsidR="001A412B" w:rsidRPr="00FB571A" w:rsidRDefault="007812D1" w:rsidP="00342378">
      <w:pPr>
        <w:pStyle w:val="Ttulo2"/>
        <w:rPr>
          <w:rFonts w:ascii="Palatino Linotype" w:hAnsi="Palatino Linotype" w:cs="Tahoma"/>
          <w:b/>
          <w:color w:val="auto"/>
          <w:sz w:val="22"/>
          <w:szCs w:val="22"/>
        </w:rPr>
      </w:pPr>
      <w:bookmarkStart w:id="4" w:name="_Toc205306986"/>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1CD7ED34" w14:textId="77777777" w:rsidR="00F87649" w:rsidRPr="00FB571A"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22B3AA8D" w14:textId="2F094F8B" w:rsidR="009A7587" w:rsidRPr="00FB571A" w:rsidRDefault="009A7587" w:rsidP="00FF426B">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910D68">
        <w:rPr>
          <w:rFonts w:ascii="Palatino Linotype" w:hAnsi="Palatino Linotype" w:cs="Tahoma"/>
          <w:sz w:val="22"/>
          <w:szCs w:val="22"/>
        </w:rPr>
        <w:t>once de noviembre</w:t>
      </w:r>
      <w:r w:rsidR="00807961">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61A2B8B7" w14:textId="77777777" w:rsidR="00AB6595" w:rsidRPr="00FB571A" w:rsidRDefault="00AB6595" w:rsidP="00FF57AD">
      <w:pPr>
        <w:tabs>
          <w:tab w:val="left" w:pos="4995"/>
        </w:tabs>
        <w:spacing w:line="360" w:lineRule="auto"/>
        <w:contextualSpacing/>
        <w:jc w:val="both"/>
        <w:rPr>
          <w:rFonts w:ascii="Palatino Linotype" w:hAnsi="Palatino Linotype" w:cs="Tahoma"/>
          <w:sz w:val="22"/>
          <w:szCs w:val="22"/>
        </w:rPr>
      </w:pPr>
    </w:p>
    <w:p w14:paraId="3A9527FC" w14:textId="77777777" w:rsidR="00D5699B" w:rsidRPr="00FB571A" w:rsidRDefault="00D5699B" w:rsidP="00FF426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072BD0C8" w14:textId="391A830D" w:rsidR="003D1770" w:rsidRPr="00FB571A" w:rsidRDefault="007E4927" w:rsidP="00FF426B">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910D68" w:rsidRPr="00910D68">
        <w:rPr>
          <w:rFonts w:ascii="Palatino Linotype" w:hAnsi="Palatino Linotype" w:cs="Tahoma"/>
          <w:bCs/>
          <w:i/>
          <w:szCs w:val="22"/>
        </w:rPr>
        <w:t xml:space="preserve">PÓLIZAS DE INGRESOS, FICHAS DEPOSITO POR LAS MULTAS, EFECTUADAS POR EL JUEZ CÍVICO DEL 1 DE ENERO AL 17 DE 0CTUBRE DE 2025. </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36F54127" w14:textId="77777777" w:rsidR="00CE2F19" w:rsidRPr="00FB571A" w:rsidRDefault="00CE2F19" w:rsidP="00CE2F19">
      <w:pPr>
        <w:spacing w:line="360" w:lineRule="auto"/>
        <w:ind w:left="567" w:right="539"/>
        <w:contextualSpacing/>
        <w:jc w:val="both"/>
        <w:rPr>
          <w:rFonts w:ascii="Palatino Linotype" w:hAnsi="Palatino Linotype" w:cs="Tahoma"/>
          <w:bCs/>
          <w:szCs w:val="22"/>
        </w:rPr>
      </w:pPr>
    </w:p>
    <w:p w14:paraId="79D14D5B" w14:textId="77777777" w:rsidR="00CE2F19" w:rsidRPr="00FB571A" w:rsidRDefault="00CE2F19" w:rsidP="00CE2F19">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6D91943E" w14:textId="18518CF0" w:rsidR="00CE2F19" w:rsidRPr="00FB571A" w:rsidRDefault="00CE2F19" w:rsidP="00CE2F19">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910D68" w:rsidRPr="00910D68">
        <w:rPr>
          <w:rFonts w:ascii="Palatino Linotype" w:hAnsi="Palatino Linotype" w:cs="Tahoma"/>
          <w:bCs/>
          <w:i/>
          <w:szCs w:val="24"/>
        </w:rPr>
        <w:t>No se presentan las pólizas en las cuales se encuentran registrados los ingresos a la tesorería municipal de acuerdo al oficio No. YA/DFT/00207 /2025</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04F0F5DA" w14:textId="77777777" w:rsidR="00342378" w:rsidRDefault="00342378" w:rsidP="00342378">
      <w:pPr>
        <w:spacing w:line="360" w:lineRule="auto"/>
        <w:ind w:right="539"/>
        <w:contextualSpacing/>
        <w:jc w:val="both"/>
        <w:rPr>
          <w:rFonts w:ascii="Palatino Linotype" w:hAnsi="Palatino Linotype" w:cs="Tahoma"/>
          <w:bCs/>
          <w:i/>
          <w:szCs w:val="24"/>
        </w:rPr>
      </w:pPr>
    </w:p>
    <w:p w14:paraId="79F68570" w14:textId="099B5A0C" w:rsidR="00910D68" w:rsidRDefault="00910D68" w:rsidP="00342378">
      <w:pPr>
        <w:spacing w:line="360" w:lineRule="auto"/>
        <w:ind w:right="539"/>
        <w:contextualSpacing/>
        <w:jc w:val="both"/>
        <w:rPr>
          <w:rFonts w:ascii="Palatino Linotype" w:hAnsi="Palatino Linotype" w:cs="Tahoma"/>
          <w:bCs/>
          <w:iCs/>
          <w:sz w:val="24"/>
          <w:szCs w:val="24"/>
        </w:rPr>
      </w:pPr>
      <w:r w:rsidRPr="00910D68">
        <w:rPr>
          <w:rFonts w:ascii="Palatino Linotype" w:hAnsi="Palatino Linotype" w:cs="Tahoma"/>
          <w:bCs/>
          <w:iCs/>
          <w:sz w:val="24"/>
          <w:szCs w:val="24"/>
        </w:rPr>
        <w:t>El Particular adjuntó el archivo 00141 (1).</w:t>
      </w:r>
      <w:proofErr w:type="spellStart"/>
      <w:r w:rsidRPr="00910D68">
        <w:rPr>
          <w:rFonts w:ascii="Palatino Linotype" w:hAnsi="Palatino Linotype" w:cs="Tahoma"/>
          <w:bCs/>
          <w:iCs/>
          <w:sz w:val="24"/>
          <w:szCs w:val="24"/>
        </w:rPr>
        <w:t>pdf</w:t>
      </w:r>
      <w:proofErr w:type="spellEnd"/>
      <w:r w:rsidRPr="00910D68">
        <w:rPr>
          <w:rFonts w:ascii="Palatino Linotype" w:hAnsi="Palatino Linotype" w:cs="Tahoma"/>
          <w:bCs/>
          <w:iCs/>
          <w:sz w:val="24"/>
          <w:szCs w:val="24"/>
        </w:rPr>
        <w:t>, el cual corresponde a la respuesta que le fue otorgada.</w:t>
      </w:r>
    </w:p>
    <w:p w14:paraId="2D46FDD0" w14:textId="77777777" w:rsidR="00910D68" w:rsidRPr="00910D68" w:rsidRDefault="00910D68" w:rsidP="00342378">
      <w:pPr>
        <w:spacing w:line="360" w:lineRule="auto"/>
        <w:ind w:right="539"/>
        <w:contextualSpacing/>
        <w:jc w:val="both"/>
        <w:rPr>
          <w:rFonts w:ascii="Palatino Linotype" w:hAnsi="Palatino Linotype" w:cs="Tahoma"/>
          <w:bCs/>
          <w:iCs/>
          <w:sz w:val="24"/>
          <w:szCs w:val="24"/>
        </w:rPr>
      </w:pPr>
    </w:p>
    <w:p w14:paraId="2B147241" w14:textId="77777777" w:rsidR="009A7587" w:rsidRPr="00FB571A" w:rsidRDefault="00BF4B55" w:rsidP="00342378">
      <w:pPr>
        <w:pStyle w:val="Ttulo2"/>
        <w:rPr>
          <w:rFonts w:ascii="Palatino Linotype" w:eastAsia="Batang" w:hAnsi="Palatino Linotype" w:cs="Tahoma"/>
          <w:b/>
          <w:bCs/>
          <w:color w:val="auto"/>
          <w:sz w:val="22"/>
          <w:szCs w:val="22"/>
        </w:rPr>
      </w:pPr>
      <w:bookmarkStart w:id="6" w:name="_Toc205306987"/>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4A6FFB15" w14:textId="77777777" w:rsidR="007E4927" w:rsidRPr="00FB571A" w:rsidRDefault="007E4927" w:rsidP="00FF426B">
      <w:pPr>
        <w:spacing w:line="360" w:lineRule="auto"/>
        <w:contextualSpacing/>
        <w:jc w:val="both"/>
        <w:rPr>
          <w:rFonts w:ascii="Palatino Linotype" w:eastAsia="Batang" w:hAnsi="Palatino Linotype" w:cs="Tahoma"/>
          <w:b/>
          <w:bCs/>
          <w:sz w:val="22"/>
          <w:szCs w:val="22"/>
        </w:rPr>
      </w:pPr>
    </w:p>
    <w:p w14:paraId="45003BCE" w14:textId="7068A841" w:rsidR="00C950E3" w:rsidRPr="00FB571A" w:rsidRDefault="009A7587" w:rsidP="00FF426B">
      <w:pPr>
        <w:spacing w:line="360" w:lineRule="auto"/>
        <w:contextualSpacing/>
        <w:jc w:val="both"/>
        <w:rPr>
          <w:rFonts w:ascii="Palatino Linotype" w:eastAsia="Batang" w:hAnsi="Palatino Linotype" w:cs="Tahoma"/>
          <w:bCs/>
          <w:sz w:val="22"/>
          <w:szCs w:val="22"/>
        </w:rPr>
      </w:pPr>
      <w:bookmarkStart w:id="7" w:name="_Toc205306988"/>
      <w:r w:rsidRPr="00FB571A">
        <w:rPr>
          <w:rStyle w:val="Ttulo3Car"/>
          <w:rFonts w:ascii="Palatino Linotype" w:hAnsi="Palatino Linotype"/>
          <w:b/>
          <w:color w:val="auto"/>
          <w:sz w:val="22"/>
          <w:szCs w:val="22"/>
        </w:rPr>
        <w:lastRenderedPageBreak/>
        <w:t>a) Turno del Recurso de Revisión</w:t>
      </w:r>
      <w:r w:rsidRPr="00FB571A">
        <w:rPr>
          <w:rStyle w:val="Ttulo3Car"/>
          <w:rFonts w:ascii="Palatino Linotype" w:hAnsi="Palatino Linotype"/>
          <w:color w:val="auto"/>
          <w:sz w:val="22"/>
          <w:szCs w:val="22"/>
        </w:rPr>
        <w:t>.</w:t>
      </w:r>
      <w:bookmarkEnd w:id="7"/>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910D68">
        <w:rPr>
          <w:rFonts w:ascii="Palatino Linotype" w:hAnsi="Palatino Linotype" w:cs="Tahoma"/>
          <w:sz w:val="22"/>
          <w:szCs w:val="22"/>
        </w:rPr>
        <w:t xml:space="preserve">once de noviembre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910D68">
        <w:rPr>
          <w:rFonts w:ascii="Palatino Linotype" w:eastAsia="Batang" w:hAnsi="Palatino Linotype" w:cs="Tahoma"/>
          <w:b/>
          <w:bCs/>
          <w:sz w:val="22"/>
          <w:szCs w:val="22"/>
        </w:rPr>
        <w:t>13006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35032C3F" w14:textId="77777777" w:rsidR="00D5699B" w:rsidRPr="00FB571A" w:rsidRDefault="00D5699B" w:rsidP="00FF426B">
      <w:pPr>
        <w:spacing w:line="360" w:lineRule="auto"/>
        <w:contextualSpacing/>
        <w:jc w:val="both"/>
        <w:rPr>
          <w:rFonts w:ascii="Palatino Linotype" w:eastAsia="Batang" w:hAnsi="Palatino Linotype" w:cs="Tahoma"/>
          <w:b/>
          <w:bCs/>
          <w:sz w:val="22"/>
          <w:szCs w:val="22"/>
        </w:rPr>
      </w:pPr>
    </w:p>
    <w:p w14:paraId="55C541A1" w14:textId="6A32E10A" w:rsidR="00253937" w:rsidRPr="00FB571A" w:rsidRDefault="009A7587" w:rsidP="00FF426B">
      <w:pPr>
        <w:spacing w:line="360" w:lineRule="auto"/>
        <w:contextualSpacing/>
        <w:jc w:val="both"/>
        <w:rPr>
          <w:rFonts w:ascii="Palatino Linotype" w:hAnsi="Palatino Linotype" w:cs="Tahoma"/>
          <w:bCs/>
          <w:sz w:val="22"/>
          <w:szCs w:val="22"/>
          <w:lang w:val="es-ES_tradnl"/>
        </w:rPr>
      </w:pPr>
      <w:bookmarkStart w:id="8" w:name="_Toc205306989"/>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8"/>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910D68">
        <w:rPr>
          <w:rFonts w:ascii="Palatino Linotype" w:hAnsi="Palatino Linotype" w:cs="Tahoma"/>
          <w:sz w:val="22"/>
          <w:szCs w:val="22"/>
        </w:rPr>
        <w:t xml:space="preserve">catorce de noviembre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0B73A80A" w14:textId="77777777" w:rsidR="00253937" w:rsidRPr="00FB571A" w:rsidRDefault="00253937" w:rsidP="00FF426B">
      <w:pPr>
        <w:spacing w:line="360" w:lineRule="auto"/>
        <w:contextualSpacing/>
        <w:jc w:val="both"/>
        <w:rPr>
          <w:rFonts w:ascii="Palatino Linotype" w:hAnsi="Palatino Linotype" w:cs="Tahoma"/>
          <w:bCs/>
          <w:sz w:val="22"/>
          <w:szCs w:val="22"/>
          <w:lang w:val="es-ES_tradnl"/>
        </w:rPr>
      </w:pPr>
    </w:p>
    <w:p w14:paraId="45519F72" w14:textId="16AE823D" w:rsidR="006C5C1E" w:rsidRDefault="00DF22DA" w:rsidP="006C5C1E">
      <w:pPr>
        <w:spacing w:line="360" w:lineRule="auto"/>
        <w:jc w:val="both"/>
        <w:rPr>
          <w:rFonts w:ascii="Palatino Linotype" w:eastAsia="Batang" w:hAnsi="Palatino Linotype" w:cs="Tahoma"/>
          <w:bCs/>
          <w:sz w:val="22"/>
          <w:szCs w:val="22"/>
          <w:lang w:val="es-ES_tradnl"/>
        </w:rPr>
      </w:pPr>
      <w:bookmarkStart w:id="9" w:name="_Toc190261913"/>
      <w:bookmarkStart w:id="10" w:name="_Toc196917717"/>
      <w:bookmarkStart w:id="11" w:name="_Toc205306990"/>
      <w:r w:rsidRPr="00FB571A">
        <w:rPr>
          <w:rStyle w:val="Ttulo3Car"/>
          <w:rFonts w:ascii="Palatino Linotype" w:hAnsi="Palatino Linotype"/>
          <w:b/>
          <w:color w:val="auto"/>
          <w:sz w:val="22"/>
          <w:szCs w:val="22"/>
        </w:rPr>
        <w:t>c) Informe Justificado.</w:t>
      </w:r>
      <w:bookmarkEnd w:id="9"/>
      <w:bookmarkEnd w:id="10"/>
      <w:bookmarkEnd w:id="11"/>
      <w:r w:rsidRPr="00FB571A">
        <w:rPr>
          <w:rFonts w:ascii="Palatino Linotype" w:eastAsia="Batang" w:hAnsi="Palatino Linotype" w:cs="Tahoma"/>
          <w:b/>
          <w:bCs/>
          <w:sz w:val="22"/>
          <w:szCs w:val="22"/>
          <w:lang w:val="es-ES_tradnl"/>
        </w:rPr>
        <w:t xml:space="preserve"> </w:t>
      </w:r>
      <w:r w:rsidRPr="00FB571A">
        <w:rPr>
          <w:rFonts w:ascii="Palatino Linotype" w:eastAsia="Batang" w:hAnsi="Palatino Linotype" w:cs="Tahoma"/>
          <w:bCs/>
          <w:sz w:val="22"/>
          <w:szCs w:val="22"/>
          <w:lang w:val="es-ES_tradnl"/>
        </w:rPr>
        <w:t xml:space="preserve">El </w:t>
      </w:r>
      <w:r w:rsidR="00910D68">
        <w:rPr>
          <w:rFonts w:ascii="Palatino Linotype" w:hAnsi="Palatino Linotype" w:cs="Tahoma"/>
          <w:sz w:val="22"/>
          <w:szCs w:val="22"/>
        </w:rPr>
        <w:t xml:space="preserve">diecinueve de noviembre </w:t>
      </w:r>
      <w:r w:rsidRPr="00FB571A">
        <w:rPr>
          <w:rFonts w:ascii="Palatino Linotype" w:eastAsia="Batang" w:hAnsi="Palatino Linotype" w:cs="Tahoma"/>
          <w:bCs/>
          <w:sz w:val="22"/>
          <w:szCs w:val="22"/>
          <w:lang w:val="es-ES_tradnl"/>
        </w:rPr>
        <w:t xml:space="preserve">de dos mil veinticinco, a través del SAIMEX, se recibió en este Instituto el informe justificado por parte del Sujeto Obligado en el que </w:t>
      </w:r>
      <w:r w:rsidR="00910D68">
        <w:rPr>
          <w:rFonts w:ascii="Palatino Linotype" w:eastAsia="Batang" w:hAnsi="Palatino Linotype" w:cs="Tahoma"/>
          <w:bCs/>
          <w:sz w:val="22"/>
          <w:szCs w:val="22"/>
          <w:lang w:val="es-ES_tradnl"/>
        </w:rPr>
        <w:t>invitó al solicitante a consultar la información en sus oficinas.</w:t>
      </w:r>
      <w:bookmarkStart w:id="12" w:name="_Toc190261914"/>
      <w:bookmarkStart w:id="13" w:name="_Toc196917718"/>
    </w:p>
    <w:p w14:paraId="5241944B" w14:textId="77777777" w:rsidR="00910D68" w:rsidRDefault="00910D68" w:rsidP="006C5C1E">
      <w:pPr>
        <w:spacing w:line="360" w:lineRule="auto"/>
        <w:jc w:val="both"/>
        <w:rPr>
          <w:rStyle w:val="Ttulo3Car"/>
          <w:rFonts w:ascii="Palatino Linotype" w:hAnsi="Palatino Linotype"/>
          <w:b/>
          <w:color w:val="auto"/>
          <w:sz w:val="22"/>
        </w:rPr>
      </w:pPr>
    </w:p>
    <w:p w14:paraId="675EAD75" w14:textId="03D89600" w:rsidR="00DF22DA" w:rsidRPr="00FB571A" w:rsidRDefault="00DF22DA" w:rsidP="00DF22DA">
      <w:pPr>
        <w:spacing w:line="360" w:lineRule="auto"/>
        <w:jc w:val="both"/>
        <w:rPr>
          <w:rFonts w:ascii="Palatino Linotype" w:hAnsi="Palatino Linotype" w:cs="Tahoma"/>
          <w:sz w:val="22"/>
          <w:szCs w:val="22"/>
        </w:rPr>
      </w:pPr>
      <w:bookmarkStart w:id="14" w:name="_Toc205306991"/>
      <w:r w:rsidRPr="00FB571A">
        <w:rPr>
          <w:rStyle w:val="Ttulo3Car"/>
          <w:rFonts w:ascii="Palatino Linotype" w:hAnsi="Palatino Linotype"/>
          <w:b/>
          <w:color w:val="auto"/>
          <w:sz w:val="22"/>
        </w:rPr>
        <w:t>d). Vista del Informe Justificado.</w:t>
      </w:r>
      <w:bookmarkEnd w:id="12"/>
      <w:bookmarkEnd w:id="13"/>
      <w:bookmarkEnd w:id="14"/>
      <w:r w:rsidRPr="00FB571A">
        <w:rPr>
          <w:rFonts w:ascii="Palatino Linotype" w:hAnsi="Palatino Linotype" w:cs="Tahoma"/>
          <w:sz w:val="18"/>
          <w:szCs w:val="22"/>
        </w:rPr>
        <w:t xml:space="preserve"> </w:t>
      </w:r>
      <w:r w:rsidRPr="00FB571A">
        <w:rPr>
          <w:rFonts w:ascii="Palatino Linotype" w:hAnsi="Palatino Linotype" w:cs="Tahoma"/>
          <w:sz w:val="22"/>
          <w:szCs w:val="22"/>
        </w:rPr>
        <w:t xml:space="preserve">El </w:t>
      </w:r>
      <w:r w:rsidR="00910D68">
        <w:rPr>
          <w:rFonts w:ascii="Palatino Linotype" w:hAnsi="Palatino Linotype" w:cs="Tahoma"/>
          <w:sz w:val="22"/>
          <w:szCs w:val="22"/>
        </w:rPr>
        <w:t xml:space="preserve">once </w:t>
      </w:r>
      <w:r w:rsidR="00D63321">
        <w:rPr>
          <w:rFonts w:ascii="Palatino Linotype" w:hAnsi="Palatino Linotype" w:cs="Tahoma"/>
          <w:sz w:val="22"/>
          <w:szCs w:val="22"/>
        </w:rPr>
        <w:t xml:space="preserve">de diciembre </w:t>
      </w:r>
      <w:r w:rsidRPr="00FB571A">
        <w:rPr>
          <w:rFonts w:ascii="Palatino Linotype" w:hAnsi="Palatino Linotype" w:cs="Tahoma"/>
          <w:sz w:val="22"/>
          <w:szCs w:val="22"/>
        </w:rPr>
        <w:t>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36314190" w14:textId="77777777" w:rsidR="00EA2594" w:rsidRDefault="00EA2594" w:rsidP="00EA2594">
      <w:pPr>
        <w:spacing w:line="360" w:lineRule="auto"/>
        <w:jc w:val="both"/>
        <w:rPr>
          <w:rFonts w:ascii="Palatino Linotype" w:hAnsi="Palatino Linotype" w:cs="Tahoma"/>
          <w:b/>
          <w:sz w:val="22"/>
          <w:szCs w:val="24"/>
        </w:rPr>
      </w:pPr>
    </w:p>
    <w:p w14:paraId="70FA5D7C" w14:textId="525AEF4A" w:rsidR="00ED5DF5" w:rsidRPr="00FB571A" w:rsidRDefault="00AB65B4" w:rsidP="00910D68">
      <w:pPr>
        <w:tabs>
          <w:tab w:val="left" w:pos="3261"/>
        </w:tabs>
        <w:spacing w:line="360" w:lineRule="auto"/>
        <w:contextualSpacing/>
        <w:jc w:val="both"/>
        <w:rPr>
          <w:rFonts w:ascii="Palatino Linotype" w:hAnsi="Palatino Linotype" w:cs="Tahoma"/>
          <w:sz w:val="22"/>
          <w:szCs w:val="22"/>
        </w:rPr>
      </w:pPr>
      <w:r>
        <w:rPr>
          <w:rFonts w:ascii="Palatino Linotype" w:hAnsi="Palatino Linotype" w:cs="Tahoma"/>
          <w:b/>
          <w:sz w:val="22"/>
          <w:szCs w:val="24"/>
        </w:rPr>
        <w:t xml:space="preserve">e) </w:t>
      </w:r>
      <w:bookmarkStart w:id="15" w:name="_Toc205306992"/>
      <w:r w:rsidR="00ED5DF5" w:rsidRPr="00FB571A">
        <w:rPr>
          <w:rStyle w:val="Ttulo3Car"/>
          <w:rFonts w:ascii="Palatino Linotype" w:hAnsi="Palatino Linotype"/>
          <w:b/>
          <w:color w:val="auto"/>
          <w:sz w:val="22"/>
          <w:szCs w:val="22"/>
        </w:rPr>
        <w:t>Cierre de instrucción</w:t>
      </w:r>
      <w:bookmarkEnd w:id="15"/>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BD63C6">
        <w:rPr>
          <w:rFonts w:ascii="Palatino Linotype" w:hAnsi="Palatino Linotype" w:cs="Tahoma"/>
          <w:sz w:val="22"/>
          <w:szCs w:val="22"/>
        </w:rPr>
        <w:t>dieciocho</w:t>
      </w:r>
      <w:r>
        <w:rPr>
          <w:rFonts w:ascii="Palatino Linotype" w:hAnsi="Palatino Linotype" w:cs="Tahoma"/>
          <w:sz w:val="22"/>
          <w:szCs w:val="22"/>
        </w:rPr>
        <w:t xml:space="preserve"> de diciembre</w:t>
      </w:r>
      <w:r w:rsidR="006C5C1E">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w:t>
      </w:r>
      <w:r w:rsidR="00ED5DF5" w:rsidRPr="00FB571A">
        <w:rPr>
          <w:rFonts w:ascii="Palatino Linotype" w:hAnsi="Palatino Linotype" w:cs="Tahoma"/>
          <w:sz w:val="22"/>
          <w:szCs w:val="22"/>
        </w:rPr>
        <w:lastRenderedPageBreak/>
        <w:t xml:space="preserve">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4FE144C6" w14:textId="77777777" w:rsidR="0079675C" w:rsidRPr="00FB571A" w:rsidRDefault="0079675C" w:rsidP="00FF426B">
      <w:pPr>
        <w:spacing w:line="360" w:lineRule="auto"/>
        <w:jc w:val="both"/>
        <w:rPr>
          <w:rFonts w:ascii="Palatino Linotype" w:hAnsi="Palatino Linotype" w:cs="Tahoma"/>
          <w:sz w:val="22"/>
          <w:szCs w:val="22"/>
        </w:rPr>
      </w:pPr>
    </w:p>
    <w:p w14:paraId="10183AF9" w14:textId="77777777" w:rsidR="004F2D88" w:rsidRDefault="004F2D88" w:rsidP="00FF426B">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0C9B0A2C" w14:textId="77777777" w:rsidR="001C0C73" w:rsidRPr="00FB571A" w:rsidRDefault="001C0C73" w:rsidP="00FF426B">
      <w:pPr>
        <w:spacing w:line="360" w:lineRule="auto"/>
        <w:contextualSpacing/>
        <w:jc w:val="both"/>
        <w:rPr>
          <w:rFonts w:ascii="Palatino Linotype" w:hAnsi="Palatino Linotype" w:cs="Tahoma"/>
          <w:color w:val="000000"/>
          <w:sz w:val="22"/>
          <w:szCs w:val="22"/>
        </w:rPr>
      </w:pPr>
    </w:p>
    <w:p w14:paraId="32E1F7CD" w14:textId="77777777" w:rsidR="00EA4E4A" w:rsidRPr="00FB571A" w:rsidRDefault="00EA4E4A" w:rsidP="00342378">
      <w:pPr>
        <w:pStyle w:val="Ttulo1"/>
        <w:jc w:val="center"/>
        <w:rPr>
          <w:rFonts w:ascii="Palatino Linotype" w:hAnsi="Palatino Linotype"/>
          <w:b/>
          <w:color w:val="auto"/>
          <w:sz w:val="22"/>
          <w:szCs w:val="22"/>
        </w:rPr>
      </w:pPr>
      <w:bookmarkStart w:id="16" w:name="_Toc205306993"/>
      <w:r w:rsidRPr="00FB571A">
        <w:rPr>
          <w:rFonts w:ascii="Palatino Linotype" w:hAnsi="Palatino Linotype"/>
          <w:b/>
          <w:color w:val="auto"/>
          <w:sz w:val="22"/>
          <w:szCs w:val="22"/>
        </w:rPr>
        <w:t>C O N S I D E R A N D O S</w:t>
      </w:r>
      <w:bookmarkEnd w:id="16"/>
    </w:p>
    <w:p w14:paraId="21EC47B2" w14:textId="77777777" w:rsidR="00EA4E4A" w:rsidRPr="00FB571A" w:rsidRDefault="00EA4E4A" w:rsidP="00FF426B">
      <w:pPr>
        <w:spacing w:line="360" w:lineRule="auto"/>
        <w:contextualSpacing/>
        <w:jc w:val="both"/>
        <w:rPr>
          <w:rFonts w:ascii="Palatino Linotype" w:hAnsi="Palatino Linotype" w:cs="Tahoma"/>
          <w:b/>
          <w:sz w:val="22"/>
          <w:szCs w:val="22"/>
        </w:rPr>
      </w:pPr>
    </w:p>
    <w:p w14:paraId="00873170" w14:textId="77777777" w:rsidR="00EA4E4A" w:rsidRPr="00FB571A" w:rsidRDefault="00EA4E4A" w:rsidP="00342378">
      <w:pPr>
        <w:pStyle w:val="Ttulo2"/>
        <w:rPr>
          <w:rFonts w:ascii="Palatino Linotype" w:hAnsi="Palatino Linotype"/>
          <w:b/>
          <w:sz w:val="22"/>
          <w:szCs w:val="22"/>
        </w:rPr>
      </w:pPr>
      <w:bookmarkStart w:id="17" w:name="_Toc205306994"/>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7"/>
    </w:p>
    <w:p w14:paraId="5D804AE3" w14:textId="77777777" w:rsidR="00EA4E4A" w:rsidRPr="00FB571A"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1DC5BEF5" w14:textId="77777777" w:rsidR="006C5C1E" w:rsidRDefault="006C5C1E" w:rsidP="006C5C1E">
      <w:pPr>
        <w:spacing w:line="360" w:lineRule="auto"/>
        <w:contextualSpacing/>
        <w:jc w:val="both"/>
        <w:rPr>
          <w:rFonts w:ascii="Palatino Linotype" w:eastAsia="Calibri" w:hAnsi="Palatino Linotype" w:cs="Tahoma"/>
          <w:color w:val="000000"/>
          <w:sz w:val="22"/>
          <w:szCs w:val="22"/>
        </w:rPr>
      </w:pPr>
      <w:bookmarkStart w:id="18" w:name="_Toc205306995"/>
      <w:r w:rsidRPr="00A952A0">
        <w:rPr>
          <w:rFonts w:ascii="Palatino Linotype" w:eastAsia="Calibri"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63B8FCD" w14:textId="77777777" w:rsidR="00692D3D" w:rsidRDefault="00692D3D" w:rsidP="00342378">
      <w:pPr>
        <w:pStyle w:val="Ttulo2"/>
        <w:rPr>
          <w:rFonts w:ascii="Palatino Linotype" w:eastAsia="Calibri" w:hAnsi="Palatino Linotype"/>
          <w:b/>
          <w:color w:val="auto"/>
          <w:sz w:val="22"/>
          <w:szCs w:val="22"/>
          <w:lang w:eastAsia="es-MX"/>
        </w:rPr>
      </w:pPr>
    </w:p>
    <w:p w14:paraId="76087A4B" w14:textId="77777777" w:rsidR="00CE0B4C" w:rsidRPr="00FB571A" w:rsidRDefault="00CE0B4C" w:rsidP="00342378">
      <w:pPr>
        <w:pStyle w:val="Ttulo2"/>
        <w:rPr>
          <w:rFonts w:ascii="Palatino Linotype" w:eastAsia="Calibri" w:hAnsi="Palatino Linotype"/>
          <w:b/>
          <w:color w:val="auto"/>
          <w:sz w:val="22"/>
          <w:szCs w:val="22"/>
          <w:lang w:eastAsia="es-MX"/>
        </w:rPr>
      </w:pPr>
      <w:r w:rsidRPr="00FB571A">
        <w:rPr>
          <w:rFonts w:ascii="Palatino Linotype" w:eastAsia="Calibri" w:hAnsi="Palatino Linotype"/>
          <w:b/>
          <w:color w:val="auto"/>
          <w:sz w:val="22"/>
          <w:szCs w:val="22"/>
          <w:lang w:eastAsia="es-MX"/>
        </w:rPr>
        <w:t>SEGUNDO. Causales de improcedencia y sobreseimiento</w:t>
      </w:r>
      <w:bookmarkEnd w:id="18"/>
    </w:p>
    <w:p w14:paraId="3E4892BF" w14:textId="77777777" w:rsidR="00566562" w:rsidRPr="00FB571A"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1327AD7"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89F283B"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CD713A9"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21A1086" w14:textId="77777777" w:rsidR="00BF4B55" w:rsidRPr="00FB571A"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CF8C9D4" w14:textId="77777777" w:rsidR="00CE0B4C" w:rsidRPr="00FB571A" w:rsidRDefault="00CE0B4C" w:rsidP="00342378">
      <w:pPr>
        <w:pStyle w:val="Ttulo3"/>
        <w:rPr>
          <w:rFonts w:ascii="Palatino Linotype" w:eastAsia="Calibri" w:hAnsi="Palatino Linotype" w:cs="Arial"/>
          <w:b/>
          <w:color w:val="auto"/>
          <w:sz w:val="22"/>
          <w:szCs w:val="22"/>
          <w:lang w:eastAsia="es-ES_tradnl"/>
        </w:rPr>
      </w:pPr>
      <w:bookmarkStart w:id="19" w:name="_Toc205306996"/>
      <w:r w:rsidRPr="00FB571A">
        <w:rPr>
          <w:rFonts w:ascii="Palatino Linotype" w:eastAsia="Calibri" w:hAnsi="Palatino Linotype" w:cs="Arial"/>
          <w:b/>
          <w:color w:val="auto"/>
          <w:sz w:val="22"/>
          <w:szCs w:val="22"/>
          <w:lang w:eastAsia="es-ES_tradnl"/>
        </w:rPr>
        <w:t>Causales de sobreseimiento</w:t>
      </w:r>
      <w:bookmarkEnd w:id="19"/>
    </w:p>
    <w:p w14:paraId="6F63D275" w14:textId="77777777" w:rsidR="00CE0B4C" w:rsidRPr="00FB571A" w:rsidRDefault="00CE0B4C" w:rsidP="00FF426B">
      <w:pPr>
        <w:spacing w:line="360" w:lineRule="auto"/>
        <w:jc w:val="both"/>
        <w:rPr>
          <w:rFonts w:ascii="Palatino Linotype" w:eastAsia="Calibri" w:hAnsi="Palatino Linotype" w:cs="Tahoma"/>
          <w:sz w:val="22"/>
          <w:szCs w:val="22"/>
          <w:lang w:eastAsia="es-ES_tradnl"/>
        </w:rPr>
      </w:pPr>
    </w:p>
    <w:p w14:paraId="638DC9DD" w14:textId="77777777" w:rsidR="00CE0B4C" w:rsidRPr="00FB571A" w:rsidRDefault="00CE0B4C" w:rsidP="00FF426B">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51860AC3" w14:textId="77777777" w:rsidR="00472490" w:rsidRPr="00FB571A" w:rsidRDefault="00472490" w:rsidP="00FF426B">
      <w:pPr>
        <w:spacing w:line="360" w:lineRule="auto"/>
        <w:jc w:val="both"/>
        <w:rPr>
          <w:rFonts w:ascii="Palatino Linotype" w:eastAsia="Calibri" w:hAnsi="Palatino Linotype" w:cs="Tahoma"/>
          <w:sz w:val="22"/>
          <w:szCs w:val="22"/>
          <w:lang w:eastAsia="es-ES_tradnl"/>
        </w:rPr>
      </w:pPr>
    </w:p>
    <w:p w14:paraId="1E57AEC3" w14:textId="77777777" w:rsidR="00CE0B4C" w:rsidRPr="00FB571A" w:rsidRDefault="00CE0B4C" w:rsidP="00FF5303">
      <w:pPr>
        <w:pStyle w:val="Ttulo2"/>
        <w:rPr>
          <w:rFonts w:ascii="Palatino Linotype" w:eastAsia="Calibri" w:hAnsi="Palatino Linotype"/>
          <w:b/>
          <w:color w:val="auto"/>
          <w:sz w:val="22"/>
          <w:lang w:val="es-ES" w:eastAsia="es-ES_tradnl"/>
        </w:rPr>
      </w:pPr>
      <w:bookmarkStart w:id="20" w:name="_Toc205306997"/>
      <w:r w:rsidRPr="00FB571A">
        <w:rPr>
          <w:rFonts w:ascii="Palatino Linotype" w:eastAsia="Calibri" w:hAnsi="Palatino Linotype"/>
          <w:b/>
          <w:color w:val="auto"/>
          <w:sz w:val="22"/>
          <w:lang w:eastAsia="es-ES_tradnl"/>
        </w:rPr>
        <w:t>TERCERO. Determinación de la Controversia</w:t>
      </w:r>
      <w:bookmarkEnd w:id="20"/>
    </w:p>
    <w:p w14:paraId="24D8331A" w14:textId="77777777" w:rsidR="00CE0B4C" w:rsidRPr="00FB571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061952E1" w14:textId="0362AD23" w:rsidR="00BE1501"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910D68">
        <w:rPr>
          <w:rFonts w:ascii="Palatino Linotype" w:eastAsia="Calibri" w:hAnsi="Palatino Linotype" w:cs="Tahoma"/>
          <w:iCs/>
          <w:sz w:val="22"/>
          <w:szCs w:val="22"/>
          <w:lang w:val="es-ES" w:eastAsia="es-ES_tradnl"/>
        </w:rPr>
        <w:t>Ayuntamiento de Ayapango</w:t>
      </w:r>
      <w:r w:rsidRPr="00FB571A">
        <w:rPr>
          <w:rFonts w:ascii="Palatino Linotype" w:eastAsia="Calibri" w:hAnsi="Palatino Linotype" w:cs="Tahoma"/>
          <w:iCs/>
          <w:sz w:val="22"/>
          <w:szCs w:val="22"/>
          <w:lang w:val="es-ES" w:eastAsia="es-ES_tradnl"/>
        </w:rPr>
        <w:t>,</w:t>
      </w:r>
      <w:r w:rsidR="00BE1501">
        <w:rPr>
          <w:rFonts w:ascii="Palatino Linotype" w:eastAsia="Calibri" w:hAnsi="Palatino Linotype" w:cs="Tahoma"/>
          <w:iCs/>
          <w:sz w:val="22"/>
          <w:szCs w:val="22"/>
          <w:lang w:val="es-ES" w:eastAsia="es-ES_tradnl"/>
        </w:rPr>
        <w:t xml:space="preserve"> </w:t>
      </w:r>
      <w:r w:rsidR="00BE1501" w:rsidRPr="00BE1501">
        <w:rPr>
          <w:rFonts w:ascii="Palatino Linotype" w:eastAsia="Calibri" w:hAnsi="Palatino Linotype" w:cs="Tahoma"/>
          <w:iCs/>
          <w:sz w:val="22"/>
          <w:szCs w:val="22"/>
          <w:lang w:val="es-ES" w:eastAsia="es-ES_tradnl"/>
        </w:rPr>
        <w:t>pólizas de ingresos</w:t>
      </w:r>
      <w:r w:rsidR="00BE1501">
        <w:rPr>
          <w:rFonts w:ascii="Palatino Linotype" w:eastAsia="Calibri" w:hAnsi="Palatino Linotype" w:cs="Tahoma"/>
          <w:iCs/>
          <w:sz w:val="22"/>
          <w:szCs w:val="22"/>
          <w:lang w:val="es-ES" w:eastAsia="es-ES_tradnl"/>
        </w:rPr>
        <w:t xml:space="preserve"> y las</w:t>
      </w:r>
      <w:r w:rsidR="00BE1501" w:rsidRPr="00BE1501">
        <w:rPr>
          <w:rFonts w:ascii="Palatino Linotype" w:eastAsia="Calibri" w:hAnsi="Palatino Linotype" w:cs="Tahoma"/>
          <w:iCs/>
          <w:sz w:val="22"/>
          <w:szCs w:val="22"/>
          <w:lang w:val="es-ES" w:eastAsia="es-ES_tradnl"/>
        </w:rPr>
        <w:t xml:space="preserve"> fichas de depósito por las multas, efectuados por el Juez Cívico del </w:t>
      </w:r>
      <w:r w:rsidR="00BE1501">
        <w:rPr>
          <w:rFonts w:ascii="Palatino Linotype" w:eastAsia="Calibri" w:hAnsi="Palatino Linotype" w:cs="Tahoma"/>
          <w:iCs/>
          <w:sz w:val="22"/>
          <w:szCs w:val="22"/>
          <w:lang w:val="es-ES" w:eastAsia="es-ES_tradnl"/>
        </w:rPr>
        <w:t xml:space="preserve">primero </w:t>
      </w:r>
      <w:r w:rsidR="00BE1501" w:rsidRPr="00BE1501">
        <w:rPr>
          <w:rFonts w:ascii="Palatino Linotype" w:eastAsia="Calibri" w:hAnsi="Palatino Linotype" w:cs="Tahoma"/>
          <w:iCs/>
          <w:sz w:val="22"/>
          <w:szCs w:val="22"/>
          <w:lang w:val="es-ES" w:eastAsia="es-ES_tradnl"/>
        </w:rPr>
        <w:t xml:space="preserve">de enero al </w:t>
      </w:r>
      <w:r w:rsidR="00BE1501">
        <w:rPr>
          <w:rFonts w:ascii="Palatino Linotype" w:eastAsia="Calibri" w:hAnsi="Palatino Linotype" w:cs="Tahoma"/>
          <w:iCs/>
          <w:sz w:val="22"/>
          <w:szCs w:val="22"/>
          <w:lang w:val="es-ES" w:eastAsia="es-ES_tradnl"/>
        </w:rPr>
        <w:t xml:space="preserve">diecisiete </w:t>
      </w:r>
      <w:r w:rsidR="00BE1501" w:rsidRPr="00BE1501">
        <w:rPr>
          <w:rFonts w:ascii="Palatino Linotype" w:eastAsia="Calibri" w:hAnsi="Palatino Linotype" w:cs="Tahoma"/>
          <w:iCs/>
          <w:sz w:val="22"/>
          <w:szCs w:val="22"/>
          <w:lang w:val="es-ES" w:eastAsia="es-ES_tradnl"/>
        </w:rPr>
        <w:t xml:space="preserve">de octubre de </w:t>
      </w:r>
      <w:r w:rsidR="00BE1501">
        <w:rPr>
          <w:rFonts w:ascii="Palatino Linotype" w:eastAsia="Calibri" w:hAnsi="Palatino Linotype" w:cs="Tahoma"/>
          <w:iCs/>
          <w:sz w:val="22"/>
          <w:szCs w:val="22"/>
          <w:lang w:val="es-ES" w:eastAsia="es-ES_tradnl"/>
        </w:rPr>
        <w:t>dos mil veinticinco.</w:t>
      </w:r>
    </w:p>
    <w:p w14:paraId="2FBDA837" w14:textId="77777777" w:rsidR="00BE1501" w:rsidRDefault="00BE1501" w:rsidP="00114DD7">
      <w:pPr>
        <w:tabs>
          <w:tab w:val="left" w:pos="4962"/>
        </w:tabs>
        <w:spacing w:line="360" w:lineRule="auto"/>
        <w:jc w:val="both"/>
        <w:rPr>
          <w:rFonts w:ascii="Palatino Linotype" w:eastAsia="Calibri" w:hAnsi="Palatino Linotype" w:cs="Tahoma"/>
          <w:iCs/>
          <w:sz w:val="22"/>
          <w:szCs w:val="22"/>
          <w:lang w:val="es-ES" w:eastAsia="es-ES_tradnl"/>
        </w:rPr>
      </w:pPr>
    </w:p>
    <w:p w14:paraId="60BE5C9A" w14:textId="663B4E54" w:rsidR="00A511BB" w:rsidRPr="00FB571A"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BE1501">
        <w:rPr>
          <w:rFonts w:ascii="Palatino Linotype" w:eastAsia="Calibri" w:hAnsi="Palatino Linotype" w:cs="Tahoma"/>
          <w:iCs/>
          <w:sz w:val="22"/>
          <w:szCs w:val="22"/>
          <w:lang w:val="es-ES" w:eastAsia="es-ES_tradnl"/>
        </w:rPr>
        <w:t xml:space="preserve">proporcionó </w:t>
      </w:r>
      <w:r w:rsidR="00C35A04" w:rsidRPr="00910D68">
        <w:rPr>
          <w:rFonts w:ascii="Palatino Linotype" w:hAnsi="Palatino Linotype" w:cs="Tahoma"/>
          <w:sz w:val="22"/>
          <w:szCs w:val="22"/>
        </w:rPr>
        <w:t>trece copias de las órdenes de pago expedidas por la dependencia Juzgado Cívico</w:t>
      </w:r>
      <w:r w:rsidR="00C35A04">
        <w:rPr>
          <w:rFonts w:ascii="Palatino Linotype" w:eastAsia="Calibri" w:hAnsi="Palatino Linotype" w:cs="Tahoma"/>
          <w:iCs/>
          <w:sz w:val="22"/>
          <w:szCs w:val="22"/>
          <w:lang w:val="es-ES" w:eastAsia="es-ES_tradnl"/>
        </w:rPr>
        <w:t xml:space="preserve"> </w:t>
      </w:r>
      <w:r w:rsidR="00BE1501">
        <w:rPr>
          <w:rFonts w:ascii="Palatino Linotype" w:eastAsia="Calibri" w:hAnsi="Palatino Linotype" w:cs="Tahoma"/>
          <w:iCs/>
          <w:sz w:val="22"/>
          <w:szCs w:val="22"/>
          <w:lang w:val="es-ES" w:eastAsia="es-ES_tradnl"/>
        </w:rPr>
        <w:t xml:space="preserve">en versión pública, </w:t>
      </w:r>
      <w:r w:rsidR="0004574F" w:rsidRPr="00FB571A">
        <w:rPr>
          <w:rFonts w:ascii="Palatino Linotype" w:eastAsia="Calibri" w:hAnsi="Palatino Linotype" w:cs="Tahoma"/>
          <w:iCs/>
          <w:sz w:val="22"/>
          <w:szCs w:val="22"/>
          <w:lang w:val="es-ES" w:eastAsia="es-ES_tradnl"/>
        </w:rPr>
        <w:t xml:space="preserve">derivado de ello </w:t>
      </w:r>
      <w:r w:rsidR="00E06D6F">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 por</w:t>
      </w:r>
      <w:r w:rsidR="00400E19">
        <w:rPr>
          <w:rFonts w:ascii="Palatino Linotype" w:eastAsia="Calibri" w:hAnsi="Palatino Linotype" w:cs="Tahoma"/>
          <w:iCs/>
          <w:sz w:val="22"/>
          <w:szCs w:val="22"/>
          <w:lang w:val="es-ES" w:eastAsia="es-ES_tradnl"/>
        </w:rPr>
        <w:t xml:space="preserve"> </w:t>
      </w:r>
      <w:r w:rsidR="00BE1501">
        <w:rPr>
          <w:rFonts w:ascii="Palatino Linotype" w:eastAsia="Calibri" w:hAnsi="Palatino Linotype" w:cs="Tahoma"/>
          <w:iCs/>
          <w:sz w:val="22"/>
          <w:szCs w:val="22"/>
          <w:lang w:val="es-ES" w:eastAsia="es-ES_tradnl"/>
        </w:rPr>
        <w:t>no proporcionarle las pólizas de ingresos</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BE1501">
        <w:rPr>
          <w:rFonts w:ascii="Palatino Linotype" w:eastAsia="Calibri" w:hAnsi="Palatino Linotype" w:cs="Tahoma"/>
          <w:sz w:val="22"/>
          <w:szCs w:val="22"/>
        </w:rPr>
        <w:t>V</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01F35C7D" w14:textId="77777777" w:rsidR="00CE0B4C"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33EE9E66" w14:textId="3F74F10F" w:rsidR="00C35A04" w:rsidRPr="007B0410" w:rsidRDefault="00C35A04" w:rsidP="00C35A04">
      <w:pPr>
        <w:spacing w:line="360" w:lineRule="auto"/>
        <w:jc w:val="both"/>
        <w:rPr>
          <w:rFonts w:ascii="Palatino Linotype" w:eastAsia="Palatino Linotype" w:hAnsi="Palatino Linotype" w:cs="Palatino Linotype"/>
          <w:color w:val="FF0000"/>
          <w:sz w:val="22"/>
          <w:szCs w:val="22"/>
        </w:rPr>
      </w:pPr>
      <w:bookmarkStart w:id="21" w:name="_Hlk213258471"/>
      <w:r w:rsidRPr="007B0410">
        <w:rPr>
          <w:rFonts w:ascii="Palatino Linotype" w:eastAsia="Palatino Linotype" w:hAnsi="Palatino Linotype" w:cs="Palatino Linotype"/>
          <w:sz w:val="22"/>
          <w:szCs w:val="22"/>
        </w:rPr>
        <w:t xml:space="preserve">Conforme a lo anterior, se logra vislumbrar que el ahora Recurrente no se agravió </w:t>
      </w:r>
      <w:r>
        <w:rPr>
          <w:rFonts w:ascii="Palatino Linotype" w:eastAsia="Palatino Linotype" w:hAnsi="Palatino Linotype" w:cs="Palatino Linotype"/>
          <w:sz w:val="22"/>
          <w:szCs w:val="22"/>
        </w:rPr>
        <w:t xml:space="preserve">de las </w:t>
      </w:r>
      <w:r w:rsidRPr="00C35A04">
        <w:rPr>
          <w:rFonts w:ascii="Palatino Linotype" w:eastAsia="Palatino Linotype" w:hAnsi="Palatino Linotype" w:cs="Palatino Linotype"/>
          <w:sz w:val="22"/>
          <w:szCs w:val="22"/>
        </w:rPr>
        <w:t>trece copias de las órdenes de pago expedidas por la dependencia Juzgado Cívico</w:t>
      </w:r>
      <w:r>
        <w:rPr>
          <w:rFonts w:ascii="Palatino Linotype" w:eastAsia="Palatino Linotype" w:hAnsi="Palatino Linotype" w:cs="Palatino Linotype"/>
          <w:sz w:val="22"/>
          <w:szCs w:val="22"/>
        </w:rPr>
        <w:t xml:space="preserve"> ni de las versiones públicas</w:t>
      </w:r>
      <w:r w:rsidRPr="007B0410">
        <w:rPr>
          <w:rFonts w:ascii="Palatino Linotype" w:eastAsia="Palatino Linotype" w:hAnsi="Palatino Linotype" w:cs="Palatino Linotype"/>
          <w:sz w:val="22"/>
          <w:szCs w:val="22"/>
        </w:rPr>
        <w:t xml:space="preserve">; por lo que, no se hará pronunciamiento alguno, respecto </w:t>
      </w:r>
      <w:r>
        <w:rPr>
          <w:rFonts w:ascii="Palatino Linotype" w:eastAsia="Palatino Linotype" w:hAnsi="Palatino Linotype" w:cs="Palatino Linotype"/>
          <w:sz w:val="22"/>
          <w:szCs w:val="22"/>
        </w:rPr>
        <w:t>de estos puntos</w:t>
      </w:r>
      <w:r w:rsidRPr="007B0410">
        <w:rPr>
          <w:rFonts w:ascii="Palatino Linotype" w:eastAsia="Palatino Linotype" w:hAnsi="Palatino Linotype" w:cs="Palatino Linotype"/>
          <w:sz w:val="22"/>
          <w:szCs w:val="22"/>
        </w:rPr>
        <w:t xml:space="preserve">,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7B0410">
        <w:rPr>
          <w:rFonts w:ascii="Palatino Linotype" w:eastAsia="Palatino Linotype" w:hAnsi="Palatino Linotype" w:cs="Palatino Linotype"/>
          <w:b/>
          <w:sz w:val="22"/>
          <w:szCs w:val="22"/>
        </w:rPr>
        <w:t>los actos que se hayan consentido tácitamente,</w:t>
      </w:r>
      <w:r w:rsidRPr="007B0410">
        <w:rPr>
          <w:rFonts w:ascii="Palatino Linotype" w:eastAsia="Palatino Linotype" w:hAnsi="Palatino Linotype" w:cs="Palatino Linotype"/>
          <w:sz w:val="22"/>
          <w:szCs w:val="22"/>
        </w:rPr>
        <w:t xml:space="preserve"> entendiéndose por estos cuando el agravio no se haya promovido en el plazo señalado para el efecto.</w:t>
      </w:r>
    </w:p>
    <w:p w14:paraId="643F77E2" w14:textId="77777777" w:rsidR="00C35A04" w:rsidRPr="007B0410" w:rsidRDefault="00C35A04" w:rsidP="00C35A04">
      <w:pPr>
        <w:spacing w:line="360" w:lineRule="auto"/>
        <w:jc w:val="both"/>
        <w:rPr>
          <w:rFonts w:ascii="Palatino Linotype" w:eastAsia="Palatino Linotype" w:hAnsi="Palatino Linotype" w:cs="Palatino Linotype"/>
          <w:color w:val="FF0000"/>
          <w:sz w:val="22"/>
          <w:szCs w:val="22"/>
        </w:rPr>
      </w:pPr>
    </w:p>
    <w:p w14:paraId="71E70838" w14:textId="77777777" w:rsidR="00C35A04" w:rsidRPr="007B0410" w:rsidRDefault="00C35A04" w:rsidP="00C35A04">
      <w:pPr>
        <w:spacing w:line="360" w:lineRule="auto"/>
        <w:jc w:val="both"/>
        <w:rPr>
          <w:rFonts w:ascii="Palatino Linotype" w:eastAsia="Palatino Linotype" w:hAnsi="Palatino Linotype" w:cs="Palatino Linotype"/>
          <w:sz w:val="22"/>
          <w:szCs w:val="22"/>
        </w:rPr>
      </w:pPr>
      <w:r w:rsidRPr="007B0410">
        <w:rPr>
          <w:rFonts w:ascii="Palatino Linotype" w:eastAsia="Palatino Linotype" w:hAnsi="Palatino Linotype" w:cs="Palatino Linotype"/>
          <w:sz w:val="22"/>
          <w:szCs w:val="22"/>
        </w:rPr>
        <w:t xml:space="preserve">De la misma manera resulta aplicable el criterio sostenido por el Poder Judicial de la Federación de rubro </w:t>
      </w:r>
      <w:r w:rsidRPr="007B0410">
        <w:rPr>
          <w:rFonts w:ascii="Palatino Linotype" w:eastAsia="Palatino Linotype" w:hAnsi="Palatino Linotype" w:cs="Palatino Linotype"/>
          <w:b/>
          <w:sz w:val="22"/>
          <w:szCs w:val="22"/>
        </w:rPr>
        <w:t>ACTOS CONSENTIDOS TÁCITAMENTE</w:t>
      </w:r>
      <w:r w:rsidRPr="007B0410">
        <w:rPr>
          <w:rFonts w:ascii="Palatino Linotype" w:eastAsia="Palatino Linotype" w:hAnsi="Palatino Linotype" w:cs="Palatino Linotype"/>
          <w:sz w:val="22"/>
          <w:szCs w:val="22"/>
        </w:rPr>
        <w:t xml:space="preserve">, Tesis VI.2o. J/21, emitida en la novena época, por el Segundo Tribunal Colegiado del Sexto Circuito, publicada en la Gaceta del Semanario Judicial de la Federación en agosto de 1995, página 291, número de registro </w:t>
      </w:r>
      <w:r w:rsidRPr="007B0410">
        <w:rPr>
          <w:rFonts w:ascii="Palatino Linotype" w:eastAsia="Palatino Linotype" w:hAnsi="Palatino Linotype" w:cs="Palatino Linotype"/>
          <w:sz w:val="22"/>
          <w:szCs w:val="22"/>
        </w:rPr>
        <w:lastRenderedPageBreak/>
        <w:t>204707, del que se desprende que cuando no se reclaman los actos de autoridad en la vía y plazos establecidos en la Ley, se presume que el Particular está conforme con los mismos.</w:t>
      </w:r>
    </w:p>
    <w:p w14:paraId="4733347E" w14:textId="77777777" w:rsidR="00C35A04" w:rsidRPr="007B0410" w:rsidRDefault="00C35A04" w:rsidP="00C35A04">
      <w:pPr>
        <w:spacing w:line="360" w:lineRule="auto"/>
        <w:jc w:val="both"/>
        <w:rPr>
          <w:rFonts w:ascii="Palatino Linotype" w:eastAsia="Palatino Linotype" w:hAnsi="Palatino Linotype" w:cs="Palatino Linotype"/>
          <w:sz w:val="22"/>
          <w:szCs w:val="22"/>
        </w:rPr>
      </w:pPr>
    </w:p>
    <w:p w14:paraId="1271B233" w14:textId="77777777" w:rsidR="00C35A04" w:rsidRPr="007B0410" w:rsidRDefault="00C35A04" w:rsidP="00C35A04">
      <w:pPr>
        <w:spacing w:line="360" w:lineRule="auto"/>
        <w:jc w:val="both"/>
        <w:rPr>
          <w:rFonts w:ascii="Palatino Linotype" w:eastAsia="Palatino Linotype" w:hAnsi="Palatino Linotype" w:cs="Palatino Linotype"/>
          <w:sz w:val="22"/>
          <w:szCs w:val="22"/>
        </w:rPr>
      </w:pPr>
      <w:r w:rsidRPr="007B0410">
        <w:rPr>
          <w:rFonts w:ascii="Palatino Linotype" w:eastAsia="Palatino Linotype" w:hAnsi="Palatino Linotype" w:cs="Palatino Linotype"/>
          <w:sz w:val="22"/>
          <w:szCs w:val="22"/>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2ECDFBA3" w14:textId="77777777" w:rsidR="00C35A04" w:rsidRPr="007B0410" w:rsidRDefault="00C35A04" w:rsidP="00C35A04">
      <w:pPr>
        <w:spacing w:line="360" w:lineRule="auto"/>
        <w:jc w:val="both"/>
        <w:rPr>
          <w:rFonts w:ascii="Palatino Linotype" w:eastAsia="Palatino Linotype" w:hAnsi="Palatino Linotype" w:cs="Palatino Linotype"/>
          <w:sz w:val="22"/>
          <w:szCs w:val="22"/>
        </w:rPr>
      </w:pPr>
    </w:p>
    <w:p w14:paraId="2F3B5D07" w14:textId="77777777" w:rsidR="00C35A04" w:rsidRPr="007B0410" w:rsidRDefault="00C35A04" w:rsidP="00C35A04">
      <w:pPr>
        <w:spacing w:line="360" w:lineRule="auto"/>
        <w:jc w:val="both"/>
        <w:rPr>
          <w:rFonts w:ascii="Palatino Linotype" w:eastAsia="Palatino Linotype" w:hAnsi="Palatino Linotype" w:cs="Palatino Linotype"/>
          <w:sz w:val="22"/>
          <w:szCs w:val="22"/>
        </w:rPr>
      </w:pPr>
      <w:r w:rsidRPr="007B0410">
        <w:rPr>
          <w:rFonts w:ascii="Palatino Linotype" w:eastAsia="Palatino Linotype" w:hAnsi="Palatino Linotype" w:cs="Palatino Linotype"/>
          <w:sz w:val="22"/>
          <w:szCs w:val="22"/>
        </w:rPr>
        <w:t>Asimismo, resulta relevante traer a colación el Criterio de Interpretación, de la Segunda Época, con número de registro SO/001/2020, emitido por el Instituto Nacional de Transparencia, Acceso a la Información y Protección de Datos Personales, el cual establece que es improcedente entrar al análisis de las partes de la respuesta del Sujeto Obligado que no fueron impugnadas por la Recurrente.</w:t>
      </w:r>
    </w:p>
    <w:p w14:paraId="136CB3F5" w14:textId="77777777" w:rsidR="00C35A04" w:rsidRPr="007B0410" w:rsidRDefault="00C35A04" w:rsidP="00C35A04">
      <w:pPr>
        <w:spacing w:line="360" w:lineRule="auto"/>
        <w:jc w:val="both"/>
        <w:rPr>
          <w:rFonts w:ascii="Palatino Linotype" w:eastAsia="Palatino Linotype" w:hAnsi="Palatino Linotype" w:cs="Palatino Linotype"/>
          <w:sz w:val="22"/>
          <w:szCs w:val="22"/>
        </w:rPr>
      </w:pPr>
    </w:p>
    <w:p w14:paraId="4C406C62" w14:textId="77777777" w:rsidR="00C35A04" w:rsidRPr="007B0410" w:rsidRDefault="00C35A04" w:rsidP="00C35A04">
      <w:pPr>
        <w:tabs>
          <w:tab w:val="left" w:pos="4962"/>
        </w:tabs>
        <w:spacing w:line="360" w:lineRule="auto"/>
        <w:jc w:val="both"/>
        <w:rPr>
          <w:rFonts w:ascii="Palatino Linotype" w:eastAsia="Palatino Linotype" w:hAnsi="Palatino Linotype" w:cs="Palatino Linotype"/>
          <w:color w:val="000000"/>
          <w:sz w:val="22"/>
          <w:szCs w:val="22"/>
        </w:rPr>
      </w:pPr>
      <w:r w:rsidRPr="007B0410">
        <w:rPr>
          <w:rFonts w:ascii="Palatino Linotype" w:eastAsia="Palatino Linotype" w:hAnsi="Palatino Linotype" w:cs="Palatino Linotype"/>
          <w:color w:val="000000"/>
          <w:sz w:val="22"/>
          <w:szCs w:val="22"/>
        </w:rPr>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bookmarkEnd w:id="21"/>
    <w:p w14:paraId="767FCD0D" w14:textId="77777777" w:rsidR="00FF5303" w:rsidRPr="00FB571A"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1FEA5F57" w14:textId="77777777" w:rsidR="00CE0B4C" w:rsidRPr="00FB571A" w:rsidRDefault="00CE0B4C" w:rsidP="00FF5303">
      <w:pPr>
        <w:pStyle w:val="Ttulo2"/>
        <w:jc w:val="both"/>
        <w:rPr>
          <w:rFonts w:ascii="Palatino Linotype" w:eastAsia="Calibri" w:hAnsi="Palatino Linotype" w:cs="Arial"/>
          <w:b/>
          <w:color w:val="auto"/>
          <w:sz w:val="22"/>
          <w:lang w:eastAsia="es-ES_tradnl"/>
        </w:rPr>
      </w:pPr>
      <w:bookmarkStart w:id="22" w:name="_Toc205306998"/>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22"/>
    </w:p>
    <w:p w14:paraId="7D584A91" w14:textId="77777777" w:rsidR="00CE0B4C" w:rsidRPr="00FB571A" w:rsidRDefault="00CE0B4C" w:rsidP="00FF426B">
      <w:pPr>
        <w:spacing w:line="360" w:lineRule="auto"/>
        <w:contextualSpacing/>
        <w:jc w:val="both"/>
        <w:rPr>
          <w:rFonts w:ascii="Palatino Linotype" w:hAnsi="Palatino Linotype" w:cs="Tahoma"/>
          <w:sz w:val="22"/>
          <w:szCs w:val="22"/>
        </w:rPr>
      </w:pPr>
    </w:p>
    <w:p w14:paraId="3F31A532" w14:textId="77777777" w:rsidR="00CE0B4C" w:rsidRPr="00FB571A" w:rsidRDefault="00CE0B4C" w:rsidP="00FF426B">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w:t>
      </w:r>
      <w:r w:rsidRPr="00FB571A">
        <w:rPr>
          <w:rFonts w:ascii="Palatino Linotype" w:hAnsi="Palatino Linotype" w:cs="Tahoma"/>
          <w:sz w:val="22"/>
          <w:szCs w:val="22"/>
        </w:rPr>
        <w:lastRenderedPageBreak/>
        <w:t>sólo podrá ser reservada temporalmente por razones de interés público.</w:t>
      </w:r>
    </w:p>
    <w:p w14:paraId="6E9B4734" w14:textId="77777777" w:rsidR="00CE0B4C" w:rsidRPr="00FB571A" w:rsidRDefault="00CE0B4C" w:rsidP="00FF426B">
      <w:pPr>
        <w:spacing w:line="360" w:lineRule="auto"/>
        <w:contextualSpacing/>
        <w:jc w:val="both"/>
        <w:rPr>
          <w:rFonts w:ascii="Palatino Linotype" w:hAnsi="Palatino Linotype" w:cs="Tahoma"/>
          <w:sz w:val="22"/>
          <w:szCs w:val="22"/>
        </w:rPr>
      </w:pPr>
    </w:p>
    <w:p w14:paraId="56078023"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8CBAE6E" w14:textId="77777777" w:rsidR="00CE0B4C" w:rsidRPr="00FB571A" w:rsidRDefault="00CE0B4C" w:rsidP="00FF426B">
      <w:pPr>
        <w:spacing w:line="360" w:lineRule="auto"/>
        <w:jc w:val="both"/>
        <w:rPr>
          <w:rFonts w:ascii="Palatino Linotype" w:hAnsi="Palatino Linotype" w:cs="Tahoma"/>
          <w:sz w:val="22"/>
          <w:szCs w:val="22"/>
        </w:rPr>
      </w:pPr>
    </w:p>
    <w:p w14:paraId="38EFAB7F"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D92F297" w14:textId="77777777" w:rsidR="00CE0B4C" w:rsidRPr="00FB571A" w:rsidRDefault="00CE0B4C" w:rsidP="00FF426B">
      <w:pPr>
        <w:spacing w:line="360" w:lineRule="auto"/>
        <w:jc w:val="both"/>
        <w:rPr>
          <w:rFonts w:ascii="Palatino Linotype" w:hAnsi="Palatino Linotype" w:cs="Tahoma"/>
          <w:sz w:val="22"/>
          <w:szCs w:val="22"/>
        </w:rPr>
      </w:pPr>
    </w:p>
    <w:p w14:paraId="69716152"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3DAF7828" w14:textId="77777777" w:rsidR="00EF5683" w:rsidRPr="00FB571A" w:rsidRDefault="00EF5683" w:rsidP="00FF426B">
      <w:pPr>
        <w:spacing w:line="360" w:lineRule="auto"/>
        <w:jc w:val="both"/>
        <w:rPr>
          <w:rFonts w:ascii="Palatino Linotype" w:hAnsi="Palatino Linotype" w:cs="Tahoma"/>
          <w:sz w:val="22"/>
          <w:szCs w:val="22"/>
        </w:rPr>
      </w:pPr>
    </w:p>
    <w:p w14:paraId="0FA1698E"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E5B29F4" w14:textId="77777777" w:rsidR="005C0E48" w:rsidRDefault="005C0E48" w:rsidP="00FF426B">
      <w:pPr>
        <w:spacing w:line="360" w:lineRule="auto"/>
        <w:jc w:val="both"/>
        <w:rPr>
          <w:rFonts w:ascii="Palatino Linotype" w:hAnsi="Palatino Linotype" w:cs="Tahoma"/>
          <w:sz w:val="22"/>
          <w:szCs w:val="22"/>
        </w:rPr>
      </w:pPr>
    </w:p>
    <w:p w14:paraId="4A65466A"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A4B2301" w14:textId="77777777" w:rsidR="00EA1A4A" w:rsidRPr="00FB571A" w:rsidRDefault="00EA1A4A" w:rsidP="00FF426B">
      <w:pPr>
        <w:spacing w:line="360" w:lineRule="auto"/>
        <w:jc w:val="both"/>
        <w:rPr>
          <w:rFonts w:ascii="Palatino Linotype" w:hAnsi="Palatino Linotype" w:cs="Tahoma"/>
          <w:sz w:val="22"/>
          <w:szCs w:val="22"/>
        </w:rPr>
      </w:pPr>
    </w:p>
    <w:p w14:paraId="1F8AB6AE" w14:textId="77777777" w:rsidR="00CE0B4C" w:rsidRPr="00FB571A" w:rsidRDefault="00CE0B4C" w:rsidP="00FF5303">
      <w:pPr>
        <w:pStyle w:val="Ttulo2"/>
        <w:rPr>
          <w:rFonts w:ascii="Palatino Linotype" w:hAnsi="Palatino Linotype"/>
          <w:b/>
          <w:color w:val="auto"/>
          <w:sz w:val="22"/>
          <w:lang w:val="es-ES"/>
        </w:rPr>
      </w:pPr>
      <w:bookmarkStart w:id="23" w:name="_Toc205306999"/>
      <w:r w:rsidRPr="00FB571A">
        <w:rPr>
          <w:rFonts w:ascii="Palatino Linotype" w:eastAsia="Calibri" w:hAnsi="Palatino Linotype"/>
          <w:b/>
          <w:color w:val="auto"/>
          <w:sz w:val="22"/>
          <w:lang w:eastAsia="es-ES_tradnl"/>
        </w:rPr>
        <w:t>QUINTO. Estudio de Fondo</w:t>
      </w:r>
      <w:bookmarkEnd w:id="23"/>
    </w:p>
    <w:p w14:paraId="278EF878" w14:textId="77777777" w:rsidR="00040101" w:rsidRPr="00FB571A" w:rsidRDefault="00040101" w:rsidP="00FF426B">
      <w:pPr>
        <w:spacing w:line="360" w:lineRule="auto"/>
        <w:ind w:right="-93"/>
        <w:jc w:val="both"/>
        <w:rPr>
          <w:rFonts w:ascii="Palatino Linotype" w:hAnsi="Palatino Linotype" w:cs="Tahoma"/>
          <w:b/>
          <w:sz w:val="22"/>
          <w:szCs w:val="22"/>
          <w:lang w:val="es-ES"/>
        </w:rPr>
      </w:pPr>
    </w:p>
    <w:p w14:paraId="32DEE378" w14:textId="77777777" w:rsidR="00612C39" w:rsidRDefault="00605837" w:rsidP="00605837">
      <w:pPr>
        <w:spacing w:line="360" w:lineRule="auto"/>
        <w:jc w:val="both"/>
        <w:rPr>
          <w:rFonts w:ascii="Palatino Linotype" w:hAnsi="Palatino Linotype" w:cs="Tahoma"/>
          <w:sz w:val="22"/>
          <w:szCs w:val="22"/>
        </w:rPr>
      </w:pPr>
      <w:r w:rsidRPr="00D31FC5">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w:t>
      </w:r>
      <w:r w:rsidRPr="00D31FC5">
        <w:rPr>
          <w:rFonts w:ascii="Palatino Linotype" w:hAnsi="Palatino Linotype" w:cs="Tahoma"/>
          <w:sz w:val="22"/>
          <w:szCs w:val="22"/>
        </w:rPr>
        <w:lastRenderedPageBreak/>
        <w:t>(</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2BC93E33" w14:textId="77777777" w:rsidR="00F25703" w:rsidRDefault="00F25703" w:rsidP="00605837">
      <w:pPr>
        <w:spacing w:line="360" w:lineRule="auto"/>
        <w:jc w:val="both"/>
        <w:rPr>
          <w:rFonts w:ascii="Palatino Linotype" w:hAnsi="Palatino Linotype" w:cs="Tahoma"/>
          <w:sz w:val="22"/>
          <w:szCs w:val="22"/>
        </w:rPr>
      </w:pPr>
    </w:p>
    <w:p w14:paraId="6F768204" w14:textId="057BD6C5" w:rsidR="00B50BCF" w:rsidRPr="00B50BCF" w:rsidRDefault="00612E44" w:rsidP="00303FC5">
      <w:pPr>
        <w:spacing w:line="360" w:lineRule="auto"/>
        <w:ind w:right="-93"/>
        <w:jc w:val="both"/>
        <w:rPr>
          <w:rFonts w:ascii="Palatino Linotype" w:eastAsia="Palatino Linotype" w:hAnsi="Palatino Linotype" w:cs="Palatino Linotype"/>
          <w:color w:val="000000"/>
          <w:sz w:val="22"/>
          <w:szCs w:val="22"/>
          <w:lang w:eastAsia="es-MX"/>
        </w:rPr>
      </w:pPr>
      <w:r w:rsidRPr="00303FC5">
        <w:rPr>
          <w:rFonts w:ascii="Palatino Linotype" w:eastAsia="Calibri" w:hAnsi="Palatino Linotype" w:cs="Tahoma"/>
          <w:iCs/>
          <w:sz w:val="22"/>
          <w:szCs w:val="22"/>
          <w:lang w:eastAsia="es-ES_tradnl"/>
        </w:rPr>
        <w:t xml:space="preserve">Establecido lo anterior, es de recordar que </w:t>
      </w:r>
      <w:r w:rsidR="005C34EA" w:rsidRPr="00303FC5">
        <w:rPr>
          <w:rFonts w:ascii="Palatino Linotype" w:eastAsia="Calibri" w:hAnsi="Palatino Linotype" w:cs="Tahoma"/>
          <w:iCs/>
          <w:sz w:val="22"/>
          <w:szCs w:val="22"/>
          <w:lang w:eastAsia="es-ES_tradnl"/>
        </w:rPr>
        <w:t>la solicitud se encuentra relacionada</w:t>
      </w:r>
      <w:r w:rsidR="0070169B" w:rsidRPr="00303FC5">
        <w:rPr>
          <w:rFonts w:ascii="Palatino Linotype" w:eastAsia="Calibri" w:hAnsi="Palatino Linotype" w:cs="Tahoma"/>
          <w:iCs/>
          <w:sz w:val="22"/>
          <w:szCs w:val="22"/>
          <w:lang w:eastAsia="es-ES_tradnl"/>
        </w:rPr>
        <w:t xml:space="preserve"> con </w:t>
      </w:r>
      <w:r w:rsidR="00B50BCF" w:rsidRPr="00303FC5">
        <w:rPr>
          <w:rFonts w:ascii="Palatino Linotype" w:eastAsia="Calibri" w:hAnsi="Palatino Linotype" w:cs="Tahoma"/>
          <w:iCs/>
          <w:sz w:val="22"/>
          <w:szCs w:val="22"/>
          <w:lang w:eastAsia="es-ES_tradnl"/>
        </w:rPr>
        <w:t>pólizas de ingresos</w:t>
      </w:r>
      <w:r w:rsidR="00303FC5" w:rsidRPr="00303FC5">
        <w:rPr>
          <w:rFonts w:ascii="Palatino Linotype" w:eastAsia="Calibri" w:hAnsi="Palatino Linotype" w:cs="Tahoma"/>
          <w:iCs/>
          <w:sz w:val="22"/>
          <w:szCs w:val="22"/>
          <w:lang w:eastAsia="es-ES_tradnl"/>
        </w:rPr>
        <w:t>,</w:t>
      </w:r>
      <w:r w:rsidR="00B50BCF">
        <w:rPr>
          <w:rFonts w:ascii="Palatino Linotype" w:eastAsia="Calibri" w:hAnsi="Palatino Linotype" w:cs="Tahoma"/>
          <w:iCs/>
          <w:sz w:val="22"/>
          <w:szCs w:val="22"/>
          <w:lang w:eastAsia="es-ES_tradnl"/>
        </w:rPr>
        <w:t xml:space="preserve"> </w:t>
      </w:r>
      <w:r w:rsidR="00303FC5">
        <w:rPr>
          <w:rFonts w:ascii="Palatino Linotype" w:eastAsia="Calibri" w:hAnsi="Palatino Linotype" w:cs="Tahoma"/>
          <w:iCs/>
          <w:sz w:val="22"/>
          <w:szCs w:val="22"/>
          <w:lang w:eastAsia="es-ES_tradnl"/>
        </w:rPr>
        <w:t>razón por la cual conviene realizar las siguientes consideraciones, a</w:t>
      </w:r>
      <w:r w:rsidR="00B50BCF" w:rsidRPr="00B50BCF">
        <w:rPr>
          <w:rFonts w:ascii="Palatino Linotype" w:eastAsia="Palatino Linotype" w:hAnsi="Palatino Linotype" w:cs="Palatino Linotype"/>
          <w:color w:val="000000"/>
          <w:sz w:val="22"/>
          <w:szCs w:val="22"/>
          <w:lang w:eastAsia="es-MX"/>
        </w:rPr>
        <w:t xml:space="preserve">l respecto, el artículo 4°, fracción XVIII, de la Ley General de Contabilidad Gubernamental, establece que </w:t>
      </w:r>
      <w:r w:rsidR="00B50BCF" w:rsidRPr="00B50BCF">
        <w:rPr>
          <w:rFonts w:ascii="Palatino Linotype" w:eastAsia="Palatino Linotype" w:hAnsi="Palatino Linotype" w:cs="Palatino Linotype"/>
          <w:b/>
          <w:bCs/>
          <w:color w:val="000000"/>
          <w:sz w:val="22"/>
          <w:szCs w:val="22"/>
          <w:lang w:eastAsia="es-MX"/>
        </w:rPr>
        <w:t>la información financiera consiste en información presupuestaria y contable que se expresa en unidades monetarias las transacciones que realiza un ente público y los eventos económicos identificables y cuantificable</w:t>
      </w:r>
      <w:r w:rsidR="00B50BCF" w:rsidRPr="00B50BCF">
        <w:rPr>
          <w:rFonts w:ascii="Palatino Linotype" w:eastAsia="Palatino Linotype" w:hAnsi="Palatino Linotype" w:cs="Palatino Linotype"/>
          <w:color w:val="000000"/>
          <w:sz w:val="22"/>
          <w:szCs w:val="22"/>
          <w:lang w:eastAsia="es-MX"/>
        </w:rPr>
        <w:t xml:space="preserve"> la cual puede representarse por reportes, informes, estados y notas que expresan su situación financiera, los resultados de su operación y los cambios en su patrimonio.</w:t>
      </w:r>
    </w:p>
    <w:p w14:paraId="3066B4F0"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6F381ACD"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56690C7A"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171094A4" w14:textId="77777777" w:rsidR="00B50BCF" w:rsidRPr="00B50BCF" w:rsidRDefault="00B50BCF" w:rsidP="00B50BCF">
      <w:pPr>
        <w:spacing w:line="360" w:lineRule="auto"/>
        <w:jc w:val="both"/>
        <w:rPr>
          <w:rFonts w:ascii="Palatino Linotype" w:eastAsia="Calibri" w:hAnsi="Palatino Linotype"/>
          <w:color w:val="000000"/>
          <w:sz w:val="22"/>
          <w:szCs w:val="22"/>
          <w:lang w:eastAsia="es-MX"/>
        </w:rPr>
      </w:pPr>
      <w:r w:rsidRPr="00B50BCF">
        <w:rPr>
          <w:rFonts w:ascii="Palatino Linotype" w:eastAsia="Calibri" w:hAnsi="Palatino Linotype"/>
          <w:color w:val="000000"/>
          <w:sz w:val="22"/>
          <w:szCs w:val="22"/>
          <w:lang w:eastAsia="es-MX"/>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14:paraId="722315C4"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0DAD0FBE" w14:textId="26A96A52"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lastRenderedPageBreak/>
        <w:t>Ahora bien,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4341AEC9"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49DB28CA"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En ese contexto, los Sujetos Obligados deben generar pólizas contables que corresponden a un documento en el que se asientan las operaciones desarrolladas, por el municipio y toda la información necesaria para su identificación, de esta manera se trae por analogía la Guía Técnica 8 “La Contabilidad y la Cuenta Pública Municipal”; además, dichas pólizas se dividen en las siguientes: </w:t>
      </w:r>
    </w:p>
    <w:p w14:paraId="77B8AA11"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02614278" w14:textId="77777777" w:rsidR="00B50BCF" w:rsidRPr="00B50BCF" w:rsidRDefault="00B50BCF" w:rsidP="009F6490">
      <w:pPr>
        <w:numPr>
          <w:ilvl w:val="0"/>
          <w:numId w:val="3"/>
        </w:numPr>
        <w:spacing w:after="160" w:line="360" w:lineRule="auto"/>
        <w:contextualSpacing/>
        <w:jc w:val="both"/>
        <w:rPr>
          <w:rFonts w:ascii="Palatino Linotype" w:hAnsi="Palatino Linotype"/>
          <w:color w:val="000000"/>
          <w:sz w:val="22"/>
          <w:szCs w:val="24"/>
        </w:rPr>
      </w:pPr>
      <w:r w:rsidRPr="00B50BCF">
        <w:rPr>
          <w:rFonts w:ascii="Palatino Linotype" w:hAnsi="Palatino Linotype"/>
          <w:b/>
          <w:bCs/>
          <w:color w:val="000000"/>
          <w:sz w:val="22"/>
          <w:szCs w:val="24"/>
        </w:rPr>
        <w:t>Póliza de Ingresos:</w:t>
      </w:r>
      <w:r w:rsidRPr="00B50BCF">
        <w:rPr>
          <w:rFonts w:ascii="Palatino Linotype" w:hAnsi="Palatino Linotype"/>
          <w:color w:val="000000"/>
          <w:sz w:val="22"/>
          <w:szCs w:val="24"/>
        </w:rPr>
        <w:t xml:space="preserve"> Es aquella donde se anotan las operaciones que representan ingresos, esto es, entradas de dinero para el municipio. </w:t>
      </w:r>
    </w:p>
    <w:p w14:paraId="683FA579"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6CBBEF6B" w14:textId="77777777" w:rsidR="00B50BCF" w:rsidRPr="00B50BCF" w:rsidRDefault="00B50BCF" w:rsidP="009F6490">
      <w:pPr>
        <w:numPr>
          <w:ilvl w:val="0"/>
          <w:numId w:val="3"/>
        </w:numPr>
        <w:spacing w:after="160" w:line="360" w:lineRule="auto"/>
        <w:contextualSpacing/>
        <w:jc w:val="both"/>
        <w:rPr>
          <w:rFonts w:ascii="Palatino Linotype" w:hAnsi="Palatino Linotype"/>
          <w:color w:val="000000"/>
          <w:sz w:val="22"/>
          <w:szCs w:val="24"/>
        </w:rPr>
      </w:pPr>
      <w:r w:rsidRPr="00B50BCF">
        <w:rPr>
          <w:rFonts w:ascii="Palatino Linotype" w:hAnsi="Palatino Linotype"/>
          <w:b/>
          <w:bCs/>
          <w:color w:val="000000"/>
          <w:sz w:val="22"/>
          <w:szCs w:val="24"/>
        </w:rPr>
        <w:t>Póliza de Egresos:</w:t>
      </w:r>
      <w:r w:rsidRPr="00B50BCF">
        <w:rPr>
          <w:rFonts w:ascii="Palatino Linotype" w:hAnsi="Palatino Linotype"/>
          <w:color w:val="000000"/>
          <w:sz w:val="22"/>
          <w:szCs w:val="24"/>
        </w:rPr>
        <w:t xml:space="preserve"> Corresponde a aquella donde se anotan las operaciones que implique egresos, es decir, la salida de dinero, en efectivo o transferencia, para el municipio.</w:t>
      </w:r>
    </w:p>
    <w:p w14:paraId="00DCD243" w14:textId="77777777" w:rsidR="00B50BCF" w:rsidRPr="00B50BCF" w:rsidRDefault="00B50BCF" w:rsidP="00B50BCF">
      <w:pPr>
        <w:spacing w:line="360" w:lineRule="auto"/>
        <w:ind w:left="720"/>
        <w:contextualSpacing/>
        <w:jc w:val="both"/>
        <w:rPr>
          <w:rFonts w:ascii="Palatino Linotype" w:hAnsi="Palatino Linotype"/>
          <w:color w:val="000000"/>
          <w:sz w:val="22"/>
          <w:szCs w:val="24"/>
        </w:rPr>
      </w:pPr>
    </w:p>
    <w:p w14:paraId="327B0784" w14:textId="77777777" w:rsidR="00B50BCF" w:rsidRPr="00B50BCF" w:rsidRDefault="00B50BCF" w:rsidP="009F6490">
      <w:pPr>
        <w:numPr>
          <w:ilvl w:val="0"/>
          <w:numId w:val="3"/>
        </w:numPr>
        <w:spacing w:after="160" w:line="360" w:lineRule="auto"/>
        <w:contextualSpacing/>
        <w:jc w:val="both"/>
        <w:rPr>
          <w:rFonts w:ascii="Palatino Linotype" w:hAnsi="Palatino Linotype"/>
          <w:color w:val="000000"/>
          <w:sz w:val="22"/>
          <w:szCs w:val="24"/>
        </w:rPr>
      </w:pPr>
      <w:r w:rsidRPr="00B50BCF">
        <w:rPr>
          <w:rFonts w:ascii="Palatino Linotype" w:hAnsi="Palatino Linotype"/>
          <w:b/>
          <w:color w:val="000000"/>
          <w:sz w:val="22"/>
          <w:szCs w:val="24"/>
        </w:rPr>
        <w:t>Póliza Cheque:</w:t>
      </w:r>
      <w:r w:rsidRPr="00B50BCF">
        <w:rPr>
          <w:rFonts w:ascii="Palatino Linotype" w:hAnsi="Palatino Linotype"/>
          <w:color w:val="000000"/>
          <w:sz w:val="22"/>
          <w:szCs w:val="24"/>
        </w:rPr>
        <w:t xml:space="preserve"> Es la que se elabora cuando la operación implique una salida de dinero del municipio, a través de un cheque.</w:t>
      </w:r>
    </w:p>
    <w:p w14:paraId="34DC2F1E" w14:textId="77777777" w:rsidR="00B50BCF" w:rsidRPr="00B50BCF" w:rsidRDefault="00B50BCF" w:rsidP="00B50BCF">
      <w:pPr>
        <w:spacing w:line="360" w:lineRule="auto"/>
        <w:ind w:left="720"/>
        <w:contextualSpacing/>
        <w:jc w:val="both"/>
        <w:rPr>
          <w:rFonts w:ascii="Palatino Linotype" w:hAnsi="Palatino Linotype"/>
          <w:color w:val="000000"/>
          <w:sz w:val="22"/>
          <w:szCs w:val="24"/>
        </w:rPr>
      </w:pPr>
    </w:p>
    <w:p w14:paraId="7E0860E8" w14:textId="77777777" w:rsidR="00B50BCF" w:rsidRPr="00B50BCF" w:rsidRDefault="00B50BCF" w:rsidP="009F6490">
      <w:pPr>
        <w:numPr>
          <w:ilvl w:val="0"/>
          <w:numId w:val="3"/>
        </w:numPr>
        <w:spacing w:after="160" w:line="360" w:lineRule="auto"/>
        <w:contextualSpacing/>
        <w:jc w:val="both"/>
        <w:rPr>
          <w:rFonts w:ascii="Palatino Linotype" w:hAnsi="Palatino Linotype"/>
          <w:color w:val="000000"/>
          <w:sz w:val="22"/>
          <w:szCs w:val="24"/>
        </w:rPr>
      </w:pPr>
      <w:r w:rsidRPr="00B50BCF">
        <w:rPr>
          <w:rFonts w:ascii="Palatino Linotype" w:hAnsi="Palatino Linotype"/>
          <w:b/>
          <w:color w:val="000000"/>
          <w:sz w:val="22"/>
          <w:szCs w:val="24"/>
        </w:rPr>
        <w:t>Póliza de Diario:</w:t>
      </w:r>
      <w:r w:rsidRPr="00B50BCF">
        <w:rPr>
          <w:rFonts w:ascii="Palatino Linotype" w:hAnsi="Palatino Linotype"/>
          <w:color w:val="000000"/>
          <w:sz w:val="22"/>
          <w:szCs w:val="24"/>
        </w:rPr>
        <w:t xml:space="preserve"> Es la que se elabora cuando la operación que se está registrando no implica una entrada o una salida (ingreso o egreso) de dinero para el municipio.</w:t>
      </w:r>
    </w:p>
    <w:p w14:paraId="227AA606"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563FE81B" w14:textId="2DB71D19" w:rsidR="00B50BCF" w:rsidRPr="00B50BCF" w:rsidRDefault="00B50BCF" w:rsidP="00B50BCF">
      <w:pPr>
        <w:spacing w:line="360" w:lineRule="auto"/>
        <w:contextualSpacing/>
        <w:jc w:val="both"/>
        <w:rPr>
          <w:rFonts w:ascii="Palatino Linotype" w:eastAsia="Calibri" w:hAnsi="Palatino Linotype" w:cs="Tahoma"/>
          <w:bCs/>
          <w:color w:val="000000"/>
          <w:sz w:val="22"/>
          <w:szCs w:val="22"/>
          <w:lang w:eastAsia="es-MX"/>
        </w:rPr>
      </w:pPr>
      <w:r w:rsidRPr="00B50BCF">
        <w:rPr>
          <w:rFonts w:ascii="Palatino Linotype" w:eastAsia="Calibri" w:hAnsi="Palatino Linotype" w:cs="Tahoma"/>
          <w:bCs/>
          <w:color w:val="000000"/>
          <w:sz w:val="22"/>
          <w:szCs w:val="22"/>
          <w:lang w:eastAsia="es-MX"/>
        </w:rPr>
        <w:t>En ese orden de ideas, este Instituto revisó los Lineamientos para la Integración, Presentación y Envío de los Informes Trimestrales Municipales del Ejercicio Fiscal 202</w:t>
      </w:r>
      <w:r w:rsidR="00303FC5">
        <w:rPr>
          <w:rFonts w:ascii="Palatino Linotype" w:eastAsia="Calibri" w:hAnsi="Palatino Linotype" w:cs="Tahoma"/>
          <w:bCs/>
          <w:color w:val="000000"/>
          <w:sz w:val="22"/>
          <w:szCs w:val="22"/>
          <w:lang w:eastAsia="es-MX"/>
        </w:rPr>
        <w:t>5</w:t>
      </w:r>
      <w:r w:rsidRPr="00B50BCF">
        <w:rPr>
          <w:rFonts w:ascii="Palatino Linotype" w:eastAsia="Calibri" w:hAnsi="Palatino Linotype" w:cs="Tahoma"/>
          <w:bCs/>
          <w:color w:val="000000"/>
          <w:sz w:val="22"/>
          <w:szCs w:val="22"/>
          <w:lang w:eastAsia="es-MX"/>
        </w:rPr>
        <w:t xml:space="preserve">, de los cuales se </w:t>
      </w:r>
      <w:r w:rsidRPr="00B50BCF">
        <w:rPr>
          <w:rFonts w:ascii="Palatino Linotype" w:eastAsia="Calibri" w:hAnsi="Palatino Linotype" w:cs="Tahoma"/>
          <w:bCs/>
          <w:color w:val="000000"/>
          <w:sz w:val="22"/>
          <w:szCs w:val="22"/>
          <w:lang w:eastAsia="es-MX"/>
        </w:rPr>
        <w:lastRenderedPageBreak/>
        <w:t xml:space="preserve">logra advertir que el Municipio debe entregar al Órgano Superior de Fiscalización, en el Módulo 1, entre otros documentos el Diario General de Pólizas, mismo que debe ser generado en formato “PDF” y “XLSX”; además, conforme al Instructivo de llenado de dicho formato, este tiene como finalidad concentrar </w:t>
      </w:r>
      <w:r w:rsidRPr="00B50BCF">
        <w:rPr>
          <w:rFonts w:ascii="Palatino Linotype" w:eastAsia="Calibri" w:hAnsi="Palatino Linotype" w:cs="Tahoma"/>
          <w:b/>
          <w:bCs/>
          <w:color w:val="000000"/>
          <w:sz w:val="22"/>
          <w:szCs w:val="22"/>
          <w:u w:val="single"/>
          <w:lang w:eastAsia="es-MX"/>
        </w:rPr>
        <w:t>el total de pólizas</w:t>
      </w:r>
      <w:r w:rsidRPr="00B50BCF">
        <w:rPr>
          <w:rFonts w:ascii="Palatino Linotype" w:eastAsia="Calibri" w:hAnsi="Palatino Linotype" w:cs="Tahoma"/>
          <w:bCs/>
          <w:color w:val="000000"/>
          <w:sz w:val="22"/>
          <w:szCs w:val="22"/>
          <w:lang w:eastAsia="es-MX"/>
        </w:rPr>
        <w:t xml:space="preserve"> que la enditad realizó en un determinado periodo.</w:t>
      </w:r>
    </w:p>
    <w:p w14:paraId="6CB828ED" w14:textId="77777777" w:rsidR="00B50BCF" w:rsidRPr="00B50BCF" w:rsidRDefault="00B50BCF" w:rsidP="00B50BCF">
      <w:pPr>
        <w:spacing w:line="360" w:lineRule="auto"/>
        <w:jc w:val="both"/>
        <w:rPr>
          <w:rFonts w:ascii="Palatino Linotype" w:hAnsi="Palatino Linotype" w:cs="Tahoma"/>
          <w:bCs/>
          <w:iCs/>
          <w:color w:val="000000"/>
          <w:sz w:val="22"/>
          <w:szCs w:val="22"/>
        </w:rPr>
      </w:pPr>
    </w:p>
    <w:p w14:paraId="5D801721" w14:textId="77777777" w:rsidR="00303FC5" w:rsidRPr="00303FC5" w:rsidRDefault="00303FC5" w:rsidP="00303FC5">
      <w:pPr>
        <w:spacing w:line="360" w:lineRule="auto"/>
        <w:jc w:val="both"/>
        <w:rPr>
          <w:rFonts w:ascii="Palatino Linotype" w:hAnsi="Palatino Linotype" w:cs="Tahoma"/>
          <w:bCs/>
          <w:iCs/>
          <w:color w:val="000000"/>
          <w:sz w:val="22"/>
          <w:szCs w:val="22"/>
        </w:rPr>
      </w:pPr>
      <w:r w:rsidRPr="00303FC5">
        <w:rPr>
          <w:rFonts w:ascii="Palatino Linotype" w:hAnsi="Palatino Linotype" w:cs="Tahoma"/>
          <w:bCs/>
          <w:iCs/>
          <w:color w:val="000000"/>
          <w:sz w:val="22"/>
          <w:szCs w:val="22"/>
        </w:rPr>
        <w:t xml:space="preserve">En ese orden de ideas, la Ley Orgánica Municipal, en su artículo 95, señala las atribuciones del </w:t>
      </w:r>
      <w:r w:rsidRPr="00303FC5">
        <w:rPr>
          <w:rFonts w:ascii="Palatino Linotype" w:hAnsi="Palatino Linotype" w:cs="Tahoma"/>
          <w:b/>
          <w:bCs/>
          <w:iCs/>
          <w:color w:val="000000"/>
          <w:sz w:val="22"/>
          <w:szCs w:val="22"/>
        </w:rPr>
        <w:t xml:space="preserve">Tesorero Municipal, </w:t>
      </w:r>
      <w:r w:rsidRPr="00303FC5">
        <w:rPr>
          <w:rFonts w:ascii="Palatino Linotype" w:hAnsi="Palatino Linotype" w:cs="Tahoma"/>
          <w:bCs/>
          <w:iCs/>
          <w:color w:val="000000"/>
          <w:sz w:val="22"/>
          <w:szCs w:val="22"/>
        </w:rPr>
        <w:t xml:space="preserve">dentro de las que se encuentra la de llevar los registros contables, financieros y administrativos de los ingresos, egresos, e inventarios. </w:t>
      </w:r>
      <w:r w:rsidRPr="00303FC5">
        <w:rPr>
          <w:rFonts w:ascii="Palatino Linotype" w:hAnsi="Palatino Linotype" w:cs="Tahoma"/>
          <w:bCs/>
          <w:iCs/>
          <w:color w:val="000000"/>
          <w:sz w:val="22"/>
          <w:szCs w:val="22"/>
          <w:lang w:val="es-ES_tradnl"/>
        </w:rPr>
        <w:t>De tales circunstancias, se logra vislumbrar que la pretensión de la persona Recurrente, son los comprobantes de pago del primero de septiembre al quince de octubre del año en curso</w:t>
      </w:r>
      <w:r w:rsidRPr="00303FC5">
        <w:rPr>
          <w:rFonts w:ascii="Palatino Linotype" w:hAnsi="Palatino Linotype" w:cs="Tahoma"/>
          <w:bCs/>
          <w:iCs/>
          <w:color w:val="000000"/>
          <w:sz w:val="22"/>
          <w:szCs w:val="22"/>
        </w:rPr>
        <w:t>.</w:t>
      </w:r>
    </w:p>
    <w:p w14:paraId="55A9E32C" w14:textId="77777777" w:rsidR="00B50BCF" w:rsidRDefault="00B50BCF" w:rsidP="00B50BCF">
      <w:pPr>
        <w:spacing w:line="360" w:lineRule="auto"/>
        <w:jc w:val="both"/>
        <w:rPr>
          <w:rFonts w:ascii="Palatino Linotype" w:hAnsi="Palatino Linotype" w:cs="Tahoma"/>
          <w:bCs/>
          <w:iCs/>
          <w:color w:val="000000"/>
          <w:sz w:val="22"/>
          <w:szCs w:val="22"/>
        </w:rPr>
      </w:pPr>
    </w:p>
    <w:p w14:paraId="74E3C05B" w14:textId="76A313EC" w:rsidR="00303FC5" w:rsidRPr="001809B9" w:rsidRDefault="00303FC5" w:rsidP="00303FC5">
      <w:pPr>
        <w:spacing w:line="360" w:lineRule="auto"/>
        <w:jc w:val="both"/>
        <w:rPr>
          <w:rFonts w:ascii="Palatino Linotype" w:eastAsia="Palatino Linotype" w:hAnsi="Palatino Linotype" w:cs="Palatino Linotype"/>
          <w:color w:val="000000"/>
          <w:sz w:val="22"/>
          <w:szCs w:val="22"/>
          <w:lang w:eastAsia="es-MX"/>
        </w:rPr>
      </w:pPr>
      <w:r w:rsidRPr="001809B9">
        <w:rPr>
          <w:rFonts w:ascii="Palatino Linotype" w:eastAsia="Palatino Linotype" w:hAnsi="Palatino Linotype" w:cs="Palatino Linotype"/>
          <w:color w:val="000000"/>
          <w:sz w:val="22"/>
          <w:szCs w:val="22"/>
          <w:lang w:eastAsia="es-MX"/>
        </w:rPr>
        <w:t xml:space="preserve">Ahora bien, de las constancias que obran en el expediente electrónico, se advierte que el Sujeto Obligado, turnó la solicitud de información a la </w:t>
      </w:r>
      <w:r>
        <w:rPr>
          <w:rFonts w:ascii="Palatino Linotype" w:eastAsia="Palatino Linotype" w:hAnsi="Palatino Linotype" w:cs="Palatino Linotype"/>
          <w:color w:val="000000"/>
          <w:sz w:val="22"/>
          <w:szCs w:val="22"/>
          <w:lang w:eastAsia="es-MX"/>
        </w:rPr>
        <w:t xml:space="preserve">Dirección de Finanzas y </w:t>
      </w:r>
      <w:r w:rsidRPr="001809B9">
        <w:rPr>
          <w:rFonts w:ascii="Palatino Linotype" w:eastAsia="Palatino Linotype" w:hAnsi="Palatino Linotype" w:cs="Palatino Linotype"/>
          <w:color w:val="000000"/>
          <w:sz w:val="22"/>
          <w:szCs w:val="22"/>
          <w:lang w:eastAsia="es-MX"/>
        </w:rPr>
        <w:t xml:space="preserve">Tesorería; por lo que, es oportuno hacer referencia al </w:t>
      </w:r>
      <w:r w:rsidRPr="001809B9">
        <w:rPr>
          <w:rFonts w:ascii="Palatino Linotype" w:eastAsia="Palatino Linotype" w:hAnsi="Palatino Linotype" w:cs="Palatino Linotype"/>
          <w:b/>
          <w:color w:val="000000"/>
          <w:sz w:val="22"/>
          <w:szCs w:val="22"/>
          <w:lang w:eastAsia="es-MX"/>
        </w:rPr>
        <w:t>procedimiento de búsqueda que deben de seguir los Sujetos Obligados para localizar la información</w:t>
      </w:r>
      <w:r w:rsidRPr="001809B9">
        <w:rPr>
          <w:rFonts w:ascii="Palatino Linotype" w:eastAsia="Palatino Linotype" w:hAnsi="Palatino Linotype" w:cs="Palatino Linotype"/>
          <w:color w:val="000000"/>
          <w:sz w:val="22"/>
          <w:szCs w:val="22"/>
          <w:lang w:eastAsia="es-MX"/>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183A6BC" w14:textId="77777777" w:rsidR="00B50BCF" w:rsidRPr="00B50BCF" w:rsidRDefault="00B50BCF" w:rsidP="00B50BCF">
      <w:pPr>
        <w:spacing w:line="360" w:lineRule="auto"/>
        <w:jc w:val="both"/>
        <w:rPr>
          <w:rFonts w:ascii="Palatino Linotype" w:hAnsi="Palatino Linotype" w:cs="Tahoma"/>
          <w:bCs/>
          <w:iCs/>
          <w:color w:val="000000"/>
          <w:sz w:val="22"/>
          <w:szCs w:val="22"/>
        </w:rPr>
      </w:pPr>
    </w:p>
    <w:p w14:paraId="4817F898" w14:textId="329AEC6F"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turno al área competente que puede conocer sobre la información solicitada, tan es así que</w:t>
      </w:r>
      <w:r w:rsidR="00303FC5">
        <w:rPr>
          <w:rFonts w:ascii="Palatino Linotype" w:eastAsia="Palatino Linotype" w:hAnsi="Palatino Linotype" w:cs="Palatino Linotype"/>
          <w:color w:val="000000"/>
          <w:sz w:val="22"/>
          <w:szCs w:val="22"/>
          <w:lang w:eastAsia="es-MX"/>
        </w:rPr>
        <w:t xml:space="preserve"> proporcionó parte de la información. </w:t>
      </w:r>
    </w:p>
    <w:p w14:paraId="5AA8C725"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17ECADD0" w14:textId="2A4DA26F" w:rsidR="00B50BCF" w:rsidRPr="00B50BCF" w:rsidRDefault="00B50BCF" w:rsidP="00303FC5">
      <w:pPr>
        <w:spacing w:line="360" w:lineRule="auto"/>
        <w:jc w:val="both"/>
        <w:rPr>
          <w:rFonts w:ascii="Palatino Linotype" w:eastAsia="Palatino Linotype" w:hAnsi="Palatino Linotype" w:cs="Tahoma"/>
          <w:color w:val="000000"/>
          <w:sz w:val="22"/>
          <w:szCs w:val="22"/>
          <w:lang w:val="es-ES_tradnl" w:eastAsia="es-MX"/>
        </w:rPr>
      </w:pPr>
      <w:r w:rsidRPr="00B50BCF">
        <w:rPr>
          <w:rFonts w:ascii="Palatino Linotype" w:eastAsia="Palatino Linotype" w:hAnsi="Palatino Linotype" w:cs="Palatino Linotype"/>
          <w:color w:val="000000"/>
          <w:sz w:val="22"/>
          <w:szCs w:val="22"/>
          <w:lang w:eastAsia="es-MX"/>
        </w:rPr>
        <w:t xml:space="preserve">Como ya se refirió, en respuesta, a través de la </w:t>
      </w:r>
      <w:r w:rsidR="00303FC5">
        <w:rPr>
          <w:rFonts w:ascii="Palatino Linotype" w:eastAsia="Palatino Linotype" w:hAnsi="Palatino Linotype" w:cs="Palatino Linotype"/>
          <w:color w:val="000000"/>
          <w:sz w:val="22"/>
          <w:szCs w:val="22"/>
          <w:lang w:eastAsia="es-MX"/>
        </w:rPr>
        <w:t xml:space="preserve">Dirección de Finanzas y Tesorería se le hizo entrega de trece </w:t>
      </w:r>
      <w:r w:rsidR="00303FC5" w:rsidRPr="00303FC5">
        <w:rPr>
          <w:rFonts w:ascii="Palatino Linotype" w:eastAsia="Palatino Linotype" w:hAnsi="Palatino Linotype" w:cs="Palatino Linotype"/>
          <w:color w:val="000000"/>
          <w:sz w:val="22"/>
          <w:szCs w:val="22"/>
          <w:lang w:eastAsia="es-MX"/>
        </w:rPr>
        <w:t>copias de las órdenes de pago expedidas por la dependencia Juzgado Cívico</w:t>
      </w:r>
      <w:r w:rsidR="00303FC5">
        <w:rPr>
          <w:rFonts w:ascii="Palatino Linotype" w:eastAsia="Palatino Linotype" w:hAnsi="Palatino Linotype" w:cs="Palatino Linotype"/>
          <w:color w:val="000000"/>
          <w:sz w:val="22"/>
          <w:szCs w:val="22"/>
          <w:lang w:eastAsia="es-MX"/>
        </w:rPr>
        <w:t xml:space="preserve"> y en informe justificado por lo que hace a las pólizas invitó al Particular a consultar la información en sus oficinas. </w:t>
      </w:r>
    </w:p>
    <w:p w14:paraId="6DD4B018" w14:textId="77777777" w:rsidR="00B50BCF" w:rsidRPr="00B50BCF" w:rsidRDefault="00B50BCF" w:rsidP="00B50BCF">
      <w:pPr>
        <w:spacing w:line="360" w:lineRule="auto"/>
        <w:jc w:val="both"/>
        <w:rPr>
          <w:rFonts w:ascii="Palatino Linotype" w:eastAsia="Palatino Linotype" w:hAnsi="Palatino Linotype" w:cs="Tahoma"/>
          <w:color w:val="000000"/>
          <w:sz w:val="22"/>
          <w:szCs w:val="22"/>
          <w:lang w:val="es-ES_tradnl" w:eastAsia="es-MX"/>
        </w:rPr>
      </w:pPr>
    </w:p>
    <w:p w14:paraId="13747704" w14:textId="77777777" w:rsidR="00B50BCF" w:rsidRPr="00B50BCF" w:rsidRDefault="00B50BCF" w:rsidP="00B50BCF">
      <w:pPr>
        <w:spacing w:line="360" w:lineRule="auto"/>
        <w:jc w:val="both"/>
        <w:rPr>
          <w:rFonts w:ascii="Palatino Linotype" w:eastAsia="Palatino Linotype" w:hAnsi="Palatino Linotype" w:cs="Tahoma"/>
          <w:color w:val="000000"/>
          <w:sz w:val="22"/>
          <w:szCs w:val="22"/>
          <w:lang w:val="es-ES" w:eastAsia="es-MX"/>
        </w:rPr>
      </w:pPr>
      <w:r w:rsidRPr="00B50BCF">
        <w:rPr>
          <w:rFonts w:ascii="Palatino Linotype" w:eastAsia="Palatino Linotype" w:hAnsi="Palatino Linotype" w:cs="Tahoma"/>
          <w:iCs/>
          <w:color w:val="000000"/>
          <w:sz w:val="22"/>
          <w:szCs w:val="24"/>
          <w:lang w:val="es-ES_tradnl" w:eastAsia="es-MX"/>
        </w:rPr>
        <w:t>De tal suerte, se procede analizar si procede el cambio de modalidad. A</w:t>
      </w:r>
      <w:r w:rsidRPr="00B50BCF">
        <w:rPr>
          <w:rFonts w:ascii="Palatino Linotype" w:eastAsia="Palatino Linotype" w:hAnsi="Palatino Linotype" w:cs="Tahoma"/>
          <w:color w:val="000000"/>
          <w:sz w:val="22"/>
          <w:szCs w:val="22"/>
          <w:lang w:val="es-ES" w:eastAsia="es-MX"/>
        </w:rPr>
        <w:t>l respecto, cabe recordar que se requirió la información, a través del Sistema de Acceso a Información Mexiquense (SAIMEX).</w:t>
      </w:r>
    </w:p>
    <w:p w14:paraId="76069650"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75C16E4D"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En ese sentido, el artículo 155, fracción V, de la Ley de Transparencia y Acceso a la Información Pública del Estado de México y Municipios, precisa que para presentar una solicitud, el particular podrá señalar </w:t>
      </w:r>
      <w:r w:rsidRPr="00B50BCF">
        <w:rPr>
          <w:rFonts w:ascii="Palatino Linotype" w:eastAsia="Palatino Linotype" w:hAnsi="Palatino Linotype" w:cs="Palatino Linotype"/>
          <w:b/>
          <w:color w:val="000000"/>
          <w:sz w:val="22"/>
          <w:szCs w:val="22"/>
          <w:lang w:eastAsia="es-MX"/>
        </w:rPr>
        <w:t>la modalidad en la que prefiere se otorgue el acceso a la información</w:t>
      </w:r>
      <w:r w:rsidRPr="00B50BCF">
        <w:rPr>
          <w:rFonts w:ascii="Palatino Linotype" w:eastAsia="Palatino Linotype" w:hAnsi="Palatino Linotype" w:cs="Palatino Linotype"/>
          <w:color w:val="000000"/>
          <w:sz w:val="22"/>
          <w:szCs w:val="22"/>
          <w:lang w:eastAsia="es-MX"/>
        </w:rPr>
        <w:t>, la cual podrá ser verbal, siempre y cuando sea para fines de orientación, mediante consulta directa, mediante la expedición de copias simples o certificadas o la reproducción en cualquier otro medio, incluidos los electrónicos.</w:t>
      </w:r>
    </w:p>
    <w:p w14:paraId="18B167E7"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68EBB9FE" w14:textId="77777777" w:rsidR="00B50BCF" w:rsidRPr="00B50BCF" w:rsidRDefault="00B50BCF" w:rsidP="00B50BCF">
      <w:pPr>
        <w:spacing w:line="360" w:lineRule="auto"/>
        <w:jc w:val="both"/>
        <w:rPr>
          <w:rFonts w:ascii="Palatino Linotype" w:eastAsia="Palatino Linotype" w:hAnsi="Palatino Linotype" w:cs="Palatino Linotype"/>
          <w:b/>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El artículo 158, dispone que, de manera excepcional, cuando de manera fundada y motivada lo determine el Sujeto Obligado, </w:t>
      </w:r>
      <w:r w:rsidRPr="00B50BCF">
        <w:rPr>
          <w:rFonts w:ascii="Palatino Linotype" w:eastAsia="Palatino Linotype" w:hAnsi="Palatino Linotype" w:cs="Palatino Linotype"/>
          <w:b/>
          <w:color w:val="000000"/>
          <w:sz w:val="22"/>
          <w:szCs w:val="22"/>
          <w:lang w:eastAsia="es-MX"/>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364B4481" w14:textId="77777777" w:rsidR="00B50BCF" w:rsidRPr="00B50BCF" w:rsidRDefault="00B50BCF" w:rsidP="00B50BCF">
      <w:pPr>
        <w:spacing w:line="360" w:lineRule="auto"/>
        <w:jc w:val="both"/>
        <w:rPr>
          <w:rFonts w:ascii="Palatino Linotype" w:eastAsia="Palatino Linotype" w:hAnsi="Palatino Linotype" w:cs="Palatino Linotype"/>
          <w:b/>
          <w:color w:val="000000"/>
          <w:sz w:val="22"/>
          <w:szCs w:val="22"/>
          <w:lang w:eastAsia="es-MX"/>
        </w:rPr>
      </w:pPr>
    </w:p>
    <w:p w14:paraId="008FCCAD"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En ese orden de ideas, el artículo 164 de dicho ordenamiento jurídico, prevé que el acceso se dará en la modalidad de entrega y, en su caso, de envío elegidos por al solicitante. </w:t>
      </w:r>
      <w:r w:rsidRPr="00B50BCF">
        <w:rPr>
          <w:rFonts w:ascii="Palatino Linotype" w:eastAsia="Palatino Linotype" w:hAnsi="Palatino Linotype" w:cs="Palatino Linotype"/>
          <w:b/>
          <w:color w:val="000000"/>
          <w:sz w:val="22"/>
          <w:szCs w:val="22"/>
          <w:lang w:eastAsia="es-MX"/>
        </w:rPr>
        <w:t xml:space="preserve">Cuando la información no pueda entregarse o enviarse en la modalidad elegida, el sujeto obligado </w:t>
      </w:r>
      <w:r w:rsidRPr="00B50BCF">
        <w:rPr>
          <w:rFonts w:ascii="Palatino Linotype" w:eastAsia="Palatino Linotype" w:hAnsi="Palatino Linotype" w:cs="Palatino Linotype"/>
          <w:b/>
          <w:color w:val="000000"/>
          <w:sz w:val="22"/>
          <w:szCs w:val="22"/>
          <w:lang w:eastAsia="es-MX"/>
        </w:rPr>
        <w:lastRenderedPageBreak/>
        <w:t>deberá ofrecer otra u otras modalidades de entrega.</w:t>
      </w:r>
      <w:r w:rsidRPr="00B50BCF">
        <w:rPr>
          <w:rFonts w:ascii="Palatino Linotype" w:eastAsia="Palatino Linotype" w:hAnsi="Palatino Linotype" w:cs="Palatino Linotype"/>
          <w:color w:val="000000"/>
          <w:sz w:val="22"/>
          <w:szCs w:val="22"/>
          <w:lang w:eastAsia="es-MX"/>
        </w:rPr>
        <w:t xml:space="preserve"> En cualquier caso, </w:t>
      </w:r>
      <w:r w:rsidRPr="00B50BCF">
        <w:rPr>
          <w:rFonts w:ascii="Palatino Linotype" w:eastAsia="Palatino Linotype" w:hAnsi="Palatino Linotype" w:cs="Palatino Linotype"/>
          <w:b/>
          <w:color w:val="000000"/>
          <w:sz w:val="22"/>
          <w:szCs w:val="22"/>
          <w:lang w:eastAsia="es-MX"/>
        </w:rPr>
        <w:t>se deberá fundar y motivar</w:t>
      </w:r>
      <w:r w:rsidRPr="00B50BCF">
        <w:rPr>
          <w:rFonts w:ascii="Palatino Linotype" w:eastAsia="Palatino Linotype" w:hAnsi="Palatino Linotype" w:cs="Palatino Linotype"/>
          <w:color w:val="000000"/>
          <w:sz w:val="22"/>
          <w:szCs w:val="22"/>
          <w:lang w:eastAsia="es-MX"/>
        </w:rPr>
        <w:t xml:space="preserve"> la necesidad de ofrecer otras modalidades.</w:t>
      </w:r>
    </w:p>
    <w:p w14:paraId="27ABCB16"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049AD45A" w14:textId="77777777" w:rsidR="00B50BCF" w:rsidRPr="00B50BCF" w:rsidRDefault="00B50BCF" w:rsidP="00B50BCF">
      <w:pPr>
        <w:spacing w:line="360" w:lineRule="auto"/>
        <w:contextualSpacing/>
        <w:jc w:val="both"/>
        <w:rPr>
          <w:rFonts w:ascii="Palatino Linotype" w:eastAsia="Palatino Linotype" w:hAnsi="Palatino Linotype" w:cs="Tahoma"/>
          <w:b/>
          <w:bCs/>
          <w:iCs/>
          <w:color w:val="000000"/>
          <w:sz w:val="22"/>
          <w:szCs w:val="22"/>
          <w:lang w:eastAsia="es-MX"/>
        </w:rPr>
      </w:pPr>
      <w:r w:rsidRPr="00B50BCF">
        <w:rPr>
          <w:rFonts w:ascii="Palatino Linotype" w:eastAsia="Palatino Linotype" w:hAnsi="Palatino Linotype" w:cs="Tahoma"/>
          <w:bCs/>
          <w:iCs/>
          <w:color w:val="000000"/>
          <w:sz w:val="22"/>
          <w:szCs w:val="22"/>
          <w:lang w:eastAsia="es-MX"/>
        </w:rPr>
        <w:t xml:space="preserve">En tales consideraciones, la entrega de la información deberá hacerse, </w:t>
      </w:r>
      <w:r w:rsidRPr="00B50BCF">
        <w:rPr>
          <w:rFonts w:ascii="Palatino Linotype" w:eastAsia="Palatino Linotype" w:hAnsi="Palatino Linotype" w:cs="Tahoma"/>
          <w:b/>
          <w:bCs/>
          <w:iCs/>
          <w:color w:val="000000"/>
          <w:sz w:val="22"/>
          <w:szCs w:val="22"/>
          <w:lang w:eastAsia="es-MX"/>
        </w:rPr>
        <w:t>en la medida de lo posible, en la forma solicitada por el interesado, salvo que exista un impedimento justificado para atenderla</w:t>
      </w:r>
      <w:r w:rsidRPr="00B50BCF">
        <w:rPr>
          <w:rFonts w:ascii="Palatino Linotype" w:eastAsia="Palatino Linotype" w:hAnsi="Palatino Linotype" w:cs="Tahoma"/>
          <w:bCs/>
          <w:iCs/>
          <w:color w:val="000000"/>
          <w:sz w:val="22"/>
          <w:szCs w:val="22"/>
          <w:lang w:eastAsia="es-MX"/>
        </w:rPr>
        <w:t xml:space="preserve">, en cuyo caso, deberán exponerse las razones por las cuales no era posible utilizar el medio de reproducción solicitado; en ese sentido, la entrega de la información en una modalidad distinta a la elegida por el particular </w:t>
      </w:r>
      <w:r w:rsidRPr="00B50BCF">
        <w:rPr>
          <w:rFonts w:ascii="Palatino Linotype" w:eastAsia="Palatino Linotype" w:hAnsi="Palatino Linotype" w:cs="Tahoma"/>
          <w:b/>
          <w:bCs/>
          <w:iCs/>
          <w:color w:val="000000"/>
          <w:sz w:val="22"/>
          <w:szCs w:val="22"/>
          <w:lang w:eastAsia="es-MX"/>
        </w:rPr>
        <w:t xml:space="preserve">sólo procede, en caso de que se acredite la imposibilidad de atenderla. </w:t>
      </w:r>
    </w:p>
    <w:p w14:paraId="42D13901" w14:textId="77777777" w:rsidR="00B50BCF" w:rsidRPr="00B50BCF" w:rsidRDefault="00B50BCF" w:rsidP="00B50BCF">
      <w:pPr>
        <w:spacing w:line="360" w:lineRule="auto"/>
        <w:contextualSpacing/>
        <w:jc w:val="both"/>
        <w:rPr>
          <w:rFonts w:ascii="Palatino Linotype" w:eastAsia="Calibri" w:hAnsi="Palatino Linotype" w:cs="Tahoma"/>
          <w:bCs/>
          <w:color w:val="000000"/>
          <w:sz w:val="22"/>
          <w:szCs w:val="22"/>
          <w:lang w:eastAsia="es-MX"/>
        </w:rPr>
      </w:pPr>
    </w:p>
    <w:p w14:paraId="6F84B550" w14:textId="77777777" w:rsidR="00B50BCF" w:rsidRPr="00B50BCF" w:rsidRDefault="00B50BCF" w:rsidP="00B50BCF">
      <w:pPr>
        <w:spacing w:line="360" w:lineRule="auto"/>
        <w:contextualSpacing/>
        <w:jc w:val="both"/>
        <w:rPr>
          <w:rFonts w:ascii="Palatino Linotype" w:eastAsia="Calibri" w:hAnsi="Palatino Linotype" w:cs="Tahoma"/>
          <w:b/>
          <w:color w:val="000000"/>
          <w:sz w:val="22"/>
          <w:szCs w:val="22"/>
          <w:lang w:eastAsia="es-MX"/>
        </w:rPr>
      </w:pPr>
      <w:bookmarkStart w:id="24" w:name="_Hlk144892817"/>
      <w:r w:rsidRPr="00B50BCF">
        <w:rPr>
          <w:rFonts w:ascii="Palatino Linotype" w:eastAsia="Calibri" w:hAnsi="Palatino Linotype" w:cs="Tahoma"/>
          <w:bCs/>
          <w:color w:val="000000"/>
          <w:sz w:val="22"/>
          <w:szCs w:val="22"/>
          <w:lang w:val="es-ES" w:eastAsia="es-MX"/>
        </w:rPr>
        <w:t xml:space="preserve">Así, cuando se justifique el impedimento, </w:t>
      </w:r>
      <w:r w:rsidRPr="00B50BCF">
        <w:rPr>
          <w:rFonts w:ascii="Palatino Linotype" w:eastAsia="Calibri" w:hAnsi="Palatino Linotype" w:cs="Tahoma"/>
          <w:b/>
          <w:bCs/>
          <w:color w:val="000000"/>
          <w:sz w:val="22"/>
          <w:szCs w:val="22"/>
          <w:lang w:val="es-ES" w:eastAsia="es-MX"/>
        </w:rPr>
        <w:t>los Sujetos Obligados deberán ofrecer al particular otras modalidades de entrega que permita la información</w:t>
      </w:r>
      <w:r w:rsidRPr="00B50BCF">
        <w:rPr>
          <w:rFonts w:ascii="Palatino Linotype" w:eastAsia="Calibri" w:hAnsi="Palatino Linotype" w:cs="Tahoma"/>
          <w:bCs/>
          <w:color w:val="000000"/>
          <w:sz w:val="22"/>
          <w:szCs w:val="22"/>
          <w:lang w:val="es-ES" w:eastAsia="es-MX"/>
        </w:rPr>
        <w:t>, como consulta directa en las oficinas de la Unidad de Transparencia; lo anterior, es robustecido con el Criterio Orientador SO/008/2017, emitido por el Pleno del Instituto Nacional de Transparencia, Acceso a la Información y Protección de Datos Personales, que</w:t>
      </w:r>
      <w:r w:rsidRPr="00B50BCF">
        <w:rPr>
          <w:rFonts w:ascii="Palatino Linotype" w:eastAsia="Calibri" w:hAnsi="Palatino Linotype" w:cs="Tahoma"/>
          <w:bCs/>
          <w:color w:val="000000"/>
          <w:sz w:val="22"/>
          <w:szCs w:val="22"/>
          <w:lang w:eastAsia="es-MX"/>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B50BCF">
        <w:rPr>
          <w:rFonts w:ascii="Palatino Linotype" w:eastAsia="Calibri" w:hAnsi="Palatino Linotype" w:cs="Tahoma"/>
          <w:b/>
          <w:color w:val="000000"/>
          <w:sz w:val="22"/>
          <w:szCs w:val="22"/>
          <w:lang w:eastAsia="es-MX"/>
        </w:rPr>
        <w:t>información en todas las modalidades que lo permitan, procurando reducir los costos de entrega.</w:t>
      </w:r>
    </w:p>
    <w:bookmarkEnd w:id="24"/>
    <w:p w14:paraId="512CAD68"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3A0545A0" w14:textId="77777777" w:rsidR="00B50BCF" w:rsidRPr="00B50BCF" w:rsidRDefault="00B50BCF" w:rsidP="00B50BCF">
      <w:pPr>
        <w:widowControl w:val="0"/>
        <w:spacing w:line="360" w:lineRule="auto"/>
        <w:contextualSpacing/>
        <w:jc w:val="both"/>
        <w:rPr>
          <w:rFonts w:ascii="Palatino Linotype" w:eastAsia="Calibri" w:hAnsi="Palatino Linotype" w:cs="Tahoma"/>
          <w:bCs/>
          <w:color w:val="000000"/>
          <w:sz w:val="22"/>
          <w:szCs w:val="22"/>
          <w:lang w:eastAsia="es-MX"/>
        </w:rPr>
      </w:pPr>
      <w:r w:rsidRPr="00B50BCF">
        <w:rPr>
          <w:rFonts w:ascii="Palatino Linotype" w:eastAsia="Calibri" w:hAnsi="Palatino Linotype" w:cs="Tahoma"/>
          <w:bCs/>
          <w:color w:val="000000"/>
          <w:sz w:val="22"/>
          <w:szCs w:val="22"/>
          <w:lang w:eastAsia="es-MX"/>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74CD29B" w14:textId="77777777" w:rsidR="00B50BCF" w:rsidRPr="00B50BCF" w:rsidRDefault="00B50BCF" w:rsidP="00B50BCF">
      <w:pPr>
        <w:widowControl w:val="0"/>
        <w:spacing w:line="360" w:lineRule="auto"/>
        <w:contextualSpacing/>
        <w:jc w:val="both"/>
        <w:rPr>
          <w:rFonts w:ascii="Palatino Linotype" w:eastAsia="Calibri" w:hAnsi="Palatino Linotype" w:cs="Tahoma"/>
          <w:bCs/>
          <w:color w:val="000000"/>
          <w:sz w:val="22"/>
          <w:szCs w:val="22"/>
          <w:lang w:eastAsia="es-MX"/>
        </w:rPr>
      </w:pPr>
    </w:p>
    <w:p w14:paraId="59386916" w14:textId="77777777" w:rsidR="00B50BCF" w:rsidRPr="00B50BCF" w:rsidRDefault="00B50BCF" w:rsidP="009F6490">
      <w:pPr>
        <w:numPr>
          <w:ilvl w:val="0"/>
          <w:numId w:val="4"/>
        </w:numPr>
        <w:spacing w:after="160" w:line="360" w:lineRule="auto"/>
        <w:contextualSpacing/>
        <w:jc w:val="both"/>
        <w:rPr>
          <w:rFonts w:ascii="Palatino Linotype" w:eastAsia="Calibri" w:hAnsi="Palatino Linotype" w:cs="Tahoma"/>
          <w:bCs/>
          <w:color w:val="000000"/>
          <w:sz w:val="22"/>
          <w:szCs w:val="22"/>
          <w:lang w:eastAsia="es-MX"/>
        </w:rPr>
      </w:pPr>
      <w:r w:rsidRPr="00B50BCF">
        <w:rPr>
          <w:rFonts w:ascii="Palatino Linotype" w:eastAsia="Calibri" w:hAnsi="Palatino Linotype" w:cs="Tahoma"/>
          <w:bCs/>
          <w:color w:val="000000"/>
          <w:sz w:val="22"/>
          <w:szCs w:val="22"/>
          <w:lang w:eastAsia="es-MX"/>
        </w:rPr>
        <w:lastRenderedPageBreak/>
        <w:t>Las razones por las cuales la información implicaba un análisis, estudio o procesamiento de datos;</w:t>
      </w:r>
    </w:p>
    <w:p w14:paraId="642456AB" w14:textId="77777777" w:rsidR="00B50BCF" w:rsidRPr="00B50BCF" w:rsidRDefault="00B50BCF" w:rsidP="00B50BCF">
      <w:pPr>
        <w:spacing w:line="360" w:lineRule="auto"/>
        <w:ind w:left="720"/>
        <w:contextualSpacing/>
        <w:jc w:val="both"/>
        <w:rPr>
          <w:rFonts w:ascii="Palatino Linotype" w:eastAsia="Calibri" w:hAnsi="Palatino Linotype" w:cs="Tahoma"/>
          <w:bCs/>
          <w:color w:val="000000"/>
          <w:sz w:val="22"/>
          <w:szCs w:val="22"/>
          <w:lang w:eastAsia="es-MX"/>
        </w:rPr>
      </w:pPr>
    </w:p>
    <w:p w14:paraId="611DCA9E" w14:textId="77777777" w:rsidR="00B50BCF" w:rsidRPr="00B50BCF" w:rsidRDefault="00B50BCF" w:rsidP="009F6490">
      <w:pPr>
        <w:numPr>
          <w:ilvl w:val="0"/>
          <w:numId w:val="4"/>
        </w:numPr>
        <w:spacing w:after="160" w:line="360" w:lineRule="auto"/>
        <w:contextualSpacing/>
        <w:jc w:val="both"/>
        <w:rPr>
          <w:rFonts w:ascii="Palatino Linotype" w:eastAsia="Calibri" w:hAnsi="Palatino Linotype" w:cs="Tahoma"/>
          <w:bCs/>
          <w:color w:val="000000"/>
          <w:sz w:val="22"/>
          <w:szCs w:val="22"/>
          <w:lang w:eastAsia="es-MX"/>
        </w:rPr>
      </w:pPr>
      <w:r w:rsidRPr="00B50BCF">
        <w:rPr>
          <w:rFonts w:ascii="Palatino Linotype" w:eastAsia="Palatino Linotype" w:hAnsi="Palatino Linotype" w:cs="Tahoma"/>
          <w:iCs/>
          <w:color w:val="000000"/>
          <w:sz w:val="22"/>
          <w:szCs w:val="22"/>
          <w:lang w:eastAsia="es-MX"/>
        </w:rPr>
        <w:t>Por qué motivo el tiempo, que se le otorga al Sujeto Obligado para dar respuesta, en la modalidad elegida a la solicitud de información, no le es suficiente</w:t>
      </w:r>
      <w:r w:rsidRPr="00B50BCF">
        <w:rPr>
          <w:rFonts w:ascii="Palatino Linotype" w:eastAsia="Calibri" w:hAnsi="Palatino Linotype" w:cs="Tahoma"/>
          <w:bCs/>
          <w:color w:val="000000"/>
          <w:sz w:val="22"/>
          <w:szCs w:val="22"/>
          <w:lang w:eastAsia="es-MX"/>
        </w:rPr>
        <w:t>, y</w:t>
      </w:r>
    </w:p>
    <w:p w14:paraId="4EF2E9D6" w14:textId="77777777" w:rsidR="00B50BCF" w:rsidRPr="00B50BCF" w:rsidRDefault="00B50BCF" w:rsidP="00B50BCF">
      <w:pPr>
        <w:spacing w:line="360" w:lineRule="auto"/>
        <w:ind w:left="720"/>
        <w:contextualSpacing/>
        <w:jc w:val="both"/>
        <w:rPr>
          <w:rFonts w:ascii="Palatino Linotype" w:eastAsia="Calibri" w:hAnsi="Palatino Linotype" w:cs="Tahoma"/>
          <w:bCs/>
          <w:color w:val="000000"/>
          <w:sz w:val="22"/>
          <w:szCs w:val="24"/>
        </w:rPr>
      </w:pPr>
    </w:p>
    <w:p w14:paraId="580199CC" w14:textId="77777777" w:rsidR="00B50BCF" w:rsidRPr="00B50BCF" w:rsidRDefault="00B50BCF" w:rsidP="009F6490">
      <w:pPr>
        <w:numPr>
          <w:ilvl w:val="0"/>
          <w:numId w:val="4"/>
        </w:numPr>
        <w:spacing w:after="160" w:line="360" w:lineRule="auto"/>
        <w:contextualSpacing/>
        <w:jc w:val="both"/>
        <w:rPr>
          <w:rFonts w:ascii="Palatino Linotype" w:eastAsia="Calibri" w:hAnsi="Palatino Linotype" w:cs="Tahoma"/>
          <w:bCs/>
          <w:color w:val="000000"/>
          <w:sz w:val="22"/>
          <w:szCs w:val="22"/>
          <w:lang w:eastAsia="es-MX"/>
        </w:rPr>
      </w:pPr>
      <w:r w:rsidRPr="00B50BCF">
        <w:rPr>
          <w:rFonts w:ascii="Palatino Linotype" w:eastAsia="Calibri" w:hAnsi="Palatino Linotype" w:cs="Tahoma"/>
          <w:bCs/>
          <w:color w:val="000000"/>
          <w:sz w:val="22"/>
          <w:szCs w:val="22"/>
          <w:lang w:eastAsia="es-MX"/>
        </w:rPr>
        <w:t>La cantidad de recursos humanos y materiales con los que cuenta el Sujeto Obligado son insuficientes.</w:t>
      </w:r>
    </w:p>
    <w:p w14:paraId="507605E5" w14:textId="77777777" w:rsidR="00B50BCF" w:rsidRPr="00B50BCF" w:rsidRDefault="00B50BCF" w:rsidP="00B50BCF">
      <w:pPr>
        <w:spacing w:line="360" w:lineRule="auto"/>
        <w:ind w:right="-28"/>
        <w:jc w:val="both"/>
        <w:rPr>
          <w:rFonts w:ascii="Palatino Linotype" w:eastAsia="Palatino Linotype" w:hAnsi="Palatino Linotype" w:cs="Palatino Linotype"/>
          <w:color w:val="000000"/>
          <w:sz w:val="22"/>
          <w:szCs w:val="22"/>
          <w:lang w:eastAsia="es-MX"/>
        </w:rPr>
      </w:pPr>
    </w:p>
    <w:p w14:paraId="5ACCF36A" w14:textId="77777777" w:rsidR="00B50BCF" w:rsidRPr="00B50BCF" w:rsidRDefault="00B50BCF" w:rsidP="00B50BCF">
      <w:pPr>
        <w:spacing w:line="360" w:lineRule="auto"/>
        <w:ind w:right="-28"/>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03A2FF74" w14:textId="77777777" w:rsidR="00B50BCF" w:rsidRPr="00B50BCF" w:rsidRDefault="00B50BCF" w:rsidP="00B50BCF">
      <w:pPr>
        <w:spacing w:line="360" w:lineRule="auto"/>
        <w:ind w:right="-28"/>
        <w:jc w:val="both"/>
        <w:rPr>
          <w:rFonts w:ascii="Palatino Linotype" w:eastAsia="Palatino Linotype" w:hAnsi="Palatino Linotype" w:cs="Palatino Linotype"/>
          <w:color w:val="000000"/>
          <w:sz w:val="22"/>
          <w:szCs w:val="22"/>
          <w:lang w:eastAsia="es-MX"/>
        </w:rPr>
      </w:pPr>
    </w:p>
    <w:p w14:paraId="1F2EC5BB" w14:textId="77777777" w:rsidR="00B50BCF" w:rsidRPr="00B50BCF" w:rsidRDefault="00B50BCF" w:rsidP="00B50BCF">
      <w:pPr>
        <w:autoSpaceDE w:val="0"/>
        <w:autoSpaceDN w:val="0"/>
        <w:adjustRightInd w:val="0"/>
        <w:spacing w:line="360" w:lineRule="auto"/>
        <w:jc w:val="both"/>
        <w:rPr>
          <w:rFonts w:ascii="Palatino Linotype" w:eastAsia="Palatino Linotype" w:hAnsi="Palatino Linotype" w:cs="Tahoma"/>
          <w:color w:val="000000"/>
          <w:sz w:val="22"/>
          <w:szCs w:val="24"/>
          <w:lang w:eastAsia="es-MX"/>
        </w:rPr>
      </w:pPr>
      <w:r w:rsidRPr="00B50BCF">
        <w:rPr>
          <w:rFonts w:ascii="Palatino Linotype" w:eastAsia="Calibri" w:hAnsi="Palatino Linotype" w:cs="Tahoma"/>
          <w:bCs/>
          <w:iCs/>
          <w:color w:val="000000"/>
          <w:sz w:val="22"/>
          <w:szCs w:val="22"/>
          <w:lang w:eastAsia="es-MX"/>
        </w:rPr>
        <w:t xml:space="preserve">Sobre dicha circunstancia, </w:t>
      </w:r>
      <w:r w:rsidRPr="00B50BCF">
        <w:rPr>
          <w:rFonts w:ascii="Palatino Linotype" w:eastAsia="Palatino Linotype" w:hAnsi="Palatino Linotype" w:cs="Tahoma"/>
          <w:color w:val="000000"/>
          <w:sz w:val="22"/>
          <w:szCs w:val="24"/>
          <w:lang w:eastAsia="es-MX"/>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B50BCF">
        <w:rPr>
          <w:rFonts w:ascii="Palatino Linotype" w:eastAsia="Palatino Linotype" w:hAnsi="Palatino Linotype" w:cs="Tahoma"/>
          <w:b/>
          <w:bCs/>
          <w:color w:val="000000"/>
          <w:sz w:val="22"/>
          <w:szCs w:val="24"/>
          <w:lang w:eastAsia="es-MX"/>
        </w:rPr>
        <w:t>quinientos megabytes</w:t>
      </w:r>
      <w:r w:rsidRPr="00B50BCF">
        <w:rPr>
          <w:rFonts w:ascii="Palatino Linotype" w:eastAsia="Palatino Linotype" w:hAnsi="Palatino Linotype" w:cs="Tahoma"/>
          <w:color w:val="000000"/>
          <w:sz w:val="22"/>
          <w:szCs w:val="24"/>
          <w:lang w:eastAsia="es-MX"/>
        </w:rPr>
        <w:t xml:space="preserve"> o su equivalente </w:t>
      </w:r>
      <w:r w:rsidRPr="00B50BCF">
        <w:rPr>
          <w:rFonts w:ascii="Palatino Linotype" w:eastAsia="Palatino Linotype" w:hAnsi="Palatino Linotype" w:cs="Tahoma"/>
          <w:color w:val="000000"/>
          <w:sz w:val="22"/>
          <w:szCs w:val="24"/>
          <w:u w:val="single"/>
          <w:lang w:eastAsia="es-MX"/>
        </w:rPr>
        <w:t xml:space="preserve">a </w:t>
      </w:r>
      <w:r w:rsidRPr="00B50BCF">
        <w:rPr>
          <w:rFonts w:ascii="Palatino Linotype" w:eastAsia="Palatino Linotype" w:hAnsi="Palatino Linotype" w:cs="Tahoma"/>
          <w:b/>
          <w:bCs/>
          <w:color w:val="000000"/>
          <w:sz w:val="22"/>
          <w:szCs w:val="24"/>
          <w:u w:val="single"/>
          <w:lang w:eastAsia="es-MX"/>
        </w:rPr>
        <w:t>ocho mil fojas</w:t>
      </w:r>
      <w:r w:rsidRPr="00B50BCF">
        <w:rPr>
          <w:rFonts w:ascii="Palatino Linotype" w:eastAsia="Palatino Linotype" w:hAnsi="Palatino Linotype" w:cs="Tahoma"/>
          <w:color w:val="000000"/>
          <w:sz w:val="22"/>
          <w:szCs w:val="24"/>
          <w:u w:val="single"/>
          <w:lang w:eastAsia="es-MX"/>
        </w:rPr>
        <w:t>.</w:t>
      </w:r>
    </w:p>
    <w:p w14:paraId="60646070" w14:textId="77777777" w:rsidR="00B50BCF" w:rsidRPr="00B50BCF" w:rsidRDefault="00B50BCF" w:rsidP="00B50BCF">
      <w:pPr>
        <w:spacing w:line="360" w:lineRule="auto"/>
        <w:ind w:right="-28"/>
        <w:jc w:val="both"/>
        <w:rPr>
          <w:rFonts w:ascii="Palatino Linotype" w:eastAsia="Palatino Linotype" w:hAnsi="Palatino Linotype" w:cs="Palatino Linotype"/>
          <w:color w:val="000000"/>
          <w:sz w:val="22"/>
          <w:szCs w:val="22"/>
          <w:lang w:eastAsia="es-MX"/>
        </w:rPr>
      </w:pPr>
    </w:p>
    <w:p w14:paraId="1C73D344" w14:textId="6A75B87D" w:rsidR="00B50BCF" w:rsidRPr="00B50BCF" w:rsidRDefault="00B50BCF" w:rsidP="00B50BCF">
      <w:pPr>
        <w:spacing w:line="360" w:lineRule="auto"/>
        <w:ind w:right="-28"/>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Ahora bien, este Instituto considera que el Sujeto Obligado no fundamentó y motivó de manera correcta el impedimento que tenía para proporcionar la información, a través del </w:t>
      </w:r>
      <w:r w:rsidRPr="00B50BCF">
        <w:rPr>
          <w:rFonts w:ascii="Palatino Linotype" w:eastAsia="Palatino Linotype" w:hAnsi="Palatino Linotype" w:cs="Palatino Linotype"/>
          <w:color w:val="000000"/>
          <w:sz w:val="22"/>
          <w:szCs w:val="22"/>
          <w:lang w:eastAsia="es-MX"/>
        </w:rPr>
        <w:lastRenderedPageBreak/>
        <w:t>SAIMEX, pues no indicó el número total de l</w:t>
      </w:r>
      <w:r w:rsidR="00B94696">
        <w:rPr>
          <w:rFonts w:ascii="Palatino Linotype" w:eastAsia="Palatino Linotype" w:hAnsi="Palatino Linotype" w:cs="Palatino Linotype"/>
          <w:color w:val="000000"/>
          <w:sz w:val="22"/>
          <w:szCs w:val="22"/>
          <w:lang w:eastAsia="es-MX"/>
        </w:rPr>
        <w:t>as pólizas de ingreso relacionadas con las ordenes de pago exhibidas en respuesta, ya que estas solo fueron trece</w:t>
      </w:r>
      <w:r w:rsidRPr="00B50BCF">
        <w:rPr>
          <w:rFonts w:ascii="Palatino Linotype" w:eastAsia="Palatino Linotype" w:hAnsi="Palatino Linotype" w:cs="Palatino Linotype"/>
          <w:color w:val="000000"/>
          <w:sz w:val="22"/>
          <w:szCs w:val="22"/>
          <w:lang w:eastAsia="es-MX"/>
        </w:rPr>
        <w:t xml:space="preserve">, </w:t>
      </w:r>
      <w:r w:rsidR="00B94696">
        <w:rPr>
          <w:rFonts w:ascii="Palatino Linotype" w:eastAsia="Palatino Linotype" w:hAnsi="Palatino Linotype" w:cs="Palatino Linotype"/>
          <w:color w:val="000000"/>
          <w:sz w:val="22"/>
          <w:szCs w:val="22"/>
          <w:lang w:eastAsia="es-MX"/>
        </w:rPr>
        <w:t xml:space="preserve">por lo que </w:t>
      </w:r>
      <w:r w:rsidRPr="00B50BCF">
        <w:rPr>
          <w:rFonts w:ascii="Palatino Linotype" w:eastAsia="Palatino Linotype" w:hAnsi="Palatino Linotype" w:cs="Palatino Linotype"/>
          <w:color w:val="000000"/>
          <w:sz w:val="22"/>
          <w:szCs w:val="22"/>
          <w:lang w:eastAsia="es-MX"/>
        </w:rPr>
        <w:t>este Instituto considera que no realizó una búsqueda correcta de la información.</w:t>
      </w:r>
      <w:r w:rsidR="00B94696">
        <w:rPr>
          <w:rFonts w:ascii="Palatino Linotype" w:eastAsia="Palatino Linotype" w:hAnsi="Palatino Linotype" w:cs="Palatino Linotype"/>
          <w:color w:val="000000"/>
          <w:sz w:val="22"/>
          <w:szCs w:val="22"/>
          <w:lang w:eastAsia="es-MX"/>
        </w:rPr>
        <w:t xml:space="preserve"> </w:t>
      </w:r>
      <w:r w:rsidRPr="00B50BCF">
        <w:rPr>
          <w:rFonts w:ascii="Palatino Linotype" w:eastAsia="Palatino Linotype" w:hAnsi="Palatino Linotype" w:cs="Palatino Linotype"/>
          <w:color w:val="000000"/>
          <w:sz w:val="22"/>
          <w:szCs w:val="22"/>
          <w:lang w:eastAsia="es-MX"/>
        </w:rPr>
        <w:t xml:space="preserve">Pues la pretensión del ahora Recurrente no es obtener, pólizas </w:t>
      </w:r>
      <w:r w:rsidR="00B94696">
        <w:rPr>
          <w:rFonts w:ascii="Palatino Linotype" w:eastAsia="Palatino Linotype" w:hAnsi="Palatino Linotype" w:cs="Palatino Linotype"/>
          <w:color w:val="000000"/>
          <w:sz w:val="22"/>
          <w:szCs w:val="22"/>
          <w:lang w:eastAsia="es-MX"/>
        </w:rPr>
        <w:t>de ingreso de diversos datos sino únicamente de las trece órdenes de pago remitidas en respuesta</w:t>
      </w:r>
      <w:r w:rsidRPr="00B50BCF">
        <w:rPr>
          <w:rFonts w:ascii="Palatino Linotype" w:eastAsia="Palatino Linotype" w:hAnsi="Palatino Linotype" w:cs="Palatino Linotype"/>
          <w:color w:val="000000"/>
          <w:sz w:val="22"/>
          <w:szCs w:val="22"/>
          <w:lang w:eastAsia="es-MX"/>
        </w:rPr>
        <w:t>.</w:t>
      </w:r>
    </w:p>
    <w:p w14:paraId="227CA3E8" w14:textId="77777777" w:rsidR="00B50BCF" w:rsidRPr="00B50BCF" w:rsidRDefault="00B50BCF" w:rsidP="00B50BCF">
      <w:pPr>
        <w:spacing w:line="360" w:lineRule="auto"/>
        <w:ind w:right="-28"/>
        <w:jc w:val="both"/>
        <w:rPr>
          <w:rFonts w:ascii="Palatino Linotype" w:eastAsia="Palatino Linotype" w:hAnsi="Palatino Linotype" w:cs="Palatino Linotype"/>
          <w:color w:val="000000"/>
          <w:sz w:val="22"/>
          <w:szCs w:val="22"/>
          <w:lang w:eastAsia="es-MX"/>
        </w:rPr>
      </w:pPr>
    </w:p>
    <w:p w14:paraId="13D7A5D8" w14:textId="4E573302"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En otras palabras, el Sujeto Obligado no realizó una búsqueda exhaustiva y razonable en sus archivos; pues únicamente refirió </w:t>
      </w:r>
      <w:r w:rsidR="00B94696">
        <w:rPr>
          <w:rFonts w:ascii="Palatino Linotype" w:eastAsia="Palatino Linotype" w:hAnsi="Palatino Linotype" w:cs="Palatino Linotype"/>
          <w:color w:val="000000"/>
          <w:sz w:val="22"/>
          <w:szCs w:val="22"/>
          <w:lang w:eastAsia="es-MX"/>
        </w:rPr>
        <w:t>el cambio de modalidad sin fundamento ni motivo alguno</w:t>
      </w:r>
      <w:r w:rsidRPr="00B50BCF">
        <w:rPr>
          <w:rFonts w:ascii="Palatino Linotype" w:eastAsia="Palatino Linotype" w:hAnsi="Palatino Linotype" w:cs="Palatino Linotype"/>
          <w:color w:val="000000"/>
          <w:sz w:val="22"/>
          <w:szCs w:val="22"/>
          <w:lang w:eastAsia="es-MX"/>
        </w:rPr>
        <w:t>.</w:t>
      </w:r>
    </w:p>
    <w:p w14:paraId="53020664"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0FBC09A4" w14:textId="77777777" w:rsidR="00B50BCF" w:rsidRPr="00B50BCF" w:rsidRDefault="00B50BCF" w:rsidP="00B50BCF">
      <w:pPr>
        <w:spacing w:after="160" w:line="360" w:lineRule="auto"/>
        <w:contextualSpacing/>
        <w:jc w:val="both"/>
        <w:rPr>
          <w:rFonts w:ascii="Palatino Linotype" w:eastAsia="Palatino Linotype" w:hAnsi="Palatino Linotype" w:cs="Palatino Linotype"/>
          <w:b/>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w:t>
      </w:r>
      <w:r w:rsidRPr="00B50BCF">
        <w:rPr>
          <w:rFonts w:ascii="Palatino Linotype" w:eastAsia="Palatino Linotype" w:hAnsi="Palatino Linotype" w:cs="Palatino Linotype"/>
          <w:b/>
          <w:color w:val="000000"/>
          <w:sz w:val="22"/>
          <w:szCs w:val="22"/>
          <w:lang w:eastAsia="es-MX"/>
        </w:rPr>
        <w:t>hasta agotar por completo las posibilidades de indagación.</w:t>
      </w:r>
    </w:p>
    <w:p w14:paraId="3BCA8DDA" w14:textId="77777777" w:rsidR="00B50BCF" w:rsidRPr="00B50BCF" w:rsidRDefault="00B50BCF" w:rsidP="00B50BCF">
      <w:pPr>
        <w:spacing w:after="160" w:line="360" w:lineRule="auto"/>
        <w:contextualSpacing/>
        <w:jc w:val="both"/>
        <w:rPr>
          <w:rFonts w:ascii="Palatino Linotype" w:eastAsia="Palatino Linotype" w:hAnsi="Palatino Linotype" w:cs="Palatino Linotype"/>
          <w:color w:val="000000"/>
          <w:sz w:val="22"/>
          <w:szCs w:val="22"/>
          <w:lang w:eastAsia="es-MX"/>
        </w:rPr>
      </w:pPr>
    </w:p>
    <w:p w14:paraId="64B0C3A7" w14:textId="77777777" w:rsidR="00B50BCF" w:rsidRPr="00B50BCF" w:rsidRDefault="00B50BCF" w:rsidP="00B50BCF">
      <w:pPr>
        <w:spacing w:after="160" w:line="360" w:lineRule="auto"/>
        <w:contextualSpacing/>
        <w:jc w:val="both"/>
        <w:rPr>
          <w:rFonts w:ascii="Palatino Linotype" w:eastAsia="Palatino Linotype" w:hAnsi="Palatino Linotype" w:cs="Palatino Linotype"/>
          <w:b/>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Además, según Calero, Natalia (2016), en la “Ley General de Transparencia y Acceso a la Información Pública Comentada” (p. 408), para que exista una búsqueda exhaustiva y razonable, se debe hacer </w:t>
      </w:r>
      <w:r w:rsidRPr="00B50BCF">
        <w:rPr>
          <w:rFonts w:ascii="Palatino Linotype" w:eastAsia="Palatino Linotype" w:hAnsi="Palatino Linotype" w:cs="Palatino Linotype"/>
          <w:b/>
          <w:color w:val="000000"/>
          <w:sz w:val="22"/>
          <w:szCs w:val="22"/>
          <w:lang w:eastAsia="es-MX"/>
        </w:rPr>
        <w:t>una indagación consiente y minuciosa en sus archivos físicos y electrónicos.</w:t>
      </w:r>
    </w:p>
    <w:p w14:paraId="6C4EC73D" w14:textId="77777777" w:rsidR="00B50BCF" w:rsidRPr="00B50BCF" w:rsidRDefault="00B50BCF" w:rsidP="00B50BCF">
      <w:pPr>
        <w:spacing w:after="160" w:line="360" w:lineRule="auto"/>
        <w:contextualSpacing/>
        <w:jc w:val="both"/>
        <w:rPr>
          <w:rFonts w:ascii="Palatino Linotype" w:eastAsia="Palatino Linotype" w:hAnsi="Palatino Linotype" w:cs="Palatino Linotype"/>
          <w:b/>
          <w:color w:val="000000"/>
          <w:sz w:val="22"/>
          <w:szCs w:val="22"/>
          <w:lang w:eastAsia="es-MX"/>
        </w:rPr>
      </w:pPr>
    </w:p>
    <w:p w14:paraId="253E6CBE" w14:textId="77777777" w:rsidR="00B50BCF" w:rsidRPr="00B50BCF" w:rsidRDefault="00B50BCF" w:rsidP="00B50BCF">
      <w:pPr>
        <w:spacing w:after="160" w:line="360" w:lineRule="auto"/>
        <w:contextualSpacing/>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Conforme a lo anterior, para poder acreditar el carácter exhaustivo de la búsqueda realizada por los Sujetos Obligados, se deben motivar las razones por las que se buscó la información en determinadas áreas</w:t>
      </w:r>
      <w:r w:rsidRPr="00B50BCF">
        <w:rPr>
          <w:rFonts w:ascii="Palatino Linotype" w:eastAsia="Palatino Linotype" w:hAnsi="Palatino Linotype" w:cs="Palatino Linotype"/>
          <w:b/>
          <w:color w:val="000000"/>
          <w:sz w:val="22"/>
          <w:szCs w:val="22"/>
          <w:lang w:eastAsia="es-MX"/>
        </w:rPr>
        <w:t>, los criterios de búsqueda utilizados y demás circunstancias que fueron tomadas en cuenta</w:t>
      </w:r>
      <w:r w:rsidRPr="00B50BCF">
        <w:rPr>
          <w:rFonts w:ascii="Palatino Linotype" w:eastAsia="Palatino Linotype" w:hAnsi="Palatino Linotype" w:cs="Palatino Linotype"/>
          <w:color w:val="000000"/>
          <w:sz w:val="22"/>
          <w:szCs w:val="22"/>
          <w:lang w:eastAsia="es-MX"/>
        </w:rPr>
        <w:t>.</w:t>
      </w:r>
    </w:p>
    <w:p w14:paraId="66DE78FB" w14:textId="77777777" w:rsidR="00B50BCF" w:rsidRPr="00B50BCF" w:rsidRDefault="00B50BCF" w:rsidP="00B50BCF">
      <w:pPr>
        <w:spacing w:after="160" w:line="360" w:lineRule="auto"/>
        <w:contextualSpacing/>
        <w:jc w:val="both"/>
        <w:rPr>
          <w:rFonts w:ascii="Palatino Linotype" w:eastAsia="Palatino Linotype" w:hAnsi="Palatino Linotype" w:cs="Palatino Linotype"/>
          <w:color w:val="000000"/>
          <w:sz w:val="22"/>
          <w:szCs w:val="22"/>
          <w:lang w:eastAsia="es-MX"/>
        </w:rPr>
      </w:pPr>
    </w:p>
    <w:p w14:paraId="7FD42BB7" w14:textId="77777777" w:rsidR="00B50BCF" w:rsidRPr="00B50BCF" w:rsidRDefault="00B50BCF" w:rsidP="00B50BCF">
      <w:pPr>
        <w:spacing w:after="160" w:line="360" w:lineRule="auto"/>
        <w:contextualSpacing/>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En ese contexto, de conformidad con los criterios con clave de control SO/012/2010 y SO/004/2019, emitidos por el Instituto Nacional de Transparencia, Acceso a la Información y </w:t>
      </w:r>
      <w:r w:rsidRPr="00B50BCF">
        <w:rPr>
          <w:rFonts w:ascii="Palatino Linotype" w:eastAsia="Palatino Linotype" w:hAnsi="Palatino Linotype" w:cs="Palatino Linotype"/>
          <w:color w:val="000000"/>
          <w:sz w:val="22"/>
          <w:szCs w:val="22"/>
          <w:lang w:eastAsia="es-MX"/>
        </w:rPr>
        <w:lastRenderedPageBreak/>
        <w:t xml:space="preserve">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 </w:t>
      </w:r>
    </w:p>
    <w:p w14:paraId="099E1953" w14:textId="77777777" w:rsidR="00B50BCF" w:rsidRPr="00B50BCF" w:rsidRDefault="00B50BCF" w:rsidP="00B50BCF">
      <w:pPr>
        <w:spacing w:after="160" w:line="360" w:lineRule="auto"/>
        <w:contextualSpacing/>
        <w:jc w:val="both"/>
        <w:rPr>
          <w:rFonts w:ascii="Palatino Linotype" w:eastAsia="Palatino Linotype" w:hAnsi="Palatino Linotype" w:cs="Palatino Linotype"/>
          <w:color w:val="000000"/>
          <w:sz w:val="22"/>
          <w:szCs w:val="22"/>
          <w:lang w:eastAsia="es-MX"/>
        </w:rPr>
      </w:pPr>
    </w:p>
    <w:p w14:paraId="113E32C9" w14:textId="77777777" w:rsidR="00B50BCF" w:rsidRPr="00B50BCF" w:rsidRDefault="00B50BCF" w:rsidP="009F6490">
      <w:pPr>
        <w:numPr>
          <w:ilvl w:val="0"/>
          <w:numId w:val="5"/>
        </w:numPr>
        <w:spacing w:after="160" w:line="360" w:lineRule="auto"/>
        <w:contextualSpacing/>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Motivación por las que se buscó la información, en determinadas unidades administrativas;</w:t>
      </w:r>
    </w:p>
    <w:p w14:paraId="1A2F1440" w14:textId="77777777" w:rsidR="00B50BCF" w:rsidRPr="00B50BCF" w:rsidRDefault="00B50BCF" w:rsidP="009F6490">
      <w:pPr>
        <w:numPr>
          <w:ilvl w:val="0"/>
          <w:numId w:val="5"/>
        </w:numPr>
        <w:spacing w:after="160" w:line="360" w:lineRule="auto"/>
        <w:contextualSpacing/>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Los criterios de búsqueda utilizados, y</w:t>
      </w:r>
    </w:p>
    <w:p w14:paraId="1B289CD1" w14:textId="77777777" w:rsidR="00B50BCF" w:rsidRPr="00B50BCF" w:rsidRDefault="00B50BCF" w:rsidP="009F6490">
      <w:pPr>
        <w:numPr>
          <w:ilvl w:val="0"/>
          <w:numId w:val="5"/>
        </w:numPr>
        <w:spacing w:after="160" w:line="360" w:lineRule="auto"/>
        <w:contextualSpacing/>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Las circunstancias que fueron tomadas en cuenta. </w:t>
      </w:r>
    </w:p>
    <w:p w14:paraId="0014AEEF" w14:textId="77777777" w:rsidR="00B50BCF" w:rsidRPr="00B50BCF" w:rsidRDefault="00B50BCF" w:rsidP="00B50BCF">
      <w:pPr>
        <w:spacing w:line="360" w:lineRule="auto"/>
        <w:ind w:left="720"/>
        <w:contextualSpacing/>
        <w:jc w:val="both"/>
        <w:rPr>
          <w:rFonts w:ascii="Palatino Linotype" w:eastAsia="Palatino Linotype" w:hAnsi="Palatino Linotype" w:cs="Palatino Linotype"/>
          <w:color w:val="000000"/>
          <w:sz w:val="22"/>
          <w:szCs w:val="22"/>
          <w:lang w:eastAsia="es-MX"/>
        </w:rPr>
      </w:pPr>
    </w:p>
    <w:p w14:paraId="3487B25C" w14:textId="77777777" w:rsidR="00B50BCF" w:rsidRPr="00B50BCF" w:rsidRDefault="00B50BCF" w:rsidP="00B50BCF">
      <w:pPr>
        <w:spacing w:after="160" w:line="360" w:lineRule="auto"/>
        <w:contextualSpacing/>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De tales circunstancias, se considera que para que los Sujetos Obligado justifiquen que realizaron una búsqueda exhaustiva y razonable, deben indicar de manera clara, lo siguiente:</w:t>
      </w:r>
    </w:p>
    <w:p w14:paraId="54D23B5A" w14:textId="77777777" w:rsidR="00B50BCF" w:rsidRPr="00B50BCF" w:rsidRDefault="00B50BCF" w:rsidP="00B50BCF">
      <w:pPr>
        <w:spacing w:after="160" w:line="360" w:lineRule="auto"/>
        <w:contextualSpacing/>
        <w:jc w:val="both"/>
        <w:rPr>
          <w:rFonts w:ascii="Palatino Linotype" w:eastAsia="Palatino Linotype" w:hAnsi="Palatino Linotype" w:cs="Palatino Linotype"/>
          <w:color w:val="000000"/>
          <w:sz w:val="22"/>
          <w:szCs w:val="22"/>
          <w:lang w:eastAsia="es-MX"/>
        </w:rPr>
      </w:pPr>
    </w:p>
    <w:p w14:paraId="203BE18F" w14:textId="77777777" w:rsidR="00B50BCF" w:rsidRPr="00B50BCF" w:rsidRDefault="00B50BCF" w:rsidP="009F6490">
      <w:pPr>
        <w:numPr>
          <w:ilvl w:val="0"/>
          <w:numId w:val="6"/>
        </w:numPr>
        <w:spacing w:after="160" w:line="360" w:lineRule="auto"/>
        <w:contextualSpacing/>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Las áreas donde se buscó la información; </w:t>
      </w:r>
    </w:p>
    <w:p w14:paraId="3448FA13" w14:textId="77777777" w:rsidR="00B50BCF" w:rsidRPr="00B50BCF" w:rsidRDefault="00B50BCF" w:rsidP="009F6490">
      <w:pPr>
        <w:numPr>
          <w:ilvl w:val="0"/>
          <w:numId w:val="6"/>
        </w:numPr>
        <w:spacing w:after="160" w:line="360" w:lineRule="auto"/>
        <w:contextualSpacing/>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Tipo de archivos buscados (físicos o electrónicos); </w:t>
      </w:r>
    </w:p>
    <w:p w14:paraId="6EAE7D8C" w14:textId="77777777" w:rsidR="00B50BCF" w:rsidRPr="00B50BCF" w:rsidRDefault="00B50BCF" w:rsidP="009F6490">
      <w:pPr>
        <w:numPr>
          <w:ilvl w:val="0"/>
          <w:numId w:val="6"/>
        </w:numPr>
        <w:spacing w:after="160" w:line="360" w:lineRule="auto"/>
        <w:contextualSpacing/>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Los criterios de búsqueda utilizados, y </w:t>
      </w:r>
    </w:p>
    <w:p w14:paraId="37134B1D" w14:textId="77777777" w:rsidR="00B50BCF" w:rsidRPr="00B50BCF" w:rsidRDefault="00B50BCF" w:rsidP="009F6490">
      <w:pPr>
        <w:numPr>
          <w:ilvl w:val="0"/>
          <w:numId w:val="6"/>
        </w:numPr>
        <w:spacing w:after="160" w:line="360" w:lineRule="auto"/>
        <w:contextualSpacing/>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Las circunstancias que fueron tomadas en cuenta.</w:t>
      </w:r>
    </w:p>
    <w:p w14:paraId="7A3556B2"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55D1AA1B" w14:textId="24435392" w:rsidR="00B50BCF" w:rsidRPr="00B50BCF" w:rsidRDefault="00B50BCF" w:rsidP="00B94696">
      <w:pPr>
        <w:spacing w:line="360" w:lineRule="auto"/>
        <w:jc w:val="both"/>
        <w:rPr>
          <w:rFonts w:ascii="Palatino Linotype" w:eastAsia="Calibri" w:hAnsi="Palatino Linotype" w:cs="Tahoma"/>
          <w:b/>
          <w:bCs/>
          <w:iCs/>
          <w:color w:val="000000"/>
          <w:sz w:val="22"/>
          <w:szCs w:val="22"/>
          <w:lang w:val="es-ES" w:eastAsia="es-ES_tradnl"/>
        </w:rPr>
      </w:pPr>
      <w:r w:rsidRPr="00B50BCF">
        <w:rPr>
          <w:rFonts w:ascii="Palatino Linotype" w:eastAsia="Palatino Linotype" w:hAnsi="Palatino Linotype" w:cs="Palatino Linotype"/>
          <w:color w:val="000000"/>
          <w:sz w:val="22"/>
          <w:szCs w:val="22"/>
          <w:lang w:eastAsia="es-MX"/>
        </w:rPr>
        <w:t xml:space="preserve">Conforme a lo anterior, el Sujeto Obligado no señaló en </w:t>
      </w:r>
      <w:r w:rsidR="00B94696" w:rsidRPr="00B50BCF">
        <w:rPr>
          <w:rFonts w:ascii="Palatino Linotype" w:eastAsia="Palatino Linotype" w:hAnsi="Palatino Linotype" w:cs="Palatino Linotype"/>
          <w:color w:val="000000"/>
          <w:sz w:val="22"/>
          <w:szCs w:val="22"/>
          <w:lang w:eastAsia="es-MX"/>
        </w:rPr>
        <w:t>qué</w:t>
      </w:r>
      <w:r w:rsidRPr="00B50BCF">
        <w:rPr>
          <w:rFonts w:ascii="Palatino Linotype" w:eastAsia="Palatino Linotype" w:hAnsi="Palatino Linotype" w:cs="Palatino Linotype"/>
          <w:color w:val="000000"/>
          <w:sz w:val="22"/>
          <w:szCs w:val="22"/>
          <w:lang w:eastAsia="es-MX"/>
        </w:rPr>
        <w:t xml:space="preserve"> tipo de archivos busco, ni los criterios o circunstancias tomadas en cuenta pues únicamente </w:t>
      </w:r>
      <w:r w:rsidR="00B94696">
        <w:rPr>
          <w:rFonts w:ascii="Palatino Linotype" w:eastAsia="Palatino Linotype" w:hAnsi="Palatino Linotype" w:cs="Palatino Linotype"/>
          <w:color w:val="000000"/>
          <w:sz w:val="22"/>
          <w:szCs w:val="22"/>
          <w:lang w:eastAsia="es-MX"/>
        </w:rPr>
        <w:t xml:space="preserve">cambio la modalidad así que </w:t>
      </w:r>
      <w:r w:rsidRPr="00B50BCF">
        <w:rPr>
          <w:rFonts w:ascii="Palatino Linotype" w:eastAsia="Calibri" w:hAnsi="Palatino Linotype" w:cs="Tahoma"/>
          <w:iCs/>
          <w:color w:val="000000"/>
          <w:sz w:val="22"/>
          <w:szCs w:val="22"/>
          <w:lang w:val="es-ES" w:eastAsia="es-ES_tradnl"/>
        </w:rPr>
        <w:t xml:space="preserve">no atendió de manera correcta la solicitud de acceso a la información, lo cual da como resultado que el agravio sea </w:t>
      </w:r>
      <w:r w:rsidRPr="00B50BCF">
        <w:rPr>
          <w:rFonts w:ascii="Palatino Linotype" w:eastAsia="Calibri" w:hAnsi="Palatino Linotype" w:cs="Tahoma"/>
          <w:b/>
          <w:bCs/>
          <w:iCs/>
          <w:color w:val="000000"/>
          <w:sz w:val="22"/>
          <w:szCs w:val="22"/>
          <w:lang w:val="es-ES" w:eastAsia="es-ES_tradnl"/>
        </w:rPr>
        <w:t>FUNDADO.</w:t>
      </w:r>
    </w:p>
    <w:p w14:paraId="6777B25C" w14:textId="77777777" w:rsidR="00B50BCF" w:rsidRPr="00B50BCF" w:rsidRDefault="00B50BCF" w:rsidP="00B50BCF">
      <w:pPr>
        <w:spacing w:line="360" w:lineRule="auto"/>
        <w:ind w:right="-28"/>
        <w:contextualSpacing/>
        <w:jc w:val="both"/>
        <w:rPr>
          <w:rFonts w:ascii="Palatino Linotype" w:eastAsia="Calibri" w:hAnsi="Palatino Linotype" w:cs="Tahoma"/>
          <w:b/>
          <w:bCs/>
          <w:iCs/>
          <w:color w:val="000000"/>
          <w:sz w:val="22"/>
          <w:szCs w:val="22"/>
          <w:lang w:val="es-ES" w:eastAsia="es-ES_tradnl"/>
        </w:rPr>
      </w:pPr>
    </w:p>
    <w:p w14:paraId="76026A7B" w14:textId="064AFCEC"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Por lo que para atender los requerimientos de información, el Sujeto Obligado deberá realizar una búsqueda exhaustiva y razonable en los archivos de todas sus áreas competentes, a efecto que proporcione </w:t>
      </w:r>
      <w:r w:rsidR="00B94696">
        <w:rPr>
          <w:rFonts w:ascii="Palatino Linotype" w:eastAsia="Palatino Linotype" w:hAnsi="Palatino Linotype" w:cs="Tahoma"/>
          <w:color w:val="000000"/>
          <w:sz w:val="22"/>
          <w:szCs w:val="22"/>
          <w:lang w:eastAsia="es-MX"/>
        </w:rPr>
        <w:t>las pólizas de ingreso de las trece ordenes de pago remitidas en respuesta</w:t>
      </w:r>
      <w:r w:rsidRPr="00B50BCF">
        <w:rPr>
          <w:rFonts w:ascii="Palatino Linotype" w:eastAsia="Palatino Linotype" w:hAnsi="Palatino Linotype" w:cs="Tahoma"/>
          <w:color w:val="000000"/>
          <w:sz w:val="22"/>
          <w:szCs w:val="22"/>
          <w:lang w:eastAsia="es-MX"/>
        </w:rPr>
        <w:t>,</w:t>
      </w:r>
      <w:r w:rsidRPr="00B50BCF">
        <w:rPr>
          <w:rFonts w:ascii="Palatino Linotype" w:hAnsi="Palatino Linotype" w:cs="Tahoma"/>
          <w:iCs/>
          <w:color w:val="000000"/>
          <w:sz w:val="22"/>
          <w:szCs w:val="22"/>
        </w:rPr>
        <w:t xml:space="preserve"> </w:t>
      </w:r>
      <w:r w:rsidRPr="00B50BCF">
        <w:rPr>
          <w:rFonts w:ascii="Palatino Linotype" w:eastAsia="Palatino Linotype" w:hAnsi="Palatino Linotype" w:cs="Palatino Linotype"/>
          <w:color w:val="000000"/>
          <w:sz w:val="22"/>
          <w:szCs w:val="22"/>
          <w:lang w:eastAsia="es-MX"/>
        </w:rPr>
        <w:t xml:space="preserve">dicha situación, toma sustento en el artículo 12 de la Ley de Transparencia y Acceso a la </w:t>
      </w:r>
      <w:r w:rsidRPr="00B50BCF">
        <w:rPr>
          <w:rFonts w:ascii="Palatino Linotype" w:eastAsia="Palatino Linotype" w:hAnsi="Palatino Linotype" w:cs="Palatino Linotype"/>
          <w:color w:val="000000"/>
          <w:sz w:val="22"/>
          <w:szCs w:val="22"/>
          <w:lang w:eastAsia="es-MX"/>
        </w:rPr>
        <w:lastRenderedPageBreak/>
        <w:t>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5BBE293"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23EFFED7"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B50BCF">
        <w:rPr>
          <w:rFonts w:ascii="Palatino Linotype" w:eastAsia="Palatino Linotype" w:hAnsi="Palatino Linotype" w:cs="Palatino Linotype"/>
          <w:i/>
          <w:iCs/>
          <w:color w:val="000000"/>
          <w:sz w:val="22"/>
          <w:szCs w:val="22"/>
          <w:lang w:eastAsia="es-MX"/>
        </w:rPr>
        <w:t>ad hoc</w:t>
      </w:r>
      <w:r w:rsidRPr="00B50BCF">
        <w:rPr>
          <w:rFonts w:ascii="Palatino Linotype" w:eastAsia="Palatino Linotype" w:hAnsi="Palatino Linotype" w:cs="Palatino Linotype"/>
          <w:color w:val="000000"/>
          <w:sz w:val="22"/>
          <w:szCs w:val="22"/>
          <w:lang w:eastAsia="es-MX"/>
        </w:rPr>
        <w:t>; lo cual, de conformidad con en el artículo 160 de la Ley de Transparencia y Acceso a la Información Pública del Estado de México y Municipios, el cual refiere que los sujetos obligados deberán entregar la información que obre en sus archivos.</w:t>
      </w:r>
    </w:p>
    <w:p w14:paraId="491044FD" w14:textId="77777777"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p>
    <w:p w14:paraId="6F58EE26" w14:textId="77777777" w:rsidR="00B94696" w:rsidRDefault="00B50BCF" w:rsidP="00B50BCF">
      <w:pPr>
        <w:spacing w:line="360" w:lineRule="auto"/>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p>
    <w:p w14:paraId="5B378438" w14:textId="77777777" w:rsidR="00B94696" w:rsidRDefault="00B94696" w:rsidP="00B50BCF">
      <w:pPr>
        <w:spacing w:line="360" w:lineRule="auto"/>
        <w:jc w:val="both"/>
        <w:rPr>
          <w:rFonts w:ascii="Palatino Linotype" w:eastAsia="Palatino Linotype" w:hAnsi="Palatino Linotype" w:cs="Palatino Linotype"/>
          <w:color w:val="000000"/>
          <w:sz w:val="22"/>
          <w:szCs w:val="22"/>
          <w:lang w:eastAsia="es-MX"/>
        </w:rPr>
      </w:pPr>
    </w:p>
    <w:p w14:paraId="1A3EC008" w14:textId="35824F54" w:rsidR="00B50BCF" w:rsidRPr="00B50BCF" w:rsidRDefault="00B50BCF" w:rsidP="00B50BCF">
      <w:pPr>
        <w:spacing w:line="360" w:lineRule="auto"/>
        <w:jc w:val="both"/>
        <w:rPr>
          <w:rFonts w:ascii="Palatino Linotype" w:eastAsia="Palatino Linotype" w:hAnsi="Palatino Linotype" w:cs="Palatino Linotype"/>
          <w:color w:val="000000"/>
          <w:sz w:val="22"/>
          <w:szCs w:val="22"/>
          <w:lang w:eastAsia="es-MX"/>
        </w:rPr>
      </w:pPr>
      <w:r w:rsidRPr="00B50BCF">
        <w:rPr>
          <w:rFonts w:ascii="Palatino Linotype" w:eastAsia="Palatino Linotype" w:hAnsi="Palatino Linotype" w:cs="Palatino Linotype"/>
          <w:color w:val="000000"/>
          <w:sz w:val="22"/>
          <w:szCs w:val="22"/>
          <w:lang w:eastAsia="es-MX"/>
        </w:rPr>
        <w:t>Finalmente, este Instituto considera que los documentos que den cuenta de lo solicitado, pudieran contar con datos o información clasificada</w:t>
      </w:r>
      <w:r w:rsidR="00B94696">
        <w:rPr>
          <w:rFonts w:ascii="Palatino Linotype" w:eastAsia="Palatino Linotype" w:hAnsi="Palatino Linotype" w:cs="Palatino Linotype"/>
          <w:color w:val="000000"/>
          <w:sz w:val="22"/>
          <w:szCs w:val="22"/>
          <w:lang w:eastAsia="es-MX"/>
        </w:rPr>
        <w:t xml:space="preserve">, </w:t>
      </w:r>
      <w:r w:rsidRPr="00B50BCF">
        <w:rPr>
          <w:rFonts w:ascii="Palatino Linotype" w:eastAsia="Palatino Linotype" w:hAnsi="Palatino Linotype" w:cs="Palatino Linotype"/>
          <w:color w:val="000000"/>
          <w:sz w:val="22"/>
          <w:szCs w:val="22"/>
          <w:lang w:eastAsia="es-MX"/>
        </w:rPr>
        <w:t>por lo que, en el caso,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sidR="004B0BA4">
        <w:rPr>
          <w:rFonts w:ascii="Palatino Linotype" w:eastAsia="Palatino Linotype" w:hAnsi="Palatino Linotype" w:cs="Palatino Linotype"/>
          <w:color w:val="000000"/>
          <w:sz w:val="22"/>
          <w:szCs w:val="22"/>
          <w:lang w:eastAsia="es-MX"/>
        </w:rPr>
        <w:t xml:space="preserve"> </w:t>
      </w:r>
      <w:r w:rsidRPr="00B50BCF">
        <w:rPr>
          <w:rFonts w:ascii="Palatino Linotype" w:eastAsia="Palatino Linotype" w:hAnsi="Palatino Linotype" w:cs="Palatino Linotype"/>
          <w:color w:val="000000"/>
          <w:sz w:val="22"/>
          <w:szCs w:val="22"/>
          <w:lang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BDDEEEE" w14:textId="77777777" w:rsidR="005D4660" w:rsidRPr="00FB571A" w:rsidRDefault="005D4660" w:rsidP="005D4660">
      <w:pPr>
        <w:pStyle w:val="Ttulo2"/>
        <w:rPr>
          <w:rFonts w:ascii="Palatino Linotype" w:hAnsi="Palatino Linotype"/>
          <w:b/>
          <w:color w:val="auto"/>
          <w:sz w:val="22"/>
          <w:szCs w:val="22"/>
        </w:rPr>
      </w:pPr>
      <w:bookmarkStart w:id="25" w:name="_Toc190857068"/>
      <w:bookmarkStart w:id="26" w:name="_Toc205307000"/>
      <w:r w:rsidRPr="00FB571A">
        <w:rPr>
          <w:rFonts w:ascii="Palatino Linotype" w:hAnsi="Palatino Linotype"/>
          <w:b/>
          <w:color w:val="auto"/>
          <w:sz w:val="22"/>
          <w:szCs w:val="22"/>
        </w:rPr>
        <w:lastRenderedPageBreak/>
        <w:t>SEXTO. Decisión</w:t>
      </w:r>
      <w:bookmarkEnd w:id="25"/>
      <w:bookmarkEnd w:id="26"/>
    </w:p>
    <w:p w14:paraId="5C23E88A" w14:textId="77777777" w:rsidR="005D4660" w:rsidRPr="00FB571A" w:rsidRDefault="005D4660" w:rsidP="005D4660">
      <w:pPr>
        <w:spacing w:line="360" w:lineRule="auto"/>
        <w:ind w:right="-93"/>
        <w:jc w:val="both"/>
        <w:rPr>
          <w:rFonts w:ascii="Palatino Linotype" w:hAnsi="Palatino Linotype" w:cs="Tahoma"/>
          <w:b/>
          <w:sz w:val="22"/>
          <w:szCs w:val="22"/>
        </w:rPr>
      </w:pPr>
    </w:p>
    <w:p w14:paraId="689CEC4B" w14:textId="3F432DFA" w:rsidR="005D4660" w:rsidRPr="00FB571A" w:rsidRDefault="005D4660" w:rsidP="005D4660">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496BFA">
        <w:rPr>
          <w:rFonts w:ascii="Palatino Linotype" w:hAnsi="Palatino Linotype" w:cs="Tahoma"/>
          <w:b/>
          <w:sz w:val="22"/>
          <w:szCs w:val="22"/>
        </w:rPr>
        <w:t>MODIFICAR</w:t>
      </w:r>
      <w:r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00B94696" w:rsidRPr="00B94696">
        <w:rPr>
          <w:rFonts w:ascii="Palatino Linotype" w:hAnsi="Palatino Linotype" w:cs="Tahoma"/>
          <w:b/>
          <w:bCs/>
          <w:sz w:val="22"/>
          <w:szCs w:val="22"/>
        </w:rPr>
        <w:t>00141/AYAPANGO/IP/2025</w:t>
      </w:r>
      <w:r w:rsidRPr="00FB571A">
        <w:rPr>
          <w:rFonts w:ascii="Palatino Linotype" w:hAnsi="Palatino Linotype" w:cs="Tahoma"/>
          <w:sz w:val="22"/>
          <w:szCs w:val="22"/>
        </w:rPr>
        <w:t xml:space="preserve">, por resultar fundadas las razones o motivos de inconformidad hechos valer por el Recurrente, en el Recurso de Revisión </w:t>
      </w:r>
      <w:r w:rsidR="00B94696">
        <w:rPr>
          <w:rFonts w:ascii="Palatino Linotype" w:hAnsi="Palatino Linotype" w:cs="Tahoma"/>
          <w:b/>
          <w:sz w:val="22"/>
          <w:szCs w:val="22"/>
        </w:rPr>
        <w:t>13006</w:t>
      </w:r>
      <w:r w:rsidRPr="00FB571A">
        <w:rPr>
          <w:rFonts w:ascii="Palatino Linotype" w:hAnsi="Palatino Linotype" w:cs="Tahoma"/>
          <w:b/>
          <w:sz w:val="22"/>
          <w:szCs w:val="22"/>
        </w:rPr>
        <w:t>/INFOEM/IP/RR/2025</w:t>
      </w:r>
      <w:r w:rsidRPr="00FB571A">
        <w:rPr>
          <w:rFonts w:ascii="Palatino Linotype" w:hAnsi="Palatino Linotype" w:cs="Tahoma"/>
          <w:sz w:val="22"/>
          <w:szCs w:val="22"/>
        </w:rPr>
        <w:t xml:space="preserve">, en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xml:space="preserve">, haga entrega de la información </w:t>
      </w:r>
      <w:r w:rsidR="00496BFA">
        <w:rPr>
          <w:rFonts w:ascii="Palatino Linotype" w:hAnsi="Palatino Linotype" w:cs="Tahoma"/>
          <w:sz w:val="22"/>
          <w:szCs w:val="22"/>
        </w:rPr>
        <w:t xml:space="preserve">faltante </w:t>
      </w:r>
      <w:r w:rsidRPr="00FB571A">
        <w:rPr>
          <w:rFonts w:ascii="Palatino Linotype" w:hAnsi="Palatino Linotype" w:cs="Tahoma"/>
          <w:sz w:val="22"/>
          <w:szCs w:val="22"/>
        </w:rPr>
        <w:t>solicitada.</w:t>
      </w:r>
    </w:p>
    <w:p w14:paraId="6721E43E" w14:textId="77777777" w:rsidR="005D4660" w:rsidRPr="00FB571A" w:rsidRDefault="005D4660" w:rsidP="005D4660">
      <w:pPr>
        <w:spacing w:line="360" w:lineRule="auto"/>
        <w:ind w:right="-93"/>
        <w:jc w:val="both"/>
        <w:rPr>
          <w:rFonts w:ascii="Palatino Linotype" w:eastAsia="Palatino Linotype" w:hAnsi="Palatino Linotype" w:cs="Palatino Linotype"/>
          <w:sz w:val="22"/>
          <w:szCs w:val="22"/>
        </w:rPr>
      </w:pPr>
    </w:p>
    <w:p w14:paraId="1A3E070D" w14:textId="77777777" w:rsidR="005D4660" w:rsidRPr="00FB571A" w:rsidRDefault="005D4660" w:rsidP="005D4660">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58A1401C" w14:textId="77777777" w:rsidR="005D4660" w:rsidRPr="00FB571A" w:rsidRDefault="005D4660" w:rsidP="005D4660">
      <w:pPr>
        <w:spacing w:line="360" w:lineRule="auto"/>
        <w:jc w:val="both"/>
        <w:rPr>
          <w:rFonts w:ascii="Palatino Linotype" w:eastAsia="Calibri" w:hAnsi="Palatino Linotype" w:cs="Tahoma"/>
          <w:iCs/>
          <w:sz w:val="22"/>
          <w:szCs w:val="22"/>
          <w:lang w:eastAsia="es-ES_tradnl"/>
        </w:rPr>
      </w:pPr>
    </w:p>
    <w:p w14:paraId="011E61F3" w14:textId="3D088B56" w:rsidR="005D4660" w:rsidRDefault="005D4660" w:rsidP="004B0BA4">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sidR="00496BFA">
        <w:rPr>
          <w:rFonts w:ascii="Palatino Linotype" w:hAnsi="Palatino Linotype" w:cs="Tahoma"/>
          <w:bCs/>
          <w:sz w:val="22"/>
          <w:szCs w:val="22"/>
          <w:u w:val="single"/>
        </w:rPr>
        <w:t>modificar</w:t>
      </w:r>
      <w:r w:rsidRPr="00FB571A">
        <w:rPr>
          <w:rFonts w:ascii="Palatino Linotype" w:hAnsi="Palatino Linotype" w:cs="Tahoma"/>
          <w:bCs/>
          <w:sz w:val="22"/>
          <w:szCs w:val="22"/>
          <w:u w:val="single"/>
        </w:rPr>
        <w:t xml:space="preserve"> la respuesta que le entregó el Sujeto Obligado a su solicitud de acceso, toda vez que </w:t>
      </w:r>
      <w:r w:rsidR="0094768D">
        <w:rPr>
          <w:rFonts w:ascii="Palatino Linotype" w:hAnsi="Palatino Linotype" w:cs="Tahoma"/>
          <w:bCs/>
          <w:sz w:val="22"/>
          <w:szCs w:val="22"/>
          <w:u w:val="single"/>
        </w:rPr>
        <w:t>no entregó</w:t>
      </w:r>
      <w:r>
        <w:rPr>
          <w:rFonts w:ascii="Palatino Linotype" w:hAnsi="Palatino Linotype" w:cs="Tahoma"/>
          <w:bCs/>
          <w:sz w:val="22"/>
          <w:szCs w:val="22"/>
          <w:u w:val="single"/>
        </w:rPr>
        <w:t xml:space="preserve"> </w:t>
      </w:r>
      <w:r w:rsidR="00496BFA">
        <w:rPr>
          <w:rFonts w:ascii="Palatino Linotype" w:hAnsi="Palatino Linotype" w:cs="Tahoma"/>
          <w:bCs/>
          <w:sz w:val="22"/>
          <w:szCs w:val="22"/>
          <w:u w:val="single"/>
        </w:rPr>
        <w:t xml:space="preserve">de forma completa la información </w:t>
      </w:r>
      <w:r w:rsidR="00D730C8">
        <w:rPr>
          <w:rFonts w:ascii="Palatino Linotype" w:hAnsi="Palatino Linotype" w:cs="Tahoma"/>
          <w:bCs/>
          <w:sz w:val="22"/>
          <w:szCs w:val="22"/>
          <w:u w:val="single"/>
        </w:rPr>
        <w:t>que es de su interés</w:t>
      </w:r>
      <w:r>
        <w:rPr>
          <w:rFonts w:ascii="Palatino Linotype" w:hAnsi="Palatino Linotype" w:cs="Tahoma"/>
          <w:bCs/>
          <w:sz w:val="22"/>
          <w:szCs w:val="22"/>
          <w:u w:val="single"/>
        </w:rPr>
        <w:t xml:space="preserve">. </w:t>
      </w:r>
      <w:r w:rsidRPr="00FB571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2C2AB076" w14:textId="77777777" w:rsidR="00496BFA" w:rsidRPr="00FB571A" w:rsidRDefault="00496BFA" w:rsidP="005D4660">
      <w:pPr>
        <w:spacing w:line="360" w:lineRule="auto"/>
        <w:ind w:right="-93"/>
        <w:jc w:val="both"/>
        <w:rPr>
          <w:rFonts w:ascii="Palatino Linotype" w:hAnsi="Palatino Linotype" w:cs="Tahoma"/>
          <w:bCs/>
          <w:sz w:val="22"/>
          <w:szCs w:val="22"/>
          <w:u w:val="single"/>
        </w:rPr>
      </w:pPr>
    </w:p>
    <w:p w14:paraId="7CC06D77" w14:textId="77777777" w:rsidR="005D4660" w:rsidRPr="00FB571A" w:rsidRDefault="005D4660" w:rsidP="005D4660">
      <w:pPr>
        <w:pStyle w:val="Ttulo1"/>
        <w:jc w:val="center"/>
        <w:rPr>
          <w:rFonts w:ascii="Palatino Linotype" w:eastAsia="Calibri" w:hAnsi="Palatino Linotype"/>
          <w:b/>
          <w:color w:val="auto"/>
          <w:sz w:val="22"/>
          <w:szCs w:val="22"/>
          <w:lang w:eastAsia="en-US"/>
        </w:rPr>
      </w:pPr>
      <w:bookmarkStart w:id="27" w:name="_Toc190857069"/>
      <w:bookmarkStart w:id="28" w:name="_Toc205307001"/>
      <w:r w:rsidRPr="00FB571A">
        <w:rPr>
          <w:rFonts w:ascii="Palatino Linotype" w:eastAsia="Calibri" w:hAnsi="Palatino Linotype"/>
          <w:b/>
          <w:color w:val="auto"/>
          <w:sz w:val="22"/>
          <w:szCs w:val="22"/>
          <w:lang w:eastAsia="en-US"/>
        </w:rPr>
        <w:t>R E S U E L V E</w:t>
      </w:r>
      <w:bookmarkEnd w:id="27"/>
      <w:bookmarkEnd w:id="28"/>
    </w:p>
    <w:p w14:paraId="7D345CD2" w14:textId="77777777" w:rsidR="005D4660" w:rsidRPr="00FB571A" w:rsidRDefault="005D4660" w:rsidP="005D4660">
      <w:pPr>
        <w:spacing w:line="360" w:lineRule="auto"/>
        <w:jc w:val="both"/>
        <w:rPr>
          <w:rFonts w:ascii="Palatino Linotype" w:hAnsi="Palatino Linotype" w:cs="Tahoma"/>
          <w:b/>
          <w:bCs/>
          <w:sz w:val="22"/>
          <w:szCs w:val="22"/>
        </w:rPr>
      </w:pPr>
    </w:p>
    <w:p w14:paraId="5CD9E863" w14:textId="634DCCCD" w:rsidR="005D4660" w:rsidRPr="00FB571A" w:rsidRDefault="005D4660" w:rsidP="005D4660">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sidR="00A93888">
        <w:rPr>
          <w:rFonts w:ascii="Palatino Linotype" w:hAnsi="Palatino Linotype" w:cs="Tahoma"/>
          <w:b/>
          <w:bCs/>
          <w:sz w:val="22"/>
          <w:szCs w:val="22"/>
        </w:rPr>
        <w:t>MODIFICA</w:t>
      </w:r>
      <w:r w:rsidR="00F601DA">
        <w:rPr>
          <w:rFonts w:ascii="Palatino Linotype" w:hAnsi="Palatino Linotype" w:cs="Tahoma"/>
          <w:b/>
          <w:bCs/>
          <w:sz w:val="22"/>
          <w:szCs w:val="22"/>
        </w:rPr>
        <w:t xml:space="preserve"> </w:t>
      </w:r>
      <w:r w:rsidRPr="00FB571A">
        <w:rPr>
          <w:rFonts w:ascii="Palatino Linotype" w:hAnsi="Palatino Linotype" w:cs="Tahoma"/>
          <w:bCs/>
          <w:sz w:val="22"/>
          <w:szCs w:val="22"/>
        </w:rPr>
        <w:t xml:space="preserve">la respuesta entregada por el </w:t>
      </w:r>
      <w:r w:rsidR="00910D68">
        <w:rPr>
          <w:rFonts w:ascii="Palatino Linotype" w:hAnsi="Palatino Linotype" w:cs="Tahoma"/>
          <w:b/>
          <w:bCs/>
          <w:sz w:val="22"/>
          <w:szCs w:val="22"/>
        </w:rPr>
        <w:t>Ayuntamiento de Ayapango</w:t>
      </w:r>
      <w:r w:rsidRPr="00FB571A">
        <w:rPr>
          <w:rFonts w:ascii="Palatino Linotype" w:hAnsi="Palatino Linotype" w:cs="Tahoma"/>
          <w:b/>
          <w:bCs/>
          <w:sz w:val="22"/>
          <w:szCs w:val="22"/>
        </w:rPr>
        <w:t xml:space="preserve"> </w:t>
      </w:r>
      <w:r w:rsidRPr="00FB571A">
        <w:rPr>
          <w:rFonts w:ascii="Palatino Linotype" w:eastAsia="Calibri" w:hAnsi="Palatino Linotype" w:cs="Tahoma"/>
          <w:bCs/>
          <w:sz w:val="22"/>
          <w:szCs w:val="22"/>
          <w:lang w:eastAsia="en-US"/>
        </w:rPr>
        <w:t>a</w:t>
      </w:r>
      <w:r w:rsidRPr="00FB571A">
        <w:rPr>
          <w:rFonts w:ascii="Palatino Linotype" w:hAnsi="Palatino Linotype" w:cs="Tahoma"/>
          <w:bCs/>
          <w:sz w:val="22"/>
          <w:szCs w:val="22"/>
        </w:rPr>
        <w:t xml:space="preserve"> la solicitud de información </w:t>
      </w:r>
      <w:r w:rsidR="00B94696" w:rsidRPr="00B94696">
        <w:rPr>
          <w:rFonts w:ascii="Palatino Linotype" w:hAnsi="Palatino Linotype"/>
          <w:b/>
          <w:bCs/>
          <w:sz w:val="22"/>
          <w:szCs w:val="22"/>
        </w:rPr>
        <w:t>00141/AYAPANGO/IP/2025</w:t>
      </w:r>
      <w:r w:rsidR="00B94696">
        <w:rPr>
          <w:rFonts w:ascii="Palatino Linotype" w:hAnsi="Palatino Linotype"/>
          <w:b/>
          <w:bCs/>
          <w:sz w:val="22"/>
          <w:szCs w:val="22"/>
        </w:rPr>
        <w:t xml:space="preserve"> </w:t>
      </w:r>
      <w:r w:rsidRPr="00FB571A">
        <w:rPr>
          <w:rFonts w:ascii="Palatino Linotype" w:hAnsi="Palatino Linotype"/>
          <w:bCs/>
          <w:sz w:val="22"/>
          <w:szCs w:val="22"/>
        </w:rPr>
        <w:t>por resultar</w:t>
      </w:r>
      <w:r w:rsidR="00F601DA">
        <w:rPr>
          <w:rFonts w:ascii="Palatino Linotype" w:hAnsi="Palatino Linotype"/>
          <w:bCs/>
          <w:sz w:val="22"/>
          <w:szCs w:val="22"/>
        </w:rPr>
        <w:t xml:space="preserve"> </w:t>
      </w:r>
      <w:r w:rsidRPr="00FB571A">
        <w:rPr>
          <w:rFonts w:ascii="Palatino Linotype" w:hAnsi="Palatino Linotype"/>
          <w:sz w:val="22"/>
          <w:szCs w:val="22"/>
        </w:rPr>
        <w:t>fundadas</w:t>
      </w:r>
      <w:r w:rsidRPr="00FB571A">
        <w:rPr>
          <w:rFonts w:ascii="Palatino Linotype" w:hAnsi="Palatino Linotype" w:cs="Tahoma"/>
          <w:bCs/>
          <w:sz w:val="22"/>
          <w:szCs w:val="22"/>
        </w:rPr>
        <w:t xml:space="preserve"> </w:t>
      </w:r>
      <w:r w:rsidRPr="00FB571A">
        <w:rPr>
          <w:rFonts w:ascii="Palatino Linotype" w:eastAsia="Calibri" w:hAnsi="Palatino Linotype" w:cs="Tahoma"/>
          <w:bCs/>
          <w:sz w:val="22"/>
          <w:szCs w:val="22"/>
          <w:lang w:eastAsia="en-US"/>
        </w:rPr>
        <w:t xml:space="preserve">las razones o motivos de inconformidad hechos valer por el Recurrente en el Recurso de Revisión </w:t>
      </w:r>
      <w:r w:rsidR="00B94696">
        <w:rPr>
          <w:rFonts w:ascii="Palatino Linotype" w:hAnsi="Palatino Linotype" w:cs="Tahoma"/>
          <w:b/>
          <w:bCs/>
          <w:color w:val="0D0D0D" w:themeColor="text1" w:themeTint="F2"/>
          <w:sz w:val="22"/>
          <w:szCs w:val="22"/>
        </w:rPr>
        <w:t>13006</w:t>
      </w:r>
      <w:r w:rsidRPr="00FB571A">
        <w:rPr>
          <w:rFonts w:ascii="Palatino Linotype" w:hAnsi="Palatino Linotype" w:cs="Tahoma"/>
          <w:b/>
          <w:bCs/>
          <w:color w:val="0D0D0D" w:themeColor="text1" w:themeTint="F2"/>
          <w:sz w:val="22"/>
          <w:szCs w:val="22"/>
        </w:rPr>
        <w:t>/INFOEM/IP/RR/2025</w:t>
      </w:r>
      <w:r w:rsidRPr="00FB571A">
        <w:rPr>
          <w:rFonts w:ascii="Palatino Linotype" w:eastAsia="Calibri" w:hAnsi="Palatino Linotype" w:cs="Tahoma"/>
          <w:bCs/>
          <w:sz w:val="22"/>
          <w:szCs w:val="22"/>
          <w:lang w:eastAsia="en-US"/>
        </w:rPr>
        <w:t>, en términos de los considerandos QUINTO y SEXTO de la presente Resolución.</w:t>
      </w:r>
    </w:p>
    <w:p w14:paraId="2EB500CC" w14:textId="77777777" w:rsidR="005D4660" w:rsidRPr="00FB571A" w:rsidRDefault="005D4660" w:rsidP="005D4660">
      <w:pPr>
        <w:spacing w:line="360" w:lineRule="auto"/>
        <w:contextualSpacing/>
        <w:jc w:val="both"/>
        <w:rPr>
          <w:rFonts w:ascii="Palatino Linotype" w:hAnsi="Palatino Linotype" w:cs="Tahoma"/>
          <w:bCs/>
          <w:sz w:val="22"/>
          <w:szCs w:val="22"/>
        </w:rPr>
      </w:pPr>
    </w:p>
    <w:p w14:paraId="70EC5BFC" w14:textId="24F0E65B" w:rsidR="00496BFA" w:rsidRDefault="005D4660" w:rsidP="00F601DA">
      <w:pPr>
        <w:spacing w:line="360" w:lineRule="auto"/>
        <w:ind w:right="-93"/>
        <w:jc w:val="both"/>
        <w:rPr>
          <w:rFonts w:ascii="Palatino Linotype" w:hAnsi="Palatino Linotype" w:cs="Arial"/>
          <w:sz w:val="22"/>
          <w:szCs w:val="22"/>
          <w:lang w:val="es-ES"/>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sidR="00910D68">
        <w:rPr>
          <w:rFonts w:ascii="Palatino Linotype" w:eastAsia="Calibri" w:hAnsi="Palatino Linotype" w:cs="Tahoma"/>
          <w:b/>
          <w:bCs/>
          <w:sz w:val="22"/>
          <w:szCs w:val="22"/>
          <w:lang w:eastAsia="en-US"/>
        </w:rPr>
        <w:t>Ayuntamiento de Ayapango</w:t>
      </w:r>
      <w:r w:rsidRPr="00FB571A">
        <w:rPr>
          <w:rFonts w:ascii="Palatino Linotype" w:hAnsi="Palatino Linotype" w:cs="Tahoma"/>
          <w:sz w:val="22"/>
          <w:szCs w:val="22"/>
        </w:rPr>
        <w:t>, a efecto de que, remita</w:t>
      </w:r>
      <w:r w:rsidRPr="00FB571A">
        <w:rPr>
          <w:rFonts w:ascii="Palatino Linotype" w:hAnsi="Palatino Linotype" w:cs="Tahoma"/>
          <w:bCs/>
          <w:iCs/>
          <w:sz w:val="22"/>
          <w:szCs w:val="22"/>
          <w:lang w:val="es-ES_tradnl"/>
        </w:rPr>
        <w:t xml:space="preserve"> </w:t>
      </w:r>
      <w:r w:rsidRPr="00FB571A">
        <w:rPr>
          <w:rFonts w:ascii="Palatino Linotype" w:hAnsi="Palatino Linotype" w:cs="Tahoma"/>
          <w:bCs/>
          <w:iCs/>
          <w:sz w:val="22"/>
          <w:szCs w:val="22"/>
        </w:rPr>
        <w:t xml:space="preserve">a través </w:t>
      </w:r>
      <w:r w:rsidRPr="00FB571A">
        <w:rPr>
          <w:rFonts w:ascii="Palatino Linotype" w:hAnsi="Palatino Linotype" w:cs="Tahoma"/>
          <w:bCs/>
          <w:iCs/>
          <w:sz w:val="22"/>
          <w:szCs w:val="22"/>
          <w:lang w:val="es-ES_tradnl"/>
        </w:rPr>
        <w:t>del SAIMEX</w:t>
      </w:r>
      <w:r w:rsidRPr="00FB571A">
        <w:rPr>
          <w:rFonts w:ascii="Palatino Linotype" w:hAnsi="Palatino Linotype" w:cs="Arial"/>
          <w:sz w:val="22"/>
          <w:szCs w:val="22"/>
          <w:lang w:val="es-ES"/>
        </w:rPr>
        <w:t xml:space="preserve">, </w:t>
      </w:r>
      <w:r>
        <w:rPr>
          <w:rFonts w:ascii="Palatino Linotype" w:hAnsi="Palatino Linotype" w:cs="Arial"/>
          <w:sz w:val="22"/>
          <w:szCs w:val="22"/>
          <w:lang w:val="es-ES"/>
        </w:rPr>
        <w:t>de ser procedente en versión pública,</w:t>
      </w:r>
      <w:r w:rsidR="00D730C8">
        <w:rPr>
          <w:rFonts w:ascii="Palatino Linotype" w:hAnsi="Palatino Linotype" w:cs="Arial"/>
          <w:sz w:val="22"/>
          <w:szCs w:val="22"/>
          <w:lang w:val="es-ES"/>
        </w:rPr>
        <w:t xml:space="preserve"> </w:t>
      </w:r>
      <w:r w:rsidR="00B94696">
        <w:rPr>
          <w:rFonts w:ascii="Palatino Linotype" w:hAnsi="Palatino Linotype" w:cs="Arial"/>
          <w:sz w:val="22"/>
          <w:szCs w:val="22"/>
          <w:lang w:val="es-ES"/>
        </w:rPr>
        <w:t>las pólizas de ingreso</w:t>
      </w:r>
      <w:r w:rsidR="004B0BA4">
        <w:rPr>
          <w:rFonts w:ascii="Palatino Linotype" w:hAnsi="Palatino Linotype" w:cs="Arial"/>
          <w:sz w:val="22"/>
          <w:szCs w:val="22"/>
          <w:lang w:val="es-ES"/>
        </w:rPr>
        <w:t xml:space="preserve"> relacionadas con</w:t>
      </w:r>
      <w:r w:rsidR="00B94696">
        <w:rPr>
          <w:rFonts w:ascii="Palatino Linotype" w:hAnsi="Palatino Linotype" w:cs="Arial"/>
          <w:sz w:val="22"/>
          <w:szCs w:val="22"/>
          <w:lang w:val="es-ES"/>
        </w:rPr>
        <w:t xml:space="preserve"> las órdenes de pago remitidas en respuesta</w:t>
      </w:r>
      <w:r w:rsidR="00C038C1">
        <w:rPr>
          <w:rFonts w:ascii="Palatino Linotype" w:hAnsi="Palatino Linotype" w:cs="Arial"/>
          <w:sz w:val="22"/>
          <w:szCs w:val="22"/>
          <w:lang w:val="es-ES"/>
        </w:rPr>
        <w:t>.</w:t>
      </w:r>
    </w:p>
    <w:p w14:paraId="13DE9B09" w14:textId="77777777" w:rsidR="005D4660" w:rsidRPr="005C0E48" w:rsidRDefault="008C2B4B" w:rsidP="005D4660">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En</w:t>
      </w:r>
      <w:r w:rsidR="005D4660">
        <w:rPr>
          <w:rFonts w:ascii="Palatino Linotype" w:eastAsia="Calibri" w:hAnsi="Palatino Linotype" w:cs="Tahoma"/>
          <w:bCs/>
          <w:sz w:val="22"/>
          <w:szCs w:val="22"/>
          <w:lang w:eastAsia="en-US"/>
        </w:rPr>
        <w:t xml:space="preserve"> el supuesto</w:t>
      </w:r>
      <w:r w:rsidR="005D4660" w:rsidRPr="00B459FA">
        <w:rPr>
          <w:rFonts w:ascii="Palatino Linotype" w:eastAsia="Calibri" w:hAnsi="Palatino Linotype" w:cs="Tahoma"/>
          <w:bCs/>
          <w:sz w:val="22"/>
          <w:szCs w:val="22"/>
          <w:lang w:eastAsia="en-US"/>
        </w:rPr>
        <w:t xml:space="preserve">, se deberá </w:t>
      </w:r>
      <w:r w:rsidR="005D4660" w:rsidRPr="005C0E48">
        <w:rPr>
          <w:rFonts w:ascii="Palatino Linotype" w:eastAsia="Calibri" w:hAnsi="Palatino Linotype" w:cs="Tahoma"/>
          <w:bCs/>
          <w:sz w:val="22"/>
          <w:szCs w:val="22"/>
          <w:lang w:eastAsia="en-US"/>
        </w:rPr>
        <w:t>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5DEE5407" w14:textId="77777777" w:rsidR="005D4660" w:rsidRDefault="005D4660" w:rsidP="005D4660">
      <w:pPr>
        <w:spacing w:line="360" w:lineRule="auto"/>
        <w:ind w:right="-93"/>
        <w:jc w:val="both"/>
        <w:rPr>
          <w:rFonts w:ascii="Palatino Linotype" w:hAnsi="Palatino Linotype" w:cs="Arial"/>
          <w:sz w:val="22"/>
          <w:szCs w:val="22"/>
          <w:lang w:val="es-ES"/>
        </w:rPr>
      </w:pPr>
    </w:p>
    <w:p w14:paraId="1B1A6D62" w14:textId="6AD369A1" w:rsidR="005D4660" w:rsidRPr="00FB571A" w:rsidRDefault="005D4660" w:rsidP="005D4660">
      <w:pPr>
        <w:spacing w:line="360" w:lineRule="auto"/>
        <w:contextualSpacing/>
        <w:jc w:val="both"/>
        <w:rPr>
          <w:rFonts w:ascii="Palatino Linotype" w:hAnsi="Palatino Linotype" w:cs="Tahoma"/>
          <w:iCs/>
          <w:sz w:val="22"/>
          <w:szCs w:val="22"/>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r w:rsidR="00C0069F">
        <w:rPr>
          <w:rFonts w:ascii="Palatino Linotype" w:eastAsia="Calibri" w:hAnsi="Palatino Linotype" w:cs="Tahoma"/>
          <w:bCs/>
          <w:sz w:val="22"/>
          <w:szCs w:val="22"/>
          <w:lang w:eastAsia="en-US"/>
        </w:rPr>
        <w:t xml:space="preserve"> </w:t>
      </w: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FE2FE19" w14:textId="77777777" w:rsidR="005D4660" w:rsidRPr="00FB571A" w:rsidRDefault="005D4660" w:rsidP="005D4660">
      <w:pPr>
        <w:spacing w:line="360" w:lineRule="auto"/>
        <w:contextualSpacing/>
        <w:jc w:val="both"/>
        <w:rPr>
          <w:rFonts w:ascii="Palatino Linotype" w:eastAsia="Calibri" w:hAnsi="Palatino Linotype" w:cs="Tahoma"/>
          <w:color w:val="000000"/>
          <w:sz w:val="22"/>
          <w:szCs w:val="22"/>
          <w:lang w:val="es-ES" w:eastAsia="es-MX"/>
        </w:rPr>
      </w:pPr>
    </w:p>
    <w:p w14:paraId="223AF973" w14:textId="77777777" w:rsidR="005D4660" w:rsidRPr="00FB571A" w:rsidRDefault="005D4660" w:rsidP="005D4660">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4B8067A0" w14:textId="77777777" w:rsidR="005D4660" w:rsidRPr="00FB571A" w:rsidRDefault="005D4660" w:rsidP="005D4660">
      <w:pPr>
        <w:spacing w:line="360" w:lineRule="auto"/>
        <w:contextualSpacing/>
        <w:jc w:val="both"/>
        <w:rPr>
          <w:rFonts w:ascii="Palatino Linotype" w:hAnsi="Palatino Linotype" w:cs="Tahoma"/>
          <w:color w:val="000000" w:themeColor="text1"/>
          <w:sz w:val="22"/>
          <w:szCs w:val="22"/>
        </w:rPr>
      </w:pPr>
    </w:p>
    <w:p w14:paraId="18143D78" w14:textId="3F40C752" w:rsidR="00803E3D" w:rsidRDefault="00803E3D" w:rsidP="00FF426B">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FB571A">
        <w:rPr>
          <w:rFonts w:ascii="Palatino Linotype" w:hAnsi="Palatino Linotype" w:cs="Tahoma"/>
          <w:sz w:val="22"/>
          <w:szCs w:val="22"/>
          <w:lang w:eastAsia="es-MX"/>
        </w:rPr>
        <w:lastRenderedPageBreak/>
        <w:t>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Y GUADALUPE RAMÍREZ PEÑA</w:t>
      </w:r>
      <w:r w:rsidR="00BD63C6">
        <w:rPr>
          <w:rFonts w:ascii="Palatino Linotype" w:hAnsi="Palatino Linotype" w:cs="Tahoma"/>
          <w:sz w:val="22"/>
          <w:szCs w:val="22"/>
          <w:lang w:eastAsia="es-MX"/>
        </w:rPr>
        <w:t xml:space="preserve"> (AUSENCIA JUSTIFICADA)</w:t>
      </w:r>
      <w:r w:rsidRPr="00FB571A">
        <w:rPr>
          <w:rFonts w:ascii="Palatino Linotype" w:hAnsi="Palatino Linotype" w:cs="Tahoma"/>
          <w:sz w:val="22"/>
          <w:szCs w:val="22"/>
          <w:lang w:eastAsia="es-MX"/>
        </w:rPr>
        <w:t xml:space="preserve">, EN LA </w:t>
      </w:r>
      <w:r w:rsidR="00D730C8">
        <w:rPr>
          <w:rFonts w:ascii="Palatino Linotype" w:hAnsi="Palatino Linotype" w:cs="Tahoma"/>
          <w:sz w:val="22"/>
          <w:szCs w:val="22"/>
          <w:lang w:eastAsia="es-MX"/>
        </w:rPr>
        <w:t>CUADRA</w:t>
      </w:r>
      <w:r w:rsidR="00CC13FB">
        <w:rPr>
          <w:rFonts w:ascii="Palatino Linotype" w:hAnsi="Palatino Linotype" w:cs="Tahoma"/>
          <w:sz w:val="22"/>
          <w:szCs w:val="22"/>
          <w:lang w:eastAsia="es-MX"/>
        </w:rPr>
        <w:t>GÉSIMA</w:t>
      </w:r>
      <w:r w:rsidR="00462AEC">
        <w:rPr>
          <w:rFonts w:ascii="Palatino Linotype" w:hAnsi="Palatino Linotype" w:cs="Tahoma"/>
          <w:sz w:val="22"/>
          <w:szCs w:val="22"/>
          <w:lang w:eastAsia="es-MX"/>
        </w:rPr>
        <w:t xml:space="preserve"> </w:t>
      </w:r>
      <w:r w:rsidR="00A93888">
        <w:rPr>
          <w:rFonts w:ascii="Palatino Linotype" w:hAnsi="Palatino Linotype" w:cs="Tahoma"/>
          <w:sz w:val="22"/>
          <w:szCs w:val="22"/>
          <w:lang w:eastAsia="es-MX"/>
        </w:rPr>
        <w:t>QUINTA</w:t>
      </w:r>
      <w:r w:rsidR="00D730C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SESIÓN ORDINARIA, CELEBRADA EL </w:t>
      </w:r>
      <w:r w:rsidR="00A93888">
        <w:rPr>
          <w:rFonts w:ascii="Palatino Linotype" w:hAnsi="Palatino Linotype" w:cs="Tahoma"/>
          <w:sz w:val="22"/>
          <w:szCs w:val="22"/>
          <w:lang w:eastAsia="es-MX"/>
        </w:rPr>
        <w:t xml:space="preserve">DIECISIETE </w:t>
      </w:r>
      <w:r w:rsidR="00D730C8">
        <w:rPr>
          <w:rFonts w:ascii="Palatino Linotype" w:hAnsi="Palatino Linotype" w:cs="Tahoma"/>
          <w:sz w:val="22"/>
          <w:szCs w:val="22"/>
          <w:lang w:eastAsia="es-MX"/>
        </w:rPr>
        <w:t xml:space="preserve">DE DICIEMBRE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5B86DDFD" w14:textId="77777777" w:rsidR="00163BAA" w:rsidRDefault="00163BAA" w:rsidP="00FF426B">
      <w:pPr>
        <w:spacing w:line="360" w:lineRule="auto"/>
        <w:contextualSpacing/>
        <w:jc w:val="both"/>
        <w:rPr>
          <w:rFonts w:ascii="Palatino Linotype" w:hAnsi="Palatino Linotype" w:cs="Tahoma"/>
          <w:sz w:val="22"/>
          <w:szCs w:val="22"/>
        </w:rPr>
      </w:pPr>
    </w:p>
    <w:p w14:paraId="5FFF11FE" w14:textId="77777777" w:rsidR="00163BAA" w:rsidRDefault="00163BAA" w:rsidP="00FF426B">
      <w:pPr>
        <w:spacing w:line="360" w:lineRule="auto"/>
        <w:contextualSpacing/>
        <w:jc w:val="both"/>
        <w:rPr>
          <w:rFonts w:ascii="Palatino Linotype" w:hAnsi="Palatino Linotype" w:cs="Tahoma"/>
          <w:sz w:val="22"/>
          <w:szCs w:val="22"/>
        </w:rPr>
      </w:pPr>
    </w:p>
    <w:p w14:paraId="57622A5E" w14:textId="77777777" w:rsidR="0089175F" w:rsidRDefault="0089175F" w:rsidP="00FF426B">
      <w:pPr>
        <w:spacing w:line="360" w:lineRule="auto"/>
        <w:contextualSpacing/>
        <w:jc w:val="both"/>
        <w:rPr>
          <w:rFonts w:ascii="Palatino Linotype" w:hAnsi="Palatino Linotype" w:cs="Tahoma"/>
          <w:sz w:val="22"/>
          <w:szCs w:val="22"/>
        </w:rPr>
      </w:pPr>
    </w:p>
    <w:p w14:paraId="6C0043F8" w14:textId="77777777" w:rsidR="0089175F" w:rsidRDefault="0089175F" w:rsidP="00FF426B">
      <w:pPr>
        <w:spacing w:line="360" w:lineRule="auto"/>
        <w:contextualSpacing/>
        <w:jc w:val="both"/>
        <w:rPr>
          <w:rFonts w:ascii="Palatino Linotype" w:hAnsi="Palatino Linotype" w:cs="Tahoma"/>
          <w:sz w:val="22"/>
          <w:szCs w:val="22"/>
        </w:rPr>
      </w:pPr>
    </w:p>
    <w:p w14:paraId="613C698B" w14:textId="77777777" w:rsidR="0089175F" w:rsidRDefault="0089175F" w:rsidP="00FF426B">
      <w:pPr>
        <w:spacing w:line="360" w:lineRule="auto"/>
        <w:contextualSpacing/>
        <w:jc w:val="both"/>
        <w:rPr>
          <w:rFonts w:ascii="Palatino Linotype" w:hAnsi="Palatino Linotype" w:cs="Tahoma"/>
          <w:sz w:val="22"/>
          <w:szCs w:val="22"/>
        </w:rPr>
      </w:pPr>
    </w:p>
    <w:p w14:paraId="65A9DB6D" w14:textId="77777777" w:rsidR="0089175F" w:rsidRDefault="0089175F" w:rsidP="00FF426B">
      <w:pPr>
        <w:spacing w:line="360" w:lineRule="auto"/>
        <w:contextualSpacing/>
        <w:jc w:val="both"/>
        <w:rPr>
          <w:rFonts w:ascii="Palatino Linotype" w:hAnsi="Palatino Linotype" w:cs="Tahoma"/>
          <w:sz w:val="22"/>
          <w:szCs w:val="22"/>
        </w:rPr>
      </w:pPr>
    </w:p>
    <w:p w14:paraId="4053CDF2" w14:textId="77777777" w:rsidR="001F1A77" w:rsidRDefault="001F1A77" w:rsidP="00FF426B">
      <w:pPr>
        <w:spacing w:line="360" w:lineRule="auto"/>
        <w:contextualSpacing/>
        <w:jc w:val="both"/>
        <w:rPr>
          <w:rFonts w:ascii="Palatino Linotype" w:hAnsi="Palatino Linotype" w:cs="Tahoma"/>
          <w:sz w:val="22"/>
          <w:szCs w:val="22"/>
        </w:rPr>
      </w:pPr>
    </w:p>
    <w:p w14:paraId="6A10A596" w14:textId="77777777" w:rsidR="000B1059" w:rsidRDefault="000B1059" w:rsidP="00FF426B">
      <w:pPr>
        <w:spacing w:line="360" w:lineRule="auto"/>
        <w:contextualSpacing/>
        <w:jc w:val="both"/>
        <w:rPr>
          <w:rFonts w:ascii="Palatino Linotype" w:hAnsi="Palatino Linotype" w:cs="Tahoma"/>
          <w:sz w:val="22"/>
          <w:szCs w:val="22"/>
        </w:rPr>
      </w:pPr>
    </w:p>
    <w:p w14:paraId="1BAD622E" w14:textId="77777777" w:rsidR="000B1059" w:rsidRDefault="000B1059" w:rsidP="00FF426B">
      <w:pPr>
        <w:spacing w:line="360" w:lineRule="auto"/>
        <w:contextualSpacing/>
        <w:jc w:val="both"/>
        <w:rPr>
          <w:rFonts w:ascii="Palatino Linotype" w:hAnsi="Palatino Linotype" w:cs="Tahoma"/>
          <w:sz w:val="22"/>
          <w:szCs w:val="22"/>
        </w:rPr>
      </w:pPr>
    </w:p>
    <w:p w14:paraId="659C4DC2" w14:textId="77777777" w:rsidR="000B1059" w:rsidRDefault="000B1059" w:rsidP="00FF426B">
      <w:pPr>
        <w:spacing w:line="360" w:lineRule="auto"/>
        <w:contextualSpacing/>
        <w:jc w:val="both"/>
        <w:rPr>
          <w:rFonts w:ascii="Palatino Linotype" w:hAnsi="Palatino Linotype" w:cs="Tahoma"/>
          <w:sz w:val="22"/>
          <w:szCs w:val="22"/>
        </w:rPr>
      </w:pPr>
    </w:p>
    <w:p w14:paraId="385FFD85" w14:textId="77777777" w:rsidR="001F1A77" w:rsidRDefault="001F1A77" w:rsidP="00FF426B">
      <w:pPr>
        <w:spacing w:line="360" w:lineRule="auto"/>
        <w:contextualSpacing/>
        <w:jc w:val="both"/>
        <w:rPr>
          <w:rFonts w:ascii="Palatino Linotype" w:hAnsi="Palatino Linotype" w:cs="Tahoma"/>
          <w:sz w:val="22"/>
          <w:szCs w:val="22"/>
        </w:rPr>
      </w:pPr>
    </w:p>
    <w:p w14:paraId="558D9C53" w14:textId="77777777" w:rsidR="001F1A77" w:rsidRDefault="001F1A77" w:rsidP="00FF426B">
      <w:pPr>
        <w:spacing w:line="360" w:lineRule="auto"/>
        <w:contextualSpacing/>
        <w:jc w:val="both"/>
        <w:rPr>
          <w:rFonts w:ascii="Palatino Linotype" w:hAnsi="Palatino Linotype" w:cs="Tahoma"/>
          <w:sz w:val="22"/>
          <w:szCs w:val="22"/>
        </w:rPr>
      </w:pPr>
    </w:p>
    <w:p w14:paraId="34B30128" w14:textId="77777777" w:rsidR="001F1A77" w:rsidRDefault="001F1A77" w:rsidP="00FF426B">
      <w:pPr>
        <w:spacing w:line="360" w:lineRule="auto"/>
        <w:contextualSpacing/>
        <w:jc w:val="both"/>
        <w:rPr>
          <w:rFonts w:ascii="Palatino Linotype" w:hAnsi="Palatino Linotype" w:cs="Tahoma"/>
          <w:sz w:val="22"/>
          <w:szCs w:val="22"/>
        </w:rPr>
      </w:pPr>
    </w:p>
    <w:p w14:paraId="52402FAD" w14:textId="77777777" w:rsidR="001F1A77" w:rsidRDefault="001F1A77" w:rsidP="00FF426B">
      <w:pPr>
        <w:spacing w:line="360" w:lineRule="auto"/>
        <w:contextualSpacing/>
        <w:jc w:val="both"/>
        <w:rPr>
          <w:rFonts w:ascii="Palatino Linotype" w:hAnsi="Palatino Linotype" w:cs="Tahoma"/>
          <w:sz w:val="22"/>
          <w:szCs w:val="22"/>
        </w:rPr>
      </w:pPr>
    </w:p>
    <w:p w14:paraId="0371D904" w14:textId="77777777" w:rsidR="001F1A77" w:rsidRDefault="001F1A77" w:rsidP="00FF426B">
      <w:pPr>
        <w:spacing w:line="360" w:lineRule="auto"/>
        <w:contextualSpacing/>
        <w:jc w:val="both"/>
        <w:rPr>
          <w:rFonts w:ascii="Palatino Linotype" w:hAnsi="Palatino Linotype" w:cs="Tahoma"/>
          <w:sz w:val="22"/>
          <w:szCs w:val="22"/>
        </w:rPr>
      </w:pPr>
    </w:p>
    <w:p w14:paraId="419F27C6" w14:textId="77777777" w:rsidR="001F1A77" w:rsidRDefault="001F1A77" w:rsidP="00FF426B">
      <w:pPr>
        <w:spacing w:line="360" w:lineRule="auto"/>
        <w:contextualSpacing/>
        <w:jc w:val="both"/>
        <w:rPr>
          <w:rFonts w:ascii="Palatino Linotype" w:hAnsi="Palatino Linotype" w:cs="Tahoma"/>
          <w:sz w:val="22"/>
          <w:szCs w:val="22"/>
        </w:rPr>
      </w:pPr>
    </w:p>
    <w:p w14:paraId="11C5AF0C" w14:textId="77777777" w:rsidR="001F1A77" w:rsidRDefault="001F1A77" w:rsidP="00FF426B">
      <w:pPr>
        <w:spacing w:line="360" w:lineRule="auto"/>
        <w:contextualSpacing/>
        <w:jc w:val="both"/>
        <w:rPr>
          <w:rFonts w:ascii="Palatino Linotype" w:hAnsi="Palatino Linotype" w:cs="Tahoma"/>
          <w:sz w:val="22"/>
          <w:szCs w:val="22"/>
        </w:rPr>
      </w:pPr>
    </w:p>
    <w:p w14:paraId="67D92A36" w14:textId="77777777" w:rsidR="001F1A77" w:rsidRPr="003A1DF0" w:rsidRDefault="001F1A77" w:rsidP="00FF426B">
      <w:pPr>
        <w:spacing w:line="360" w:lineRule="auto"/>
        <w:contextualSpacing/>
        <w:jc w:val="both"/>
        <w:rPr>
          <w:rFonts w:ascii="Palatino Linotype" w:hAnsi="Palatino Linotype" w:cs="Tahoma"/>
          <w:sz w:val="22"/>
          <w:szCs w:val="22"/>
        </w:rPr>
      </w:pPr>
    </w:p>
    <w:p w14:paraId="11354511" w14:textId="77777777" w:rsidR="003A1DF0" w:rsidRDefault="003A1DF0" w:rsidP="00FF426B">
      <w:pPr>
        <w:spacing w:line="360" w:lineRule="auto"/>
        <w:contextualSpacing/>
        <w:jc w:val="both"/>
        <w:rPr>
          <w:rFonts w:ascii="Palatino Linotype" w:hAnsi="Palatino Linotype" w:cs="Tahoma"/>
          <w:sz w:val="22"/>
          <w:szCs w:val="22"/>
        </w:rPr>
      </w:pPr>
    </w:p>
    <w:p w14:paraId="379F3F59" w14:textId="77777777" w:rsidR="000C4AB6" w:rsidRDefault="000C4AB6" w:rsidP="00FF426B">
      <w:pPr>
        <w:spacing w:line="360" w:lineRule="auto"/>
        <w:contextualSpacing/>
        <w:jc w:val="both"/>
        <w:rPr>
          <w:rFonts w:ascii="Palatino Linotype" w:hAnsi="Palatino Linotype" w:cs="Tahoma"/>
          <w:sz w:val="22"/>
          <w:szCs w:val="22"/>
        </w:rPr>
      </w:pPr>
    </w:p>
    <w:p w14:paraId="16AF6BB3" w14:textId="77777777" w:rsidR="000C4AB6" w:rsidRDefault="000C4AB6" w:rsidP="00FF426B">
      <w:pPr>
        <w:spacing w:line="360" w:lineRule="auto"/>
        <w:contextualSpacing/>
        <w:jc w:val="both"/>
        <w:rPr>
          <w:rFonts w:ascii="Palatino Linotype" w:hAnsi="Palatino Linotype" w:cs="Tahoma"/>
          <w:sz w:val="22"/>
          <w:szCs w:val="22"/>
        </w:rPr>
      </w:pPr>
    </w:p>
    <w:p w14:paraId="7DE8CE38" w14:textId="77777777" w:rsidR="000C4AB6" w:rsidRDefault="000C4AB6" w:rsidP="00FF426B">
      <w:pPr>
        <w:spacing w:line="360" w:lineRule="auto"/>
        <w:contextualSpacing/>
        <w:jc w:val="both"/>
        <w:rPr>
          <w:rFonts w:ascii="Palatino Linotype" w:hAnsi="Palatino Linotype" w:cs="Tahoma"/>
          <w:sz w:val="22"/>
          <w:szCs w:val="22"/>
        </w:rPr>
      </w:pPr>
    </w:p>
    <w:p w14:paraId="0E148DCC" w14:textId="77777777" w:rsidR="000C4AB6" w:rsidRDefault="000C4AB6" w:rsidP="00FF426B">
      <w:pPr>
        <w:spacing w:line="360" w:lineRule="auto"/>
        <w:contextualSpacing/>
        <w:jc w:val="both"/>
        <w:rPr>
          <w:rFonts w:ascii="Palatino Linotype" w:hAnsi="Palatino Linotype" w:cs="Tahoma"/>
          <w:sz w:val="22"/>
          <w:szCs w:val="22"/>
        </w:rPr>
      </w:pPr>
    </w:p>
    <w:p w14:paraId="5482E495" w14:textId="77777777" w:rsidR="000C4AB6" w:rsidRPr="003A1DF0" w:rsidRDefault="000C4AB6" w:rsidP="00FF426B">
      <w:pPr>
        <w:spacing w:line="360" w:lineRule="auto"/>
        <w:contextualSpacing/>
        <w:jc w:val="both"/>
        <w:rPr>
          <w:rFonts w:ascii="Palatino Linotype" w:hAnsi="Palatino Linotype" w:cs="Tahoma"/>
          <w:sz w:val="22"/>
          <w:szCs w:val="22"/>
        </w:rPr>
      </w:pPr>
    </w:p>
    <w:sectPr w:rsidR="000C4AB6" w:rsidRPr="003A1DF0"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E6A49" w14:textId="77777777" w:rsidR="007C5F79" w:rsidRDefault="007C5F79" w:rsidP="00B31222">
      <w:r>
        <w:separator/>
      </w:r>
    </w:p>
  </w:endnote>
  <w:endnote w:type="continuationSeparator" w:id="0">
    <w:p w14:paraId="3BB41C45" w14:textId="77777777" w:rsidR="007C5F79" w:rsidRDefault="007C5F79" w:rsidP="00B31222">
      <w:r>
        <w:continuationSeparator/>
      </w:r>
    </w:p>
  </w:endnote>
  <w:endnote w:type="continuationNotice" w:id="1">
    <w:p w14:paraId="1FD50D56" w14:textId="77777777" w:rsidR="007C5F79" w:rsidRDefault="007C5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220FD9B4"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81E1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81E12">
              <w:rPr>
                <w:b/>
                <w:bCs/>
                <w:noProof/>
              </w:rPr>
              <w:t>22</w:t>
            </w:r>
            <w:r>
              <w:rPr>
                <w:b/>
                <w:bCs/>
                <w:sz w:val="24"/>
                <w:szCs w:val="24"/>
              </w:rPr>
              <w:fldChar w:fldCharType="end"/>
            </w:r>
          </w:p>
        </w:sdtContent>
      </w:sdt>
    </w:sdtContent>
  </w:sdt>
  <w:p w14:paraId="551F87B6"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41F6F7FD"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81E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81E12">
              <w:rPr>
                <w:b/>
                <w:bCs/>
                <w:noProof/>
              </w:rPr>
              <w:t>22</w:t>
            </w:r>
            <w:r>
              <w:rPr>
                <w:b/>
                <w:bCs/>
                <w:sz w:val="24"/>
                <w:szCs w:val="24"/>
              </w:rPr>
              <w:fldChar w:fldCharType="end"/>
            </w:r>
          </w:p>
        </w:sdtContent>
      </w:sdt>
    </w:sdtContent>
  </w:sdt>
  <w:p w14:paraId="3A948C16"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3EA51" w14:textId="77777777" w:rsidR="007C5F79" w:rsidRDefault="007C5F79" w:rsidP="00B31222">
      <w:r>
        <w:separator/>
      </w:r>
    </w:p>
  </w:footnote>
  <w:footnote w:type="continuationSeparator" w:id="0">
    <w:p w14:paraId="52F2C988" w14:textId="77777777" w:rsidR="007C5F79" w:rsidRDefault="007C5F79" w:rsidP="00B31222">
      <w:r>
        <w:continuationSeparator/>
      </w:r>
    </w:p>
  </w:footnote>
  <w:footnote w:type="continuationNotice" w:id="1">
    <w:p w14:paraId="3A5A0949" w14:textId="77777777" w:rsidR="007C5F79" w:rsidRDefault="007C5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895BC" w14:textId="77777777" w:rsidR="0094768D" w:rsidRDefault="00000000">
    <w:pPr>
      <w:pStyle w:val="Encabezado"/>
    </w:pPr>
    <w:r>
      <w:rPr>
        <w:noProof/>
        <w:lang w:eastAsia="es-MX"/>
      </w:rPr>
      <w:pict w14:anchorId="41697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5C106F" w14:paraId="74E60891" w14:textId="77777777" w:rsidTr="00202DB8">
      <w:trPr>
        <w:trHeight w:val="1435"/>
      </w:trPr>
      <w:tc>
        <w:tcPr>
          <w:tcW w:w="2835" w:type="dxa"/>
          <w:shd w:val="clear" w:color="auto" w:fill="auto"/>
        </w:tcPr>
        <w:p w14:paraId="2CDC8F7E"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667A914" wp14:editId="51CE1BD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2479A10D" w14:textId="77777777" w:rsidR="0094768D" w:rsidRDefault="0094768D"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0F6A97F8" w14:textId="77777777" w:rsidTr="00DF3BE8">
            <w:trPr>
              <w:trHeight w:val="144"/>
            </w:trPr>
            <w:tc>
              <w:tcPr>
                <w:tcW w:w="2589" w:type="dxa"/>
              </w:tcPr>
              <w:p w14:paraId="6924461D"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FA2B0EF" w14:textId="756793A0" w:rsidR="0094768D" w:rsidRPr="00431A70" w:rsidRDefault="00910D68"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13006</w:t>
                </w:r>
                <w:r w:rsidR="0094768D" w:rsidRPr="001A412B">
                  <w:rPr>
                    <w:rFonts w:ascii="Palatino Linotype" w:eastAsia="Calibri" w:hAnsi="Palatino Linotype" w:cs="Tahoma"/>
                    <w:b/>
                    <w:bCs/>
                    <w:sz w:val="22"/>
                    <w:szCs w:val="22"/>
                    <w:lang w:val="es-MX" w:eastAsia="en-US"/>
                  </w:rPr>
                  <w:t>/INFOEM/IP/RR/202</w:t>
                </w:r>
                <w:r w:rsidR="0094768D">
                  <w:rPr>
                    <w:rFonts w:ascii="Palatino Linotype" w:eastAsia="Calibri" w:hAnsi="Palatino Linotype" w:cs="Tahoma"/>
                    <w:b/>
                    <w:bCs/>
                    <w:sz w:val="22"/>
                    <w:szCs w:val="22"/>
                    <w:lang w:val="es-MX" w:eastAsia="en-US"/>
                  </w:rPr>
                  <w:t>5</w:t>
                </w:r>
              </w:p>
            </w:tc>
          </w:tr>
          <w:tr w:rsidR="0094768D" w14:paraId="6779C99E" w14:textId="77777777" w:rsidTr="00DF3BE8">
            <w:trPr>
              <w:trHeight w:val="283"/>
            </w:trPr>
            <w:tc>
              <w:tcPr>
                <w:tcW w:w="2589" w:type="dxa"/>
              </w:tcPr>
              <w:p w14:paraId="0754C217"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9A69A49" w14:textId="5F988D7C" w:rsidR="0094768D" w:rsidRPr="005F13CF" w:rsidRDefault="00910D68"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Ayapango</w:t>
                </w:r>
              </w:p>
            </w:tc>
          </w:tr>
          <w:tr w:rsidR="0094768D" w14:paraId="04350220" w14:textId="77777777" w:rsidTr="00DF3BE8">
            <w:trPr>
              <w:trHeight w:val="283"/>
            </w:trPr>
            <w:tc>
              <w:tcPr>
                <w:tcW w:w="2589" w:type="dxa"/>
              </w:tcPr>
              <w:p w14:paraId="4638B034"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7CC93C2"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4E4D3D49"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009F289F"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37E39458"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330DA7" w14:paraId="3A6F8A13" w14:textId="77777777" w:rsidTr="003B165A">
      <w:trPr>
        <w:trHeight w:val="1435"/>
      </w:trPr>
      <w:tc>
        <w:tcPr>
          <w:tcW w:w="2835" w:type="dxa"/>
          <w:shd w:val="clear" w:color="auto" w:fill="auto"/>
        </w:tcPr>
        <w:p w14:paraId="4288ADA7"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B0FBE94" wp14:editId="560F370A">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00F29A3C" w14:textId="77777777" w:rsidTr="00DF3BE8">
            <w:trPr>
              <w:trHeight w:val="144"/>
            </w:trPr>
            <w:tc>
              <w:tcPr>
                <w:tcW w:w="2589" w:type="dxa"/>
              </w:tcPr>
              <w:p w14:paraId="107AA4C1"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C0F45B9" w14:textId="4B831561" w:rsidR="0094768D" w:rsidRPr="00431A70" w:rsidRDefault="00910D68"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13006</w:t>
                </w:r>
                <w:r w:rsidR="0094768D">
                  <w:rPr>
                    <w:rFonts w:ascii="Palatino Linotype" w:eastAsia="Calibri" w:hAnsi="Palatino Linotype" w:cs="Tahoma"/>
                    <w:b/>
                    <w:bCs/>
                    <w:sz w:val="22"/>
                    <w:szCs w:val="22"/>
                    <w:lang w:val="es-MX" w:eastAsia="en-US"/>
                  </w:rPr>
                  <w:t>/INFOEM/IP/RR/2025</w:t>
                </w:r>
              </w:p>
            </w:tc>
          </w:tr>
          <w:tr w:rsidR="0094768D" w:rsidRPr="00286D0C" w14:paraId="00EAD0D1" w14:textId="77777777" w:rsidTr="00DF3BE8">
            <w:trPr>
              <w:trHeight w:val="144"/>
            </w:trPr>
            <w:tc>
              <w:tcPr>
                <w:tcW w:w="2589" w:type="dxa"/>
              </w:tcPr>
              <w:p w14:paraId="7613A2F8"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6A60069E" w14:textId="1B073224" w:rsidR="0094768D" w:rsidRPr="00286D0C" w:rsidRDefault="00E955B6" w:rsidP="005F13CF">
                <w:pPr>
                  <w:tabs>
                    <w:tab w:val="left" w:pos="3122"/>
                    <w:tab w:val="right" w:pos="8838"/>
                  </w:tabs>
                  <w:ind w:left="-106" w:right="-105"/>
                  <w:jc w:val="both"/>
                  <w:rPr>
                    <w:rFonts w:ascii="Palatino Linotype" w:eastAsia="Calibri" w:hAnsi="Palatino Linotype" w:cs="Tahoma"/>
                    <w:bCs/>
                    <w:sz w:val="22"/>
                    <w:szCs w:val="22"/>
                    <w:lang w:eastAsia="en-US"/>
                  </w:rPr>
                </w:pPr>
                <w:r w:rsidRPr="00E955B6">
                  <w:rPr>
                    <w:rFonts w:ascii="Palatino Linotype" w:eastAsia="Calibri" w:hAnsi="Palatino Linotype" w:cs="Tahoma"/>
                    <w:bCs/>
                    <w:sz w:val="22"/>
                    <w:szCs w:val="22"/>
                    <w:highlight w:val="black"/>
                    <w:lang w:eastAsia="en-US"/>
                  </w:rPr>
                  <w:t>XXXXXXXXXXX</w:t>
                </w:r>
              </w:p>
            </w:tc>
          </w:tr>
          <w:tr w:rsidR="0094768D" w:rsidRPr="00431A70" w14:paraId="3354C3E0" w14:textId="77777777" w:rsidTr="00DF3BE8">
            <w:trPr>
              <w:trHeight w:val="283"/>
            </w:trPr>
            <w:tc>
              <w:tcPr>
                <w:tcW w:w="2589" w:type="dxa"/>
              </w:tcPr>
              <w:p w14:paraId="4B59873D"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4A61A89" w14:textId="0223BD43" w:rsidR="0094768D" w:rsidRPr="005F13CF" w:rsidRDefault="00910D68"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Ayapango</w:t>
                </w:r>
                <w:r w:rsidR="0094768D">
                  <w:rPr>
                    <w:rFonts w:ascii="Palatino Linotype" w:eastAsia="Calibri" w:hAnsi="Palatino Linotype" w:cs="Tahoma"/>
                    <w:bCs/>
                    <w:sz w:val="22"/>
                    <w:szCs w:val="22"/>
                    <w:lang w:val="es-MX" w:eastAsia="en-US"/>
                  </w:rPr>
                  <w:t xml:space="preserve"> </w:t>
                </w:r>
              </w:p>
            </w:tc>
          </w:tr>
          <w:tr w:rsidR="0094768D" w:rsidRPr="00431A70" w14:paraId="21217311" w14:textId="77777777" w:rsidTr="00DF3BE8">
            <w:trPr>
              <w:trHeight w:val="283"/>
            </w:trPr>
            <w:tc>
              <w:tcPr>
                <w:tcW w:w="2589" w:type="dxa"/>
              </w:tcPr>
              <w:p w14:paraId="55EB3480"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B4A0152"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B482992"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6410D20B"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D823DC"/>
    <w:multiLevelType w:val="hybridMultilevel"/>
    <w:tmpl w:val="47EA7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112043122">
    <w:abstractNumId w:val="0"/>
  </w:num>
  <w:num w:numId="2" w16cid:durableId="1160851562">
    <w:abstractNumId w:val="2"/>
  </w:num>
  <w:num w:numId="3" w16cid:durableId="791946172">
    <w:abstractNumId w:val="3"/>
  </w:num>
  <w:num w:numId="4" w16cid:durableId="613828011">
    <w:abstractNumId w:val="5"/>
  </w:num>
  <w:num w:numId="5" w16cid:durableId="400912966">
    <w:abstractNumId w:val="1"/>
  </w:num>
  <w:num w:numId="6" w16cid:durableId="1842965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2FCB"/>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0E"/>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634"/>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EBB"/>
    <w:rsid w:val="000943DD"/>
    <w:rsid w:val="0009514D"/>
    <w:rsid w:val="00095361"/>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4AB6"/>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1F0"/>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67C41"/>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3FC5"/>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772"/>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39D8"/>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0E19"/>
    <w:rsid w:val="0040115B"/>
    <w:rsid w:val="00402735"/>
    <w:rsid w:val="00402B25"/>
    <w:rsid w:val="00404EC4"/>
    <w:rsid w:val="004052C5"/>
    <w:rsid w:val="004059FB"/>
    <w:rsid w:val="00405F8A"/>
    <w:rsid w:val="00406255"/>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1D5"/>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BFA"/>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0BA4"/>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4E39"/>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448"/>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690"/>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2177"/>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08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D3D"/>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5C1E"/>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69B"/>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780"/>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5E85"/>
    <w:rsid w:val="007C5F79"/>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457"/>
    <w:rsid w:val="008465D3"/>
    <w:rsid w:val="008466E5"/>
    <w:rsid w:val="00846701"/>
    <w:rsid w:val="0084708E"/>
    <w:rsid w:val="00847973"/>
    <w:rsid w:val="00851AE4"/>
    <w:rsid w:val="00851C8B"/>
    <w:rsid w:val="00851E86"/>
    <w:rsid w:val="00851ED8"/>
    <w:rsid w:val="008525AB"/>
    <w:rsid w:val="00852691"/>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0D68"/>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060"/>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0F4"/>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069"/>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490"/>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888"/>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5B4"/>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DE6"/>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36FE9"/>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BCF"/>
    <w:rsid w:val="00B50F74"/>
    <w:rsid w:val="00B51490"/>
    <w:rsid w:val="00B519F0"/>
    <w:rsid w:val="00B51A2F"/>
    <w:rsid w:val="00B51AEA"/>
    <w:rsid w:val="00B520F9"/>
    <w:rsid w:val="00B52812"/>
    <w:rsid w:val="00B537CE"/>
    <w:rsid w:val="00B53891"/>
    <w:rsid w:val="00B54152"/>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96"/>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94C"/>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799"/>
    <w:rsid w:val="00BD4BB3"/>
    <w:rsid w:val="00BD4EAE"/>
    <w:rsid w:val="00BD4FA5"/>
    <w:rsid w:val="00BD50FE"/>
    <w:rsid w:val="00BD5C33"/>
    <w:rsid w:val="00BD63C6"/>
    <w:rsid w:val="00BD6804"/>
    <w:rsid w:val="00BD7F11"/>
    <w:rsid w:val="00BE150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1A65"/>
    <w:rsid w:val="00BF3269"/>
    <w:rsid w:val="00BF3381"/>
    <w:rsid w:val="00BF4B55"/>
    <w:rsid w:val="00BF667D"/>
    <w:rsid w:val="00BF68BB"/>
    <w:rsid w:val="00BF69D9"/>
    <w:rsid w:val="00BF6E25"/>
    <w:rsid w:val="00BF706E"/>
    <w:rsid w:val="00BF773F"/>
    <w:rsid w:val="00BF7E94"/>
    <w:rsid w:val="00C0069F"/>
    <w:rsid w:val="00C0169B"/>
    <w:rsid w:val="00C01727"/>
    <w:rsid w:val="00C01EA2"/>
    <w:rsid w:val="00C02357"/>
    <w:rsid w:val="00C03070"/>
    <w:rsid w:val="00C038C1"/>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04"/>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E12"/>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1C6D"/>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378"/>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321"/>
    <w:rsid w:val="00D63A43"/>
    <w:rsid w:val="00D63DA6"/>
    <w:rsid w:val="00D64656"/>
    <w:rsid w:val="00D66FC3"/>
    <w:rsid w:val="00D70C67"/>
    <w:rsid w:val="00D70E79"/>
    <w:rsid w:val="00D71436"/>
    <w:rsid w:val="00D71CF9"/>
    <w:rsid w:val="00D72171"/>
    <w:rsid w:val="00D72EAC"/>
    <w:rsid w:val="00D730C8"/>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1FD"/>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2D09"/>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E7668"/>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D6F"/>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9F8"/>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E4D"/>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244"/>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5B6"/>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1B6"/>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1D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E6757"/>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1681C"/>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959CA-74FF-40ED-AEBD-7416F37F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5373</Words>
  <Characters>29554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2025-12-19T17:39:00Z</cp:lastPrinted>
  <dcterms:created xsi:type="dcterms:W3CDTF">2025-12-19T17:39:00Z</dcterms:created>
  <dcterms:modified xsi:type="dcterms:W3CDTF">2026-02-13T19:46:00Z</dcterms:modified>
</cp:coreProperties>
</file>