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22"/>
          <w:szCs w:val="22"/>
          <w:lang w:val="es-ES" w:eastAsia="es-ES"/>
        </w:rPr>
        <w:id w:val="-1744167972"/>
        <w:docPartObj>
          <w:docPartGallery w:val="Table of Contents"/>
          <w:docPartUnique/>
        </w:docPartObj>
      </w:sdtPr>
      <w:sdtEndPr>
        <w:rPr>
          <w:b/>
          <w:bCs/>
        </w:rPr>
      </w:sdtEndPr>
      <w:sdtContent>
        <w:p w14:paraId="4422A736" w14:textId="77777777" w:rsidR="00FA166A" w:rsidRPr="00B35732" w:rsidRDefault="00FA166A" w:rsidP="00CC7286">
          <w:pPr>
            <w:pStyle w:val="TtulodeTDC"/>
            <w:spacing w:line="360" w:lineRule="auto"/>
            <w:rPr>
              <w:rFonts w:ascii="Palatino Linotype" w:hAnsi="Palatino Linotype"/>
              <w:color w:val="auto"/>
              <w:sz w:val="22"/>
              <w:szCs w:val="22"/>
            </w:rPr>
          </w:pPr>
          <w:r w:rsidRPr="00B35732">
            <w:rPr>
              <w:rFonts w:ascii="Palatino Linotype" w:hAnsi="Palatino Linotype"/>
              <w:color w:val="auto"/>
              <w:sz w:val="22"/>
              <w:szCs w:val="22"/>
              <w:lang w:val="es-ES"/>
            </w:rPr>
            <w:t>Contenido</w:t>
          </w:r>
        </w:p>
        <w:p w14:paraId="56015CFF" w14:textId="49757BA8" w:rsidR="00CC7286" w:rsidRPr="00B35732" w:rsidRDefault="00FA166A" w:rsidP="00CC7286">
          <w:pPr>
            <w:pStyle w:val="TDC1"/>
            <w:tabs>
              <w:tab w:val="right" w:leader="dot" w:pos="9034"/>
            </w:tabs>
            <w:rPr>
              <w:rFonts w:asciiTheme="minorHAnsi" w:eastAsiaTheme="minorEastAsia" w:hAnsiTheme="minorHAnsi" w:cstheme="minorBidi"/>
              <w:noProof/>
              <w:szCs w:val="22"/>
              <w:lang w:eastAsia="es-MX"/>
            </w:rPr>
          </w:pPr>
          <w:r w:rsidRPr="00B35732">
            <w:rPr>
              <w:b/>
              <w:bCs/>
              <w:szCs w:val="22"/>
              <w:lang w:val="es-ES"/>
            </w:rPr>
            <w:fldChar w:fldCharType="begin"/>
          </w:r>
          <w:r w:rsidRPr="00B35732">
            <w:rPr>
              <w:b/>
              <w:bCs/>
              <w:szCs w:val="22"/>
              <w:lang w:val="es-ES"/>
            </w:rPr>
            <w:instrText xml:space="preserve"> TOC \o "1-3" \h \z \u </w:instrText>
          </w:r>
          <w:r w:rsidRPr="00B35732">
            <w:rPr>
              <w:b/>
              <w:bCs/>
              <w:szCs w:val="22"/>
              <w:lang w:val="es-ES"/>
            </w:rPr>
            <w:fldChar w:fldCharType="separate"/>
          </w:r>
          <w:hyperlink w:anchor="_Toc212099396" w:history="1">
            <w:r w:rsidR="00CC7286" w:rsidRPr="00B35732">
              <w:rPr>
                <w:rStyle w:val="Hipervnculo"/>
                <w:rFonts w:eastAsiaTheme="majorEastAsia"/>
                <w:noProof/>
                <w:color w:val="auto"/>
              </w:rPr>
              <w:t>ANTECEDENTES</w:t>
            </w:r>
            <w:r w:rsidR="00CC7286" w:rsidRPr="00B35732">
              <w:rPr>
                <w:noProof/>
                <w:webHidden/>
              </w:rPr>
              <w:tab/>
            </w:r>
            <w:r w:rsidR="00CC7286" w:rsidRPr="00B35732">
              <w:rPr>
                <w:noProof/>
                <w:webHidden/>
              </w:rPr>
              <w:fldChar w:fldCharType="begin"/>
            </w:r>
            <w:r w:rsidR="00CC7286" w:rsidRPr="00B35732">
              <w:rPr>
                <w:noProof/>
                <w:webHidden/>
              </w:rPr>
              <w:instrText xml:space="preserve"> PAGEREF _Toc212099396 \h </w:instrText>
            </w:r>
            <w:r w:rsidR="00CC7286" w:rsidRPr="00B35732">
              <w:rPr>
                <w:noProof/>
                <w:webHidden/>
              </w:rPr>
            </w:r>
            <w:r w:rsidR="00CC7286" w:rsidRPr="00B35732">
              <w:rPr>
                <w:noProof/>
                <w:webHidden/>
              </w:rPr>
              <w:fldChar w:fldCharType="separate"/>
            </w:r>
            <w:r w:rsidR="00B35732">
              <w:rPr>
                <w:noProof/>
                <w:webHidden/>
              </w:rPr>
              <w:t>1</w:t>
            </w:r>
            <w:r w:rsidR="00CC7286" w:rsidRPr="00B35732">
              <w:rPr>
                <w:noProof/>
                <w:webHidden/>
              </w:rPr>
              <w:fldChar w:fldCharType="end"/>
            </w:r>
          </w:hyperlink>
        </w:p>
        <w:p w14:paraId="0D5995E1" w14:textId="6C1546D2" w:rsidR="00CC7286" w:rsidRPr="00B35732" w:rsidRDefault="00F436BD" w:rsidP="00CC7286">
          <w:pPr>
            <w:pStyle w:val="TDC2"/>
            <w:rPr>
              <w:rFonts w:asciiTheme="minorHAnsi" w:eastAsiaTheme="minorEastAsia" w:hAnsiTheme="minorHAnsi" w:cstheme="minorBidi"/>
              <w:noProof/>
              <w:szCs w:val="22"/>
              <w:lang w:eastAsia="es-MX"/>
            </w:rPr>
          </w:pPr>
          <w:hyperlink w:anchor="_Toc212099397" w:history="1">
            <w:r w:rsidR="00CC7286" w:rsidRPr="00B35732">
              <w:rPr>
                <w:rStyle w:val="Hipervnculo"/>
                <w:rFonts w:eastAsiaTheme="majorEastAsia"/>
                <w:noProof/>
                <w:color w:val="auto"/>
              </w:rPr>
              <w:t>DE LAS SOLICITUDES DE INFORMACIÓN</w:t>
            </w:r>
            <w:r w:rsidR="00CC7286" w:rsidRPr="00B35732">
              <w:rPr>
                <w:noProof/>
                <w:webHidden/>
              </w:rPr>
              <w:tab/>
            </w:r>
            <w:r w:rsidR="00CC7286" w:rsidRPr="00B35732">
              <w:rPr>
                <w:noProof/>
                <w:webHidden/>
              </w:rPr>
              <w:fldChar w:fldCharType="begin"/>
            </w:r>
            <w:r w:rsidR="00CC7286" w:rsidRPr="00B35732">
              <w:rPr>
                <w:noProof/>
                <w:webHidden/>
              </w:rPr>
              <w:instrText xml:space="preserve"> PAGEREF _Toc212099397 \h </w:instrText>
            </w:r>
            <w:r w:rsidR="00CC7286" w:rsidRPr="00B35732">
              <w:rPr>
                <w:noProof/>
                <w:webHidden/>
              </w:rPr>
            </w:r>
            <w:r w:rsidR="00CC7286" w:rsidRPr="00B35732">
              <w:rPr>
                <w:noProof/>
                <w:webHidden/>
              </w:rPr>
              <w:fldChar w:fldCharType="separate"/>
            </w:r>
            <w:r w:rsidR="00B35732">
              <w:rPr>
                <w:noProof/>
                <w:webHidden/>
              </w:rPr>
              <w:t>1</w:t>
            </w:r>
            <w:r w:rsidR="00CC7286" w:rsidRPr="00B35732">
              <w:rPr>
                <w:noProof/>
                <w:webHidden/>
              </w:rPr>
              <w:fldChar w:fldCharType="end"/>
            </w:r>
          </w:hyperlink>
        </w:p>
        <w:p w14:paraId="40D79A27" w14:textId="7A8A0252" w:rsidR="00CC7286" w:rsidRPr="00B35732" w:rsidRDefault="00F436BD" w:rsidP="00CC7286">
          <w:pPr>
            <w:pStyle w:val="TDC3"/>
            <w:rPr>
              <w:rFonts w:asciiTheme="minorHAnsi" w:eastAsiaTheme="minorEastAsia" w:hAnsiTheme="minorHAnsi" w:cstheme="minorBidi"/>
              <w:noProof/>
              <w:szCs w:val="22"/>
              <w:lang w:eastAsia="es-MX"/>
            </w:rPr>
          </w:pPr>
          <w:hyperlink w:anchor="_Toc212099398" w:history="1">
            <w:r w:rsidR="00CC7286" w:rsidRPr="00B35732">
              <w:rPr>
                <w:rStyle w:val="Hipervnculo"/>
                <w:rFonts w:eastAsiaTheme="majorEastAsia"/>
                <w:noProof/>
                <w:color w:val="auto"/>
              </w:rPr>
              <w:t>a) Solicitudes de información.</w:t>
            </w:r>
            <w:r w:rsidR="00CC7286" w:rsidRPr="00B35732">
              <w:rPr>
                <w:noProof/>
                <w:webHidden/>
              </w:rPr>
              <w:tab/>
            </w:r>
            <w:r w:rsidR="00CC7286" w:rsidRPr="00B35732">
              <w:rPr>
                <w:noProof/>
                <w:webHidden/>
              </w:rPr>
              <w:fldChar w:fldCharType="begin"/>
            </w:r>
            <w:r w:rsidR="00CC7286" w:rsidRPr="00B35732">
              <w:rPr>
                <w:noProof/>
                <w:webHidden/>
              </w:rPr>
              <w:instrText xml:space="preserve"> PAGEREF _Toc212099398 \h </w:instrText>
            </w:r>
            <w:r w:rsidR="00CC7286" w:rsidRPr="00B35732">
              <w:rPr>
                <w:noProof/>
                <w:webHidden/>
              </w:rPr>
            </w:r>
            <w:r w:rsidR="00CC7286" w:rsidRPr="00B35732">
              <w:rPr>
                <w:noProof/>
                <w:webHidden/>
              </w:rPr>
              <w:fldChar w:fldCharType="separate"/>
            </w:r>
            <w:r w:rsidR="00B35732">
              <w:rPr>
                <w:noProof/>
                <w:webHidden/>
              </w:rPr>
              <w:t>1</w:t>
            </w:r>
            <w:r w:rsidR="00CC7286" w:rsidRPr="00B35732">
              <w:rPr>
                <w:noProof/>
                <w:webHidden/>
              </w:rPr>
              <w:fldChar w:fldCharType="end"/>
            </w:r>
          </w:hyperlink>
        </w:p>
        <w:p w14:paraId="2A419399" w14:textId="4B98268C" w:rsidR="00CC7286" w:rsidRPr="00B35732" w:rsidRDefault="00F436BD" w:rsidP="00CC7286">
          <w:pPr>
            <w:pStyle w:val="TDC3"/>
            <w:rPr>
              <w:rFonts w:asciiTheme="minorHAnsi" w:eastAsiaTheme="minorEastAsia" w:hAnsiTheme="minorHAnsi" w:cstheme="minorBidi"/>
              <w:noProof/>
              <w:szCs w:val="22"/>
              <w:lang w:eastAsia="es-MX"/>
            </w:rPr>
          </w:pPr>
          <w:hyperlink w:anchor="_Toc212099399" w:history="1">
            <w:r w:rsidR="00CC7286" w:rsidRPr="00B35732">
              <w:rPr>
                <w:rStyle w:val="Hipervnculo"/>
                <w:rFonts w:eastAsiaTheme="majorEastAsia"/>
                <w:noProof/>
                <w:color w:val="auto"/>
              </w:rPr>
              <w:t>b) Turno de las solicitudes de información.</w:t>
            </w:r>
            <w:r w:rsidR="00CC7286" w:rsidRPr="00B35732">
              <w:rPr>
                <w:noProof/>
                <w:webHidden/>
              </w:rPr>
              <w:tab/>
            </w:r>
            <w:r w:rsidR="00CC7286" w:rsidRPr="00B35732">
              <w:rPr>
                <w:noProof/>
                <w:webHidden/>
              </w:rPr>
              <w:fldChar w:fldCharType="begin"/>
            </w:r>
            <w:r w:rsidR="00CC7286" w:rsidRPr="00B35732">
              <w:rPr>
                <w:noProof/>
                <w:webHidden/>
              </w:rPr>
              <w:instrText xml:space="preserve"> PAGEREF _Toc212099399 \h </w:instrText>
            </w:r>
            <w:r w:rsidR="00CC7286" w:rsidRPr="00B35732">
              <w:rPr>
                <w:noProof/>
                <w:webHidden/>
              </w:rPr>
            </w:r>
            <w:r w:rsidR="00CC7286" w:rsidRPr="00B35732">
              <w:rPr>
                <w:noProof/>
                <w:webHidden/>
              </w:rPr>
              <w:fldChar w:fldCharType="separate"/>
            </w:r>
            <w:r w:rsidR="00B35732">
              <w:rPr>
                <w:noProof/>
                <w:webHidden/>
              </w:rPr>
              <w:t>2</w:t>
            </w:r>
            <w:r w:rsidR="00CC7286" w:rsidRPr="00B35732">
              <w:rPr>
                <w:noProof/>
                <w:webHidden/>
              </w:rPr>
              <w:fldChar w:fldCharType="end"/>
            </w:r>
          </w:hyperlink>
        </w:p>
        <w:p w14:paraId="30C82EB9" w14:textId="333D6977" w:rsidR="00CC7286" w:rsidRPr="00B35732" w:rsidRDefault="00F436BD" w:rsidP="00CC7286">
          <w:pPr>
            <w:pStyle w:val="TDC3"/>
            <w:rPr>
              <w:rFonts w:asciiTheme="minorHAnsi" w:eastAsiaTheme="minorEastAsia" w:hAnsiTheme="minorHAnsi" w:cstheme="minorBidi"/>
              <w:noProof/>
              <w:szCs w:val="22"/>
              <w:lang w:eastAsia="es-MX"/>
            </w:rPr>
          </w:pPr>
          <w:hyperlink w:anchor="_Toc212099400" w:history="1">
            <w:r w:rsidR="00CC7286" w:rsidRPr="00B35732">
              <w:rPr>
                <w:rStyle w:val="Hipervnculo"/>
                <w:rFonts w:eastAsiaTheme="majorEastAsia"/>
                <w:noProof/>
                <w:color w:val="auto"/>
              </w:rPr>
              <w:t>c) Respuestas del Sujeto Obligado.</w:t>
            </w:r>
            <w:r w:rsidR="00CC7286" w:rsidRPr="00B35732">
              <w:rPr>
                <w:noProof/>
                <w:webHidden/>
              </w:rPr>
              <w:tab/>
            </w:r>
            <w:r w:rsidR="00CC7286" w:rsidRPr="00B35732">
              <w:rPr>
                <w:noProof/>
                <w:webHidden/>
              </w:rPr>
              <w:fldChar w:fldCharType="begin"/>
            </w:r>
            <w:r w:rsidR="00CC7286" w:rsidRPr="00B35732">
              <w:rPr>
                <w:noProof/>
                <w:webHidden/>
              </w:rPr>
              <w:instrText xml:space="preserve"> PAGEREF _Toc212099400 \h </w:instrText>
            </w:r>
            <w:r w:rsidR="00CC7286" w:rsidRPr="00B35732">
              <w:rPr>
                <w:noProof/>
                <w:webHidden/>
              </w:rPr>
            </w:r>
            <w:r w:rsidR="00CC7286" w:rsidRPr="00B35732">
              <w:rPr>
                <w:noProof/>
                <w:webHidden/>
              </w:rPr>
              <w:fldChar w:fldCharType="separate"/>
            </w:r>
            <w:r w:rsidR="00B35732">
              <w:rPr>
                <w:noProof/>
                <w:webHidden/>
              </w:rPr>
              <w:t>2</w:t>
            </w:r>
            <w:r w:rsidR="00CC7286" w:rsidRPr="00B35732">
              <w:rPr>
                <w:noProof/>
                <w:webHidden/>
              </w:rPr>
              <w:fldChar w:fldCharType="end"/>
            </w:r>
          </w:hyperlink>
        </w:p>
        <w:p w14:paraId="0AB53664" w14:textId="05FF957D" w:rsidR="00CC7286" w:rsidRPr="00B35732" w:rsidRDefault="00F436BD" w:rsidP="00CC7286">
          <w:pPr>
            <w:pStyle w:val="TDC2"/>
            <w:rPr>
              <w:rFonts w:asciiTheme="minorHAnsi" w:eastAsiaTheme="minorEastAsia" w:hAnsiTheme="minorHAnsi" w:cstheme="minorBidi"/>
              <w:noProof/>
              <w:szCs w:val="22"/>
              <w:lang w:eastAsia="es-MX"/>
            </w:rPr>
          </w:pPr>
          <w:hyperlink w:anchor="_Toc212099401" w:history="1">
            <w:r w:rsidR="00CC7286" w:rsidRPr="00B35732">
              <w:rPr>
                <w:rStyle w:val="Hipervnculo"/>
                <w:rFonts w:eastAsiaTheme="majorEastAsia"/>
                <w:noProof/>
                <w:color w:val="auto"/>
              </w:rPr>
              <w:t>DEL RECURSO DE REVISIÓN</w:t>
            </w:r>
            <w:r w:rsidR="00CC7286" w:rsidRPr="00B35732">
              <w:rPr>
                <w:noProof/>
                <w:webHidden/>
              </w:rPr>
              <w:tab/>
            </w:r>
            <w:r w:rsidR="00CC7286" w:rsidRPr="00B35732">
              <w:rPr>
                <w:noProof/>
                <w:webHidden/>
              </w:rPr>
              <w:fldChar w:fldCharType="begin"/>
            </w:r>
            <w:r w:rsidR="00CC7286" w:rsidRPr="00B35732">
              <w:rPr>
                <w:noProof/>
                <w:webHidden/>
              </w:rPr>
              <w:instrText xml:space="preserve"> PAGEREF _Toc212099401 \h </w:instrText>
            </w:r>
            <w:r w:rsidR="00CC7286" w:rsidRPr="00B35732">
              <w:rPr>
                <w:noProof/>
                <w:webHidden/>
              </w:rPr>
            </w:r>
            <w:r w:rsidR="00CC7286" w:rsidRPr="00B35732">
              <w:rPr>
                <w:noProof/>
                <w:webHidden/>
              </w:rPr>
              <w:fldChar w:fldCharType="separate"/>
            </w:r>
            <w:r w:rsidR="00B35732">
              <w:rPr>
                <w:noProof/>
                <w:webHidden/>
              </w:rPr>
              <w:t>4</w:t>
            </w:r>
            <w:r w:rsidR="00CC7286" w:rsidRPr="00B35732">
              <w:rPr>
                <w:noProof/>
                <w:webHidden/>
              </w:rPr>
              <w:fldChar w:fldCharType="end"/>
            </w:r>
          </w:hyperlink>
        </w:p>
        <w:p w14:paraId="64F4633B" w14:textId="7F54100D" w:rsidR="00CC7286" w:rsidRPr="00B35732" w:rsidRDefault="00F436BD" w:rsidP="00CC7286">
          <w:pPr>
            <w:pStyle w:val="TDC3"/>
            <w:rPr>
              <w:rFonts w:asciiTheme="minorHAnsi" w:eastAsiaTheme="minorEastAsia" w:hAnsiTheme="minorHAnsi" w:cstheme="minorBidi"/>
              <w:noProof/>
              <w:szCs w:val="22"/>
              <w:lang w:eastAsia="es-MX"/>
            </w:rPr>
          </w:pPr>
          <w:hyperlink w:anchor="_Toc212099402" w:history="1">
            <w:r w:rsidR="00CC7286" w:rsidRPr="00B35732">
              <w:rPr>
                <w:rStyle w:val="Hipervnculo"/>
                <w:rFonts w:eastAsiaTheme="majorEastAsia"/>
                <w:noProof/>
                <w:color w:val="auto"/>
              </w:rPr>
              <w:t>a) Interposición de los Recursos de Revisión.</w:t>
            </w:r>
            <w:r w:rsidR="00CC7286" w:rsidRPr="00B35732">
              <w:rPr>
                <w:noProof/>
                <w:webHidden/>
              </w:rPr>
              <w:tab/>
            </w:r>
            <w:r w:rsidR="00CC7286" w:rsidRPr="00B35732">
              <w:rPr>
                <w:noProof/>
                <w:webHidden/>
              </w:rPr>
              <w:fldChar w:fldCharType="begin"/>
            </w:r>
            <w:r w:rsidR="00CC7286" w:rsidRPr="00B35732">
              <w:rPr>
                <w:noProof/>
                <w:webHidden/>
              </w:rPr>
              <w:instrText xml:space="preserve"> PAGEREF _Toc212099402 \h </w:instrText>
            </w:r>
            <w:r w:rsidR="00CC7286" w:rsidRPr="00B35732">
              <w:rPr>
                <w:noProof/>
                <w:webHidden/>
              </w:rPr>
            </w:r>
            <w:r w:rsidR="00CC7286" w:rsidRPr="00B35732">
              <w:rPr>
                <w:noProof/>
                <w:webHidden/>
              </w:rPr>
              <w:fldChar w:fldCharType="separate"/>
            </w:r>
            <w:r w:rsidR="00B35732">
              <w:rPr>
                <w:noProof/>
                <w:webHidden/>
              </w:rPr>
              <w:t>4</w:t>
            </w:r>
            <w:r w:rsidR="00CC7286" w:rsidRPr="00B35732">
              <w:rPr>
                <w:noProof/>
                <w:webHidden/>
              </w:rPr>
              <w:fldChar w:fldCharType="end"/>
            </w:r>
          </w:hyperlink>
        </w:p>
        <w:p w14:paraId="0E8FC486" w14:textId="16CF35D2" w:rsidR="00CC7286" w:rsidRPr="00B35732" w:rsidRDefault="00F436BD" w:rsidP="00CC7286">
          <w:pPr>
            <w:pStyle w:val="TDC3"/>
            <w:rPr>
              <w:rFonts w:asciiTheme="minorHAnsi" w:eastAsiaTheme="minorEastAsia" w:hAnsiTheme="minorHAnsi" w:cstheme="minorBidi"/>
              <w:noProof/>
              <w:szCs w:val="22"/>
              <w:lang w:eastAsia="es-MX"/>
            </w:rPr>
          </w:pPr>
          <w:hyperlink w:anchor="_Toc212099403" w:history="1">
            <w:r w:rsidR="00CC7286" w:rsidRPr="00B35732">
              <w:rPr>
                <w:rStyle w:val="Hipervnculo"/>
                <w:rFonts w:eastAsiaTheme="majorEastAsia"/>
                <w:noProof/>
                <w:color w:val="auto"/>
              </w:rPr>
              <w:t>b) Turno del Recurso de Revisión</w:t>
            </w:r>
            <w:r w:rsidR="00CC7286" w:rsidRPr="00B35732">
              <w:rPr>
                <w:noProof/>
                <w:webHidden/>
              </w:rPr>
              <w:tab/>
            </w:r>
            <w:r w:rsidR="00CC7286" w:rsidRPr="00B35732">
              <w:rPr>
                <w:noProof/>
                <w:webHidden/>
              </w:rPr>
              <w:fldChar w:fldCharType="begin"/>
            </w:r>
            <w:r w:rsidR="00CC7286" w:rsidRPr="00B35732">
              <w:rPr>
                <w:noProof/>
                <w:webHidden/>
              </w:rPr>
              <w:instrText xml:space="preserve"> PAGEREF _Toc212099403 \h </w:instrText>
            </w:r>
            <w:r w:rsidR="00CC7286" w:rsidRPr="00B35732">
              <w:rPr>
                <w:noProof/>
                <w:webHidden/>
              </w:rPr>
            </w:r>
            <w:r w:rsidR="00CC7286" w:rsidRPr="00B35732">
              <w:rPr>
                <w:noProof/>
                <w:webHidden/>
              </w:rPr>
              <w:fldChar w:fldCharType="separate"/>
            </w:r>
            <w:r w:rsidR="00B35732">
              <w:rPr>
                <w:noProof/>
                <w:webHidden/>
              </w:rPr>
              <w:t>4</w:t>
            </w:r>
            <w:r w:rsidR="00CC7286" w:rsidRPr="00B35732">
              <w:rPr>
                <w:noProof/>
                <w:webHidden/>
              </w:rPr>
              <w:fldChar w:fldCharType="end"/>
            </w:r>
          </w:hyperlink>
        </w:p>
        <w:p w14:paraId="3C730659" w14:textId="69CDFC2E" w:rsidR="00CC7286" w:rsidRPr="00B35732" w:rsidRDefault="00F436BD" w:rsidP="00CC7286">
          <w:pPr>
            <w:pStyle w:val="TDC3"/>
            <w:rPr>
              <w:rFonts w:asciiTheme="minorHAnsi" w:eastAsiaTheme="minorEastAsia" w:hAnsiTheme="minorHAnsi" w:cstheme="minorBidi"/>
              <w:noProof/>
              <w:szCs w:val="22"/>
              <w:lang w:eastAsia="es-MX"/>
            </w:rPr>
          </w:pPr>
          <w:hyperlink w:anchor="_Toc212099404" w:history="1">
            <w:r w:rsidR="00CC7286" w:rsidRPr="00B35732">
              <w:rPr>
                <w:rStyle w:val="Hipervnculo"/>
                <w:rFonts w:eastAsiaTheme="majorEastAsia"/>
                <w:noProof/>
                <w:color w:val="auto"/>
              </w:rPr>
              <w:t>c) Admisión del Recurso de Revisión</w:t>
            </w:r>
            <w:r w:rsidR="00CC7286" w:rsidRPr="00B35732">
              <w:rPr>
                <w:noProof/>
                <w:webHidden/>
              </w:rPr>
              <w:tab/>
            </w:r>
            <w:r w:rsidR="00CC7286" w:rsidRPr="00B35732">
              <w:rPr>
                <w:noProof/>
                <w:webHidden/>
              </w:rPr>
              <w:fldChar w:fldCharType="begin"/>
            </w:r>
            <w:r w:rsidR="00CC7286" w:rsidRPr="00B35732">
              <w:rPr>
                <w:noProof/>
                <w:webHidden/>
              </w:rPr>
              <w:instrText xml:space="preserve"> PAGEREF _Toc212099404 \h </w:instrText>
            </w:r>
            <w:r w:rsidR="00CC7286" w:rsidRPr="00B35732">
              <w:rPr>
                <w:noProof/>
                <w:webHidden/>
              </w:rPr>
            </w:r>
            <w:r w:rsidR="00CC7286" w:rsidRPr="00B35732">
              <w:rPr>
                <w:noProof/>
                <w:webHidden/>
              </w:rPr>
              <w:fldChar w:fldCharType="separate"/>
            </w:r>
            <w:r w:rsidR="00B35732">
              <w:rPr>
                <w:noProof/>
                <w:webHidden/>
              </w:rPr>
              <w:t>5</w:t>
            </w:r>
            <w:r w:rsidR="00CC7286" w:rsidRPr="00B35732">
              <w:rPr>
                <w:noProof/>
                <w:webHidden/>
              </w:rPr>
              <w:fldChar w:fldCharType="end"/>
            </w:r>
          </w:hyperlink>
        </w:p>
        <w:p w14:paraId="23C74A9E" w14:textId="509F8F0D" w:rsidR="00CC7286" w:rsidRPr="00B35732" w:rsidRDefault="00F436BD" w:rsidP="00CC7286">
          <w:pPr>
            <w:pStyle w:val="TDC3"/>
            <w:rPr>
              <w:rFonts w:asciiTheme="minorHAnsi" w:eastAsiaTheme="minorEastAsia" w:hAnsiTheme="minorHAnsi" w:cstheme="minorBidi"/>
              <w:noProof/>
              <w:szCs w:val="22"/>
              <w:lang w:eastAsia="es-MX"/>
            </w:rPr>
          </w:pPr>
          <w:hyperlink w:anchor="_Toc212099405" w:history="1">
            <w:r w:rsidR="00CC7286" w:rsidRPr="00B35732">
              <w:rPr>
                <w:rStyle w:val="Hipervnculo"/>
                <w:rFonts w:eastAsiaTheme="majorEastAsia"/>
                <w:noProof/>
                <w:color w:val="auto"/>
              </w:rPr>
              <w:t>d) Acumulación de los Recursos de Revisión</w:t>
            </w:r>
            <w:r w:rsidR="00CC7286" w:rsidRPr="00B35732">
              <w:rPr>
                <w:noProof/>
                <w:webHidden/>
              </w:rPr>
              <w:tab/>
            </w:r>
            <w:r w:rsidR="00CC7286" w:rsidRPr="00B35732">
              <w:rPr>
                <w:noProof/>
                <w:webHidden/>
              </w:rPr>
              <w:fldChar w:fldCharType="begin"/>
            </w:r>
            <w:r w:rsidR="00CC7286" w:rsidRPr="00B35732">
              <w:rPr>
                <w:noProof/>
                <w:webHidden/>
              </w:rPr>
              <w:instrText xml:space="preserve"> PAGEREF _Toc212099405 \h </w:instrText>
            </w:r>
            <w:r w:rsidR="00CC7286" w:rsidRPr="00B35732">
              <w:rPr>
                <w:noProof/>
                <w:webHidden/>
              </w:rPr>
            </w:r>
            <w:r w:rsidR="00CC7286" w:rsidRPr="00B35732">
              <w:rPr>
                <w:noProof/>
                <w:webHidden/>
              </w:rPr>
              <w:fldChar w:fldCharType="separate"/>
            </w:r>
            <w:r w:rsidR="00B35732">
              <w:rPr>
                <w:noProof/>
                <w:webHidden/>
              </w:rPr>
              <w:t>5</w:t>
            </w:r>
            <w:r w:rsidR="00CC7286" w:rsidRPr="00B35732">
              <w:rPr>
                <w:noProof/>
                <w:webHidden/>
              </w:rPr>
              <w:fldChar w:fldCharType="end"/>
            </w:r>
          </w:hyperlink>
        </w:p>
        <w:p w14:paraId="2F865169" w14:textId="374F11FD" w:rsidR="00CC7286" w:rsidRPr="00B35732" w:rsidRDefault="00F436BD" w:rsidP="00CC7286">
          <w:pPr>
            <w:pStyle w:val="TDC3"/>
            <w:rPr>
              <w:rFonts w:asciiTheme="minorHAnsi" w:eastAsiaTheme="minorEastAsia" w:hAnsiTheme="minorHAnsi" w:cstheme="minorBidi"/>
              <w:noProof/>
              <w:szCs w:val="22"/>
              <w:lang w:eastAsia="es-MX"/>
            </w:rPr>
          </w:pPr>
          <w:hyperlink w:anchor="_Toc212099406" w:history="1">
            <w:r w:rsidR="00CC7286" w:rsidRPr="00B35732">
              <w:rPr>
                <w:rStyle w:val="Hipervnculo"/>
                <w:rFonts w:eastAsiaTheme="majorEastAsia"/>
                <w:noProof/>
                <w:color w:val="auto"/>
              </w:rPr>
              <w:t>e) Informe Justificado del Sujeto Obligado</w:t>
            </w:r>
            <w:r w:rsidR="00CC7286" w:rsidRPr="00B35732">
              <w:rPr>
                <w:noProof/>
                <w:webHidden/>
              </w:rPr>
              <w:tab/>
            </w:r>
            <w:r w:rsidR="00CC7286" w:rsidRPr="00B35732">
              <w:rPr>
                <w:noProof/>
                <w:webHidden/>
              </w:rPr>
              <w:fldChar w:fldCharType="begin"/>
            </w:r>
            <w:r w:rsidR="00CC7286" w:rsidRPr="00B35732">
              <w:rPr>
                <w:noProof/>
                <w:webHidden/>
              </w:rPr>
              <w:instrText xml:space="preserve"> PAGEREF _Toc212099406 \h </w:instrText>
            </w:r>
            <w:r w:rsidR="00CC7286" w:rsidRPr="00B35732">
              <w:rPr>
                <w:noProof/>
                <w:webHidden/>
              </w:rPr>
            </w:r>
            <w:r w:rsidR="00CC7286" w:rsidRPr="00B35732">
              <w:rPr>
                <w:noProof/>
                <w:webHidden/>
              </w:rPr>
              <w:fldChar w:fldCharType="separate"/>
            </w:r>
            <w:r w:rsidR="00B35732">
              <w:rPr>
                <w:noProof/>
                <w:webHidden/>
              </w:rPr>
              <w:t>5</w:t>
            </w:r>
            <w:r w:rsidR="00CC7286" w:rsidRPr="00B35732">
              <w:rPr>
                <w:noProof/>
                <w:webHidden/>
              </w:rPr>
              <w:fldChar w:fldCharType="end"/>
            </w:r>
          </w:hyperlink>
        </w:p>
        <w:p w14:paraId="4EEE03F5" w14:textId="55F24135" w:rsidR="00CC7286" w:rsidRPr="00B35732" w:rsidRDefault="00F436BD" w:rsidP="00CC7286">
          <w:pPr>
            <w:pStyle w:val="TDC3"/>
            <w:rPr>
              <w:rFonts w:asciiTheme="minorHAnsi" w:eastAsiaTheme="minorEastAsia" w:hAnsiTheme="minorHAnsi" w:cstheme="minorBidi"/>
              <w:noProof/>
              <w:szCs w:val="22"/>
              <w:lang w:eastAsia="es-MX"/>
            </w:rPr>
          </w:pPr>
          <w:hyperlink w:anchor="_Toc212099407" w:history="1">
            <w:r w:rsidR="00CC7286" w:rsidRPr="00B35732">
              <w:rPr>
                <w:rStyle w:val="Hipervnculo"/>
                <w:rFonts w:eastAsiaTheme="majorEastAsia"/>
                <w:noProof/>
                <w:color w:val="auto"/>
              </w:rPr>
              <w:t>f) Manifestaciones de la Parte Recurrente</w:t>
            </w:r>
            <w:r w:rsidR="00CC7286" w:rsidRPr="00B35732">
              <w:rPr>
                <w:noProof/>
                <w:webHidden/>
              </w:rPr>
              <w:tab/>
            </w:r>
            <w:r w:rsidR="00CC7286" w:rsidRPr="00B35732">
              <w:rPr>
                <w:noProof/>
                <w:webHidden/>
              </w:rPr>
              <w:fldChar w:fldCharType="begin"/>
            </w:r>
            <w:r w:rsidR="00CC7286" w:rsidRPr="00B35732">
              <w:rPr>
                <w:noProof/>
                <w:webHidden/>
              </w:rPr>
              <w:instrText xml:space="preserve"> PAGEREF _Toc212099407 \h </w:instrText>
            </w:r>
            <w:r w:rsidR="00CC7286" w:rsidRPr="00B35732">
              <w:rPr>
                <w:noProof/>
                <w:webHidden/>
              </w:rPr>
            </w:r>
            <w:r w:rsidR="00CC7286" w:rsidRPr="00B35732">
              <w:rPr>
                <w:noProof/>
                <w:webHidden/>
              </w:rPr>
              <w:fldChar w:fldCharType="separate"/>
            </w:r>
            <w:r w:rsidR="00B35732">
              <w:rPr>
                <w:noProof/>
                <w:webHidden/>
              </w:rPr>
              <w:t>6</w:t>
            </w:r>
            <w:r w:rsidR="00CC7286" w:rsidRPr="00B35732">
              <w:rPr>
                <w:noProof/>
                <w:webHidden/>
              </w:rPr>
              <w:fldChar w:fldCharType="end"/>
            </w:r>
          </w:hyperlink>
        </w:p>
        <w:p w14:paraId="1C1AAD8A" w14:textId="6E1AE352" w:rsidR="00CC7286" w:rsidRPr="00B35732" w:rsidRDefault="00F436BD" w:rsidP="00CC7286">
          <w:pPr>
            <w:pStyle w:val="TDC3"/>
            <w:rPr>
              <w:rFonts w:asciiTheme="minorHAnsi" w:eastAsiaTheme="minorEastAsia" w:hAnsiTheme="minorHAnsi" w:cstheme="minorBidi"/>
              <w:noProof/>
              <w:szCs w:val="22"/>
              <w:lang w:eastAsia="es-MX"/>
            </w:rPr>
          </w:pPr>
          <w:hyperlink w:anchor="_Toc212099408" w:history="1">
            <w:r w:rsidR="00CC7286" w:rsidRPr="00B35732">
              <w:rPr>
                <w:rStyle w:val="Hipervnculo"/>
                <w:rFonts w:eastAsiaTheme="majorEastAsia"/>
                <w:noProof/>
                <w:color w:val="auto"/>
              </w:rPr>
              <w:t>g) Ampliación de Plazo para Resolver</w:t>
            </w:r>
            <w:r w:rsidR="00CC7286" w:rsidRPr="00B35732">
              <w:rPr>
                <w:noProof/>
                <w:webHidden/>
              </w:rPr>
              <w:tab/>
            </w:r>
            <w:r w:rsidR="00CC7286" w:rsidRPr="00B35732">
              <w:rPr>
                <w:noProof/>
                <w:webHidden/>
              </w:rPr>
              <w:fldChar w:fldCharType="begin"/>
            </w:r>
            <w:r w:rsidR="00CC7286" w:rsidRPr="00B35732">
              <w:rPr>
                <w:noProof/>
                <w:webHidden/>
              </w:rPr>
              <w:instrText xml:space="preserve"> PAGEREF _Toc212099408 \h </w:instrText>
            </w:r>
            <w:r w:rsidR="00CC7286" w:rsidRPr="00B35732">
              <w:rPr>
                <w:noProof/>
                <w:webHidden/>
              </w:rPr>
            </w:r>
            <w:r w:rsidR="00CC7286" w:rsidRPr="00B35732">
              <w:rPr>
                <w:noProof/>
                <w:webHidden/>
              </w:rPr>
              <w:fldChar w:fldCharType="separate"/>
            </w:r>
            <w:r w:rsidR="00B35732">
              <w:rPr>
                <w:noProof/>
                <w:webHidden/>
              </w:rPr>
              <w:t>7</w:t>
            </w:r>
            <w:r w:rsidR="00CC7286" w:rsidRPr="00B35732">
              <w:rPr>
                <w:noProof/>
                <w:webHidden/>
              </w:rPr>
              <w:fldChar w:fldCharType="end"/>
            </w:r>
          </w:hyperlink>
        </w:p>
        <w:p w14:paraId="46805150" w14:textId="682A04BC" w:rsidR="00CC7286" w:rsidRPr="00B35732" w:rsidRDefault="00F436BD" w:rsidP="00CC7286">
          <w:pPr>
            <w:pStyle w:val="TDC3"/>
            <w:rPr>
              <w:rFonts w:asciiTheme="minorHAnsi" w:eastAsiaTheme="minorEastAsia" w:hAnsiTheme="minorHAnsi" w:cstheme="minorBidi"/>
              <w:noProof/>
              <w:szCs w:val="22"/>
              <w:lang w:eastAsia="es-MX"/>
            </w:rPr>
          </w:pPr>
          <w:hyperlink w:anchor="_Toc212099409" w:history="1">
            <w:r w:rsidR="00CC7286" w:rsidRPr="00B35732">
              <w:rPr>
                <w:rStyle w:val="Hipervnculo"/>
                <w:rFonts w:eastAsiaTheme="majorEastAsia"/>
                <w:noProof/>
                <w:color w:val="auto"/>
              </w:rPr>
              <w:t>h) Cierre de instrucción</w:t>
            </w:r>
            <w:r w:rsidR="00CC7286" w:rsidRPr="00B35732">
              <w:rPr>
                <w:noProof/>
                <w:webHidden/>
              </w:rPr>
              <w:tab/>
            </w:r>
            <w:r w:rsidR="00CC7286" w:rsidRPr="00B35732">
              <w:rPr>
                <w:noProof/>
                <w:webHidden/>
              </w:rPr>
              <w:fldChar w:fldCharType="begin"/>
            </w:r>
            <w:r w:rsidR="00CC7286" w:rsidRPr="00B35732">
              <w:rPr>
                <w:noProof/>
                <w:webHidden/>
              </w:rPr>
              <w:instrText xml:space="preserve"> PAGEREF _Toc212099409 \h </w:instrText>
            </w:r>
            <w:r w:rsidR="00CC7286" w:rsidRPr="00B35732">
              <w:rPr>
                <w:noProof/>
                <w:webHidden/>
              </w:rPr>
            </w:r>
            <w:r w:rsidR="00CC7286" w:rsidRPr="00B35732">
              <w:rPr>
                <w:noProof/>
                <w:webHidden/>
              </w:rPr>
              <w:fldChar w:fldCharType="separate"/>
            </w:r>
            <w:r w:rsidR="00B35732">
              <w:rPr>
                <w:noProof/>
                <w:webHidden/>
              </w:rPr>
              <w:t>9</w:t>
            </w:r>
            <w:r w:rsidR="00CC7286" w:rsidRPr="00B35732">
              <w:rPr>
                <w:noProof/>
                <w:webHidden/>
              </w:rPr>
              <w:fldChar w:fldCharType="end"/>
            </w:r>
          </w:hyperlink>
        </w:p>
        <w:p w14:paraId="43BC3D28" w14:textId="11A51E83" w:rsidR="00CC7286" w:rsidRPr="00B35732" w:rsidRDefault="00F436BD" w:rsidP="00CC7286">
          <w:pPr>
            <w:pStyle w:val="TDC1"/>
            <w:tabs>
              <w:tab w:val="right" w:leader="dot" w:pos="9034"/>
            </w:tabs>
            <w:rPr>
              <w:rFonts w:asciiTheme="minorHAnsi" w:eastAsiaTheme="minorEastAsia" w:hAnsiTheme="minorHAnsi" w:cstheme="minorBidi"/>
              <w:noProof/>
              <w:szCs w:val="22"/>
              <w:lang w:eastAsia="es-MX"/>
            </w:rPr>
          </w:pPr>
          <w:hyperlink w:anchor="_Toc212099410" w:history="1">
            <w:r w:rsidR="00CC7286" w:rsidRPr="00B35732">
              <w:rPr>
                <w:rStyle w:val="Hipervnculo"/>
                <w:rFonts w:eastAsiaTheme="majorEastAsia" w:cstheme="majorBidi"/>
                <w:noProof/>
                <w:color w:val="auto"/>
              </w:rPr>
              <w:t>CONSIDERANDOS</w:t>
            </w:r>
            <w:r w:rsidR="00CC7286" w:rsidRPr="00B35732">
              <w:rPr>
                <w:noProof/>
                <w:webHidden/>
              </w:rPr>
              <w:tab/>
            </w:r>
            <w:r w:rsidR="00CC7286" w:rsidRPr="00B35732">
              <w:rPr>
                <w:noProof/>
                <w:webHidden/>
              </w:rPr>
              <w:fldChar w:fldCharType="begin"/>
            </w:r>
            <w:r w:rsidR="00CC7286" w:rsidRPr="00B35732">
              <w:rPr>
                <w:noProof/>
                <w:webHidden/>
              </w:rPr>
              <w:instrText xml:space="preserve"> PAGEREF _Toc212099410 \h </w:instrText>
            </w:r>
            <w:r w:rsidR="00CC7286" w:rsidRPr="00B35732">
              <w:rPr>
                <w:noProof/>
                <w:webHidden/>
              </w:rPr>
            </w:r>
            <w:r w:rsidR="00CC7286" w:rsidRPr="00B35732">
              <w:rPr>
                <w:noProof/>
                <w:webHidden/>
              </w:rPr>
              <w:fldChar w:fldCharType="separate"/>
            </w:r>
            <w:r w:rsidR="00B35732">
              <w:rPr>
                <w:noProof/>
                <w:webHidden/>
              </w:rPr>
              <w:t>10</w:t>
            </w:r>
            <w:r w:rsidR="00CC7286" w:rsidRPr="00B35732">
              <w:rPr>
                <w:noProof/>
                <w:webHidden/>
              </w:rPr>
              <w:fldChar w:fldCharType="end"/>
            </w:r>
          </w:hyperlink>
        </w:p>
        <w:p w14:paraId="2783123B" w14:textId="1A5AE4B0" w:rsidR="00CC7286" w:rsidRPr="00B35732" w:rsidRDefault="00F436BD" w:rsidP="00CC7286">
          <w:pPr>
            <w:pStyle w:val="TDC2"/>
            <w:rPr>
              <w:rFonts w:asciiTheme="minorHAnsi" w:eastAsiaTheme="minorEastAsia" w:hAnsiTheme="minorHAnsi" w:cstheme="minorBidi"/>
              <w:noProof/>
              <w:szCs w:val="22"/>
              <w:lang w:eastAsia="es-MX"/>
            </w:rPr>
          </w:pPr>
          <w:hyperlink w:anchor="_Toc212099411" w:history="1">
            <w:r w:rsidR="00CC7286" w:rsidRPr="00B35732">
              <w:rPr>
                <w:rStyle w:val="Hipervnculo"/>
                <w:rFonts w:eastAsiaTheme="majorEastAsia" w:cstheme="majorBidi"/>
                <w:noProof/>
                <w:color w:val="auto"/>
              </w:rPr>
              <w:t>PRIMERO. Procedibilidad</w:t>
            </w:r>
            <w:r w:rsidR="00CC7286" w:rsidRPr="00B35732">
              <w:rPr>
                <w:noProof/>
                <w:webHidden/>
              </w:rPr>
              <w:tab/>
            </w:r>
            <w:r w:rsidR="00CC7286" w:rsidRPr="00B35732">
              <w:rPr>
                <w:noProof/>
                <w:webHidden/>
              </w:rPr>
              <w:fldChar w:fldCharType="begin"/>
            </w:r>
            <w:r w:rsidR="00CC7286" w:rsidRPr="00B35732">
              <w:rPr>
                <w:noProof/>
                <w:webHidden/>
              </w:rPr>
              <w:instrText xml:space="preserve"> PAGEREF _Toc212099411 \h </w:instrText>
            </w:r>
            <w:r w:rsidR="00CC7286" w:rsidRPr="00B35732">
              <w:rPr>
                <w:noProof/>
                <w:webHidden/>
              </w:rPr>
            </w:r>
            <w:r w:rsidR="00CC7286" w:rsidRPr="00B35732">
              <w:rPr>
                <w:noProof/>
                <w:webHidden/>
              </w:rPr>
              <w:fldChar w:fldCharType="separate"/>
            </w:r>
            <w:r w:rsidR="00B35732">
              <w:rPr>
                <w:noProof/>
                <w:webHidden/>
              </w:rPr>
              <w:t>10</w:t>
            </w:r>
            <w:r w:rsidR="00CC7286" w:rsidRPr="00B35732">
              <w:rPr>
                <w:noProof/>
                <w:webHidden/>
              </w:rPr>
              <w:fldChar w:fldCharType="end"/>
            </w:r>
          </w:hyperlink>
        </w:p>
        <w:p w14:paraId="6A5F2E15" w14:textId="10ABA968" w:rsidR="00CC7286" w:rsidRPr="00B35732" w:rsidRDefault="00F436BD" w:rsidP="00CC7286">
          <w:pPr>
            <w:pStyle w:val="TDC3"/>
            <w:rPr>
              <w:rFonts w:asciiTheme="minorHAnsi" w:eastAsiaTheme="minorEastAsia" w:hAnsiTheme="minorHAnsi" w:cstheme="minorBidi"/>
              <w:noProof/>
              <w:szCs w:val="22"/>
              <w:lang w:eastAsia="es-MX"/>
            </w:rPr>
          </w:pPr>
          <w:hyperlink w:anchor="_Toc212099412" w:history="1">
            <w:r w:rsidR="00CC7286" w:rsidRPr="00B35732">
              <w:rPr>
                <w:rStyle w:val="Hipervnculo"/>
                <w:rFonts w:eastAsiaTheme="majorEastAsia"/>
                <w:noProof/>
                <w:color w:val="auto"/>
              </w:rPr>
              <w:t>a) Competencia del Instituto</w:t>
            </w:r>
            <w:r w:rsidR="00CC7286" w:rsidRPr="00B35732">
              <w:rPr>
                <w:noProof/>
                <w:webHidden/>
              </w:rPr>
              <w:tab/>
            </w:r>
            <w:r w:rsidR="00CC7286" w:rsidRPr="00B35732">
              <w:rPr>
                <w:noProof/>
                <w:webHidden/>
              </w:rPr>
              <w:fldChar w:fldCharType="begin"/>
            </w:r>
            <w:r w:rsidR="00CC7286" w:rsidRPr="00B35732">
              <w:rPr>
                <w:noProof/>
                <w:webHidden/>
              </w:rPr>
              <w:instrText xml:space="preserve"> PAGEREF _Toc212099412 \h </w:instrText>
            </w:r>
            <w:r w:rsidR="00CC7286" w:rsidRPr="00B35732">
              <w:rPr>
                <w:noProof/>
                <w:webHidden/>
              </w:rPr>
            </w:r>
            <w:r w:rsidR="00CC7286" w:rsidRPr="00B35732">
              <w:rPr>
                <w:noProof/>
                <w:webHidden/>
              </w:rPr>
              <w:fldChar w:fldCharType="separate"/>
            </w:r>
            <w:r w:rsidR="00B35732">
              <w:rPr>
                <w:noProof/>
                <w:webHidden/>
              </w:rPr>
              <w:t>10</w:t>
            </w:r>
            <w:r w:rsidR="00CC7286" w:rsidRPr="00B35732">
              <w:rPr>
                <w:noProof/>
                <w:webHidden/>
              </w:rPr>
              <w:fldChar w:fldCharType="end"/>
            </w:r>
          </w:hyperlink>
        </w:p>
        <w:p w14:paraId="6077D4DC" w14:textId="0E80722B" w:rsidR="00CC7286" w:rsidRPr="00B35732" w:rsidRDefault="00F436BD" w:rsidP="00CC7286">
          <w:pPr>
            <w:pStyle w:val="TDC3"/>
            <w:rPr>
              <w:rFonts w:asciiTheme="minorHAnsi" w:eastAsiaTheme="minorEastAsia" w:hAnsiTheme="minorHAnsi" w:cstheme="minorBidi"/>
              <w:noProof/>
              <w:szCs w:val="22"/>
              <w:lang w:eastAsia="es-MX"/>
            </w:rPr>
          </w:pPr>
          <w:hyperlink w:anchor="_Toc212099413" w:history="1">
            <w:r w:rsidR="00CC7286" w:rsidRPr="00B35732">
              <w:rPr>
                <w:rStyle w:val="Hipervnculo"/>
                <w:rFonts w:eastAsiaTheme="majorEastAsia"/>
                <w:noProof/>
                <w:color w:val="auto"/>
              </w:rPr>
              <w:t>b) Legitimidad de la parte recurrente</w:t>
            </w:r>
            <w:r w:rsidR="00CC7286" w:rsidRPr="00B35732">
              <w:rPr>
                <w:noProof/>
                <w:webHidden/>
              </w:rPr>
              <w:tab/>
            </w:r>
            <w:r w:rsidR="00CC7286" w:rsidRPr="00B35732">
              <w:rPr>
                <w:noProof/>
                <w:webHidden/>
              </w:rPr>
              <w:fldChar w:fldCharType="begin"/>
            </w:r>
            <w:r w:rsidR="00CC7286" w:rsidRPr="00B35732">
              <w:rPr>
                <w:noProof/>
                <w:webHidden/>
              </w:rPr>
              <w:instrText xml:space="preserve"> PAGEREF _Toc212099413 \h </w:instrText>
            </w:r>
            <w:r w:rsidR="00CC7286" w:rsidRPr="00B35732">
              <w:rPr>
                <w:noProof/>
                <w:webHidden/>
              </w:rPr>
            </w:r>
            <w:r w:rsidR="00CC7286" w:rsidRPr="00B35732">
              <w:rPr>
                <w:noProof/>
                <w:webHidden/>
              </w:rPr>
              <w:fldChar w:fldCharType="separate"/>
            </w:r>
            <w:r w:rsidR="00B35732">
              <w:rPr>
                <w:noProof/>
                <w:webHidden/>
              </w:rPr>
              <w:t>10</w:t>
            </w:r>
            <w:r w:rsidR="00CC7286" w:rsidRPr="00B35732">
              <w:rPr>
                <w:noProof/>
                <w:webHidden/>
              </w:rPr>
              <w:fldChar w:fldCharType="end"/>
            </w:r>
          </w:hyperlink>
        </w:p>
        <w:p w14:paraId="702DF813" w14:textId="61A300D9" w:rsidR="00CC7286" w:rsidRPr="00B35732" w:rsidRDefault="00F436BD" w:rsidP="00CC7286">
          <w:pPr>
            <w:pStyle w:val="TDC3"/>
            <w:rPr>
              <w:rFonts w:asciiTheme="minorHAnsi" w:eastAsiaTheme="minorEastAsia" w:hAnsiTheme="minorHAnsi" w:cstheme="minorBidi"/>
              <w:noProof/>
              <w:szCs w:val="22"/>
              <w:lang w:eastAsia="es-MX"/>
            </w:rPr>
          </w:pPr>
          <w:hyperlink w:anchor="_Toc212099414" w:history="1">
            <w:r w:rsidR="00CC7286" w:rsidRPr="00B35732">
              <w:rPr>
                <w:rStyle w:val="Hipervnculo"/>
                <w:rFonts w:eastAsiaTheme="majorEastAsia"/>
                <w:noProof/>
                <w:color w:val="auto"/>
              </w:rPr>
              <w:t>c) Plazo para interponer el recurso</w:t>
            </w:r>
            <w:r w:rsidR="00CC7286" w:rsidRPr="00B35732">
              <w:rPr>
                <w:noProof/>
                <w:webHidden/>
              </w:rPr>
              <w:tab/>
            </w:r>
            <w:r w:rsidR="00CC7286" w:rsidRPr="00B35732">
              <w:rPr>
                <w:noProof/>
                <w:webHidden/>
              </w:rPr>
              <w:fldChar w:fldCharType="begin"/>
            </w:r>
            <w:r w:rsidR="00CC7286" w:rsidRPr="00B35732">
              <w:rPr>
                <w:noProof/>
                <w:webHidden/>
              </w:rPr>
              <w:instrText xml:space="preserve"> PAGEREF _Toc212099414 \h </w:instrText>
            </w:r>
            <w:r w:rsidR="00CC7286" w:rsidRPr="00B35732">
              <w:rPr>
                <w:noProof/>
                <w:webHidden/>
              </w:rPr>
            </w:r>
            <w:r w:rsidR="00CC7286" w:rsidRPr="00B35732">
              <w:rPr>
                <w:noProof/>
                <w:webHidden/>
              </w:rPr>
              <w:fldChar w:fldCharType="separate"/>
            </w:r>
            <w:r w:rsidR="00B35732">
              <w:rPr>
                <w:noProof/>
                <w:webHidden/>
              </w:rPr>
              <w:t>10</w:t>
            </w:r>
            <w:r w:rsidR="00CC7286" w:rsidRPr="00B35732">
              <w:rPr>
                <w:noProof/>
                <w:webHidden/>
              </w:rPr>
              <w:fldChar w:fldCharType="end"/>
            </w:r>
          </w:hyperlink>
        </w:p>
        <w:p w14:paraId="2E92F048" w14:textId="3AF8687B" w:rsidR="00CC7286" w:rsidRPr="00B35732" w:rsidRDefault="00F436BD" w:rsidP="00CC7286">
          <w:pPr>
            <w:pStyle w:val="TDC3"/>
            <w:rPr>
              <w:rFonts w:asciiTheme="minorHAnsi" w:eastAsiaTheme="minorEastAsia" w:hAnsiTheme="minorHAnsi" w:cstheme="minorBidi"/>
              <w:noProof/>
              <w:szCs w:val="22"/>
              <w:lang w:eastAsia="es-MX"/>
            </w:rPr>
          </w:pPr>
          <w:hyperlink w:anchor="_Toc212099415" w:history="1">
            <w:r w:rsidR="00CC7286" w:rsidRPr="00B35732">
              <w:rPr>
                <w:rStyle w:val="Hipervnculo"/>
                <w:rFonts w:eastAsiaTheme="majorEastAsia"/>
                <w:noProof/>
                <w:color w:val="auto"/>
              </w:rPr>
              <w:t>d) Causal de procedencia</w:t>
            </w:r>
            <w:r w:rsidR="00CC7286" w:rsidRPr="00B35732">
              <w:rPr>
                <w:noProof/>
                <w:webHidden/>
              </w:rPr>
              <w:tab/>
            </w:r>
            <w:r w:rsidR="00CC7286" w:rsidRPr="00B35732">
              <w:rPr>
                <w:noProof/>
                <w:webHidden/>
              </w:rPr>
              <w:fldChar w:fldCharType="begin"/>
            </w:r>
            <w:r w:rsidR="00CC7286" w:rsidRPr="00B35732">
              <w:rPr>
                <w:noProof/>
                <w:webHidden/>
              </w:rPr>
              <w:instrText xml:space="preserve"> PAGEREF _Toc212099415 \h </w:instrText>
            </w:r>
            <w:r w:rsidR="00CC7286" w:rsidRPr="00B35732">
              <w:rPr>
                <w:noProof/>
                <w:webHidden/>
              </w:rPr>
            </w:r>
            <w:r w:rsidR="00CC7286" w:rsidRPr="00B35732">
              <w:rPr>
                <w:noProof/>
                <w:webHidden/>
              </w:rPr>
              <w:fldChar w:fldCharType="separate"/>
            </w:r>
            <w:r w:rsidR="00B35732">
              <w:rPr>
                <w:noProof/>
                <w:webHidden/>
              </w:rPr>
              <w:t>11</w:t>
            </w:r>
            <w:r w:rsidR="00CC7286" w:rsidRPr="00B35732">
              <w:rPr>
                <w:noProof/>
                <w:webHidden/>
              </w:rPr>
              <w:fldChar w:fldCharType="end"/>
            </w:r>
          </w:hyperlink>
        </w:p>
        <w:p w14:paraId="5618CBE7" w14:textId="0B980F96" w:rsidR="00CC7286" w:rsidRPr="00B35732" w:rsidRDefault="00F436BD" w:rsidP="00CC7286">
          <w:pPr>
            <w:pStyle w:val="TDC3"/>
            <w:rPr>
              <w:rFonts w:asciiTheme="minorHAnsi" w:eastAsiaTheme="minorEastAsia" w:hAnsiTheme="minorHAnsi" w:cstheme="minorBidi"/>
              <w:noProof/>
              <w:szCs w:val="22"/>
              <w:lang w:eastAsia="es-MX"/>
            </w:rPr>
          </w:pPr>
          <w:hyperlink w:anchor="_Toc212099416" w:history="1">
            <w:r w:rsidR="00CC7286" w:rsidRPr="00B35732">
              <w:rPr>
                <w:rStyle w:val="Hipervnculo"/>
                <w:rFonts w:eastAsiaTheme="majorEastAsia"/>
                <w:noProof/>
                <w:color w:val="auto"/>
              </w:rPr>
              <w:t>e) Requisitos formales para la interposición del recurso</w:t>
            </w:r>
            <w:r w:rsidR="00CC7286" w:rsidRPr="00B35732">
              <w:rPr>
                <w:noProof/>
                <w:webHidden/>
              </w:rPr>
              <w:tab/>
            </w:r>
            <w:r w:rsidR="00CC7286" w:rsidRPr="00B35732">
              <w:rPr>
                <w:noProof/>
                <w:webHidden/>
              </w:rPr>
              <w:fldChar w:fldCharType="begin"/>
            </w:r>
            <w:r w:rsidR="00CC7286" w:rsidRPr="00B35732">
              <w:rPr>
                <w:noProof/>
                <w:webHidden/>
              </w:rPr>
              <w:instrText xml:space="preserve"> PAGEREF _Toc212099416 \h </w:instrText>
            </w:r>
            <w:r w:rsidR="00CC7286" w:rsidRPr="00B35732">
              <w:rPr>
                <w:noProof/>
                <w:webHidden/>
              </w:rPr>
            </w:r>
            <w:r w:rsidR="00CC7286" w:rsidRPr="00B35732">
              <w:rPr>
                <w:noProof/>
                <w:webHidden/>
              </w:rPr>
              <w:fldChar w:fldCharType="separate"/>
            </w:r>
            <w:r w:rsidR="00B35732">
              <w:rPr>
                <w:noProof/>
                <w:webHidden/>
              </w:rPr>
              <w:t>11</w:t>
            </w:r>
            <w:r w:rsidR="00CC7286" w:rsidRPr="00B35732">
              <w:rPr>
                <w:noProof/>
                <w:webHidden/>
              </w:rPr>
              <w:fldChar w:fldCharType="end"/>
            </w:r>
          </w:hyperlink>
        </w:p>
        <w:p w14:paraId="10533D47" w14:textId="4B10550A" w:rsidR="00CC7286" w:rsidRPr="00B35732" w:rsidRDefault="00F436BD" w:rsidP="00CC7286">
          <w:pPr>
            <w:pStyle w:val="TDC3"/>
            <w:rPr>
              <w:rFonts w:asciiTheme="minorHAnsi" w:eastAsiaTheme="minorEastAsia" w:hAnsiTheme="minorHAnsi" w:cstheme="minorBidi"/>
              <w:noProof/>
              <w:szCs w:val="22"/>
              <w:lang w:eastAsia="es-MX"/>
            </w:rPr>
          </w:pPr>
          <w:hyperlink w:anchor="_Toc212099417" w:history="1">
            <w:r w:rsidR="00CC7286" w:rsidRPr="00B35732">
              <w:rPr>
                <w:rStyle w:val="Hipervnculo"/>
                <w:rFonts w:eastAsiaTheme="majorEastAsia"/>
                <w:noProof/>
                <w:color w:val="auto"/>
              </w:rPr>
              <w:t>f) Acumulación de los Recursos de Revisión</w:t>
            </w:r>
            <w:r w:rsidR="00CC7286" w:rsidRPr="00B35732">
              <w:rPr>
                <w:noProof/>
                <w:webHidden/>
              </w:rPr>
              <w:tab/>
            </w:r>
            <w:r w:rsidR="00CC7286" w:rsidRPr="00B35732">
              <w:rPr>
                <w:noProof/>
                <w:webHidden/>
              </w:rPr>
              <w:fldChar w:fldCharType="begin"/>
            </w:r>
            <w:r w:rsidR="00CC7286" w:rsidRPr="00B35732">
              <w:rPr>
                <w:noProof/>
                <w:webHidden/>
              </w:rPr>
              <w:instrText xml:space="preserve"> PAGEREF _Toc212099417 \h </w:instrText>
            </w:r>
            <w:r w:rsidR="00CC7286" w:rsidRPr="00B35732">
              <w:rPr>
                <w:noProof/>
                <w:webHidden/>
              </w:rPr>
            </w:r>
            <w:r w:rsidR="00CC7286" w:rsidRPr="00B35732">
              <w:rPr>
                <w:noProof/>
                <w:webHidden/>
              </w:rPr>
              <w:fldChar w:fldCharType="separate"/>
            </w:r>
            <w:r w:rsidR="00B35732">
              <w:rPr>
                <w:noProof/>
                <w:webHidden/>
              </w:rPr>
              <w:t>12</w:t>
            </w:r>
            <w:r w:rsidR="00CC7286" w:rsidRPr="00B35732">
              <w:rPr>
                <w:noProof/>
                <w:webHidden/>
              </w:rPr>
              <w:fldChar w:fldCharType="end"/>
            </w:r>
          </w:hyperlink>
        </w:p>
        <w:p w14:paraId="646296E5" w14:textId="703A8AEB" w:rsidR="00CC7286" w:rsidRPr="00B35732" w:rsidRDefault="00F436BD" w:rsidP="00CC7286">
          <w:pPr>
            <w:pStyle w:val="TDC2"/>
            <w:rPr>
              <w:rFonts w:asciiTheme="minorHAnsi" w:eastAsiaTheme="minorEastAsia" w:hAnsiTheme="minorHAnsi" w:cstheme="minorBidi"/>
              <w:noProof/>
              <w:szCs w:val="22"/>
              <w:lang w:eastAsia="es-MX"/>
            </w:rPr>
          </w:pPr>
          <w:hyperlink w:anchor="_Toc212099418" w:history="1">
            <w:r w:rsidR="00CC7286" w:rsidRPr="00B35732">
              <w:rPr>
                <w:rStyle w:val="Hipervnculo"/>
                <w:rFonts w:eastAsiaTheme="majorEastAsia" w:cstheme="majorBidi"/>
                <w:noProof/>
                <w:color w:val="auto"/>
              </w:rPr>
              <w:t>SEGUNDO. Estudio de Fondo</w:t>
            </w:r>
            <w:r w:rsidR="00CC7286" w:rsidRPr="00B35732">
              <w:rPr>
                <w:noProof/>
                <w:webHidden/>
              </w:rPr>
              <w:tab/>
            </w:r>
            <w:r w:rsidR="00CC7286" w:rsidRPr="00B35732">
              <w:rPr>
                <w:noProof/>
                <w:webHidden/>
              </w:rPr>
              <w:fldChar w:fldCharType="begin"/>
            </w:r>
            <w:r w:rsidR="00CC7286" w:rsidRPr="00B35732">
              <w:rPr>
                <w:noProof/>
                <w:webHidden/>
              </w:rPr>
              <w:instrText xml:space="preserve"> PAGEREF _Toc212099418 \h </w:instrText>
            </w:r>
            <w:r w:rsidR="00CC7286" w:rsidRPr="00B35732">
              <w:rPr>
                <w:noProof/>
                <w:webHidden/>
              </w:rPr>
            </w:r>
            <w:r w:rsidR="00CC7286" w:rsidRPr="00B35732">
              <w:rPr>
                <w:noProof/>
                <w:webHidden/>
              </w:rPr>
              <w:fldChar w:fldCharType="separate"/>
            </w:r>
            <w:r w:rsidR="00B35732">
              <w:rPr>
                <w:noProof/>
                <w:webHidden/>
              </w:rPr>
              <w:t>12</w:t>
            </w:r>
            <w:r w:rsidR="00CC7286" w:rsidRPr="00B35732">
              <w:rPr>
                <w:noProof/>
                <w:webHidden/>
              </w:rPr>
              <w:fldChar w:fldCharType="end"/>
            </w:r>
          </w:hyperlink>
        </w:p>
        <w:p w14:paraId="3543C1AF" w14:textId="6A573A78" w:rsidR="00CC7286" w:rsidRPr="00B35732" w:rsidRDefault="00F436BD" w:rsidP="00CC7286">
          <w:pPr>
            <w:pStyle w:val="TDC3"/>
            <w:rPr>
              <w:rFonts w:asciiTheme="minorHAnsi" w:eastAsiaTheme="minorEastAsia" w:hAnsiTheme="minorHAnsi" w:cstheme="minorBidi"/>
              <w:noProof/>
              <w:szCs w:val="22"/>
              <w:lang w:eastAsia="es-MX"/>
            </w:rPr>
          </w:pPr>
          <w:hyperlink w:anchor="_Toc212099419" w:history="1">
            <w:r w:rsidR="00CC7286" w:rsidRPr="00B35732">
              <w:rPr>
                <w:rStyle w:val="Hipervnculo"/>
                <w:rFonts w:eastAsiaTheme="majorEastAsia"/>
                <w:noProof/>
                <w:color w:val="auto"/>
              </w:rPr>
              <w:t>a) Mandato de transparencia y responsabilidad del Sujeto Obligado</w:t>
            </w:r>
            <w:r w:rsidR="00CC7286" w:rsidRPr="00B35732">
              <w:rPr>
                <w:noProof/>
                <w:webHidden/>
              </w:rPr>
              <w:tab/>
            </w:r>
            <w:r w:rsidR="00CC7286" w:rsidRPr="00B35732">
              <w:rPr>
                <w:noProof/>
                <w:webHidden/>
              </w:rPr>
              <w:fldChar w:fldCharType="begin"/>
            </w:r>
            <w:r w:rsidR="00CC7286" w:rsidRPr="00B35732">
              <w:rPr>
                <w:noProof/>
                <w:webHidden/>
              </w:rPr>
              <w:instrText xml:space="preserve"> PAGEREF _Toc212099419 \h </w:instrText>
            </w:r>
            <w:r w:rsidR="00CC7286" w:rsidRPr="00B35732">
              <w:rPr>
                <w:noProof/>
                <w:webHidden/>
              </w:rPr>
            </w:r>
            <w:r w:rsidR="00CC7286" w:rsidRPr="00B35732">
              <w:rPr>
                <w:noProof/>
                <w:webHidden/>
              </w:rPr>
              <w:fldChar w:fldCharType="separate"/>
            </w:r>
            <w:r w:rsidR="00B35732">
              <w:rPr>
                <w:noProof/>
                <w:webHidden/>
              </w:rPr>
              <w:t>12</w:t>
            </w:r>
            <w:r w:rsidR="00CC7286" w:rsidRPr="00B35732">
              <w:rPr>
                <w:noProof/>
                <w:webHidden/>
              </w:rPr>
              <w:fldChar w:fldCharType="end"/>
            </w:r>
          </w:hyperlink>
        </w:p>
        <w:p w14:paraId="036A1F09" w14:textId="6CFC1EE7" w:rsidR="00CC7286" w:rsidRPr="00B35732" w:rsidRDefault="00F436BD" w:rsidP="00CC7286">
          <w:pPr>
            <w:pStyle w:val="TDC3"/>
            <w:rPr>
              <w:rFonts w:asciiTheme="minorHAnsi" w:eastAsiaTheme="minorEastAsia" w:hAnsiTheme="minorHAnsi" w:cstheme="minorBidi"/>
              <w:noProof/>
              <w:szCs w:val="22"/>
              <w:lang w:eastAsia="es-MX"/>
            </w:rPr>
          </w:pPr>
          <w:hyperlink w:anchor="_Toc212099420" w:history="1">
            <w:r w:rsidR="00CC7286" w:rsidRPr="00B35732">
              <w:rPr>
                <w:rStyle w:val="Hipervnculo"/>
                <w:rFonts w:eastAsiaTheme="majorEastAsia"/>
                <w:noProof/>
                <w:color w:val="auto"/>
              </w:rPr>
              <w:t>b) Controversia a resolver</w:t>
            </w:r>
            <w:r w:rsidR="00CC7286" w:rsidRPr="00B35732">
              <w:rPr>
                <w:noProof/>
                <w:webHidden/>
              </w:rPr>
              <w:tab/>
            </w:r>
            <w:r w:rsidR="00CC7286" w:rsidRPr="00B35732">
              <w:rPr>
                <w:noProof/>
                <w:webHidden/>
              </w:rPr>
              <w:fldChar w:fldCharType="begin"/>
            </w:r>
            <w:r w:rsidR="00CC7286" w:rsidRPr="00B35732">
              <w:rPr>
                <w:noProof/>
                <w:webHidden/>
              </w:rPr>
              <w:instrText xml:space="preserve"> PAGEREF _Toc212099420 \h </w:instrText>
            </w:r>
            <w:r w:rsidR="00CC7286" w:rsidRPr="00B35732">
              <w:rPr>
                <w:noProof/>
                <w:webHidden/>
              </w:rPr>
            </w:r>
            <w:r w:rsidR="00CC7286" w:rsidRPr="00B35732">
              <w:rPr>
                <w:noProof/>
                <w:webHidden/>
              </w:rPr>
              <w:fldChar w:fldCharType="separate"/>
            </w:r>
            <w:r w:rsidR="00B35732">
              <w:rPr>
                <w:noProof/>
                <w:webHidden/>
              </w:rPr>
              <w:t>15</w:t>
            </w:r>
            <w:r w:rsidR="00CC7286" w:rsidRPr="00B35732">
              <w:rPr>
                <w:noProof/>
                <w:webHidden/>
              </w:rPr>
              <w:fldChar w:fldCharType="end"/>
            </w:r>
          </w:hyperlink>
        </w:p>
        <w:p w14:paraId="19354230" w14:textId="3751321B" w:rsidR="00CC7286" w:rsidRPr="00B35732" w:rsidRDefault="00F436BD" w:rsidP="00CC7286">
          <w:pPr>
            <w:pStyle w:val="TDC3"/>
            <w:rPr>
              <w:rFonts w:asciiTheme="minorHAnsi" w:eastAsiaTheme="minorEastAsia" w:hAnsiTheme="minorHAnsi" w:cstheme="minorBidi"/>
              <w:noProof/>
              <w:szCs w:val="22"/>
              <w:lang w:eastAsia="es-MX"/>
            </w:rPr>
          </w:pPr>
          <w:hyperlink w:anchor="_Toc212099421" w:history="1">
            <w:r w:rsidR="00CC7286" w:rsidRPr="00B35732">
              <w:rPr>
                <w:rStyle w:val="Hipervnculo"/>
                <w:rFonts w:eastAsiaTheme="majorEastAsia"/>
                <w:noProof/>
                <w:color w:val="auto"/>
              </w:rPr>
              <w:t>c) Estudio de la controversia.</w:t>
            </w:r>
            <w:r w:rsidR="00CC7286" w:rsidRPr="00B35732">
              <w:rPr>
                <w:noProof/>
                <w:webHidden/>
              </w:rPr>
              <w:tab/>
            </w:r>
            <w:r w:rsidR="00CC7286" w:rsidRPr="00B35732">
              <w:rPr>
                <w:noProof/>
                <w:webHidden/>
              </w:rPr>
              <w:fldChar w:fldCharType="begin"/>
            </w:r>
            <w:r w:rsidR="00CC7286" w:rsidRPr="00B35732">
              <w:rPr>
                <w:noProof/>
                <w:webHidden/>
              </w:rPr>
              <w:instrText xml:space="preserve"> PAGEREF _Toc212099421 \h </w:instrText>
            </w:r>
            <w:r w:rsidR="00CC7286" w:rsidRPr="00B35732">
              <w:rPr>
                <w:noProof/>
                <w:webHidden/>
              </w:rPr>
            </w:r>
            <w:r w:rsidR="00CC7286" w:rsidRPr="00B35732">
              <w:rPr>
                <w:noProof/>
                <w:webHidden/>
              </w:rPr>
              <w:fldChar w:fldCharType="separate"/>
            </w:r>
            <w:r w:rsidR="00B35732">
              <w:rPr>
                <w:noProof/>
                <w:webHidden/>
              </w:rPr>
              <w:t>16</w:t>
            </w:r>
            <w:r w:rsidR="00CC7286" w:rsidRPr="00B35732">
              <w:rPr>
                <w:noProof/>
                <w:webHidden/>
              </w:rPr>
              <w:fldChar w:fldCharType="end"/>
            </w:r>
          </w:hyperlink>
        </w:p>
        <w:p w14:paraId="2B38DB78" w14:textId="244E035F" w:rsidR="00CC7286" w:rsidRPr="00B35732" w:rsidRDefault="00F436BD" w:rsidP="00CC7286">
          <w:pPr>
            <w:pStyle w:val="TDC3"/>
            <w:rPr>
              <w:rFonts w:asciiTheme="minorHAnsi" w:eastAsiaTheme="minorEastAsia" w:hAnsiTheme="minorHAnsi" w:cstheme="minorBidi"/>
              <w:noProof/>
              <w:szCs w:val="22"/>
              <w:lang w:eastAsia="es-MX"/>
            </w:rPr>
          </w:pPr>
          <w:hyperlink w:anchor="_Toc212099422" w:history="1">
            <w:r w:rsidR="00CC7286" w:rsidRPr="00B35732">
              <w:rPr>
                <w:rStyle w:val="Hipervnculo"/>
                <w:rFonts w:eastAsiaTheme="majorEastAsia"/>
                <w:noProof/>
                <w:color w:val="auto"/>
              </w:rPr>
              <w:t>d) Versión pública</w:t>
            </w:r>
            <w:r w:rsidR="00CC7286" w:rsidRPr="00B35732">
              <w:rPr>
                <w:noProof/>
                <w:webHidden/>
              </w:rPr>
              <w:tab/>
            </w:r>
            <w:r w:rsidR="00CC7286" w:rsidRPr="00B35732">
              <w:rPr>
                <w:noProof/>
                <w:webHidden/>
              </w:rPr>
              <w:fldChar w:fldCharType="begin"/>
            </w:r>
            <w:r w:rsidR="00CC7286" w:rsidRPr="00B35732">
              <w:rPr>
                <w:noProof/>
                <w:webHidden/>
              </w:rPr>
              <w:instrText xml:space="preserve"> PAGEREF _Toc212099422 \h </w:instrText>
            </w:r>
            <w:r w:rsidR="00CC7286" w:rsidRPr="00B35732">
              <w:rPr>
                <w:noProof/>
                <w:webHidden/>
              </w:rPr>
            </w:r>
            <w:r w:rsidR="00CC7286" w:rsidRPr="00B35732">
              <w:rPr>
                <w:noProof/>
                <w:webHidden/>
              </w:rPr>
              <w:fldChar w:fldCharType="separate"/>
            </w:r>
            <w:r w:rsidR="00B35732">
              <w:rPr>
                <w:noProof/>
                <w:webHidden/>
              </w:rPr>
              <w:t>21</w:t>
            </w:r>
            <w:r w:rsidR="00CC7286" w:rsidRPr="00B35732">
              <w:rPr>
                <w:noProof/>
                <w:webHidden/>
              </w:rPr>
              <w:fldChar w:fldCharType="end"/>
            </w:r>
          </w:hyperlink>
        </w:p>
        <w:p w14:paraId="3F484EA1" w14:textId="50644563" w:rsidR="00CC7286" w:rsidRPr="00B35732" w:rsidRDefault="00F436BD" w:rsidP="00CC7286">
          <w:pPr>
            <w:pStyle w:val="TDC3"/>
            <w:rPr>
              <w:rFonts w:asciiTheme="minorHAnsi" w:eastAsiaTheme="minorEastAsia" w:hAnsiTheme="minorHAnsi" w:cstheme="minorBidi"/>
              <w:noProof/>
              <w:szCs w:val="22"/>
              <w:lang w:eastAsia="es-MX"/>
            </w:rPr>
          </w:pPr>
          <w:hyperlink w:anchor="_Toc212099423" w:history="1">
            <w:r w:rsidR="00CC7286" w:rsidRPr="00B35732">
              <w:rPr>
                <w:rStyle w:val="Hipervnculo"/>
                <w:rFonts w:eastAsiaTheme="majorEastAsia"/>
                <w:noProof/>
                <w:color w:val="auto"/>
              </w:rPr>
              <w:t>e) Conclusión.</w:t>
            </w:r>
            <w:r w:rsidR="00CC7286" w:rsidRPr="00B35732">
              <w:rPr>
                <w:noProof/>
                <w:webHidden/>
              </w:rPr>
              <w:tab/>
            </w:r>
            <w:r w:rsidR="00CC7286" w:rsidRPr="00B35732">
              <w:rPr>
                <w:noProof/>
                <w:webHidden/>
              </w:rPr>
              <w:fldChar w:fldCharType="begin"/>
            </w:r>
            <w:r w:rsidR="00CC7286" w:rsidRPr="00B35732">
              <w:rPr>
                <w:noProof/>
                <w:webHidden/>
              </w:rPr>
              <w:instrText xml:space="preserve"> PAGEREF _Toc212099423 \h </w:instrText>
            </w:r>
            <w:r w:rsidR="00CC7286" w:rsidRPr="00B35732">
              <w:rPr>
                <w:noProof/>
                <w:webHidden/>
              </w:rPr>
            </w:r>
            <w:r w:rsidR="00CC7286" w:rsidRPr="00B35732">
              <w:rPr>
                <w:noProof/>
                <w:webHidden/>
              </w:rPr>
              <w:fldChar w:fldCharType="separate"/>
            </w:r>
            <w:r w:rsidR="00B35732">
              <w:rPr>
                <w:noProof/>
                <w:webHidden/>
              </w:rPr>
              <w:t>38</w:t>
            </w:r>
            <w:r w:rsidR="00CC7286" w:rsidRPr="00B35732">
              <w:rPr>
                <w:noProof/>
                <w:webHidden/>
              </w:rPr>
              <w:fldChar w:fldCharType="end"/>
            </w:r>
          </w:hyperlink>
        </w:p>
        <w:p w14:paraId="53FD4DA1" w14:textId="216C5793" w:rsidR="00CC7286" w:rsidRPr="00B35732" w:rsidRDefault="00F436BD" w:rsidP="00CC7286">
          <w:pPr>
            <w:pStyle w:val="TDC1"/>
            <w:tabs>
              <w:tab w:val="right" w:leader="dot" w:pos="9034"/>
            </w:tabs>
            <w:rPr>
              <w:rFonts w:asciiTheme="minorHAnsi" w:eastAsiaTheme="minorEastAsia" w:hAnsiTheme="minorHAnsi" w:cstheme="minorBidi"/>
              <w:noProof/>
              <w:szCs w:val="22"/>
              <w:lang w:eastAsia="es-MX"/>
            </w:rPr>
          </w:pPr>
          <w:hyperlink w:anchor="_Toc212099424" w:history="1">
            <w:r w:rsidR="00CC7286" w:rsidRPr="00B35732">
              <w:rPr>
                <w:rStyle w:val="Hipervnculo"/>
                <w:rFonts w:eastAsiaTheme="majorEastAsia"/>
                <w:noProof/>
                <w:color w:val="auto"/>
              </w:rPr>
              <w:t>RESUELVE</w:t>
            </w:r>
            <w:r w:rsidR="00CC7286" w:rsidRPr="00B35732">
              <w:rPr>
                <w:noProof/>
                <w:webHidden/>
              </w:rPr>
              <w:tab/>
            </w:r>
            <w:r w:rsidR="00CC7286" w:rsidRPr="00B35732">
              <w:rPr>
                <w:noProof/>
                <w:webHidden/>
              </w:rPr>
              <w:fldChar w:fldCharType="begin"/>
            </w:r>
            <w:r w:rsidR="00CC7286" w:rsidRPr="00B35732">
              <w:rPr>
                <w:noProof/>
                <w:webHidden/>
              </w:rPr>
              <w:instrText xml:space="preserve"> PAGEREF _Toc212099424 \h </w:instrText>
            </w:r>
            <w:r w:rsidR="00CC7286" w:rsidRPr="00B35732">
              <w:rPr>
                <w:noProof/>
                <w:webHidden/>
              </w:rPr>
            </w:r>
            <w:r w:rsidR="00CC7286" w:rsidRPr="00B35732">
              <w:rPr>
                <w:noProof/>
                <w:webHidden/>
              </w:rPr>
              <w:fldChar w:fldCharType="separate"/>
            </w:r>
            <w:r w:rsidR="00B35732">
              <w:rPr>
                <w:noProof/>
                <w:webHidden/>
              </w:rPr>
              <w:t>38</w:t>
            </w:r>
            <w:r w:rsidR="00CC7286" w:rsidRPr="00B35732">
              <w:rPr>
                <w:noProof/>
                <w:webHidden/>
              </w:rPr>
              <w:fldChar w:fldCharType="end"/>
            </w:r>
          </w:hyperlink>
        </w:p>
        <w:p w14:paraId="7A26C97C" w14:textId="48C8AF7E" w:rsidR="00FA166A" w:rsidRPr="00B35732" w:rsidRDefault="00FA166A" w:rsidP="00CC7286">
          <w:pPr>
            <w:rPr>
              <w:szCs w:val="22"/>
            </w:rPr>
          </w:pPr>
          <w:r w:rsidRPr="00B35732">
            <w:rPr>
              <w:b/>
              <w:bCs/>
              <w:szCs w:val="22"/>
              <w:lang w:val="es-ES"/>
            </w:rPr>
            <w:fldChar w:fldCharType="end"/>
          </w:r>
        </w:p>
      </w:sdtContent>
    </w:sdt>
    <w:p w14:paraId="3D0C9561" w14:textId="77777777" w:rsidR="001910CD" w:rsidRPr="00B35732" w:rsidRDefault="001910CD" w:rsidP="00CC7286">
      <w:pPr>
        <w:widowControl w:val="0"/>
        <w:pBdr>
          <w:top w:val="nil"/>
          <w:left w:val="nil"/>
          <w:bottom w:val="nil"/>
          <w:right w:val="nil"/>
          <w:between w:val="nil"/>
        </w:pBdr>
        <w:jc w:val="left"/>
        <w:rPr>
          <w:szCs w:val="22"/>
        </w:rPr>
      </w:pPr>
    </w:p>
    <w:p w14:paraId="26CB837B" w14:textId="77777777" w:rsidR="001910CD" w:rsidRPr="00B35732" w:rsidRDefault="001910CD" w:rsidP="00CC7286">
      <w:pPr>
        <w:rPr>
          <w:b/>
          <w:szCs w:val="22"/>
        </w:rPr>
      </w:pPr>
    </w:p>
    <w:p w14:paraId="687FC5F8" w14:textId="77777777" w:rsidR="001910CD" w:rsidRPr="00B35732" w:rsidRDefault="001910CD" w:rsidP="00CC7286">
      <w:pPr>
        <w:rPr>
          <w:szCs w:val="22"/>
        </w:rPr>
        <w:sectPr w:rsidR="001910CD" w:rsidRPr="00B35732">
          <w:headerReference w:type="default" r:id="rId9"/>
          <w:footerReference w:type="default" r:id="rId10"/>
          <w:headerReference w:type="first" r:id="rId11"/>
          <w:pgSz w:w="12240" w:h="15840"/>
          <w:pgMar w:top="2552" w:right="1608" w:bottom="1701" w:left="1588" w:header="709" w:footer="737" w:gutter="0"/>
          <w:pgNumType w:start="1"/>
          <w:cols w:space="720"/>
          <w:titlePg/>
        </w:sectPr>
      </w:pPr>
    </w:p>
    <w:p w14:paraId="08DAB575" w14:textId="083EE563" w:rsidR="001910CD" w:rsidRPr="00B35732" w:rsidRDefault="00593577" w:rsidP="00CC7286">
      <w:pPr>
        <w:rPr>
          <w:b/>
          <w:szCs w:val="22"/>
        </w:rPr>
      </w:pPr>
      <w:r w:rsidRPr="00B35732">
        <w:rPr>
          <w:szCs w:val="22"/>
        </w:rPr>
        <w:lastRenderedPageBreak/>
        <w:t xml:space="preserve">Resolución del Pleno del Instituto de Transparencia, Acceso a la Información Pública y Protección de Datos Personales del Estado de México y Municipios, con domicilio en Metepec, Estado de México, </w:t>
      </w:r>
      <w:r w:rsidRPr="00B35732">
        <w:rPr>
          <w:b/>
          <w:szCs w:val="22"/>
        </w:rPr>
        <w:t>de</w:t>
      </w:r>
      <w:r w:rsidR="00CC7286" w:rsidRPr="00B35732">
        <w:rPr>
          <w:b/>
          <w:szCs w:val="22"/>
        </w:rPr>
        <w:t>l</w:t>
      </w:r>
      <w:r w:rsidRPr="00B35732">
        <w:rPr>
          <w:b/>
          <w:szCs w:val="22"/>
        </w:rPr>
        <w:t xml:space="preserve"> </w:t>
      </w:r>
      <w:r w:rsidR="00ED6DE5" w:rsidRPr="00B35732">
        <w:rPr>
          <w:b/>
          <w:szCs w:val="22"/>
        </w:rPr>
        <w:t xml:space="preserve">veintidós </w:t>
      </w:r>
      <w:r w:rsidR="003E5424" w:rsidRPr="00B35732">
        <w:rPr>
          <w:b/>
          <w:szCs w:val="22"/>
        </w:rPr>
        <w:t xml:space="preserve">de octubre </w:t>
      </w:r>
      <w:r w:rsidRPr="00B35732">
        <w:rPr>
          <w:b/>
          <w:szCs w:val="22"/>
        </w:rPr>
        <w:t xml:space="preserve">de dos mil </w:t>
      </w:r>
      <w:r w:rsidR="008267E3" w:rsidRPr="00B35732">
        <w:rPr>
          <w:b/>
          <w:szCs w:val="22"/>
        </w:rPr>
        <w:t>veinticinco</w:t>
      </w:r>
      <w:r w:rsidRPr="00B35732">
        <w:rPr>
          <w:b/>
          <w:szCs w:val="22"/>
        </w:rPr>
        <w:t>.</w:t>
      </w:r>
    </w:p>
    <w:p w14:paraId="496FEE5E" w14:textId="77777777" w:rsidR="001910CD" w:rsidRPr="00B35732" w:rsidRDefault="001910CD" w:rsidP="00CC7286">
      <w:pPr>
        <w:rPr>
          <w:szCs w:val="22"/>
        </w:rPr>
      </w:pPr>
    </w:p>
    <w:p w14:paraId="66187412" w14:textId="1C658015" w:rsidR="001910CD" w:rsidRPr="00B35732" w:rsidRDefault="00593577" w:rsidP="00CC7286">
      <w:pPr>
        <w:rPr>
          <w:b/>
          <w:szCs w:val="22"/>
        </w:rPr>
      </w:pPr>
      <w:r w:rsidRPr="00B35732">
        <w:rPr>
          <w:b/>
          <w:szCs w:val="22"/>
        </w:rPr>
        <w:t xml:space="preserve">VISTOS </w:t>
      </w:r>
      <w:r w:rsidRPr="00B35732">
        <w:rPr>
          <w:szCs w:val="22"/>
        </w:rPr>
        <w:t xml:space="preserve">los expedientes formados con motivo de los Recursos de Revisión </w:t>
      </w:r>
      <w:r w:rsidR="00005E6F" w:rsidRPr="00B35732">
        <w:rPr>
          <w:b/>
          <w:szCs w:val="22"/>
        </w:rPr>
        <w:t>0</w:t>
      </w:r>
      <w:r w:rsidR="00ED6DE5" w:rsidRPr="00B35732">
        <w:rPr>
          <w:b/>
          <w:szCs w:val="22"/>
        </w:rPr>
        <w:t>7167</w:t>
      </w:r>
      <w:r w:rsidR="009E0AD6" w:rsidRPr="00B35732">
        <w:rPr>
          <w:b/>
          <w:szCs w:val="22"/>
        </w:rPr>
        <w:t>/INFOEM/IP/RR/2025</w:t>
      </w:r>
      <w:r w:rsidR="00005E6F" w:rsidRPr="00B35732">
        <w:rPr>
          <w:b/>
          <w:szCs w:val="22"/>
        </w:rPr>
        <w:t xml:space="preserve">, </w:t>
      </w:r>
      <w:r w:rsidR="00ED6DE5" w:rsidRPr="00B35732">
        <w:rPr>
          <w:b/>
          <w:szCs w:val="22"/>
        </w:rPr>
        <w:t xml:space="preserve">07168/INFOEM/IP/RR/2025, </w:t>
      </w:r>
      <w:r w:rsidR="00005E6F" w:rsidRPr="00B35732">
        <w:rPr>
          <w:b/>
          <w:szCs w:val="22"/>
        </w:rPr>
        <w:t>0</w:t>
      </w:r>
      <w:r w:rsidR="00ED6DE5" w:rsidRPr="00B35732">
        <w:rPr>
          <w:b/>
          <w:szCs w:val="22"/>
        </w:rPr>
        <w:t>7169</w:t>
      </w:r>
      <w:r w:rsidR="00005E6F" w:rsidRPr="00B35732">
        <w:rPr>
          <w:b/>
          <w:szCs w:val="22"/>
        </w:rPr>
        <w:t>/INFOEM/IP/RR/2025</w:t>
      </w:r>
      <w:r w:rsidR="002831D5" w:rsidRPr="00B35732">
        <w:rPr>
          <w:b/>
          <w:szCs w:val="22"/>
        </w:rPr>
        <w:t xml:space="preserve"> </w:t>
      </w:r>
      <w:r w:rsidR="008267E3" w:rsidRPr="00B35732">
        <w:rPr>
          <w:b/>
          <w:szCs w:val="22"/>
        </w:rPr>
        <w:t xml:space="preserve">y </w:t>
      </w:r>
      <w:r w:rsidR="00524A20" w:rsidRPr="00B35732">
        <w:rPr>
          <w:b/>
          <w:szCs w:val="22"/>
        </w:rPr>
        <w:t>0</w:t>
      </w:r>
      <w:r w:rsidR="00ED6DE5" w:rsidRPr="00B35732">
        <w:rPr>
          <w:b/>
          <w:szCs w:val="22"/>
        </w:rPr>
        <w:t>7170</w:t>
      </w:r>
      <w:r w:rsidR="008267E3" w:rsidRPr="00B35732">
        <w:rPr>
          <w:b/>
          <w:szCs w:val="22"/>
        </w:rPr>
        <w:t>/INFOEM/IP/RR/2025</w:t>
      </w:r>
      <w:r w:rsidRPr="00B35732">
        <w:rPr>
          <w:b/>
          <w:szCs w:val="22"/>
        </w:rPr>
        <w:t xml:space="preserve"> </w:t>
      </w:r>
      <w:r w:rsidR="00CC7286" w:rsidRPr="00B35732">
        <w:rPr>
          <w:szCs w:val="22"/>
        </w:rPr>
        <w:t>acumulados</w:t>
      </w:r>
      <w:r w:rsidR="00CC7286" w:rsidRPr="00B35732">
        <w:rPr>
          <w:b/>
          <w:szCs w:val="22"/>
        </w:rPr>
        <w:t xml:space="preserve">, </w:t>
      </w:r>
      <w:r w:rsidRPr="00B35732">
        <w:rPr>
          <w:szCs w:val="22"/>
        </w:rPr>
        <w:t xml:space="preserve">interpuestos por </w:t>
      </w:r>
      <w:bookmarkStart w:id="2" w:name="_GoBack"/>
      <w:r w:rsidR="001E5EC5">
        <w:rPr>
          <w:b/>
          <w:szCs w:val="22"/>
        </w:rPr>
        <w:t>XXXXXXX</w:t>
      </w:r>
      <w:bookmarkEnd w:id="2"/>
      <w:r w:rsidR="00ED6DE5" w:rsidRPr="00B35732">
        <w:rPr>
          <w:b/>
          <w:szCs w:val="22"/>
        </w:rPr>
        <w:t xml:space="preserve"> </w:t>
      </w:r>
      <w:r w:rsidRPr="00B35732">
        <w:rPr>
          <w:szCs w:val="22"/>
        </w:rPr>
        <w:t xml:space="preserve">a quien en lo subsecuente se le denominará </w:t>
      </w:r>
      <w:r w:rsidRPr="00B35732">
        <w:rPr>
          <w:b/>
          <w:szCs w:val="22"/>
        </w:rPr>
        <w:t>LA PARTE RECURRENTE</w:t>
      </w:r>
      <w:r w:rsidRPr="00B35732">
        <w:rPr>
          <w:szCs w:val="22"/>
        </w:rPr>
        <w:t xml:space="preserve">, en contra de las respuestas emitidas por </w:t>
      </w:r>
      <w:r w:rsidR="009E0AD6" w:rsidRPr="00B35732">
        <w:rPr>
          <w:szCs w:val="22"/>
        </w:rPr>
        <w:t>el</w:t>
      </w:r>
      <w:r w:rsidRPr="00B35732">
        <w:rPr>
          <w:szCs w:val="22"/>
        </w:rPr>
        <w:t xml:space="preserve"> </w:t>
      </w:r>
      <w:r w:rsidR="00245075" w:rsidRPr="00B35732">
        <w:rPr>
          <w:b/>
          <w:szCs w:val="22"/>
        </w:rPr>
        <w:t xml:space="preserve">Ayuntamiento de </w:t>
      </w:r>
      <w:r w:rsidR="00ED6DE5" w:rsidRPr="00B35732">
        <w:rPr>
          <w:b/>
          <w:bCs/>
          <w:szCs w:val="22"/>
        </w:rPr>
        <w:t>Teoloyucan</w:t>
      </w:r>
      <w:r w:rsidRPr="00B35732">
        <w:rPr>
          <w:b/>
          <w:szCs w:val="22"/>
        </w:rPr>
        <w:t xml:space="preserve">, </w:t>
      </w:r>
      <w:r w:rsidRPr="00B35732">
        <w:rPr>
          <w:szCs w:val="22"/>
        </w:rPr>
        <w:t xml:space="preserve">en adelante </w:t>
      </w:r>
      <w:r w:rsidRPr="00B35732">
        <w:rPr>
          <w:b/>
          <w:szCs w:val="22"/>
        </w:rPr>
        <w:t>EL SUJETO OBLIGADO</w:t>
      </w:r>
      <w:r w:rsidRPr="00B35732">
        <w:rPr>
          <w:szCs w:val="22"/>
        </w:rPr>
        <w:t>, se emite la presente Resolución con base en los Antecedentes y Considerandos que se exponen a continuación:</w:t>
      </w:r>
    </w:p>
    <w:p w14:paraId="5329D445" w14:textId="77777777" w:rsidR="001910CD" w:rsidRPr="00B35732" w:rsidRDefault="001910CD" w:rsidP="00CC7286">
      <w:pPr>
        <w:rPr>
          <w:szCs w:val="22"/>
        </w:rPr>
      </w:pPr>
    </w:p>
    <w:p w14:paraId="06C12CF8" w14:textId="77777777" w:rsidR="001910CD" w:rsidRPr="00B35732" w:rsidRDefault="00593577" w:rsidP="00CC7286">
      <w:pPr>
        <w:pStyle w:val="Ttulo1"/>
        <w:rPr>
          <w:szCs w:val="22"/>
        </w:rPr>
      </w:pPr>
      <w:bookmarkStart w:id="3" w:name="_Toc212099396"/>
      <w:r w:rsidRPr="00B35732">
        <w:rPr>
          <w:szCs w:val="22"/>
        </w:rPr>
        <w:t>ANTECEDENTES</w:t>
      </w:r>
      <w:bookmarkEnd w:id="3"/>
    </w:p>
    <w:p w14:paraId="3BE6C7AA" w14:textId="77777777" w:rsidR="001910CD" w:rsidRPr="00B35732" w:rsidRDefault="001910CD" w:rsidP="00CC7286">
      <w:pPr>
        <w:rPr>
          <w:szCs w:val="22"/>
        </w:rPr>
      </w:pPr>
    </w:p>
    <w:p w14:paraId="1F86869F" w14:textId="77777777" w:rsidR="001910CD" w:rsidRPr="00B35732" w:rsidRDefault="00593577" w:rsidP="00CC7286">
      <w:pPr>
        <w:pStyle w:val="Ttulo2"/>
        <w:rPr>
          <w:szCs w:val="22"/>
        </w:rPr>
      </w:pPr>
      <w:bookmarkStart w:id="4" w:name="_Toc212099397"/>
      <w:r w:rsidRPr="00B35732">
        <w:rPr>
          <w:szCs w:val="22"/>
        </w:rPr>
        <w:t>DE LAS SOLICITUDES DE INFORMACIÓN</w:t>
      </w:r>
      <w:bookmarkEnd w:id="4"/>
    </w:p>
    <w:p w14:paraId="290856F4" w14:textId="7E060E34" w:rsidR="003F1BAA" w:rsidRPr="00B35732" w:rsidRDefault="00593577" w:rsidP="00CC7286">
      <w:pPr>
        <w:pStyle w:val="Ttulo3"/>
        <w:spacing w:line="360" w:lineRule="auto"/>
        <w:rPr>
          <w:szCs w:val="22"/>
        </w:rPr>
      </w:pPr>
      <w:bookmarkStart w:id="5" w:name="_Toc212099398"/>
      <w:r w:rsidRPr="00B35732">
        <w:rPr>
          <w:szCs w:val="22"/>
        </w:rPr>
        <w:t>a) Solicitudes de información.</w:t>
      </w:r>
      <w:bookmarkEnd w:id="5"/>
    </w:p>
    <w:p w14:paraId="60E94A6E" w14:textId="338E4230" w:rsidR="00E36C48" w:rsidRPr="00B35732" w:rsidRDefault="00E36C48" w:rsidP="00CC7286">
      <w:pPr>
        <w:tabs>
          <w:tab w:val="left" w:pos="0"/>
        </w:tabs>
        <w:rPr>
          <w:b/>
          <w:szCs w:val="22"/>
        </w:rPr>
      </w:pPr>
      <w:r w:rsidRPr="00B35732">
        <w:rPr>
          <w:szCs w:val="22"/>
        </w:rPr>
        <w:t xml:space="preserve">El </w:t>
      </w:r>
      <w:r w:rsidR="00ED6DE5" w:rsidRPr="00B35732">
        <w:rPr>
          <w:b/>
          <w:szCs w:val="22"/>
        </w:rPr>
        <w:t xml:space="preserve">veintitrés de mayo </w:t>
      </w:r>
      <w:r w:rsidRPr="00B35732">
        <w:rPr>
          <w:b/>
          <w:szCs w:val="22"/>
        </w:rPr>
        <w:t>de dos mil veinticinco</w:t>
      </w:r>
      <w:r w:rsidRPr="00B35732">
        <w:rPr>
          <w:szCs w:val="22"/>
        </w:rPr>
        <w:t xml:space="preserve"> </w:t>
      </w:r>
      <w:r w:rsidRPr="00B35732">
        <w:rPr>
          <w:b/>
          <w:szCs w:val="22"/>
        </w:rPr>
        <w:t>LA PARTE RECURRENTE</w:t>
      </w:r>
      <w:r w:rsidRPr="00B35732">
        <w:rPr>
          <w:szCs w:val="22"/>
        </w:rPr>
        <w:t xml:space="preserve"> presentó dos solicitudes de acceso a la información pública ante el </w:t>
      </w:r>
      <w:r w:rsidRPr="00B35732">
        <w:rPr>
          <w:b/>
          <w:szCs w:val="22"/>
        </w:rPr>
        <w:t>SUJETO OBLIGADO</w:t>
      </w:r>
      <w:r w:rsidRPr="00B35732">
        <w:rPr>
          <w:szCs w:val="22"/>
        </w:rPr>
        <w:t>, a través del Sistema de Acceso a la Información Mexiquense (SAIMEX). Dichas solicitudes quedaron registradas con los números de folio</w:t>
      </w:r>
      <w:r w:rsidRPr="00B35732">
        <w:rPr>
          <w:b/>
          <w:szCs w:val="22"/>
        </w:rPr>
        <w:t xml:space="preserve"> </w:t>
      </w:r>
      <w:r w:rsidR="00ED6DE5" w:rsidRPr="00B35732">
        <w:rPr>
          <w:b/>
          <w:szCs w:val="22"/>
        </w:rPr>
        <w:t>00395/TEOLOYU/IP/2025</w:t>
      </w:r>
      <w:r w:rsidRPr="00B35732">
        <w:rPr>
          <w:b/>
          <w:szCs w:val="22"/>
        </w:rPr>
        <w:t xml:space="preserve">, </w:t>
      </w:r>
      <w:r w:rsidR="00ED6DE5" w:rsidRPr="00B35732">
        <w:rPr>
          <w:b/>
          <w:szCs w:val="22"/>
        </w:rPr>
        <w:t xml:space="preserve">00396/TEOLOYU/IP/2025, 00397/TEOLOYU/IP/2025 </w:t>
      </w:r>
      <w:r w:rsidRPr="00B35732">
        <w:rPr>
          <w:b/>
          <w:szCs w:val="22"/>
        </w:rPr>
        <w:t xml:space="preserve">y </w:t>
      </w:r>
      <w:r w:rsidR="00ED6DE5" w:rsidRPr="00B35732">
        <w:rPr>
          <w:b/>
          <w:szCs w:val="22"/>
        </w:rPr>
        <w:t>00398/TEOLOYU/IP/2025,</w:t>
      </w:r>
      <w:r w:rsidRPr="00B35732">
        <w:rPr>
          <w:szCs w:val="22"/>
        </w:rPr>
        <w:t xml:space="preserve"> y en ellas se requirió la siguiente información:</w:t>
      </w:r>
    </w:p>
    <w:p w14:paraId="70D95731" w14:textId="77777777" w:rsidR="00E36C48" w:rsidRPr="00B35732" w:rsidRDefault="00E36C48" w:rsidP="00CC7286">
      <w:pPr>
        <w:tabs>
          <w:tab w:val="left" w:pos="4667"/>
        </w:tabs>
        <w:ind w:right="567"/>
        <w:rPr>
          <w:b/>
          <w:szCs w:val="22"/>
        </w:rPr>
      </w:pPr>
    </w:p>
    <w:tbl>
      <w:tblPr>
        <w:tblStyle w:val="7"/>
        <w:tblW w:w="911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830"/>
        <w:gridCol w:w="6281"/>
      </w:tblGrid>
      <w:tr w:rsidR="00CC7286" w:rsidRPr="00B35732" w14:paraId="3DE49F6F" w14:textId="77777777" w:rsidTr="000B7BB2">
        <w:trPr>
          <w:cantSplit/>
          <w:trHeight w:val="225"/>
          <w:tblHeader/>
        </w:trPr>
        <w:tc>
          <w:tcPr>
            <w:tcW w:w="2830" w:type="dxa"/>
            <w:shd w:val="clear" w:color="auto" w:fill="F9CB9C"/>
            <w:tcMar>
              <w:top w:w="0" w:type="dxa"/>
              <w:left w:w="45" w:type="dxa"/>
              <w:bottom w:w="0" w:type="dxa"/>
              <w:right w:w="45" w:type="dxa"/>
            </w:tcMar>
            <w:vAlign w:val="center"/>
          </w:tcPr>
          <w:p w14:paraId="5CF2EEF5" w14:textId="77777777" w:rsidR="00E36C48" w:rsidRPr="00B35732" w:rsidRDefault="00E36C48" w:rsidP="00CC7286">
            <w:pPr>
              <w:spacing w:line="276" w:lineRule="auto"/>
              <w:jc w:val="center"/>
              <w:rPr>
                <w:b/>
                <w:szCs w:val="22"/>
              </w:rPr>
            </w:pPr>
            <w:r w:rsidRPr="00B35732">
              <w:rPr>
                <w:b/>
                <w:szCs w:val="22"/>
              </w:rPr>
              <w:t>Recursos de revisión.</w:t>
            </w:r>
          </w:p>
        </w:tc>
        <w:tc>
          <w:tcPr>
            <w:tcW w:w="6281" w:type="dxa"/>
            <w:shd w:val="clear" w:color="auto" w:fill="F9CB9C"/>
            <w:tcMar>
              <w:top w:w="0" w:type="dxa"/>
              <w:left w:w="45" w:type="dxa"/>
              <w:bottom w:w="0" w:type="dxa"/>
              <w:right w:w="45" w:type="dxa"/>
            </w:tcMar>
            <w:vAlign w:val="center"/>
          </w:tcPr>
          <w:p w14:paraId="6EC60617" w14:textId="77777777" w:rsidR="00E36C48" w:rsidRPr="00B35732" w:rsidRDefault="00E36C48" w:rsidP="00CC7286">
            <w:pPr>
              <w:spacing w:line="276" w:lineRule="auto"/>
              <w:jc w:val="center"/>
              <w:rPr>
                <w:b/>
                <w:szCs w:val="22"/>
              </w:rPr>
            </w:pPr>
            <w:r w:rsidRPr="00B35732">
              <w:rPr>
                <w:b/>
                <w:szCs w:val="22"/>
              </w:rPr>
              <w:t>Solicitudes.</w:t>
            </w:r>
          </w:p>
        </w:tc>
      </w:tr>
      <w:tr w:rsidR="00CC7286" w:rsidRPr="00B35732" w14:paraId="4221B1CC" w14:textId="77777777" w:rsidTr="000B7BB2">
        <w:trPr>
          <w:cantSplit/>
          <w:trHeight w:val="433"/>
        </w:trPr>
        <w:tc>
          <w:tcPr>
            <w:tcW w:w="2830" w:type="dxa"/>
            <w:tcMar>
              <w:top w:w="0" w:type="dxa"/>
              <w:left w:w="45" w:type="dxa"/>
              <w:bottom w:w="0" w:type="dxa"/>
              <w:right w:w="45" w:type="dxa"/>
            </w:tcMar>
            <w:vAlign w:val="center"/>
          </w:tcPr>
          <w:p w14:paraId="5870FBCA" w14:textId="1DCDF2E5" w:rsidR="00E36C48" w:rsidRPr="00B35732" w:rsidRDefault="00ED6DE5" w:rsidP="00CC7286">
            <w:pPr>
              <w:tabs>
                <w:tab w:val="left" w:pos="0"/>
              </w:tabs>
              <w:spacing w:line="276" w:lineRule="auto"/>
              <w:jc w:val="center"/>
              <w:rPr>
                <w:b/>
                <w:szCs w:val="22"/>
                <w:lang w:val="pt-PT"/>
              </w:rPr>
            </w:pPr>
            <w:r w:rsidRPr="00B35732">
              <w:rPr>
                <w:b/>
                <w:szCs w:val="22"/>
                <w:lang w:val="pt-PT"/>
              </w:rPr>
              <w:t>07167/INFOEM/IP/RR/2025</w:t>
            </w:r>
          </w:p>
          <w:p w14:paraId="0178635B" w14:textId="683B2584" w:rsidR="00E36C48" w:rsidRPr="00B35732" w:rsidRDefault="00ED6DE5" w:rsidP="00CC7286">
            <w:pPr>
              <w:tabs>
                <w:tab w:val="left" w:pos="0"/>
              </w:tabs>
              <w:spacing w:line="276" w:lineRule="auto"/>
              <w:jc w:val="center"/>
              <w:rPr>
                <w:b/>
                <w:szCs w:val="22"/>
                <w:lang w:val="pt-PT"/>
              </w:rPr>
            </w:pPr>
            <w:r w:rsidRPr="00B35732">
              <w:rPr>
                <w:b/>
                <w:szCs w:val="22"/>
                <w:lang w:val="pt-PT"/>
              </w:rPr>
              <w:t>00395/TEOLOYU/IP/2025</w:t>
            </w:r>
          </w:p>
        </w:tc>
        <w:tc>
          <w:tcPr>
            <w:tcW w:w="6281" w:type="dxa"/>
            <w:tcMar>
              <w:top w:w="0" w:type="dxa"/>
              <w:left w:w="45" w:type="dxa"/>
              <w:bottom w:w="0" w:type="dxa"/>
              <w:right w:w="45" w:type="dxa"/>
            </w:tcMar>
            <w:vAlign w:val="center"/>
          </w:tcPr>
          <w:p w14:paraId="02884DEA" w14:textId="1D10A466" w:rsidR="00E36C48" w:rsidRPr="00B35732" w:rsidRDefault="00E36C48" w:rsidP="00CC7286">
            <w:pPr>
              <w:tabs>
                <w:tab w:val="left" w:pos="0"/>
              </w:tabs>
              <w:spacing w:line="276" w:lineRule="auto"/>
              <w:rPr>
                <w:i/>
                <w:szCs w:val="22"/>
              </w:rPr>
            </w:pPr>
            <w:r w:rsidRPr="00B35732">
              <w:rPr>
                <w:i/>
                <w:szCs w:val="22"/>
              </w:rPr>
              <w:t>"</w:t>
            </w:r>
            <w:r w:rsidR="00ED6DE5" w:rsidRPr="00B35732">
              <w:rPr>
                <w:i/>
                <w:szCs w:val="22"/>
              </w:rPr>
              <w:t>Solicito todos los oficios firmados, por el primer regidor del ayuntamiento de TEOLOYUCAN del mes de enero 2025</w:t>
            </w:r>
            <w:r w:rsidRPr="00B35732">
              <w:rPr>
                <w:i/>
                <w:szCs w:val="22"/>
              </w:rPr>
              <w:t>”</w:t>
            </w:r>
            <w:r w:rsidR="00ED6DE5" w:rsidRPr="00B35732">
              <w:rPr>
                <w:i/>
                <w:szCs w:val="22"/>
              </w:rPr>
              <w:t xml:space="preserve"> (sic)</w:t>
            </w:r>
          </w:p>
        </w:tc>
      </w:tr>
      <w:tr w:rsidR="00CC7286" w:rsidRPr="00B35732" w14:paraId="4C49C864" w14:textId="77777777" w:rsidTr="000B7BB2">
        <w:trPr>
          <w:cantSplit/>
          <w:trHeight w:val="65"/>
        </w:trPr>
        <w:tc>
          <w:tcPr>
            <w:tcW w:w="2830" w:type="dxa"/>
            <w:tcMar>
              <w:top w:w="0" w:type="dxa"/>
              <w:left w:w="45" w:type="dxa"/>
              <w:bottom w:w="0" w:type="dxa"/>
              <w:right w:w="45" w:type="dxa"/>
            </w:tcMar>
            <w:vAlign w:val="center"/>
          </w:tcPr>
          <w:p w14:paraId="502059DA" w14:textId="545E2473" w:rsidR="00ED6DE5" w:rsidRPr="00B35732" w:rsidRDefault="00ED6DE5" w:rsidP="00CC7286">
            <w:pPr>
              <w:tabs>
                <w:tab w:val="left" w:pos="0"/>
              </w:tabs>
              <w:spacing w:line="276" w:lineRule="auto"/>
              <w:jc w:val="center"/>
              <w:rPr>
                <w:b/>
                <w:szCs w:val="22"/>
                <w:lang w:val="pt-PT"/>
              </w:rPr>
            </w:pPr>
            <w:r w:rsidRPr="00B35732">
              <w:rPr>
                <w:b/>
                <w:szCs w:val="22"/>
                <w:lang w:val="pt-PT"/>
              </w:rPr>
              <w:lastRenderedPageBreak/>
              <w:t>07168/INFOEM/IP/RR/2025</w:t>
            </w:r>
          </w:p>
          <w:p w14:paraId="13596540" w14:textId="067206CA" w:rsidR="00ED6DE5" w:rsidRPr="00B35732" w:rsidRDefault="00ED6DE5" w:rsidP="00CC7286">
            <w:pPr>
              <w:tabs>
                <w:tab w:val="left" w:pos="0"/>
              </w:tabs>
              <w:spacing w:line="276" w:lineRule="auto"/>
              <w:jc w:val="center"/>
              <w:rPr>
                <w:b/>
                <w:szCs w:val="22"/>
                <w:lang w:val="pt-PT"/>
              </w:rPr>
            </w:pPr>
            <w:r w:rsidRPr="00B35732">
              <w:rPr>
                <w:b/>
                <w:szCs w:val="22"/>
                <w:lang w:val="pt-PT"/>
              </w:rPr>
              <w:t>00396/TEOLOYU/IP/2025</w:t>
            </w:r>
          </w:p>
        </w:tc>
        <w:tc>
          <w:tcPr>
            <w:tcW w:w="6281" w:type="dxa"/>
            <w:tcMar>
              <w:top w:w="0" w:type="dxa"/>
              <w:left w:w="45" w:type="dxa"/>
              <w:bottom w:w="0" w:type="dxa"/>
              <w:right w:w="45" w:type="dxa"/>
            </w:tcMar>
            <w:vAlign w:val="center"/>
          </w:tcPr>
          <w:p w14:paraId="678DF701" w14:textId="685F6EBF" w:rsidR="00ED6DE5" w:rsidRPr="00B35732" w:rsidRDefault="00ED6DE5" w:rsidP="00CC7286">
            <w:pPr>
              <w:tabs>
                <w:tab w:val="left" w:pos="0"/>
              </w:tabs>
              <w:spacing w:line="276" w:lineRule="auto"/>
              <w:rPr>
                <w:i/>
                <w:szCs w:val="22"/>
              </w:rPr>
            </w:pPr>
            <w:r w:rsidRPr="00B35732">
              <w:rPr>
                <w:i/>
                <w:szCs w:val="22"/>
              </w:rPr>
              <w:t>"Solicito todos los oficios firmados, por el primer regidor del ayuntamiento de TEOLOYUCAN del mes de febrero 2025” (sic)</w:t>
            </w:r>
          </w:p>
        </w:tc>
      </w:tr>
      <w:tr w:rsidR="00CC7286" w:rsidRPr="00B35732" w14:paraId="5ABE73C1" w14:textId="77777777" w:rsidTr="000B7BB2">
        <w:trPr>
          <w:cantSplit/>
          <w:trHeight w:val="65"/>
        </w:trPr>
        <w:tc>
          <w:tcPr>
            <w:tcW w:w="2830" w:type="dxa"/>
            <w:tcMar>
              <w:top w:w="0" w:type="dxa"/>
              <w:left w:w="45" w:type="dxa"/>
              <w:bottom w:w="0" w:type="dxa"/>
              <w:right w:w="45" w:type="dxa"/>
            </w:tcMar>
            <w:vAlign w:val="center"/>
          </w:tcPr>
          <w:p w14:paraId="2697D3CE" w14:textId="13F5E76E" w:rsidR="00ED6DE5" w:rsidRPr="00B35732" w:rsidRDefault="00ED6DE5" w:rsidP="00CC7286">
            <w:pPr>
              <w:tabs>
                <w:tab w:val="left" w:pos="0"/>
              </w:tabs>
              <w:spacing w:line="276" w:lineRule="auto"/>
              <w:jc w:val="center"/>
              <w:rPr>
                <w:b/>
                <w:szCs w:val="22"/>
                <w:lang w:val="pt-PT"/>
              </w:rPr>
            </w:pPr>
            <w:r w:rsidRPr="00B35732">
              <w:rPr>
                <w:b/>
                <w:szCs w:val="22"/>
                <w:lang w:val="pt-PT"/>
              </w:rPr>
              <w:t>07169/INFOEM/IP/RR/2025</w:t>
            </w:r>
          </w:p>
          <w:p w14:paraId="6E31A74D" w14:textId="5D88073E" w:rsidR="00ED6DE5" w:rsidRPr="00B35732" w:rsidRDefault="00ED6DE5" w:rsidP="00CC7286">
            <w:pPr>
              <w:tabs>
                <w:tab w:val="left" w:pos="0"/>
              </w:tabs>
              <w:spacing w:line="276" w:lineRule="auto"/>
              <w:jc w:val="center"/>
              <w:rPr>
                <w:b/>
                <w:szCs w:val="22"/>
                <w:lang w:val="pt-PT"/>
              </w:rPr>
            </w:pPr>
            <w:r w:rsidRPr="00B35732">
              <w:rPr>
                <w:b/>
                <w:szCs w:val="22"/>
                <w:lang w:val="pt-PT"/>
              </w:rPr>
              <w:t>00397/TEOLOYU/IP/2025</w:t>
            </w:r>
          </w:p>
        </w:tc>
        <w:tc>
          <w:tcPr>
            <w:tcW w:w="6281" w:type="dxa"/>
            <w:tcMar>
              <w:top w:w="0" w:type="dxa"/>
              <w:left w:w="45" w:type="dxa"/>
              <w:bottom w:w="0" w:type="dxa"/>
              <w:right w:w="45" w:type="dxa"/>
            </w:tcMar>
            <w:vAlign w:val="center"/>
          </w:tcPr>
          <w:p w14:paraId="01EC2119" w14:textId="2C8CF53B" w:rsidR="00ED6DE5" w:rsidRPr="00B35732" w:rsidRDefault="00ED6DE5" w:rsidP="00CC7286">
            <w:pPr>
              <w:tabs>
                <w:tab w:val="left" w:pos="0"/>
              </w:tabs>
              <w:spacing w:line="276" w:lineRule="auto"/>
              <w:rPr>
                <w:i/>
                <w:szCs w:val="22"/>
              </w:rPr>
            </w:pPr>
            <w:r w:rsidRPr="00B35732">
              <w:rPr>
                <w:i/>
                <w:szCs w:val="22"/>
              </w:rPr>
              <w:t>"Solicito todos los oficios firmados, por el primer regidor del ayuntamiento de TEOLOYUCAN del mes de marzo 2025” (sic)</w:t>
            </w:r>
          </w:p>
        </w:tc>
      </w:tr>
      <w:tr w:rsidR="00ED6DE5" w:rsidRPr="00B35732" w14:paraId="25BDAC96" w14:textId="77777777" w:rsidTr="000B7BB2">
        <w:trPr>
          <w:cantSplit/>
          <w:trHeight w:val="65"/>
        </w:trPr>
        <w:tc>
          <w:tcPr>
            <w:tcW w:w="2830" w:type="dxa"/>
            <w:tcMar>
              <w:top w:w="0" w:type="dxa"/>
              <w:left w:w="45" w:type="dxa"/>
              <w:bottom w:w="0" w:type="dxa"/>
              <w:right w:w="45" w:type="dxa"/>
            </w:tcMar>
            <w:vAlign w:val="center"/>
          </w:tcPr>
          <w:p w14:paraId="287D8000" w14:textId="00AFB0D8" w:rsidR="00ED6DE5" w:rsidRPr="00B35732" w:rsidRDefault="00ED6DE5" w:rsidP="00CC7286">
            <w:pPr>
              <w:tabs>
                <w:tab w:val="left" w:pos="0"/>
              </w:tabs>
              <w:spacing w:line="276" w:lineRule="auto"/>
              <w:jc w:val="center"/>
              <w:rPr>
                <w:b/>
                <w:szCs w:val="22"/>
                <w:lang w:val="pt-PT"/>
              </w:rPr>
            </w:pPr>
            <w:r w:rsidRPr="00B35732">
              <w:rPr>
                <w:b/>
                <w:szCs w:val="22"/>
                <w:lang w:val="pt-PT"/>
              </w:rPr>
              <w:t>07170/INFOEM/IP/RR/2025</w:t>
            </w:r>
          </w:p>
          <w:p w14:paraId="3FF6EA62" w14:textId="3B19C587" w:rsidR="00ED6DE5" w:rsidRPr="00B35732" w:rsidRDefault="00ED6DE5" w:rsidP="00CC7286">
            <w:pPr>
              <w:tabs>
                <w:tab w:val="left" w:pos="0"/>
              </w:tabs>
              <w:spacing w:line="276" w:lineRule="auto"/>
              <w:jc w:val="center"/>
              <w:rPr>
                <w:b/>
                <w:szCs w:val="22"/>
                <w:lang w:val="pt-PT"/>
              </w:rPr>
            </w:pPr>
            <w:r w:rsidRPr="00B35732">
              <w:rPr>
                <w:b/>
                <w:szCs w:val="22"/>
                <w:lang w:val="pt-PT"/>
              </w:rPr>
              <w:t>00398/TEOLOYU/IP/2025</w:t>
            </w:r>
          </w:p>
        </w:tc>
        <w:tc>
          <w:tcPr>
            <w:tcW w:w="6281" w:type="dxa"/>
            <w:tcMar>
              <w:top w:w="0" w:type="dxa"/>
              <w:left w:w="45" w:type="dxa"/>
              <w:bottom w:w="0" w:type="dxa"/>
              <w:right w:w="45" w:type="dxa"/>
            </w:tcMar>
            <w:vAlign w:val="center"/>
          </w:tcPr>
          <w:p w14:paraId="7E8A9687" w14:textId="13FB8268" w:rsidR="00ED6DE5" w:rsidRPr="00B35732" w:rsidRDefault="00ED6DE5" w:rsidP="00CC7286">
            <w:pPr>
              <w:tabs>
                <w:tab w:val="left" w:pos="0"/>
              </w:tabs>
              <w:spacing w:line="276" w:lineRule="auto"/>
              <w:rPr>
                <w:i/>
                <w:szCs w:val="22"/>
              </w:rPr>
            </w:pPr>
            <w:r w:rsidRPr="00B35732">
              <w:rPr>
                <w:i/>
                <w:szCs w:val="22"/>
              </w:rPr>
              <w:t>"Solicito todos los oficios firmados, por el primer regidor del ayuntamiento de TEOLOYUCAN del mes de abril 2025” (sic)</w:t>
            </w:r>
          </w:p>
        </w:tc>
      </w:tr>
    </w:tbl>
    <w:p w14:paraId="6AF5453C" w14:textId="77777777" w:rsidR="00245075" w:rsidRPr="00B35732" w:rsidRDefault="00245075" w:rsidP="00CC7286">
      <w:pPr>
        <w:tabs>
          <w:tab w:val="left" w:pos="4667"/>
        </w:tabs>
        <w:ind w:right="567"/>
        <w:rPr>
          <w:b/>
          <w:szCs w:val="22"/>
        </w:rPr>
      </w:pPr>
    </w:p>
    <w:p w14:paraId="68DC356A" w14:textId="62FA0403" w:rsidR="003F1BAA" w:rsidRPr="00B35732" w:rsidRDefault="00593577" w:rsidP="00CC7286">
      <w:pPr>
        <w:tabs>
          <w:tab w:val="left" w:pos="4667"/>
        </w:tabs>
        <w:ind w:right="567"/>
        <w:rPr>
          <w:szCs w:val="22"/>
        </w:rPr>
      </w:pPr>
      <w:r w:rsidRPr="00B35732">
        <w:rPr>
          <w:b/>
          <w:szCs w:val="22"/>
        </w:rPr>
        <w:t>Modalidad de entrega</w:t>
      </w:r>
      <w:r w:rsidRPr="00B35732">
        <w:rPr>
          <w:szCs w:val="22"/>
        </w:rPr>
        <w:t xml:space="preserve">: a través del </w:t>
      </w:r>
      <w:r w:rsidRPr="00B35732">
        <w:rPr>
          <w:b/>
          <w:szCs w:val="22"/>
        </w:rPr>
        <w:t>SAIMEX</w:t>
      </w:r>
      <w:r w:rsidRPr="00B35732">
        <w:rPr>
          <w:szCs w:val="22"/>
        </w:rPr>
        <w:t>.</w:t>
      </w:r>
      <w:bookmarkStart w:id="6" w:name="_Toc184287666"/>
      <w:bookmarkStart w:id="7" w:name="_Toc190333697"/>
      <w:bookmarkStart w:id="8" w:name="_Toc191386324"/>
    </w:p>
    <w:bookmarkEnd w:id="6"/>
    <w:bookmarkEnd w:id="7"/>
    <w:bookmarkEnd w:id="8"/>
    <w:p w14:paraId="2C60751B" w14:textId="77777777" w:rsidR="00FE2E30" w:rsidRPr="00B35732" w:rsidRDefault="00FE2E30" w:rsidP="00CC7286">
      <w:pPr>
        <w:tabs>
          <w:tab w:val="left" w:pos="4667"/>
        </w:tabs>
        <w:ind w:right="567"/>
        <w:rPr>
          <w:szCs w:val="22"/>
        </w:rPr>
      </w:pPr>
    </w:p>
    <w:p w14:paraId="6105FF3A" w14:textId="77777777" w:rsidR="00E36C48" w:rsidRPr="00B35732" w:rsidRDefault="00E36C48" w:rsidP="00CC7286">
      <w:pPr>
        <w:pStyle w:val="Ttulo3"/>
        <w:rPr>
          <w:szCs w:val="22"/>
        </w:rPr>
      </w:pPr>
      <w:bookmarkStart w:id="9" w:name="_Toc198198770"/>
      <w:bookmarkStart w:id="10" w:name="_Toc212099399"/>
      <w:r w:rsidRPr="00B35732">
        <w:rPr>
          <w:szCs w:val="22"/>
        </w:rPr>
        <w:t>b) Turno de las solicitudes de información.</w:t>
      </w:r>
      <w:bookmarkEnd w:id="9"/>
      <w:bookmarkEnd w:id="10"/>
    </w:p>
    <w:p w14:paraId="3E1D45D0" w14:textId="73F45ACA" w:rsidR="00E36C48" w:rsidRPr="00B35732" w:rsidRDefault="00E36C48" w:rsidP="00CC7286">
      <w:pPr>
        <w:rPr>
          <w:szCs w:val="22"/>
        </w:rPr>
      </w:pPr>
      <w:r w:rsidRPr="00B35732">
        <w:rPr>
          <w:szCs w:val="22"/>
        </w:rPr>
        <w:t xml:space="preserve">En cumplimiento al artículo 162 de la Ley de Transparencia y Acceso a la Información Pública del Estado de México y Municipios, el </w:t>
      </w:r>
      <w:r w:rsidR="00ED6DE5" w:rsidRPr="00B35732">
        <w:rPr>
          <w:b/>
          <w:szCs w:val="22"/>
        </w:rPr>
        <w:t xml:space="preserve">veintisiete de mayo </w:t>
      </w:r>
      <w:r w:rsidRPr="00B35732">
        <w:rPr>
          <w:b/>
          <w:szCs w:val="22"/>
        </w:rPr>
        <w:t>de dos mil veinticinco,</w:t>
      </w:r>
      <w:r w:rsidRPr="00B35732">
        <w:rPr>
          <w:szCs w:val="22"/>
        </w:rPr>
        <w:t xml:space="preserve"> el Titular de la Unidad de Transparencia del </w:t>
      </w:r>
      <w:r w:rsidRPr="00B35732">
        <w:rPr>
          <w:b/>
          <w:szCs w:val="22"/>
        </w:rPr>
        <w:t>SUJETO OBLIGADO</w:t>
      </w:r>
      <w:r w:rsidRPr="00B35732">
        <w:rPr>
          <w:szCs w:val="22"/>
        </w:rPr>
        <w:t xml:space="preserve"> turnó las solicitudes de información a los servidores públicos habilitados que estimó pertinentes.</w:t>
      </w:r>
    </w:p>
    <w:p w14:paraId="4BD90E4A" w14:textId="77777777" w:rsidR="00E36C48" w:rsidRPr="00B35732" w:rsidRDefault="00E36C48" w:rsidP="00CC7286">
      <w:pPr>
        <w:tabs>
          <w:tab w:val="left" w:pos="4667"/>
        </w:tabs>
        <w:ind w:right="567"/>
        <w:rPr>
          <w:szCs w:val="22"/>
        </w:rPr>
      </w:pPr>
    </w:p>
    <w:p w14:paraId="5705D62B" w14:textId="7F1D78CB" w:rsidR="001910CD" w:rsidRPr="00B35732" w:rsidRDefault="008A3946" w:rsidP="00CC7286">
      <w:pPr>
        <w:pStyle w:val="Ttulo3"/>
        <w:spacing w:line="360" w:lineRule="auto"/>
        <w:rPr>
          <w:szCs w:val="22"/>
        </w:rPr>
      </w:pPr>
      <w:bookmarkStart w:id="11" w:name="_Toc212099400"/>
      <w:r w:rsidRPr="00B35732">
        <w:rPr>
          <w:szCs w:val="22"/>
        </w:rPr>
        <w:t>c</w:t>
      </w:r>
      <w:r w:rsidR="00593577" w:rsidRPr="00B35732">
        <w:rPr>
          <w:szCs w:val="22"/>
        </w:rPr>
        <w:t>) Respuestas del Sujeto Obligado.</w:t>
      </w:r>
      <w:bookmarkEnd w:id="11"/>
    </w:p>
    <w:p w14:paraId="15F62244" w14:textId="4884627A" w:rsidR="001910CD" w:rsidRPr="00B35732" w:rsidRDefault="00593577" w:rsidP="00CC7286">
      <w:pPr>
        <w:pBdr>
          <w:top w:val="nil"/>
          <w:left w:val="nil"/>
          <w:bottom w:val="nil"/>
          <w:right w:val="nil"/>
          <w:between w:val="nil"/>
        </w:pBdr>
        <w:rPr>
          <w:szCs w:val="22"/>
        </w:rPr>
      </w:pPr>
      <w:r w:rsidRPr="00B35732">
        <w:rPr>
          <w:szCs w:val="22"/>
        </w:rPr>
        <w:t xml:space="preserve">El </w:t>
      </w:r>
      <w:r w:rsidR="00ED6DE5" w:rsidRPr="00B35732">
        <w:rPr>
          <w:b/>
          <w:szCs w:val="22"/>
        </w:rPr>
        <w:t xml:space="preserve">trece de junio </w:t>
      </w:r>
      <w:r w:rsidRPr="00B35732">
        <w:rPr>
          <w:b/>
          <w:szCs w:val="22"/>
        </w:rPr>
        <w:t>de dos mil veintic</w:t>
      </w:r>
      <w:r w:rsidR="00FA166A" w:rsidRPr="00B35732">
        <w:rPr>
          <w:b/>
          <w:szCs w:val="22"/>
        </w:rPr>
        <w:t>inco</w:t>
      </w:r>
      <w:r w:rsidRPr="00B35732">
        <w:rPr>
          <w:b/>
          <w:szCs w:val="22"/>
        </w:rPr>
        <w:t>,</w:t>
      </w:r>
      <w:r w:rsidRPr="00B35732">
        <w:rPr>
          <w:szCs w:val="22"/>
        </w:rPr>
        <w:t xml:space="preserve"> el Titular de la Unidad de Transparencia del </w:t>
      </w:r>
      <w:r w:rsidRPr="00B35732">
        <w:rPr>
          <w:b/>
          <w:szCs w:val="22"/>
        </w:rPr>
        <w:t>SUJETO OBLIGADO</w:t>
      </w:r>
      <w:r w:rsidRPr="00B35732">
        <w:rPr>
          <w:szCs w:val="22"/>
        </w:rPr>
        <w:t xml:space="preserve"> notificó las siguientes respuestas de manera homologada a través del </w:t>
      </w:r>
      <w:r w:rsidRPr="00B35732">
        <w:rPr>
          <w:b/>
          <w:szCs w:val="22"/>
        </w:rPr>
        <w:t>SAIMEX</w:t>
      </w:r>
      <w:r w:rsidRPr="00B35732">
        <w:rPr>
          <w:szCs w:val="22"/>
        </w:rPr>
        <w:t>, en los siguientes términos:</w:t>
      </w:r>
    </w:p>
    <w:p w14:paraId="21F6560B" w14:textId="77777777" w:rsidR="00245075" w:rsidRPr="00B35732" w:rsidRDefault="00245075" w:rsidP="00CC7286">
      <w:pPr>
        <w:pBdr>
          <w:top w:val="nil"/>
          <w:left w:val="nil"/>
          <w:bottom w:val="nil"/>
          <w:right w:val="nil"/>
          <w:between w:val="nil"/>
        </w:pBdr>
        <w:rPr>
          <w:szCs w:val="22"/>
        </w:rPr>
      </w:pPr>
    </w:p>
    <w:p w14:paraId="18529245" w14:textId="62825D98" w:rsidR="00ED6DE5" w:rsidRPr="00B35732" w:rsidRDefault="00E36C48" w:rsidP="00CC7286">
      <w:pPr>
        <w:pStyle w:val="Puesto"/>
        <w:ind w:left="851" w:right="822"/>
        <w:rPr>
          <w:szCs w:val="22"/>
        </w:rPr>
      </w:pPr>
      <w:r w:rsidRPr="00B35732">
        <w:rPr>
          <w:szCs w:val="22"/>
        </w:rPr>
        <w:t>“</w:t>
      </w:r>
      <w:r w:rsidR="00ED6DE5" w:rsidRPr="00B35732">
        <w:rPr>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017C2F7" w14:textId="77777777" w:rsidR="00ED6DE5" w:rsidRPr="00B35732" w:rsidRDefault="00ED6DE5" w:rsidP="00CC7286"/>
    <w:p w14:paraId="3CD3B213" w14:textId="1ED87779" w:rsidR="00ED6DE5" w:rsidRPr="00B35732" w:rsidRDefault="00ED6DE5" w:rsidP="00CC7286">
      <w:pPr>
        <w:pStyle w:val="Puesto"/>
        <w:ind w:left="851" w:right="822"/>
        <w:rPr>
          <w:szCs w:val="22"/>
        </w:rPr>
      </w:pPr>
      <w:r w:rsidRPr="00B35732">
        <w:rPr>
          <w:szCs w:val="22"/>
        </w:rPr>
        <w:t>SE REMITE RESPUESTA DEL ÁREA GENERADORA DE LA INFORMACIÓN</w:t>
      </w:r>
    </w:p>
    <w:p w14:paraId="5D629A18" w14:textId="77777777" w:rsidR="00ED6DE5" w:rsidRPr="00B35732" w:rsidRDefault="00ED6DE5" w:rsidP="00CC7286"/>
    <w:p w14:paraId="5C165918" w14:textId="77777777" w:rsidR="00ED6DE5" w:rsidRPr="00B35732" w:rsidRDefault="00ED6DE5" w:rsidP="00CC7286">
      <w:pPr>
        <w:pStyle w:val="Puesto"/>
        <w:ind w:left="851" w:right="822"/>
        <w:rPr>
          <w:szCs w:val="22"/>
        </w:rPr>
      </w:pPr>
      <w:r w:rsidRPr="00B35732">
        <w:rPr>
          <w:szCs w:val="22"/>
        </w:rPr>
        <w:lastRenderedPageBreak/>
        <w:t>ATENTAMENTE</w:t>
      </w:r>
    </w:p>
    <w:p w14:paraId="0CF40E63" w14:textId="6064E694" w:rsidR="004F4233" w:rsidRPr="00B35732" w:rsidRDefault="00ED6DE5" w:rsidP="00CC7286">
      <w:pPr>
        <w:pStyle w:val="Puesto"/>
        <w:ind w:left="851" w:right="822"/>
        <w:rPr>
          <w:szCs w:val="22"/>
        </w:rPr>
      </w:pPr>
      <w:r w:rsidRPr="00B35732">
        <w:rPr>
          <w:szCs w:val="22"/>
        </w:rPr>
        <w:t>Lic. Ana Beatriz Romero Oceguera</w:t>
      </w:r>
      <w:r w:rsidR="004F4233" w:rsidRPr="00B35732">
        <w:rPr>
          <w:szCs w:val="22"/>
        </w:rPr>
        <w:t xml:space="preserve">” </w:t>
      </w:r>
      <w:r w:rsidR="004F4233" w:rsidRPr="00B35732">
        <w:rPr>
          <w:i w:val="0"/>
          <w:szCs w:val="22"/>
        </w:rPr>
        <w:t>(Sic).</w:t>
      </w:r>
    </w:p>
    <w:p w14:paraId="09D8B3E6" w14:textId="77777777" w:rsidR="004F4233" w:rsidRPr="00B35732" w:rsidRDefault="004F4233" w:rsidP="00CC7286">
      <w:pPr>
        <w:pStyle w:val="Puesto"/>
        <w:spacing w:line="360" w:lineRule="auto"/>
        <w:rPr>
          <w:szCs w:val="22"/>
        </w:rPr>
      </w:pPr>
    </w:p>
    <w:p w14:paraId="6D34C8FB" w14:textId="77777777" w:rsidR="00ED6DE5" w:rsidRPr="00B35732" w:rsidRDefault="00ED6DE5" w:rsidP="00CC7286">
      <w:r w:rsidRPr="00B35732">
        <w:t xml:space="preserve">Advirtiendo de dichas respuestas, que </w:t>
      </w:r>
      <w:r w:rsidRPr="00B35732">
        <w:rPr>
          <w:b/>
        </w:rPr>
        <w:t>EL SUJETO OBLIGADO</w:t>
      </w:r>
      <w:r w:rsidRPr="00B35732">
        <w:t xml:space="preserve"> acompañó los archivos electrónicos que se describen a continuación: </w:t>
      </w:r>
    </w:p>
    <w:p w14:paraId="4DCB4A4F" w14:textId="77777777" w:rsidR="00ED6DE5" w:rsidRPr="00B35732" w:rsidRDefault="00ED6DE5" w:rsidP="00CC7286"/>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5953"/>
      </w:tblGrid>
      <w:tr w:rsidR="00CC7286" w:rsidRPr="00B35732" w14:paraId="3EFD57E9" w14:textId="77777777" w:rsidTr="00ED6DE5">
        <w:trPr>
          <w:trHeight w:val="324"/>
          <w:tblHeader/>
        </w:trPr>
        <w:tc>
          <w:tcPr>
            <w:tcW w:w="3114" w:type="dxa"/>
            <w:shd w:val="clear" w:color="auto" w:fill="D9D9D9"/>
            <w:vAlign w:val="center"/>
          </w:tcPr>
          <w:p w14:paraId="55056078" w14:textId="77777777" w:rsidR="00ED6DE5" w:rsidRPr="00B35732" w:rsidRDefault="00ED6DE5" w:rsidP="00CC7286">
            <w:pPr>
              <w:spacing w:line="240" w:lineRule="auto"/>
              <w:jc w:val="center"/>
              <w:rPr>
                <w:b/>
              </w:rPr>
            </w:pPr>
            <w:r w:rsidRPr="00B35732">
              <w:rPr>
                <w:b/>
              </w:rPr>
              <w:t xml:space="preserve">Número de solicitud / </w:t>
            </w:r>
          </w:p>
          <w:p w14:paraId="4A52BEB9" w14:textId="77777777" w:rsidR="00ED6DE5" w:rsidRPr="00B35732" w:rsidRDefault="00ED6DE5" w:rsidP="00CC7286">
            <w:pPr>
              <w:spacing w:line="240" w:lineRule="auto"/>
              <w:jc w:val="center"/>
              <w:rPr>
                <w:b/>
              </w:rPr>
            </w:pPr>
            <w:r w:rsidRPr="00B35732">
              <w:rPr>
                <w:b/>
              </w:rPr>
              <w:t>Número de Recurso</w:t>
            </w:r>
          </w:p>
          <w:p w14:paraId="636BA4F5" w14:textId="77777777" w:rsidR="00ED6DE5" w:rsidRPr="00B35732" w:rsidRDefault="00ED6DE5" w:rsidP="00CC7286">
            <w:pPr>
              <w:spacing w:line="240" w:lineRule="auto"/>
              <w:jc w:val="center"/>
              <w:rPr>
                <w:b/>
              </w:rPr>
            </w:pPr>
          </w:p>
        </w:tc>
        <w:tc>
          <w:tcPr>
            <w:tcW w:w="5953" w:type="dxa"/>
            <w:shd w:val="clear" w:color="auto" w:fill="D9D9D9"/>
            <w:vAlign w:val="center"/>
          </w:tcPr>
          <w:p w14:paraId="33A43E78" w14:textId="77777777" w:rsidR="00ED6DE5" w:rsidRPr="00B35732" w:rsidRDefault="00ED6DE5" w:rsidP="00CC7286">
            <w:pPr>
              <w:spacing w:line="240" w:lineRule="auto"/>
              <w:jc w:val="center"/>
              <w:rPr>
                <w:b/>
              </w:rPr>
            </w:pPr>
            <w:r w:rsidRPr="00B35732">
              <w:rPr>
                <w:b/>
              </w:rPr>
              <w:t xml:space="preserve">Archivos adjuntos </w:t>
            </w:r>
          </w:p>
        </w:tc>
      </w:tr>
      <w:tr w:rsidR="00CC7286" w:rsidRPr="00B35732" w14:paraId="46BDB61C" w14:textId="77777777" w:rsidTr="00ED6DE5">
        <w:trPr>
          <w:trHeight w:val="962"/>
        </w:trPr>
        <w:tc>
          <w:tcPr>
            <w:tcW w:w="3114" w:type="dxa"/>
            <w:vAlign w:val="center"/>
          </w:tcPr>
          <w:p w14:paraId="2B19ECB3" w14:textId="77777777" w:rsidR="00ED6DE5" w:rsidRPr="00B35732" w:rsidRDefault="00ED6DE5" w:rsidP="00CC7286">
            <w:pPr>
              <w:tabs>
                <w:tab w:val="left" w:pos="0"/>
              </w:tabs>
              <w:spacing w:line="276" w:lineRule="auto"/>
              <w:jc w:val="center"/>
              <w:rPr>
                <w:b/>
                <w:szCs w:val="22"/>
                <w:lang w:val="pt-PT"/>
              </w:rPr>
            </w:pPr>
            <w:r w:rsidRPr="00B35732">
              <w:rPr>
                <w:b/>
                <w:szCs w:val="22"/>
                <w:lang w:val="pt-PT"/>
              </w:rPr>
              <w:t>07167/INFOEM/IP/RR/2025</w:t>
            </w:r>
          </w:p>
          <w:p w14:paraId="7B25D929" w14:textId="1C9A4833" w:rsidR="00ED6DE5" w:rsidRPr="00B35732" w:rsidRDefault="00ED6DE5" w:rsidP="00CC7286">
            <w:pPr>
              <w:spacing w:line="240" w:lineRule="auto"/>
              <w:jc w:val="center"/>
              <w:rPr>
                <w:b/>
                <w:bCs/>
                <w:lang w:val="pt-PT"/>
              </w:rPr>
            </w:pPr>
            <w:r w:rsidRPr="00B35732">
              <w:rPr>
                <w:b/>
                <w:szCs w:val="22"/>
                <w:lang w:val="pt-PT"/>
              </w:rPr>
              <w:t>00395/TEOLOYU/IP/2025</w:t>
            </w:r>
          </w:p>
        </w:tc>
        <w:tc>
          <w:tcPr>
            <w:tcW w:w="5953" w:type="dxa"/>
          </w:tcPr>
          <w:p w14:paraId="52CE130D" w14:textId="59BF2B2A" w:rsidR="00ED6DE5" w:rsidRPr="00B35732" w:rsidRDefault="00ED6DE5" w:rsidP="00CC7286">
            <w:pPr>
              <w:pStyle w:val="Prrafodelista"/>
              <w:numPr>
                <w:ilvl w:val="0"/>
                <w:numId w:val="32"/>
              </w:numPr>
              <w:pBdr>
                <w:top w:val="nil"/>
                <w:left w:val="nil"/>
                <w:bottom w:val="nil"/>
                <w:right w:val="nil"/>
                <w:between w:val="nil"/>
              </w:pBdr>
              <w:spacing w:line="240" w:lineRule="auto"/>
              <w:rPr>
                <w:rFonts w:eastAsia="Palatino Linotype" w:cs="Palatino Linotype"/>
                <w:b/>
                <w:i/>
                <w:szCs w:val="22"/>
              </w:rPr>
            </w:pPr>
            <w:r w:rsidRPr="00B35732">
              <w:rPr>
                <w:rFonts w:eastAsia="Palatino Linotype" w:cs="Palatino Linotype"/>
                <w:b/>
                <w:i/>
                <w:szCs w:val="22"/>
              </w:rPr>
              <w:t xml:space="preserve">respuesta sol. 395.pdf, </w:t>
            </w:r>
            <w:r w:rsidRPr="00B35732">
              <w:rPr>
                <w:rFonts w:eastAsia="Palatino Linotype" w:cs="Palatino Linotype"/>
                <w:bCs/>
                <w:iCs/>
                <w:szCs w:val="22"/>
              </w:rPr>
              <w:t xml:space="preserve">el cual contiene el oficio HGH/PR-OFC/190/2025 del doce de junio de dos mil veinticinco, por medio del cual el Primer Regidor, adjunta listado de 48 oficios generados en el mes de enero que contiene los rubros: del número de oficios, fecha de emisión, destinatario, asunto y observaciones. </w:t>
            </w:r>
            <w:r w:rsidRPr="00B35732">
              <w:rPr>
                <w:rFonts w:eastAsia="Palatino Linotype" w:cs="Palatino Linotype"/>
                <w:szCs w:val="22"/>
              </w:rPr>
              <w:t xml:space="preserve"> </w:t>
            </w:r>
          </w:p>
        </w:tc>
      </w:tr>
      <w:tr w:rsidR="00CC7286" w:rsidRPr="00B35732" w14:paraId="1C1C66C4" w14:textId="77777777" w:rsidTr="00ED6DE5">
        <w:trPr>
          <w:trHeight w:val="962"/>
        </w:trPr>
        <w:tc>
          <w:tcPr>
            <w:tcW w:w="3114" w:type="dxa"/>
            <w:vAlign w:val="center"/>
          </w:tcPr>
          <w:p w14:paraId="65D096B4" w14:textId="77777777" w:rsidR="00ED6DE5" w:rsidRPr="00B35732" w:rsidRDefault="00ED6DE5" w:rsidP="00CC7286">
            <w:pPr>
              <w:tabs>
                <w:tab w:val="left" w:pos="0"/>
              </w:tabs>
              <w:spacing w:line="276" w:lineRule="auto"/>
              <w:jc w:val="center"/>
              <w:rPr>
                <w:b/>
                <w:szCs w:val="22"/>
                <w:lang w:val="pt-PT"/>
              </w:rPr>
            </w:pPr>
            <w:r w:rsidRPr="00B35732">
              <w:rPr>
                <w:b/>
                <w:szCs w:val="22"/>
                <w:lang w:val="pt-PT"/>
              </w:rPr>
              <w:t>07168/INFOEM/IP/RR/2025</w:t>
            </w:r>
          </w:p>
          <w:p w14:paraId="5C21E938" w14:textId="0E3270DA" w:rsidR="00ED6DE5" w:rsidRPr="00B35732" w:rsidRDefault="00ED6DE5" w:rsidP="00CC7286">
            <w:pPr>
              <w:spacing w:line="240" w:lineRule="auto"/>
              <w:jc w:val="center"/>
              <w:rPr>
                <w:b/>
                <w:bCs/>
                <w:lang w:val="pt-PT"/>
              </w:rPr>
            </w:pPr>
            <w:r w:rsidRPr="00B35732">
              <w:rPr>
                <w:b/>
                <w:szCs w:val="22"/>
                <w:lang w:val="pt-PT"/>
              </w:rPr>
              <w:t>00396/TEOLOYU/IP/2025</w:t>
            </w:r>
          </w:p>
        </w:tc>
        <w:tc>
          <w:tcPr>
            <w:tcW w:w="5953" w:type="dxa"/>
          </w:tcPr>
          <w:p w14:paraId="52943E07" w14:textId="3BAF1650" w:rsidR="00ED6DE5" w:rsidRPr="00B35732" w:rsidRDefault="00ED6DE5" w:rsidP="00CC7286">
            <w:pPr>
              <w:pStyle w:val="Prrafodelista"/>
              <w:numPr>
                <w:ilvl w:val="0"/>
                <w:numId w:val="32"/>
              </w:numPr>
              <w:pBdr>
                <w:top w:val="nil"/>
                <w:left w:val="nil"/>
                <w:bottom w:val="nil"/>
                <w:right w:val="nil"/>
                <w:between w:val="nil"/>
              </w:pBdr>
              <w:spacing w:line="240" w:lineRule="auto"/>
              <w:rPr>
                <w:rFonts w:eastAsia="Palatino Linotype" w:cs="Palatino Linotype"/>
                <w:b/>
                <w:i/>
                <w:szCs w:val="22"/>
              </w:rPr>
            </w:pPr>
            <w:r w:rsidRPr="00B35732">
              <w:rPr>
                <w:rFonts w:eastAsia="Palatino Linotype" w:cs="Palatino Linotype"/>
                <w:b/>
                <w:i/>
                <w:szCs w:val="22"/>
              </w:rPr>
              <w:t xml:space="preserve">respuesta sol. 396.pdf, </w:t>
            </w:r>
            <w:r w:rsidRPr="00B35732">
              <w:rPr>
                <w:rFonts w:eastAsia="Palatino Linotype" w:cs="Palatino Linotype"/>
                <w:bCs/>
                <w:iCs/>
                <w:szCs w:val="22"/>
              </w:rPr>
              <w:t xml:space="preserve">el cual contiene el oficio HGH/PR-OFC/191/2025 del doce de junio de dos mil veinticinco, por medio del cual el Primer Regidor, adjunta listado de 27 oficios generados en el mes de febrero que contiene los rubros: del número de oficios, fecha de emisión, destinatario, asunto y observaciones. </w:t>
            </w:r>
            <w:r w:rsidRPr="00B35732">
              <w:rPr>
                <w:rFonts w:eastAsia="Palatino Linotype" w:cs="Palatino Linotype"/>
                <w:szCs w:val="22"/>
              </w:rPr>
              <w:t xml:space="preserve"> </w:t>
            </w:r>
          </w:p>
        </w:tc>
      </w:tr>
      <w:tr w:rsidR="00CC7286" w:rsidRPr="00B35732" w14:paraId="60DADAC1" w14:textId="77777777" w:rsidTr="00ED6DE5">
        <w:trPr>
          <w:trHeight w:val="962"/>
        </w:trPr>
        <w:tc>
          <w:tcPr>
            <w:tcW w:w="3114" w:type="dxa"/>
            <w:vAlign w:val="center"/>
          </w:tcPr>
          <w:p w14:paraId="40201F88" w14:textId="77777777" w:rsidR="00ED6DE5" w:rsidRPr="00B35732" w:rsidRDefault="00ED6DE5" w:rsidP="00CC7286">
            <w:pPr>
              <w:tabs>
                <w:tab w:val="left" w:pos="0"/>
              </w:tabs>
              <w:spacing w:line="276" w:lineRule="auto"/>
              <w:jc w:val="center"/>
              <w:rPr>
                <w:b/>
                <w:szCs w:val="22"/>
                <w:lang w:val="pt-PT"/>
              </w:rPr>
            </w:pPr>
            <w:r w:rsidRPr="00B35732">
              <w:rPr>
                <w:b/>
                <w:szCs w:val="22"/>
                <w:lang w:val="pt-PT"/>
              </w:rPr>
              <w:t>07169/INFOEM/IP/RR/2025</w:t>
            </w:r>
          </w:p>
          <w:p w14:paraId="01038461" w14:textId="2B66710F" w:rsidR="00ED6DE5" w:rsidRPr="00B35732" w:rsidRDefault="00ED6DE5" w:rsidP="00CC7286">
            <w:pPr>
              <w:spacing w:line="240" w:lineRule="auto"/>
              <w:jc w:val="center"/>
              <w:rPr>
                <w:b/>
                <w:bCs/>
                <w:lang w:val="pt-PT"/>
              </w:rPr>
            </w:pPr>
            <w:r w:rsidRPr="00B35732">
              <w:rPr>
                <w:b/>
                <w:szCs w:val="22"/>
                <w:lang w:val="pt-PT"/>
              </w:rPr>
              <w:t>00397/TEOLOYU/IP/2025</w:t>
            </w:r>
          </w:p>
        </w:tc>
        <w:tc>
          <w:tcPr>
            <w:tcW w:w="5953" w:type="dxa"/>
          </w:tcPr>
          <w:p w14:paraId="7EFA3BF3" w14:textId="7E8F3A28" w:rsidR="00ED6DE5" w:rsidRPr="00B35732" w:rsidRDefault="00ED6DE5" w:rsidP="00CC7286">
            <w:pPr>
              <w:pStyle w:val="Prrafodelista"/>
              <w:numPr>
                <w:ilvl w:val="0"/>
                <w:numId w:val="32"/>
              </w:numPr>
              <w:pBdr>
                <w:top w:val="nil"/>
                <w:left w:val="nil"/>
                <w:bottom w:val="nil"/>
                <w:right w:val="nil"/>
                <w:between w:val="nil"/>
              </w:pBdr>
              <w:spacing w:line="240" w:lineRule="auto"/>
              <w:rPr>
                <w:rFonts w:eastAsia="Palatino Linotype" w:cs="Palatino Linotype"/>
                <w:b/>
                <w:i/>
                <w:szCs w:val="22"/>
              </w:rPr>
            </w:pPr>
            <w:r w:rsidRPr="00B35732">
              <w:rPr>
                <w:rFonts w:eastAsia="Palatino Linotype" w:cs="Palatino Linotype"/>
                <w:b/>
                <w:i/>
                <w:szCs w:val="22"/>
              </w:rPr>
              <w:t>respuesta sol. 39</w:t>
            </w:r>
            <w:r w:rsidR="00756D4C" w:rsidRPr="00B35732">
              <w:rPr>
                <w:rFonts w:eastAsia="Palatino Linotype" w:cs="Palatino Linotype"/>
                <w:b/>
                <w:i/>
                <w:szCs w:val="22"/>
              </w:rPr>
              <w:t>7</w:t>
            </w:r>
            <w:r w:rsidRPr="00B35732">
              <w:rPr>
                <w:rFonts w:eastAsia="Palatino Linotype" w:cs="Palatino Linotype"/>
                <w:b/>
                <w:i/>
                <w:szCs w:val="22"/>
              </w:rPr>
              <w:t xml:space="preserve">.pdf, </w:t>
            </w:r>
            <w:r w:rsidRPr="00B35732">
              <w:rPr>
                <w:rFonts w:eastAsia="Palatino Linotype" w:cs="Palatino Linotype"/>
                <w:bCs/>
                <w:iCs/>
                <w:szCs w:val="22"/>
              </w:rPr>
              <w:t>el cual contiene el oficio HGH/PR-OFC/19</w:t>
            </w:r>
            <w:r w:rsidR="00756D4C" w:rsidRPr="00B35732">
              <w:rPr>
                <w:rFonts w:eastAsia="Palatino Linotype" w:cs="Palatino Linotype"/>
                <w:bCs/>
                <w:iCs/>
                <w:szCs w:val="22"/>
              </w:rPr>
              <w:t>2</w:t>
            </w:r>
            <w:r w:rsidRPr="00B35732">
              <w:rPr>
                <w:rFonts w:eastAsia="Palatino Linotype" w:cs="Palatino Linotype"/>
                <w:bCs/>
                <w:iCs/>
                <w:szCs w:val="22"/>
              </w:rPr>
              <w:t xml:space="preserve">/2025 del </w:t>
            </w:r>
            <w:r w:rsidR="00756D4C" w:rsidRPr="00B35732">
              <w:rPr>
                <w:rFonts w:eastAsia="Palatino Linotype" w:cs="Palatino Linotype"/>
                <w:bCs/>
                <w:iCs/>
                <w:szCs w:val="22"/>
              </w:rPr>
              <w:t>once</w:t>
            </w:r>
            <w:r w:rsidRPr="00B35732">
              <w:rPr>
                <w:rFonts w:eastAsia="Palatino Linotype" w:cs="Palatino Linotype"/>
                <w:bCs/>
                <w:iCs/>
                <w:szCs w:val="22"/>
              </w:rPr>
              <w:t xml:space="preserve"> de junio de dos mil veinticinco, por medio del cual el Primer Regidor, adjunta listado de </w:t>
            </w:r>
            <w:r w:rsidR="00756D4C" w:rsidRPr="00B35732">
              <w:rPr>
                <w:rFonts w:eastAsia="Palatino Linotype" w:cs="Palatino Linotype"/>
                <w:bCs/>
                <w:iCs/>
                <w:szCs w:val="22"/>
              </w:rPr>
              <w:t>37</w:t>
            </w:r>
            <w:r w:rsidRPr="00B35732">
              <w:rPr>
                <w:rFonts w:eastAsia="Palatino Linotype" w:cs="Palatino Linotype"/>
                <w:bCs/>
                <w:iCs/>
                <w:szCs w:val="22"/>
              </w:rPr>
              <w:t xml:space="preserve"> oficios generados en el mes de </w:t>
            </w:r>
            <w:r w:rsidR="00756D4C" w:rsidRPr="00B35732">
              <w:rPr>
                <w:rFonts w:eastAsia="Palatino Linotype" w:cs="Palatino Linotype"/>
                <w:bCs/>
                <w:iCs/>
                <w:szCs w:val="22"/>
              </w:rPr>
              <w:t>marzo</w:t>
            </w:r>
            <w:r w:rsidRPr="00B35732">
              <w:rPr>
                <w:rFonts w:eastAsia="Palatino Linotype" w:cs="Palatino Linotype"/>
                <w:bCs/>
                <w:iCs/>
                <w:szCs w:val="22"/>
              </w:rPr>
              <w:t xml:space="preserve"> que contiene los rubros: del número de oficios, fecha de emisión, destinatario, asunto y observaciones. </w:t>
            </w:r>
            <w:r w:rsidRPr="00B35732">
              <w:rPr>
                <w:rFonts w:eastAsia="Palatino Linotype" w:cs="Palatino Linotype"/>
                <w:szCs w:val="22"/>
              </w:rPr>
              <w:t xml:space="preserve"> </w:t>
            </w:r>
          </w:p>
        </w:tc>
      </w:tr>
      <w:tr w:rsidR="00ED6DE5" w:rsidRPr="00B35732" w14:paraId="17D67FFC" w14:textId="77777777" w:rsidTr="00756D4C">
        <w:trPr>
          <w:trHeight w:val="565"/>
        </w:trPr>
        <w:tc>
          <w:tcPr>
            <w:tcW w:w="3114" w:type="dxa"/>
            <w:vAlign w:val="center"/>
          </w:tcPr>
          <w:p w14:paraId="140C1F53" w14:textId="77777777" w:rsidR="00ED6DE5" w:rsidRPr="00B35732" w:rsidRDefault="00ED6DE5" w:rsidP="00CC7286">
            <w:pPr>
              <w:tabs>
                <w:tab w:val="left" w:pos="0"/>
              </w:tabs>
              <w:spacing w:line="276" w:lineRule="auto"/>
              <w:jc w:val="center"/>
              <w:rPr>
                <w:b/>
                <w:szCs w:val="22"/>
                <w:lang w:val="pt-PT"/>
              </w:rPr>
            </w:pPr>
            <w:r w:rsidRPr="00B35732">
              <w:rPr>
                <w:b/>
                <w:szCs w:val="22"/>
                <w:lang w:val="pt-PT"/>
              </w:rPr>
              <w:t>07170/INFOEM/IP/RR/2025</w:t>
            </w:r>
          </w:p>
          <w:p w14:paraId="4729999D" w14:textId="301A6295" w:rsidR="00ED6DE5" w:rsidRPr="00B35732" w:rsidRDefault="00ED6DE5" w:rsidP="00CC7286">
            <w:pPr>
              <w:spacing w:line="240" w:lineRule="auto"/>
              <w:jc w:val="center"/>
              <w:rPr>
                <w:b/>
                <w:bCs/>
                <w:lang w:val="pt-PT"/>
              </w:rPr>
            </w:pPr>
            <w:r w:rsidRPr="00B35732">
              <w:rPr>
                <w:b/>
                <w:szCs w:val="22"/>
                <w:lang w:val="pt-PT"/>
              </w:rPr>
              <w:t>00398/TEOLOYU/IP/2025</w:t>
            </w:r>
          </w:p>
        </w:tc>
        <w:tc>
          <w:tcPr>
            <w:tcW w:w="5953" w:type="dxa"/>
          </w:tcPr>
          <w:p w14:paraId="21F6E5B1" w14:textId="3E5F9718" w:rsidR="00ED6DE5" w:rsidRPr="00B35732" w:rsidRDefault="00ED6DE5" w:rsidP="00CC7286">
            <w:pPr>
              <w:pStyle w:val="Prrafodelista"/>
              <w:numPr>
                <w:ilvl w:val="0"/>
                <w:numId w:val="32"/>
              </w:numPr>
              <w:pBdr>
                <w:top w:val="nil"/>
                <w:left w:val="nil"/>
                <w:bottom w:val="nil"/>
                <w:right w:val="nil"/>
                <w:between w:val="nil"/>
              </w:pBdr>
              <w:spacing w:line="240" w:lineRule="auto"/>
              <w:rPr>
                <w:rFonts w:eastAsia="Palatino Linotype" w:cs="Palatino Linotype"/>
                <w:b/>
                <w:i/>
                <w:szCs w:val="22"/>
              </w:rPr>
            </w:pPr>
            <w:r w:rsidRPr="00B35732">
              <w:rPr>
                <w:rFonts w:eastAsia="Palatino Linotype" w:cs="Palatino Linotype"/>
                <w:b/>
                <w:i/>
                <w:szCs w:val="22"/>
              </w:rPr>
              <w:t>respuesta sol. 39</w:t>
            </w:r>
            <w:r w:rsidR="00756D4C" w:rsidRPr="00B35732">
              <w:rPr>
                <w:rFonts w:eastAsia="Palatino Linotype" w:cs="Palatino Linotype"/>
                <w:b/>
                <w:i/>
                <w:szCs w:val="22"/>
              </w:rPr>
              <w:t>8</w:t>
            </w:r>
            <w:r w:rsidRPr="00B35732">
              <w:rPr>
                <w:rFonts w:eastAsia="Palatino Linotype" w:cs="Palatino Linotype"/>
                <w:b/>
                <w:i/>
                <w:szCs w:val="22"/>
              </w:rPr>
              <w:t xml:space="preserve">.pdf, </w:t>
            </w:r>
            <w:r w:rsidRPr="00B35732">
              <w:rPr>
                <w:rFonts w:eastAsia="Palatino Linotype" w:cs="Palatino Linotype"/>
                <w:bCs/>
                <w:iCs/>
                <w:szCs w:val="22"/>
              </w:rPr>
              <w:t>el cual contiene el oficio HGH/PR-OFC/19</w:t>
            </w:r>
            <w:r w:rsidR="00756D4C" w:rsidRPr="00B35732">
              <w:rPr>
                <w:rFonts w:eastAsia="Palatino Linotype" w:cs="Palatino Linotype"/>
                <w:bCs/>
                <w:iCs/>
                <w:szCs w:val="22"/>
              </w:rPr>
              <w:t>3</w:t>
            </w:r>
            <w:r w:rsidRPr="00B35732">
              <w:rPr>
                <w:rFonts w:eastAsia="Palatino Linotype" w:cs="Palatino Linotype"/>
                <w:bCs/>
                <w:iCs/>
                <w:szCs w:val="22"/>
              </w:rPr>
              <w:t xml:space="preserve">/2025 del doce de junio de dos mil veinticinco, por medio del cual el Primer Regidor, adjunta listado de </w:t>
            </w:r>
            <w:r w:rsidR="00756D4C" w:rsidRPr="00B35732">
              <w:rPr>
                <w:rFonts w:eastAsia="Palatino Linotype" w:cs="Palatino Linotype"/>
                <w:bCs/>
                <w:iCs/>
                <w:szCs w:val="22"/>
              </w:rPr>
              <w:t>29</w:t>
            </w:r>
            <w:r w:rsidRPr="00B35732">
              <w:rPr>
                <w:rFonts w:eastAsia="Palatino Linotype" w:cs="Palatino Linotype"/>
                <w:bCs/>
                <w:iCs/>
                <w:szCs w:val="22"/>
              </w:rPr>
              <w:t xml:space="preserve"> oficios generados en el mes de </w:t>
            </w:r>
            <w:r w:rsidR="00756D4C" w:rsidRPr="00B35732">
              <w:rPr>
                <w:rFonts w:eastAsia="Palatino Linotype" w:cs="Palatino Linotype"/>
                <w:bCs/>
                <w:iCs/>
                <w:szCs w:val="22"/>
              </w:rPr>
              <w:t>abril</w:t>
            </w:r>
            <w:r w:rsidRPr="00B35732">
              <w:rPr>
                <w:rFonts w:eastAsia="Palatino Linotype" w:cs="Palatino Linotype"/>
                <w:bCs/>
                <w:iCs/>
                <w:szCs w:val="22"/>
              </w:rPr>
              <w:t xml:space="preserve"> que contiene los rubros: del número de oficios, </w:t>
            </w:r>
            <w:r w:rsidRPr="00B35732">
              <w:rPr>
                <w:rFonts w:eastAsia="Palatino Linotype" w:cs="Palatino Linotype"/>
                <w:bCs/>
                <w:iCs/>
                <w:szCs w:val="22"/>
              </w:rPr>
              <w:lastRenderedPageBreak/>
              <w:t xml:space="preserve">fecha de emisión, destinatario, asunto y observaciones. </w:t>
            </w:r>
            <w:r w:rsidRPr="00B35732">
              <w:rPr>
                <w:rFonts w:eastAsia="Palatino Linotype" w:cs="Palatino Linotype"/>
                <w:szCs w:val="22"/>
              </w:rPr>
              <w:t xml:space="preserve"> </w:t>
            </w:r>
          </w:p>
        </w:tc>
      </w:tr>
    </w:tbl>
    <w:p w14:paraId="420615BF" w14:textId="77777777" w:rsidR="004F4233" w:rsidRPr="00B35732" w:rsidRDefault="004F4233" w:rsidP="00CC7286">
      <w:pPr>
        <w:pStyle w:val="Puesto"/>
        <w:spacing w:line="360" w:lineRule="auto"/>
        <w:rPr>
          <w:szCs w:val="22"/>
        </w:rPr>
      </w:pPr>
    </w:p>
    <w:p w14:paraId="71CB3D67" w14:textId="77777777" w:rsidR="001910CD" w:rsidRPr="00B35732" w:rsidRDefault="00593577" w:rsidP="00CC7286">
      <w:pPr>
        <w:pStyle w:val="Ttulo2"/>
        <w:jc w:val="left"/>
        <w:rPr>
          <w:szCs w:val="22"/>
        </w:rPr>
      </w:pPr>
      <w:bookmarkStart w:id="12" w:name="_Toc212099401"/>
      <w:r w:rsidRPr="00B35732">
        <w:rPr>
          <w:szCs w:val="22"/>
        </w:rPr>
        <w:t>DEL RECURSO DE REVISIÓN</w:t>
      </w:r>
      <w:bookmarkEnd w:id="12"/>
    </w:p>
    <w:p w14:paraId="1CFF8A16" w14:textId="77777777" w:rsidR="001910CD" w:rsidRPr="00B35732" w:rsidRDefault="00593577" w:rsidP="00CC7286">
      <w:pPr>
        <w:pStyle w:val="Ttulo3"/>
        <w:spacing w:line="360" w:lineRule="auto"/>
        <w:rPr>
          <w:szCs w:val="22"/>
        </w:rPr>
      </w:pPr>
      <w:bookmarkStart w:id="13" w:name="_Toc212099402"/>
      <w:r w:rsidRPr="00B35732">
        <w:rPr>
          <w:szCs w:val="22"/>
        </w:rPr>
        <w:t>a) Interposición de los Recursos de Revisión.</w:t>
      </w:r>
      <w:bookmarkEnd w:id="13"/>
    </w:p>
    <w:p w14:paraId="6C30FC1F" w14:textId="47EF0CB7" w:rsidR="003326FC" w:rsidRPr="00B35732" w:rsidRDefault="00593577" w:rsidP="00CC7286">
      <w:pPr>
        <w:ind w:right="-28"/>
        <w:rPr>
          <w:szCs w:val="22"/>
        </w:rPr>
      </w:pPr>
      <w:r w:rsidRPr="00B35732">
        <w:rPr>
          <w:szCs w:val="22"/>
        </w:rPr>
        <w:t>El</w:t>
      </w:r>
      <w:r w:rsidR="007117B7" w:rsidRPr="00B35732">
        <w:rPr>
          <w:szCs w:val="22"/>
        </w:rPr>
        <w:t xml:space="preserve"> </w:t>
      </w:r>
      <w:r w:rsidR="00756D4C" w:rsidRPr="00B35732">
        <w:rPr>
          <w:b/>
          <w:szCs w:val="22"/>
        </w:rPr>
        <w:t xml:space="preserve">dieciséis de junio </w:t>
      </w:r>
      <w:r w:rsidRPr="00B35732">
        <w:rPr>
          <w:b/>
          <w:szCs w:val="22"/>
        </w:rPr>
        <w:t xml:space="preserve">de dos mil </w:t>
      </w:r>
      <w:r w:rsidR="004156C5" w:rsidRPr="00B35732">
        <w:rPr>
          <w:b/>
          <w:szCs w:val="22"/>
        </w:rPr>
        <w:t>veinticinco</w:t>
      </w:r>
      <w:r w:rsidRPr="00B35732">
        <w:rPr>
          <w:b/>
          <w:szCs w:val="22"/>
        </w:rPr>
        <w:t>,</w:t>
      </w:r>
      <w:r w:rsidRPr="00B35732">
        <w:rPr>
          <w:szCs w:val="22"/>
        </w:rPr>
        <w:t xml:space="preserve"> </w:t>
      </w:r>
      <w:r w:rsidRPr="00B35732">
        <w:rPr>
          <w:b/>
          <w:szCs w:val="22"/>
        </w:rPr>
        <w:t>LA PARTE RECURRENTE</w:t>
      </w:r>
      <w:r w:rsidRPr="00B35732">
        <w:rPr>
          <w:szCs w:val="22"/>
        </w:rPr>
        <w:t xml:space="preserve"> interpuso los recursos de revisión en contra de las respuestas emitidas por el </w:t>
      </w:r>
      <w:r w:rsidRPr="00B35732">
        <w:rPr>
          <w:b/>
          <w:szCs w:val="22"/>
        </w:rPr>
        <w:t>SUJETO OBLIGADO</w:t>
      </w:r>
      <w:r w:rsidRPr="00B35732">
        <w:rPr>
          <w:szCs w:val="22"/>
        </w:rPr>
        <w:t xml:space="preserve">, mismos que fueron registrados en </w:t>
      </w:r>
      <w:r w:rsidR="00756D4C" w:rsidRPr="00B35732">
        <w:rPr>
          <w:b/>
          <w:bCs/>
          <w:szCs w:val="22"/>
        </w:rPr>
        <w:t>EL SAIMEX</w:t>
      </w:r>
      <w:r w:rsidR="00756D4C" w:rsidRPr="00B35732">
        <w:rPr>
          <w:szCs w:val="22"/>
        </w:rPr>
        <w:t xml:space="preserve"> </w:t>
      </w:r>
      <w:r w:rsidRPr="00B35732">
        <w:rPr>
          <w:szCs w:val="22"/>
        </w:rPr>
        <w:t>con los números de expedientes</w:t>
      </w:r>
      <w:r w:rsidR="00821667" w:rsidRPr="00B35732">
        <w:rPr>
          <w:szCs w:val="22"/>
        </w:rPr>
        <w:t xml:space="preserve"> </w:t>
      </w:r>
      <w:r w:rsidR="00756D4C" w:rsidRPr="00B35732">
        <w:rPr>
          <w:b/>
          <w:szCs w:val="22"/>
        </w:rPr>
        <w:t>07167/INFOEM/IP/RR/2025, 07168/INFOEM/IP/RR/2025, 07169/INFOEM/IP/RR/2025 y 07170/INFOEM/IP/RR/2025</w:t>
      </w:r>
      <w:r w:rsidR="00356DD9" w:rsidRPr="00B35732">
        <w:rPr>
          <w:b/>
        </w:rPr>
        <w:t xml:space="preserve"> </w:t>
      </w:r>
      <w:r w:rsidRPr="00B35732">
        <w:rPr>
          <w:szCs w:val="22"/>
        </w:rPr>
        <w:t>en los cuales se manifestó lo siguiente:</w:t>
      </w:r>
    </w:p>
    <w:p w14:paraId="0759158B" w14:textId="77777777" w:rsidR="00756D4C" w:rsidRPr="00B35732" w:rsidRDefault="00756D4C" w:rsidP="00CC7286">
      <w:pPr>
        <w:ind w:right="-28"/>
        <w:rPr>
          <w:szCs w:val="22"/>
        </w:rPr>
      </w:pPr>
    </w:p>
    <w:p w14:paraId="25BEA3D0" w14:textId="65E237FD" w:rsidR="003E5424" w:rsidRPr="00B35732" w:rsidRDefault="00F51455" w:rsidP="00CC7286">
      <w:pPr>
        <w:rPr>
          <w:b/>
          <w:szCs w:val="22"/>
        </w:rPr>
      </w:pPr>
      <w:r w:rsidRPr="00B35732">
        <w:rPr>
          <w:b/>
          <w:szCs w:val="22"/>
        </w:rPr>
        <w:t>ACTO IMPUGNADO</w:t>
      </w:r>
      <w:r w:rsidR="000B7BB2" w:rsidRPr="00B35732">
        <w:rPr>
          <w:b/>
          <w:szCs w:val="22"/>
        </w:rPr>
        <w:t>:</w:t>
      </w:r>
    </w:p>
    <w:p w14:paraId="5B3B3186" w14:textId="77777777" w:rsidR="00756D4C" w:rsidRPr="00B35732" w:rsidRDefault="00756D4C" w:rsidP="00CC7286">
      <w:pPr>
        <w:rPr>
          <w:b/>
          <w:szCs w:val="22"/>
        </w:rPr>
      </w:pPr>
    </w:p>
    <w:p w14:paraId="760965EF" w14:textId="2A1EC8CA" w:rsidR="000B7BB2" w:rsidRPr="00B35732" w:rsidRDefault="000B7BB2" w:rsidP="00CC7286">
      <w:pPr>
        <w:pStyle w:val="Puesto"/>
      </w:pPr>
      <w:r w:rsidRPr="00B35732">
        <w:t>“</w:t>
      </w:r>
      <w:r w:rsidR="00756D4C" w:rsidRPr="00B35732">
        <w:t>RESPUESTA</w:t>
      </w:r>
      <w:r w:rsidRPr="00B35732">
        <w:t>”</w:t>
      </w:r>
      <w:r w:rsidR="00FD6720" w:rsidRPr="00B35732">
        <w:t xml:space="preserve"> (sic).</w:t>
      </w:r>
    </w:p>
    <w:p w14:paraId="3EC97B34" w14:textId="77777777" w:rsidR="00756D4C" w:rsidRPr="00B35732" w:rsidRDefault="00756D4C" w:rsidP="00CC7286">
      <w:pPr>
        <w:rPr>
          <w:b/>
          <w:szCs w:val="22"/>
        </w:rPr>
      </w:pPr>
    </w:p>
    <w:p w14:paraId="1D9F1E6F" w14:textId="08E7C6FD" w:rsidR="003E5424" w:rsidRPr="00B35732" w:rsidRDefault="00F51455" w:rsidP="00CC7286">
      <w:pPr>
        <w:rPr>
          <w:b/>
          <w:szCs w:val="22"/>
        </w:rPr>
      </w:pPr>
      <w:r w:rsidRPr="00B35732">
        <w:rPr>
          <w:b/>
          <w:szCs w:val="22"/>
        </w:rPr>
        <w:t>RAZONE</w:t>
      </w:r>
      <w:r w:rsidR="000B7BB2" w:rsidRPr="00B35732">
        <w:rPr>
          <w:b/>
          <w:szCs w:val="22"/>
        </w:rPr>
        <w:t>S Y MOTIVOS DE LA INCONFORMIDAD:</w:t>
      </w:r>
    </w:p>
    <w:p w14:paraId="506EBC38" w14:textId="77777777" w:rsidR="00756D4C" w:rsidRPr="00B35732" w:rsidRDefault="00756D4C" w:rsidP="00CC7286">
      <w:pPr>
        <w:rPr>
          <w:b/>
          <w:szCs w:val="22"/>
        </w:rPr>
      </w:pPr>
    </w:p>
    <w:p w14:paraId="7AB75863" w14:textId="469080C0" w:rsidR="00821667" w:rsidRPr="00B35732" w:rsidRDefault="00821667" w:rsidP="00CC7286">
      <w:pPr>
        <w:pStyle w:val="Puesto"/>
      </w:pPr>
      <w:r w:rsidRPr="00B35732">
        <w:t>“</w:t>
      </w:r>
      <w:r w:rsidR="00756D4C" w:rsidRPr="00B35732">
        <w:t>Solicité los OFCIOS FIRMADOS y en la respuesta que me entregan me dan un concentrado de los oficios y es algo que no solicite, requiero los oficios como están, no un concentrado de los mismos.</w:t>
      </w:r>
      <w:r w:rsidRPr="00B35732">
        <w:t>”</w:t>
      </w:r>
      <w:r w:rsidR="00C878A7" w:rsidRPr="00B35732">
        <w:t xml:space="preserve"> (sic).</w:t>
      </w:r>
    </w:p>
    <w:p w14:paraId="244E611D" w14:textId="77777777" w:rsidR="00756D4C" w:rsidRPr="00B35732" w:rsidRDefault="00756D4C" w:rsidP="00CC7286"/>
    <w:p w14:paraId="210A4C08" w14:textId="77777777" w:rsidR="00756D4C" w:rsidRPr="00B35732" w:rsidRDefault="00756D4C" w:rsidP="00CC7286">
      <w:pPr>
        <w:pStyle w:val="Ttulo3"/>
        <w:spacing w:line="360" w:lineRule="auto"/>
        <w:rPr>
          <w:szCs w:val="22"/>
        </w:rPr>
      </w:pPr>
      <w:bookmarkStart w:id="14" w:name="_Toc205303951"/>
      <w:bookmarkStart w:id="15" w:name="_Toc212099403"/>
      <w:r w:rsidRPr="00B35732">
        <w:rPr>
          <w:szCs w:val="22"/>
        </w:rPr>
        <w:t>b) Turno del Recurso de Revisión</w:t>
      </w:r>
      <w:bookmarkEnd w:id="14"/>
      <w:bookmarkEnd w:id="15"/>
    </w:p>
    <w:p w14:paraId="23139A83" w14:textId="10EAFD61" w:rsidR="00756D4C" w:rsidRPr="00B35732" w:rsidRDefault="00756D4C" w:rsidP="00CC7286">
      <w:r w:rsidRPr="00B35732">
        <w:t>Con fundamento en el artículo 185, fracción I de la Ley de Transparencia y Acceso a la Información Pública del Estado de México y Municipios, el</w:t>
      </w:r>
      <w:r w:rsidRPr="00B35732">
        <w:rPr>
          <w:b/>
          <w:bCs/>
        </w:rPr>
        <w:t xml:space="preserve"> </w:t>
      </w:r>
      <w:r w:rsidRPr="00B35732">
        <w:rPr>
          <w:b/>
        </w:rPr>
        <w:t>dieciséis de junio de dos mil veinticinco</w:t>
      </w:r>
      <w:r w:rsidRPr="00B35732">
        <w:rPr>
          <w:rFonts w:eastAsia="Palatino Linotype" w:cs="Palatino Linotype"/>
          <w:b/>
        </w:rPr>
        <w:t xml:space="preserve"> </w:t>
      </w:r>
      <w:r w:rsidRPr="00B35732">
        <w:t>se tunaron a través del</w:t>
      </w:r>
      <w:r w:rsidRPr="00B35732">
        <w:rPr>
          <w:rFonts w:eastAsia="Arial Unicode MS"/>
        </w:rPr>
        <w:t xml:space="preserve"> </w:t>
      </w:r>
      <w:r w:rsidRPr="00B35732">
        <w:rPr>
          <w:rFonts w:eastAsia="Arial Unicode MS"/>
          <w:b/>
          <w:bCs/>
        </w:rPr>
        <w:t>SAIMEX</w:t>
      </w:r>
      <w:r w:rsidRPr="00B35732">
        <w:t xml:space="preserve"> el Recursos de Revisión </w:t>
      </w:r>
      <w:r w:rsidRPr="00B35732">
        <w:rPr>
          <w:b/>
          <w:szCs w:val="22"/>
        </w:rPr>
        <w:t>07167/INFOEM/IP/RR/2025,</w:t>
      </w:r>
      <w:r w:rsidRPr="00B35732">
        <w:t xml:space="preserve"> a la comisionada</w:t>
      </w:r>
      <w:r w:rsidRPr="00B35732">
        <w:rPr>
          <w:b/>
        </w:rPr>
        <w:t xml:space="preserve"> Sharon Cristina Morales Martínez, </w:t>
      </w:r>
      <w:r w:rsidRPr="00B35732">
        <w:rPr>
          <w:bCs/>
        </w:rPr>
        <w:t xml:space="preserve">el Recurso </w:t>
      </w:r>
      <w:r w:rsidRPr="00B35732">
        <w:rPr>
          <w:bCs/>
        </w:rPr>
        <w:lastRenderedPageBreak/>
        <w:t xml:space="preserve">de Revisión </w:t>
      </w:r>
      <w:r w:rsidRPr="00B35732">
        <w:rPr>
          <w:b/>
          <w:szCs w:val="22"/>
        </w:rPr>
        <w:t>07168/INFOEM/IP/RR/2025,</w:t>
      </w:r>
      <w:r w:rsidRPr="00B35732">
        <w:rPr>
          <w:bCs/>
        </w:rPr>
        <w:t xml:space="preserve"> a la comisionada </w:t>
      </w:r>
      <w:r w:rsidRPr="00B35732">
        <w:rPr>
          <w:b/>
        </w:rPr>
        <w:t xml:space="preserve">María del Rosario Mejía Ayala, </w:t>
      </w:r>
      <w:r w:rsidRPr="00B35732">
        <w:rPr>
          <w:bCs/>
        </w:rPr>
        <w:t xml:space="preserve">el Recurso de Revisión </w:t>
      </w:r>
      <w:r w:rsidRPr="00B35732">
        <w:rPr>
          <w:b/>
          <w:szCs w:val="22"/>
        </w:rPr>
        <w:t>07169/INFOEM/IP/RR/2025,</w:t>
      </w:r>
      <w:r w:rsidRPr="00B35732">
        <w:rPr>
          <w:bCs/>
        </w:rPr>
        <w:t xml:space="preserve"> a la comisionada </w:t>
      </w:r>
      <w:r w:rsidRPr="00B35732">
        <w:rPr>
          <w:b/>
        </w:rPr>
        <w:t xml:space="preserve">Guadalupe Ramírez Peña </w:t>
      </w:r>
      <w:r w:rsidRPr="00B35732">
        <w:rPr>
          <w:bCs/>
        </w:rPr>
        <w:t xml:space="preserve">y el Recurso de Revisión </w:t>
      </w:r>
      <w:r w:rsidRPr="00B35732">
        <w:rPr>
          <w:b/>
          <w:szCs w:val="22"/>
        </w:rPr>
        <w:t xml:space="preserve">07170/INFOEM/IP/RR/2025 </w:t>
      </w:r>
      <w:r w:rsidRPr="00B35732">
        <w:rPr>
          <w:bCs/>
          <w:szCs w:val="22"/>
        </w:rPr>
        <w:t xml:space="preserve">al comisionado </w:t>
      </w:r>
      <w:r w:rsidRPr="00B35732">
        <w:rPr>
          <w:b/>
          <w:szCs w:val="22"/>
        </w:rPr>
        <w:t xml:space="preserve">José Martínez Vilchis </w:t>
      </w:r>
      <w:r w:rsidRPr="00B35732">
        <w:t xml:space="preserve">a efecto de decretar su admisión o desechamiento. </w:t>
      </w:r>
    </w:p>
    <w:p w14:paraId="421B51A1" w14:textId="77777777" w:rsidR="00756D4C" w:rsidRPr="00B35732" w:rsidRDefault="00756D4C" w:rsidP="00CC7286"/>
    <w:p w14:paraId="2D17769D" w14:textId="77777777" w:rsidR="00756D4C" w:rsidRPr="00B35732" w:rsidRDefault="00756D4C" w:rsidP="00CC7286">
      <w:pPr>
        <w:pStyle w:val="Ttulo3"/>
        <w:spacing w:line="360" w:lineRule="auto"/>
        <w:rPr>
          <w:szCs w:val="22"/>
        </w:rPr>
      </w:pPr>
      <w:bookmarkStart w:id="16" w:name="_Toc205303952"/>
      <w:bookmarkStart w:id="17" w:name="_Toc212099404"/>
      <w:r w:rsidRPr="00B35732">
        <w:rPr>
          <w:szCs w:val="22"/>
        </w:rPr>
        <w:t>c) Admisión del Recurso de Revisión</w:t>
      </w:r>
      <w:bookmarkEnd w:id="16"/>
      <w:bookmarkEnd w:id="17"/>
    </w:p>
    <w:p w14:paraId="782E38CD" w14:textId="6C50D0D0" w:rsidR="00756D4C" w:rsidRPr="00B35732" w:rsidRDefault="00756D4C" w:rsidP="00CC7286">
      <w:r w:rsidRPr="00B35732">
        <w:t xml:space="preserve">El </w:t>
      </w:r>
      <w:r w:rsidRPr="00B35732">
        <w:rPr>
          <w:b/>
        </w:rPr>
        <w:t>dieciocho y diecinueve de junio de dos mil veinticinco</w:t>
      </w:r>
      <w:r w:rsidRPr="00B35732">
        <w:t xml:space="preserve"> se acordó la admisión a trámite de los Recurso de Revisión y se integraron los expedientes respectivos, mismos que se pusieron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20461386" w14:textId="77777777" w:rsidR="00756D4C" w:rsidRPr="00B35732" w:rsidRDefault="00756D4C" w:rsidP="00CC7286"/>
    <w:p w14:paraId="3B67C9AE" w14:textId="77777777" w:rsidR="00756D4C" w:rsidRPr="00B35732" w:rsidRDefault="00756D4C" w:rsidP="00CC7286">
      <w:pPr>
        <w:pStyle w:val="Ttulo3"/>
        <w:spacing w:line="360" w:lineRule="auto"/>
        <w:rPr>
          <w:szCs w:val="22"/>
        </w:rPr>
      </w:pPr>
      <w:bookmarkStart w:id="18" w:name="_Toc165402865"/>
      <w:bookmarkStart w:id="19" w:name="_Toc192675145"/>
      <w:bookmarkStart w:id="20" w:name="_Toc205303953"/>
      <w:bookmarkStart w:id="21" w:name="_Toc212099405"/>
      <w:r w:rsidRPr="00B35732">
        <w:rPr>
          <w:szCs w:val="22"/>
        </w:rPr>
        <w:t>d) Acumulación de los Recursos de Revisión</w:t>
      </w:r>
      <w:bookmarkEnd w:id="18"/>
      <w:bookmarkEnd w:id="19"/>
      <w:bookmarkEnd w:id="20"/>
      <w:bookmarkEnd w:id="21"/>
    </w:p>
    <w:p w14:paraId="17B0F56D" w14:textId="080BB66C" w:rsidR="00756D4C" w:rsidRPr="00B35732" w:rsidRDefault="00756D4C" w:rsidP="00CC7286">
      <w:pPr>
        <w:ind w:left="-57"/>
        <w:rPr>
          <w:b/>
        </w:rPr>
      </w:pPr>
      <w:r w:rsidRPr="00B35732">
        <w:rPr>
          <w:rFonts w:cs="Arial"/>
        </w:rPr>
        <w:t xml:space="preserve">Por economía procesal y con la finalidad de evitar resoluciones contradictorias, mediante acuerdo del </w:t>
      </w:r>
      <w:r w:rsidRPr="00B35732">
        <w:rPr>
          <w:rFonts w:cs="Arial"/>
          <w:b/>
          <w:bCs/>
        </w:rPr>
        <w:t>dieciocho de junio de dos mil veinticinco</w:t>
      </w:r>
      <w:r w:rsidRPr="00B35732">
        <w:t xml:space="preserve">, el Pleno de este Instituto </w:t>
      </w:r>
      <w:r w:rsidRPr="00B35732">
        <w:rPr>
          <w:rFonts w:cs="Arial"/>
        </w:rPr>
        <w:t xml:space="preserve">determinó </w:t>
      </w:r>
      <w:r w:rsidRPr="00B35732">
        <w:t>acumular los Recursos de Revisión</w:t>
      </w:r>
      <w:bookmarkStart w:id="22" w:name="_Hlk109159636"/>
      <w:r w:rsidRPr="00B35732">
        <w:rPr>
          <w:rFonts w:cs="Arial"/>
          <w:b/>
          <w:bCs/>
        </w:rPr>
        <w:t xml:space="preserve"> </w:t>
      </w:r>
      <w:bookmarkEnd w:id="22"/>
      <w:r w:rsidRPr="00B35732">
        <w:rPr>
          <w:b/>
          <w:szCs w:val="22"/>
        </w:rPr>
        <w:t>07167/INFOEM/IP/RR/2025, 07168/INFOEM/IP/RR/2025, 07169/INFOEM/IP/RR/2025 y 07170/INFOEM/IP/RR/2025</w:t>
      </w:r>
      <w:r w:rsidRPr="00B35732">
        <w:rPr>
          <w:b/>
        </w:rPr>
        <w:t>.</w:t>
      </w:r>
    </w:p>
    <w:p w14:paraId="7AC40892" w14:textId="77777777" w:rsidR="00756D4C" w:rsidRPr="00B35732" w:rsidRDefault="00756D4C" w:rsidP="00CC7286"/>
    <w:p w14:paraId="4D89CF29" w14:textId="77777777" w:rsidR="00756D4C" w:rsidRPr="00B35732" w:rsidRDefault="00756D4C" w:rsidP="00CC7286">
      <w:pPr>
        <w:pStyle w:val="Ttulo3"/>
        <w:spacing w:line="360" w:lineRule="auto"/>
        <w:rPr>
          <w:szCs w:val="22"/>
        </w:rPr>
      </w:pPr>
      <w:bookmarkStart w:id="23" w:name="_Toc205303954"/>
      <w:bookmarkStart w:id="24" w:name="_Toc212099406"/>
      <w:r w:rsidRPr="00B35732">
        <w:rPr>
          <w:szCs w:val="22"/>
        </w:rPr>
        <w:t>e) Informe Justificado del Sujeto Obligado</w:t>
      </w:r>
      <w:bookmarkEnd w:id="23"/>
      <w:bookmarkEnd w:id="24"/>
    </w:p>
    <w:p w14:paraId="3ADD3721" w14:textId="588236BA" w:rsidR="00756D4C" w:rsidRPr="00B35732" w:rsidRDefault="00756D4C" w:rsidP="00CC7286">
      <w:bookmarkStart w:id="25" w:name="_heading=h.o23t851g9tvr" w:colFirst="0" w:colLast="0"/>
      <w:bookmarkEnd w:id="25"/>
      <w:r w:rsidRPr="00B35732">
        <w:t xml:space="preserve">El </w:t>
      </w:r>
      <w:r w:rsidRPr="00B35732">
        <w:rPr>
          <w:b/>
        </w:rPr>
        <w:t>veintitrés de junio de dos mil veinticinco EL SUJETO OBLIGADO</w:t>
      </w:r>
      <w:r w:rsidRPr="00B35732">
        <w:t xml:space="preserve"> rindió los informes justificados a través del </w:t>
      </w:r>
      <w:r w:rsidRPr="00B35732">
        <w:rPr>
          <w:b/>
        </w:rPr>
        <w:t>SAIMEX</w:t>
      </w:r>
      <w:r w:rsidRPr="00B35732">
        <w:t xml:space="preserve">, adjuntando para ello los archivos que a continuación se describen: </w:t>
      </w:r>
    </w:p>
    <w:p w14:paraId="5398C1A8" w14:textId="77777777" w:rsidR="00756D4C" w:rsidRPr="00B35732" w:rsidRDefault="00756D4C" w:rsidP="00CC7286"/>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20"/>
        <w:gridCol w:w="5940"/>
      </w:tblGrid>
      <w:tr w:rsidR="00CC7286" w:rsidRPr="00B35732" w14:paraId="6857AEB9" w14:textId="77777777" w:rsidTr="00024C5D">
        <w:trPr>
          <w:trHeight w:val="324"/>
          <w:tblHeader/>
        </w:trPr>
        <w:tc>
          <w:tcPr>
            <w:tcW w:w="3120" w:type="dxa"/>
            <w:shd w:val="clear" w:color="auto" w:fill="D9D9D9"/>
            <w:vAlign w:val="center"/>
          </w:tcPr>
          <w:p w14:paraId="264A2D9D" w14:textId="77777777" w:rsidR="00756D4C" w:rsidRPr="00B35732" w:rsidRDefault="00756D4C" w:rsidP="00CC7286">
            <w:pPr>
              <w:spacing w:line="240" w:lineRule="auto"/>
              <w:jc w:val="center"/>
              <w:rPr>
                <w:b/>
              </w:rPr>
            </w:pPr>
            <w:r w:rsidRPr="00B35732">
              <w:rPr>
                <w:b/>
              </w:rPr>
              <w:lastRenderedPageBreak/>
              <w:t xml:space="preserve">Número de solicitud / </w:t>
            </w:r>
          </w:p>
          <w:p w14:paraId="06C4A2E0" w14:textId="77777777" w:rsidR="00756D4C" w:rsidRPr="00B35732" w:rsidRDefault="00756D4C" w:rsidP="00CC7286">
            <w:pPr>
              <w:spacing w:line="240" w:lineRule="auto"/>
              <w:jc w:val="center"/>
              <w:rPr>
                <w:b/>
              </w:rPr>
            </w:pPr>
            <w:r w:rsidRPr="00B35732">
              <w:rPr>
                <w:b/>
              </w:rPr>
              <w:t>Número de Recurso</w:t>
            </w:r>
          </w:p>
          <w:p w14:paraId="40A91FC0" w14:textId="77777777" w:rsidR="00756D4C" w:rsidRPr="00B35732" w:rsidRDefault="00756D4C" w:rsidP="00CC7286">
            <w:pPr>
              <w:spacing w:line="240" w:lineRule="auto"/>
              <w:jc w:val="center"/>
              <w:rPr>
                <w:b/>
              </w:rPr>
            </w:pPr>
          </w:p>
        </w:tc>
        <w:tc>
          <w:tcPr>
            <w:tcW w:w="5940" w:type="dxa"/>
            <w:shd w:val="clear" w:color="auto" w:fill="D9D9D9"/>
            <w:vAlign w:val="center"/>
          </w:tcPr>
          <w:p w14:paraId="3333E151" w14:textId="77777777" w:rsidR="00756D4C" w:rsidRPr="00B35732" w:rsidRDefault="00756D4C" w:rsidP="00CC7286">
            <w:pPr>
              <w:spacing w:line="240" w:lineRule="auto"/>
              <w:jc w:val="center"/>
              <w:rPr>
                <w:b/>
              </w:rPr>
            </w:pPr>
            <w:r w:rsidRPr="00B35732">
              <w:rPr>
                <w:b/>
              </w:rPr>
              <w:t xml:space="preserve">Archivos adjuntos </w:t>
            </w:r>
          </w:p>
        </w:tc>
      </w:tr>
      <w:tr w:rsidR="00CC7286" w:rsidRPr="00B35732" w14:paraId="69A32D89" w14:textId="77777777" w:rsidTr="00024C5D">
        <w:trPr>
          <w:trHeight w:val="962"/>
        </w:trPr>
        <w:tc>
          <w:tcPr>
            <w:tcW w:w="3120" w:type="dxa"/>
            <w:vAlign w:val="center"/>
          </w:tcPr>
          <w:p w14:paraId="7564B397" w14:textId="77777777" w:rsidR="00C46DA6" w:rsidRPr="00B35732" w:rsidRDefault="00C46DA6" w:rsidP="00CC7286">
            <w:pPr>
              <w:tabs>
                <w:tab w:val="left" w:pos="0"/>
              </w:tabs>
              <w:spacing w:line="276" w:lineRule="auto"/>
              <w:jc w:val="center"/>
              <w:rPr>
                <w:b/>
                <w:szCs w:val="22"/>
                <w:lang w:val="pt-PT"/>
              </w:rPr>
            </w:pPr>
            <w:r w:rsidRPr="00B35732">
              <w:rPr>
                <w:b/>
                <w:szCs w:val="22"/>
                <w:lang w:val="pt-PT"/>
              </w:rPr>
              <w:t>07167/INFOEM/IP/RR/2025</w:t>
            </w:r>
          </w:p>
          <w:p w14:paraId="7D9A4D19" w14:textId="334A9C55" w:rsidR="00C46DA6" w:rsidRPr="00B35732" w:rsidRDefault="00C46DA6" w:rsidP="00CC7286">
            <w:pPr>
              <w:spacing w:line="240" w:lineRule="auto"/>
              <w:jc w:val="center"/>
              <w:rPr>
                <w:b/>
                <w:lang w:val="pt-PT"/>
              </w:rPr>
            </w:pPr>
            <w:r w:rsidRPr="00B35732">
              <w:rPr>
                <w:b/>
                <w:szCs w:val="22"/>
                <w:lang w:val="pt-PT"/>
              </w:rPr>
              <w:t>00395/TEOLOYU/IP/2025</w:t>
            </w:r>
          </w:p>
        </w:tc>
        <w:tc>
          <w:tcPr>
            <w:tcW w:w="5940" w:type="dxa"/>
            <w:vMerge w:val="restart"/>
          </w:tcPr>
          <w:p w14:paraId="238CBFB4" w14:textId="3AF1C7CE" w:rsidR="00C46DA6" w:rsidRPr="00B35732" w:rsidRDefault="00C46DA6" w:rsidP="00CC7286">
            <w:pPr>
              <w:numPr>
                <w:ilvl w:val="0"/>
                <w:numId w:val="34"/>
              </w:numPr>
              <w:pBdr>
                <w:top w:val="nil"/>
                <w:left w:val="nil"/>
                <w:bottom w:val="nil"/>
                <w:right w:val="nil"/>
                <w:between w:val="nil"/>
              </w:pBdr>
              <w:spacing w:line="240" w:lineRule="auto"/>
              <w:rPr>
                <w:rFonts w:eastAsia="Palatino Linotype" w:cs="Palatino Linotype"/>
                <w:szCs w:val="22"/>
              </w:rPr>
            </w:pPr>
            <w:r w:rsidRPr="00B35732">
              <w:rPr>
                <w:rFonts w:eastAsia="Palatino Linotype" w:cs="Palatino Linotype"/>
                <w:b/>
                <w:i/>
                <w:szCs w:val="22"/>
              </w:rPr>
              <w:t xml:space="preserve">Manifestaciones a diversos RR.pdf, </w:t>
            </w:r>
            <w:r w:rsidRPr="00B35732">
              <w:rPr>
                <w:rFonts w:eastAsia="Palatino Linotype" w:cs="Palatino Linotype"/>
                <w:szCs w:val="22"/>
              </w:rPr>
              <w:t>el cual contiene el oficio UT/ABRO/705/2025 del veintitrés de junio de dos mil veinticinco, por medio del cual la titular de la Unidad de Transparencia, manifiesta que durante la quincena de mayo, observó un incremento de solicitudes de información, lo que rebasa las capacidades administrativas, humanas y materiales; motivo por el cual solicita se autorice el cambio de modalidad en la entrega de la información y de resultar procedente se pone a disposición del solicitante en versión pública la información solicitada para que pueda consultarla de manera presencial en las oficinas de la dependencia ubicadas en el interior de la Presidencia Municipal, Avenida Dolores sin número, Barrio Tlatilco, municipio de Teoloyucan, Estado de México concretamente en las oficinas de la Unidad de Transparencia donde podrá acudir en un horario de Lunes a Viernes de 09:00 a 18:00 horas.</w:t>
            </w:r>
          </w:p>
        </w:tc>
      </w:tr>
      <w:tr w:rsidR="00CC7286" w:rsidRPr="00B35732" w14:paraId="0413323E" w14:textId="77777777" w:rsidTr="00024C5D">
        <w:trPr>
          <w:trHeight w:val="962"/>
        </w:trPr>
        <w:tc>
          <w:tcPr>
            <w:tcW w:w="3120" w:type="dxa"/>
            <w:vAlign w:val="center"/>
          </w:tcPr>
          <w:p w14:paraId="7DAF2791" w14:textId="77777777" w:rsidR="00C46DA6" w:rsidRPr="00B35732" w:rsidRDefault="00C46DA6" w:rsidP="00CC7286">
            <w:pPr>
              <w:tabs>
                <w:tab w:val="left" w:pos="0"/>
              </w:tabs>
              <w:spacing w:line="276" w:lineRule="auto"/>
              <w:jc w:val="center"/>
              <w:rPr>
                <w:b/>
                <w:szCs w:val="22"/>
                <w:lang w:val="pt-PT"/>
              </w:rPr>
            </w:pPr>
            <w:r w:rsidRPr="00B35732">
              <w:rPr>
                <w:b/>
                <w:szCs w:val="22"/>
                <w:lang w:val="pt-PT"/>
              </w:rPr>
              <w:t>07168/INFOEM/IP/RR/2025</w:t>
            </w:r>
          </w:p>
          <w:p w14:paraId="6B20B4E1" w14:textId="438DD2FF" w:rsidR="00C46DA6" w:rsidRPr="00B35732" w:rsidRDefault="00C46DA6" w:rsidP="00CC7286">
            <w:pPr>
              <w:spacing w:line="240" w:lineRule="auto"/>
              <w:jc w:val="center"/>
              <w:rPr>
                <w:b/>
                <w:lang w:val="pt-PT"/>
              </w:rPr>
            </w:pPr>
            <w:r w:rsidRPr="00B35732">
              <w:rPr>
                <w:b/>
                <w:szCs w:val="22"/>
                <w:lang w:val="pt-PT"/>
              </w:rPr>
              <w:t>00396/TEOLOYU/IP/2025</w:t>
            </w:r>
          </w:p>
        </w:tc>
        <w:tc>
          <w:tcPr>
            <w:tcW w:w="5940" w:type="dxa"/>
            <w:vMerge/>
          </w:tcPr>
          <w:p w14:paraId="0E0C2C7B" w14:textId="7855621F" w:rsidR="00C46DA6" w:rsidRPr="00B35732" w:rsidRDefault="00C46DA6" w:rsidP="00CC7286">
            <w:pPr>
              <w:numPr>
                <w:ilvl w:val="0"/>
                <w:numId w:val="32"/>
              </w:numPr>
              <w:pBdr>
                <w:top w:val="nil"/>
                <w:left w:val="nil"/>
                <w:bottom w:val="nil"/>
                <w:right w:val="nil"/>
                <w:between w:val="nil"/>
              </w:pBdr>
              <w:spacing w:line="240" w:lineRule="auto"/>
              <w:contextualSpacing/>
              <w:rPr>
                <w:rFonts w:eastAsia="Palatino Linotype" w:cs="Palatino Linotype"/>
                <w:b/>
                <w:i/>
                <w:szCs w:val="22"/>
                <w:lang w:val="en-US"/>
              </w:rPr>
            </w:pPr>
          </w:p>
        </w:tc>
      </w:tr>
      <w:tr w:rsidR="00CC7286" w:rsidRPr="00B35732" w14:paraId="50A8CE87" w14:textId="77777777" w:rsidTr="00024C5D">
        <w:trPr>
          <w:trHeight w:val="962"/>
        </w:trPr>
        <w:tc>
          <w:tcPr>
            <w:tcW w:w="3120" w:type="dxa"/>
            <w:vAlign w:val="center"/>
          </w:tcPr>
          <w:p w14:paraId="32E45B14" w14:textId="77777777" w:rsidR="00C46DA6" w:rsidRPr="00B35732" w:rsidRDefault="00C46DA6" w:rsidP="00CC7286">
            <w:pPr>
              <w:tabs>
                <w:tab w:val="left" w:pos="0"/>
              </w:tabs>
              <w:spacing w:line="276" w:lineRule="auto"/>
              <w:jc w:val="center"/>
              <w:rPr>
                <w:b/>
                <w:szCs w:val="22"/>
                <w:lang w:val="pt-PT"/>
              </w:rPr>
            </w:pPr>
            <w:r w:rsidRPr="00B35732">
              <w:rPr>
                <w:b/>
                <w:szCs w:val="22"/>
                <w:lang w:val="pt-PT"/>
              </w:rPr>
              <w:t>07169/INFOEM/IP/RR/2025</w:t>
            </w:r>
          </w:p>
          <w:p w14:paraId="06DCE682" w14:textId="7D86CAF4" w:rsidR="00C46DA6" w:rsidRPr="00B35732" w:rsidRDefault="00C46DA6" w:rsidP="00CC7286">
            <w:pPr>
              <w:spacing w:line="240" w:lineRule="auto"/>
              <w:jc w:val="center"/>
              <w:rPr>
                <w:rFonts w:eastAsia="Palatino Linotype" w:cs="Palatino Linotype"/>
                <w:b/>
                <w:szCs w:val="22"/>
                <w:lang w:val="pt-PT"/>
              </w:rPr>
            </w:pPr>
            <w:r w:rsidRPr="00B35732">
              <w:rPr>
                <w:b/>
                <w:szCs w:val="22"/>
                <w:lang w:val="pt-PT"/>
              </w:rPr>
              <w:t>00397/TEOLOYU/IP/2025</w:t>
            </w:r>
          </w:p>
        </w:tc>
        <w:tc>
          <w:tcPr>
            <w:tcW w:w="5940" w:type="dxa"/>
            <w:vMerge/>
          </w:tcPr>
          <w:p w14:paraId="6383C1A5" w14:textId="7EA22F93" w:rsidR="00C46DA6" w:rsidRPr="00B35732" w:rsidRDefault="00C46DA6" w:rsidP="00CC7286">
            <w:pPr>
              <w:numPr>
                <w:ilvl w:val="0"/>
                <w:numId w:val="34"/>
              </w:numPr>
              <w:pBdr>
                <w:top w:val="nil"/>
                <w:left w:val="nil"/>
                <w:bottom w:val="nil"/>
                <w:right w:val="nil"/>
                <w:between w:val="nil"/>
              </w:pBdr>
              <w:spacing w:line="240" w:lineRule="auto"/>
              <w:rPr>
                <w:rFonts w:eastAsia="Palatino Linotype" w:cs="Palatino Linotype"/>
                <w:b/>
                <w:i/>
                <w:szCs w:val="22"/>
                <w:lang w:val="en-US"/>
              </w:rPr>
            </w:pPr>
          </w:p>
        </w:tc>
      </w:tr>
      <w:tr w:rsidR="00C46DA6" w:rsidRPr="00B35732" w14:paraId="7E6D13CC" w14:textId="77777777" w:rsidTr="00024C5D">
        <w:trPr>
          <w:trHeight w:val="962"/>
        </w:trPr>
        <w:tc>
          <w:tcPr>
            <w:tcW w:w="3120" w:type="dxa"/>
            <w:vAlign w:val="center"/>
          </w:tcPr>
          <w:p w14:paraId="3724F7CA" w14:textId="77777777" w:rsidR="00C46DA6" w:rsidRPr="00B35732" w:rsidRDefault="00C46DA6" w:rsidP="00CC7286">
            <w:pPr>
              <w:tabs>
                <w:tab w:val="left" w:pos="0"/>
              </w:tabs>
              <w:spacing w:line="276" w:lineRule="auto"/>
              <w:jc w:val="center"/>
              <w:rPr>
                <w:b/>
                <w:szCs w:val="22"/>
                <w:lang w:val="pt-PT"/>
              </w:rPr>
            </w:pPr>
            <w:r w:rsidRPr="00B35732">
              <w:rPr>
                <w:b/>
                <w:szCs w:val="22"/>
                <w:lang w:val="pt-PT"/>
              </w:rPr>
              <w:t>07170/INFOEM/IP/RR/2025</w:t>
            </w:r>
          </w:p>
          <w:p w14:paraId="65C55027" w14:textId="2042D1AF" w:rsidR="00C46DA6" w:rsidRPr="00B35732" w:rsidRDefault="00C46DA6" w:rsidP="00CC7286">
            <w:pPr>
              <w:spacing w:line="240" w:lineRule="auto"/>
              <w:jc w:val="center"/>
              <w:rPr>
                <w:rFonts w:eastAsia="Palatino Linotype" w:cs="Palatino Linotype"/>
                <w:b/>
                <w:szCs w:val="22"/>
                <w:lang w:val="pt-PT"/>
              </w:rPr>
            </w:pPr>
            <w:r w:rsidRPr="00B35732">
              <w:rPr>
                <w:b/>
                <w:szCs w:val="22"/>
                <w:lang w:val="pt-PT"/>
              </w:rPr>
              <w:t>00398/TEOLOYU/IP/2025</w:t>
            </w:r>
          </w:p>
        </w:tc>
        <w:tc>
          <w:tcPr>
            <w:tcW w:w="5940" w:type="dxa"/>
            <w:vMerge/>
          </w:tcPr>
          <w:p w14:paraId="5DA0D736" w14:textId="2F082565" w:rsidR="00C46DA6" w:rsidRPr="00B35732" w:rsidRDefault="00C46DA6" w:rsidP="00CC7286">
            <w:pPr>
              <w:numPr>
                <w:ilvl w:val="0"/>
                <w:numId w:val="34"/>
              </w:numPr>
              <w:pBdr>
                <w:top w:val="nil"/>
                <w:left w:val="nil"/>
                <w:bottom w:val="nil"/>
                <w:right w:val="nil"/>
                <w:between w:val="nil"/>
              </w:pBdr>
              <w:spacing w:line="240" w:lineRule="auto"/>
              <w:rPr>
                <w:rFonts w:eastAsia="Palatino Linotype" w:cs="Palatino Linotype"/>
                <w:b/>
                <w:i/>
                <w:szCs w:val="22"/>
                <w:lang w:val="en-US"/>
              </w:rPr>
            </w:pPr>
          </w:p>
        </w:tc>
      </w:tr>
    </w:tbl>
    <w:p w14:paraId="6F7B39E8" w14:textId="77777777" w:rsidR="00756D4C" w:rsidRPr="00B35732" w:rsidRDefault="00756D4C" w:rsidP="00CC7286">
      <w:pPr>
        <w:rPr>
          <w:lang w:val="en-US"/>
        </w:rPr>
      </w:pPr>
    </w:p>
    <w:p w14:paraId="65695AC3" w14:textId="2DA8E2BC" w:rsidR="00756D4C" w:rsidRPr="00B35732" w:rsidRDefault="00756D4C" w:rsidP="00CC7286">
      <w:r w:rsidRPr="00B35732">
        <w:t xml:space="preserve">Esta información fue puesta a la vista de </w:t>
      </w:r>
      <w:r w:rsidRPr="00B35732">
        <w:rPr>
          <w:b/>
        </w:rPr>
        <w:t>LA PARTE RECURRENTE</w:t>
      </w:r>
      <w:r w:rsidRPr="00B35732">
        <w:t xml:space="preserve"> el </w:t>
      </w:r>
      <w:r w:rsidR="00C46DA6" w:rsidRPr="00B35732">
        <w:rPr>
          <w:b/>
        </w:rPr>
        <w:t xml:space="preserve">dieciocho de julio </w:t>
      </w:r>
      <w:r w:rsidRPr="00B35732">
        <w:rPr>
          <w:b/>
        </w:rPr>
        <w:t xml:space="preserve">de dos mil veinticinco </w:t>
      </w:r>
      <w:r w:rsidRPr="00B35732">
        <w:t>para que, en un plazo de tres días hábiles, manifestara lo que a su derecho conviniera, de conformidad con lo establecido en el artículo 185, fracción III de la Ley de Transparencia y Acceso a la Información Pública del Estado de México y Municipios.</w:t>
      </w:r>
    </w:p>
    <w:p w14:paraId="15CBD0D2" w14:textId="77777777" w:rsidR="00756D4C" w:rsidRPr="00B35732" w:rsidRDefault="00756D4C" w:rsidP="00CC7286"/>
    <w:p w14:paraId="4716C3EF" w14:textId="77777777" w:rsidR="00756D4C" w:rsidRPr="00B35732" w:rsidRDefault="00756D4C" w:rsidP="00CC7286">
      <w:pPr>
        <w:pStyle w:val="Ttulo3"/>
        <w:spacing w:line="360" w:lineRule="auto"/>
        <w:rPr>
          <w:szCs w:val="22"/>
        </w:rPr>
      </w:pPr>
      <w:bookmarkStart w:id="26" w:name="_Toc205303955"/>
      <w:bookmarkStart w:id="27" w:name="_Toc212099407"/>
      <w:r w:rsidRPr="00B35732">
        <w:rPr>
          <w:szCs w:val="22"/>
        </w:rPr>
        <w:t>f) Manifestaciones de la Parte Recurrente</w:t>
      </w:r>
      <w:bookmarkEnd w:id="26"/>
      <w:bookmarkEnd w:id="27"/>
    </w:p>
    <w:p w14:paraId="6513F6BD" w14:textId="77777777" w:rsidR="00C46DA6" w:rsidRPr="00B35732" w:rsidRDefault="00C46DA6" w:rsidP="00CC7286">
      <w:pPr>
        <w:rPr>
          <w:rFonts w:eastAsia="Arial Unicode MS" w:cs="Arial"/>
        </w:rPr>
      </w:pPr>
      <w:r w:rsidRPr="00B35732">
        <w:rPr>
          <w:rFonts w:cs="Tahoma"/>
          <w:b/>
          <w:szCs w:val="24"/>
        </w:rPr>
        <w:t xml:space="preserve">LA PARTE RECURRENTE </w:t>
      </w:r>
      <w:r w:rsidRPr="00B35732">
        <w:rPr>
          <w:rFonts w:eastAsia="Arial Unicode MS" w:cs="Arial"/>
        </w:rPr>
        <w:t>no realizó manifestación alguna dentro del término legalmente concedido para tal efecto, ni presentó pruebas o alegatos.</w:t>
      </w:r>
    </w:p>
    <w:p w14:paraId="5C6B28EF" w14:textId="77777777" w:rsidR="00756D4C" w:rsidRPr="00B35732" w:rsidRDefault="00756D4C" w:rsidP="00CC7286"/>
    <w:p w14:paraId="160E3643" w14:textId="77777777" w:rsidR="00756D4C" w:rsidRPr="00B35732" w:rsidRDefault="00756D4C" w:rsidP="00CC7286">
      <w:pPr>
        <w:pStyle w:val="Ttulo3"/>
        <w:spacing w:line="360" w:lineRule="auto"/>
        <w:rPr>
          <w:szCs w:val="22"/>
        </w:rPr>
      </w:pPr>
      <w:bookmarkStart w:id="28" w:name="_Toc205303956"/>
      <w:bookmarkStart w:id="29" w:name="_Toc212099408"/>
      <w:r w:rsidRPr="00B35732">
        <w:rPr>
          <w:szCs w:val="22"/>
        </w:rPr>
        <w:lastRenderedPageBreak/>
        <w:t>g) Ampliación de Plazo para Resolver</w:t>
      </w:r>
      <w:bookmarkEnd w:id="28"/>
      <w:bookmarkEnd w:id="29"/>
      <w:r w:rsidRPr="00B35732">
        <w:rPr>
          <w:szCs w:val="22"/>
        </w:rPr>
        <w:t xml:space="preserve"> </w:t>
      </w:r>
    </w:p>
    <w:p w14:paraId="3A446F39" w14:textId="3FF98A9E" w:rsidR="00756D4C" w:rsidRPr="00B35732" w:rsidRDefault="00756D4C" w:rsidP="00CC7286">
      <w:r w:rsidRPr="00B35732">
        <w:t xml:space="preserve">El </w:t>
      </w:r>
      <w:r w:rsidR="00024C5D" w:rsidRPr="00B35732">
        <w:rPr>
          <w:b/>
        </w:rPr>
        <w:t xml:space="preserve">quince de octubre </w:t>
      </w:r>
      <w:r w:rsidRPr="00B35732">
        <w:rPr>
          <w:b/>
        </w:rPr>
        <w:t>de dos mil veinticinco</w:t>
      </w:r>
      <w:r w:rsidRPr="00B35732">
        <w:t>, se notificó el acuerdo de ampliación de plazo para resolver los presentes Recursos de Revisión, previsto en el artículo 181, tercer párrafo de la Ley de Transparencia y Acceso a la Información Pública del Estado de México y Municipios.</w:t>
      </w:r>
    </w:p>
    <w:p w14:paraId="6E6BB11A" w14:textId="77777777" w:rsidR="00756D4C" w:rsidRPr="00B35732" w:rsidRDefault="00756D4C" w:rsidP="00CC7286"/>
    <w:p w14:paraId="347612A7" w14:textId="77777777" w:rsidR="00756D4C" w:rsidRPr="00B35732" w:rsidRDefault="00756D4C" w:rsidP="00CC7286">
      <w:r w:rsidRPr="00B35732">
        <w:t>Este organismo garante no pasa por alto justificar, que el plazo para emitir resolución en el presente asunto encuentra justificación en el alto número de recursos de revisión recibidos por este Instituto, circunstancia atípica que ha rebasado las capacidades técnicas y humanas del personal encargado de la proyección de las resoluciones a dichos medios de impugnación.</w:t>
      </w:r>
    </w:p>
    <w:p w14:paraId="30B67333" w14:textId="77777777" w:rsidR="00756D4C" w:rsidRPr="00B35732" w:rsidRDefault="00756D4C" w:rsidP="00CC7286"/>
    <w:p w14:paraId="626E3FE5" w14:textId="77777777" w:rsidR="00756D4C" w:rsidRPr="00B35732" w:rsidRDefault="00756D4C" w:rsidP="00CC7286">
      <w:r w:rsidRPr="00B35732">
        <w:t>Es importante precisar que, si bien se ha excedido el plazo para resolver el presente medio de impugnación, el plazo para emitir resolución se encuentra justificado en parámetros establecidos por diversos órganos jurisdiccionales federales, aplicables también en procedimientos análogos, como el que nos ocupa.</w:t>
      </w:r>
    </w:p>
    <w:p w14:paraId="3A962243" w14:textId="77777777" w:rsidR="00756D4C" w:rsidRPr="00B35732" w:rsidRDefault="00756D4C" w:rsidP="00CC7286"/>
    <w:p w14:paraId="2CAD37A9" w14:textId="77777777" w:rsidR="00756D4C" w:rsidRPr="00B35732" w:rsidRDefault="00756D4C" w:rsidP="00CC7286">
      <w:r w:rsidRPr="00B35732">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estableció los términos procesales de forma general, sin que pudiera prever la variada gama de casos que son resueltos por los órganos jurisdiccionales o cuasi jurisdiccionales, tanto por la complejidad de los hechos, como por el número de casos que conocen.</w:t>
      </w:r>
    </w:p>
    <w:p w14:paraId="0C3D27A3" w14:textId="77777777" w:rsidR="00756D4C" w:rsidRPr="00B35732" w:rsidRDefault="00756D4C" w:rsidP="00CC7286"/>
    <w:p w14:paraId="21265881" w14:textId="77777777" w:rsidR="00756D4C" w:rsidRPr="00B35732" w:rsidRDefault="00756D4C" w:rsidP="00CC7286">
      <w:r w:rsidRPr="00B35732">
        <w:t>Por ello, excepcionalmente, si un asunto es resuelto con posterioridad a los plazos señalados por la norma, debe analizarse la razonabilidad del tiempo necesario para su resolución, atentos a los siguientes criterios:</w:t>
      </w:r>
    </w:p>
    <w:p w14:paraId="571E20DB" w14:textId="77777777" w:rsidR="00756D4C" w:rsidRPr="00B35732" w:rsidRDefault="00756D4C" w:rsidP="00CC7286"/>
    <w:p w14:paraId="39DF6327" w14:textId="77777777" w:rsidR="00756D4C" w:rsidRPr="00B35732" w:rsidRDefault="00756D4C" w:rsidP="00CC7286">
      <w:pPr>
        <w:numPr>
          <w:ilvl w:val="0"/>
          <w:numId w:val="33"/>
        </w:numPr>
        <w:spacing w:after="160" w:line="278" w:lineRule="auto"/>
        <w:jc w:val="left"/>
      </w:pPr>
      <w:r w:rsidRPr="00B35732">
        <w:rPr>
          <w:b/>
        </w:rPr>
        <w:t>Complejidad del asunto:</w:t>
      </w:r>
      <w:r w:rsidRPr="00B35732">
        <w:t xml:space="preserve"> La complejidad de la prueba, la pluralidad de sujetos procesales, el tiempo transcurrido, las características y contexto del recurso.</w:t>
      </w:r>
    </w:p>
    <w:p w14:paraId="49EB90BB" w14:textId="77777777" w:rsidR="00756D4C" w:rsidRPr="00B35732" w:rsidRDefault="00756D4C" w:rsidP="00CC7286">
      <w:pPr>
        <w:numPr>
          <w:ilvl w:val="0"/>
          <w:numId w:val="33"/>
        </w:numPr>
        <w:spacing w:after="160" w:line="278" w:lineRule="auto"/>
        <w:jc w:val="left"/>
      </w:pPr>
      <w:r w:rsidRPr="00B35732">
        <w:rPr>
          <w:b/>
        </w:rPr>
        <w:t>Actividad Procesal del interesado:</w:t>
      </w:r>
      <w:r w:rsidRPr="00B35732">
        <w:t xml:space="preserve"> Acciones u omisiones del interesado.</w:t>
      </w:r>
    </w:p>
    <w:p w14:paraId="6D1C2D4C" w14:textId="77777777" w:rsidR="00756D4C" w:rsidRPr="00B35732" w:rsidRDefault="00756D4C" w:rsidP="00CC7286">
      <w:pPr>
        <w:numPr>
          <w:ilvl w:val="0"/>
          <w:numId w:val="33"/>
        </w:numPr>
        <w:spacing w:after="160" w:line="278" w:lineRule="auto"/>
        <w:jc w:val="left"/>
      </w:pPr>
      <w:r w:rsidRPr="00B35732">
        <w:rPr>
          <w:b/>
        </w:rPr>
        <w:t>Conducta de la Autoridad:</w:t>
      </w:r>
      <w:r w:rsidRPr="00B35732">
        <w:t xml:space="preserve"> Las Acciones u omisiones realizadas en el procedimiento. Así como si la autoridad actuó con la debida diligencia.</w:t>
      </w:r>
    </w:p>
    <w:p w14:paraId="6D02B4DE" w14:textId="77777777" w:rsidR="00756D4C" w:rsidRPr="00B35732" w:rsidRDefault="00756D4C" w:rsidP="00CC7286">
      <w:pPr>
        <w:numPr>
          <w:ilvl w:val="0"/>
          <w:numId w:val="33"/>
        </w:numPr>
        <w:spacing w:after="160" w:line="278" w:lineRule="auto"/>
        <w:jc w:val="left"/>
      </w:pPr>
      <w:r w:rsidRPr="00B35732">
        <w:rPr>
          <w:b/>
        </w:rPr>
        <w:t xml:space="preserve">La afectación generada en la situación jurídica de la persona involucrada en el proceso: </w:t>
      </w:r>
      <w:r w:rsidRPr="00B35732">
        <w:t>Violación a sus derechos humanos.</w:t>
      </w:r>
    </w:p>
    <w:p w14:paraId="1BE19705" w14:textId="77777777" w:rsidR="00756D4C" w:rsidRPr="00B35732" w:rsidRDefault="00756D4C" w:rsidP="00CC7286"/>
    <w:p w14:paraId="386B63B9" w14:textId="77777777" w:rsidR="00756D4C" w:rsidRPr="00B35732" w:rsidRDefault="00756D4C" w:rsidP="00CC7286">
      <w:r w:rsidRPr="00B35732">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ADD7FEF" w14:textId="77777777" w:rsidR="00756D4C" w:rsidRPr="00B35732" w:rsidRDefault="00756D4C" w:rsidP="00CC7286"/>
    <w:p w14:paraId="6E81B17D" w14:textId="77777777" w:rsidR="00756D4C" w:rsidRPr="00B35732" w:rsidRDefault="00756D4C" w:rsidP="00CC7286">
      <w:r w:rsidRPr="00B35732">
        <w:t>Argumento que encuentra sustento en la jurisprudencia P./J. 32/92 emitida por el Pleno de la Suprema Corte de Justicia de la Nación del rubro “TÉRMINOS PROCESALES. PARA DETERMINAR SI UN FUNCIONARIO JUDICIAL ACTUÓ INDEBIDAMENTE POR NO RESPETARLOS SE DEBE ATENDER AL PRESUPUESTO QUE CONSIDERÓ EL LEGISLADOR AL FIJARLOS Y LAS CARACTERÍSTICAS DEL CASO.”, visible en la Gaceta del Semanario Judicial de la Federación con el registro digital 205635.</w:t>
      </w:r>
    </w:p>
    <w:p w14:paraId="0082F50F" w14:textId="77777777" w:rsidR="00756D4C" w:rsidRPr="00B35732" w:rsidRDefault="00756D4C" w:rsidP="00CC7286"/>
    <w:p w14:paraId="3B00029D" w14:textId="77777777" w:rsidR="00756D4C" w:rsidRPr="00B35732" w:rsidRDefault="00756D4C" w:rsidP="00CC7286">
      <w:r w:rsidRPr="00B35732">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w:t>
      </w:r>
      <w:r w:rsidRPr="00B35732">
        <w:lastRenderedPageBreak/>
        <w:t>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A71036D" w14:textId="77777777" w:rsidR="00756D4C" w:rsidRPr="00B35732" w:rsidRDefault="00756D4C" w:rsidP="00CC7286"/>
    <w:p w14:paraId="2C9D28FE" w14:textId="77777777" w:rsidR="00756D4C" w:rsidRPr="00B35732" w:rsidRDefault="00756D4C" w:rsidP="00CC7286">
      <w:r w:rsidRPr="00B35732">
        <w:t>Al respecto, también son de considerar los criterios sostenidos por el Cuarto Tribunal Colegiado en Materia Administrativa del Primer Circuito, cuyos rubros y datos de identificación son los siguientes:</w:t>
      </w:r>
    </w:p>
    <w:p w14:paraId="243A5B30" w14:textId="77777777" w:rsidR="00756D4C" w:rsidRPr="00B35732" w:rsidRDefault="00756D4C" w:rsidP="00CC7286"/>
    <w:p w14:paraId="6DC8FBC7" w14:textId="77777777" w:rsidR="00756D4C" w:rsidRPr="00B35732" w:rsidRDefault="00756D4C" w:rsidP="00CC7286">
      <w:pPr>
        <w:spacing w:line="240" w:lineRule="auto"/>
        <w:ind w:left="567" w:right="567"/>
        <w:rPr>
          <w:i/>
        </w:rPr>
      </w:pPr>
      <w:r w:rsidRPr="00B35732">
        <w:rPr>
          <w:i/>
        </w:rPr>
        <w:t>“</w:t>
      </w:r>
      <w:r w:rsidRPr="00B35732">
        <w:rPr>
          <w:b/>
          <w:i/>
        </w:rPr>
        <w:t>PLAZO RAZONABLE PARA RESOLVER. DIMENSIÓN Y EFECTOS DE ESTE CONCEPTO CUANDO SE ADUCE EXCESIVA CARGA DE TRABAJO</w:t>
      </w:r>
      <w:r w:rsidRPr="00B35732">
        <w:rPr>
          <w:i/>
        </w:rPr>
        <w:t>.” consultable en el Seminario Judicial de la Federación y su gaceta, con el registro digital 2002351.</w:t>
      </w:r>
    </w:p>
    <w:p w14:paraId="526FFC1A" w14:textId="77777777" w:rsidR="00756D4C" w:rsidRPr="00B35732" w:rsidRDefault="00756D4C" w:rsidP="00CC7286">
      <w:pPr>
        <w:ind w:left="851" w:right="616"/>
        <w:rPr>
          <w:i/>
        </w:rPr>
      </w:pPr>
    </w:p>
    <w:p w14:paraId="2D274032" w14:textId="77777777" w:rsidR="00756D4C" w:rsidRPr="00B35732" w:rsidRDefault="00756D4C" w:rsidP="00CC7286">
      <w:pPr>
        <w:spacing w:line="240" w:lineRule="auto"/>
        <w:ind w:left="567" w:right="567"/>
      </w:pPr>
      <w:r w:rsidRPr="00B35732">
        <w:rPr>
          <w:i/>
        </w:rPr>
        <w:t>“</w:t>
      </w:r>
      <w:r w:rsidRPr="00B35732">
        <w:rPr>
          <w:b/>
          <w:i/>
        </w:rPr>
        <w:t>PLAZO RAZONABLE PARA RESOLVER. CONCEPTO Y ELEMENTOS QUE LO INTEGRAN A LA LUZ DEL DERECHO INTERNACIONAL DE LOS DERECHOS HUMANOS</w:t>
      </w:r>
      <w:r w:rsidRPr="00B35732">
        <w:rPr>
          <w:i/>
        </w:rPr>
        <w:t>.”, visible en el Seminario Judicial de la Federación y su gaceta, con el registro digital 2002350.</w:t>
      </w:r>
    </w:p>
    <w:p w14:paraId="55D69455" w14:textId="77777777" w:rsidR="00756D4C" w:rsidRPr="00B35732" w:rsidRDefault="00756D4C" w:rsidP="00CC7286"/>
    <w:p w14:paraId="24055660" w14:textId="77777777" w:rsidR="00756D4C" w:rsidRPr="00B35732" w:rsidRDefault="00756D4C" w:rsidP="00CC7286">
      <w:r w:rsidRPr="00B35732">
        <w:t>Por ello, este organismo garante comprometido con la tutela de los derechos humanos confiados señala que este exceso del plazo legal para resolver el asunto resulta de carácter excepcional.</w:t>
      </w:r>
    </w:p>
    <w:p w14:paraId="7BCF5E03" w14:textId="77777777" w:rsidR="00756D4C" w:rsidRPr="00B35732" w:rsidRDefault="00756D4C" w:rsidP="00CC7286"/>
    <w:p w14:paraId="5D56A1AF" w14:textId="77777777" w:rsidR="00756D4C" w:rsidRPr="00B35732" w:rsidRDefault="00756D4C" w:rsidP="00CC7286">
      <w:pPr>
        <w:pStyle w:val="Ttulo3"/>
        <w:spacing w:line="360" w:lineRule="auto"/>
        <w:rPr>
          <w:szCs w:val="22"/>
        </w:rPr>
      </w:pPr>
      <w:bookmarkStart w:id="30" w:name="_Toc205303957"/>
      <w:bookmarkStart w:id="31" w:name="_Toc212099409"/>
      <w:r w:rsidRPr="00B35732">
        <w:rPr>
          <w:szCs w:val="22"/>
        </w:rPr>
        <w:t>h) Cierre de instrucción</w:t>
      </w:r>
      <w:bookmarkEnd w:id="30"/>
      <w:bookmarkEnd w:id="31"/>
    </w:p>
    <w:p w14:paraId="5F859582" w14:textId="7E0E7DA1" w:rsidR="00756D4C" w:rsidRPr="00B35732" w:rsidRDefault="00756D4C" w:rsidP="00CC7286">
      <w:bookmarkStart w:id="32" w:name="_heading=h.v5da0c4anoas" w:colFirst="0" w:colLast="0"/>
      <w:bookmarkEnd w:id="32"/>
      <w:r w:rsidRPr="00B35732">
        <w:t xml:space="preserve">Al no existir diligencias pendientes por desahogar, el </w:t>
      </w:r>
      <w:r w:rsidR="00E370BC" w:rsidRPr="00B35732">
        <w:rPr>
          <w:b/>
        </w:rPr>
        <w:t xml:space="preserve">veintiuno de octubre </w:t>
      </w:r>
      <w:r w:rsidRPr="00B35732">
        <w:rPr>
          <w:b/>
        </w:rPr>
        <w:t xml:space="preserve">de dos mil veinticinco </w:t>
      </w:r>
      <w:r w:rsidRPr="00B35732">
        <w:t xml:space="preserve">la </w:t>
      </w:r>
      <w:r w:rsidRPr="00B35732">
        <w:rPr>
          <w:b/>
        </w:rPr>
        <w:t xml:space="preserve">Comisionada Sharon Cristina Morales Martínez </w:t>
      </w:r>
      <w:r w:rsidRPr="00B35732">
        <w:t xml:space="preserve">acordó los cierres de instrucción y la remisión de los expedientes a efecto de ser resueltos, de conformidad con lo establecido en el artículo 185 fracciones VI y VIII de la Ley de Transparencia y Acceso a la </w:t>
      </w:r>
      <w:r w:rsidRPr="00B35732">
        <w:lastRenderedPageBreak/>
        <w:t xml:space="preserve">Información Pública del Estado de México y Municipios. Dicho acuerdo fue notificado a las partes el mismo día a través del </w:t>
      </w:r>
      <w:r w:rsidRPr="00B35732">
        <w:rPr>
          <w:b/>
        </w:rPr>
        <w:t>SAIMEX</w:t>
      </w:r>
      <w:r w:rsidRPr="00B35732">
        <w:t>.</w:t>
      </w:r>
    </w:p>
    <w:p w14:paraId="22C57B63" w14:textId="77777777" w:rsidR="00756D4C" w:rsidRPr="00B35732" w:rsidRDefault="00756D4C" w:rsidP="00CC7286"/>
    <w:p w14:paraId="0D1B52AB" w14:textId="77777777" w:rsidR="00756D4C" w:rsidRPr="00B35732" w:rsidRDefault="00756D4C" w:rsidP="00CC7286">
      <w:pPr>
        <w:keepNext/>
        <w:keepLines/>
        <w:jc w:val="center"/>
        <w:outlineLvl w:val="0"/>
        <w:rPr>
          <w:rFonts w:eastAsiaTheme="majorEastAsia" w:cstheme="majorBidi"/>
          <w:b/>
          <w:szCs w:val="40"/>
        </w:rPr>
      </w:pPr>
      <w:bookmarkStart w:id="33" w:name="_Toc205303958"/>
      <w:bookmarkStart w:id="34" w:name="_Toc212099410"/>
      <w:r w:rsidRPr="00B35732">
        <w:rPr>
          <w:rFonts w:eastAsiaTheme="majorEastAsia" w:cstheme="majorBidi"/>
          <w:b/>
          <w:szCs w:val="40"/>
        </w:rPr>
        <w:t>CONSIDERANDOS</w:t>
      </w:r>
      <w:bookmarkEnd w:id="33"/>
      <w:bookmarkEnd w:id="34"/>
    </w:p>
    <w:p w14:paraId="6C3F2B75" w14:textId="77777777" w:rsidR="00756D4C" w:rsidRPr="00B35732" w:rsidRDefault="00756D4C" w:rsidP="00CC7286">
      <w:pPr>
        <w:jc w:val="center"/>
        <w:rPr>
          <w:b/>
        </w:rPr>
      </w:pPr>
    </w:p>
    <w:p w14:paraId="4E731054" w14:textId="77777777" w:rsidR="00756D4C" w:rsidRPr="00B35732" w:rsidRDefault="00756D4C" w:rsidP="00CC7286">
      <w:pPr>
        <w:keepNext/>
        <w:keepLines/>
        <w:outlineLvl w:val="1"/>
        <w:rPr>
          <w:rFonts w:eastAsiaTheme="majorEastAsia" w:cstheme="majorBidi"/>
          <w:b/>
          <w:szCs w:val="32"/>
        </w:rPr>
      </w:pPr>
      <w:bookmarkStart w:id="35" w:name="_Toc205303959"/>
      <w:bookmarkStart w:id="36" w:name="_Toc212099411"/>
      <w:r w:rsidRPr="00B35732">
        <w:rPr>
          <w:rFonts w:eastAsiaTheme="majorEastAsia" w:cstheme="majorBidi"/>
          <w:b/>
          <w:szCs w:val="32"/>
        </w:rPr>
        <w:t>PRIMERO. Procedibilidad</w:t>
      </w:r>
      <w:bookmarkEnd w:id="35"/>
      <w:bookmarkEnd w:id="36"/>
    </w:p>
    <w:p w14:paraId="2F4644DA" w14:textId="77777777" w:rsidR="00756D4C" w:rsidRPr="00B35732" w:rsidRDefault="00756D4C" w:rsidP="00CC7286">
      <w:pPr>
        <w:pStyle w:val="Ttulo3"/>
        <w:spacing w:line="360" w:lineRule="auto"/>
        <w:rPr>
          <w:szCs w:val="22"/>
        </w:rPr>
      </w:pPr>
      <w:bookmarkStart w:id="37" w:name="_Toc205303960"/>
      <w:bookmarkStart w:id="38" w:name="_Toc212099412"/>
      <w:r w:rsidRPr="00B35732">
        <w:rPr>
          <w:szCs w:val="22"/>
        </w:rPr>
        <w:t>a) Competencia del Instituto</w:t>
      </w:r>
      <w:bookmarkEnd w:id="37"/>
      <w:bookmarkEnd w:id="38"/>
    </w:p>
    <w:p w14:paraId="35CC2CF9" w14:textId="77777777" w:rsidR="00756D4C" w:rsidRPr="00B35732" w:rsidRDefault="00756D4C" w:rsidP="00CC7286">
      <w:r w:rsidRPr="00B35732">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séptimo, trigésimo octavo,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74E614C3" w14:textId="77777777" w:rsidR="00756D4C" w:rsidRPr="00B35732" w:rsidRDefault="00756D4C" w:rsidP="00CC7286"/>
    <w:p w14:paraId="39B7618B" w14:textId="77777777" w:rsidR="00756D4C" w:rsidRPr="00B35732" w:rsidRDefault="00756D4C" w:rsidP="00CC7286">
      <w:pPr>
        <w:pStyle w:val="Ttulo3"/>
        <w:spacing w:line="360" w:lineRule="auto"/>
        <w:rPr>
          <w:szCs w:val="22"/>
        </w:rPr>
      </w:pPr>
      <w:bookmarkStart w:id="39" w:name="_Toc205303961"/>
      <w:bookmarkStart w:id="40" w:name="_Toc212099413"/>
      <w:r w:rsidRPr="00B35732">
        <w:rPr>
          <w:szCs w:val="22"/>
        </w:rPr>
        <w:t>b) Legitimidad de la parte recurrente</w:t>
      </w:r>
      <w:bookmarkEnd w:id="39"/>
      <w:bookmarkEnd w:id="40"/>
    </w:p>
    <w:p w14:paraId="4B25F021" w14:textId="77777777" w:rsidR="00756D4C" w:rsidRPr="00B35732" w:rsidRDefault="00756D4C" w:rsidP="00CC7286">
      <w:r w:rsidRPr="00B35732">
        <w:t>Los recursos de revisión fueron interpuestos por parte legítima, ya que se presentaron por la misma persona que formuló las solicitudes de acceso a la Información Pública,</w:t>
      </w:r>
      <w:r w:rsidRPr="00B35732">
        <w:rPr>
          <w:b/>
        </w:rPr>
        <w:t xml:space="preserve"> </w:t>
      </w:r>
      <w:r w:rsidRPr="00B35732">
        <w:t>debido a que los datos de acceso</w:t>
      </w:r>
      <w:r w:rsidRPr="00B35732">
        <w:rPr>
          <w:b/>
        </w:rPr>
        <w:t xml:space="preserve"> SAIMEX</w:t>
      </w:r>
      <w:r w:rsidRPr="00B35732">
        <w:t xml:space="preserve"> son personales e irrepetibles.</w:t>
      </w:r>
    </w:p>
    <w:p w14:paraId="097A0BA4" w14:textId="77777777" w:rsidR="00756D4C" w:rsidRPr="00B35732" w:rsidRDefault="00756D4C" w:rsidP="00CC7286"/>
    <w:p w14:paraId="2A1D4A67" w14:textId="77777777" w:rsidR="00756D4C" w:rsidRPr="00B35732" w:rsidRDefault="00756D4C" w:rsidP="00CC7286">
      <w:pPr>
        <w:pStyle w:val="Ttulo3"/>
        <w:spacing w:line="360" w:lineRule="auto"/>
        <w:rPr>
          <w:szCs w:val="22"/>
        </w:rPr>
      </w:pPr>
      <w:bookmarkStart w:id="41" w:name="_Toc205303962"/>
      <w:bookmarkStart w:id="42" w:name="_Toc212099414"/>
      <w:r w:rsidRPr="00B35732">
        <w:rPr>
          <w:szCs w:val="22"/>
        </w:rPr>
        <w:t>c) Plazo para interponer el recurso</w:t>
      </w:r>
      <w:bookmarkEnd w:id="41"/>
      <w:bookmarkEnd w:id="42"/>
    </w:p>
    <w:p w14:paraId="40BC1142" w14:textId="15CB8074" w:rsidR="00756D4C" w:rsidRPr="00B35732" w:rsidRDefault="00756D4C" w:rsidP="00CC7286">
      <w:r w:rsidRPr="00B35732">
        <w:rPr>
          <w:b/>
        </w:rPr>
        <w:t>EL SUJETO OBLIGADO</w:t>
      </w:r>
      <w:r w:rsidRPr="00B35732">
        <w:t xml:space="preserve"> notificó las respuestas a las solicitudes de acceso a la Información Pública el </w:t>
      </w:r>
      <w:r w:rsidR="00E370BC" w:rsidRPr="00B35732">
        <w:rPr>
          <w:b/>
        </w:rPr>
        <w:t>trece de junio d</w:t>
      </w:r>
      <w:r w:rsidRPr="00B35732">
        <w:rPr>
          <w:b/>
        </w:rPr>
        <w:t xml:space="preserve">e dos mil veinticinco </w:t>
      </w:r>
      <w:r w:rsidRPr="00B35732">
        <w:t xml:space="preserve">y los recursos que nos ocupan fueron </w:t>
      </w:r>
      <w:r w:rsidRPr="00B35732">
        <w:lastRenderedPageBreak/>
        <w:t xml:space="preserve">presentados el </w:t>
      </w:r>
      <w:r w:rsidR="00E370BC" w:rsidRPr="00B35732">
        <w:rPr>
          <w:b/>
        </w:rPr>
        <w:t>dieci</w:t>
      </w:r>
      <w:r w:rsidR="008E62D7" w:rsidRPr="00B35732">
        <w:rPr>
          <w:b/>
        </w:rPr>
        <w:t xml:space="preserve">ocho y diecinueve </w:t>
      </w:r>
      <w:r w:rsidR="00E370BC" w:rsidRPr="00B35732">
        <w:rPr>
          <w:b/>
        </w:rPr>
        <w:t xml:space="preserve">de junio </w:t>
      </w:r>
      <w:r w:rsidRPr="00B35732">
        <w:rPr>
          <w:b/>
        </w:rPr>
        <w:t>de dos mil veinticinco</w:t>
      </w:r>
      <w:r w:rsidRPr="00B35732">
        <w:t>; por lo tanto, éste se encuentra dentro del margen temporal previsto en el artículo 178 de la Ley de Transparencia y Acceso a la Información Pública del Estado de México y Municipios.</w:t>
      </w:r>
    </w:p>
    <w:p w14:paraId="09EEE187" w14:textId="77777777" w:rsidR="00756D4C" w:rsidRPr="00B35732" w:rsidRDefault="00756D4C" w:rsidP="00CC7286"/>
    <w:p w14:paraId="2C4EB5A3" w14:textId="77777777" w:rsidR="00756D4C" w:rsidRPr="00B35732" w:rsidRDefault="00756D4C" w:rsidP="00CC7286">
      <w:pPr>
        <w:pStyle w:val="Ttulo3"/>
        <w:spacing w:line="360" w:lineRule="auto"/>
        <w:rPr>
          <w:szCs w:val="22"/>
        </w:rPr>
      </w:pPr>
      <w:bookmarkStart w:id="43" w:name="_Toc205303963"/>
      <w:bookmarkStart w:id="44" w:name="_Toc212099415"/>
      <w:r w:rsidRPr="00B35732">
        <w:rPr>
          <w:szCs w:val="22"/>
        </w:rPr>
        <w:t>d) Causal de procedencia</w:t>
      </w:r>
      <w:bookmarkEnd w:id="43"/>
      <w:bookmarkEnd w:id="44"/>
    </w:p>
    <w:p w14:paraId="629AED87" w14:textId="1B914733" w:rsidR="00756D4C" w:rsidRPr="00B35732" w:rsidRDefault="00756D4C" w:rsidP="00CC7286">
      <w:r w:rsidRPr="00B35732">
        <w:t>Resulta procedente la interposición del recurso de revisión, ya que se actualiza la causal de procedencia señalada en el artículo 179, fracci</w:t>
      </w:r>
      <w:r w:rsidR="00E370BC" w:rsidRPr="00B35732">
        <w:t>ón VI</w:t>
      </w:r>
      <w:r w:rsidRPr="00B35732">
        <w:t xml:space="preserve"> de la Ley de Transparencia y Acceso a la Información Pública del Estado de México y Municipios.</w:t>
      </w:r>
    </w:p>
    <w:p w14:paraId="6C974089" w14:textId="77777777" w:rsidR="00756D4C" w:rsidRPr="00B35732" w:rsidRDefault="00756D4C" w:rsidP="00CC7286"/>
    <w:p w14:paraId="0193C893" w14:textId="77777777" w:rsidR="00756D4C" w:rsidRPr="00B35732" w:rsidRDefault="00756D4C" w:rsidP="00CC7286">
      <w:pPr>
        <w:pStyle w:val="Ttulo3"/>
        <w:spacing w:line="360" w:lineRule="auto"/>
        <w:rPr>
          <w:szCs w:val="22"/>
        </w:rPr>
      </w:pPr>
      <w:bookmarkStart w:id="45" w:name="_Toc205303964"/>
      <w:bookmarkStart w:id="46" w:name="_Toc212099416"/>
      <w:r w:rsidRPr="00B35732">
        <w:rPr>
          <w:szCs w:val="22"/>
        </w:rPr>
        <w:t>e) Requisitos formales para la interposición del recurso</w:t>
      </w:r>
      <w:bookmarkEnd w:id="45"/>
      <w:bookmarkEnd w:id="46"/>
    </w:p>
    <w:p w14:paraId="1D826C2C" w14:textId="77777777" w:rsidR="00756D4C" w:rsidRPr="00B35732" w:rsidRDefault="00756D4C" w:rsidP="00CC7286">
      <w:r w:rsidRPr="00B35732">
        <w:rPr>
          <w:b/>
        </w:rPr>
        <w:t xml:space="preserve">LA PARTE RECURRENTE </w:t>
      </w:r>
      <w:r w:rsidRPr="00B35732">
        <w:t>acreditó todos y cada uno de los elementos formales exigidos por el artículo 180 de la misma normatividad.</w:t>
      </w:r>
    </w:p>
    <w:p w14:paraId="2F7C9360" w14:textId="77777777" w:rsidR="00756D4C" w:rsidRPr="00B35732" w:rsidRDefault="00756D4C" w:rsidP="00CC7286"/>
    <w:p w14:paraId="592EA27A" w14:textId="77777777" w:rsidR="00756D4C" w:rsidRPr="00B35732" w:rsidRDefault="00756D4C" w:rsidP="00CC7286">
      <w:r w:rsidRPr="00B35732">
        <w:t xml:space="preserve">Sin embargo, es importante mencionar que, de la revisión de los expedientes electrónicos del </w:t>
      </w:r>
      <w:r w:rsidRPr="00B35732">
        <w:rPr>
          <w:b/>
        </w:rPr>
        <w:t>SAIMEX</w:t>
      </w:r>
      <w:r w:rsidRPr="00B35732">
        <w:t xml:space="preserve">, se observa que </w:t>
      </w:r>
      <w:r w:rsidRPr="00B35732">
        <w:rPr>
          <w:b/>
        </w:rPr>
        <w:t>LA PARTE RECURRENTE</w:t>
      </w:r>
      <w:r w:rsidRPr="00B35732">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w:t>
      </w:r>
      <w:r w:rsidRPr="00B35732">
        <w:rPr>
          <w:b/>
        </w:rPr>
        <w:t>el nombre no es un requisito indispensable</w:t>
      </w:r>
      <w:r w:rsidRPr="00B35732">
        <w:t xml:space="preserve"> para que las y los ciudadanos ejerzan el derecho de acceso a la información pública. </w:t>
      </w:r>
    </w:p>
    <w:p w14:paraId="6D1C0749" w14:textId="77777777" w:rsidR="00756D4C" w:rsidRPr="00B35732" w:rsidRDefault="00756D4C" w:rsidP="00CC7286">
      <w:pPr>
        <w:rPr>
          <w:sz w:val="24"/>
          <w:szCs w:val="24"/>
        </w:rPr>
      </w:pPr>
    </w:p>
    <w:p w14:paraId="67505F52" w14:textId="77777777" w:rsidR="00756D4C" w:rsidRPr="00B35732" w:rsidRDefault="00756D4C" w:rsidP="00CC7286">
      <w:r w:rsidRPr="00B35732">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w:t>
      </w:r>
      <w:r w:rsidRPr="00B35732">
        <w:lastRenderedPageBreak/>
        <w:t xml:space="preserve">indispensable que contenga algunos requisitos, entre ellos, el nombre de </w:t>
      </w:r>
      <w:r w:rsidRPr="00B35732">
        <w:rPr>
          <w:b/>
        </w:rPr>
        <w:t>LA PARTE RECURRENTE;</w:t>
      </w:r>
      <w:r w:rsidRPr="00B35732">
        <w:t xml:space="preserve"> por lo que, en el presente caso, al haber sido presentado el recurso de revisión vía </w:t>
      </w:r>
      <w:r w:rsidRPr="00B35732">
        <w:rPr>
          <w:b/>
        </w:rPr>
        <w:t>SAIMEX</w:t>
      </w:r>
      <w:r w:rsidRPr="00B35732">
        <w:t>, dicho requisito resulta innecesario.</w:t>
      </w:r>
    </w:p>
    <w:p w14:paraId="1165CAE6" w14:textId="77777777" w:rsidR="00756D4C" w:rsidRPr="00B35732" w:rsidRDefault="00756D4C" w:rsidP="00CC7286"/>
    <w:p w14:paraId="09258192" w14:textId="77777777" w:rsidR="00756D4C" w:rsidRPr="00B35732" w:rsidRDefault="00756D4C" w:rsidP="00CC7286">
      <w:pPr>
        <w:pStyle w:val="Ttulo3"/>
        <w:spacing w:line="360" w:lineRule="auto"/>
        <w:rPr>
          <w:szCs w:val="22"/>
        </w:rPr>
      </w:pPr>
      <w:bookmarkStart w:id="47" w:name="_Toc205303965"/>
      <w:bookmarkStart w:id="48" w:name="_Toc212099417"/>
      <w:r w:rsidRPr="00B35732">
        <w:rPr>
          <w:szCs w:val="22"/>
        </w:rPr>
        <w:t>f) Acumulación de los Recursos de Revisión</w:t>
      </w:r>
      <w:bookmarkEnd w:id="47"/>
      <w:bookmarkEnd w:id="48"/>
    </w:p>
    <w:p w14:paraId="7EE8715D" w14:textId="784E7D55" w:rsidR="00756D4C" w:rsidRPr="00B35732" w:rsidRDefault="00756D4C" w:rsidP="00CC7286">
      <w:pPr>
        <w:ind w:left="-57"/>
        <w:rPr>
          <w:b/>
        </w:rPr>
      </w:pPr>
      <w:r w:rsidRPr="00B35732">
        <w:t xml:space="preserve">De las constancias que obran en los expedientes acumulados, se advierte que los recursos de revisión </w:t>
      </w:r>
      <w:r w:rsidR="00E370BC" w:rsidRPr="00B35732">
        <w:rPr>
          <w:b/>
          <w:szCs w:val="22"/>
        </w:rPr>
        <w:t xml:space="preserve">07167/INFOEM/IP/RR/2025, 07168/INFOEM/IP/RR/2025, 07169/INFOEM/IP/RR/2025 y 07170/INFOEM/IP/RR/2025 </w:t>
      </w:r>
      <w:r w:rsidRPr="00B35732">
        <w:t xml:space="preserve">fueron presentados por la misma </w:t>
      </w:r>
      <w:r w:rsidRPr="00B35732">
        <w:rPr>
          <w:b/>
        </w:rPr>
        <w:t>PARTE RECURRENTE</w:t>
      </w:r>
      <w:r w:rsidRPr="00B35732">
        <w:t xml:space="preserve"> respecto de actos u omisiones similares, realizados por el mismo </w:t>
      </w:r>
      <w:r w:rsidRPr="00B35732">
        <w:rPr>
          <w:b/>
        </w:rPr>
        <w:t>SUJETO OBLIGADO</w:t>
      </w:r>
      <w:r w:rsidRPr="00B35732">
        <w:t>, razón por la cual, con la finalidad de evitar la emisión de resoluciones contradictorias, este Órgano Garante realizó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w:t>
      </w:r>
    </w:p>
    <w:p w14:paraId="3651E6E2" w14:textId="77777777" w:rsidR="00756D4C" w:rsidRPr="00B35732" w:rsidRDefault="00756D4C" w:rsidP="00CC7286"/>
    <w:p w14:paraId="7F134DBB" w14:textId="77777777" w:rsidR="00756D4C" w:rsidRPr="00B35732" w:rsidRDefault="00756D4C" w:rsidP="00CC7286">
      <w:pPr>
        <w:keepNext/>
        <w:keepLines/>
        <w:outlineLvl w:val="1"/>
        <w:rPr>
          <w:rFonts w:eastAsiaTheme="majorEastAsia" w:cstheme="majorBidi"/>
          <w:b/>
          <w:szCs w:val="32"/>
        </w:rPr>
      </w:pPr>
      <w:bookmarkStart w:id="49" w:name="_Toc205303966"/>
      <w:bookmarkStart w:id="50" w:name="_Toc212099418"/>
      <w:r w:rsidRPr="00B35732">
        <w:rPr>
          <w:rFonts w:eastAsiaTheme="majorEastAsia" w:cstheme="majorBidi"/>
          <w:b/>
          <w:szCs w:val="32"/>
        </w:rPr>
        <w:t>SEGUNDO. Estudio de Fondo</w:t>
      </w:r>
      <w:bookmarkEnd w:id="49"/>
      <w:bookmarkEnd w:id="50"/>
    </w:p>
    <w:p w14:paraId="2299F2C6" w14:textId="77777777" w:rsidR="00756D4C" w:rsidRPr="00B35732" w:rsidRDefault="00756D4C" w:rsidP="00CC7286">
      <w:pPr>
        <w:pStyle w:val="Ttulo3"/>
        <w:spacing w:line="360" w:lineRule="auto"/>
        <w:rPr>
          <w:szCs w:val="22"/>
        </w:rPr>
      </w:pPr>
      <w:bookmarkStart w:id="51" w:name="_Toc205303967"/>
      <w:bookmarkStart w:id="52" w:name="_Toc212099419"/>
      <w:r w:rsidRPr="00B35732">
        <w:rPr>
          <w:szCs w:val="22"/>
        </w:rPr>
        <w:t>a) Mandato de transparencia y responsabilidad del Sujeto Obligado</w:t>
      </w:r>
      <w:bookmarkEnd w:id="51"/>
      <w:bookmarkEnd w:id="52"/>
    </w:p>
    <w:p w14:paraId="070368E1" w14:textId="77777777" w:rsidR="00756D4C" w:rsidRPr="00B35732" w:rsidRDefault="00756D4C" w:rsidP="00CC7286">
      <w:r w:rsidRPr="00B35732">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28DB3623" w14:textId="77777777" w:rsidR="00756D4C" w:rsidRPr="00B35732" w:rsidRDefault="00756D4C" w:rsidP="00CC7286"/>
    <w:p w14:paraId="7CB8B19B" w14:textId="77777777" w:rsidR="00756D4C" w:rsidRPr="00B35732" w:rsidRDefault="00756D4C" w:rsidP="00CC7286">
      <w:pPr>
        <w:spacing w:line="240" w:lineRule="auto"/>
        <w:ind w:left="567" w:right="567"/>
        <w:contextualSpacing/>
        <w:rPr>
          <w:rFonts w:eastAsiaTheme="majorEastAsia" w:cstheme="majorBidi"/>
          <w:b/>
          <w:i/>
          <w:kern w:val="28"/>
          <w:szCs w:val="56"/>
        </w:rPr>
      </w:pPr>
      <w:r w:rsidRPr="00B35732">
        <w:rPr>
          <w:rFonts w:eastAsiaTheme="majorEastAsia" w:cstheme="majorBidi"/>
          <w:b/>
          <w:i/>
          <w:kern w:val="28"/>
          <w:szCs w:val="56"/>
        </w:rPr>
        <w:t>Constitución Política de los Estados Unidos Mexicanos</w:t>
      </w:r>
    </w:p>
    <w:p w14:paraId="54827FCB" w14:textId="77777777" w:rsidR="00756D4C" w:rsidRPr="00B35732" w:rsidRDefault="00756D4C" w:rsidP="00CC7286">
      <w:pPr>
        <w:spacing w:line="240" w:lineRule="auto"/>
        <w:ind w:left="567" w:right="567"/>
        <w:contextualSpacing/>
        <w:rPr>
          <w:rFonts w:eastAsiaTheme="majorEastAsia" w:cstheme="majorBidi"/>
          <w:b/>
          <w:i/>
          <w:kern w:val="28"/>
          <w:szCs w:val="56"/>
        </w:rPr>
      </w:pPr>
      <w:r w:rsidRPr="00B35732">
        <w:rPr>
          <w:rFonts w:eastAsiaTheme="majorEastAsia" w:cstheme="majorBidi"/>
          <w:i/>
          <w:kern w:val="28"/>
          <w:szCs w:val="56"/>
        </w:rPr>
        <w:t>“</w:t>
      </w:r>
      <w:r w:rsidRPr="00B35732">
        <w:rPr>
          <w:rFonts w:eastAsiaTheme="majorEastAsia" w:cstheme="majorBidi"/>
          <w:b/>
          <w:i/>
          <w:kern w:val="28"/>
          <w:szCs w:val="56"/>
        </w:rPr>
        <w:t>Artículo 6.</w:t>
      </w:r>
    </w:p>
    <w:p w14:paraId="2D6D6B95" w14:textId="77777777" w:rsidR="00756D4C" w:rsidRPr="00B35732" w:rsidRDefault="00756D4C" w:rsidP="00CC7286">
      <w:pPr>
        <w:spacing w:line="240" w:lineRule="auto"/>
        <w:ind w:left="567" w:right="567"/>
        <w:contextualSpacing/>
        <w:rPr>
          <w:rFonts w:eastAsiaTheme="majorEastAsia" w:cstheme="majorBidi"/>
          <w:i/>
          <w:kern w:val="28"/>
          <w:szCs w:val="56"/>
        </w:rPr>
      </w:pPr>
      <w:r w:rsidRPr="00B35732">
        <w:rPr>
          <w:rFonts w:eastAsiaTheme="majorEastAsia" w:cstheme="majorBidi"/>
          <w:i/>
          <w:kern w:val="28"/>
          <w:szCs w:val="56"/>
        </w:rPr>
        <w:t>(…)</w:t>
      </w:r>
    </w:p>
    <w:p w14:paraId="59C50EFD" w14:textId="77777777" w:rsidR="00756D4C" w:rsidRPr="00B35732" w:rsidRDefault="00756D4C" w:rsidP="00CC7286">
      <w:pPr>
        <w:spacing w:line="240" w:lineRule="auto"/>
        <w:ind w:left="567" w:right="567"/>
        <w:contextualSpacing/>
        <w:rPr>
          <w:rFonts w:eastAsiaTheme="majorEastAsia" w:cstheme="majorBidi"/>
          <w:i/>
          <w:kern w:val="28"/>
          <w:szCs w:val="56"/>
        </w:rPr>
      </w:pPr>
      <w:r w:rsidRPr="00B35732">
        <w:rPr>
          <w:rFonts w:eastAsiaTheme="majorEastAsia" w:cstheme="majorBidi"/>
          <w:i/>
          <w:kern w:val="28"/>
          <w:szCs w:val="56"/>
        </w:rPr>
        <w:t>Para efectos de lo dispuesto en el presente artículo se observará lo siguiente:</w:t>
      </w:r>
    </w:p>
    <w:p w14:paraId="77DCF445" w14:textId="77777777" w:rsidR="00756D4C" w:rsidRPr="00B35732" w:rsidRDefault="00756D4C" w:rsidP="00CC7286">
      <w:pPr>
        <w:spacing w:line="240" w:lineRule="auto"/>
        <w:ind w:left="567" w:right="567"/>
        <w:contextualSpacing/>
        <w:rPr>
          <w:rFonts w:eastAsiaTheme="majorEastAsia" w:cstheme="majorBidi"/>
          <w:i/>
          <w:kern w:val="28"/>
          <w:szCs w:val="56"/>
        </w:rPr>
      </w:pPr>
      <w:r w:rsidRPr="00B35732">
        <w:rPr>
          <w:rFonts w:eastAsiaTheme="majorEastAsia" w:cstheme="majorBidi"/>
          <w:i/>
          <w:kern w:val="28"/>
          <w:szCs w:val="56"/>
        </w:rPr>
        <w:t>A. Para el ejercicio del derecho de acceso a la información, la Federación y las entidades federativas, en el ámbito de sus respectivas competencias, se regirán por los siguientes principios y bases:</w:t>
      </w:r>
    </w:p>
    <w:p w14:paraId="7293FEA3" w14:textId="77777777" w:rsidR="00756D4C" w:rsidRPr="00B35732" w:rsidRDefault="00756D4C" w:rsidP="00CC7286">
      <w:pPr>
        <w:spacing w:line="240" w:lineRule="auto"/>
        <w:ind w:left="567" w:right="567"/>
        <w:contextualSpacing/>
        <w:rPr>
          <w:rFonts w:eastAsiaTheme="majorEastAsia" w:cstheme="majorBidi"/>
          <w:i/>
          <w:kern w:val="28"/>
          <w:szCs w:val="56"/>
        </w:rPr>
      </w:pPr>
      <w:r w:rsidRPr="00B35732">
        <w:rPr>
          <w:rFonts w:eastAsiaTheme="majorEastAsia" w:cstheme="majorBidi"/>
          <w:i/>
          <w:kern w:val="28"/>
          <w:szCs w:val="56"/>
        </w:rPr>
        <w:lastRenderedPageBreak/>
        <w:t xml:space="preserve">I. </w:t>
      </w:r>
      <w:r w:rsidRPr="00B35732">
        <w:rPr>
          <w:rFonts w:eastAsiaTheme="majorEastAsia" w:cstheme="majorBidi"/>
          <w:i/>
          <w:kern w:val="28"/>
          <w:szCs w:val="56"/>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9CB1EB" w14:textId="77777777" w:rsidR="00756D4C" w:rsidRPr="00B35732" w:rsidRDefault="00756D4C" w:rsidP="00CC7286">
      <w:pPr>
        <w:spacing w:line="240" w:lineRule="auto"/>
        <w:ind w:left="567" w:right="567"/>
        <w:contextualSpacing/>
        <w:rPr>
          <w:rFonts w:eastAsiaTheme="majorEastAsia" w:cstheme="majorBidi"/>
          <w:i/>
          <w:kern w:val="28"/>
          <w:szCs w:val="56"/>
        </w:rPr>
      </w:pPr>
    </w:p>
    <w:p w14:paraId="40626434" w14:textId="77777777" w:rsidR="00756D4C" w:rsidRPr="00B35732" w:rsidRDefault="00756D4C" w:rsidP="00CC7286">
      <w:pPr>
        <w:spacing w:line="240" w:lineRule="auto"/>
        <w:ind w:left="567" w:right="567"/>
        <w:contextualSpacing/>
        <w:rPr>
          <w:rFonts w:eastAsiaTheme="majorEastAsia" w:cstheme="majorBidi"/>
          <w:b/>
          <w:i/>
          <w:kern w:val="28"/>
          <w:szCs w:val="56"/>
        </w:rPr>
      </w:pPr>
      <w:r w:rsidRPr="00B35732">
        <w:rPr>
          <w:rFonts w:eastAsiaTheme="majorEastAsia" w:cstheme="majorBidi"/>
          <w:b/>
          <w:i/>
          <w:kern w:val="28"/>
          <w:szCs w:val="56"/>
        </w:rPr>
        <w:t>Constitución Política del Estado Libre y Soberano de México</w:t>
      </w:r>
    </w:p>
    <w:p w14:paraId="19AB04F2" w14:textId="77777777" w:rsidR="00756D4C" w:rsidRPr="00B35732" w:rsidRDefault="00756D4C" w:rsidP="00CC7286">
      <w:pPr>
        <w:spacing w:line="240" w:lineRule="auto"/>
        <w:ind w:left="567" w:right="567"/>
        <w:contextualSpacing/>
        <w:rPr>
          <w:rFonts w:eastAsiaTheme="majorEastAsia" w:cstheme="majorBidi"/>
          <w:b/>
          <w:i/>
          <w:kern w:val="28"/>
          <w:szCs w:val="56"/>
        </w:rPr>
      </w:pPr>
      <w:r w:rsidRPr="00B35732">
        <w:rPr>
          <w:rFonts w:eastAsiaTheme="majorEastAsia" w:cstheme="majorBidi"/>
          <w:i/>
          <w:kern w:val="28"/>
          <w:szCs w:val="56"/>
        </w:rPr>
        <w:t>“</w:t>
      </w:r>
      <w:r w:rsidRPr="00B35732">
        <w:rPr>
          <w:rFonts w:eastAsiaTheme="majorEastAsia" w:cstheme="majorBidi"/>
          <w:b/>
          <w:i/>
          <w:kern w:val="28"/>
          <w:szCs w:val="56"/>
        </w:rPr>
        <w:t xml:space="preserve">Artículo 5.- </w:t>
      </w:r>
    </w:p>
    <w:p w14:paraId="50E97A86" w14:textId="77777777" w:rsidR="00756D4C" w:rsidRPr="00B35732" w:rsidRDefault="00756D4C" w:rsidP="00CC7286">
      <w:pPr>
        <w:spacing w:line="240" w:lineRule="auto"/>
        <w:ind w:left="567" w:right="567"/>
        <w:contextualSpacing/>
        <w:rPr>
          <w:rFonts w:eastAsiaTheme="majorEastAsia" w:cstheme="majorBidi"/>
          <w:i/>
          <w:kern w:val="28"/>
          <w:szCs w:val="56"/>
        </w:rPr>
      </w:pPr>
      <w:r w:rsidRPr="00B35732">
        <w:rPr>
          <w:rFonts w:eastAsiaTheme="majorEastAsia" w:cstheme="majorBidi"/>
          <w:i/>
          <w:kern w:val="28"/>
          <w:szCs w:val="56"/>
        </w:rPr>
        <w:t>(…)</w:t>
      </w:r>
    </w:p>
    <w:p w14:paraId="280E52E1" w14:textId="77777777" w:rsidR="00756D4C" w:rsidRPr="00B35732" w:rsidRDefault="00756D4C" w:rsidP="00CC7286">
      <w:pPr>
        <w:spacing w:line="240" w:lineRule="auto"/>
        <w:ind w:left="567" w:right="567"/>
        <w:contextualSpacing/>
        <w:rPr>
          <w:rFonts w:eastAsiaTheme="majorEastAsia" w:cstheme="majorBidi"/>
          <w:i/>
          <w:kern w:val="28"/>
          <w:szCs w:val="56"/>
        </w:rPr>
      </w:pPr>
      <w:r w:rsidRPr="00B35732">
        <w:rPr>
          <w:rFonts w:eastAsiaTheme="majorEastAsia" w:cstheme="majorBidi"/>
          <w:i/>
          <w:kern w:val="28"/>
          <w:szCs w:val="56"/>
        </w:rPr>
        <w:t>El derecho a la información será garantizado por el Estado. La ley establecerá las previsiones que permitan asegurar la protección, el respeto y la difusión de este derecho.</w:t>
      </w:r>
    </w:p>
    <w:p w14:paraId="488E404E" w14:textId="77777777" w:rsidR="00756D4C" w:rsidRPr="00B35732" w:rsidRDefault="00756D4C" w:rsidP="00CC7286">
      <w:pPr>
        <w:spacing w:line="240" w:lineRule="auto"/>
        <w:ind w:left="567" w:right="567"/>
        <w:contextualSpacing/>
        <w:rPr>
          <w:rFonts w:eastAsiaTheme="majorEastAsia" w:cstheme="majorBidi"/>
          <w:i/>
          <w:kern w:val="28"/>
          <w:szCs w:val="56"/>
        </w:rPr>
      </w:pPr>
      <w:r w:rsidRPr="00B35732">
        <w:rPr>
          <w:rFonts w:eastAsiaTheme="majorEastAsia" w:cstheme="majorBidi"/>
          <w:i/>
          <w:kern w:val="28"/>
          <w:szCs w:val="56"/>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1445BD84" w14:textId="77777777" w:rsidR="00756D4C" w:rsidRPr="00B35732" w:rsidRDefault="00756D4C" w:rsidP="00CC7286">
      <w:pPr>
        <w:spacing w:line="240" w:lineRule="auto"/>
        <w:ind w:left="567" w:right="567"/>
        <w:contextualSpacing/>
        <w:rPr>
          <w:rFonts w:eastAsiaTheme="majorEastAsia" w:cstheme="majorBidi"/>
          <w:i/>
          <w:kern w:val="28"/>
          <w:szCs w:val="56"/>
        </w:rPr>
      </w:pPr>
      <w:r w:rsidRPr="00B35732">
        <w:rPr>
          <w:rFonts w:eastAsiaTheme="majorEastAsia" w:cstheme="majorBidi"/>
          <w:i/>
          <w:kern w:val="28"/>
          <w:szCs w:val="56"/>
        </w:rPr>
        <w:t>Este derecho se regirá por los principios y bases siguientes:</w:t>
      </w:r>
    </w:p>
    <w:p w14:paraId="528427E0" w14:textId="77777777" w:rsidR="00756D4C" w:rsidRPr="00B35732" w:rsidRDefault="00756D4C" w:rsidP="00CC7286">
      <w:pPr>
        <w:spacing w:line="240" w:lineRule="auto"/>
        <w:ind w:left="567" w:right="567"/>
        <w:contextualSpacing/>
        <w:rPr>
          <w:rFonts w:eastAsiaTheme="majorEastAsia" w:cstheme="majorBidi"/>
          <w:i/>
          <w:kern w:val="28"/>
          <w:szCs w:val="56"/>
        </w:rPr>
      </w:pPr>
      <w:r w:rsidRPr="00B35732">
        <w:rPr>
          <w:rFonts w:eastAsiaTheme="majorEastAsia" w:cstheme="majorBidi"/>
          <w:i/>
          <w:kern w:val="28"/>
          <w:szCs w:val="56"/>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FA9BAF" w14:textId="77777777" w:rsidR="00756D4C" w:rsidRPr="00B35732" w:rsidRDefault="00756D4C" w:rsidP="00CC7286">
      <w:pPr>
        <w:rPr>
          <w:b/>
          <w:i/>
        </w:rPr>
      </w:pPr>
    </w:p>
    <w:p w14:paraId="53336436" w14:textId="77777777" w:rsidR="00756D4C" w:rsidRPr="00B35732" w:rsidRDefault="00756D4C" w:rsidP="00CC7286">
      <w:pPr>
        <w:rPr>
          <w:i/>
        </w:rPr>
      </w:pPr>
      <w:r w:rsidRPr="00B35732">
        <w:t xml:space="preserve">Asimismo, el artículo 150 de la Ley de Transparencia y Acceso a la Información Pública del Estado de México y Municipios indica que la solicitud es la garantía primaria del Derecho de </w:t>
      </w:r>
      <w:r w:rsidRPr="00B35732">
        <w:lastRenderedPageBreak/>
        <w:t xml:space="preserve">Acceso a la Información, además, establece que se regirá </w:t>
      </w:r>
      <w:r w:rsidRPr="00B35732">
        <w:rPr>
          <w:i/>
        </w:rPr>
        <w:t>por los principios de simplicidad, rapidez, gratuidad del procedimiento, auxilio y orientación a los particulares.</w:t>
      </w:r>
    </w:p>
    <w:p w14:paraId="75984B13" w14:textId="77777777" w:rsidR="00756D4C" w:rsidRPr="00B35732" w:rsidRDefault="00756D4C" w:rsidP="00CC7286">
      <w:pPr>
        <w:rPr>
          <w:i/>
        </w:rPr>
      </w:pPr>
    </w:p>
    <w:p w14:paraId="6E850179" w14:textId="77777777" w:rsidR="00756D4C" w:rsidRPr="00B35732" w:rsidRDefault="00756D4C" w:rsidP="00CC7286">
      <w:pPr>
        <w:rPr>
          <w:i/>
        </w:rPr>
      </w:pPr>
      <w:r w:rsidRPr="00B35732">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7F967C9C" w14:textId="77777777" w:rsidR="00756D4C" w:rsidRPr="00B35732" w:rsidRDefault="00756D4C" w:rsidP="00CC7286"/>
    <w:p w14:paraId="4B375E0A" w14:textId="77777777" w:rsidR="00756D4C" w:rsidRPr="00B35732" w:rsidRDefault="00756D4C" w:rsidP="00CC7286">
      <w:r w:rsidRPr="00B35732">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261F78BB" w14:textId="77777777" w:rsidR="00756D4C" w:rsidRPr="00B35732" w:rsidRDefault="00756D4C" w:rsidP="00CC7286"/>
    <w:p w14:paraId="20676245" w14:textId="77777777" w:rsidR="00756D4C" w:rsidRPr="00B35732" w:rsidRDefault="00756D4C" w:rsidP="00CC7286">
      <w:r w:rsidRPr="00B35732">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3931BDB8" w14:textId="77777777" w:rsidR="00756D4C" w:rsidRPr="00B35732" w:rsidRDefault="00756D4C" w:rsidP="00CC7286"/>
    <w:p w14:paraId="44480EB7" w14:textId="77777777" w:rsidR="00756D4C" w:rsidRPr="00B35732" w:rsidRDefault="00756D4C" w:rsidP="00CC7286">
      <w:r w:rsidRPr="00B35732">
        <w:t xml:space="preserve">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w:t>
      </w:r>
      <w:r w:rsidRPr="00B35732">
        <w:lastRenderedPageBreak/>
        <w:t>garantizar el Derecho de Acceso a la Información Pública, siempre y cuando no se trate de información reservada o confidencial.</w:t>
      </w:r>
    </w:p>
    <w:p w14:paraId="1B695847" w14:textId="77777777" w:rsidR="00756D4C" w:rsidRPr="00B35732" w:rsidRDefault="00756D4C" w:rsidP="00CC7286"/>
    <w:p w14:paraId="336C4E72" w14:textId="77777777" w:rsidR="00756D4C" w:rsidRPr="00B35732" w:rsidRDefault="00756D4C" w:rsidP="00CC7286">
      <w:bookmarkStart w:id="53" w:name="_heading=h.2s8eyo1" w:colFirst="0" w:colLast="0"/>
      <w:bookmarkEnd w:id="53"/>
      <w:r w:rsidRPr="00B35732">
        <w:t xml:space="preserve">Con base en lo anterior, se considera que </w:t>
      </w:r>
      <w:r w:rsidRPr="00B35732">
        <w:rPr>
          <w:b/>
        </w:rPr>
        <w:t>EL</w:t>
      </w:r>
      <w:r w:rsidRPr="00B35732">
        <w:t xml:space="preserve"> </w:t>
      </w:r>
      <w:r w:rsidRPr="00B35732">
        <w:rPr>
          <w:b/>
        </w:rPr>
        <w:t>SUJETO OBLIGADO</w:t>
      </w:r>
      <w:r w:rsidRPr="00B35732">
        <w:t xml:space="preserve"> se encontraba compelido a atender la solicitud de acceso a la información realizada por </w:t>
      </w:r>
      <w:r w:rsidRPr="00B35732">
        <w:rPr>
          <w:b/>
        </w:rPr>
        <w:t>LA PARTE RECURRENTE</w:t>
      </w:r>
      <w:r w:rsidRPr="00B35732">
        <w:t>.</w:t>
      </w:r>
    </w:p>
    <w:p w14:paraId="5D0A3D29" w14:textId="77777777" w:rsidR="00756D4C" w:rsidRPr="00B35732" w:rsidRDefault="00756D4C" w:rsidP="00CC7286"/>
    <w:p w14:paraId="6CD92E40" w14:textId="77777777" w:rsidR="00756D4C" w:rsidRPr="00B35732" w:rsidRDefault="00756D4C" w:rsidP="00CC7286">
      <w:pPr>
        <w:pStyle w:val="Ttulo3"/>
        <w:spacing w:line="360" w:lineRule="auto"/>
        <w:rPr>
          <w:szCs w:val="22"/>
        </w:rPr>
      </w:pPr>
      <w:bookmarkStart w:id="54" w:name="_Toc205303968"/>
      <w:bookmarkStart w:id="55" w:name="_Toc212099420"/>
      <w:r w:rsidRPr="00B35732">
        <w:rPr>
          <w:szCs w:val="22"/>
        </w:rPr>
        <w:t>b) Controversia a resolver</w:t>
      </w:r>
      <w:bookmarkEnd w:id="54"/>
      <w:bookmarkEnd w:id="55"/>
    </w:p>
    <w:p w14:paraId="762B15BE" w14:textId="7E8ACD4D" w:rsidR="00E370BC" w:rsidRPr="00B35732" w:rsidRDefault="00756D4C" w:rsidP="00CC7286">
      <w:r w:rsidRPr="00B35732">
        <w:t xml:space="preserve">Con el objeto de ilustrar la controversia planteada, resulta conveniente precisar que, una vez realizado el estudio de las constancias que integran el expediente en que se actúa, se desprende que </w:t>
      </w:r>
      <w:r w:rsidRPr="00B35732">
        <w:rPr>
          <w:b/>
        </w:rPr>
        <w:t>LA PARTE RECURRENTE</w:t>
      </w:r>
      <w:r w:rsidRPr="00B35732">
        <w:t xml:space="preserve"> solicitó lo</w:t>
      </w:r>
      <w:r w:rsidR="00E370BC" w:rsidRPr="00B35732">
        <w:t xml:space="preserve">s oficios firmados por el Primer Regidor en los meses de enero, febrero, marzo y abril de dos mil veinticinco. </w:t>
      </w:r>
    </w:p>
    <w:p w14:paraId="0109FE2E" w14:textId="77777777" w:rsidR="00756D4C" w:rsidRPr="00B35732" w:rsidRDefault="00756D4C" w:rsidP="00CC7286"/>
    <w:p w14:paraId="1C04E36F" w14:textId="4D4AE26B" w:rsidR="00E370BC" w:rsidRPr="00B35732" w:rsidRDefault="00756D4C" w:rsidP="00CC7286">
      <w:pPr>
        <w:tabs>
          <w:tab w:val="left" w:pos="4962"/>
        </w:tabs>
        <w:contextualSpacing/>
        <w:rPr>
          <w:rFonts w:cs="Tahoma"/>
          <w:szCs w:val="22"/>
        </w:rPr>
      </w:pPr>
      <w:r w:rsidRPr="00B35732">
        <w:t xml:space="preserve">Al respecto </w:t>
      </w:r>
      <w:r w:rsidRPr="00B35732">
        <w:rPr>
          <w:b/>
        </w:rPr>
        <w:t>EL SUJETO OBLIGADO</w:t>
      </w:r>
      <w:r w:rsidRPr="00B35732">
        <w:t xml:space="preserve"> </w:t>
      </w:r>
      <w:r w:rsidR="00E370BC" w:rsidRPr="00B35732">
        <w:rPr>
          <w:rFonts w:eastAsiaTheme="minorHAnsi" w:cs="Tahoma"/>
          <w:bCs/>
          <w:iCs/>
          <w:szCs w:val="22"/>
          <w:lang w:eastAsia="en-US"/>
        </w:rPr>
        <w:t xml:space="preserve">adjuntó oficio </w:t>
      </w:r>
      <w:r w:rsidR="00E370BC" w:rsidRPr="00B35732">
        <w:rPr>
          <w:rFonts w:cs="Tahoma"/>
          <w:szCs w:val="22"/>
        </w:rPr>
        <w:t xml:space="preserve">por medio del cual el Primer Regidor adjuntó </w:t>
      </w:r>
      <w:r w:rsidR="00E370BC" w:rsidRPr="00B35732">
        <w:rPr>
          <w:rFonts w:eastAsia="Palatino Linotype" w:cs="Palatino Linotype"/>
          <w:bCs/>
          <w:iCs/>
          <w:szCs w:val="22"/>
        </w:rPr>
        <w:t xml:space="preserve">listado de oficios generados en los meses solicitados, que contiene los rubros: del número de oficios, fecha de emisión, destinatario, asunto y observaciones. </w:t>
      </w:r>
      <w:r w:rsidR="00E370BC" w:rsidRPr="00B35732">
        <w:rPr>
          <w:rFonts w:eastAsia="Palatino Linotype" w:cs="Palatino Linotype"/>
          <w:szCs w:val="22"/>
        </w:rPr>
        <w:t xml:space="preserve"> </w:t>
      </w:r>
    </w:p>
    <w:p w14:paraId="76DE19A9" w14:textId="77777777" w:rsidR="00E370BC" w:rsidRPr="00B35732" w:rsidRDefault="00E370BC" w:rsidP="00CC7286">
      <w:pPr>
        <w:ind w:right="-28"/>
      </w:pPr>
    </w:p>
    <w:p w14:paraId="0FBD86A9" w14:textId="43FC3E9E" w:rsidR="00756D4C" w:rsidRPr="00B35732" w:rsidRDefault="00756D4C" w:rsidP="00CC7286">
      <w:pPr>
        <w:tabs>
          <w:tab w:val="left" w:pos="4962"/>
        </w:tabs>
      </w:pPr>
      <w:r w:rsidRPr="00B35732">
        <w:t xml:space="preserve">Ahora bien, en la interposición del presente recurso </w:t>
      </w:r>
      <w:r w:rsidRPr="00B35732">
        <w:rPr>
          <w:b/>
        </w:rPr>
        <w:t>LA PARTE RECURRENTE</w:t>
      </w:r>
      <w:r w:rsidR="00E370BC" w:rsidRPr="00B35732">
        <w:t xml:space="preserve"> se inconformó por considerar que la repuesta no corresponde a lo que solicitó, pues le fue entregado un concentrado de oficios y no así los oficios firmados. </w:t>
      </w:r>
    </w:p>
    <w:p w14:paraId="74E3C62D" w14:textId="77777777" w:rsidR="00756D4C" w:rsidRPr="00B35732" w:rsidRDefault="00756D4C" w:rsidP="00CC7286">
      <w:pPr>
        <w:tabs>
          <w:tab w:val="left" w:pos="4962"/>
        </w:tabs>
      </w:pPr>
    </w:p>
    <w:p w14:paraId="3F7C5FAF" w14:textId="707B7D35" w:rsidR="00E370BC" w:rsidRPr="00B35732" w:rsidRDefault="00756D4C" w:rsidP="00CC7286">
      <w:pPr>
        <w:widowControl w:val="0"/>
        <w:pBdr>
          <w:top w:val="nil"/>
          <w:left w:val="nil"/>
          <w:bottom w:val="nil"/>
          <w:right w:val="nil"/>
          <w:between w:val="nil"/>
        </w:pBdr>
        <w:rPr>
          <w:rFonts w:eastAsia="Palatino Linotype" w:cs="Palatino Linotype"/>
          <w:szCs w:val="22"/>
        </w:rPr>
      </w:pPr>
      <w:r w:rsidRPr="00B35732">
        <w:t xml:space="preserve">Asimismo, es importante señalar que </w:t>
      </w:r>
      <w:r w:rsidRPr="00B35732">
        <w:rPr>
          <w:b/>
        </w:rPr>
        <w:t>LA PARTE RECURRENTE</w:t>
      </w:r>
      <w:r w:rsidRPr="00B35732">
        <w:t xml:space="preserve"> no realizó manifes</w:t>
      </w:r>
      <w:r w:rsidR="00E370BC" w:rsidRPr="00B35732">
        <w:t>taciones, alegatos o pruebas</w:t>
      </w:r>
      <w:r w:rsidRPr="00B35732">
        <w:t xml:space="preserve">. Por su parte </w:t>
      </w:r>
      <w:r w:rsidRPr="00B35732">
        <w:rPr>
          <w:b/>
        </w:rPr>
        <w:t xml:space="preserve">EL SUJETO OBLIGADO </w:t>
      </w:r>
      <w:r w:rsidRPr="00B35732">
        <w:t>mediante Informes Justificado</w:t>
      </w:r>
      <w:r w:rsidR="00E370BC" w:rsidRPr="00B35732">
        <w:rPr>
          <w:rFonts w:eastAsia="Palatino Linotype" w:cs="Palatino Linotype"/>
          <w:szCs w:val="22"/>
        </w:rPr>
        <w:t xml:space="preserve">, manifiesta que durante la quincena de mayo, observó un incremento de solicitudes de información, lo que rebasa las capacidades administrativas, humanas y materiales; motivo por el cual solicita se autorice el cambio de modalidad en la entrega de la información y de resultar procedente se pone a disposición del solicitante en versión pública la información solicitada </w:t>
      </w:r>
      <w:r w:rsidR="00E370BC" w:rsidRPr="00B35732">
        <w:rPr>
          <w:rFonts w:eastAsia="Palatino Linotype" w:cs="Palatino Linotype"/>
          <w:szCs w:val="22"/>
        </w:rPr>
        <w:lastRenderedPageBreak/>
        <w:t>para que pueda consultarla de manera presencial en las oficinas de la dependencia ubicadas en el interior de la Presidencia Municipal, proporcionado para ello dirección y horarios de atención.</w:t>
      </w:r>
    </w:p>
    <w:p w14:paraId="216F8901" w14:textId="77777777" w:rsidR="00E370BC" w:rsidRPr="00B35732" w:rsidRDefault="00E370BC" w:rsidP="00CC7286">
      <w:pPr>
        <w:widowControl w:val="0"/>
        <w:pBdr>
          <w:top w:val="nil"/>
          <w:left w:val="nil"/>
          <w:bottom w:val="nil"/>
          <w:right w:val="nil"/>
          <w:between w:val="nil"/>
        </w:pBdr>
        <w:rPr>
          <w:rFonts w:eastAsia="Palatino Linotype" w:cs="Palatino Linotype"/>
          <w:szCs w:val="22"/>
        </w:rPr>
      </w:pPr>
    </w:p>
    <w:p w14:paraId="059A3AAB" w14:textId="77777777" w:rsidR="00756D4C" w:rsidRPr="00B35732" w:rsidRDefault="00756D4C" w:rsidP="00CC7286">
      <w:pPr>
        <w:tabs>
          <w:tab w:val="left" w:pos="4962"/>
        </w:tabs>
      </w:pPr>
      <w:r w:rsidRPr="00B35732">
        <w:t xml:space="preserve">Derivado de lo anterior, el estudio se centrará en determinar si la respuesta otorgada colma el derecho de acceso a la información ejercido por </w:t>
      </w:r>
      <w:r w:rsidRPr="00B35732">
        <w:rPr>
          <w:b/>
        </w:rPr>
        <w:t>LA PARTE RECURRENTE</w:t>
      </w:r>
      <w:r w:rsidRPr="00B35732">
        <w:t>.</w:t>
      </w:r>
    </w:p>
    <w:p w14:paraId="08C971E4" w14:textId="77777777" w:rsidR="00756D4C" w:rsidRPr="00B35732" w:rsidRDefault="00756D4C" w:rsidP="00CC7286">
      <w:pPr>
        <w:tabs>
          <w:tab w:val="left" w:pos="4962"/>
        </w:tabs>
      </w:pPr>
    </w:p>
    <w:p w14:paraId="1B2665AE" w14:textId="77777777" w:rsidR="001910CD" w:rsidRPr="00B35732" w:rsidRDefault="00593577" w:rsidP="00CC7286">
      <w:pPr>
        <w:pStyle w:val="Ttulo3"/>
        <w:spacing w:line="360" w:lineRule="auto"/>
        <w:rPr>
          <w:szCs w:val="22"/>
        </w:rPr>
      </w:pPr>
      <w:bookmarkStart w:id="56" w:name="_Toc212099421"/>
      <w:r w:rsidRPr="00B35732">
        <w:rPr>
          <w:szCs w:val="22"/>
        </w:rPr>
        <w:t>c) Estudio de la controversia.</w:t>
      </w:r>
      <w:bookmarkEnd w:id="56"/>
    </w:p>
    <w:p w14:paraId="1B378C29" w14:textId="77777777" w:rsidR="006A06CD" w:rsidRPr="00B35732" w:rsidRDefault="006A06CD" w:rsidP="00CC7286">
      <w:pPr>
        <w:tabs>
          <w:tab w:val="left" w:pos="4962"/>
        </w:tabs>
        <w:contextualSpacing/>
        <w:rPr>
          <w:szCs w:val="22"/>
        </w:rPr>
      </w:pPr>
      <w:r w:rsidRPr="00B35732">
        <w:rPr>
          <w:rFonts w:eastAsia="Palatino Linotype" w:cs="Palatino Linotype"/>
          <w:iCs/>
          <w:szCs w:val="22"/>
          <w:lang w:eastAsia="es-MX"/>
        </w:rPr>
        <w:t xml:space="preserve">Primero, se considera necesario precisar que la palabra </w:t>
      </w:r>
      <w:r w:rsidRPr="00B35732">
        <w:rPr>
          <w:rFonts w:eastAsia="Palatino Linotype" w:cs="Palatino Linotype"/>
          <w:i/>
          <w:iCs/>
          <w:szCs w:val="22"/>
          <w:lang w:eastAsia="es-MX"/>
        </w:rPr>
        <w:t>“</w:t>
      </w:r>
      <w:r w:rsidRPr="00B35732">
        <w:rPr>
          <w:rFonts w:eastAsia="Palatino Linotype" w:cs="Palatino Linotype"/>
          <w:b/>
          <w:i/>
          <w:iCs/>
          <w:szCs w:val="22"/>
          <w:lang w:eastAsia="es-MX"/>
        </w:rPr>
        <w:t>oficio</w:t>
      </w:r>
      <w:r w:rsidRPr="00B35732">
        <w:rPr>
          <w:rFonts w:eastAsia="Palatino Linotype" w:cs="Palatino Linotype"/>
          <w:i/>
          <w:iCs/>
          <w:szCs w:val="22"/>
          <w:lang w:eastAsia="es-MX"/>
        </w:rPr>
        <w:t xml:space="preserve">”, </w:t>
      </w:r>
      <w:r w:rsidRPr="00B35732">
        <w:rPr>
          <w:rFonts w:eastAsia="Palatino Linotype" w:cs="Palatino Linotype"/>
          <w:szCs w:val="22"/>
        </w:rPr>
        <w:t xml:space="preserve">es ampliamente conocido como instrumento de comunicación entre autoridades o dependencias, que permiten llevar a cabo distintas gestiones para el cumplimiento de sus distintas funciones, conforme a la definición </w:t>
      </w:r>
      <w:r w:rsidRPr="00B35732">
        <w:rPr>
          <w:rFonts w:eastAsiaTheme="minorHAnsi" w:cs="Tahoma"/>
          <w:bCs/>
          <w:iCs/>
          <w:szCs w:val="22"/>
          <w:lang w:eastAsia="en-US"/>
        </w:rPr>
        <w:t>del</w:t>
      </w:r>
      <w:r w:rsidRPr="00B35732">
        <w:rPr>
          <w:rFonts w:eastAsia="Palatino Linotype" w:cs="Palatino Linotype"/>
          <w:szCs w:val="22"/>
        </w:rPr>
        <w:t xml:space="preserve"> Diccionario de la Real Academia Española, que señala:</w:t>
      </w:r>
    </w:p>
    <w:p w14:paraId="3D08C348" w14:textId="77777777" w:rsidR="006A06CD" w:rsidRPr="00B35732" w:rsidRDefault="006A06CD" w:rsidP="00CC7286">
      <w:pPr>
        <w:spacing w:line="240" w:lineRule="auto"/>
        <w:ind w:left="567" w:right="567"/>
        <w:contextualSpacing/>
        <w:rPr>
          <w:rFonts w:eastAsia="Palatino Linotype"/>
          <w:i/>
          <w:kern w:val="28"/>
          <w:szCs w:val="56"/>
        </w:rPr>
      </w:pPr>
    </w:p>
    <w:p w14:paraId="14387873" w14:textId="77777777" w:rsidR="006A06CD" w:rsidRPr="00B35732" w:rsidRDefault="006A06CD" w:rsidP="00CC7286">
      <w:pPr>
        <w:spacing w:line="240" w:lineRule="auto"/>
        <w:ind w:left="567" w:right="567"/>
        <w:contextualSpacing/>
        <w:rPr>
          <w:rFonts w:eastAsia="Palatino Linotype"/>
          <w:i/>
          <w:kern w:val="28"/>
          <w:szCs w:val="56"/>
        </w:rPr>
      </w:pPr>
      <w:r w:rsidRPr="00B35732">
        <w:rPr>
          <w:rFonts w:eastAsia="Palatino Linotype"/>
          <w:i/>
          <w:kern w:val="28"/>
          <w:szCs w:val="56"/>
        </w:rPr>
        <w:t>“6. m. Comunicación escrita, referente a los asuntos de las Administraciones públicas.</w:t>
      </w:r>
    </w:p>
    <w:p w14:paraId="55719EB4" w14:textId="77777777" w:rsidR="006A06CD" w:rsidRPr="00B35732" w:rsidRDefault="006A06CD" w:rsidP="00CC7286">
      <w:pPr>
        <w:spacing w:line="240" w:lineRule="auto"/>
        <w:ind w:left="567" w:right="567"/>
        <w:contextualSpacing/>
        <w:rPr>
          <w:rFonts w:eastAsia="Palatino Linotype"/>
          <w:i/>
          <w:kern w:val="28"/>
          <w:szCs w:val="56"/>
        </w:rPr>
      </w:pPr>
      <w:r w:rsidRPr="00B35732">
        <w:rPr>
          <w:rFonts w:eastAsia="Palatino Linotype"/>
          <w:i/>
          <w:kern w:val="28"/>
          <w:szCs w:val="56"/>
        </w:rPr>
        <w:t>Sin.: escrito, comunicado, comunicación, documento, expediente.” (Sic)</w:t>
      </w:r>
    </w:p>
    <w:p w14:paraId="02E251CF" w14:textId="77777777" w:rsidR="006A06CD" w:rsidRPr="00B35732" w:rsidRDefault="006A06CD" w:rsidP="00CC7286">
      <w:pPr>
        <w:spacing w:line="240" w:lineRule="auto"/>
        <w:ind w:left="567" w:right="567"/>
        <w:contextualSpacing/>
        <w:rPr>
          <w:rFonts w:cs="Arial"/>
          <w:i/>
          <w:kern w:val="28"/>
          <w:szCs w:val="56"/>
        </w:rPr>
      </w:pPr>
    </w:p>
    <w:p w14:paraId="3F6933B0" w14:textId="77777777" w:rsidR="006A06CD" w:rsidRPr="00B35732" w:rsidRDefault="006A06CD" w:rsidP="00CC7286">
      <w:pPr>
        <w:spacing w:before="240" w:after="240"/>
        <w:rPr>
          <w:rFonts w:eastAsia="Palatino Linotype" w:cs="Palatino Linotype"/>
          <w:szCs w:val="22"/>
          <w:lang w:eastAsia="es-MX"/>
        </w:rPr>
      </w:pPr>
      <w:r w:rsidRPr="00B35732">
        <w:rPr>
          <w:rFonts w:eastAsia="Palatino Linotype" w:cs="Palatino Linotype"/>
          <w:iCs/>
          <w:szCs w:val="22"/>
          <w:lang w:eastAsia="es-MX"/>
        </w:rPr>
        <w:t xml:space="preserve">En ese tenor, se </w:t>
      </w:r>
      <w:r w:rsidRPr="00B35732">
        <w:rPr>
          <w:rFonts w:eastAsia="Palatino Linotype" w:cs="Palatino Linotype"/>
          <w:b/>
          <w:iCs/>
          <w:szCs w:val="22"/>
          <w:lang w:eastAsia="es-MX"/>
        </w:rPr>
        <w:t>sirve citar por analogía</w:t>
      </w:r>
      <w:r w:rsidRPr="00B35732">
        <w:rPr>
          <w:rFonts w:eastAsia="Palatino Linotype" w:cs="Palatino Linotype"/>
          <w:iCs/>
          <w:szCs w:val="22"/>
          <w:lang w:eastAsia="es-MX"/>
        </w:rPr>
        <w:t xml:space="preserve"> los </w:t>
      </w:r>
      <w:r w:rsidRPr="00B35732">
        <w:rPr>
          <w:rFonts w:eastAsia="Palatino Linotype" w:cs="Palatino Linotype"/>
          <w:b/>
          <w:iCs/>
          <w:szCs w:val="22"/>
          <w:lang w:eastAsia="es-MX"/>
        </w:rPr>
        <w:t>Lineamientos para el trámite de la correspondencia de las unidades orgánicas del Poder Ejecutivo</w:t>
      </w:r>
      <w:r w:rsidRPr="00B35732">
        <w:rPr>
          <w:rFonts w:eastAsia="Palatino Linotype" w:cs="Palatino Linotype"/>
          <w:iCs/>
          <w:szCs w:val="22"/>
          <w:lang w:eastAsia="es-MX"/>
        </w:rPr>
        <w:t xml:space="preserve">, </w:t>
      </w:r>
      <w:r w:rsidRPr="00B35732">
        <w:rPr>
          <w:rFonts w:eastAsia="Palatino Linotype" w:cs="Palatino Linotype"/>
          <w:szCs w:val="22"/>
          <w:lang w:eastAsia="es-MX"/>
        </w:rPr>
        <w:t>publicados en mayo de dos mil diez por la Secretaría de Finanzas del Gobierno del Estado de México. Dichos lineamientos sujetan a todas las dependencias y unidades orgánicas del Poder Ejecutivo para lograr una homogenización en la comunicación formal de las instituciones públicas:</w:t>
      </w:r>
    </w:p>
    <w:p w14:paraId="41F0B757" w14:textId="77777777" w:rsidR="006A06CD" w:rsidRPr="00B35732" w:rsidRDefault="006A06CD" w:rsidP="00CC7286">
      <w:pPr>
        <w:spacing w:line="240" w:lineRule="auto"/>
        <w:ind w:left="567" w:right="567"/>
        <w:contextualSpacing/>
        <w:rPr>
          <w:b/>
          <w:bCs/>
          <w:i/>
          <w:kern w:val="28"/>
          <w:szCs w:val="56"/>
          <w:lang w:eastAsia="es-MX"/>
        </w:rPr>
      </w:pPr>
      <w:r w:rsidRPr="00B35732">
        <w:rPr>
          <w:i/>
          <w:kern w:val="28"/>
          <w:szCs w:val="56"/>
          <w:lang w:eastAsia="es-MX"/>
        </w:rPr>
        <w:t>“</w:t>
      </w:r>
      <w:r w:rsidRPr="00B35732">
        <w:rPr>
          <w:b/>
          <w:bCs/>
          <w:i/>
          <w:kern w:val="28"/>
          <w:szCs w:val="56"/>
          <w:lang w:eastAsia="es-MX"/>
        </w:rPr>
        <w:t>2.</w:t>
      </w:r>
      <w:r w:rsidRPr="00B35732">
        <w:rPr>
          <w:i/>
          <w:kern w:val="28"/>
          <w:szCs w:val="56"/>
          <w:lang w:eastAsia="es-MX"/>
        </w:rPr>
        <w:t xml:space="preserve"> </w:t>
      </w:r>
      <w:r w:rsidRPr="00B35732">
        <w:rPr>
          <w:b/>
          <w:bCs/>
          <w:i/>
          <w:kern w:val="28"/>
          <w:szCs w:val="56"/>
          <w:lang w:eastAsia="es-MX"/>
        </w:rPr>
        <w:t>Objetivo</w:t>
      </w:r>
    </w:p>
    <w:p w14:paraId="4AB64B43" w14:textId="77777777" w:rsidR="006A06CD" w:rsidRPr="00B35732" w:rsidRDefault="006A06CD" w:rsidP="00CC7286">
      <w:pPr>
        <w:spacing w:line="240" w:lineRule="auto"/>
        <w:ind w:left="567" w:right="567"/>
        <w:contextualSpacing/>
        <w:rPr>
          <w:b/>
          <w:bCs/>
          <w:i/>
          <w:kern w:val="28"/>
          <w:szCs w:val="56"/>
          <w:lang w:eastAsia="es-MX"/>
        </w:rPr>
      </w:pPr>
      <w:r w:rsidRPr="00B35732">
        <w:rPr>
          <w:b/>
          <w:bCs/>
          <w:i/>
          <w:kern w:val="28"/>
          <w:szCs w:val="56"/>
          <w:lang w:eastAsia="es-MX"/>
        </w:rPr>
        <w:t>Proporcionar a las áreas de recepción y despacho de correspondencia de las unidades orgánicas del Poder Ejecutivo, un instrumento técnico que les permita homogeneizar y eficientar los servicios de correspondencia, a fin de agilizar la comunicación formal así como coadyuvar a la oportuna toma de decisiones por parte de los servidores públicos.</w:t>
      </w:r>
    </w:p>
    <w:p w14:paraId="4E722E31" w14:textId="77777777" w:rsidR="006A06CD" w:rsidRPr="00B35732" w:rsidRDefault="006A06CD" w:rsidP="00CC7286">
      <w:pPr>
        <w:spacing w:line="240" w:lineRule="auto"/>
        <w:ind w:left="567" w:right="567"/>
        <w:contextualSpacing/>
        <w:rPr>
          <w:b/>
          <w:bCs/>
          <w:i/>
          <w:kern w:val="28"/>
          <w:szCs w:val="56"/>
          <w:lang w:eastAsia="es-MX"/>
        </w:rPr>
      </w:pPr>
      <w:r w:rsidRPr="00B35732">
        <w:rPr>
          <w:b/>
          <w:bCs/>
          <w:i/>
          <w:kern w:val="28"/>
          <w:szCs w:val="56"/>
          <w:lang w:eastAsia="es-MX"/>
        </w:rPr>
        <w:t>Administración de documentos:</w:t>
      </w:r>
    </w:p>
    <w:p w14:paraId="0D62FA60" w14:textId="77777777" w:rsidR="006A06CD" w:rsidRPr="00B35732" w:rsidRDefault="006A06CD" w:rsidP="00CC7286">
      <w:pPr>
        <w:spacing w:line="240" w:lineRule="auto"/>
        <w:ind w:left="567" w:right="567"/>
        <w:contextualSpacing/>
        <w:rPr>
          <w:b/>
          <w:bCs/>
          <w:i/>
          <w:kern w:val="28"/>
          <w:szCs w:val="56"/>
          <w:lang w:eastAsia="es-MX"/>
        </w:rPr>
      </w:pPr>
      <w:r w:rsidRPr="00B35732">
        <w:rPr>
          <w:b/>
          <w:bCs/>
          <w:i/>
          <w:kern w:val="28"/>
          <w:szCs w:val="56"/>
          <w:lang w:eastAsia="es-MX"/>
        </w:rPr>
        <w:lastRenderedPageBreak/>
        <w:t>Conjunto de actividades vinculadas con la</w:t>
      </w:r>
      <w:r w:rsidRPr="00B35732">
        <w:rPr>
          <w:i/>
          <w:kern w:val="28"/>
          <w:szCs w:val="56"/>
          <w:lang w:eastAsia="es-MX"/>
        </w:rPr>
        <w:t> </w:t>
      </w:r>
      <w:r w:rsidRPr="00B35732">
        <w:rPr>
          <w:b/>
          <w:bCs/>
          <w:i/>
          <w:kern w:val="28"/>
          <w:szCs w:val="56"/>
          <w:lang w:eastAsia="es-MX"/>
        </w:rPr>
        <w:t>generación</w:t>
      </w:r>
      <w:r w:rsidRPr="00B35732">
        <w:rPr>
          <w:i/>
          <w:kern w:val="28"/>
          <w:szCs w:val="56"/>
          <w:lang w:eastAsia="es-MX"/>
        </w:rPr>
        <w:t>, adquisición, recepción, control, circulación, reproducción, organización, conservación, custodia, restauración, valoración, selección, eliminación, </w:t>
      </w:r>
      <w:r w:rsidRPr="00B35732">
        <w:rPr>
          <w:b/>
          <w:bCs/>
          <w:i/>
          <w:kern w:val="28"/>
          <w:szCs w:val="56"/>
          <w:lang w:eastAsia="es-MX"/>
        </w:rPr>
        <w:t>uso y divulgación de los documentos.</w:t>
      </w:r>
    </w:p>
    <w:p w14:paraId="292BEFEC" w14:textId="77777777" w:rsidR="006A06CD" w:rsidRPr="00B35732" w:rsidRDefault="006A06CD" w:rsidP="00CC7286">
      <w:pPr>
        <w:spacing w:line="240" w:lineRule="auto"/>
        <w:ind w:left="567" w:right="567"/>
        <w:contextualSpacing/>
        <w:rPr>
          <w:i/>
          <w:kern w:val="28"/>
          <w:szCs w:val="56"/>
          <w:lang w:eastAsia="es-MX"/>
        </w:rPr>
      </w:pPr>
      <w:r w:rsidRPr="00B35732">
        <w:rPr>
          <w:i/>
          <w:kern w:val="28"/>
          <w:szCs w:val="56"/>
          <w:lang w:eastAsia="es-MX"/>
        </w:rPr>
        <w:t>…</w:t>
      </w:r>
    </w:p>
    <w:p w14:paraId="159FE94F" w14:textId="77777777" w:rsidR="006A06CD" w:rsidRPr="00B35732" w:rsidRDefault="006A06CD" w:rsidP="00CC7286">
      <w:pPr>
        <w:spacing w:line="240" w:lineRule="auto"/>
        <w:ind w:left="567" w:right="567"/>
        <w:contextualSpacing/>
        <w:rPr>
          <w:b/>
          <w:bCs/>
          <w:i/>
          <w:kern w:val="28"/>
          <w:szCs w:val="56"/>
          <w:lang w:eastAsia="es-MX"/>
        </w:rPr>
      </w:pPr>
      <w:r w:rsidRPr="00B35732">
        <w:rPr>
          <w:b/>
          <w:bCs/>
          <w:i/>
          <w:kern w:val="28"/>
          <w:szCs w:val="56"/>
          <w:lang w:eastAsia="es-MX"/>
        </w:rPr>
        <w:t>Oficio:</w:t>
      </w:r>
    </w:p>
    <w:p w14:paraId="32C6347F" w14:textId="77777777" w:rsidR="006A06CD" w:rsidRPr="00B35732" w:rsidRDefault="006A06CD" w:rsidP="00CC7286">
      <w:pPr>
        <w:spacing w:line="240" w:lineRule="auto"/>
        <w:ind w:left="567" w:right="567"/>
        <w:contextualSpacing/>
        <w:rPr>
          <w:b/>
          <w:bCs/>
          <w:i/>
          <w:kern w:val="28"/>
          <w:szCs w:val="56"/>
          <w:lang w:eastAsia="es-MX"/>
        </w:rPr>
      </w:pPr>
      <w:r w:rsidRPr="00B35732">
        <w:rPr>
          <w:b/>
          <w:bCs/>
          <w:i/>
          <w:kern w:val="28"/>
          <w:szCs w:val="56"/>
          <w:lang w:eastAsia="es-MX"/>
        </w:rPr>
        <w:t>Comunicación formal que se utiliza para tratar asuntos de índole oficial. Su característica primordial es la sobriedad de su estilo. Es un documento que inicia una gestión, informa de un hecho relevante, regulariza una situación, transmite órdenes, lineamientos o instrucciones, o trata asuntos específicos relacionados con personas físicas o morales fuera del sector público. La información fluye en línea vertical ascendente o descendente y en forma horizontal.</w:t>
      </w:r>
    </w:p>
    <w:p w14:paraId="78D8B9D6" w14:textId="77777777" w:rsidR="006A06CD" w:rsidRPr="00B35732" w:rsidRDefault="006A06CD" w:rsidP="00CC7286">
      <w:pPr>
        <w:spacing w:line="240" w:lineRule="auto"/>
        <w:ind w:left="567" w:right="567"/>
        <w:contextualSpacing/>
        <w:rPr>
          <w:i/>
          <w:kern w:val="28"/>
          <w:szCs w:val="56"/>
          <w:lang w:eastAsia="es-MX"/>
        </w:rPr>
      </w:pPr>
      <w:r w:rsidRPr="00B35732">
        <w:rPr>
          <w:i/>
          <w:kern w:val="28"/>
          <w:szCs w:val="56"/>
          <w:lang w:eastAsia="es-MX"/>
        </w:rPr>
        <w:t>…</w:t>
      </w:r>
    </w:p>
    <w:p w14:paraId="2D5E2E72" w14:textId="77777777" w:rsidR="006A06CD" w:rsidRPr="00B35732" w:rsidRDefault="006A06CD" w:rsidP="00CC7286">
      <w:pPr>
        <w:spacing w:line="240" w:lineRule="auto"/>
        <w:ind w:left="567" w:right="567"/>
        <w:contextualSpacing/>
        <w:rPr>
          <w:i/>
          <w:kern w:val="28"/>
          <w:szCs w:val="56"/>
          <w:lang w:eastAsia="es-MX"/>
        </w:rPr>
      </w:pPr>
      <w:r w:rsidRPr="00B35732">
        <w:rPr>
          <w:i/>
          <w:kern w:val="28"/>
          <w:szCs w:val="56"/>
          <w:lang w:eastAsia="es-MX"/>
        </w:rPr>
        <w:t> Producción de documentos:</w:t>
      </w:r>
    </w:p>
    <w:p w14:paraId="11288DE1" w14:textId="77777777" w:rsidR="006A06CD" w:rsidRPr="00B35732" w:rsidRDefault="006A06CD" w:rsidP="00CC7286">
      <w:pPr>
        <w:spacing w:line="240" w:lineRule="auto"/>
        <w:ind w:left="567" w:right="567"/>
        <w:contextualSpacing/>
        <w:rPr>
          <w:i/>
          <w:kern w:val="28"/>
          <w:szCs w:val="56"/>
          <w:lang w:eastAsia="es-MX"/>
        </w:rPr>
      </w:pPr>
      <w:r w:rsidRPr="00B35732">
        <w:rPr>
          <w:i/>
          <w:kern w:val="28"/>
          <w:szCs w:val="56"/>
          <w:lang w:eastAsia="es-MX"/>
        </w:rPr>
        <w:t>Es la generación de los documentos con el objeto de cumplir un trámite determinado, en el desarrollo de toda gestión, a partir del razonamiento de que su producción es necesaria y útil.  </w:t>
      </w:r>
    </w:p>
    <w:p w14:paraId="5BD7A8A2" w14:textId="77777777" w:rsidR="006A06CD" w:rsidRPr="00B35732" w:rsidRDefault="006A06CD" w:rsidP="00CC7286">
      <w:pPr>
        <w:spacing w:line="240" w:lineRule="auto"/>
        <w:ind w:left="567" w:right="567"/>
        <w:contextualSpacing/>
        <w:rPr>
          <w:i/>
          <w:kern w:val="28"/>
          <w:szCs w:val="56"/>
          <w:lang w:eastAsia="es-MX"/>
        </w:rPr>
      </w:pPr>
      <w:r w:rsidRPr="00B35732">
        <w:rPr>
          <w:i/>
          <w:kern w:val="28"/>
          <w:szCs w:val="56"/>
          <w:lang w:eastAsia="es-MX"/>
        </w:rPr>
        <w:t>4.2 Las disposiciones establecidas en los presentes lineamientos son de </w:t>
      </w:r>
      <w:r w:rsidRPr="00B35732">
        <w:rPr>
          <w:i/>
          <w:kern w:val="28"/>
          <w:szCs w:val="56"/>
          <w:u w:val="single"/>
          <w:lang w:eastAsia="es-MX"/>
        </w:rPr>
        <w:t>observancia obligatoria para las unidades orgánicas del Poder Ejecutivo Estatal</w:t>
      </w:r>
      <w:r w:rsidRPr="00B35732">
        <w:rPr>
          <w:i/>
          <w:kern w:val="28"/>
          <w:szCs w:val="56"/>
          <w:lang w:eastAsia="es-MX"/>
        </w:rPr>
        <w:t>…”</w:t>
      </w:r>
    </w:p>
    <w:p w14:paraId="7B6D3C05" w14:textId="77777777" w:rsidR="006A06CD" w:rsidRPr="00B35732" w:rsidRDefault="006A06CD" w:rsidP="00CC7286">
      <w:pPr>
        <w:rPr>
          <w:rFonts w:eastAsia="Palatino Linotype"/>
          <w:lang w:eastAsia="es-MX"/>
        </w:rPr>
      </w:pPr>
    </w:p>
    <w:p w14:paraId="28A47E9C" w14:textId="77777777" w:rsidR="006A06CD" w:rsidRPr="00B35732" w:rsidRDefault="006A06CD" w:rsidP="00CC7286">
      <w:pPr>
        <w:spacing w:before="240" w:after="240"/>
        <w:rPr>
          <w:rFonts w:eastAsia="Palatino Linotype"/>
          <w:lang w:eastAsia="es-MX"/>
        </w:rPr>
      </w:pPr>
      <w:r w:rsidRPr="00B35732">
        <w:rPr>
          <w:rFonts w:eastAsia="Palatino Linotype"/>
          <w:lang w:eastAsia="es-MX"/>
        </w:rPr>
        <w:t xml:space="preserve">De lo anteriormente vertido, se tiene que un oficio es el medio de </w:t>
      </w:r>
      <w:r w:rsidRPr="00B35732">
        <w:rPr>
          <w:rFonts w:eastAsia="Palatino Linotype" w:cs="Palatino Linotype"/>
          <w:szCs w:val="22"/>
          <w:lang w:eastAsia="es-MX"/>
        </w:rPr>
        <w:t>comunicación</w:t>
      </w:r>
      <w:r w:rsidRPr="00B35732">
        <w:rPr>
          <w:rFonts w:eastAsia="Palatino Linotype"/>
          <w:lang w:eastAsia="es-MX"/>
        </w:rPr>
        <w:t xml:space="preserve"> formal que inicia una gestión, informa de un hecho relevante, regulariza una situación, transmite órdenes, lineamientos o instrucciones, o trata asuntos específicos </w:t>
      </w:r>
      <w:r w:rsidRPr="00B35732">
        <w:rPr>
          <w:rFonts w:eastAsiaTheme="minorHAnsi" w:cs="Tahoma"/>
          <w:bCs/>
          <w:iCs/>
          <w:szCs w:val="22"/>
          <w:lang w:eastAsia="en-US"/>
        </w:rPr>
        <w:t>relacionados</w:t>
      </w:r>
      <w:r w:rsidRPr="00B35732">
        <w:rPr>
          <w:rFonts w:eastAsia="Palatino Linotype"/>
          <w:lang w:eastAsia="es-MX"/>
        </w:rPr>
        <w:t xml:space="preserve"> con personas físicas o morales en el marco de sus actuaciones.</w:t>
      </w:r>
    </w:p>
    <w:p w14:paraId="4999E4A3" w14:textId="77777777" w:rsidR="006A06CD" w:rsidRPr="00B35732" w:rsidRDefault="006A06CD" w:rsidP="00CC7286">
      <w:pPr>
        <w:spacing w:before="240" w:after="240"/>
        <w:rPr>
          <w:rFonts w:eastAsia="Palatino Linotype"/>
          <w:iCs/>
          <w:lang w:eastAsia="es-MX"/>
        </w:rPr>
      </w:pPr>
      <w:r w:rsidRPr="00B35732">
        <w:rPr>
          <w:rFonts w:eastAsia="Palatino Linotype"/>
          <w:iCs/>
          <w:lang w:eastAsia="es-MX"/>
        </w:rPr>
        <w:t xml:space="preserve">Por lo que respecta a nuestra materia, se tiene que la Ley de </w:t>
      </w:r>
      <w:r w:rsidRPr="00B35732">
        <w:rPr>
          <w:rFonts w:eastAsia="Palatino Linotype" w:cs="Palatino Linotype"/>
          <w:szCs w:val="22"/>
          <w:lang w:eastAsia="es-MX"/>
        </w:rPr>
        <w:t>Transparencia</w:t>
      </w:r>
      <w:r w:rsidRPr="00B35732">
        <w:rPr>
          <w:rFonts w:eastAsia="Palatino Linotype"/>
          <w:iCs/>
          <w:lang w:eastAsia="es-MX"/>
        </w:rPr>
        <w:t xml:space="preserve"> y Acceso a la Información Pública del Estado de México y Municipios, prevé en su artículo 3, fracción XI, lo siguiente: </w:t>
      </w:r>
    </w:p>
    <w:p w14:paraId="2FE5235F" w14:textId="77777777" w:rsidR="006A06CD" w:rsidRPr="00B35732" w:rsidRDefault="006A06CD" w:rsidP="00CC7286">
      <w:pPr>
        <w:ind w:right="-312"/>
        <w:rPr>
          <w:rFonts w:eastAsia="Palatino Linotype" w:cs="Palatino Linotype"/>
          <w:iCs/>
          <w:szCs w:val="22"/>
          <w:lang w:eastAsia="es-MX"/>
        </w:rPr>
      </w:pPr>
    </w:p>
    <w:p w14:paraId="048ACB68" w14:textId="77777777" w:rsidR="006A06CD" w:rsidRPr="00B35732" w:rsidRDefault="006A06CD" w:rsidP="00CC7286">
      <w:pPr>
        <w:spacing w:line="240" w:lineRule="auto"/>
        <w:ind w:left="567" w:right="567"/>
        <w:rPr>
          <w:rFonts w:eastAsia="Palatino Linotype" w:cs="Palatino Linotype"/>
          <w:i/>
          <w:szCs w:val="22"/>
          <w:lang w:eastAsia="es-MX"/>
        </w:rPr>
      </w:pPr>
      <w:r w:rsidRPr="00B35732">
        <w:rPr>
          <w:rFonts w:eastAsia="Palatino Linotype" w:cs="Palatino Linotype"/>
          <w:b/>
          <w:i/>
          <w:szCs w:val="22"/>
          <w:lang w:eastAsia="es-MX"/>
        </w:rPr>
        <w:t>Artículo 3.</w:t>
      </w:r>
      <w:r w:rsidRPr="00B35732">
        <w:rPr>
          <w:rFonts w:eastAsia="Palatino Linotype" w:cs="Palatino Linotype"/>
          <w:i/>
          <w:szCs w:val="22"/>
          <w:lang w:eastAsia="es-MX"/>
        </w:rPr>
        <w:t xml:space="preserve"> Para los efectos de la presente Ley se entenderá por:</w:t>
      </w:r>
    </w:p>
    <w:p w14:paraId="5BAA0ABA" w14:textId="77777777" w:rsidR="006A06CD" w:rsidRPr="00B35732" w:rsidRDefault="006A06CD" w:rsidP="00CC7286">
      <w:pPr>
        <w:spacing w:line="240" w:lineRule="auto"/>
        <w:ind w:left="567" w:right="567"/>
        <w:rPr>
          <w:rFonts w:eastAsia="Palatino Linotype" w:cs="Palatino Linotype"/>
          <w:i/>
          <w:szCs w:val="22"/>
          <w:lang w:eastAsia="es-MX"/>
        </w:rPr>
      </w:pPr>
      <w:r w:rsidRPr="00B35732">
        <w:rPr>
          <w:rFonts w:eastAsia="Palatino Linotype" w:cs="Palatino Linotype"/>
          <w:i/>
          <w:szCs w:val="22"/>
          <w:lang w:eastAsia="es-MX"/>
        </w:rPr>
        <w:t>…</w:t>
      </w:r>
    </w:p>
    <w:p w14:paraId="256A7962" w14:textId="77777777" w:rsidR="006A06CD" w:rsidRPr="00B35732" w:rsidRDefault="006A06CD" w:rsidP="00CC7286">
      <w:pPr>
        <w:spacing w:line="240" w:lineRule="auto"/>
        <w:ind w:left="567" w:right="567"/>
        <w:rPr>
          <w:rFonts w:eastAsia="Palatino Linotype" w:cs="Palatino Linotype"/>
          <w:b/>
          <w:i/>
          <w:szCs w:val="22"/>
          <w:u w:val="single"/>
          <w:lang w:eastAsia="es-MX"/>
        </w:rPr>
      </w:pPr>
      <w:r w:rsidRPr="00B35732">
        <w:rPr>
          <w:rFonts w:eastAsia="Palatino Linotype" w:cs="Palatino Linotype"/>
          <w:i/>
          <w:szCs w:val="22"/>
          <w:lang w:eastAsia="es-MX"/>
        </w:rPr>
        <w:t xml:space="preserve">XI. </w:t>
      </w:r>
      <w:r w:rsidRPr="00B35732">
        <w:rPr>
          <w:rFonts w:eastAsia="Palatino Linotype" w:cs="Palatino Linotype"/>
          <w:b/>
          <w:i/>
          <w:szCs w:val="22"/>
          <w:lang w:eastAsia="es-MX"/>
        </w:rPr>
        <w:t>Documento:</w:t>
      </w:r>
      <w:r w:rsidRPr="00B35732">
        <w:rPr>
          <w:rFonts w:eastAsia="Palatino Linotype" w:cs="Palatino Linotype"/>
          <w:i/>
          <w:szCs w:val="22"/>
          <w:lang w:eastAsia="es-MX"/>
        </w:rPr>
        <w:t xml:space="preserve"> Los expedientes, reportes, estudios, actas, resoluciones, oficios, correspondencia, acuerdos, directivas, directrices, circulares, contratos, convenios, instructivos, notas, memorandos, estadísticas o bien, cualquier otro registro que documente </w:t>
      </w:r>
      <w:r w:rsidRPr="00B35732">
        <w:rPr>
          <w:rFonts w:eastAsia="Palatino Linotype" w:cs="Palatino Linotype"/>
          <w:i/>
          <w:szCs w:val="22"/>
          <w:lang w:eastAsia="es-MX"/>
        </w:rPr>
        <w:lastRenderedPageBreak/>
        <w:t>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0BF6917" w14:textId="77777777" w:rsidR="006A06CD" w:rsidRPr="00B35732" w:rsidRDefault="006A06CD" w:rsidP="00CC7286">
      <w:pPr>
        <w:spacing w:line="240" w:lineRule="auto"/>
        <w:ind w:left="567" w:right="567"/>
        <w:rPr>
          <w:rFonts w:eastAsia="Palatino Linotype" w:cs="Palatino Linotype"/>
          <w:i/>
          <w:szCs w:val="22"/>
          <w:lang w:eastAsia="es-MX"/>
        </w:rPr>
      </w:pPr>
      <w:r w:rsidRPr="00B35732">
        <w:rPr>
          <w:rFonts w:eastAsia="Palatino Linotype" w:cs="Palatino Linotype"/>
          <w:i/>
          <w:szCs w:val="22"/>
          <w:lang w:eastAsia="es-MX"/>
        </w:rPr>
        <w:t>…</w:t>
      </w:r>
    </w:p>
    <w:p w14:paraId="4A2F4B95" w14:textId="77777777" w:rsidR="006A06CD" w:rsidRPr="00B35732" w:rsidRDefault="006A06CD" w:rsidP="00CC7286">
      <w:pPr>
        <w:ind w:right="-312"/>
        <w:rPr>
          <w:rFonts w:eastAsia="Palatino Linotype" w:cs="Palatino Linotype"/>
          <w:i/>
          <w:iCs/>
          <w:szCs w:val="22"/>
          <w:lang w:eastAsia="es-MX"/>
        </w:rPr>
      </w:pPr>
    </w:p>
    <w:p w14:paraId="13735DC3" w14:textId="77777777" w:rsidR="006A06CD" w:rsidRPr="00B35732" w:rsidRDefault="006A06CD" w:rsidP="00CC7286">
      <w:pPr>
        <w:spacing w:before="240" w:after="240"/>
        <w:rPr>
          <w:rFonts w:eastAsia="Palatino Linotype" w:cs="Palatino Linotype"/>
          <w:b/>
          <w:iCs/>
          <w:szCs w:val="22"/>
          <w:lang w:eastAsia="es-MX"/>
        </w:rPr>
      </w:pPr>
      <w:r w:rsidRPr="00B35732">
        <w:rPr>
          <w:rFonts w:eastAsia="Palatino Linotype" w:cs="Palatino Linotype"/>
          <w:b/>
          <w:iCs/>
          <w:szCs w:val="22"/>
          <w:lang w:eastAsia="es-MX"/>
        </w:rPr>
        <w:t xml:space="preserve">Es así, que se entiende como documento a cualquier registro que precise el ejercicio de las facultades, funciones y competencias de los sujetos obligados, sus servidores públicos e integrantes, sin importar su fuente o fecha de elaboración, entre los cuales se encuentran los “oficios”. </w:t>
      </w:r>
    </w:p>
    <w:p w14:paraId="4BE0BD7B" w14:textId="77777777" w:rsidR="006A06CD" w:rsidRPr="00B35732" w:rsidRDefault="006A06CD" w:rsidP="00CC7286">
      <w:pPr>
        <w:rPr>
          <w:rFonts w:cs="Arial"/>
        </w:rPr>
      </w:pPr>
    </w:p>
    <w:p w14:paraId="1F89CC8E" w14:textId="0CA39D93" w:rsidR="006A06CD" w:rsidRPr="00B35732" w:rsidRDefault="006A06CD" w:rsidP="00CC7286">
      <w:r w:rsidRPr="00B35732">
        <w:t>Una vez precisado lo anterior, es necesario destacar que la respuesta fue emitida por el servidor público adscrito a la Primera Regiduría, área a la que se le solicitó la información y que reconoció haberla generado.</w:t>
      </w:r>
    </w:p>
    <w:p w14:paraId="7BE0BE8E" w14:textId="77777777" w:rsidR="006A06CD" w:rsidRPr="00B35732" w:rsidRDefault="006A06CD" w:rsidP="00CC7286">
      <w:pPr>
        <w:rPr>
          <w:rFonts w:cs="Tahoma"/>
          <w:szCs w:val="22"/>
        </w:rPr>
      </w:pPr>
    </w:p>
    <w:p w14:paraId="0479344A" w14:textId="77777777" w:rsidR="006A06CD" w:rsidRPr="00B35732" w:rsidRDefault="006A06CD" w:rsidP="00CC7286">
      <w:pPr>
        <w:rPr>
          <w:rFonts w:cs="Tahoma"/>
          <w:szCs w:val="22"/>
        </w:rPr>
      </w:pPr>
      <w:r w:rsidRPr="00B35732">
        <w:rPr>
          <w:rFonts w:cs="Tahoma"/>
          <w:szCs w:val="22"/>
        </w:rPr>
        <w:t>En ese sentido, se tiene que se pronunció la unidad administrativa competente, cumpliéndose con el procedimiento establecido por el artículo 162 de la Ley de Transparencia y Acceso a la Información Pública del Estado de México y Municipios, ya que se turnó la solicitud al área que puede conocer de la información requerida de conformidad con la fracción XXXIX del artículo tercero de la legislación local vigente en materia de transparencia:</w:t>
      </w:r>
    </w:p>
    <w:p w14:paraId="38D7A00C" w14:textId="77777777" w:rsidR="006A06CD" w:rsidRPr="00B35732" w:rsidRDefault="006A06CD" w:rsidP="00CC7286">
      <w:pPr>
        <w:pStyle w:val="Puesto"/>
      </w:pPr>
    </w:p>
    <w:p w14:paraId="4323C9CC" w14:textId="77777777" w:rsidR="006A06CD" w:rsidRPr="00B35732" w:rsidRDefault="006A06CD" w:rsidP="00CC7286">
      <w:pPr>
        <w:pStyle w:val="Puesto"/>
      </w:pPr>
      <w:r w:rsidRPr="00B35732">
        <w:rPr>
          <w:b/>
          <w:bCs/>
        </w:rPr>
        <w:t>XXXIX. Servidor público habilitado:</w:t>
      </w:r>
      <w:r w:rsidRPr="00B35732">
        <w:t xml:space="preserve">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4F015DFE" w14:textId="77777777" w:rsidR="006A06CD" w:rsidRPr="00B35732" w:rsidRDefault="006A06CD" w:rsidP="00CC7286">
      <w:pPr>
        <w:pStyle w:val="Puesto"/>
      </w:pPr>
    </w:p>
    <w:p w14:paraId="027FACAC" w14:textId="77777777" w:rsidR="006A06CD" w:rsidRPr="00B35732" w:rsidRDefault="006A06CD" w:rsidP="00CC7286">
      <w:r w:rsidRPr="00B35732">
        <w:lastRenderedPageBreak/>
        <w:t xml:space="preserve">En este orden de ideas, se advierte que efectivamente la Unidad de Transparencia cumplió con lo expresado en el artículo 162 de la Ley de Transparencia y Acceso a la Información Pública del Estado de México y Municipios, el cual menciona lo siguiente: </w:t>
      </w:r>
    </w:p>
    <w:p w14:paraId="770FFC53" w14:textId="77777777" w:rsidR="006A06CD" w:rsidRPr="00B35732" w:rsidRDefault="006A06CD" w:rsidP="00CC7286"/>
    <w:p w14:paraId="3B50050D" w14:textId="77777777" w:rsidR="006A06CD" w:rsidRPr="00B35732" w:rsidRDefault="006A06CD" w:rsidP="00CC7286">
      <w:pPr>
        <w:pStyle w:val="Puesto"/>
      </w:pPr>
      <w:r w:rsidRPr="00B35732">
        <w:t>“</w:t>
      </w:r>
      <w:r w:rsidRPr="00B35732">
        <w:rPr>
          <w:b/>
          <w:bCs/>
        </w:rPr>
        <w:t>Artículo 162. Las unidades de transparencia deberán garantizar que las solicitudes se turnen a todas las Áreas competentes</w:t>
      </w:r>
      <w:r w:rsidRPr="00B35732">
        <w:t xml:space="preserve"> que cuenten con la información o deban tenerla de acuerdo a sus facultades, competencias y funciones, con el objeto de que realicen una búsqueda exhaustiva y razonable de la información solicitada.”</w:t>
      </w:r>
    </w:p>
    <w:p w14:paraId="07DE88BC" w14:textId="77777777" w:rsidR="006A06CD" w:rsidRPr="00B35732" w:rsidRDefault="006A06CD" w:rsidP="00CC7286"/>
    <w:p w14:paraId="0A808BD9" w14:textId="22808287" w:rsidR="00F96162" w:rsidRPr="00B35732" w:rsidRDefault="006A06CD" w:rsidP="00CC7286">
      <w:r w:rsidRPr="00B35732">
        <w:t>Ahora bien, del análisis realizado a la respuesta otorgada por el servidor público habilitado competente se advierte que no atendió el derecho de acceso a la información, pues omitió hacer entrega de l</w:t>
      </w:r>
      <w:r w:rsidR="00F96162" w:rsidRPr="00B35732">
        <w:t>os oficios firmados enlistados en sus respuestas.</w:t>
      </w:r>
    </w:p>
    <w:p w14:paraId="378DF0CE" w14:textId="32B5FB90" w:rsidR="00F96162" w:rsidRPr="00B35732" w:rsidRDefault="00F96162" w:rsidP="00CC7286">
      <w:r w:rsidRPr="00B35732">
        <w:t xml:space="preserve"> </w:t>
      </w:r>
    </w:p>
    <w:p w14:paraId="2F43D2EA" w14:textId="77777777" w:rsidR="003F45F7" w:rsidRPr="00B35732" w:rsidRDefault="00F96162" w:rsidP="00CC7286">
      <w:r w:rsidRPr="00B35732">
        <w:t xml:space="preserve">Por otro lado, es importante referir que </w:t>
      </w:r>
      <w:r w:rsidRPr="00B35732">
        <w:rPr>
          <w:b/>
        </w:rPr>
        <w:t xml:space="preserve">EL SUJETO OBLIGADO </w:t>
      </w:r>
      <w:r w:rsidRPr="00B35732">
        <w:t>mediante Informe Justificado pretendió cambiar la modalidad de entrega de la información</w:t>
      </w:r>
      <w:r w:rsidR="00242ECD" w:rsidRPr="00B35732">
        <w:t xml:space="preserve">, motivo por el cual </w:t>
      </w:r>
      <w:r w:rsidR="00242ECD" w:rsidRPr="00B35732">
        <w:rPr>
          <w:rFonts w:cs="Arial"/>
        </w:rPr>
        <w:t>se considera necesario</w:t>
      </w:r>
      <w:r w:rsidR="003F45F7" w:rsidRPr="00B35732">
        <w:rPr>
          <w:rFonts w:cs="Arial"/>
        </w:rPr>
        <w:t xml:space="preserve"> traer a contexto l</w:t>
      </w:r>
      <w:r w:rsidR="003F45F7" w:rsidRPr="00B35732">
        <w:t>os Lineamientos para la Operación del Sistema de Acceso a la Información Mexiquense (</w:t>
      </w:r>
      <w:r w:rsidR="003F45F7" w:rsidRPr="00B35732">
        <w:rPr>
          <w:b/>
        </w:rPr>
        <w:t>SAIMEX</w:t>
      </w:r>
      <w:r w:rsidR="003F45F7" w:rsidRPr="00B35732">
        <w:t>) y Oposición de Datos Personales del Estado de México (</w:t>
      </w:r>
      <w:r w:rsidR="003F45F7" w:rsidRPr="00B35732">
        <w:rPr>
          <w:b/>
        </w:rPr>
        <w:t>SARCOEM</w:t>
      </w:r>
      <w:r w:rsidR="003F45F7" w:rsidRPr="00B35732">
        <w:t>)</w:t>
      </w:r>
      <w:r w:rsidR="003F45F7" w:rsidRPr="00B35732">
        <w:rPr>
          <w:rStyle w:val="Refdenotaalpie"/>
        </w:rPr>
        <w:footnoteReference w:id="1"/>
      </w:r>
      <w:r w:rsidR="003F45F7" w:rsidRPr="00B35732">
        <w:t xml:space="preserve">, establece que los para el caso en que los Sujetos Obligados se vean impedidos para otorgar la información a través del sistema electrónico deberá fundar y motivar la imposibilidad y ofrecer al particular diversas modalidades de entrega de la información así mismo establece que la carga del servidor es de un peso total de quinientos megabytes conforme lo siguiente: </w:t>
      </w:r>
    </w:p>
    <w:p w14:paraId="74701C71" w14:textId="77777777" w:rsidR="003F45F7" w:rsidRPr="00B35732" w:rsidRDefault="003F45F7" w:rsidP="00CC7286"/>
    <w:p w14:paraId="4D26015E" w14:textId="78D518F2" w:rsidR="003F45F7" w:rsidRPr="00B35732" w:rsidRDefault="003F45F7" w:rsidP="00CC7286">
      <w:pPr>
        <w:pStyle w:val="Puesto"/>
      </w:pPr>
      <w:r w:rsidRPr="00B35732">
        <w:rPr>
          <w:b/>
        </w:rPr>
        <w:t>VIGÉSIMO CUARTO</w:t>
      </w:r>
      <w:r w:rsidRPr="00B35732">
        <w:t xml:space="preserve">. Los sujetos obligados deberán entregar la información solicitada o permitir su acceso, en la modalidad que señale el solicitante. Los sistemas electrónicos cuentan con una capacidad máxima de carga dentro del servidor con un peso total de quinientos megabytes o su equivalente a ocho mil fojas aproximadamente, por lo que, </w:t>
      </w:r>
      <w:r w:rsidRPr="00B35732">
        <w:lastRenderedPageBreak/>
        <w:t>cuando la información no pueda entregarse o enviarse a través de dichos sistemas en la modalidad solicitada, el sujeto obligado deberá ofrecer otra u otras modalidades de entrega.</w:t>
      </w:r>
    </w:p>
    <w:p w14:paraId="222AE411" w14:textId="77777777" w:rsidR="003F45F7" w:rsidRPr="00B35732" w:rsidRDefault="003F45F7" w:rsidP="00CC7286"/>
    <w:p w14:paraId="42A3F9E7" w14:textId="2E289850" w:rsidR="00D57F5A" w:rsidRPr="00B35732" w:rsidRDefault="00D57F5A" w:rsidP="00CC7286">
      <w:pPr>
        <w:rPr>
          <w:rFonts w:cs="Arial"/>
          <w:lang w:val="es-ES"/>
        </w:rPr>
      </w:pPr>
      <w:r w:rsidRPr="00B35732">
        <w:t xml:space="preserve">Es así, que derivado que </w:t>
      </w:r>
      <w:r w:rsidRPr="00B35732">
        <w:rPr>
          <w:b/>
        </w:rPr>
        <w:t>EL SUJETO OBLIGADO</w:t>
      </w:r>
      <w:r w:rsidRPr="00B35732">
        <w:t xml:space="preserve"> en respuesta manifestó contar con la información requerida por </w:t>
      </w:r>
      <w:r w:rsidRPr="00B35732">
        <w:rPr>
          <w:b/>
        </w:rPr>
        <w:t xml:space="preserve">LA PARTE RECURRENTE </w:t>
      </w:r>
      <w:r w:rsidRPr="00B35732">
        <w:t xml:space="preserve">al proporcionar listado de los oficiso generados en cada mes, que contiene el número de oficio, fecha, destinatario, asunto y observaciones, los cuales conforme la manifestación realizada por el Primer Regidor corresponden a </w:t>
      </w:r>
      <w:r w:rsidRPr="00B35732">
        <w:rPr>
          <w:rFonts w:eastAsia="MS Mincho" w:cs="Arial"/>
        </w:rPr>
        <w:t>un aproximado de 140 oficios firmados.</w:t>
      </w:r>
      <w:r w:rsidRPr="00B35732">
        <w:rPr>
          <w:rFonts w:cs="Arial"/>
          <w:lang w:val="es-ES"/>
        </w:rPr>
        <w:t xml:space="preserve"> </w:t>
      </w:r>
    </w:p>
    <w:p w14:paraId="310C5EF7" w14:textId="77777777" w:rsidR="00D57F5A" w:rsidRPr="00B35732" w:rsidRDefault="00D57F5A" w:rsidP="00CC7286"/>
    <w:p w14:paraId="5B0346C8" w14:textId="77777777" w:rsidR="003F45F7" w:rsidRPr="00B35732" w:rsidRDefault="00242ECD" w:rsidP="00CC7286">
      <w:pPr>
        <w:rPr>
          <w:rFonts w:eastAsia="Calibri"/>
          <w:lang w:eastAsia="es-ES_tradnl"/>
        </w:rPr>
      </w:pPr>
      <w:r w:rsidRPr="00B35732">
        <w:rPr>
          <w:lang w:eastAsia="es-MX"/>
        </w:rPr>
        <w:t xml:space="preserve">Es así, que derivado que </w:t>
      </w:r>
      <w:r w:rsidR="00D343E8" w:rsidRPr="00B35732">
        <w:rPr>
          <w:lang w:eastAsia="es-MX"/>
        </w:rPr>
        <w:t xml:space="preserve">lo solicitado por </w:t>
      </w:r>
      <w:r w:rsidR="00D343E8" w:rsidRPr="00B35732">
        <w:rPr>
          <w:b/>
          <w:lang w:eastAsia="es-MX"/>
        </w:rPr>
        <w:t xml:space="preserve">LA PARTE RECURRENTE </w:t>
      </w:r>
      <w:r w:rsidRPr="00B35732">
        <w:rPr>
          <w:rFonts w:cs="Arial"/>
          <w:b/>
          <w:bCs/>
          <w:lang w:val="es-ES"/>
        </w:rPr>
        <w:t xml:space="preserve">no </w:t>
      </w:r>
      <w:r w:rsidR="00D343E8" w:rsidRPr="00B35732">
        <w:rPr>
          <w:rFonts w:cs="Arial"/>
          <w:b/>
          <w:bCs/>
          <w:lang w:val="es-ES"/>
        </w:rPr>
        <w:t>excede</w:t>
      </w:r>
      <w:r w:rsidRPr="00B35732">
        <w:rPr>
          <w:rFonts w:cs="Arial"/>
          <w:b/>
          <w:bCs/>
          <w:lang w:val="es-ES"/>
        </w:rPr>
        <w:t xml:space="preserve"> de la capacidad para ser cargada en la plataforma </w:t>
      </w:r>
      <w:r w:rsidRPr="00B35732">
        <w:rPr>
          <w:rFonts w:cs="Arial"/>
          <w:b/>
          <w:lang w:val="es-ES"/>
        </w:rPr>
        <w:t>SAIMEX</w:t>
      </w:r>
      <w:r w:rsidR="00D343E8" w:rsidRPr="00B35732">
        <w:rPr>
          <w:rFonts w:cs="Arial"/>
          <w:b/>
          <w:lang w:val="es-ES"/>
        </w:rPr>
        <w:t xml:space="preserve">, </w:t>
      </w:r>
      <w:r w:rsidRPr="00B35732">
        <w:rPr>
          <w:rFonts w:cs="Arial"/>
        </w:rPr>
        <w:t xml:space="preserve">este Órgano Garante determina ordenar al </w:t>
      </w:r>
      <w:r w:rsidRPr="00B35732">
        <w:rPr>
          <w:rFonts w:cs="Arial"/>
          <w:b/>
        </w:rPr>
        <w:t xml:space="preserve">SUJETO OBLIGADO </w:t>
      </w:r>
      <w:r w:rsidR="00D343E8" w:rsidRPr="00B35732">
        <w:rPr>
          <w:rFonts w:cs="Arial"/>
        </w:rPr>
        <w:t xml:space="preserve">haga entrega de ser procedente en </w:t>
      </w:r>
      <w:r w:rsidRPr="00B35732">
        <w:rPr>
          <w:rFonts w:cs="Arial"/>
          <w:b/>
        </w:rPr>
        <w:t xml:space="preserve">versión pública </w:t>
      </w:r>
      <w:r w:rsidR="00D343E8" w:rsidRPr="00B35732">
        <w:rPr>
          <w:rFonts w:cs="Arial"/>
        </w:rPr>
        <w:t>los oficios firmados por el Primer regidor en los meses de enero, febrero, marzo y abril de 2025</w:t>
      </w:r>
      <w:r w:rsidRPr="00B35732">
        <w:rPr>
          <w:rFonts w:eastAsia="Calibri"/>
          <w:lang w:eastAsia="es-ES_tradnl"/>
        </w:rPr>
        <w:t>.</w:t>
      </w:r>
    </w:p>
    <w:p w14:paraId="70C66689" w14:textId="77777777" w:rsidR="003F45F7" w:rsidRPr="00B35732" w:rsidRDefault="003F45F7" w:rsidP="00CC7286">
      <w:pPr>
        <w:rPr>
          <w:rFonts w:eastAsia="Calibri"/>
          <w:lang w:eastAsia="es-ES_tradnl"/>
        </w:rPr>
      </w:pPr>
    </w:p>
    <w:p w14:paraId="054D8CEE" w14:textId="32C8DDF7" w:rsidR="003F45F7" w:rsidRPr="00B35732" w:rsidRDefault="003F45F7" w:rsidP="00CC7286">
      <w:pPr>
        <w:rPr>
          <w:rFonts w:eastAsia="Palatino Linotype" w:cs="Palatino Linotype"/>
          <w:iCs/>
          <w:szCs w:val="22"/>
          <w:lang w:eastAsia="es-MX"/>
        </w:rPr>
      </w:pPr>
      <w:r w:rsidRPr="00B35732">
        <w:rPr>
          <w:rFonts w:eastAsia="Calibri"/>
          <w:lang w:eastAsia="es-ES_tradnl"/>
        </w:rPr>
        <w:t xml:space="preserve">Ahora bien, no se omite comentar que del listado proporcionado por </w:t>
      </w:r>
      <w:r w:rsidRPr="00B35732">
        <w:rPr>
          <w:rFonts w:eastAsia="Calibri"/>
          <w:b/>
          <w:lang w:eastAsia="es-ES_tradnl"/>
        </w:rPr>
        <w:t xml:space="preserve">EL SUJETO OBLIGADO </w:t>
      </w:r>
      <w:r w:rsidRPr="00B35732">
        <w:rPr>
          <w:rFonts w:eastAsia="Calibri"/>
          <w:lang w:eastAsia="es-ES_tradnl"/>
        </w:rPr>
        <w:t xml:space="preserve">se advierte que no se encuentra el oficio </w:t>
      </w:r>
      <w:r w:rsidR="00242ECD" w:rsidRPr="00B35732">
        <w:rPr>
          <w:rFonts w:eastAsia="Calibri"/>
          <w:lang w:eastAsia="es-ES_tradnl"/>
        </w:rPr>
        <w:t xml:space="preserve"> </w:t>
      </w:r>
      <w:r w:rsidR="008A3946" w:rsidRPr="00B35732">
        <w:rPr>
          <w:rFonts w:eastAsia="Calibri"/>
          <w:lang w:eastAsia="es-ES_tradnl"/>
        </w:rPr>
        <w:t xml:space="preserve">HGH/PR-OF/134/2025 y no existente pronunciamiento del porque no se encuentra relacionado; </w:t>
      </w:r>
      <w:r w:rsidRPr="00B35732">
        <w:rPr>
          <w:rFonts w:eastAsia="Calibri"/>
          <w:lang w:eastAsia="es-ES_tradnl"/>
        </w:rPr>
        <w:t xml:space="preserve">por lo que en caso de no haber sido generado dicho oficio </w:t>
      </w:r>
      <w:r w:rsidRPr="00B35732">
        <w:rPr>
          <w:rFonts w:eastAsia="Palatino Linotype" w:cs="Palatino Linotype"/>
          <w:iCs/>
          <w:szCs w:val="22"/>
          <w:lang w:eastAsia="es-MX"/>
        </w:rPr>
        <w:t xml:space="preserve">o bien se hubiera cancelado, bastará con que así se haga del conocimiento </w:t>
      </w:r>
      <w:r w:rsidR="008A3946" w:rsidRPr="00B35732">
        <w:rPr>
          <w:rFonts w:eastAsia="Palatino Linotype" w:cs="Palatino Linotype"/>
          <w:b/>
          <w:iCs/>
          <w:szCs w:val="22"/>
          <w:lang w:eastAsia="es-MX"/>
        </w:rPr>
        <w:t xml:space="preserve">EL SUJETO OBLIGADO </w:t>
      </w:r>
      <w:r w:rsidR="008A3946" w:rsidRPr="00B35732">
        <w:rPr>
          <w:rFonts w:eastAsia="Palatino Linotype" w:cs="Palatino Linotype"/>
          <w:iCs/>
          <w:szCs w:val="22"/>
          <w:lang w:eastAsia="es-MX"/>
        </w:rPr>
        <w:t>a</w:t>
      </w:r>
      <w:r w:rsidRPr="00B35732">
        <w:rPr>
          <w:rFonts w:eastAsia="Palatino Linotype" w:cs="Palatino Linotype"/>
          <w:iCs/>
          <w:szCs w:val="22"/>
          <w:lang w:eastAsia="es-MX"/>
        </w:rPr>
        <w:t xml:space="preserve"> </w:t>
      </w:r>
      <w:r w:rsidRPr="00B35732">
        <w:rPr>
          <w:rFonts w:eastAsia="Palatino Linotype" w:cs="Palatino Linotype"/>
          <w:b/>
          <w:iCs/>
          <w:szCs w:val="22"/>
          <w:lang w:eastAsia="es-MX"/>
        </w:rPr>
        <w:t>LA PARTE RECURRENTE</w:t>
      </w:r>
      <w:r w:rsidRPr="00B35732">
        <w:rPr>
          <w:rFonts w:eastAsia="Palatino Linotype" w:cs="Palatino Linotype"/>
          <w:iCs/>
          <w:szCs w:val="22"/>
          <w:lang w:eastAsia="es-MX"/>
        </w:rPr>
        <w:t xml:space="preserve"> para tener por colmado su derecho de acceso a la información, en términos de lo dispuesto por el artículo 19, párrafo segundo de la Ley de Transparencia y Acceso a la Información Pública del Estado de México y Municipios, a saber:</w:t>
      </w:r>
    </w:p>
    <w:p w14:paraId="0B24403C" w14:textId="77777777" w:rsidR="003F45F7" w:rsidRPr="00B35732" w:rsidRDefault="003F45F7" w:rsidP="00CC7286">
      <w:pPr>
        <w:ind w:right="-312"/>
        <w:rPr>
          <w:rFonts w:eastAsia="Palatino Linotype" w:cs="Palatino Linotype"/>
          <w:iCs/>
          <w:szCs w:val="22"/>
          <w:lang w:eastAsia="es-MX"/>
        </w:rPr>
      </w:pPr>
    </w:p>
    <w:p w14:paraId="08C0F300" w14:textId="77777777" w:rsidR="003F45F7" w:rsidRPr="00B35732" w:rsidRDefault="003F45F7" w:rsidP="00CC7286">
      <w:pPr>
        <w:pBdr>
          <w:top w:val="nil"/>
          <w:left w:val="nil"/>
          <w:bottom w:val="nil"/>
          <w:right w:val="nil"/>
          <w:between w:val="nil"/>
        </w:pBdr>
        <w:spacing w:line="240" w:lineRule="auto"/>
        <w:ind w:left="567" w:right="567"/>
        <w:rPr>
          <w:rFonts w:eastAsia="Palatino Linotype" w:cs="Palatino Linotype"/>
          <w:b/>
          <w:bCs/>
          <w:i/>
          <w:szCs w:val="22"/>
          <w:lang w:eastAsia="es-MX"/>
        </w:rPr>
      </w:pPr>
      <w:r w:rsidRPr="00B35732">
        <w:rPr>
          <w:rFonts w:eastAsia="Palatino Linotype" w:cs="Palatino Linotype"/>
          <w:b/>
          <w:bCs/>
          <w:i/>
          <w:szCs w:val="22"/>
          <w:lang w:eastAsia="es-MX"/>
        </w:rPr>
        <w:t>“Artículo 19…</w:t>
      </w:r>
    </w:p>
    <w:p w14:paraId="6D36F920" w14:textId="77777777" w:rsidR="003F45F7" w:rsidRPr="00B35732" w:rsidRDefault="003F45F7" w:rsidP="00CC7286">
      <w:pPr>
        <w:pBdr>
          <w:top w:val="nil"/>
          <w:left w:val="nil"/>
          <w:bottom w:val="nil"/>
          <w:right w:val="nil"/>
          <w:between w:val="nil"/>
        </w:pBdr>
        <w:spacing w:line="240" w:lineRule="auto"/>
        <w:ind w:left="567" w:right="567"/>
        <w:rPr>
          <w:rFonts w:eastAsia="Palatino Linotype" w:cs="Palatino Linotype"/>
          <w:b/>
          <w:bCs/>
          <w:i/>
          <w:szCs w:val="22"/>
          <w:lang w:eastAsia="es-MX"/>
        </w:rPr>
      </w:pPr>
      <w:r w:rsidRPr="00B35732">
        <w:rPr>
          <w:rFonts w:eastAsia="Palatino Linotype" w:cs="Palatino Linotype"/>
          <w:b/>
          <w:bCs/>
          <w:i/>
          <w:szCs w:val="22"/>
          <w:lang w:eastAsia="es-MX"/>
        </w:rPr>
        <w:t>En los casos en que ciertas facultades, competencias o funciones no se hayan ejercido, se debe motivar la respuesta en función de las causas que motiven tal circunstancia.”</w:t>
      </w:r>
    </w:p>
    <w:p w14:paraId="0285A07B" w14:textId="77777777" w:rsidR="00F96162" w:rsidRPr="00B35732" w:rsidRDefault="00F96162" w:rsidP="00CC7286"/>
    <w:p w14:paraId="6947632E" w14:textId="77777777" w:rsidR="00D57F5A" w:rsidRPr="00B35732" w:rsidRDefault="00D57F5A" w:rsidP="00CC7286">
      <w:pPr>
        <w:pStyle w:val="Ttulo3"/>
        <w:spacing w:line="360" w:lineRule="auto"/>
        <w:rPr>
          <w:szCs w:val="22"/>
        </w:rPr>
      </w:pPr>
      <w:bookmarkStart w:id="57" w:name="_Toc170898812"/>
      <w:bookmarkStart w:id="58" w:name="_Toc172051201"/>
      <w:bookmarkStart w:id="59" w:name="_Toc174466654"/>
      <w:bookmarkStart w:id="60" w:name="_Toc208997476"/>
      <w:bookmarkStart w:id="61" w:name="_Toc211427226"/>
      <w:bookmarkStart w:id="62" w:name="_Toc212099422"/>
      <w:r w:rsidRPr="00B35732">
        <w:rPr>
          <w:szCs w:val="22"/>
        </w:rPr>
        <w:lastRenderedPageBreak/>
        <w:t>d) Versión pública</w:t>
      </w:r>
      <w:bookmarkEnd w:id="57"/>
      <w:bookmarkEnd w:id="58"/>
      <w:bookmarkEnd w:id="59"/>
      <w:bookmarkEnd w:id="60"/>
      <w:bookmarkEnd w:id="61"/>
      <w:bookmarkEnd w:id="62"/>
    </w:p>
    <w:p w14:paraId="72B4C6B5" w14:textId="77777777" w:rsidR="00D57F5A" w:rsidRPr="00B35732" w:rsidRDefault="00D57F5A" w:rsidP="00CC7286">
      <w:pPr>
        <w:rPr>
          <w:bCs/>
        </w:rPr>
      </w:pPr>
      <w:r w:rsidRPr="00B35732">
        <w:t xml:space="preserve">Para el caso de que el o los documentos de los cuales se ordena su entrega contengan datos personales susceptibles de ser testados, deberán ser entregados en </w:t>
      </w:r>
      <w:r w:rsidRPr="00B35732">
        <w:rPr>
          <w:b/>
        </w:rPr>
        <w:t>versión pública</w:t>
      </w:r>
      <w:r w:rsidRPr="00B35732">
        <w:t>, pues el</w:t>
      </w:r>
      <w:r w:rsidRPr="00B35732">
        <w:rPr>
          <w:bCs/>
        </w:rPr>
        <w:t xml:space="preserve">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1C37F648" w14:textId="77777777" w:rsidR="00D57F5A" w:rsidRPr="00B35732" w:rsidRDefault="00D57F5A" w:rsidP="00CC7286">
      <w:pPr>
        <w:rPr>
          <w:rFonts w:eastAsia="Calibri"/>
          <w:bCs/>
          <w:lang w:eastAsia="en-US"/>
        </w:rPr>
      </w:pPr>
    </w:p>
    <w:p w14:paraId="29EFEA9F" w14:textId="77777777" w:rsidR="00D57F5A" w:rsidRPr="00B35732" w:rsidRDefault="00D57F5A" w:rsidP="00CC7286">
      <w:pPr>
        <w:rPr>
          <w:bCs/>
        </w:rPr>
      </w:pPr>
      <w:r w:rsidRPr="00B35732">
        <w:rPr>
          <w:bCs/>
        </w:rPr>
        <w:t>A este respecto, los artículos 3, fracciones IX, XX, XXI y XLV; 51 y 52 de la Ley de Transparencia y Acceso a la Información Pública del Estado de México y Municipios establecen:</w:t>
      </w:r>
    </w:p>
    <w:p w14:paraId="74088DA8" w14:textId="77777777" w:rsidR="00D57F5A" w:rsidRPr="00B35732" w:rsidRDefault="00D57F5A" w:rsidP="00CC7286"/>
    <w:p w14:paraId="072F5335" w14:textId="77777777" w:rsidR="00D57F5A" w:rsidRPr="00B35732" w:rsidRDefault="00D57F5A" w:rsidP="00CC7286">
      <w:pPr>
        <w:spacing w:line="240" w:lineRule="auto"/>
        <w:ind w:left="567" w:right="567"/>
        <w:contextualSpacing/>
        <w:rPr>
          <w:i/>
          <w:kern w:val="28"/>
          <w:szCs w:val="56"/>
        </w:rPr>
      </w:pPr>
      <w:r w:rsidRPr="00B35732">
        <w:rPr>
          <w:b/>
          <w:bCs/>
          <w:i/>
          <w:noProof/>
          <w:kern w:val="28"/>
          <w:szCs w:val="56"/>
        </w:rPr>
        <w:t>“</w:t>
      </w:r>
      <w:r w:rsidRPr="00B35732">
        <w:rPr>
          <w:b/>
          <w:bCs/>
          <w:i/>
          <w:kern w:val="28"/>
          <w:szCs w:val="56"/>
        </w:rPr>
        <w:t xml:space="preserve">Artículo 3. </w:t>
      </w:r>
      <w:r w:rsidRPr="00B35732">
        <w:rPr>
          <w:i/>
          <w:kern w:val="28"/>
          <w:szCs w:val="56"/>
        </w:rPr>
        <w:t xml:space="preserve">Para los efectos de la presente Ley se entenderá por: </w:t>
      </w:r>
    </w:p>
    <w:p w14:paraId="3D97BE65" w14:textId="77777777" w:rsidR="00D57F5A" w:rsidRPr="00B35732" w:rsidRDefault="00D57F5A" w:rsidP="00CC7286">
      <w:pPr>
        <w:spacing w:line="240" w:lineRule="auto"/>
        <w:ind w:left="567" w:right="567"/>
        <w:contextualSpacing/>
        <w:rPr>
          <w:i/>
          <w:kern w:val="28"/>
          <w:szCs w:val="56"/>
        </w:rPr>
      </w:pPr>
      <w:r w:rsidRPr="00B35732">
        <w:rPr>
          <w:b/>
          <w:i/>
          <w:kern w:val="28"/>
          <w:szCs w:val="56"/>
        </w:rPr>
        <w:t>IX.</w:t>
      </w:r>
      <w:r w:rsidRPr="00B35732">
        <w:rPr>
          <w:i/>
          <w:kern w:val="28"/>
          <w:szCs w:val="56"/>
        </w:rPr>
        <w:t xml:space="preserve"> </w:t>
      </w:r>
      <w:r w:rsidRPr="00B35732">
        <w:rPr>
          <w:b/>
          <w:i/>
          <w:kern w:val="28"/>
          <w:szCs w:val="56"/>
        </w:rPr>
        <w:t xml:space="preserve">Datos personales: </w:t>
      </w:r>
      <w:r w:rsidRPr="00B35732">
        <w:rPr>
          <w:i/>
          <w:kern w:val="28"/>
          <w:szCs w:val="56"/>
        </w:rPr>
        <w:t xml:space="preserve">La información concerniente a una persona, identificada o identificable según lo dispuesto por la Ley de Protección de Datos Personales del Estado de México; </w:t>
      </w:r>
    </w:p>
    <w:p w14:paraId="016FEDA1" w14:textId="77777777" w:rsidR="00D57F5A" w:rsidRPr="00B35732" w:rsidRDefault="00D57F5A" w:rsidP="00CC7286"/>
    <w:p w14:paraId="3DFBF129" w14:textId="77777777" w:rsidR="00D57F5A" w:rsidRPr="00B35732" w:rsidRDefault="00D57F5A" w:rsidP="00CC7286">
      <w:pPr>
        <w:spacing w:line="240" w:lineRule="auto"/>
        <w:ind w:left="567" w:right="567"/>
        <w:contextualSpacing/>
        <w:rPr>
          <w:i/>
          <w:kern w:val="28"/>
          <w:szCs w:val="56"/>
        </w:rPr>
      </w:pPr>
      <w:r w:rsidRPr="00B35732">
        <w:rPr>
          <w:b/>
          <w:i/>
          <w:kern w:val="28"/>
          <w:szCs w:val="56"/>
        </w:rPr>
        <w:t>XX.</w:t>
      </w:r>
      <w:r w:rsidRPr="00B35732">
        <w:rPr>
          <w:i/>
          <w:kern w:val="28"/>
          <w:szCs w:val="56"/>
        </w:rPr>
        <w:t xml:space="preserve"> </w:t>
      </w:r>
      <w:r w:rsidRPr="00B35732">
        <w:rPr>
          <w:b/>
          <w:i/>
          <w:kern w:val="28"/>
          <w:szCs w:val="56"/>
        </w:rPr>
        <w:t>Información clasificada:</w:t>
      </w:r>
      <w:r w:rsidRPr="00B35732">
        <w:rPr>
          <w:i/>
          <w:kern w:val="28"/>
          <w:szCs w:val="56"/>
        </w:rPr>
        <w:t xml:space="preserve"> Aquella considerada por la presente Ley como reservada o confidencial; </w:t>
      </w:r>
    </w:p>
    <w:p w14:paraId="055F8A2A" w14:textId="77777777" w:rsidR="00D57F5A" w:rsidRPr="00B35732" w:rsidRDefault="00D57F5A" w:rsidP="00CC7286"/>
    <w:p w14:paraId="3D442B26" w14:textId="77777777" w:rsidR="00D57F5A" w:rsidRPr="00B35732" w:rsidRDefault="00D57F5A" w:rsidP="00CC7286">
      <w:pPr>
        <w:spacing w:line="240" w:lineRule="auto"/>
        <w:ind w:left="567" w:right="567"/>
        <w:contextualSpacing/>
        <w:rPr>
          <w:i/>
          <w:kern w:val="28"/>
          <w:szCs w:val="56"/>
        </w:rPr>
      </w:pPr>
      <w:r w:rsidRPr="00B35732">
        <w:rPr>
          <w:b/>
          <w:i/>
          <w:kern w:val="28"/>
          <w:szCs w:val="56"/>
        </w:rPr>
        <w:t>XXI.</w:t>
      </w:r>
      <w:r w:rsidRPr="00B35732">
        <w:rPr>
          <w:i/>
          <w:kern w:val="28"/>
          <w:szCs w:val="56"/>
        </w:rPr>
        <w:t xml:space="preserve"> </w:t>
      </w:r>
      <w:r w:rsidRPr="00B35732">
        <w:rPr>
          <w:b/>
          <w:i/>
          <w:kern w:val="28"/>
          <w:szCs w:val="56"/>
        </w:rPr>
        <w:t>Información confidencial</w:t>
      </w:r>
      <w:r w:rsidRPr="00B35732">
        <w:rPr>
          <w:i/>
          <w:kern w:val="28"/>
          <w:szCs w:val="56"/>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7B382BFD" w14:textId="77777777" w:rsidR="00D57F5A" w:rsidRPr="00B35732" w:rsidRDefault="00D57F5A" w:rsidP="00CC7286"/>
    <w:p w14:paraId="34FC8B49" w14:textId="77777777" w:rsidR="00D57F5A" w:rsidRPr="00B35732" w:rsidRDefault="00D57F5A" w:rsidP="00CC7286">
      <w:pPr>
        <w:spacing w:line="240" w:lineRule="auto"/>
        <w:ind w:left="567" w:right="567"/>
        <w:contextualSpacing/>
        <w:rPr>
          <w:i/>
          <w:kern w:val="28"/>
          <w:szCs w:val="56"/>
        </w:rPr>
      </w:pPr>
      <w:r w:rsidRPr="00B35732">
        <w:rPr>
          <w:b/>
          <w:i/>
          <w:kern w:val="28"/>
          <w:szCs w:val="56"/>
        </w:rPr>
        <w:t>XLV. Versión pública:</w:t>
      </w:r>
      <w:r w:rsidRPr="00B35732">
        <w:rPr>
          <w:i/>
          <w:kern w:val="28"/>
          <w:szCs w:val="56"/>
        </w:rPr>
        <w:t xml:space="preserve"> Documento en el que se elimine, suprime o borra la información clasificada como reservada o confidencial para permitir su acceso. </w:t>
      </w:r>
    </w:p>
    <w:p w14:paraId="57784B75" w14:textId="77777777" w:rsidR="00D57F5A" w:rsidRPr="00B35732" w:rsidRDefault="00D57F5A" w:rsidP="00CC7286"/>
    <w:p w14:paraId="3CF39C79" w14:textId="77777777" w:rsidR="00D57F5A" w:rsidRPr="00B35732" w:rsidRDefault="00D57F5A" w:rsidP="00CC7286">
      <w:pPr>
        <w:spacing w:line="240" w:lineRule="auto"/>
        <w:ind w:left="567" w:right="567"/>
        <w:contextualSpacing/>
        <w:rPr>
          <w:i/>
          <w:kern w:val="28"/>
          <w:szCs w:val="56"/>
        </w:rPr>
      </w:pPr>
      <w:r w:rsidRPr="00B35732">
        <w:rPr>
          <w:b/>
          <w:i/>
          <w:kern w:val="28"/>
          <w:szCs w:val="56"/>
        </w:rPr>
        <w:t>Artículo 51.</w:t>
      </w:r>
      <w:r w:rsidRPr="00B35732">
        <w:rPr>
          <w:i/>
          <w:kern w:val="28"/>
          <w:szCs w:val="56"/>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B35732">
        <w:rPr>
          <w:b/>
          <w:i/>
          <w:kern w:val="28"/>
          <w:szCs w:val="56"/>
        </w:rPr>
        <w:t xml:space="preserve">y tendrá la responsabilidad de verificar en cada caso que la misma no sea confidencial o reservada. </w:t>
      </w:r>
      <w:r w:rsidRPr="00B35732">
        <w:rPr>
          <w:i/>
          <w:kern w:val="28"/>
          <w:szCs w:val="56"/>
        </w:rPr>
        <w:t>Dicha Unidad contará con las facultades internas necesarias para gestionar la atención a las solicitudes de información en los términos de la Ley General y la presente Ley.</w:t>
      </w:r>
    </w:p>
    <w:p w14:paraId="68C6A70B" w14:textId="77777777" w:rsidR="00D57F5A" w:rsidRPr="00B35732" w:rsidRDefault="00D57F5A" w:rsidP="00CC7286"/>
    <w:p w14:paraId="28035014" w14:textId="77777777" w:rsidR="00D57F5A" w:rsidRPr="00B35732" w:rsidRDefault="00D57F5A" w:rsidP="00CC7286">
      <w:pPr>
        <w:spacing w:line="240" w:lineRule="auto"/>
        <w:ind w:left="567" w:right="567"/>
        <w:contextualSpacing/>
        <w:rPr>
          <w:i/>
          <w:kern w:val="28"/>
          <w:szCs w:val="56"/>
        </w:rPr>
      </w:pPr>
      <w:r w:rsidRPr="00B35732">
        <w:rPr>
          <w:b/>
          <w:i/>
          <w:kern w:val="28"/>
          <w:szCs w:val="56"/>
        </w:rPr>
        <w:t>Artículo 52.</w:t>
      </w:r>
      <w:r w:rsidRPr="00B35732">
        <w:rPr>
          <w:i/>
          <w:kern w:val="28"/>
          <w:szCs w:val="56"/>
        </w:rPr>
        <w:t xml:space="preserve"> Las solicitudes de acceso a la información y las respuestas que se les dé, incluyendo, en su caso, </w:t>
      </w:r>
      <w:r w:rsidRPr="00B35732">
        <w:rPr>
          <w:i/>
          <w:kern w:val="28"/>
          <w:szCs w:val="56"/>
          <w:u w:val="single"/>
        </w:rPr>
        <w:t>la información entregada, así como las resoluciones a los recursos que en su caso se promuevan serán públicas, y de ser el caso que contenga datos personales que deban ser protegidos se podrá dar su acceso en su versión pública</w:t>
      </w:r>
      <w:r w:rsidRPr="00B35732">
        <w:rPr>
          <w:i/>
          <w:kern w:val="28"/>
          <w:szCs w:val="56"/>
        </w:rPr>
        <w:t>, siempre y cuando la resolución de referencia se someta a un proceso de disociación, es decir, no haga identificable al titular de tales datos personales.</w:t>
      </w:r>
      <w:r w:rsidRPr="00B35732">
        <w:rPr>
          <w:bCs/>
          <w:i/>
          <w:noProof/>
          <w:kern w:val="28"/>
          <w:szCs w:val="56"/>
        </w:rPr>
        <w:t xml:space="preserve">” </w:t>
      </w:r>
      <w:r w:rsidRPr="00B35732">
        <w:rPr>
          <w:iCs/>
          <w:kern w:val="28"/>
          <w:szCs w:val="22"/>
        </w:rPr>
        <w:t>(Énfasis añadido)</w:t>
      </w:r>
    </w:p>
    <w:p w14:paraId="2223C524" w14:textId="77777777" w:rsidR="00D57F5A" w:rsidRPr="00B35732" w:rsidRDefault="00D57F5A" w:rsidP="00CC7286"/>
    <w:p w14:paraId="514EC08E" w14:textId="77777777" w:rsidR="00D57F5A" w:rsidRPr="00B35732" w:rsidRDefault="00D57F5A" w:rsidP="00CC7286">
      <w:r w:rsidRPr="00B35732">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553DF68E" w14:textId="77777777" w:rsidR="00D57F5A" w:rsidRPr="00B35732" w:rsidRDefault="00D57F5A" w:rsidP="00CC7286"/>
    <w:p w14:paraId="45287FCD" w14:textId="77777777" w:rsidR="00D57F5A" w:rsidRPr="00B35732" w:rsidRDefault="00D57F5A" w:rsidP="00CC7286">
      <w:pPr>
        <w:spacing w:line="240" w:lineRule="auto"/>
        <w:ind w:left="567" w:right="567"/>
        <w:contextualSpacing/>
        <w:rPr>
          <w:rFonts w:eastAsia="Arial Unicode MS"/>
          <w:i/>
          <w:kern w:val="28"/>
          <w:szCs w:val="56"/>
        </w:rPr>
      </w:pPr>
      <w:r w:rsidRPr="00B35732">
        <w:rPr>
          <w:rFonts w:eastAsia="Arial Unicode MS"/>
          <w:b/>
          <w:i/>
          <w:kern w:val="28"/>
          <w:szCs w:val="56"/>
        </w:rPr>
        <w:t>“Artículo 22.</w:t>
      </w:r>
      <w:r w:rsidRPr="00B35732">
        <w:rPr>
          <w:rFonts w:eastAsia="Arial Unicode MS"/>
          <w:i/>
          <w:kern w:val="28"/>
          <w:szCs w:val="56"/>
        </w:rPr>
        <w:t xml:space="preserve"> Todo tratamiento de datos personales que efectúe el responsable deberá estar justificado por finalidades concretas, lícitas, explícitas y legítimas, relacionadas con las atribuciones que la normatividad aplicable les confiera. </w:t>
      </w:r>
    </w:p>
    <w:p w14:paraId="3DBBA9A0" w14:textId="77777777" w:rsidR="00D57F5A" w:rsidRPr="00B35732" w:rsidRDefault="00D57F5A" w:rsidP="00CC7286">
      <w:pPr>
        <w:rPr>
          <w:rFonts w:eastAsia="Arial Unicode MS"/>
        </w:rPr>
      </w:pPr>
    </w:p>
    <w:p w14:paraId="636723E8" w14:textId="77777777" w:rsidR="00D57F5A" w:rsidRPr="00B35732" w:rsidRDefault="00D57F5A" w:rsidP="00CC7286">
      <w:pPr>
        <w:spacing w:line="240" w:lineRule="auto"/>
        <w:ind w:left="567" w:right="567"/>
        <w:contextualSpacing/>
        <w:rPr>
          <w:rFonts w:eastAsia="Arial Unicode MS"/>
          <w:i/>
          <w:kern w:val="28"/>
          <w:szCs w:val="56"/>
        </w:rPr>
      </w:pPr>
      <w:r w:rsidRPr="00B35732">
        <w:rPr>
          <w:rFonts w:eastAsia="Arial Unicode MS"/>
          <w:b/>
          <w:i/>
          <w:kern w:val="28"/>
          <w:szCs w:val="56"/>
        </w:rPr>
        <w:t>Artículo 38.</w:t>
      </w:r>
      <w:r w:rsidRPr="00B35732">
        <w:rPr>
          <w:rFonts w:eastAsia="Arial Unicode MS"/>
          <w:i/>
          <w:kern w:val="28"/>
          <w:szCs w:val="56"/>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w:t>
      </w:r>
      <w:r w:rsidRPr="00B35732">
        <w:rPr>
          <w:rFonts w:eastAsia="Arial Unicode MS"/>
          <w:i/>
          <w:kern w:val="28"/>
          <w:szCs w:val="56"/>
        </w:rPr>
        <w:lastRenderedPageBreak/>
        <w:t>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B35732">
        <w:rPr>
          <w:rFonts w:eastAsia="Arial Unicode MS"/>
          <w:b/>
          <w:i/>
          <w:kern w:val="28"/>
          <w:szCs w:val="56"/>
        </w:rPr>
        <w:t>”</w:t>
      </w:r>
      <w:r w:rsidRPr="00B35732">
        <w:rPr>
          <w:rFonts w:eastAsia="Arial Unicode MS"/>
          <w:i/>
          <w:kern w:val="28"/>
          <w:szCs w:val="56"/>
        </w:rPr>
        <w:t xml:space="preserve"> </w:t>
      </w:r>
    </w:p>
    <w:p w14:paraId="06D971BF" w14:textId="77777777" w:rsidR="00D57F5A" w:rsidRPr="00B35732" w:rsidRDefault="00D57F5A" w:rsidP="00CC7286">
      <w:pPr>
        <w:rPr>
          <w:rFonts w:eastAsia="Arial Unicode MS"/>
          <w:i/>
          <w:szCs w:val="22"/>
        </w:rPr>
      </w:pPr>
    </w:p>
    <w:p w14:paraId="5EED6688" w14:textId="77777777" w:rsidR="00D57F5A" w:rsidRPr="00B35732" w:rsidRDefault="00D57F5A" w:rsidP="00CC7286">
      <w:r w:rsidRPr="00B35732">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54834772" w14:textId="77777777" w:rsidR="00D57F5A" w:rsidRPr="00B35732" w:rsidRDefault="00D57F5A" w:rsidP="00CC7286"/>
    <w:p w14:paraId="4B58CAA9" w14:textId="77777777" w:rsidR="00D57F5A" w:rsidRPr="00B35732" w:rsidRDefault="00D57F5A" w:rsidP="00CC7286">
      <w:r w:rsidRPr="00B35732">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B35732">
        <w:rPr>
          <w:rFonts w:eastAsia="Arial Unicode MS"/>
        </w:rPr>
        <w:t xml:space="preserve"> que debe ser protegida por </w:t>
      </w:r>
      <w:r w:rsidRPr="00B35732">
        <w:rPr>
          <w:rFonts w:eastAsia="Arial Unicode MS"/>
          <w:b/>
        </w:rPr>
        <w:t>EL SUJETO OBLIGADO,</w:t>
      </w:r>
      <w:r w:rsidRPr="00B35732">
        <w:rPr>
          <w:rFonts w:eastAsia="Arial Unicode MS"/>
        </w:rPr>
        <w:t xml:space="preserve"> por lo </w:t>
      </w:r>
      <w:r w:rsidRPr="00B35732">
        <w:t>que, todo dato personal susceptible de clasificación debe ser protegido.</w:t>
      </w:r>
    </w:p>
    <w:p w14:paraId="2863A4F7" w14:textId="77777777" w:rsidR="00D57F5A" w:rsidRPr="00B35732" w:rsidRDefault="00D57F5A" w:rsidP="00CC7286"/>
    <w:p w14:paraId="11BC5CF8" w14:textId="77777777" w:rsidR="00D57F5A" w:rsidRPr="00B35732" w:rsidRDefault="00D57F5A" w:rsidP="00CC7286">
      <w:r w:rsidRPr="00B35732">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02474348" w14:textId="77777777" w:rsidR="00D57F5A" w:rsidRPr="00B35732" w:rsidRDefault="00D57F5A" w:rsidP="00CC7286"/>
    <w:p w14:paraId="02ECC294" w14:textId="77777777" w:rsidR="00D57F5A" w:rsidRPr="00B35732" w:rsidRDefault="00D57F5A" w:rsidP="00CC7286">
      <w:r w:rsidRPr="00B35732">
        <w:t xml:space="preserve">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w:t>
      </w:r>
      <w:r w:rsidRPr="00B35732">
        <w:lastRenderedPageBreak/>
        <w:t>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4FF15BB1" w14:textId="77777777" w:rsidR="00D57F5A" w:rsidRPr="00B35732" w:rsidRDefault="00D57F5A" w:rsidP="00CC7286"/>
    <w:p w14:paraId="7957816A" w14:textId="77777777" w:rsidR="00D57F5A" w:rsidRPr="00B35732" w:rsidRDefault="00D57F5A" w:rsidP="00CC7286">
      <w:pPr>
        <w:jc w:val="center"/>
        <w:rPr>
          <w:b/>
          <w:i/>
          <w:szCs w:val="22"/>
        </w:rPr>
      </w:pPr>
      <w:r w:rsidRPr="00B35732">
        <w:rPr>
          <w:b/>
          <w:i/>
          <w:szCs w:val="22"/>
          <w:lang w:val="es-ES_tradnl"/>
        </w:rPr>
        <w:t>Ley de Transparencia y Acceso a la Información Pública del Estado de México y Municipios</w:t>
      </w:r>
    </w:p>
    <w:p w14:paraId="2D0CBC31" w14:textId="77777777" w:rsidR="00D57F5A" w:rsidRPr="00B35732" w:rsidRDefault="00D57F5A" w:rsidP="00CC7286"/>
    <w:p w14:paraId="5C9C60DE" w14:textId="77777777" w:rsidR="00D57F5A" w:rsidRPr="00B35732" w:rsidRDefault="00D57F5A" w:rsidP="00CC7286">
      <w:pPr>
        <w:spacing w:line="240" w:lineRule="auto"/>
        <w:ind w:left="567" w:right="567"/>
        <w:contextualSpacing/>
        <w:rPr>
          <w:i/>
          <w:kern w:val="28"/>
          <w:szCs w:val="56"/>
        </w:rPr>
      </w:pPr>
      <w:r w:rsidRPr="00B35732">
        <w:rPr>
          <w:b/>
          <w:i/>
          <w:kern w:val="28"/>
          <w:szCs w:val="56"/>
        </w:rPr>
        <w:t xml:space="preserve">“Artículo 49. </w:t>
      </w:r>
      <w:r w:rsidRPr="00B35732">
        <w:rPr>
          <w:i/>
          <w:kern w:val="28"/>
          <w:szCs w:val="56"/>
        </w:rPr>
        <w:t>Los Comités de Transparencia tendrán las siguientes atribuciones:</w:t>
      </w:r>
    </w:p>
    <w:p w14:paraId="763CFFE8" w14:textId="77777777" w:rsidR="00D57F5A" w:rsidRPr="00B35732" w:rsidRDefault="00D57F5A" w:rsidP="00CC7286">
      <w:pPr>
        <w:spacing w:line="240" w:lineRule="auto"/>
        <w:ind w:left="567" w:right="567"/>
        <w:contextualSpacing/>
        <w:rPr>
          <w:i/>
          <w:kern w:val="28"/>
          <w:szCs w:val="56"/>
        </w:rPr>
      </w:pPr>
      <w:r w:rsidRPr="00B35732">
        <w:rPr>
          <w:b/>
          <w:i/>
          <w:kern w:val="28"/>
          <w:szCs w:val="56"/>
        </w:rPr>
        <w:t>VIII.</w:t>
      </w:r>
      <w:r w:rsidRPr="00B35732">
        <w:rPr>
          <w:i/>
          <w:kern w:val="28"/>
          <w:szCs w:val="56"/>
        </w:rPr>
        <w:t xml:space="preserve"> Aprobar, modificar o revocar la clasificación de la información;</w:t>
      </w:r>
    </w:p>
    <w:p w14:paraId="1D3270A1" w14:textId="77777777" w:rsidR="00D57F5A" w:rsidRPr="00B35732" w:rsidRDefault="00D57F5A" w:rsidP="00CC7286"/>
    <w:p w14:paraId="33178204" w14:textId="77777777" w:rsidR="00D57F5A" w:rsidRPr="00B35732" w:rsidRDefault="00D57F5A" w:rsidP="00CC7286">
      <w:pPr>
        <w:spacing w:line="240" w:lineRule="auto"/>
        <w:ind w:left="567" w:right="567"/>
        <w:contextualSpacing/>
        <w:rPr>
          <w:i/>
          <w:kern w:val="28"/>
          <w:szCs w:val="56"/>
        </w:rPr>
      </w:pPr>
      <w:r w:rsidRPr="00B35732">
        <w:rPr>
          <w:b/>
          <w:i/>
          <w:kern w:val="28"/>
          <w:szCs w:val="56"/>
        </w:rPr>
        <w:t>Artículo 132.</w:t>
      </w:r>
      <w:r w:rsidRPr="00B35732">
        <w:rPr>
          <w:i/>
          <w:kern w:val="28"/>
          <w:szCs w:val="56"/>
        </w:rPr>
        <w:t xml:space="preserve"> La clasificación de la información se llevará a cabo en el momento en que:</w:t>
      </w:r>
    </w:p>
    <w:p w14:paraId="27E3AFC4" w14:textId="77777777" w:rsidR="00D57F5A" w:rsidRPr="00B35732" w:rsidRDefault="00D57F5A" w:rsidP="00CC7286">
      <w:pPr>
        <w:spacing w:line="240" w:lineRule="auto"/>
        <w:ind w:left="567" w:right="567"/>
        <w:contextualSpacing/>
        <w:rPr>
          <w:i/>
          <w:kern w:val="28"/>
          <w:szCs w:val="56"/>
        </w:rPr>
      </w:pPr>
      <w:r w:rsidRPr="00B35732">
        <w:rPr>
          <w:b/>
          <w:i/>
          <w:kern w:val="28"/>
          <w:szCs w:val="56"/>
        </w:rPr>
        <w:t>I.</w:t>
      </w:r>
      <w:r w:rsidRPr="00B35732">
        <w:rPr>
          <w:i/>
          <w:kern w:val="28"/>
          <w:szCs w:val="56"/>
        </w:rPr>
        <w:t xml:space="preserve"> Se reciba una solicitud de acceso a la información;</w:t>
      </w:r>
    </w:p>
    <w:p w14:paraId="64DAC3A6" w14:textId="77777777" w:rsidR="00D57F5A" w:rsidRPr="00B35732" w:rsidRDefault="00D57F5A" w:rsidP="00CC7286">
      <w:pPr>
        <w:spacing w:line="240" w:lineRule="auto"/>
        <w:ind w:left="567" w:right="567"/>
        <w:contextualSpacing/>
        <w:rPr>
          <w:i/>
          <w:kern w:val="28"/>
          <w:szCs w:val="56"/>
        </w:rPr>
      </w:pPr>
      <w:r w:rsidRPr="00B35732">
        <w:rPr>
          <w:b/>
          <w:i/>
          <w:kern w:val="28"/>
          <w:szCs w:val="56"/>
        </w:rPr>
        <w:t>II.</w:t>
      </w:r>
      <w:r w:rsidRPr="00B35732">
        <w:rPr>
          <w:i/>
          <w:kern w:val="28"/>
          <w:szCs w:val="56"/>
        </w:rPr>
        <w:t xml:space="preserve"> Se determine mediante resolución de autoridad competente; o</w:t>
      </w:r>
    </w:p>
    <w:p w14:paraId="3790A227" w14:textId="77777777" w:rsidR="00D57F5A" w:rsidRPr="00B35732" w:rsidRDefault="00D57F5A" w:rsidP="00CC7286">
      <w:pPr>
        <w:spacing w:line="240" w:lineRule="auto"/>
        <w:ind w:left="567" w:right="567"/>
        <w:contextualSpacing/>
        <w:rPr>
          <w:b/>
          <w:i/>
          <w:kern w:val="28"/>
          <w:szCs w:val="56"/>
        </w:rPr>
      </w:pPr>
      <w:r w:rsidRPr="00B35732">
        <w:rPr>
          <w:b/>
          <w:bCs/>
          <w:i/>
          <w:kern w:val="28"/>
          <w:szCs w:val="56"/>
        </w:rPr>
        <w:t>III.</w:t>
      </w:r>
      <w:r w:rsidRPr="00B35732">
        <w:rPr>
          <w:i/>
          <w:kern w:val="28"/>
          <w:szCs w:val="56"/>
        </w:rPr>
        <w:t xml:space="preserve"> Se generen versiones públicas para dar cumplimiento a las obligaciones de transparencia previstas en esta Ley.</w:t>
      </w:r>
      <w:r w:rsidRPr="00B35732">
        <w:rPr>
          <w:b/>
          <w:i/>
          <w:kern w:val="28"/>
          <w:szCs w:val="56"/>
        </w:rPr>
        <w:t>”</w:t>
      </w:r>
    </w:p>
    <w:p w14:paraId="42A98CC2" w14:textId="77777777" w:rsidR="00D57F5A" w:rsidRPr="00B35732" w:rsidRDefault="00D57F5A" w:rsidP="00CC7286"/>
    <w:p w14:paraId="7D89B91A" w14:textId="77777777" w:rsidR="00D57F5A" w:rsidRPr="00B35732" w:rsidRDefault="00D57F5A" w:rsidP="00CC7286">
      <w:pPr>
        <w:spacing w:line="240" w:lineRule="auto"/>
        <w:ind w:left="567" w:right="567"/>
        <w:contextualSpacing/>
        <w:rPr>
          <w:i/>
          <w:kern w:val="28"/>
          <w:szCs w:val="56"/>
        </w:rPr>
      </w:pPr>
      <w:r w:rsidRPr="00B35732">
        <w:rPr>
          <w:b/>
          <w:i/>
          <w:kern w:val="28"/>
          <w:szCs w:val="56"/>
        </w:rPr>
        <w:t>“Segundo. -</w:t>
      </w:r>
      <w:r w:rsidRPr="00B35732">
        <w:rPr>
          <w:i/>
          <w:kern w:val="28"/>
          <w:szCs w:val="56"/>
        </w:rPr>
        <w:t xml:space="preserve"> Para efectos de los presentes Lineamientos Generales, se entenderá por:</w:t>
      </w:r>
    </w:p>
    <w:p w14:paraId="278F175A" w14:textId="77777777" w:rsidR="00D57F5A" w:rsidRPr="00B35732" w:rsidRDefault="00D57F5A" w:rsidP="00CC7286">
      <w:pPr>
        <w:spacing w:line="240" w:lineRule="auto"/>
        <w:ind w:left="567" w:right="567"/>
        <w:contextualSpacing/>
        <w:rPr>
          <w:i/>
          <w:kern w:val="28"/>
          <w:szCs w:val="56"/>
        </w:rPr>
      </w:pPr>
      <w:r w:rsidRPr="00B35732">
        <w:rPr>
          <w:b/>
          <w:i/>
          <w:kern w:val="28"/>
          <w:szCs w:val="56"/>
        </w:rPr>
        <w:t>XVIII.</w:t>
      </w:r>
      <w:r w:rsidRPr="00B35732">
        <w:rPr>
          <w:i/>
          <w:kern w:val="28"/>
          <w:szCs w:val="56"/>
        </w:rPr>
        <w:t xml:space="preserve">  </w:t>
      </w:r>
      <w:r w:rsidRPr="00B35732">
        <w:rPr>
          <w:b/>
          <w:i/>
          <w:kern w:val="28"/>
          <w:szCs w:val="56"/>
        </w:rPr>
        <w:t>Versión pública:</w:t>
      </w:r>
      <w:r w:rsidRPr="00B35732">
        <w:rPr>
          <w:i/>
          <w:kern w:val="28"/>
          <w:szCs w:val="56"/>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377FA9BE" w14:textId="77777777" w:rsidR="00D57F5A" w:rsidRPr="00B35732" w:rsidRDefault="00D57F5A" w:rsidP="00CC7286">
      <w:pPr>
        <w:spacing w:line="240" w:lineRule="auto"/>
        <w:ind w:left="567" w:right="567"/>
        <w:contextualSpacing/>
        <w:rPr>
          <w:i/>
          <w:kern w:val="28"/>
          <w:szCs w:val="56"/>
        </w:rPr>
      </w:pPr>
    </w:p>
    <w:p w14:paraId="379FB3E4" w14:textId="77777777" w:rsidR="00D57F5A" w:rsidRPr="00B35732" w:rsidRDefault="00D57F5A" w:rsidP="00CC7286">
      <w:pPr>
        <w:spacing w:line="240" w:lineRule="auto"/>
        <w:ind w:left="567" w:right="567"/>
        <w:contextualSpacing/>
        <w:rPr>
          <w:b/>
          <w:i/>
          <w:kern w:val="28"/>
          <w:szCs w:val="56"/>
          <w:lang w:val="es-ES_tradnl" w:eastAsia="es-MX"/>
        </w:rPr>
      </w:pPr>
      <w:r w:rsidRPr="00B35732">
        <w:rPr>
          <w:b/>
          <w:i/>
          <w:kern w:val="28"/>
          <w:szCs w:val="56"/>
          <w:lang w:val="es-ES_tradnl" w:eastAsia="es-MX"/>
        </w:rPr>
        <w:t xml:space="preserve">Lineamientos Generales en materia de Clasificación y Desclasificación de la </w:t>
      </w:r>
      <w:r w:rsidRPr="00B35732">
        <w:rPr>
          <w:b/>
          <w:i/>
          <w:kern w:val="28"/>
          <w:szCs w:val="56"/>
          <w:lang w:val="es-ES_tradnl"/>
        </w:rPr>
        <w:t>Información</w:t>
      </w:r>
    </w:p>
    <w:p w14:paraId="04C511D1" w14:textId="77777777" w:rsidR="00D57F5A" w:rsidRPr="00B35732" w:rsidRDefault="00D57F5A" w:rsidP="00CC7286">
      <w:pPr>
        <w:spacing w:line="240" w:lineRule="auto"/>
        <w:ind w:left="567" w:right="567"/>
        <w:contextualSpacing/>
        <w:rPr>
          <w:i/>
          <w:kern w:val="28"/>
          <w:szCs w:val="56"/>
        </w:rPr>
      </w:pPr>
    </w:p>
    <w:p w14:paraId="17492631" w14:textId="77777777" w:rsidR="00D57F5A" w:rsidRPr="00B35732" w:rsidRDefault="00D57F5A" w:rsidP="00CC7286">
      <w:pPr>
        <w:spacing w:line="240" w:lineRule="auto"/>
        <w:ind w:left="567" w:right="567"/>
        <w:contextualSpacing/>
        <w:rPr>
          <w:i/>
          <w:kern w:val="28"/>
          <w:szCs w:val="56"/>
        </w:rPr>
      </w:pPr>
      <w:r w:rsidRPr="00B35732">
        <w:rPr>
          <w:b/>
          <w:i/>
          <w:kern w:val="28"/>
          <w:szCs w:val="56"/>
        </w:rPr>
        <w:t>Cuarto.</w:t>
      </w:r>
      <w:r w:rsidRPr="00B35732">
        <w:rPr>
          <w:i/>
          <w:kern w:val="28"/>
          <w:szCs w:val="56"/>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C4AE02B" w14:textId="77777777" w:rsidR="00D57F5A" w:rsidRPr="00B35732" w:rsidRDefault="00D57F5A" w:rsidP="00CC7286">
      <w:pPr>
        <w:spacing w:line="240" w:lineRule="auto"/>
        <w:ind w:left="567" w:right="567"/>
        <w:contextualSpacing/>
        <w:rPr>
          <w:i/>
          <w:kern w:val="28"/>
          <w:szCs w:val="56"/>
        </w:rPr>
      </w:pPr>
      <w:r w:rsidRPr="00B35732">
        <w:rPr>
          <w:i/>
          <w:kern w:val="28"/>
          <w:szCs w:val="56"/>
        </w:rPr>
        <w:t>Los sujetos obligados deberán aplicar, de manera estricta, las excepciones al derecho de acceso a la información y sólo podrán invocarlas cuando acrediten su procedencia.</w:t>
      </w:r>
    </w:p>
    <w:p w14:paraId="0F86BE92" w14:textId="77777777" w:rsidR="00D57F5A" w:rsidRPr="00B35732" w:rsidRDefault="00D57F5A" w:rsidP="00CC7286"/>
    <w:p w14:paraId="3F499EB6" w14:textId="77777777" w:rsidR="00D57F5A" w:rsidRPr="00B35732" w:rsidRDefault="00D57F5A" w:rsidP="00CC7286">
      <w:pPr>
        <w:spacing w:line="240" w:lineRule="auto"/>
        <w:ind w:left="567" w:right="567"/>
        <w:contextualSpacing/>
        <w:rPr>
          <w:i/>
          <w:kern w:val="28"/>
          <w:szCs w:val="56"/>
        </w:rPr>
      </w:pPr>
      <w:r w:rsidRPr="00B35732">
        <w:rPr>
          <w:b/>
          <w:i/>
          <w:kern w:val="28"/>
          <w:szCs w:val="56"/>
        </w:rPr>
        <w:lastRenderedPageBreak/>
        <w:t>Quinto.</w:t>
      </w:r>
      <w:r w:rsidRPr="00B35732">
        <w:rPr>
          <w:i/>
          <w:kern w:val="28"/>
          <w:szCs w:val="56"/>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65A8463" w14:textId="77777777" w:rsidR="00D57F5A" w:rsidRPr="00B35732" w:rsidRDefault="00D57F5A" w:rsidP="00CC7286"/>
    <w:p w14:paraId="59957C64" w14:textId="77777777" w:rsidR="00D57F5A" w:rsidRPr="00B35732" w:rsidRDefault="00D57F5A" w:rsidP="00CC7286">
      <w:pPr>
        <w:spacing w:line="240" w:lineRule="auto"/>
        <w:ind w:left="567" w:right="567"/>
        <w:contextualSpacing/>
        <w:rPr>
          <w:i/>
          <w:kern w:val="28"/>
          <w:szCs w:val="56"/>
        </w:rPr>
      </w:pPr>
      <w:r w:rsidRPr="00B35732">
        <w:rPr>
          <w:b/>
          <w:i/>
          <w:kern w:val="28"/>
          <w:szCs w:val="56"/>
        </w:rPr>
        <w:t>Sexto.</w:t>
      </w:r>
      <w:r w:rsidRPr="00B35732">
        <w:rPr>
          <w:i/>
          <w:kern w:val="28"/>
          <w:szCs w:val="56"/>
        </w:rPr>
        <w:t xml:space="preserve"> Se deroga.</w:t>
      </w:r>
    </w:p>
    <w:p w14:paraId="56D1EB88" w14:textId="77777777" w:rsidR="00D57F5A" w:rsidRPr="00B35732" w:rsidRDefault="00D57F5A" w:rsidP="00CC7286"/>
    <w:p w14:paraId="4E45AD20" w14:textId="77777777" w:rsidR="00D57F5A" w:rsidRPr="00B35732" w:rsidRDefault="00D57F5A" w:rsidP="00CC7286">
      <w:pPr>
        <w:spacing w:line="240" w:lineRule="auto"/>
        <w:ind w:left="567" w:right="567"/>
        <w:contextualSpacing/>
        <w:rPr>
          <w:i/>
          <w:kern w:val="28"/>
          <w:szCs w:val="56"/>
        </w:rPr>
      </w:pPr>
      <w:r w:rsidRPr="00B35732">
        <w:rPr>
          <w:b/>
          <w:i/>
          <w:kern w:val="28"/>
          <w:szCs w:val="56"/>
        </w:rPr>
        <w:t>Séptimo.</w:t>
      </w:r>
      <w:r w:rsidRPr="00B35732">
        <w:rPr>
          <w:i/>
          <w:kern w:val="28"/>
          <w:szCs w:val="56"/>
        </w:rPr>
        <w:t xml:space="preserve"> La clasificación de la información se llevará a cabo en el momento en que:</w:t>
      </w:r>
    </w:p>
    <w:p w14:paraId="620F93F7" w14:textId="77777777" w:rsidR="00D57F5A" w:rsidRPr="00B35732" w:rsidRDefault="00D57F5A" w:rsidP="00CC7286">
      <w:pPr>
        <w:spacing w:line="240" w:lineRule="auto"/>
        <w:ind w:left="567" w:right="567"/>
        <w:contextualSpacing/>
        <w:rPr>
          <w:i/>
          <w:kern w:val="28"/>
          <w:szCs w:val="56"/>
        </w:rPr>
      </w:pPr>
      <w:r w:rsidRPr="00B35732">
        <w:rPr>
          <w:b/>
          <w:i/>
          <w:kern w:val="28"/>
          <w:szCs w:val="56"/>
        </w:rPr>
        <w:t>I.</w:t>
      </w:r>
      <w:r w:rsidRPr="00B35732">
        <w:rPr>
          <w:i/>
          <w:kern w:val="28"/>
          <w:szCs w:val="56"/>
        </w:rPr>
        <w:t xml:space="preserve">        Se reciba una solicitud de acceso a la información;</w:t>
      </w:r>
    </w:p>
    <w:p w14:paraId="0AAC67CA" w14:textId="77777777" w:rsidR="00D57F5A" w:rsidRPr="00B35732" w:rsidRDefault="00D57F5A" w:rsidP="00CC7286">
      <w:pPr>
        <w:spacing w:line="240" w:lineRule="auto"/>
        <w:ind w:left="567" w:right="567"/>
        <w:contextualSpacing/>
        <w:rPr>
          <w:i/>
          <w:kern w:val="28"/>
          <w:szCs w:val="56"/>
        </w:rPr>
      </w:pPr>
      <w:r w:rsidRPr="00B35732">
        <w:rPr>
          <w:b/>
          <w:i/>
          <w:kern w:val="28"/>
          <w:szCs w:val="56"/>
        </w:rPr>
        <w:t>II.</w:t>
      </w:r>
      <w:r w:rsidRPr="00B35732">
        <w:rPr>
          <w:i/>
          <w:kern w:val="28"/>
          <w:szCs w:val="56"/>
        </w:rPr>
        <w:t xml:space="preserve">       Se determine mediante resolución del Comité de Transparencia, el órgano garante competente, o en cumplimiento a una sentencia del Poder Judicial; o</w:t>
      </w:r>
    </w:p>
    <w:p w14:paraId="131669EE" w14:textId="77777777" w:rsidR="00D57F5A" w:rsidRPr="00B35732" w:rsidRDefault="00D57F5A" w:rsidP="00CC7286">
      <w:pPr>
        <w:spacing w:line="240" w:lineRule="auto"/>
        <w:ind w:left="567" w:right="567"/>
        <w:contextualSpacing/>
        <w:rPr>
          <w:i/>
          <w:kern w:val="28"/>
          <w:szCs w:val="56"/>
        </w:rPr>
      </w:pPr>
      <w:r w:rsidRPr="00B35732">
        <w:rPr>
          <w:b/>
          <w:i/>
          <w:kern w:val="28"/>
          <w:szCs w:val="56"/>
        </w:rPr>
        <w:t>III.</w:t>
      </w:r>
      <w:r w:rsidRPr="00B35732">
        <w:rPr>
          <w:i/>
          <w:kern w:val="28"/>
          <w:szCs w:val="56"/>
        </w:rPr>
        <w:t xml:space="preserve">      Se generen versiones públicas para dar cumplimiento a las obligaciones de transparencia previstas en la Ley General, la Ley Federal y las correspondientes de las entidades federativas.</w:t>
      </w:r>
    </w:p>
    <w:p w14:paraId="5DEA961E" w14:textId="77777777" w:rsidR="00D57F5A" w:rsidRPr="00B35732" w:rsidRDefault="00D57F5A" w:rsidP="00CC7286">
      <w:pPr>
        <w:spacing w:line="240" w:lineRule="auto"/>
        <w:ind w:left="567" w:right="567"/>
        <w:contextualSpacing/>
        <w:rPr>
          <w:i/>
          <w:kern w:val="28"/>
          <w:szCs w:val="56"/>
        </w:rPr>
      </w:pPr>
      <w:r w:rsidRPr="00B35732">
        <w:rPr>
          <w:i/>
          <w:kern w:val="28"/>
          <w:szCs w:val="56"/>
        </w:rPr>
        <w:t xml:space="preserve">Los titulares de las áreas deberán revisar la información requerida al momento de la recepción de una solicitud de acceso, para verificar, conforme a su naturaleza, si encuadra en una causal de reserva o de confidencialidad. </w:t>
      </w:r>
    </w:p>
    <w:p w14:paraId="0B8DE1C1" w14:textId="77777777" w:rsidR="00D57F5A" w:rsidRPr="00B35732" w:rsidRDefault="00D57F5A" w:rsidP="00CC7286"/>
    <w:p w14:paraId="5D1A6F52" w14:textId="77777777" w:rsidR="00D57F5A" w:rsidRPr="00B35732" w:rsidRDefault="00D57F5A" w:rsidP="00CC7286">
      <w:pPr>
        <w:spacing w:line="240" w:lineRule="auto"/>
        <w:ind w:left="567" w:right="567"/>
        <w:contextualSpacing/>
        <w:rPr>
          <w:i/>
          <w:kern w:val="28"/>
          <w:szCs w:val="56"/>
        </w:rPr>
      </w:pPr>
      <w:r w:rsidRPr="00B35732">
        <w:rPr>
          <w:b/>
          <w:i/>
          <w:kern w:val="28"/>
          <w:szCs w:val="56"/>
        </w:rPr>
        <w:t>Octavo.</w:t>
      </w:r>
      <w:r w:rsidRPr="00B35732">
        <w:rPr>
          <w:i/>
          <w:kern w:val="28"/>
          <w:szCs w:val="56"/>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A2D7E32" w14:textId="77777777" w:rsidR="00D57F5A" w:rsidRPr="00B35732" w:rsidRDefault="00D57F5A" w:rsidP="00CC7286">
      <w:pPr>
        <w:spacing w:line="240" w:lineRule="auto"/>
        <w:ind w:left="567" w:right="567"/>
        <w:contextualSpacing/>
        <w:rPr>
          <w:i/>
          <w:kern w:val="28"/>
          <w:szCs w:val="56"/>
        </w:rPr>
      </w:pPr>
      <w:r w:rsidRPr="00B35732">
        <w:rPr>
          <w:i/>
          <w:kern w:val="28"/>
          <w:szCs w:val="56"/>
        </w:rPr>
        <w:t>Para motivar la clasificación se deberán señalar las razones o circunstancias especiales que lo llevaron a concluir que el caso particular se ajusta al supuesto previsto por la norma legal invocada como fundamento.</w:t>
      </w:r>
    </w:p>
    <w:p w14:paraId="1E4F231A" w14:textId="77777777" w:rsidR="00D57F5A" w:rsidRPr="00B35732" w:rsidRDefault="00D57F5A" w:rsidP="00CC7286">
      <w:pPr>
        <w:spacing w:line="240" w:lineRule="auto"/>
        <w:ind w:left="567" w:right="567"/>
        <w:contextualSpacing/>
        <w:rPr>
          <w:i/>
          <w:kern w:val="28"/>
          <w:szCs w:val="56"/>
        </w:rPr>
      </w:pPr>
      <w:r w:rsidRPr="00B35732">
        <w:rPr>
          <w:i/>
          <w:kern w:val="28"/>
          <w:szCs w:val="56"/>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5D02553D" w14:textId="77777777" w:rsidR="00D57F5A" w:rsidRPr="00B35732" w:rsidRDefault="00D57F5A" w:rsidP="00CC7286"/>
    <w:p w14:paraId="3D8CF939" w14:textId="77777777" w:rsidR="00D57F5A" w:rsidRPr="00B35732" w:rsidRDefault="00D57F5A" w:rsidP="00CC7286">
      <w:pPr>
        <w:spacing w:line="240" w:lineRule="auto"/>
        <w:ind w:left="567" w:right="567"/>
        <w:contextualSpacing/>
        <w:rPr>
          <w:i/>
          <w:kern w:val="28"/>
          <w:szCs w:val="56"/>
        </w:rPr>
      </w:pPr>
      <w:r w:rsidRPr="00B35732">
        <w:rPr>
          <w:b/>
          <w:i/>
          <w:kern w:val="28"/>
          <w:szCs w:val="56"/>
        </w:rPr>
        <w:t>Noveno.</w:t>
      </w:r>
      <w:r w:rsidRPr="00B35732">
        <w:rPr>
          <w:i/>
          <w:kern w:val="28"/>
          <w:szCs w:val="56"/>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441E768" w14:textId="77777777" w:rsidR="00D57F5A" w:rsidRPr="00B35732" w:rsidRDefault="00D57F5A" w:rsidP="00CC7286"/>
    <w:p w14:paraId="4F57699B" w14:textId="77777777" w:rsidR="00D57F5A" w:rsidRPr="00B35732" w:rsidRDefault="00D57F5A" w:rsidP="00CC7286">
      <w:pPr>
        <w:spacing w:line="240" w:lineRule="auto"/>
        <w:ind w:left="567" w:right="567"/>
        <w:contextualSpacing/>
        <w:rPr>
          <w:i/>
          <w:kern w:val="28"/>
          <w:szCs w:val="56"/>
        </w:rPr>
      </w:pPr>
      <w:r w:rsidRPr="00B35732">
        <w:rPr>
          <w:b/>
          <w:i/>
          <w:kern w:val="28"/>
          <w:szCs w:val="56"/>
        </w:rPr>
        <w:lastRenderedPageBreak/>
        <w:t>Décimo.</w:t>
      </w:r>
      <w:r w:rsidRPr="00B35732">
        <w:rPr>
          <w:i/>
          <w:kern w:val="28"/>
          <w:szCs w:val="56"/>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677B3D91" w14:textId="77777777" w:rsidR="00D57F5A" w:rsidRPr="00B35732" w:rsidRDefault="00D57F5A" w:rsidP="00CC7286">
      <w:pPr>
        <w:spacing w:line="240" w:lineRule="auto"/>
        <w:ind w:left="567" w:right="567"/>
        <w:contextualSpacing/>
        <w:rPr>
          <w:i/>
          <w:kern w:val="28"/>
          <w:szCs w:val="56"/>
        </w:rPr>
      </w:pPr>
      <w:r w:rsidRPr="00B35732">
        <w:rPr>
          <w:i/>
          <w:kern w:val="28"/>
          <w:szCs w:val="56"/>
        </w:rPr>
        <w:t>En ausencia de los titulares de las áreas, la información será clasificada o desclasificada por la persona que lo supla, en términos de la normativa que rija la actuación del sujeto obligado.</w:t>
      </w:r>
    </w:p>
    <w:p w14:paraId="7DF5D0D8" w14:textId="77777777" w:rsidR="00D57F5A" w:rsidRPr="00B35732" w:rsidRDefault="00D57F5A" w:rsidP="00CC7286">
      <w:pPr>
        <w:spacing w:line="240" w:lineRule="auto"/>
        <w:ind w:left="567" w:right="567"/>
        <w:contextualSpacing/>
        <w:rPr>
          <w:b/>
          <w:i/>
          <w:kern w:val="28"/>
          <w:szCs w:val="56"/>
        </w:rPr>
      </w:pPr>
      <w:r w:rsidRPr="00B35732">
        <w:rPr>
          <w:b/>
          <w:i/>
          <w:kern w:val="28"/>
          <w:szCs w:val="56"/>
        </w:rPr>
        <w:t>Décimo primero.</w:t>
      </w:r>
      <w:r w:rsidRPr="00B35732">
        <w:rPr>
          <w:i/>
          <w:kern w:val="28"/>
          <w:szCs w:val="56"/>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B35732">
        <w:rPr>
          <w:b/>
          <w:i/>
          <w:kern w:val="28"/>
          <w:szCs w:val="56"/>
        </w:rPr>
        <w:t>”</w:t>
      </w:r>
    </w:p>
    <w:p w14:paraId="5A59E142" w14:textId="77777777" w:rsidR="00D57F5A" w:rsidRPr="00B35732" w:rsidRDefault="00D57F5A" w:rsidP="00CC7286"/>
    <w:p w14:paraId="4523854E" w14:textId="77777777" w:rsidR="00D57F5A" w:rsidRPr="00B35732" w:rsidRDefault="00D57F5A" w:rsidP="00CC7286">
      <w:pPr>
        <w:rPr>
          <w:lang w:eastAsia="es-CO"/>
        </w:rPr>
      </w:pPr>
      <w:r w:rsidRPr="00B35732">
        <w:t xml:space="preserve">Consecuentemente, se destaca que la versión pública que elabore </w:t>
      </w:r>
      <w:r w:rsidRPr="00B35732">
        <w:rPr>
          <w:b/>
        </w:rPr>
        <w:t>EL SUJETO OBLIGADO</w:t>
      </w:r>
      <w:r w:rsidRPr="00B35732">
        <w:t xml:space="preserve"> debe cumplir con las formalidades exigidas en la Ley, por lo que para tal efecto emitirá el </w:t>
      </w:r>
      <w:r w:rsidRPr="00B35732">
        <w:rPr>
          <w:b/>
        </w:rPr>
        <w:t>Acuerdo del Comité de Transparencia</w:t>
      </w:r>
      <w:r w:rsidRPr="00B35732">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B35732">
        <w:rPr>
          <w:lang w:eastAsia="es-CO"/>
        </w:rPr>
        <w:t>,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7EBDE37D" w14:textId="77777777" w:rsidR="00D57F5A" w:rsidRPr="00B35732" w:rsidRDefault="00D57F5A" w:rsidP="00CC7286">
      <w:pPr>
        <w:rPr>
          <w:lang w:eastAsia="es-CO"/>
        </w:rPr>
      </w:pPr>
    </w:p>
    <w:p w14:paraId="55CD30AA" w14:textId="77777777" w:rsidR="00D57F5A" w:rsidRPr="00B35732" w:rsidRDefault="00D57F5A" w:rsidP="00CC7286">
      <w:r w:rsidRPr="00B35732">
        <w:t>Es importante señalar que, para el caso en concreto, se deben tomar en consideración los siguientes datos que de manera enunciativa más no limitativa se pudieran clasificar como confidenciales:</w:t>
      </w:r>
    </w:p>
    <w:p w14:paraId="3BD0C625" w14:textId="77777777" w:rsidR="00D57F5A" w:rsidRPr="00B35732" w:rsidRDefault="00D57F5A" w:rsidP="00CC7286">
      <w:pPr>
        <w:rPr>
          <w:lang w:eastAsia="es-CO"/>
        </w:rPr>
      </w:pPr>
    </w:p>
    <w:p w14:paraId="534E51DB" w14:textId="77777777" w:rsidR="00D57F5A" w:rsidRPr="00B35732" w:rsidRDefault="00D57F5A" w:rsidP="00CC7286">
      <w:pPr>
        <w:numPr>
          <w:ilvl w:val="0"/>
          <w:numId w:val="35"/>
        </w:numPr>
      </w:pPr>
      <w:r w:rsidRPr="00B35732">
        <w:rPr>
          <w:rFonts w:cs="Arial"/>
          <w:b/>
          <w:lang w:val="es-ES_tradnl" w:eastAsia="es-MX"/>
        </w:rPr>
        <w:t>Registro Federal de Contribuyentes</w:t>
      </w:r>
      <w:r w:rsidRPr="00B35732">
        <w:rPr>
          <w:rFonts w:cs="Arial"/>
          <w:lang w:val="es-ES_tradnl" w:eastAsia="es-MX"/>
        </w:rPr>
        <w:t xml:space="preserve"> </w:t>
      </w:r>
      <w:r w:rsidRPr="00B35732">
        <w:rPr>
          <w:rFonts w:cs="Arial"/>
          <w:b/>
          <w:lang w:val="es-ES_tradnl" w:eastAsia="es-MX"/>
        </w:rPr>
        <w:t>de las personas físicas</w:t>
      </w:r>
    </w:p>
    <w:p w14:paraId="7EA72548" w14:textId="77777777" w:rsidR="00D57F5A" w:rsidRPr="00B35732" w:rsidRDefault="00D57F5A" w:rsidP="00CC7286">
      <w:pPr>
        <w:ind w:left="720"/>
        <w:contextualSpacing/>
      </w:pPr>
    </w:p>
    <w:p w14:paraId="6D4E3C7B" w14:textId="77777777" w:rsidR="00D57F5A" w:rsidRPr="00B35732" w:rsidRDefault="00D57F5A" w:rsidP="00CC7286">
      <w:pPr>
        <w:rPr>
          <w:lang w:val="es-ES_tradnl"/>
        </w:rPr>
      </w:pPr>
      <w:r w:rsidRPr="00B35732">
        <w:rPr>
          <w:rFonts w:cs="Arial"/>
          <w:lang w:val="es-ES_tradnl" w:eastAsia="es-MX"/>
        </w:rPr>
        <w:t xml:space="preserve">Constituye un dato personal, ya que se genera con caracteres alfanuméricos obtenidos a partir del nombre en mayúsculas sin acentos ni diéresis y la fecha de nacimiento de cada persona; es decir la primera letra </w:t>
      </w:r>
      <w:r w:rsidRPr="00B35732">
        <w:rPr>
          <w:rFonts w:cs="Arial"/>
          <w:lang w:val="es-ES_tradnl"/>
        </w:rPr>
        <w:t>del</w:t>
      </w:r>
      <w:r w:rsidRPr="00B35732">
        <w:rPr>
          <w:rFonts w:cs="Arial"/>
          <w:lang w:val="es-ES_tradnl" w:eastAsia="es-MX"/>
        </w:rPr>
        <w:t xml:space="preserve"> apellido paterno; seguida de la primera letra Vocal del primer apellido; </w:t>
      </w:r>
      <w:r w:rsidRPr="00B35732">
        <w:rPr>
          <w:rFonts w:eastAsia="Arial Unicode MS" w:cs="Arial"/>
          <w:lang w:val="es-ES_tradnl"/>
        </w:rPr>
        <w:t>seguida</w:t>
      </w:r>
      <w:r w:rsidRPr="00B35732">
        <w:rPr>
          <w:rFonts w:cs="Arial"/>
          <w:lang w:val="es-ES_tradnl" w:eastAsia="es-MX"/>
        </w:rPr>
        <w:t xml:space="preserve"> de la primera letra del segundo apellido y por último la primera letra del nombre, posterior la fecha de nacimiento año/mes/día</w:t>
      </w:r>
      <w:r w:rsidRPr="00B35732">
        <w:rPr>
          <w:lang w:val="es-ES_tradnl"/>
        </w:rPr>
        <w:t xml:space="preserve"> y finalmente la homoclave; la cual, para su obtención es necesario acreditar personalidad, fecha de nacimiento entre otros con documentos oficiales.</w:t>
      </w:r>
    </w:p>
    <w:p w14:paraId="6D73284D" w14:textId="77777777" w:rsidR="00D57F5A" w:rsidRPr="00B35732" w:rsidRDefault="00D57F5A" w:rsidP="00CC7286">
      <w:pPr>
        <w:rPr>
          <w:lang w:val="es-ES_tradnl"/>
        </w:rPr>
      </w:pPr>
    </w:p>
    <w:p w14:paraId="75DE0848" w14:textId="77777777" w:rsidR="00D57F5A" w:rsidRPr="00B35732" w:rsidRDefault="00D57F5A" w:rsidP="00CC7286">
      <w:pPr>
        <w:rPr>
          <w:b/>
          <w:bCs/>
          <w:lang w:val="es-ES_tradnl"/>
        </w:rPr>
      </w:pPr>
      <w:r w:rsidRPr="00B35732">
        <w:rPr>
          <w:rFonts w:cs="Arial"/>
          <w:lang w:val="es-ES_tradnl" w:eastAsia="es-MX"/>
        </w:rPr>
        <w:t xml:space="preserve">Al respecto, </w:t>
      </w:r>
      <w:r w:rsidRPr="00B35732">
        <w:rPr>
          <w:rFonts w:cs="Arial"/>
          <w:lang w:val="es-ES_tradnl"/>
        </w:rPr>
        <w:t xml:space="preserve">es aplicable el Criterio 19/17 de la Segunda Época, emitido por </w:t>
      </w:r>
      <w:r w:rsidRPr="00B35732">
        <w:rPr>
          <w:rFonts w:eastAsia="Arial Unicode MS" w:cs="Arial"/>
          <w:lang w:val="es-ES_tradnl"/>
        </w:rPr>
        <w:t xml:space="preserve">el Instituto Nacional de </w:t>
      </w:r>
      <w:r w:rsidRPr="00B35732">
        <w:rPr>
          <w:bCs/>
          <w:lang w:val="es-ES_tradnl"/>
        </w:rPr>
        <w:t>Transparencia</w:t>
      </w:r>
      <w:r w:rsidRPr="00B35732">
        <w:rPr>
          <w:rFonts w:eastAsia="Arial Unicode MS" w:cs="Arial"/>
          <w:lang w:val="es-ES_tradnl"/>
        </w:rPr>
        <w:t xml:space="preserve">, Acceso a la </w:t>
      </w:r>
      <w:r w:rsidRPr="00B35732">
        <w:rPr>
          <w:rFonts w:cs="Arial"/>
          <w:lang w:val="es-ES_tradnl"/>
        </w:rPr>
        <w:t>Información</w:t>
      </w:r>
      <w:r w:rsidRPr="00B35732">
        <w:rPr>
          <w:rFonts w:eastAsia="Arial Unicode MS" w:cs="Arial"/>
          <w:lang w:val="es-ES_tradnl"/>
        </w:rPr>
        <w:t xml:space="preserve"> y Protección de Datos Personales,</w:t>
      </w:r>
      <w:r w:rsidRPr="00B35732">
        <w:rPr>
          <w:bCs/>
          <w:lang w:val="es-ES_tradnl"/>
        </w:rPr>
        <w:t xml:space="preserve"> que dice:</w:t>
      </w:r>
      <w:r w:rsidRPr="00B35732">
        <w:rPr>
          <w:b/>
          <w:bCs/>
          <w:lang w:val="es-ES_tradnl"/>
        </w:rPr>
        <w:t xml:space="preserve"> </w:t>
      </w:r>
    </w:p>
    <w:p w14:paraId="61F0AB2A" w14:textId="77777777" w:rsidR="00D57F5A" w:rsidRPr="00B35732" w:rsidRDefault="00D57F5A" w:rsidP="00CC7286">
      <w:pPr>
        <w:rPr>
          <w:b/>
          <w:bCs/>
          <w:lang w:val="es-ES_tradnl"/>
        </w:rPr>
      </w:pPr>
    </w:p>
    <w:p w14:paraId="68E35195" w14:textId="77777777" w:rsidR="00D57F5A" w:rsidRPr="00B35732" w:rsidRDefault="00D57F5A" w:rsidP="00CC7286">
      <w:pPr>
        <w:spacing w:line="240" w:lineRule="auto"/>
        <w:ind w:left="567" w:right="567"/>
        <w:contextualSpacing/>
        <w:rPr>
          <w:i/>
          <w:kern w:val="28"/>
          <w:szCs w:val="56"/>
          <w:lang w:val="es-ES_tradnl"/>
        </w:rPr>
      </w:pPr>
      <w:r w:rsidRPr="00B35732">
        <w:rPr>
          <w:i/>
          <w:kern w:val="28"/>
          <w:szCs w:val="56"/>
          <w:lang w:val="es-ES_tradnl"/>
        </w:rPr>
        <w:t>“</w:t>
      </w:r>
      <w:r w:rsidRPr="00B35732">
        <w:rPr>
          <w:b/>
          <w:i/>
          <w:kern w:val="28"/>
          <w:szCs w:val="56"/>
          <w:lang w:val="es-ES_tradnl"/>
        </w:rPr>
        <w:t>Registro Federal de Contribuyentes (RFC) de personas físicas.</w:t>
      </w:r>
      <w:r w:rsidRPr="00B35732">
        <w:rPr>
          <w:i/>
          <w:kern w:val="28"/>
          <w:szCs w:val="56"/>
          <w:lang w:val="es-ES_tradnl"/>
        </w:rPr>
        <w:t xml:space="preserve"> El RFC es una clave de carácter fiscal, única e irrepetible, que permite identificar al titular, su edad y fecha de nacimiento, </w:t>
      </w:r>
      <w:r w:rsidRPr="00B35732">
        <w:rPr>
          <w:i/>
          <w:kern w:val="28"/>
          <w:szCs w:val="56"/>
          <w:lang w:val="es-ES_tradnl" w:eastAsia="es-MX"/>
        </w:rPr>
        <w:t>por</w:t>
      </w:r>
      <w:r w:rsidRPr="00B35732">
        <w:rPr>
          <w:i/>
          <w:kern w:val="28"/>
          <w:szCs w:val="56"/>
          <w:lang w:val="es-ES_tradnl"/>
        </w:rPr>
        <w:t xml:space="preserve"> lo que es un dato personal de carácter confidencial.</w:t>
      </w:r>
    </w:p>
    <w:p w14:paraId="73BDAD79" w14:textId="77777777" w:rsidR="00D57F5A" w:rsidRPr="00B35732" w:rsidRDefault="00D57F5A" w:rsidP="00CC7286">
      <w:pPr>
        <w:spacing w:line="240" w:lineRule="auto"/>
        <w:ind w:left="567" w:right="567"/>
        <w:contextualSpacing/>
        <w:rPr>
          <w:i/>
          <w:kern w:val="28"/>
          <w:szCs w:val="56"/>
          <w:lang w:val="es-ES_tradnl"/>
        </w:rPr>
      </w:pPr>
      <w:r w:rsidRPr="00B35732">
        <w:rPr>
          <w:i/>
          <w:kern w:val="28"/>
          <w:szCs w:val="56"/>
          <w:lang w:val="es-ES_tradnl"/>
        </w:rPr>
        <w:t xml:space="preserve"> (Énfasis añadido)</w:t>
      </w:r>
    </w:p>
    <w:p w14:paraId="4EB4EDD2" w14:textId="77777777" w:rsidR="00D57F5A" w:rsidRPr="00B35732" w:rsidRDefault="00D57F5A" w:rsidP="00CC7286">
      <w:pPr>
        <w:autoSpaceDE w:val="0"/>
        <w:autoSpaceDN w:val="0"/>
        <w:adjustRightInd w:val="0"/>
        <w:ind w:left="851" w:right="899"/>
        <w:rPr>
          <w:rFonts w:cs="Arial"/>
          <w:lang w:val="es-ES_tradnl"/>
        </w:rPr>
      </w:pPr>
    </w:p>
    <w:p w14:paraId="0E147CAA" w14:textId="77777777" w:rsidR="00D57F5A" w:rsidRPr="00B35732" w:rsidRDefault="00D57F5A" w:rsidP="00CC7286">
      <w:pPr>
        <w:rPr>
          <w:rFonts w:cs="Arial"/>
          <w:lang w:val="es-ES_tradnl"/>
        </w:rPr>
      </w:pPr>
      <w:r w:rsidRPr="00B35732">
        <w:rPr>
          <w:rFonts w:cs="Arial"/>
          <w:lang w:val="es-ES_tradnl" w:eastAsia="es-MX"/>
        </w:rPr>
        <w:t xml:space="preserve">De lo anterior, se desprende que el Registro Federal de Contribuyentes se vincula al nombre de su </w:t>
      </w:r>
      <w:r w:rsidRPr="00B35732">
        <w:rPr>
          <w:bCs/>
          <w:lang w:val="es-ES_tradnl"/>
        </w:rPr>
        <w:t>titular</w:t>
      </w:r>
      <w:r w:rsidRPr="00B35732">
        <w:rPr>
          <w:rFonts w:cs="Arial"/>
          <w:lang w:val="es-ES_tradnl" w:eastAsia="es-MX"/>
        </w:rPr>
        <w:t xml:space="preserve">, permitiendo identificar la edad de la persona y fecha de nacimiento, determinando </w:t>
      </w:r>
      <w:r w:rsidRPr="00B35732">
        <w:rPr>
          <w:rFonts w:cs="Arial"/>
          <w:lang w:val="es-ES_tradnl"/>
        </w:rPr>
        <w:t>l</w:t>
      </w:r>
      <w:r w:rsidRPr="00B35732">
        <w:rPr>
          <w:rFonts w:cs="Arial"/>
          <w:lang w:val="es-ES_tradnl" w:eastAsia="es-MX"/>
        </w:rPr>
        <w:t xml:space="preserve">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w:t>
      </w:r>
      <w:r w:rsidRPr="00B35732">
        <w:rPr>
          <w:lang w:val="es-ES_tradnl" w:eastAsia="es-MX"/>
        </w:rPr>
        <w:t>Municipios</w:t>
      </w:r>
      <w:r w:rsidRPr="00B35732">
        <w:rPr>
          <w:rFonts w:cs="Arial"/>
          <w:lang w:val="es-ES_tradnl" w:eastAsia="es-MX"/>
        </w:rPr>
        <w:t xml:space="preserve"> y </w:t>
      </w:r>
      <w:r w:rsidRPr="00B35732">
        <w:rPr>
          <w:rFonts w:cs="Arial"/>
          <w:lang w:val="es-ES_tradnl"/>
        </w:rPr>
        <w:t>4 fracción XI</w:t>
      </w:r>
      <w:r w:rsidRPr="00B35732">
        <w:rPr>
          <w:rFonts w:cs="Arial"/>
          <w:lang w:val="es-ES_tradnl" w:eastAsia="es-MX"/>
        </w:rPr>
        <w:t xml:space="preserve"> </w:t>
      </w:r>
      <w:r w:rsidRPr="00B35732">
        <w:rPr>
          <w:rFonts w:cs="Arial"/>
          <w:lang w:val="es-ES_tradnl"/>
        </w:rPr>
        <w:t>de la Ley de Protección de Datos Personales en Posesión de Sujetos Obligados del Estado de México y Municipios.</w:t>
      </w:r>
    </w:p>
    <w:p w14:paraId="42FF4466" w14:textId="77777777" w:rsidR="00D57F5A" w:rsidRPr="00B35732" w:rsidRDefault="00D57F5A" w:rsidP="00CC7286">
      <w:pPr>
        <w:rPr>
          <w:rFonts w:cs="Arial"/>
          <w:lang w:val="es-ES_tradnl" w:eastAsia="es-MX"/>
        </w:rPr>
      </w:pPr>
    </w:p>
    <w:p w14:paraId="55EFD133" w14:textId="77777777" w:rsidR="00D57F5A" w:rsidRPr="00B35732" w:rsidRDefault="00D57F5A" w:rsidP="00CC7286">
      <w:pPr>
        <w:numPr>
          <w:ilvl w:val="0"/>
          <w:numId w:val="35"/>
        </w:numPr>
        <w:rPr>
          <w:rFonts w:cs="Arial"/>
          <w:lang w:val="es-ES_tradnl" w:eastAsia="es-MX"/>
        </w:rPr>
      </w:pPr>
      <w:r w:rsidRPr="00B35732">
        <w:rPr>
          <w:rFonts w:cs="Arial"/>
          <w:b/>
          <w:lang w:val="es-ES_tradnl"/>
        </w:rPr>
        <w:t>Clave Única de Registro de Población</w:t>
      </w:r>
    </w:p>
    <w:p w14:paraId="6C396AB1" w14:textId="77777777" w:rsidR="00D57F5A" w:rsidRPr="00B35732" w:rsidRDefault="00D57F5A" w:rsidP="00CC7286">
      <w:pPr>
        <w:ind w:left="720"/>
        <w:contextualSpacing/>
        <w:rPr>
          <w:rFonts w:cs="Arial"/>
          <w:lang w:val="es-ES_tradnl" w:eastAsia="es-MX"/>
        </w:rPr>
      </w:pPr>
    </w:p>
    <w:p w14:paraId="71BEE7FB" w14:textId="77777777" w:rsidR="00D57F5A" w:rsidRPr="00B35732" w:rsidRDefault="00D57F5A" w:rsidP="00CC7286">
      <w:pPr>
        <w:rPr>
          <w:rFonts w:cs="Arial"/>
          <w:lang w:val="es-ES_tradnl" w:eastAsia="es-MX"/>
        </w:rPr>
      </w:pPr>
      <w:r w:rsidRPr="00B35732">
        <w:rPr>
          <w:rFonts w:cs="Arial"/>
          <w:lang w:val="es-ES_tradnl" w:eastAsia="es-MX"/>
        </w:rPr>
        <w:t xml:space="preserve">Constituye un dato personal ya que </w:t>
      </w:r>
      <w:r w:rsidRPr="00B35732">
        <w:rPr>
          <w:lang w:val="es-ES_tradnl" w:eastAsia="es-MX"/>
        </w:rPr>
        <w:t>tiene</w:t>
      </w:r>
      <w:r w:rsidRPr="00B35732">
        <w:rPr>
          <w:rFonts w:cs="Arial"/>
          <w:lang w:val="es-ES_tradnl" w:eastAsia="es-MX"/>
        </w:rPr>
        <w:t xml:space="preserve"> como finalidad registrar a cada una de las personas que integran la población del país, con los datos que permitan certificar y acreditar fehacientemente su identidad, la cual servirá para identificarla de manera individual.</w:t>
      </w:r>
    </w:p>
    <w:p w14:paraId="43D686BD" w14:textId="77777777" w:rsidR="00D57F5A" w:rsidRPr="00B35732" w:rsidRDefault="00D57F5A" w:rsidP="00CC7286">
      <w:pPr>
        <w:rPr>
          <w:rFonts w:cs="Arial"/>
          <w:lang w:val="es-ES_tradnl" w:eastAsia="es-MX"/>
        </w:rPr>
      </w:pPr>
    </w:p>
    <w:p w14:paraId="17FBD28F" w14:textId="77777777" w:rsidR="00D57F5A" w:rsidRPr="00B35732" w:rsidRDefault="00D57F5A" w:rsidP="00CC7286">
      <w:pPr>
        <w:rPr>
          <w:rFonts w:cs="Arial"/>
          <w:lang w:val="es-ES_tradnl" w:eastAsia="es-MX"/>
        </w:rPr>
      </w:pPr>
      <w:r w:rsidRPr="00B35732">
        <w:rPr>
          <w:rFonts w:cs="Arial"/>
          <w:lang w:val="es-ES_tradnl" w:eastAsia="es-MX"/>
        </w:rPr>
        <w:t xml:space="preserve">Lo </w:t>
      </w:r>
      <w:r w:rsidRPr="00B35732">
        <w:rPr>
          <w:lang w:val="es-ES_tradnl" w:eastAsia="es-MX"/>
        </w:rPr>
        <w:t>anterior</w:t>
      </w:r>
      <w:r w:rsidRPr="00B35732">
        <w:rPr>
          <w:rFonts w:cs="Arial"/>
          <w:lang w:val="es-ES_tradnl" w:eastAsia="es-MX"/>
        </w:rPr>
        <w:t xml:space="preserve">, </w:t>
      </w:r>
      <w:r w:rsidRPr="00B35732">
        <w:rPr>
          <w:rFonts w:cs="Arial"/>
          <w:lang w:val="es-ES_tradnl"/>
        </w:rPr>
        <w:t>tiene</w:t>
      </w:r>
      <w:r w:rsidRPr="00B35732">
        <w:rPr>
          <w:rFonts w:cs="Arial"/>
          <w:lang w:val="es-ES_tradnl" w:eastAsia="es-MX"/>
        </w:rPr>
        <w:t xml:space="preserve"> sustento en los artículos 86 y 91 de la Ley General de Población, la cual señala lo siguiente:</w:t>
      </w:r>
    </w:p>
    <w:p w14:paraId="32C97FE2" w14:textId="77777777" w:rsidR="00D57F5A" w:rsidRPr="00B35732" w:rsidRDefault="00D57F5A" w:rsidP="00CC7286">
      <w:pPr>
        <w:rPr>
          <w:rFonts w:cs="Arial"/>
          <w:lang w:val="es-ES_tradnl" w:eastAsia="es-MX"/>
        </w:rPr>
      </w:pPr>
    </w:p>
    <w:p w14:paraId="773BC2F6" w14:textId="77777777" w:rsidR="00D57F5A" w:rsidRPr="00B35732" w:rsidRDefault="00D57F5A" w:rsidP="00CC7286">
      <w:pPr>
        <w:spacing w:line="240" w:lineRule="auto"/>
        <w:ind w:left="567" w:right="567"/>
        <w:contextualSpacing/>
        <w:rPr>
          <w:i/>
          <w:kern w:val="28"/>
          <w:szCs w:val="56"/>
          <w:lang w:val="es-ES_tradnl" w:eastAsia="es-MX"/>
        </w:rPr>
      </w:pPr>
      <w:r w:rsidRPr="00B35732">
        <w:rPr>
          <w:rFonts w:cs="Arial,Bold"/>
          <w:bCs/>
          <w:i/>
          <w:kern w:val="28"/>
          <w:szCs w:val="56"/>
          <w:lang w:val="es-ES_tradnl" w:eastAsia="es-MX"/>
        </w:rPr>
        <w:t>“</w:t>
      </w:r>
      <w:r w:rsidRPr="00B35732">
        <w:rPr>
          <w:rFonts w:cs="Arial,Bold"/>
          <w:b/>
          <w:bCs/>
          <w:i/>
          <w:kern w:val="28"/>
          <w:szCs w:val="56"/>
          <w:lang w:val="es-ES_tradnl" w:eastAsia="es-MX"/>
        </w:rPr>
        <w:t xml:space="preserve">Artículo 86. </w:t>
      </w:r>
      <w:r w:rsidRPr="00B35732">
        <w:rPr>
          <w:i/>
          <w:kern w:val="28"/>
          <w:szCs w:val="56"/>
          <w:lang w:val="es-ES_tradnl" w:eastAsia="es-MX"/>
        </w:rPr>
        <w:t>El Registro Nacional de Población tiene como finalidad registrar a cada una de las personas que integran la población del país, con los datos que permitan certificar y acreditar fehacientemente su identidad.</w:t>
      </w:r>
    </w:p>
    <w:p w14:paraId="4AB34A9B" w14:textId="77777777" w:rsidR="00D57F5A" w:rsidRPr="00B35732" w:rsidRDefault="00D57F5A" w:rsidP="00CC7286">
      <w:pPr>
        <w:spacing w:line="240" w:lineRule="auto"/>
        <w:ind w:left="567" w:right="567"/>
        <w:contextualSpacing/>
        <w:rPr>
          <w:i/>
          <w:kern w:val="28"/>
          <w:szCs w:val="56"/>
          <w:lang w:val="es-ES_tradnl" w:eastAsia="es-MX"/>
        </w:rPr>
      </w:pPr>
      <w:r w:rsidRPr="00B35732">
        <w:rPr>
          <w:rFonts w:cs="Arial,Bold"/>
          <w:b/>
          <w:bCs/>
          <w:i/>
          <w:kern w:val="28"/>
          <w:szCs w:val="56"/>
          <w:lang w:val="es-ES_tradnl" w:eastAsia="es-MX"/>
        </w:rPr>
        <w:t xml:space="preserve">Artículo 91. </w:t>
      </w:r>
      <w:r w:rsidRPr="00B35732">
        <w:rPr>
          <w:b/>
          <w:i/>
          <w:kern w:val="28"/>
          <w:szCs w:val="56"/>
          <w:u w:val="single"/>
          <w:lang w:val="es-ES_tradnl" w:eastAsia="es-MX"/>
        </w:rPr>
        <w:t>Al incorporar a una persona en el Registro Nacional de Población</w:t>
      </w:r>
      <w:r w:rsidRPr="00B35732">
        <w:rPr>
          <w:i/>
          <w:kern w:val="28"/>
          <w:szCs w:val="56"/>
          <w:lang w:val="es-ES_tradnl" w:eastAsia="es-MX"/>
        </w:rPr>
        <w:t xml:space="preserve">, se le asignará una clave </w:t>
      </w:r>
      <w:r w:rsidRPr="00B35732">
        <w:rPr>
          <w:b/>
          <w:i/>
          <w:kern w:val="28"/>
          <w:szCs w:val="56"/>
          <w:u w:val="single"/>
          <w:lang w:val="es-ES_tradnl" w:eastAsia="es-MX"/>
        </w:rPr>
        <w:t>que se denominará Clave Única de Registro de Población</w:t>
      </w:r>
      <w:r w:rsidRPr="00B35732">
        <w:rPr>
          <w:i/>
          <w:kern w:val="28"/>
          <w:szCs w:val="56"/>
          <w:lang w:val="es-ES_tradnl" w:eastAsia="es-MX"/>
        </w:rPr>
        <w:t xml:space="preserve">. </w:t>
      </w:r>
      <w:r w:rsidRPr="00B35732">
        <w:rPr>
          <w:b/>
          <w:i/>
          <w:kern w:val="28"/>
          <w:szCs w:val="56"/>
          <w:u w:val="single"/>
          <w:lang w:val="es-ES_tradnl" w:eastAsia="es-MX"/>
        </w:rPr>
        <w:t>Esta servirá para</w:t>
      </w:r>
      <w:r w:rsidRPr="00B35732">
        <w:rPr>
          <w:i/>
          <w:kern w:val="28"/>
          <w:szCs w:val="56"/>
          <w:lang w:val="es-ES_tradnl" w:eastAsia="es-MX"/>
        </w:rPr>
        <w:t xml:space="preserve"> registrarla e </w:t>
      </w:r>
      <w:r w:rsidRPr="00B35732">
        <w:rPr>
          <w:b/>
          <w:i/>
          <w:kern w:val="28"/>
          <w:szCs w:val="56"/>
          <w:u w:val="single"/>
          <w:lang w:val="es-ES_tradnl" w:eastAsia="es-MX"/>
        </w:rPr>
        <w:t>identificarla en forma individual</w:t>
      </w:r>
      <w:r w:rsidRPr="00B35732">
        <w:rPr>
          <w:i/>
          <w:kern w:val="28"/>
          <w:szCs w:val="56"/>
          <w:lang w:val="es-ES_tradnl" w:eastAsia="es-MX"/>
        </w:rPr>
        <w:t xml:space="preserve">.” </w:t>
      </w:r>
    </w:p>
    <w:p w14:paraId="5B42043C" w14:textId="77777777" w:rsidR="00D57F5A" w:rsidRPr="00B35732" w:rsidRDefault="00D57F5A" w:rsidP="00CC7286">
      <w:pPr>
        <w:spacing w:line="240" w:lineRule="auto"/>
        <w:ind w:left="567" w:right="567"/>
        <w:contextualSpacing/>
        <w:rPr>
          <w:i/>
          <w:kern w:val="28"/>
          <w:szCs w:val="56"/>
          <w:lang w:val="es-ES_tradnl" w:eastAsia="es-MX"/>
        </w:rPr>
      </w:pPr>
      <w:r w:rsidRPr="00B35732">
        <w:rPr>
          <w:i/>
          <w:kern w:val="28"/>
          <w:szCs w:val="56"/>
          <w:lang w:val="es-ES_tradnl" w:eastAsia="es-MX"/>
        </w:rPr>
        <w:t>(Énfasis añadido)</w:t>
      </w:r>
    </w:p>
    <w:p w14:paraId="0EA9492B" w14:textId="77777777" w:rsidR="00D57F5A" w:rsidRPr="00B35732" w:rsidRDefault="00D57F5A" w:rsidP="00CC7286">
      <w:pPr>
        <w:rPr>
          <w:lang w:val="es-ES_tradnl" w:eastAsia="es-MX"/>
        </w:rPr>
      </w:pPr>
    </w:p>
    <w:p w14:paraId="0F68A228" w14:textId="77777777" w:rsidR="00D57F5A" w:rsidRPr="00B35732" w:rsidRDefault="00D57F5A" w:rsidP="00CC7286">
      <w:pPr>
        <w:rPr>
          <w:lang w:val="es-ES_tradnl" w:eastAsia="es-MX"/>
        </w:rPr>
      </w:pPr>
      <w:r w:rsidRPr="00B35732">
        <w:rPr>
          <w:lang w:val="es-ES_tradnl" w:eastAsia="es-MX"/>
        </w:rPr>
        <w:t xml:space="preserve">Ahora bien, la Clave Única de Registro de Población, está integrada de 18 elementos representados por letras y números, que se generan a partir de los datos contenidos en un documento probatorio de </w:t>
      </w:r>
      <w:r w:rsidRPr="00B35732">
        <w:rPr>
          <w:bCs/>
          <w:lang w:val="es-ES_tradnl"/>
        </w:rPr>
        <w:t>identidad</w:t>
      </w:r>
      <w:r w:rsidRPr="00B35732">
        <w:rPr>
          <w:lang w:val="es-ES_tradnl" w:eastAsia="es-MX"/>
        </w:rPr>
        <w:t xml:space="preserve"> (acta de nacimiento, carta de naturalización o documento migratorio), la </w:t>
      </w:r>
      <w:r w:rsidRPr="00B35732">
        <w:rPr>
          <w:rFonts w:cs="Arial"/>
          <w:lang w:val="es-ES_tradnl"/>
        </w:rPr>
        <w:t>cual</w:t>
      </w:r>
      <w:r w:rsidRPr="00B35732">
        <w:rPr>
          <w:lang w:val="es-ES_tradnl" w:eastAsia="es-MX"/>
        </w:rPr>
        <w:t xml:space="preserve"> se integra de</w:t>
      </w:r>
      <w:r w:rsidRPr="00B35732">
        <w:rPr>
          <w:rFonts w:cs="Arial"/>
          <w:lang w:val="es-ES_tradnl" w:eastAsia="es-MX"/>
        </w:rPr>
        <w:t xml:space="preserve"> la primera letra del apellido paterno; seguida de la primera letra Vocal del primer apellido; seguida de la primera letra del segundo apellido y por último la primera letra del nombre; fecha de nacimiento año/mes/día</w:t>
      </w:r>
      <w:r w:rsidRPr="00B35732">
        <w:rPr>
          <w:lang w:val="es-ES_tradnl" w:eastAsia="es-MX"/>
        </w:rPr>
        <w:t xml:space="preserve">; sexo; Entidad Federativa de nacimiento; consonantes internas del nombre y apellidos; un diferenciador de homonimia y siglo; y un digito verificador, que garantizan la correcta integración. </w:t>
      </w:r>
    </w:p>
    <w:p w14:paraId="3C21A077" w14:textId="77777777" w:rsidR="00D57F5A" w:rsidRPr="00B35732" w:rsidRDefault="00D57F5A" w:rsidP="00CC7286">
      <w:pPr>
        <w:rPr>
          <w:lang w:val="es-ES_tradnl" w:eastAsia="es-MX"/>
        </w:rPr>
      </w:pPr>
    </w:p>
    <w:p w14:paraId="7115B717" w14:textId="77777777" w:rsidR="00D57F5A" w:rsidRPr="00B35732" w:rsidRDefault="00D57F5A" w:rsidP="00CC7286">
      <w:pPr>
        <w:rPr>
          <w:rFonts w:cs="Arial"/>
          <w:lang w:val="es-ES_tradnl" w:eastAsia="es-MX"/>
        </w:rPr>
      </w:pPr>
      <w:r w:rsidRPr="00B35732">
        <w:rPr>
          <w:rFonts w:cs="Arial"/>
          <w:lang w:val="es-ES_tradnl" w:eastAsia="es-MX"/>
        </w:rPr>
        <w:lastRenderedPageBreak/>
        <w:t xml:space="preserve">Al respecto, el </w:t>
      </w:r>
      <w:r w:rsidRPr="00B35732">
        <w:rPr>
          <w:rFonts w:eastAsia="Arial Unicode MS" w:cs="Arial"/>
          <w:lang w:val="es-ES_tradnl"/>
        </w:rPr>
        <w:t>Instituto Nacional de Transparencia, Acceso a la Información y Protección de Datos Personales (INAI),</w:t>
      </w:r>
      <w:r w:rsidRPr="00B35732">
        <w:rPr>
          <w:rFonts w:cs="Arial"/>
          <w:lang w:val="es-ES_tradnl" w:eastAsia="es-MX"/>
        </w:rPr>
        <w:t xml:space="preserve"> a través del Criterio 18/17 de la Segunda Época, señala literalmente lo siguiente:</w:t>
      </w:r>
    </w:p>
    <w:p w14:paraId="691DE098" w14:textId="77777777" w:rsidR="00D57F5A" w:rsidRPr="00B35732" w:rsidRDefault="00D57F5A" w:rsidP="00CC7286">
      <w:pPr>
        <w:rPr>
          <w:rFonts w:cs="Arial"/>
          <w:lang w:val="es-ES_tradnl" w:eastAsia="es-MX"/>
        </w:rPr>
      </w:pPr>
    </w:p>
    <w:p w14:paraId="3A3E0F25" w14:textId="77777777" w:rsidR="00D57F5A" w:rsidRPr="00B35732" w:rsidRDefault="00D57F5A" w:rsidP="00CC7286">
      <w:pPr>
        <w:spacing w:line="240" w:lineRule="auto"/>
        <w:ind w:left="567" w:right="567"/>
        <w:contextualSpacing/>
        <w:rPr>
          <w:i/>
          <w:kern w:val="28"/>
          <w:szCs w:val="56"/>
          <w:lang w:val="es-ES_tradnl" w:eastAsia="es-MX"/>
        </w:rPr>
      </w:pPr>
      <w:r w:rsidRPr="00B35732">
        <w:rPr>
          <w:i/>
          <w:kern w:val="28"/>
          <w:szCs w:val="56"/>
          <w:lang w:val="es-ES_tradnl" w:eastAsia="es-MX"/>
        </w:rPr>
        <w:t>“</w:t>
      </w:r>
      <w:r w:rsidRPr="00B35732">
        <w:rPr>
          <w:b/>
          <w:i/>
          <w:kern w:val="28"/>
          <w:szCs w:val="56"/>
          <w:lang w:val="es-ES_tradnl" w:eastAsia="es-MX"/>
        </w:rPr>
        <w:t>Clave Única de Registro de Población (CURP). La Clave Única de Registro de Población</w:t>
      </w:r>
      <w:r w:rsidRPr="00B35732">
        <w:rPr>
          <w:i/>
          <w:kern w:val="28"/>
          <w:szCs w:val="56"/>
          <w:lang w:val="es-ES_tradnl" w:eastAsia="es-MX"/>
        </w:rPr>
        <w:t xml:space="preserve">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79D7D5CE" w14:textId="77777777" w:rsidR="00D57F5A" w:rsidRPr="00B35732" w:rsidRDefault="00D57F5A" w:rsidP="00CC7286">
      <w:pPr>
        <w:spacing w:line="240" w:lineRule="auto"/>
        <w:ind w:left="567" w:right="567"/>
        <w:contextualSpacing/>
        <w:rPr>
          <w:i/>
          <w:kern w:val="28"/>
          <w:szCs w:val="56"/>
          <w:lang w:val="es-ES_tradnl" w:eastAsia="es-MX"/>
        </w:rPr>
      </w:pPr>
      <w:r w:rsidRPr="00B35732">
        <w:rPr>
          <w:i/>
          <w:kern w:val="28"/>
          <w:szCs w:val="56"/>
          <w:lang w:val="es-ES_tradnl" w:eastAsia="es-MX"/>
        </w:rPr>
        <w:t xml:space="preserve"> (Énfasis añadido)</w:t>
      </w:r>
    </w:p>
    <w:p w14:paraId="68323818" w14:textId="77777777" w:rsidR="00D57F5A" w:rsidRPr="00B35732" w:rsidRDefault="00D57F5A" w:rsidP="00CC7286">
      <w:pPr>
        <w:autoSpaceDE w:val="0"/>
        <w:autoSpaceDN w:val="0"/>
        <w:adjustRightInd w:val="0"/>
        <w:ind w:left="851" w:right="902"/>
        <w:rPr>
          <w:rFonts w:cs="Arial"/>
          <w:lang w:val="es-ES_tradnl"/>
        </w:rPr>
      </w:pPr>
    </w:p>
    <w:p w14:paraId="699EDF16" w14:textId="77777777" w:rsidR="00D57F5A" w:rsidRPr="00B35732" w:rsidRDefault="00D57F5A" w:rsidP="00CC7286">
      <w:pPr>
        <w:rPr>
          <w:rFonts w:cs="Arial"/>
          <w:lang w:val="es-ES_tradnl" w:eastAsia="es-MX"/>
        </w:rPr>
      </w:pPr>
      <w:r w:rsidRPr="00B35732">
        <w:rPr>
          <w:rFonts w:cs="Arial"/>
          <w:lang w:val="es-ES_tradnl" w:eastAsia="es-MX"/>
        </w:rPr>
        <w:t xml:space="preserve">De lo anterior, se desprende que la </w:t>
      </w:r>
      <w:r w:rsidRPr="00B35732">
        <w:rPr>
          <w:lang w:val="es-ES_tradnl" w:eastAsia="es-MX"/>
        </w:rPr>
        <w:t xml:space="preserve">Clave Única de Registro de Población, </w:t>
      </w:r>
      <w:r w:rsidRPr="00B35732">
        <w:rPr>
          <w:rFonts w:cs="Arial"/>
          <w:lang w:val="es-ES_tradnl" w:eastAsia="es-MX"/>
        </w:rPr>
        <w:t xml:space="preserve">se encuentra vinculada al nombre y apellidos de la persona, permitiendo identificar fecha y lugar de nacimiento, así como el sexo; datos que únicamente le atañen a su titular, por lo que, ésta constituye un dato </w:t>
      </w:r>
      <w:r w:rsidRPr="00B35732">
        <w:rPr>
          <w:bCs/>
          <w:lang w:val="es-ES_tradnl"/>
        </w:rPr>
        <w:t>personal</w:t>
      </w:r>
      <w:r w:rsidRPr="00B35732">
        <w:rPr>
          <w:rFonts w:cs="Arial"/>
          <w:lang w:val="es-ES_tradnl" w:eastAsia="es-MX"/>
        </w:rPr>
        <w:t xml:space="preserve"> que concierne a una persona física identificada e identificable en términos de los artículos 2, fracción II de la Ley de Transparencia y Acceso a la Información Pública del Estado de México y Municipios y </w:t>
      </w:r>
      <w:r w:rsidRPr="00B35732">
        <w:rPr>
          <w:rFonts w:cs="Arial"/>
          <w:lang w:val="es-ES_tradnl"/>
        </w:rPr>
        <w:t>4, fracción XI</w:t>
      </w:r>
      <w:r w:rsidRPr="00B35732">
        <w:rPr>
          <w:rFonts w:cs="Arial"/>
          <w:lang w:val="es-ES_tradnl" w:eastAsia="es-MX"/>
        </w:rPr>
        <w:t xml:space="preserve"> </w:t>
      </w:r>
      <w:r w:rsidRPr="00B35732">
        <w:rPr>
          <w:rFonts w:cs="Arial"/>
          <w:lang w:val="es-ES_tradnl"/>
        </w:rPr>
        <w:t>de la Ley de Protección de Datos Personales en Posesión de Sujetos Obligados del Estado de México y Municipios</w:t>
      </w:r>
      <w:r w:rsidRPr="00B35732">
        <w:rPr>
          <w:rFonts w:cs="Arial"/>
          <w:lang w:val="es-ES_tradnl" w:eastAsia="es-MX"/>
        </w:rPr>
        <w:t>.</w:t>
      </w:r>
    </w:p>
    <w:p w14:paraId="0EE13E30" w14:textId="77777777" w:rsidR="00D57F5A" w:rsidRPr="00B35732" w:rsidRDefault="00D57F5A" w:rsidP="00CC7286">
      <w:pPr>
        <w:ind w:left="720" w:hanging="360"/>
      </w:pPr>
    </w:p>
    <w:p w14:paraId="721B8031" w14:textId="77777777" w:rsidR="00D57F5A" w:rsidRPr="00B35732" w:rsidRDefault="00D57F5A" w:rsidP="00CC7286">
      <w:pPr>
        <w:numPr>
          <w:ilvl w:val="0"/>
          <w:numId w:val="35"/>
        </w:numPr>
        <w:rPr>
          <w:rFonts w:cs="Arial"/>
          <w:b/>
          <w:lang w:val="es-ES_tradnl"/>
        </w:rPr>
      </w:pPr>
      <w:r w:rsidRPr="00B35732">
        <w:rPr>
          <w:rFonts w:cs="Arial"/>
          <w:b/>
          <w:lang w:val="es-ES_tradnl"/>
        </w:rPr>
        <w:t>Nombre de particulares</w:t>
      </w:r>
    </w:p>
    <w:p w14:paraId="2411BFF4" w14:textId="77777777" w:rsidR="00D57F5A" w:rsidRPr="00B35732" w:rsidRDefault="00D57F5A" w:rsidP="00CC7286">
      <w:pPr>
        <w:ind w:left="720"/>
        <w:contextualSpacing/>
        <w:rPr>
          <w:rFonts w:eastAsia="Palatino Linotype" w:cs="Palatino Linotype"/>
          <w:b/>
          <w:bCs/>
          <w:sz w:val="24"/>
          <w:szCs w:val="24"/>
        </w:rPr>
      </w:pPr>
    </w:p>
    <w:p w14:paraId="57FDB9B3" w14:textId="77777777" w:rsidR="00D57F5A" w:rsidRPr="00B35732" w:rsidRDefault="00D57F5A" w:rsidP="00CC7286">
      <w:pPr>
        <w:widowControl w:val="0"/>
        <w:autoSpaceDE w:val="0"/>
        <w:autoSpaceDN w:val="0"/>
        <w:adjustRightInd w:val="0"/>
        <w:rPr>
          <w:rFonts w:eastAsia="Arial Unicode MS" w:cs="Arial"/>
          <w:lang w:eastAsia="es-MX"/>
        </w:rPr>
      </w:pPr>
      <w:r w:rsidRPr="00B35732">
        <w:rPr>
          <w:lang w:val="es-ES"/>
        </w:rPr>
        <w:t xml:space="preserve">Al respecto, es </w:t>
      </w:r>
      <w:r w:rsidRPr="00B35732">
        <w:rPr>
          <w:rFonts w:eastAsia="Arial Unicode MS" w:cs="Arial"/>
          <w:lang w:eastAsia="es-MX"/>
        </w:rPr>
        <w:t>dable mencionar que el Código Civil del Estado de México vigente señala en su TITULO CUARTO denominado “DEL NOMBRE DE LAS PERSONAS” específicamente en los artículos 2.13 y 2.14 el concepto de “nombre” y la composición de este detalladamente, mismos que se insertan a continuación:</w:t>
      </w:r>
    </w:p>
    <w:p w14:paraId="3BC9DB7F" w14:textId="77777777" w:rsidR="00D57F5A" w:rsidRPr="00B35732" w:rsidRDefault="00D57F5A" w:rsidP="00CC7286">
      <w:pPr>
        <w:widowControl w:val="0"/>
        <w:autoSpaceDE w:val="0"/>
        <w:autoSpaceDN w:val="0"/>
        <w:adjustRightInd w:val="0"/>
        <w:rPr>
          <w:rFonts w:eastAsia="Arial Unicode MS" w:cs="Arial"/>
          <w:lang w:eastAsia="es-MX"/>
        </w:rPr>
      </w:pPr>
    </w:p>
    <w:p w14:paraId="49F67E50" w14:textId="77777777" w:rsidR="00D57F5A" w:rsidRPr="00B35732" w:rsidRDefault="00D57F5A" w:rsidP="00CC7286">
      <w:pPr>
        <w:spacing w:line="240" w:lineRule="auto"/>
        <w:ind w:left="567" w:right="567"/>
        <w:contextualSpacing/>
        <w:rPr>
          <w:b/>
          <w:i/>
          <w:kern w:val="28"/>
          <w:szCs w:val="56"/>
        </w:rPr>
      </w:pPr>
      <w:r w:rsidRPr="00B35732">
        <w:rPr>
          <w:i/>
          <w:kern w:val="28"/>
          <w:szCs w:val="56"/>
        </w:rPr>
        <w:t>“</w:t>
      </w:r>
      <w:r w:rsidRPr="00B35732">
        <w:rPr>
          <w:b/>
          <w:i/>
          <w:kern w:val="28"/>
          <w:szCs w:val="56"/>
        </w:rPr>
        <w:t xml:space="preserve">Concepto del nombre de las personas </w:t>
      </w:r>
    </w:p>
    <w:p w14:paraId="1058A17A" w14:textId="77777777" w:rsidR="00D57F5A" w:rsidRPr="00B35732" w:rsidRDefault="00D57F5A" w:rsidP="00CC7286">
      <w:pPr>
        <w:spacing w:line="240" w:lineRule="auto"/>
        <w:ind w:left="567" w:right="567"/>
        <w:contextualSpacing/>
        <w:rPr>
          <w:i/>
          <w:kern w:val="28"/>
          <w:szCs w:val="56"/>
        </w:rPr>
      </w:pPr>
      <w:r w:rsidRPr="00B35732">
        <w:rPr>
          <w:b/>
          <w:i/>
          <w:kern w:val="28"/>
          <w:szCs w:val="56"/>
        </w:rPr>
        <w:lastRenderedPageBreak/>
        <w:t>Artículo 2.13</w:t>
      </w:r>
      <w:r w:rsidRPr="00B35732">
        <w:rPr>
          <w:i/>
          <w:kern w:val="28"/>
          <w:szCs w:val="56"/>
        </w:rPr>
        <w:t xml:space="preserve">.- El nombre designa e individualiza a una persona. </w:t>
      </w:r>
    </w:p>
    <w:p w14:paraId="333773B4" w14:textId="77777777" w:rsidR="00D57F5A" w:rsidRPr="00B35732" w:rsidRDefault="00D57F5A" w:rsidP="00CC7286">
      <w:pPr>
        <w:spacing w:line="240" w:lineRule="auto"/>
        <w:ind w:left="567" w:right="567"/>
        <w:contextualSpacing/>
        <w:rPr>
          <w:b/>
          <w:i/>
          <w:kern w:val="28"/>
          <w:szCs w:val="56"/>
        </w:rPr>
      </w:pPr>
      <w:r w:rsidRPr="00B35732">
        <w:rPr>
          <w:b/>
          <w:i/>
          <w:kern w:val="28"/>
          <w:szCs w:val="56"/>
        </w:rPr>
        <w:t xml:space="preserve">Composición del nombre de las personas físicas </w:t>
      </w:r>
    </w:p>
    <w:p w14:paraId="715E8493" w14:textId="77777777" w:rsidR="00D57F5A" w:rsidRPr="00B35732" w:rsidRDefault="00D57F5A" w:rsidP="00CC7286">
      <w:pPr>
        <w:spacing w:line="240" w:lineRule="auto"/>
        <w:ind w:left="567" w:right="567"/>
        <w:contextualSpacing/>
        <w:rPr>
          <w:i/>
          <w:kern w:val="28"/>
          <w:szCs w:val="56"/>
        </w:rPr>
      </w:pPr>
      <w:r w:rsidRPr="00B35732">
        <w:rPr>
          <w:b/>
          <w:i/>
          <w:kern w:val="28"/>
          <w:szCs w:val="56"/>
        </w:rPr>
        <w:t>Artículo 2.14</w:t>
      </w:r>
      <w:r w:rsidRPr="00B35732">
        <w:rPr>
          <w:i/>
          <w:kern w:val="28"/>
          <w:szCs w:val="56"/>
        </w:rPr>
        <w:t xml:space="preserve">. El nombre de las personas físicas </w:t>
      </w:r>
      <w:r w:rsidRPr="00B35732">
        <w:rPr>
          <w:b/>
          <w:i/>
          <w:kern w:val="28"/>
          <w:szCs w:val="56"/>
        </w:rPr>
        <w:t>se forma con el sustantivo propio y el primer apellido del padre y el primer apellido de la madre</w:t>
      </w:r>
      <w:r w:rsidRPr="00B35732">
        <w:rPr>
          <w:i/>
          <w:kern w:val="28"/>
          <w:szCs w:val="56"/>
        </w:rPr>
        <w:t xml:space="preserve">, en el orden que, de común acuerdo determinen. En el caso de que el padre y la madre no lleguen a un acuerdo respecto del orden que deben seguir los apellidos del hijo o hija, </w:t>
      </w:r>
      <w:r w:rsidRPr="00B35732">
        <w:rPr>
          <w:b/>
          <w:i/>
          <w:kern w:val="28"/>
          <w:szCs w:val="56"/>
        </w:rPr>
        <w:t>el apellido paterno aparecerá en primer lugar y el apellido materno en segundo lugar</w:t>
      </w:r>
      <w:r w:rsidRPr="00B35732">
        <w:rPr>
          <w:i/>
          <w:kern w:val="28"/>
          <w:szCs w:val="56"/>
        </w:rPr>
        <w:t>. El orden de los apellidos acordado entre padre y madre se considerará preferentemente para los demás hijos e hijas del mismo vínculo. Cuando solo lo reconozca uno de ellos se formará con los apellidos de este, en el mismo orden, con las salvedades que establece el Libro Tercero de este Código.” (Sic)</w:t>
      </w:r>
    </w:p>
    <w:p w14:paraId="5210E07B" w14:textId="77777777" w:rsidR="00D57F5A" w:rsidRPr="00B35732" w:rsidRDefault="00D57F5A" w:rsidP="00CC7286">
      <w:pPr>
        <w:widowControl w:val="0"/>
        <w:autoSpaceDE w:val="0"/>
        <w:autoSpaceDN w:val="0"/>
        <w:adjustRightInd w:val="0"/>
        <w:ind w:right="899"/>
        <w:rPr>
          <w:i/>
        </w:rPr>
      </w:pPr>
    </w:p>
    <w:p w14:paraId="6C80A9DE" w14:textId="77777777" w:rsidR="00D57F5A" w:rsidRPr="00B35732" w:rsidRDefault="00D57F5A" w:rsidP="00CC7286">
      <w:pPr>
        <w:ind w:right="-93"/>
        <w:rPr>
          <w:rFonts w:eastAsia="Calibri" w:cs="Tahoma"/>
          <w:b/>
          <w:bCs/>
          <w:lang w:val="es-ES_tradnl"/>
        </w:rPr>
      </w:pPr>
      <w:r w:rsidRPr="00B35732">
        <w:rPr>
          <w:rFonts w:eastAsia="Calibri" w:cs="Tahoma"/>
          <w:bCs/>
        </w:rPr>
        <w:t xml:space="preserve">Es así que, el nombre de una persona se integra </w:t>
      </w:r>
      <w:r w:rsidRPr="00B35732">
        <w:rPr>
          <w:rFonts w:eastAsia="Calibri" w:cs="Tahoma"/>
          <w:bCs/>
          <w:lang w:val="es-ES_tradnl"/>
        </w:rPr>
        <w:t xml:space="preserve">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B35732">
        <w:rPr>
          <w:rFonts w:eastAsia="Calibri" w:cs="Tahoma"/>
          <w:bCs/>
          <w:i/>
          <w:lang w:val="es-ES_tradnl"/>
        </w:rPr>
        <w:t>per se</w:t>
      </w:r>
      <w:r w:rsidRPr="00B35732">
        <w:rPr>
          <w:rFonts w:eastAsia="Calibri" w:cs="Tahoma"/>
          <w:bCs/>
          <w:lang w:val="es-ES_tradnl"/>
        </w:rPr>
        <w:t xml:space="preserve"> es un elemento que hace a una persona física identificada o identificable, por lo que, </w:t>
      </w:r>
      <w:r w:rsidRPr="00B35732">
        <w:rPr>
          <w:rFonts w:eastAsia="Calibri" w:cs="Tahoma"/>
          <w:b/>
          <w:bCs/>
          <w:lang w:val="es-ES_tradnl"/>
        </w:rPr>
        <w:t>se considera un dato personal.</w:t>
      </w:r>
    </w:p>
    <w:p w14:paraId="1F01AC07" w14:textId="77777777" w:rsidR="00D57F5A" w:rsidRPr="00B35732" w:rsidRDefault="00D57F5A" w:rsidP="00CC7286">
      <w:pPr>
        <w:ind w:left="720" w:hanging="360"/>
      </w:pPr>
    </w:p>
    <w:p w14:paraId="1E313E1E" w14:textId="77777777" w:rsidR="00D57F5A" w:rsidRPr="00B35732" w:rsidRDefault="00D57F5A" w:rsidP="00CC7286">
      <w:pPr>
        <w:numPr>
          <w:ilvl w:val="0"/>
          <w:numId w:val="35"/>
        </w:numPr>
        <w:rPr>
          <w:rFonts w:cs="Arial"/>
          <w:b/>
          <w:lang w:val="es-ES_tradnl"/>
        </w:rPr>
      </w:pPr>
      <w:r w:rsidRPr="00B35732">
        <w:rPr>
          <w:rFonts w:cs="Arial"/>
          <w:b/>
          <w:lang w:val="es-ES_tradnl"/>
        </w:rPr>
        <w:t>Domicilios de particulares</w:t>
      </w:r>
    </w:p>
    <w:p w14:paraId="6228D9DE" w14:textId="77777777" w:rsidR="00D57F5A" w:rsidRPr="00B35732" w:rsidRDefault="00D57F5A" w:rsidP="00CC7286">
      <w:pPr>
        <w:ind w:right="51"/>
        <w:rPr>
          <w:rFonts w:eastAsia="Palatino Linotype" w:cs="Palatino Linotype"/>
        </w:rPr>
      </w:pPr>
    </w:p>
    <w:p w14:paraId="543AF2BD" w14:textId="77777777" w:rsidR="00D57F5A" w:rsidRPr="00B35732" w:rsidRDefault="00D57F5A" w:rsidP="00CC7286">
      <w:pPr>
        <w:rPr>
          <w:rFonts w:cs="Tahoma"/>
          <w:lang w:val="es-ES"/>
        </w:rPr>
      </w:pPr>
      <w:r w:rsidRPr="00B35732">
        <w:rPr>
          <w:rFonts w:cs="Tahoma"/>
          <w:lang w:val="es-ES"/>
        </w:rPr>
        <w:t>De acuerdo con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De la misma manera, lo establece el artículo 29 del Código Civil Federal, al precisar que el domicilio de personas físicas</w:t>
      </w:r>
      <w:r w:rsidRPr="00B35732">
        <w:rPr>
          <w:rFonts w:cs="Tahoma"/>
          <w:b/>
          <w:lang w:val="es-ES"/>
        </w:rPr>
        <w:t>, e</w:t>
      </w:r>
      <w:r w:rsidRPr="00B35732">
        <w:rPr>
          <w:rFonts w:cs="Tahoma"/>
          <w:lang w:val="es-ES"/>
        </w:rPr>
        <w:t>s el lugar donde residen habitualmente, el lugar del centro principal de sus negocios, donde residan o el lugar donde se encuentren.</w:t>
      </w:r>
    </w:p>
    <w:p w14:paraId="747F155F" w14:textId="77777777" w:rsidR="00D57F5A" w:rsidRPr="00B35732" w:rsidRDefault="00D57F5A" w:rsidP="00CC7286">
      <w:pPr>
        <w:rPr>
          <w:rFonts w:cs="Tahoma"/>
          <w:b/>
          <w:lang w:val="es-ES"/>
        </w:rPr>
      </w:pPr>
    </w:p>
    <w:p w14:paraId="4A63E01D" w14:textId="77777777" w:rsidR="00D57F5A" w:rsidRPr="00B35732" w:rsidRDefault="00D57F5A" w:rsidP="00CC7286">
      <w:pPr>
        <w:rPr>
          <w:rFonts w:cs="Tahoma"/>
          <w:lang w:val="es-ES"/>
        </w:rPr>
      </w:pPr>
      <w:r w:rsidRPr="00B35732">
        <w:rPr>
          <w:rFonts w:cs="Tahoma"/>
          <w:lang w:val="es-ES"/>
        </w:rPr>
        <w:t>Además, respecto al domicilio particular se presume que corresponde al lugar donde reside habitualmente</w:t>
      </w:r>
      <w:r w:rsidRPr="00B35732">
        <w:rPr>
          <w:rFonts w:cs="Tahoma"/>
          <w:b/>
          <w:lang w:val="es-ES"/>
        </w:rPr>
        <w:t>.</w:t>
      </w:r>
      <w:r w:rsidRPr="00B35732">
        <w:rPr>
          <w:rFonts w:cs="Tahoma"/>
          <w:lang w:val="es-ES"/>
        </w:rPr>
        <w:t xml:space="preserve"> En ese contexto, la dirección o domicilio es el lugar en donde reside </w:t>
      </w:r>
      <w:r w:rsidRPr="00B35732">
        <w:rPr>
          <w:rFonts w:cs="Tahoma"/>
          <w:lang w:val="es-ES"/>
        </w:rPr>
        <w:lastRenderedPageBreak/>
        <w:t>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Por lo tanto, se actualiza la clasificación, de conformidad con la fracción I, del artículo 143 de la Ley de Transparencia y Acceso a la Información Pública del Estado de México y Municipios.</w:t>
      </w:r>
    </w:p>
    <w:p w14:paraId="74998316" w14:textId="77777777" w:rsidR="00D57F5A" w:rsidRPr="00B35732" w:rsidRDefault="00D57F5A" w:rsidP="00CC7286">
      <w:pPr>
        <w:ind w:left="720"/>
        <w:contextualSpacing/>
        <w:rPr>
          <w:rFonts w:eastAsia="Palatino Linotype" w:cs="Palatino Linotype"/>
          <w:b/>
        </w:rPr>
      </w:pPr>
    </w:p>
    <w:p w14:paraId="4046D8EE" w14:textId="77777777" w:rsidR="00D57F5A" w:rsidRPr="00B35732" w:rsidRDefault="00D57F5A" w:rsidP="00CC7286">
      <w:pPr>
        <w:numPr>
          <w:ilvl w:val="0"/>
          <w:numId w:val="35"/>
        </w:numPr>
        <w:rPr>
          <w:rFonts w:cs="Arial"/>
          <w:b/>
          <w:lang w:val="es-ES_tradnl"/>
        </w:rPr>
      </w:pPr>
      <w:bookmarkStart w:id="63" w:name="_Hlk200528966"/>
      <w:r w:rsidRPr="00B35732">
        <w:rPr>
          <w:rFonts w:cs="Arial"/>
          <w:b/>
          <w:lang w:val="es-ES_tradnl"/>
        </w:rPr>
        <w:t>Teléfono de particulares</w:t>
      </w:r>
    </w:p>
    <w:p w14:paraId="78FCF8B3" w14:textId="77777777" w:rsidR="00D57F5A" w:rsidRPr="00B35732" w:rsidRDefault="00D57F5A" w:rsidP="00CC7286">
      <w:pPr>
        <w:ind w:left="720"/>
        <w:contextualSpacing/>
        <w:rPr>
          <w:rFonts w:cs="Arial"/>
          <w:b/>
          <w:lang w:val="es-ES_tradnl"/>
        </w:rPr>
      </w:pPr>
    </w:p>
    <w:p w14:paraId="1BDDEDDB" w14:textId="77777777" w:rsidR="00D57F5A" w:rsidRPr="00B35732" w:rsidRDefault="00D57F5A" w:rsidP="00CC7286">
      <w:pPr>
        <w:rPr>
          <w:rFonts w:cs="Tahoma"/>
          <w:lang w:val="es-ES"/>
        </w:rPr>
      </w:pPr>
      <w:r w:rsidRPr="00B35732">
        <w:rPr>
          <w:rFonts w:eastAsia="Palatino Linotype" w:cs="Palatino Linotype"/>
        </w:rPr>
        <w:t xml:space="preserve">El número de teléfono permite localizar a una persona física identificada o identificable, por lo que se considera dato personal confidencial, conforme a lo dispuesto en </w:t>
      </w:r>
      <w:r w:rsidRPr="00B35732">
        <w:rPr>
          <w:rFonts w:cs="Tahoma"/>
          <w:lang w:val="es-ES"/>
        </w:rPr>
        <w:t xml:space="preserve">la fracción I, del artículo 143 de la Ley de Transparencia y Acceso a la Información Pública del Estado de México y Municipios, </w:t>
      </w:r>
      <w:r w:rsidRPr="00B35732">
        <w:rPr>
          <w:rFonts w:cs="Tahoma"/>
        </w:rPr>
        <w:t>ya que solo podrá otorgarse mediante el consentimiento de su titular.</w:t>
      </w:r>
    </w:p>
    <w:bookmarkEnd w:id="63"/>
    <w:p w14:paraId="2BFAA3BB" w14:textId="77777777" w:rsidR="00D57F5A" w:rsidRPr="00B35732" w:rsidRDefault="00D57F5A" w:rsidP="00CC7286">
      <w:pPr>
        <w:rPr>
          <w:rFonts w:eastAsia="Palatino Linotype" w:cs="Palatino Linotype"/>
          <w:lang w:val="es-ES"/>
        </w:rPr>
      </w:pPr>
    </w:p>
    <w:p w14:paraId="4968071D" w14:textId="77777777" w:rsidR="00D57F5A" w:rsidRPr="00B35732" w:rsidRDefault="00D57F5A" w:rsidP="00CC7286">
      <w:pPr>
        <w:numPr>
          <w:ilvl w:val="0"/>
          <w:numId w:val="35"/>
        </w:numPr>
        <w:rPr>
          <w:rFonts w:cs="Arial"/>
          <w:b/>
          <w:lang w:val="es-ES_tradnl"/>
        </w:rPr>
      </w:pPr>
      <w:r w:rsidRPr="00B35732">
        <w:rPr>
          <w:rFonts w:cs="Arial"/>
          <w:b/>
          <w:lang w:val="es-ES_tradnl"/>
        </w:rPr>
        <w:t xml:space="preserve">Correo electrónico </w:t>
      </w:r>
    </w:p>
    <w:p w14:paraId="36E5B6A2" w14:textId="77777777" w:rsidR="00D57F5A" w:rsidRPr="00B35732" w:rsidRDefault="00D57F5A" w:rsidP="00CC7286">
      <w:pPr>
        <w:rPr>
          <w:rFonts w:eastAsia="Palatino Linotype" w:cs="Palatino Linotype"/>
          <w:lang w:val="es-ES"/>
        </w:rPr>
      </w:pPr>
    </w:p>
    <w:p w14:paraId="259C2930" w14:textId="77777777" w:rsidR="00D57F5A" w:rsidRPr="00B35732" w:rsidRDefault="00D57F5A" w:rsidP="00CC7286">
      <w:r w:rsidRPr="00B35732">
        <w:t xml:space="preserve">El </w:t>
      </w:r>
      <w:r w:rsidRPr="00B35732">
        <w:rPr>
          <w:b/>
        </w:rPr>
        <w:t>correo electrónico</w:t>
      </w:r>
      <w:r w:rsidRPr="00B35732">
        <w:t xml:space="preserve"> debe entenderse como el sistema de comunicación y transmisión de mensajes por computadora u otro dispositivo electrónico a través de redes informáticas, para fines personales o bien constituye una herramienta de trabajo para el desempeño de las facultades, competencias o funciones de las personas usuarias y unidades administrativas en la relación laboral.</w:t>
      </w:r>
    </w:p>
    <w:p w14:paraId="72E4E316" w14:textId="77777777" w:rsidR="00D57F5A" w:rsidRPr="00B35732" w:rsidRDefault="00D57F5A" w:rsidP="00CC7286"/>
    <w:p w14:paraId="51E8BC3A" w14:textId="77777777" w:rsidR="00D57F5A" w:rsidRPr="00B35732" w:rsidRDefault="00D57F5A" w:rsidP="00CC7286">
      <w:r w:rsidRPr="00B35732">
        <w:t>En ese sentido, si el correo electrónico es de carácter institucional, el mismo deberá de entregarse al considerarse de carácter público, para tal efecto, se cita el criterio</w:t>
      </w:r>
    </w:p>
    <w:p w14:paraId="6889D303" w14:textId="77777777" w:rsidR="00D57F5A" w:rsidRPr="00B35732" w:rsidRDefault="00D57F5A" w:rsidP="00CC7286"/>
    <w:p w14:paraId="0A71010B" w14:textId="77777777" w:rsidR="00D57F5A" w:rsidRPr="00B35732" w:rsidRDefault="00D57F5A" w:rsidP="00CC7286">
      <w:pPr>
        <w:spacing w:line="240" w:lineRule="auto"/>
        <w:ind w:left="567" w:right="567"/>
        <w:contextualSpacing/>
        <w:rPr>
          <w:i/>
          <w:kern w:val="28"/>
          <w:szCs w:val="56"/>
        </w:rPr>
      </w:pPr>
      <w:r w:rsidRPr="00B35732">
        <w:rPr>
          <w:i/>
          <w:kern w:val="28"/>
          <w:szCs w:val="56"/>
        </w:rPr>
        <w:t>“</w:t>
      </w:r>
      <w:r w:rsidRPr="00B35732">
        <w:rPr>
          <w:b/>
          <w:bCs/>
          <w:i/>
          <w:kern w:val="28"/>
          <w:szCs w:val="56"/>
        </w:rPr>
        <w:t>CORREO ELECTRÓNICO INSTITUCIONAL. LA INFORMACIÓN GENERADA, POSEÍDA O ADMINISTRADA, A TRAVÉS DE AQUÉL POR EL SERVIDOR PÚBLICO TITULAR DE LA CUENTA, ES DE CARÁCTER PÚBLICO</w:t>
      </w:r>
      <w:r w:rsidRPr="00B35732">
        <w:rPr>
          <w:i/>
          <w:kern w:val="28"/>
          <w:szCs w:val="56"/>
        </w:rPr>
        <w:t>. De conformidad con los artículos 6, apartado A, fracción I de la Constitución Política de los Estados Unidos Mexicanos; 4, párrafo segundo y 9, fracción VII de la Ley de Transparencia y Acceso a la Información Pública del Estado de México y Municipios, toda la información en posesión de cualquier Sujeto Obligado es pública y sólo podrá ser reservada temporalmente por razones de interés público y seguridad nacional, mandatando el deber de documentar todo acto que derive del ejercicio de sus facultades, competencias o funciones. Asimismo, el diverso numeral 3, fracción XI, de la Ley de Transparencia de la Entidad, señala que por documento público se entiende para efectos de esta materia, entre otros, a cualquier registro que dé cuenta del ejercicio de las facultades, funciones y competencias de los sujetos obligados y sus servidores públicos sin importar su fuente o fecha de elaboración y que se encuentra contenida en cualquier medio, sea escrito, impreso, sonoro, visual, electrónico, informático u holográfico; de igual manera, el numeral quincuagésimo sexto de los Lineamientos para la organización y conservación de los Archivos emitidos por el Consejo Nacional del Sistema Nacional de Transparencia, Acceso a la información Pública y Protección de Datos Personales, esencialmente señala que, los correos electrónicos que deriven del ejercicio de las facultades, competencias o funciones de los Sujetos Obligados deberán organizarse y conservarse. Bajo ese orden de ideas, de la interpretación sistémica de los ordenamientos normativos en cita, se desprende que la información generada, poseída o administrada, a través del correo electrónico institucional, es de carácter público, en virtud de que dicho medio, es una herramienta de trabajo de los servidores públicos para la comunicación, intercambio o recepción de información derivada del ejercicio de sus atribuciones legales y registrada en medios electrónicos o informáticos, que los Sujetos Obligados generaron, obtuvieron, adquirieron, transformaron o conservaron por cualquier título. Por tanto, la información inmersa en los correos electrónicos institucionales es susceptible de entregarse para colmar una solicitud de información, sin pasar por alto que, si de aquella se desprenden datos considerados como confidenciales o reservados, el Sujeto Obligado se someterá a los procedimientos establecidos para efecto de la clasificación correspondiente.”</w:t>
      </w:r>
    </w:p>
    <w:p w14:paraId="2C41CC81" w14:textId="77777777" w:rsidR="00D57F5A" w:rsidRPr="00B35732" w:rsidRDefault="00D57F5A" w:rsidP="00CC7286">
      <w:pPr>
        <w:rPr>
          <w:i/>
        </w:rPr>
      </w:pPr>
    </w:p>
    <w:p w14:paraId="734F2B9B" w14:textId="77777777" w:rsidR="00D57F5A" w:rsidRPr="00B35732" w:rsidRDefault="00D57F5A" w:rsidP="00CC7286">
      <w:r w:rsidRPr="00B35732">
        <w:t>Así, si es de carácter personal, el mismo deberá de clasificarse como confidencial actualizarse la causal de clasificación establecida en el artículo 143, fracción I, de la Ley de Transparencia y Acceso a la Información Pública del Estado de México y Municipios.</w:t>
      </w:r>
    </w:p>
    <w:p w14:paraId="3F48C2BC" w14:textId="77777777" w:rsidR="00D57F5A" w:rsidRPr="00B35732" w:rsidRDefault="00D57F5A" w:rsidP="00CC7286">
      <w:pPr>
        <w:rPr>
          <w:rFonts w:eastAsia="Palatino Linotype" w:cs="Palatino Linotype"/>
        </w:rPr>
      </w:pPr>
    </w:p>
    <w:p w14:paraId="65636FA6" w14:textId="77777777" w:rsidR="00D57F5A" w:rsidRPr="00B35732" w:rsidRDefault="00D57F5A" w:rsidP="00CC7286">
      <w:pPr>
        <w:numPr>
          <w:ilvl w:val="0"/>
          <w:numId w:val="35"/>
        </w:numPr>
        <w:rPr>
          <w:rFonts w:cs="Arial"/>
          <w:b/>
          <w:lang w:val="es-ES_tradnl"/>
        </w:rPr>
      </w:pPr>
      <w:r w:rsidRPr="00B35732">
        <w:rPr>
          <w:rFonts w:cs="Arial"/>
          <w:b/>
          <w:lang w:val="es-ES_tradnl"/>
        </w:rPr>
        <w:t>Teléfono de particulares</w:t>
      </w:r>
    </w:p>
    <w:p w14:paraId="32BF2CD7" w14:textId="77777777" w:rsidR="00D57F5A" w:rsidRPr="00B35732" w:rsidRDefault="00D57F5A" w:rsidP="00CC7286">
      <w:pPr>
        <w:rPr>
          <w:rFonts w:eastAsia="Palatino Linotype" w:cs="Palatino Linotype"/>
        </w:rPr>
      </w:pPr>
    </w:p>
    <w:p w14:paraId="6B27FF68" w14:textId="77777777" w:rsidR="00D57F5A" w:rsidRPr="00B35732" w:rsidRDefault="00D57F5A" w:rsidP="00CC7286">
      <w:r w:rsidRPr="00B35732">
        <w:t xml:space="preserve">El número asignado a un </w:t>
      </w:r>
      <w:r w:rsidRPr="00B35732">
        <w:rPr>
          <w:b/>
        </w:rPr>
        <w:t>teléfono particular</w:t>
      </w:r>
      <w:r w:rsidRPr="00B35732">
        <w:t xml:space="preserve"> permite localizar a una persona física identificada o identificable, ya sea a través de un dispositivo móvil o bien, en un lugar como el domicilio; en ese sentido, el número contacto, permite localizar de manera privada a las personas físicas o servidores públicos; por lo que, la titularidad corresponde a la persona física en su calidad de particular y no como servidor público. En tales consideraciones, dicho dato personal es susceptible de ser clasificado como confidencial, con fundamento en el artículo 143, fracción I de la Ley de Transparencia y Acceso a la Información Pública.</w:t>
      </w:r>
    </w:p>
    <w:p w14:paraId="787E27AC" w14:textId="77777777" w:rsidR="00D57F5A" w:rsidRPr="00B35732" w:rsidRDefault="00D57F5A" w:rsidP="00CC7286">
      <w:pPr>
        <w:rPr>
          <w:rFonts w:eastAsia="Palatino Linotype" w:cs="Palatino Linotype"/>
        </w:rPr>
      </w:pPr>
    </w:p>
    <w:p w14:paraId="1AC4EB18" w14:textId="77777777" w:rsidR="00D57F5A" w:rsidRPr="00B35732" w:rsidRDefault="00D57F5A" w:rsidP="00CC7286">
      <w:pPr>
        <w:numPr>
          <w:ilvl w:val="0"/>
          <w:numId w:val="35"/>
        </w:numPr>
        <w:rPr>
          <w:rFonts w:cs="Arial"/>
          <w:b/>
          <w:lang w:val="es-ES_tradnl"/>
        </w:rPr>
      </w:pPr>
      <w:r w:rsidRPr="00B35732">
        <w:rPr>
          <w:rFonts w:cs="Arial"/>
          <w:b/>
          <w:lang w:val="es-ES_tradnl"/>
        </w:rPr>
        <w:t>Firma de particulares</w:t>
      </w:r>
    </w:p>
    <w:p w14:paraId="0F7BCA11" w14:textId="77777777" w:rsidR="00D57F5A" w:rsidRPr="00B35732" w:rsidRDefault="00D57F5A" w:rsidP="00CC7286">
      <w:pPr>
        <w:ind w:left="720"/>
        <w:contextualSpacing/>
        <w:rPr>
          <w:rFonts w:cs="Arial"/>
          <w:b/>
          <w:lang w:val="es-ES_tradnl"/>
        </w:rPr>
      </w:pPr>
    </w:p>
    <w:p w14:paraId="1B03B98E" w14:textId="77777777" w:rsidR="00D57F5A" w:rsidRPr="00B35732" w:rsidRDefault="00D57F5A" w:rsidP="00CC7286">
      <w:pPr>
        <w:rPr>
          <w:rFonts w:eastAsia="Palatino Linotype" w:cs="Palatino Linotype"/>
        </w:rPr>
      </w:pPr>
      <w:r w:rsidRPr="00B35732">
        <w:rPr>
          <w:rFonts w:eastAsia="Palatino Linotype" w:cs="Palatino Linotype"/>
        </w:rPr>
        <w:t xml:space="preserve">Por otro lado, respecto a la </w:t>
      </w:r>
      <w:r w:rsidRPr="00B35732">
        <w:rPr>
          <w:rFonts w:eastAsia="Palatino Linotype" w:cs="Palatino Linotype"/>
          <w:b/>
        </w:rPr>
        <w:t xml:space="preserve">firma, </w:t>
      </w:r>
      <w:r w:rsidRPr="00B35732">
        <w:rPr>
          <w:rFonts w:eastAsia="Palatino Linotype" w:cs="Palatino Linotype"/>
        </w:rPr>
        <w:t xml:space="preserve">es necesario precisar que ésta es considerada un dato personal concerniente a una persona física identificada o identificable, al tratarse de información gráfica a través de la cual su titular exterioriza su voluntad en actos públicos y privados.   </w:t>
      </w:r>
    </w:p>
    <w:p w14:paraId="78F24C15" w14:textId="77777777" w:rsidR="00D57F5A" w:rsidRPr="00B35732" w:rsidRDefault="00D57F5A" w:rsidP="00CC7286">
      <w:pPr>
        <w:rPr>
          <w:rFonts w:eastAsia="Palatino Linotype" w:cs="Palatino Linotype"/>
        </w:rPr>
      </w:pPr>
    </w:p>
    <w:p w14:paraId="025DB71F" w14:textId="77777777" w:rsidR="00D57F5A" w:rsidRPr="00B35732" w:rsidRDefault="00D57F5A" w:rsidP="00CC7286">
      <w:pPr>
        <w:rPr>
          <w:rFonts w:cs="Tahoma"/>
          <w:lang w:val="es-ES"/>
        </w:rPr>
      </w:pPr>
      <w:r w:rsidRPr="00B35732">
        <w:rPr>
          <w:rFonts w:cs="Tahoma"/>
          <w:lang w:val="es-ES"/>
        </w:rPr>
        <w:t>Por lo tanto, se actualiza la clasificación, de conformidad con la fracción I, del artículo 143 de la Ley de Transparencia y Acceso a la Información Pública del Estado de México y Municipios.</w:t>
      </w:r>
    </w:p>
    <w:p w14:paraId="6046CC8B" w14:textId="77777777" w:rsidR="00D57F5A" w:rsidRPr="00B35732" w:rsidRDefault="00D57F5A" w:rsidP="00CC7286">
      <w:pPr>
        <w:rPr>
          <w:rFonts w:eastAsia="Palatino Linotype" w:cs="Palatino Linotype"/>
          <w:lang w:val="es-ES"/>
        </w:rPr>
      </w:pPr>
    </w:p>
    <w:p w14:paraId="1721D7C1" w14:textId="77777777" w:rsidR="00D57F5A" w:rsidRPr="00B35732" w:rsidRDefault="00D57F5A" w:rsidP="00CC7286">
      <w:pPr>
        <w:numPr>
          <w:ilvl w:val="0"/>
          <w:numId w:val="36"/>
        </w:numPr>
        <w:rPr>
          <w:lang w:eastAsia="es-CO"/>
        </w:rPr>
      </w:pPr>
      <w:r w:rsidRPr="00B35732">
        <w:rPr>
          <w:rFonts w:eastAsia="Palatino Linotype" w:cs="Palatino Linotype"/>
          <w:b/>
          <w:bCs/>
        </w:rPr>
        <w:t>Número de folio de identificación oficial</w:t>
      </w:r>
    </w:p>
    <w:p w14:paraId="085EB6C5" w14:textId="77777777" w:rsidR="00D57F5A" w:rsidRPr="00B35732" w:rsidRDefault="00D57F5A" w:rsidP="00CC7286">
      <w:pPr>
        <w:ind w:left="720"/>
        <w:contextualSpacing/>
        <w:rPr>
          <w:lang w:eastAsia="es-CO"/>
        </w:rPr>
      </w:pPr>
    </w:p>
    <w:p w14:paraId="34966B20" w14:textId="77777777" w:rsidR="00D57F5A" w:rsidRPr="00B35732" w:rsidRDefault="00D57F5A" w:rsidP="00CC7286">
      <w:pPr>
        <w:rPr>
          <w:rFonts w:cs="Tahoma"/>
          <w:lang w:val="es-ES"/>
        </w:rPr>
      </w:pPr>
      <w:r w:rsidRPr="00B35732">
        <w:rPr>
          <w:lang w:eastAsia="es-CO"/>
        </w:rPr>
        <w:t xml:space="preserve">El número de folio de identificación oficial del INE, es el código único y personal que se entrega con cada credencial y permite ubicar eficientemente los datos en el Sistema del Instituto Nacional Electoral, </w:t>
      </w:r>
      <w:r w:rsidRPr="00B35732">
        <w:rPr>
          <w:rFonts w:eastAsia="Palatino Linotype" w:cs="Palatino Linotype"/>
        </w:rPr>
        <w:t xml:space="preserve">por lo que se considera dato personal confidencial, conforme a lo </w:t>
      </w:r>
      <w:r w:rsidRPr="00B35732">
        <w:rPr>
          <w:rFonts w:eastAsia="Palatino Linotype" w:cs="Palatino Linotype"/>
        </w:rPr>
        <w:lastRenderedPageBreak/>
        <w:t xml:space="preserve">dispuesto en </w:t>
      </w:r>
      <w:r w:rsidRPr="00B35732">
        <w:rPr>
          <w:rFonts w:cs="Tahoma"/>
          <w:lang w:val="es-ES"/>
        </w:rPr>
        <w:t>la fracción I, del artículo 143 de la Ley de Transparencia y Acceso a la Información Pública del Estado de México y Municipios</w:t>
      </w:r>
      <w:r w:rsidRPr="00B35732">
        <w:rPr>
          <w:rFonts w:cs="Tahoma"/>
        </w:rPr>
        <w:t>.</w:t>
      </w:r>
    </w:p>
    <w:p w14:paraId="09987003" w14:textId="77777777" w:rsidR="00D57F5A" w:rsidRPr="00B35732" w:rsidRDefault="00D57F5A" w:rsidP="00CC7286">
      <w:pPr>
        <w:rPr>
          <w:rFonts w:eastAsia="Palatino Linotype" w:cs="Palatino Linotype"/>
          <w:lang w:val="es-ES"/>
        </w:rPr>
      </w:pPr>
    </w:p>
    <w:p w14:paraId="380DDE36" w14:textId="77777777" w:rsidR="00D57F5A" w:rsidRPr="00B35732" w:rsidRDefault="00D57F5A" w:rsidP="00CC7286">
      <w:pPr>
        <w:rPr>
          <w:rFonts w:eastAsia="Palatino Linotype" w:cs="Palatino Linotype"/>
          <w:szCs w:val="22"/>
          <w:lang w:eastAsia="es-MX"/>
        </w:rPr>
      </w:pPr>
      <w:r w:rsidRPr="00B35732">
        <w:rPr>
          <w:rFonts w:eastAsia="Palatino Linotype" w:cs="Palatino Linotype"/>
          <w:szCs w:val="22"/>
          <w:lang w:eastAsia="es-MX"/>
        </w:rPr>
        <w:t xml:space="preserve">Por otra parte, si </w:t>
      </w:r>
      <w:r w:rsidRPr="00B35732">
        <w:rPr>
          <w:rFonts w:eastAsia="Palatino Linotype" w:cs="Palatino Linotype"/>
          <w:b/>
          <w:szCs w:val="22"/>
          <w:lang w:eastAsia="es-MX"/>
        </w:rPr>
        <w:t>EL SUJETO OBLIGADO</w:t>
      </w:r>
      <w:r w:rsidRPr="00B35732">
        <w:rPr>
          <w:rFonts w:eastAsia="Palatino Linotype" w:cs="Palatino Linotype"/>
          <w:szCs w:val="22"/>
          <w:lang w:eastAsia="es-MX"/>
        </w:rPr>
        <w:t xml:space="preserve"> </w:t>
      </w:r>
      <w:r w:rsidRPr="00B35732">
        <w:rPr>
          <w:rFonts w:eastAsia="Palatino Linotype" w:cs="Palatino Linotype"/>
          <w:b/>
          <w:bCs/>
          <w:szCs w:val="22"/>
          <w:lang w:eastAsia="es-MX"/>
        </w:rPr>
        <w:t>advierte información</w:t>
      </w:r>
      <w:r w:rsidRPr="00B35732">
        <w:rPr>
          <w:rFonts w:eastAsia="Palatino Linotype" w:cs="Palatino Linotype"/>
          <w:szCs w:val="22"/>
          <w:lang w:eastAsia="es-MX"/>
        </w:rPr>
        <w:t xml:space="preserve"> que, por su propia y especial naturaleza, </w:t>
      </w:r>
      <w:r w:rsidRPr="00B35732">
        <w:rPr>
          <w:rFonts w:eastAsia="Palatino Linotype" w:cs="Palatino Linotype"/>
          <w:b/>
          <w:bCs/>
          <w:szCs w:val="22"/>
          <w:lang w:eastAsia="es-MX"/>
        </w:rPr>
        <w:t>encuadre en alguno de los supuestos de reserva</w:t>
      </w:r>
      <w:r w:rsidRPr="00B35732">
        <w:rPr>
          <w:rFonts w:eastAsia="Palatino Linotype" w:cs="Palatino Linotype"/>
          <w:szCs w:val="22"/>
          <w:lang w:eastAsia="es-MX"/>
        </w:rPr>
        <w:t xml:space="preserve">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en materia de Clasificación y Desclasificación de la Información, así como para la elaboración de Versiones Públicas.</w:t>
      </w:r>
    </w:p>
    <w:p w14:paraId="07127D29" w14:textId="77777777" w:rsidR="00D57F5A" w:rsidRPr="00B35732" w:rsidRDefault="00D57F5A" w:rsidP="00CC7286">
      <w:pPr>
        <w:rPr>
          <w:rFonts w:eastAsia="Palatino Linotype" w:cs="Palatino Linotype"/>
          <w:szCs w:val="22"/>
          <w:lang w:eastAsia="es-MX"/>
        </w:rPr>
      </w:pPr>
    </w:p>
    <w:p w14:paraId="6B584291" w14:textId="77777777" w:rsidR="00D57F5A" w:rsidRPr="00B35732" w:rsidRDefault="00D57F5A" w:rsidP="00CC7286">
      <w:pPr>
        <w:rPr>
          <w:rFonts w:eastAsia="Palatino Linotype" w:cs="Palatino Linotype"/>
          <w:szCs w:val="22"/>
          <w:lang w:eastAsia="es-MX"/>
        </w:rPr>
      </w:pPr>
      <w:r w:rsidRPr="00B35732">
        <w:rPr>
          <w:rFonts w:eastAsia="Palatino Linotype" w:cs="Palatino Linotype"/>
          <w:szCs w:val="22"/>
          <w:lang w:eastAsia="es-MX"/>
        </w:rPr>
        <w:t xml:space="preserve">Lo anterior, sin perder de vista que la Constitución Política de los Estados Unidos Mexicanos le otorga a </w:t>
      </w:r>
      <w:r w:rsidRPr="00B35732">
        <w:rPr>
          <w:rFonts w:eastAsia="Palatino Linotype" w:cs="Palatino Linotype"/>
          <w:b/>
          <w:szCs w:val="22"/>
          <w:lang w:eastAsia="es-MX"/>
        </w:rPr>
        <w:t>todos los documentos</w:t>
      </w:r>
      <w:r w:rsidRPr="00B35732">
        <w:rPr>
          <w:rFonts w:eastAsia="Palatino Linotype" w:cs="Palatino Linotype"/>
          <w:szCs w:val="22"/>
          <w:lang w:eastAsia="es-MX"/>
        </w:rPr>
        <w:t xml:space="preserve"> en posesión de las autoridades </w:t>
      </w:r>
      <w:r w:rsidRPr="00B35732">
        <w:rPr>
          <w:rFonts w:eastAsia="Palatino Linotype" w:cs="Palatino Linotype"/>
          <w:b/>
          <w:szCs w:val="22"/>
          <w:lang w:eastAsia="es-MX"/>
        </w:rPr>
        <w:t>la calidad de públicos</w:t>
      </w:r>
      <w:r w:rsidRPr="00B35732">
        <w:rPr>
          <w:rFonts w:eastAsia="Palatino Linotype" w:cs="Palatino Linotype"/>
          <w:szCs w:val="22"/>
          <w:lang w:eastAsia="es-MX"/>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33FEA91E" w14:textId="77777777" w:rsidR="00D57F5A" w:rsidRPr="00B35732" w:rsidRDefault="00D57F5A" w:rsidP="00CC7286">
      <w:pPr>
        <w:rPr>
          <w:rFonts w:eastAsia="Palatino Linotype" w:cs="Palatino Linotype"/>
          <w:szCs w:val="22"/>
          <w:lang w:eastAsia="es-MX"/>
        </w:rPr>
      </w:pPr>
    </w:p>
    <w:p w14:paraId="4BAAA1DD" w14:textId="77777777" w:rsidR="00D57F5A" w:rsidRPr="00B35732" w:rsidRDefault="00D57F5A" w:rsidP="00CC7286">
      <w:pPr>
        <w:rPr>
          <w:rFonts w:eastAsia="Palatino Linotype" w:cs="Palatino Linotype"/>
          <w:szCs w:val="22"/>
          <w:lang w:eastAsia="es-MX"/>
        </w:rPr>
      </w:pPr>
      <w:r w:rsidRPr="00B35732">
        <w:rPr>
          <w:rFonts w:eastAsia="Palatino Linotype" w:cs="Palatino Linotype"/>
          <w:szCs w:val="22"/>
          <w:lang w:eastAsia="es-MX"/>
        </w:rPr>
        <w:t xml:space="preserve">Siendo pertinente aclarar que, la información que se clasifica bajo la premisa de reservada </w:t>
      </w:r>
      <w:r w:rsidRPr="00B35732">
        <w:rPr>
          <w:rFonts w:eastAsia="Palatino Linotype" w:cs="Palatino Linotype"/>
          <w:b/>
          <w:szCs w:val="22"/>
          <w:lang w:eastAsia="es-MX"/>
        </w:rPr>
        <w:t>no pierde el carácter de pública</w:t>
      </w:r>
      <w:r w:rsidRPr="00B35732">
        <w:rPr>
          <w:rFonts w:eastAsia="Palatino Linotype" w:cs="Palatino Linotype"/>
          <w:szCs w:val="22"/>
          <w:lang w:eastAsia="es-MX"/>
        </w:rPr>
        <w:t xml:space="preserve">, sino que </w:t>
      </w:r>
      <w:r w:rsidRPr="00B35732">
        <w:rPr>
          <w:rFonts w:eastAsia="Palatino Linotype" w:cs="Palatino Linotype"/>
          <w:b/>
          <w:szCs w:val="22"/>
          <w:lang w:eastAsia="es-MX"/>
        </w:rPr>
        <w:t>se reserva temporalmente</w:t>
      </w:r>
      <w:r w:rsidRPr="00B35732">
        <w:rPr>
          <w:rFonts w:eastAsia="Palatino Linotype" w:cs="Palatino Linotype"/>
          <w:szCs w:val="22"/>
          <w:lang w:eastAsia="es-MX"/>
        </w:rPr>
        <w:t xml:space="preserve"> </w:t>
      </w:r>
      <w:r w:rsidRPr="00B35732">
        <w:rPr>
          <w:rFonts w:eastAsia="Palatino Linotype" w:cs="Palatino Linotype"/>
          <w:b/>
          <w:szCs w:val="22"/>
          <w:lang w:eastAsia="es-MX"/>
        </w:rPr>
        <w:t>del conocimiento público</w:t>
      </w:r>
      <w:r w:rsidRPr="00B35732">
        <w:rPr>
          <w:rFonts w:eastAsia="Palatino Linotype" w:cs="Palatino Linotype"/>
          <w:szCs w:val="22"/>
          <w:lang w:eastAsia="es-MX"/>
        </w:rPr>
        <w:t xml:space="preserve">, es decir, que, </w:t>
      </w:r>
      <w:r w:rsidRPr="00B35732">
        <w:rPr>
          <w:rFonts w:eastAsia="Palatino Linotype" w:cs="Palatino Linotype"/>
          <w:b/>
          <w:szCs w:val="22"/>
          <w:lang w:eastAsia="es-MX"/>
        </w:rPr>
        <w:t>por un tiempo determinado</w:t>
      </w:r>
      <w:r w:rsidRPr="00B35732">
        <w:rPr>
          <w:rFonts w:eastAsia="Palatino Linotype" w:cs="Palatino Linotype"/>
          <w:szCs w:val="22"/>
          <w:lang w:eastAsia="es-MX"/>
        </w:rPr>
        <w:t>, se conservará y custodiará la información de manera especial, y una vez transcurrido el plazo de reserva, el documento podrá divulgarse.</w:t>
      </w:r>
    </w:p>
    <w:p w14:paraId="6C107D70" w14:textId="77777777" w:rsidR="00D57F5A" w:rsidRPr="00B35732" w:rsidRDefault="00D57F5A" w:rsidP="00CC7286">
      <w:pPr>
        <w:rPr>
          <w:rFonts w:eastAsia="Palatino Linotype" w:cs="Palatino Linotype"/>
          <w:szCs w:val="22"/>
          <w:lang w:eastAsia="es-MX"/>
        </w:rPr>
      </w:pPr>
    </w:p>
    <w:p w14:paraId="4FA92FF1" w14:textId="77777777" w:rsidR="00D57F5A" w:rsidRPr="00B35732" w:rsidRDefault="00D57F5A" w:rsidP="00CC7286">
      <w:pPr>
        <w:rPr>
          <w:rFonts w:eastAsia="Palatino Linotype" w:cs="Palatino Linotype"/>
          <w:szCs w:val="22"/>
          <w:lang w:eastAsia="es-MX"/>
        </w:rPr>
      </w:pPr>
      <w:r w:rsidRPr="00B35732">
        <w:rPr>
          <w:rFonts w:eastAsia="Palatino Linotype" w:cs="Palatino Linotype"/>
          <w:szCs w:val="22"/>
          <w:lang w:eastAsia="es-MX"/>
        </w:rPr>
        <w:lastRenderedPageBreak/>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28A10CF0" w14:textId="77777777" w:rsidR="00D57F5A" w:rsidRPr="00B35732" w:rsidRDefault="00D57F5A" w:rsidP="00CC7286">
      <w:pPr>
        <w:rPr>
          <w:rFonts w:eastAsia="Palatino Linotype" w:cs="Palatino Linotype"/>
          <w:szCs w:val="22"/>
          <w:lang w:eastAsia="es-MX"/>
        </w:rPr>
      </w:pPr>
    </w:p>
    <w:p w14:paraId="457A2B9A" w14:textId="77777777" w:rsidR="00D57F5A" w:rsidRPr="00B35732" w:rsidRDefault="00D57F5A" w:rsidP="00CC7286">
      <w:pPr>
        <w:rPr>
          <w:rFonts w:eastAsia="Palatino Linotype" w:cs="Palatino Linotype"/>
          <w:szCs w:val="22"/>
          <w:lang w:eastAsia="es-MX"/>
        </w:rPr>
      </w:pPr>
      <w:r w:rsidRPr="00B35732">
        <w:rPr>
          <w:rFonts w:eastAsia="Palatino Linotype" w:cs="Palatino Linotype"/>
          <w:szCs w:val="22"/>
          <w:lang w:eastAsia="es-MX"/>
        </w:rPr>
        <w:t>Lo anterior encuentra sustento en la Tesis de la Décima Época, publicada en la Gaceta del Semanario Judicial de la Federación, sección Tribunales Colegiados de Circuito, Libro 5, de fecha abril de 2014, pág. 1523, Registro, 2,006,299. I.1o.A.E.3 K (10a.), que literalmente señala:</w:t>
      </w:r>
    </w:p>
    <w:p w14:paraId="7AE799AB" w14:textId="77777777" w:rsidR="00D57F5A" w:rsidRPr="00B35732" w:rsidRDefault="00D57F5A" w:rsidP="00CC7286">
      <w:pPr>
        <w:rPr>
          <w:rFonts w:eastAsia="Palatino Linotype" w:cs="Palatino Linotype"/>
          <w:szCs w:val="22"/>
          <w:lang w:eastAsia="es-MX"/>
        </w:rPr>
      </w:pPr>
    </w:p>
    <w:p w14:paraId="21FF3673" w14:textId="77777777" w:rsidR="00D57F5A" w:rsidRPr="00B35732" w:rsidRDefault="00D57F5A" w:rsidP="00CC7286">
      <w:pPr>
        <w:spacing w:line="240" w:lineRule="auto"/>
        <w:ind w:left="567" w:right="567"/>
        <w:contextualSpacing/>
        <w:rPr>
          <w:rFonts w:eastAsia="Palatino Linotype"/>
          <w:i/>
          <w:kern w:val="28"/>
          <w:szCs w:val="56"/>
          <w:lang w:eastAsia="es-MX"/>
        </w:rPr>
      </w:pPr>
      <w:r w:rsidRPr="00B35732">
        <w:rPr>
          <w:rFonts w:eastAsia="Palatino Linotype"/>
          <w:i/>
          <w:kern w:val="28"/>
          <w:szCs w:val="56"/>
          <w:lang w:eastAsia="es-MX"/>
        </w:rPr>
        <w:t>“</w:t>
      </w:r>
      <w:r w:rsidRPr="00B35732">
        <w:rPr>
          <w:rFonts w:eastAsia="Palatino Linotype"/>
          <w:b/>
          <w:bCs/>
          <w:i/>
          <w:kern w:val="28"/>
          <w:szCs w:val="56"/>
          <w:lang w:eastAsia="es-MX"/>
        </w:rPr>
        <w:t>INFORMACIÓN RESERVADA. APLICACIÓN DE LA "PRUEBA DE DAÑO E INTERÉS PÚBLICO" PARA DETERMINAR LO ADECUADO DE LA APORTADA CON ESA CLASIFICACIÓN EN EL JUICIO DE AMPARO POR LA AUTORIDAD RESPONSABLE, A EFECTO DE HACER VIABLE LA DEFENSA EFECTIVA DEL QUEJOSO.</w:t>
      </w:r>
      <w:r w:rsidRPr="00B35732">
        <w:rPr>
          <w:rFonts w:eastAsia="Palatino Linotype"/>
          <w:i/>
          <w:kern w:val="28"/>
          <w:szCs w:val="56"/>
          <w:lang w:eastAsia="es-MX"/>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56D8A108" w14:textId="77777777" w:rsidR="00D57F5A" w:rsidRPr="00B35732" w:rsidRDefault="00D57F5A" w:rsidP="00CC7286">
      <w:pPr>
        <w:ind w:left="851" w:right="902"/>
        <w:rPr>
          <w:rFonts w:eastAsia="Palatino Linotype" w:cs="Palatino Linotype"/>
          <w:i/>
          <w:szCs w:val="22"/>
          <w:lang w:eastAsia="es-MX"/>
        </w:rPr>
      </w:pPr>
    </w:p>
    <w:p w14:paraId="4FA6A624" w14:textId="77777777" w:rsidR="00D57F5A" w:rsidRPr="00B35732" w:rsidRDefault="00D57F5A" w:rsidP="00CC7286">
      <w:pPr>
        <w:rPr>
          <w:rFonts w:eastAsia="Palatino Linotype" w:cs="Palatino Linotype"/>
          <w:szCs w:val="22"/>
          <w:lang w:eastAsia="es-MX"/>
        </w:rPr>
      </w:pPr>
      <w:r w:rsidRPr="00B35732">
        <w:rPr>
          <w:rFonts w:eastAsia="Palatino Linotype" w:cs="Palatino Linotype"/>
          <w:szCs w:val="22"/>
          <w:lang w:eastAsia="es-MX"/>
        </w:rPr>
        <w:t xml:space="preserve">Por todo lo anterior, la reserva de la información implica una clasificación, la cual debe entenderse como el proceso mediante el cual </w:t>
      </w:r>
      <w:r w:rsidRPr="00B35732">
        <w:rPr>
          <w:rFonts w:eastAsia="Palatino Linotype" w:cs="Palatino Linotype"/>
          <w:b/>
          <w:szCs w:val="22"/>
          <w:lang w:eastAsia="es-MX"/>
        </w:rPr>
        <w:t>EL SUJETO OBLIGADO</w:t>
      </w:r>
      <w:r w:rsidRPr="00B35732">
        <w:rPr>
          <w:rFonts w:eastAsia="Palatino Linotype" w:cs="Palatino Linotype"/>
          <w:szCs w:val="22"/>
          <w:lang w:eastAsia="es-MX"/>
        </w:rPr>
        <w:t xml:space="preserve"> determina que la información en su poder actualiza alguno de los supuestos conforme a las normas aplicables.</w:t>
      </w:r>
    </w:p>
    <w:p w14:paraId="4740A50B" w14:textId="77777777" w:rsidR="00D57F5A" w:rsidRPr="00B35732" w:rsidRDefault="00D57F5A" w:rsidP="00CC7286">
      <w:pPr>
        <w:rPr>
          <w:rFonts w:eastAsia="Palatino Linotype" w:cs="Palatino Linotype"/>
          <w:szCs w:val="22"/>
          <w:lang w:eastAsia="es-MX"/>
        </w:rPr>
      </w:pPr>
    </w:p>
    <w:p w14:paraId="16087B67" w14:textId="77777777" w:rsidR="00D57F5A" w:rsidRPr="00B35732" w:rsidRDefault="00D57F5A" w:rsidP="00CC7286">
      <w:pPr>
        <w:rPr>
          <w:rFonts w:eastAsia="Palatino Linotype" w:cs="Palatino Linotype"/>
          <w:szCs w:val="22"/>
          <w:lang w:eastAsia="es-MX"/>
        </w:rPr>
      </w:pPr>
      <w:r w:rsidRPr="00B35732">
        <w:rPr>
          <w:rFonts w:eastAsia="Palatino Linotype" w:cs="Palatino Linotype"/>
          <w:szCs w:val="22"/>
          <w:lang w:eastAsia="es-MX"/>
        </w:rPr>
        <w:t xml:space="preserve">En tal virtud, conforme al artículo 49, fracción VIII de la Ley de Transparencia y Acceso a la Información Pública del Estado de México y Municipios, los Comités de Transparencia tienen </w:t>
      </w:r>
      <w:r w:rsidRPr="00B35732">
        <w:rPr>
          <w:rFonts w:eastAsia="Palatino Linotype" w:cs="Palatino Linotype"/>
          <w:szCs w:val="22"/>
          <w:lang w:eastAsia="es-MX"/>
        </w:rPr>
        <w:lastRenderedPageBreak/>
        <w:t xml:space="preserve">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B35732">
        <w:rPr>
          <w:rFonts w:eastAsia="Palatino Linotype" w:cs="Palatino Linotype"/>
          <w:b/>
          <w:szCs w:val="22"/>
          <w:lang w:eastAsia="es-MX"/>
        </w:rPr>
        <w:t>SUJETO OBLIGADO</w:t>
      </w:r>
      <w:r w:rsidRPr="00B35732">
        <w:rPr>
          <w:rFonts w:eastAsia="Palatino Linotype" w:cs="Palatino Linotype"/>
          <w:szCs w:val="22"/>
          <w:lang w:eastAsia="es-MX"/>
        </w:rPr>
        <w:t xml:space="preserve"> a concluir que el caso particular se ajusta al supuesto previsto por la norma legal invocada como fundamento; siendo que, además, </w:t>
      </w:r>
      <w:r w:rsidRPr="00B35732">
        <w:rPr>
          <w:rFonts w:eastAsia="Palatino Linotype" w:cs="Palatino Linotype"/>
          <w:b/>
          <w:szCs w:val="22"/>
          <w:lang w:eastAsia="es-MX"/>
        </w:rPr>
        <w:t>EL SUJETO OBLIGADO</w:t>
      </w:r>
      <w:r w:rsidRPr="00B35732">
        <w:rPr>
          <w:rFonts w:eastAsia="Palatino Linotype" w:cs="Palatino Linotype"/>
          <w:szCs w:val="22"/>
          <w:lang w:eastAsia="es-MX"/>
        </w:rPr>
        <w:t xml:space="preserve"> debe, en todo momento, aplicar una prueba de daño.</w:t>
      </w:r>
    </w:p>
    <w:p w14:paraId="5E72E12D" w14:textId="77777777" w:rsidR="00D57F5A" w:rsidRPr="00B35732" w:rsidRDefault="00D57F5A" w:rsidP="00CC7286">
      <w:pPr>
        <w:rPr>
          <w:rFonts w:eastAsia="Palatino Linotype" w:cs="Palatino Linotype"/>
          <w:szCs w:val="22"/>
          <w:lang w:eastAsia="es-MX"/>
        </w:rPr>
      </w:pPr>
    </w:p>
    <w:p w14:paraId="7835757A" w14:textId="77777777" w:rsidR="00D57F5A" w:rsidRPr="00B35732" w:rsidRDefault="00D57F5A" w:rsidP="00CC7286">
      <w:pPr>
        <w:rPr>
          <w:rFonts w:eastAsia="Palatino Linotype" w:cs="Palatino Linotype"/>
          <w:szCs w:val="22"/>
          <w:lang w:eastAsia="es-MX"/>
        </w:rPr>
      </w:pPr>
      <w:r w:rsidRPr="00B35732">
        <w:rPr>
          <w:rFonts w:eastAsia="Palatino Linotype" w:cs="Palatino Linotype"/>
          <w:szCs w:val="22"/>
          <w:lang w:eastAsia="es-MX"/>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35E8CC5F" w14:textId="77777777" w:rsidR="00D57F5A" w:rsidRPr="00B35732" w:rsidRDefault="00D57F5A" w:rsidP="00CC7286">
      <w:pPr>
        <w:rPr>
          <w:rFonts w:eastAsia="Palatino Linotype" w:cs="Palatino Linotype"/>
          <w:szCs w:val="22"/>
          <w:lang w:eastAsia="es-MX"/>
        </w:rPr>
      </w:pPr>
    </w:p>
    <w:p w14:paraId="3EF52683" w14:textId="77777777" w:rsidR="00D57F5A" w:rsidRPr="00B35732" w:rsidRDefault="00D57F5A" w:rsidP="00CC7286">
      <w:pPr>
        <w:rPr>
          <w:rFonts w:eastAsia="Palatino Linotype" w:cs="Palatino Linotype"/>
          <w:szCs w:val="22"/>
          <w:lang w:eastAsia="es-MX"/>
        </w:rPr>
      </w:pPr>
      <w:r w:rsidRPr="00B35732">
        <w:rPr>
          <w:rFonts w:eastAsia="Palatino Linotype" w:cs="Palatino Linotype"/>
          <w:szCs w:val="22"/>
          <w:lang w:eastAsia="es-MX"/>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5DD34CCD" w14:textId="77777777" w:rsidR="00D57F5A" w:rsidRPr="00B35732" w:rsidRDefault="00D57F5A" w:rsidP="00CC7286">
      <w:pPr>
        <w:rPr>
          <w:rFonts w:eastAsia="Palatino Linotype" w:cs="Palatino Linotype"/>
          <w:szCs w:val="22"/>
          <w:lang w:eastAsia="es-MX"/>
        </w:rPr>
      </w:pPr>
    </w:p>
    <w:p w14:paraId="0E362CD1" w14:textId="77777777" w:rsidR="00D57F5A" w:rsidRPr="00B35732" w:rsidRDefault="00D57F5A" w:rsidP="00CC7286">
      <w:pPr>
        <w:numPr>
          <w:ilvl w:val="0"/>
          <w:numId w:val="37"/>
        </w:numPr>
        <w:ind w:left="1276" w:hanging="425"/>
        <w:rPr>
          <w:rFonts w:eastAsia="Palatino Linotype" w:cs="Palatino Linotype"/>
          <w:szCs w:val="22"/>
          <w:lang w:eastAsia="es-MX"/>
        </w:rPr>
      </w:pPr>
      <w:r w:rsidRPr="00B35732">
        <w:rPr>
          <w:rFonts w:eastAsia="Palatino Linotype" w:cs="Palatino Linotype"/>
          <w:szCs w:val="22"/>
          <w:lang w:eastAsia="es-MX"/>
        </w:rPr>
        <w:t>Se reciba una solicitud de acceso a la información;</w:t>
      </w:r>
    </w:p>
    <w:p w14:paraId="4F620752" w14:textId="77777777" w:rsidR="00D57F5A" w:rsidRPr="00B35732" w:rsidRDefault="00D57F5A" w:rsidP="00CC7286">
      <w:pPr>
        <w:numPr>
          <w:ilvl w:val="0"/>
          <w:numId w:val="37"/>
        </w:numPr>
        <w:ind w:left="1276" w:hanging="425"/>
        <w:rPr>
          <w:rFonts w:eastAsia="Palatino Linotype" w:cs="Palatino Linotype"/>
          <w:szCs w:val="22"/>
          <w:lang w:eastAsia="es-MX"/>
        </w:rPr>
      </w:pPr>
      <w:r w:rsidRPr="00B35732">
        <w:rPr>
          <w:rFonts w:eastAsia="Palatino Linotype" w:cs="Palatino Linotype"/>
          <w:szCs w:val="22"/>
          <w:lang w:eastAsia="es-MX"/>
        </w:rPr>
        <w:t>Se determine mediante resolución de autoridad competente; y/o</w:t>
      </w:r>
    </w:p>
    <w:p w14:paraId="7EBFB3DF" w14:textId="77777777" w:rsidR="00D57F5A" w:rsidRPr="00B35732" w:rsidRDefault="00D57F5A" w:rsidP="00CC7286">
      <w:pPr>
        <w:numPr>
          <w:ilvl w:val="0"/>
          <w:numId w:val="37"/>
        </w:numPr>
        <w:ind w:left="1276" w:hanging="425"/>
        <w:rPr>
          <w:rFonts w:eastAsia="Palatino Linotype" w:cs="Palatino Linotype"/>
          <w:szCs w:val="22"/>
          <w:lang w:eastAsia="es-MX"/>
        </w:rPr>
      </w:pPr>
      <w:r w:rsidRPr="00B35732">
        <w:rPr>
          <w:rFonts w:eastAsia="Palatino Linotype" w:cs="Palatino Linotype"/>
          <w:szCs w:val="22"/>
          <w:lang w:eastAsia="es-MX"/>
        </w:rPr>
        <w:lastRenderedPageBreak/>
        <w:t>Se generen versiones públicas para dar cumplimiento a las obligaciones de transparencia previstas en la Ley.</w:t>
      </w:r>
    </w:p>
    <w:p w14:paraId="1B645F1C" w14:textId="77777777" w:rsidR="00D57F5A" w:rsidRPr="00B35732" w:rsidRDefault="00D57F5A" w:rsidP="00CC7286">
      <w:pPr>
        <w:ind w:left="1276"/>
        <w:rPr>
          <w:rFonts w:eastAsia="Palatino Linotype" w:cs="Palatino Linotype"/>
          <w:szCs w:val="22"/>
          <w:lang w:eastAsia="es-MX"/>
        </w:rPr>
      </w:pPr>
    </w:p>
    <w:p w14:paraId="74A17AA1" w14:textId="77777777" w:rsidR="00D57F5A" w:rsidRPr="00B35732" w:rsidRDefault="00D57F5A" w:rsidP="00CC7286">
      <w:pPr>
        <w:rPr>
          <w:rFonts w:eastAsia="Palatino Linotype" w:cs="Palatino Linotype"/>
          <w:szCs w:val="22"/>
          <w:lang w:eastAsia="es-MX"/>
        </w:rPr>
      </w:pPr>
      <w:r w:rsidRPr="00B35732">
        <w:rPr>
          <w:rFonts w:eastAsia="Palatino Linotype" w:cs="Palatino Linotype"/>
          <w:szCs w:val="22"/>
          <w:lang w:eastAsia="es-MX"/>
        </w:rPr>
        <w:t>Situación que se robustece con el artículo 141 de la misma Ley, que señala que las causales de reserva previstas se deberán fundar y motivar, a través de la aplicación de la prueba de daño.</w:t>
      </w:r>
    </w:p>
    <w:p w14:paraId="71EA5AF0" w14:textId="77777777" w:rsidR="00D57F5A" w:rsidRPr="00B35732" w:rsidRDefault="00D57F5A" w:rsidP="00CC7286">
      <w:pPr>
        <w:rPr>
          <w:rFonts w:eastAsia="Palatino Linotype" w:cs="Palatino Linotype"/>
          <w:szCs w:val="22"/>
          <w:lang w:eastAsia="es-MX"/>
        </w:rPr>
      </w:pPr>
    </w:p>
    <w:p w14:paraId="46AF8B1E" w14:textId="77777777" w:rsidR="00D57F5A" w:rsidRPr="00B35732" w:rsidRDefault="00D57F5A" w:rsidP="00CC7286">
      <w:pPr>
        <w:rPr>
          <w:rFonts w:eastAsia="Palatino Linotype" w:cs="Palatino Linotype"/>
          <w:szCs w:val="22"/>
          <w:lang w:eastAsia="es-MX"/>
        </w:rPr>
      </w:pPr>
      <w:r w:rsidRPr="00B35732">
        <w:rPr>
          <w:rFonts w:eastAsia="Palatino Linotype" w:cs="Palatino Linotype"/>
          <w:szCs w:val="22"/>
          <w:lang w:eastAsia="es-MX"/>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5778E752" w14:textId="77777777" w:rsidR="00D57F5A" w:rsidRPr="00B35732" w:rsidRDefault="00D57F5A" w:rsidP="00CC7286">
      <w:pPr>
        <w:rPr>
          <w:rFonts w:eastAsia="Palatino Linotype" w:cs="Palatino Linotype"/>
          <w:szCs w:val="22"/>
          <w:lang w:eastAsia="es-MX"/>
        </w:rPr>
      </w:pPr>
    </w:p>
    <w:p w14:paraId="544F246E" w14:textId="77777777" w:rsidR="00D57F5A" w:rsidRPr="00B35732" w:rsidRDefault="00D57F5A" w:rsidP="00CC7286">
      <w:pPr>
        <w:numPr>
          <w:ilvl w:val="0"/>
          <w:numId w:val="38"/>
        </w:numPr>
        <w:ind w:left="1134" w:hanging="283"/>
        <w:rPr>
          <w:rFonts w:eastAsia="Palatino Linotype" w:cs="Palatino Linotype"/>
          <w:szCs w:val="22"/>
          <w:lang w:eastAsia="es-MX"/>
        </w:rPr>
      </w:pPr>
      <w:r w:rsidRPr="00B35732">
        <w:rPr>
          <w:rFonts w:eastAsia="Palatino Linotype" w:cs="Palatino Linotype"/>
          <w:szCs w:val="22"/>
          <w:lang w:eastAsia="es-MX"/>
        </w:rPr>
        <w:t xml:space="preserve">La divulgación de la información representa un </w:t>
      </w:r>
      <w:r w:rsidRPr="00B35732">
        <w:rPr>
          <w:rFonts w:eastAsia="Palatino Linotype" w:cs="Palatino Linotype"/>
          <w:b/>
          <w:szCs w:val="22"/>
          <w:lang w:eastAsia="es-MX"/>
        </w:rPr>
        <w:t>riesgo real, demostrable e identificable del perjuicio significativo al interés público o a la seguridad pública</w:t>
      </w:r>
      <w:r w:rsidRPr="00B35732">
        <w:rPr>
          <w:rFonts w:eastAsia="Palatino Linotype" w:cs="Palatino Linotype"/>
          <w:szCs w:val="22"/>
          <w:lang w:eastAsia="es-MX"/>
        </w:rPr>
        <w:t>;</w:t>
      </w:r>
    </w:p>
    <w:p w14:paraId="7B358286" w14:textId="77777777" w:rsidR="00D57F5A" w:rsidRPr="00B35732" w:rsidRDefault="00D57F5A" w:rsidP="00CC7286">
      <w:pPr>
        <w:numPr>
          <w:ilvl w:val="0"/>
          <w:numId w:val="38"/>
        </w:numPr>
        <w:ind w:left="1134" w:hanging="283"/>
        <w:rPr>
          <w:rFonts w:eastAsia="Palatino Linotype" w:cs="Palatino Linotype"/>
          <w:szCs w:val="22"/>
          <w:lang w:eastAsia="es-MX"/>
        </w:rPr>
      </w:pPr>
      <w:r w:rsidRPr="00B35732">
        <w:rPr>
          <w:rFonts w:eastAsia="Palatino Linotype" w:cs="Palatino Linotype"/>
          <w:szCs w:val="22"/>
          <w:lang w:eastAsia="es-MX"/>
        </w:rPr>
        <w:t>El riesgo de perjuicio que supondría la divulgación supera el interés público general de que se difunda; y,</w:t>
      </w:r>
    </w:p>
    <w:p w14:paraId="4EDD4477" w14:textId="77777777" w:rsidR="00D57F5A" w:rsidRPr="00B35732" w:rsidRDefault="00D57F5A" w:rsidP="00CC7286">
      <w:pPr>
        <w:numPr>
          <w:ilvl w:val="0"/>
          <w:numId w:val="38"/>
        </w:numPr>
        <w:ind w:left="1134" w:hanging="283"/>
        <w:rPr>
          <w:rFonts w:eastAsia="Palatino Linotype" w:cs="Palatino Linotype"/>
          <w:szCs w:val="22"/>
          <w:lang w:eastAsia="es-MX"/>
        </w:rPr>
      </w:pPr>
      <w:r w:rsidRPr="00B35732">
        <w:rPr>
          <w:rFonts w:eastAsia="Palatino Linotype" w:cs="Palatino Linotype"/>
          <w:szCs w:val="22"/>
          <w:lang w:eastAsia="es-MX"/>
        </w:rPr>
        <w:t xml:space="preserve">La limitación se adecua al principio de proporcionalidad y representa el medio menos restrictivo disponible para evitar el perjuicio. </w:t>
      </w:r>
    </w:p>
    <w:p w14:paraId="199877C1" w14:textId="77777777" w:rsidR="00D57F5A" w:rsidRPr="00B35732" w:rsidRDefault="00D57F5A" w:rsidP="00CC7286">
      <w:pPr>
        <w:ind w:left="1134"/>
        <w:rPr>
          <w:rFonts w:eastAsia="Palatino Linotype" w:cs="Palatino Linotype"/>
          <w:szCs w:val="22"/>
          <w:lang w:eastAsia="es-MX"/>
        </w:rPr>
      </w:pPr>
    </w:p>
    <w:p w14:paraId="0936D785" w14:textId="77777777" w:rsidR="00D57F5A" w:rsidRPr="00B35732" w:rsidRDefault="00D57F5A" w:rsidP="00CC7286">
      <w:pPr>
        <w:rPr>
          <w:rFonts w:eastAsia="Palatino Linotype" w:cs="Palatino Linotype"/>
          <w:lang w:val="es-ES"/>
        </w:rPr>
      </w:pPr>
      <w:r w:rsidRPr="00B35732">
        <w:rPr>
          <w:rFonts w:eastAsia="Palatino Linotype" w:cs="Palatino Linotype"/>
          <w:szCs w:val="22"/>
          <w:lang w:eastAsia="es-MX"/>
        </w:rPr>
        <w:t>Atento a lo anterior, es necesario hacer hincapié que para el caso de que existan causas presentes que impiden la publicidad de la información durante cierto periodo de tiempo, debe clasificar la información 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4A657613" w14:textId="77777777" w:rsidR="004156B4" w:rsidRPr="00B35732" w:rsidRDefault="004156B4" w:rsidP="00CC7286">
      <w:pPr>
        <w:rPr>
          <w:b/>
        </w:rPr>
      </w:pPr>
    </w:p>
    <w:p w14:paraId="316F88F3" w14:textId="77777777" w:rsidR="004156B4" w:rsidRPr="00B35732" w:rsidRDefault="004156B4" w:rsidP="00CC7286">
      <w:pPr>
        <w:pStyle w:val="Ttulo3"/>
        <w:spacing w:line="360" w:lineRule="auto"/>
        <w:rPr>
          <w:szCs w:val="22"/>
        </w:rPr>
      </w:pPr>
      <w:bookmarkStart w:id="64" w:name="_Toc178807163"/>
      <w:bookmarkStart w:id="65" w:name="_Toc180427116"/>
      <w:bookmarkStart w:id="66" w:name="_Toc193975145"/>
      <w:bookmarkStart w:id="67" w:name="_Toc212099423"/>
      <w:r w:rsidRPr="00B35732">
        <w:rPr>
          <w:szCs w:val="22"/>
        </w:rPr>
        <w:t>e) Conclusión.</w:t>
      </w:r>
      <w:bookmarkEnd w:id="64"/>
      <w:bookmarkEnd w:id="65"/>
      <w:bookmarkEnd w:id="66"/>
      <w:bookmarkEnd w:id="67"/>
    </w:p>
    <w:p w14:paraId="1EE5A826" w14:textId="34B1D114" w:rsidR="004156B4" w:rsidRPr="00B35732" w:rsidRDefault="004156B4" w:rsidP="00CC7286">
      <w:pPr>
        <w:widowControl w:val="0"/>
        <w:tabs>
          <w:tab w:val="left" w:pos="1701"/>
          <w:tab w:val="left" w:pos="1843"/>
        </w:tabs>
      </w:pPr>
      <w:r w:rsidRPr="00B35732">
        <w:rPr>
          <w:szCs w:val="22"/>
        </w:rPr>
        <w:t xml:space="preserve">En razón de lo anteriormente expuesto, éste Instituto estima que las razones o motivos de inconformidad hechos valer por </w:t>
      </w:r>
      <w:r w:rsidRPr="00B35732">
        <w:rPr>
          <w:b/>
          <w:szCs w:val="22"/>
        </w:rPr>
        <w:t>LA PARTE RECURRENTE</w:t>
      </w:r>
      <w:r w:rsidRPr="00B35732">
        <w:rPr>
          <w:szCs w:val="22"/>
        </w:rPr>
        <w:t xml:space="preserve"> </w:t>
      </w:r>
      <w:r w:rsidRPr="00B35732">
        <w:t xml:space="preserve">en los recursos de revisión devienen </w:t>
      </w:r>
      <w:r w:rsidRPr="00B35732">
        <w:rPr>
          <w:b/>
        </w:rPr>
        <w:t>fundadas</w:t>
      </w:r>
      <w:r w:rsidRPr="00B35732">
        <w:t xml:space="preserve">; por lo que se determina </w:t>
      </w:r>
      <w:r w:rsidR="00D57F5A" w:rsidRPr="00B35732">
        <w:rPr>
          <w:b/>
        </w:rPr>
        <w:t>REVOCAR</w:t>
      </w:r>
      <w:r w:rsidRPr="00B35732">
        <w:rPr>
          <w:b/>
        </w:rPr>
        <w:t xml:space="preserve"> </w:t>
      </w:r>
      <w:r w:rsidRPr="00B35732">
        <w:t>las respuesta</w:t>
      </w:r>
      <w:r w:rsidR="00356DD9" w:rsidRPr="00B35732">
        <w:t>s</w:t>
      </w:r>
      <w:r w:rsidRPr="00B35732">
        <w:t xml:space="preserve"> otorgada</w:t>
      </w:r>
      <w:r w:rsidR="00356DD9" w:rsidRPr="00B35732">
        <w:t>s</w:t>
      </w:r>
      <w:r w:rsidRPr="00B35732">
        <w:t xml:space="preserve"> por </w:t>
      </w:r>
      <w:r w:rsidRPr="00B35732">
        <w:rPr>
          <w:b/>
        </w:rPr>
        <w:t xml:space="preserve">EL SUJETO OBLIGADO, </w:t>
      </w:r>
      <w:r w:rsidRPr="00B35732">
        <w:t>en términos del artículo 186, fracción III de la Ley de Transparencia y Acceso a la Información Pública del Estado de México y Municipios por las razones expuestas en el presente considerando.</w:t>
      </w:r>
    </w:p>
    <w:p w14:paraId="6B70736C" w14:textId="77777777" w:rsidR="004156B4" w:rsidRPr="00B35732" w:rsidRDefault="004156B4" w:rsidP="00CC7286">
      <w:pPr>
        <w:widowControl w:val="0"/>
        <w:tabs>
          <w:tab w:val="left" w:pos="1701"/>
          <w:tab w:val="left" w:pos="1843"/>
        </w:tabs>
      </w:pPr>
    </w:p>
    <w:p w14:paraId="5408EA39" w14:textId="2F30D8AC" w:rsidR="004156B4" w:rsidRPr="00B35732" w:rsidRDefault="004156B4" w:rsidP="00CC7286">
      <w:pPr>
        <w:ind w:right="-93"/>
      </w:pPr>
      <w:r w:rsidRPr="00B35732">
        <w:t xml:space="preserve">Así, con fundamento en lo establecido en los artículos 5, párrafos trigésimo </w:t>
      </w:r>
      <w:r w:rsidR="00756009" w:rsidRPr="00B35732">
        <w:t>noveno</w:t>
      </w:r>
      <w:r w:rsidRPr="00B35732">
        <w:t xml:space="preserve">, </w:t>
      </w:r>
      <w:r w:rsidR="00756009" w:rsidRPr="00B35732">
        <w:t>cuadragésimo y cuadragésimo primero</w:t>
      </w:r>
      <w:r w:rsidRPr="00B35732">
        <w:t xml:space="preserve">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7FF513E6" w14:textId="47038179" w:rsidR="00CC7286" w:rsidRPr="00B35732" w:rsidRDefault="00CC7286" w:rsidP="00CC7286">
      <w:pPr>
        <w:ind w:right="-93"/>
      </w:pPr>
    </w:p>
    <w:p w14:paraId="6C8AE41C" w14:textId="6552C092" w:rsidR="00CC7286" w:rsidRPr="00B35732" w:rsidRDefault="00CC7286" w:rsidP="00CC7286">
      <w:pPr>
        <w:ind w:right="-93"/>
      </w:pPr>
    </w:p>
    <w:p w14:paraId="32B2922F" w14:textId="502B2C93" w:rsidR="00CC7286" w:rsidRPr="00B35732" w:rsidRDefault="00CC7286" w:rsidP="00CC7286">
      <w:pPr>
        <w:ind w:right="-93"/>
      </w:pPr>
    </w:p>
    <w:p w14:paraId="2359EC74" w14:textId="6EDCF1AC" w:rsidR="00CC7286" w:rsidRPr="00B35732" w:rsidRDefault="00CC7286" w:rsidP="00CC7286">
      <w:pPr>
        <w:ind w:right="-93"/>
      </w:pPr>
    </w:p>
    <w:p w14:paraId="2D304647" w14:textId="35424798" w:rsidR="00CC7286" w:rsidRPr="00B35732" w:rsidRDefault="00CC7286" w:rsidP="00CC7286">
      <w:pPr>
        <w:ind w:right="-93"/>
      </w:pPr>
    </w:p>
    <w:p w14:paraId="4AC165FD" w14:textId="77777777" w:rsidR="00CC7286" w:rsidRPr="00B35732" w:rsidRDefault="00CC7286" w:rsidP="00CC7286">
      <w:pPr>
        <w:ind w:right="-93"/>
      </w:pPr>
    </w:p>
    <w:p w14:paraId="750E6D70" w14:textId="77777777" w:rsidR="004156B4" w:rsidRPr="00B35732" w:rsidRDefault="004156B4" w:rsidP="00CC7286"/>
    <w:p w14:paraId="45894EA2" w14:textId="77777777" w:rsidR="004156B4" w:rsidRPr="00B35732" w:rsidRDefault="004156B4" w:rsidP="00CC7286">
      <w:pPr>
        <w:pStyle w:val="Ttulo1"/>
      </w:pPr>
      <w:bookmarkStart w:id="68" w:name="_heading=h.23ckvvd" w:colFirst="0" w:colLast="0"/>
      <w:bookmarkStart w:id="69" w:name="_Toc193975146"/>
      <w:bookmarkStart w:id="70" w:name="_Toc212099424"/>
      <w:bookmarkEnd w:id="68"/>
      <w:r w:rsidRPr="00B35732">
        <w:t>RESUELVE</w:t>
      </w:r>
      <w:bookmarkEnd w:id="69"/>
      <w:bookmarkEnd w:id="70"/>
    </w:p>
    <w:p w14:paraId="3F9A7AE3" w14:textId="77777777" w:rsidR="004156B4" w:rsidRPr="00B35732" w:rsidRDefault="004156B4" w:rsidP="00CC7286">
      <w:pPr>
        <w:ind w:right="113"/>
        <w:rPr>
          <w:b/>
        </w:rPr>
      </w:pPr>
    </w:p>
    <w:p w14:paraId="24692EBB" w14:textId="47D6F4F2" w:rsidR="004156B4" w:rsidRPr="00B35732" w:rsidRDefault="004156B4" w:rsidP="00CC7286">
      <w:pPr>
        <w:widowControl w:val="0"/>
      </w:pPr>
      <w:r w:rsidRPr="00B35732">
        <w:rPr>
          <w:b/>
        </w:rPr>
        <w:t>PRIMERO.</w:t>
      </w:r>
      <w:r w:rsidRPr="00B35732">
        <w:t xml:space="preserve"> Se </w:t>
      </w:r>
      <w:r w:rsidR="00D57F5A" w:rsidRPr="00B35732">
        <w:rPr>
          <w:b/>
        </w:rPr>
        <w:t>REVOCA</w:t>
      </w:r>
      <w:r w:rsidRPr="00B35732">
        <w:t xml:space="preserve"> las respuestas entregadas por el </w:t>
      </w:r>
      <w:r w:rsidRPr="00B35732">
        <w:rPr>
          <w:b/>
        </w:rPr>
        <w:t>SUJETO OBLIGADO</w:t>
      </w:r>
      <w:r w:rsidRPr="00B35732">
        <w:t xml:space="preserve"> en las solicitudes de información </w:t>
      </w:r>
      <w:r w:rsidR="00D57F5A" w:rsidRPr="00B35732">
        <w:rPr>
          <w:b/>
          <w:szCs w:val="22"/>
        </w:rPr>
        <w:t>00395/TEOLOYU/IP/2025, 00396/TEOLOYU/IP/2025, 00397/TEOLOYU/IP/2025 y 00398/TEOLOYU/IP/2025</w:t>
      </w:r>
      <w:r w:rsidRPr="00B35732">
        <w:t xml:space="preserve">, por resultar </w:t>
      </w:r>
      <w:r w:rsidRPr="00B35732">
        <w:rPr>
          <w:b/>
        </w:rPr>
        <w:t>FUNDADAS</w:t>
      </w:r>
      <w:r w:rsidRPr="00B35732">
        <w:t xml:space="preserve"> las razones </w:t>
      </w:r>
      <w:r w:rsidRPr="00B35732">
        <w:lastRenderedPageBreak/>
        <w:t xml:space="preserve">o motivos de inconformidad hechos valer por </w:t>
      </w:r>
      <w:r w:rsidRPr="00B35732">
        <w:rPr>
          <w:b/>
        </w:rPr>
        <w:t>LA PARTE RECURRENTE</w:t>
      </w:r>
      <w:r w:rsidRPr="00B35732">
        <w:t xml:space="preserve"> en los Recurso de Revisión </w:t>
      </w:r>
      <w:r w:rsidR="00D57F5A" w:rsidRPr="00B35732">
        <w:rPr>
          <w:b/>
          <w:szCs w:val="22"/>
        </w:rPr>
        <w:t xml:space="preserve">07167/INFOEM/IP/RR/2025, 07168/INFOEM/IP/RR/2025, 07169/INFOEM/IP/RR/2025 y 07170/INFOEM/IP/RR/2025 </w:t>
      </w:r>
      <w:r w:rsidRPr="00B35732">
        <w:t xml:space="preserve">en términos del considerando </w:t>
      </w:r>
      <w:r w:rsidRPr="00B35732">
        <w:rPr>
          <w:b/>
        </w:rPr>
        <w:t>SEGUNDO</w:t>
      </w:r>
      <w:r w:rsidRPr="00B35732">
        <w:t xml:space="preserve"> de la presente Resolución.</w:t>
      </w:r>
    </w:p>
    <w:p w14:paraId="723294B9" w14:textId="77777777" w:rsidR="004156B4" w:rsidRPr="00B35732" w:rsidRDefault="004156B4" w:rsidP="00CC7286">
      <w:pPr>
        <w:widowControl w:val="0"/>
      </w:pPr>
    </w:p>
    <w:p w14:paraId="1980606A" w14:textId="2EBBDFE9" w:rsidR="004156B4" w:rsidRPr="00B35732" w:rsidRDefault="004156B4" w:rsidP="00CC7286">
      <w:pPr>
        <w:ind w:right="-93"/>
      </w:pPr>
      <w:r w:rsidRPr="00B35732">
        <w:rPr>
          <w:b/>
        </w:rPr>
        <w:t>SEGUNDO.</w:t>
      </w:r>
      <w:r w:rsidRPr="00B35732">
        <w:t xml:space="preserve"> Se </w:t>
      </w:r>
      <w:r w:rsidRPr="00B35732">
        <w:rPr>
          <w:b/>
        </w:rPr>
        <w:t xml:space="preserve">ORDENA </w:t>
      </w:r>
      <w:r w:rsidRPr="00B35732">
        <w:t xml:space="preserve">al </w:t>
      </w:r>
      <w:r w:rsidRPr="00B35732">
        <w:rPr>
          <w:b/>
        </w:rPr>
        <w:t>SUJETO OBLIGADO</w:t>
      </w:r>
      <w:r w:rsidRPr="00B35732">
        <w:t xml:space="preserve">, a efecto de que entregue a través del </w:t>
      </w:r>
      <w:r w:rsidRPr="00B35732">
        <w:rPr>
          <w:b/>
        </w:rPr>
        <w:t>SAIMEX</w:t>
      </w:r>
      <w:r w:rsidRPr="00B35732">
        <w:t>, de se</w:t>
      </w:r>
      <w:r w:rsidR="00356DD9" w:rsidRPr="00B35732">
        <w:t xml:space="preserve">r procedente en </w:t>
      </w:r>
      <w:r w:rsidR="00356DD9" w:rsidRPr="00B35732">
        <w:rPr>
          <w:b/>
        </w:rPr>
        <w:t>versión pública</w:t>
      </w:r>
      <w:r w:rsidR="00D57F5A" w:rsidRPr="00B35732">
        <w:t xml:space="preserve"> </w:t>
      </w:r>
      <w:r w:rsidR="00356DD9" w:rsidRPr="00B35732">
        <w:t>lo siguiente</w:t>
      </w:r>
      <w:r w:rsidRPr="00B35732">
        <w:t>:</w:t>
      </w:r>
    </w:p>
    <w:p w14:paraId="42444F2D" w14:textId="77777777" w:rsidR="00356DD9" w:rsidRPr="00B35732" w:rsidRDefault="00356DD9" w:rsidP="00CC7286">
      <w:pPr>
        <w:ind w:right="-93"/>
      </w:pPr>
    </w:p>
    <w:p w14:paraId="52CC1896" w14:textId="4BE4DF51" w:rsidR="00D57F5A" w:rsidRPr="00B35732" w:rsidRDefault="00D57F5A" w:rsidP="00CC7286">
      <w:pPr>
        <w:pStyle w:val="Puesto"/>
        <w:rPr>
          <w:rFonts w:eastAsia="Calibri"/>
          <w:b/>
          <w:lang w:eastAsia="es-ES_tradnl"/>
        </w:rPr>
      </w:pPr>
      <w:r w:rsidRPr="00B35732">
        <w:rPr>
          <w:b/>
        </w:rPr>
        <w:t>Los oficios firmados por el Primer regidor en los meses de enero, febrero, marzo y abril de 2025</w:t>
      </w:r>
      <w:r w:rsidR="008A3946" w:rsidRPr="00B35732">
        <w:rPr>
          <w:rFonts w:eastAsia="Calibri"/>
          <w:b/>
          <w:lang w:eastAsia="es-ES_tradnl"/>
        </w:rPr>
        <w:t xml:space="preserve"> enlistados en respuesta; así como, el oficio HGH/PR-OF/134/2025. </w:t>
      </w:r>
    </w:p>
    <w:p w14:paraId="5D3D57F8" w14:textId="77777777" w:rsidR="00356DD9" w:rsidRPr="00B35732" w:rsidRDefault="00356DD9" w:rsidP="00CC7286"/>
    <w:p w14:paraId="04D77856" w14:textId="77777777" w:rsidR="004156B4" w:rsidRPr="00B35732" w:rsidRDefault="004156B4" w:rsidP="00CC7286">
      <w:pPr>
        <w:ind w:right="-28"/>
      </w:pPr>
      <w:r w:rsidRPr="00B35732">
        <w:t>De ser necesarias la versión pública,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59301C5C" w14:textId="77777777" w:rsidR="004156B4" w:rsidRPr="00B35732" w:rsidRDefault="004156B4" w:rsidP="00CC7286">
      <w:pPr>
        <w:ind w:right="-28"/>
      </w:pPr>
    </w:p>
    <w:p w14:paraId="051436E8" w14:textId="4E2CC1F2" w:rsidR="00D57F5A" w:rsidRPr="00B35732" w:rsidRDefault="00756009" w:rsidP="00CC7286">
      <w:pPr>
        <w:rPr>
          <w:b/>
        </w:rPr>
      </w:pPr>
      <w:r w:rsidRPr="00B35732">
        <w:t xml:space="preserve">Para el caso en que </w:t>
      </w:r>
      <w:r w:rsidR="00D57F5A" w:rsidRPr="00B35732">
        <w:t xml:space="preserve">el oficio </w:t>
      </w:r>
      <w:r w:rsidR="00D57F5A" w:rsidRPr="00B35732">
        <w:rPr>
          <w:rFonts w:eastAsia="Calibri"/>
          <w:lang w:eastAsia="es-ES_tradnl"/>
        </w:rPr>
        <w:t>HGH/PR-OF/134/2025 no haya</w:t>
      </w:r>
      <w:r w:rsidR="008A3946" w:rsidRPr="00B35732">
        <w:rPr>
          <w:rFonts w:eastAsia="Calibri"/>
          <w:lang w:eastAsia="es-ES_tradnl"/>
        </w:rPr>
        <w:t xml:space="preserve"> sido </w:t>
      </w:r>
      <w:r w:rsidR="00D57F5A" w:rsidRPr="00B35732">
        <w:rPr>
          <w:rFonts w:eastAsia="Calibri"/>
          <w:lang w:eastAsia="es-ES_tradnl"/>
        </w:rPr>
        <w:t xml:space="preserve">generado </w:t>
      </w:r>
      <w:r w:rsidR="00D57F5A" w:rsidRPr="00B35732">
        <w:rPr>
          <w:rFonts w:eastAsia="Palatino Linotype" w:cs="Palatino Linotype"/>
          <w:iCs/>
          <w:szCs w:val="22"/>
          <w:lang w:eastAsia="es-MX"/>
        </w:rPr>
        <w:t xml:space="preserve">o bien se hubiera cancelado, </w:t>
      </w:r>
      <w:r w:rsidR="00D57F5A" w:rsidRPr="00B35732">
        <w:t xml:space="preserve">bastará con que </w:t>
      </w:r>
      <w:r w:rsidR="00D57F5A" w:rsidRPr="00B35732">
        <w:rPr>
          <w:b/>
        </w:rPr>
        <w:t xml:space="preserve">EL SUJETO OBLIGADO </w:t>
      </w:r>
      <w:r w:rsidR="00D57F5A" w:rsidRPr="00B35732">
        <w:t xml:space="preserve">lo haga del conocimiento de </w:t>
      </w:r>
      <w:r w:rsidR="00D57F5A" w:rsidRPr="00B35732">
        <w:rPr>
          <w:b/>
        </w:rPr>
        <w:t xml:space="preserve">LA PARTE RECURRENTE. </w:t>
      </w:r>
    </w:p>
    <w:p w14:paraId="74E051B5" w14:textId="77777777" w:rsidR="00756009" w:rsidRPr="00B35732" w:rsidRDefault="00756009" w:rsidP="00CC7286">
      <w:pPr>
        <w:ind w:right="-28"/>
      </w:pPr>
    </w:p>
    <w:p w14:paraId="25BCDA34" w14:textId="77777777" w:rsidR="004156B4" w:rsidRPr="00B35732" w:rsidRDefault="004156B4" w:rsidP="00CC7286">
      <w:r w:rsidRPr="00B35732">
        <w:rPr>
          <w:b/>
        </w:rPr>
        <w:t>TERCERO.</w:t>
      </w:r>
      <w:r w:rsidRPr="00B35732">
        <w:t xml:space="preserve"> </w:t>
      </w:r>
      <w:r w:rsidRPr="00B35732">
        <w:rPr>
          <w:b/>
        </w:rPr>
        <w:t xml:space="preserve">Notifíquese </w:t>
      </w:r>
      <w:r w:rsidRPr="00B35732">
        <w:t>vía Sistema de Acceso a la Información Mexiquense (</w:t>
      </w:r>
      <w:r w:rsidRPr="00B35732">
        <w:rPr>
          <w:b/>
        </w:rPr>
        <w:t>SAIMEX)</w:t>
      </w:r>
      <w:r w:rsidRPr="00B35732">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w:t>
      </w:r>
      <w:r w:rsidRPr="00B35732">
        <w:lastRenderedPageBreak/>
        <w:t>medida de apremio de conformidad con lo previsto en los artículos 198, 200, fracción III; 214, 215 y 216 de la Ley de Transparencia y Acceso a la Información Pública del Estado de México y Municipios.</w:t>
      </w:r>
    </w:p>
    <w:p w14:paraId="590BBC21" w14:textId="77777777" w:rsidR="004156B4" w:rsidRPr="00B35732" w:rsidRDefault="004156B4" w:rsidP="00CC7286"/>
    <w:p w14:paraId="323D2384" w14:textId="77777777" w:rsidR="004156B4" w:rsidRPr="00B35732" w:rsidRDefault="004156B4" w:rsidP="00CC7286">
      <w:pPr>
        <w:rPr>
          <w:b/>
        </w:rPr>
      </w:pPr>
      <w:r w:rsidRPr="00B35732">
        <w:rPr>
          <w:b/>
        </w:rPr>
        <w:t>CUARTO.</w:t>
      </w:r>
      <w:r w:rsidRPr="00B35732">
        <w:t xml:space="preserve"> Notifíquese a </w:t>
      </w:r>
      <w:r w:rsidRPr="00B35732">
        <w:rPr>
          <w:b/>
        </w:rPr>
        <w:t>LA PARTE RECURRENTE</w:t>
      </w:r>
      <w:r w:rsidRPr="00B35732">
        <w:t xml:space="preserve"> la presente resolución vía Sistema de Acceso a la Información Mexiquense </w:t>
      </w:r>
      <w:r w:rsidRPr="00B35732">
        <w:rPr>
          <w:b/>
        </w:rPr>
        <w:t>(SAIMEX).</w:t>
      </w:r>
    </w:p>
    <w:p w14:paraId="6E885D83" w14:textId="77777777" w:rsidR="004156B4" w:rsidRPr="00B35732" w:rsidRDefault="004156B4" w:rsidP="00CC7286"/>
    <w:p w14:paraId="00784D46" w14:textId="77777777" w:rsidR="004156B4" w:rsidRPr="00B35732" w:rsidRDefault="004156B4" w:rsidP="00CC7286">
      <w:r w:rsidRPr="00B35732">
        <w:rPr>
          <w:b/>
        </w:rPr>
        <w:t>QUINTO</w:t>
      </w:r>
      <w:r w:rsidRPr="00B35732">
        <w:t xml:space="preserve">. Hágase del conocimiento a </w:t>
      </w:r>
      <w:r w:rsidRPr="00B35732">
        <w:rPr>
          <w:b/>
        </w:rPr>
        <w:t>LA PARTE RECURRENTE</w:t>
      </w:r>
      <w:r w:rsidRPr="00B35732">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22393273" w14:textId="77777777" w:rsidR="004156B4" w:rsidRPr="00B35732" w:rsidRDefault="004156B4" w:rsidP="00CC7286"/>
    <w:p w14:paraId="657543DD" w14:textId="07512C37" w:rsidR="001910CD" w:rsidRPr="00B35732" w:rsidRDefault="004156B4" w:rsidP="00CC7286">
      <w:r w:rsidRPr="00B35732">
        <w:rPr>
          <w:b/>
        </w:rPr>
        <w:t>SEXTO.</w:t>
      </w:r>
      <w:r w:rsidRPr="00B35732">
        <w:t xml:space="preserve"> De conformidad con el artículo 198 de la Ley de Transparencia y Acceso a la Información Pública del Estado de México y Municipios, el </w:t>
      </w:r>
      <w:r w:rsidRPr="00B35732">
        <w:rPr>
          <w:b/>
        </w:rPr>
        <w:t>SUJETO OBLIGADO</w:t>
      </w:r>
      <w:r w:rsidRPr="00B35732">
        <w:t xml:space="preserve"> podrá solicitar una ampliación de plazo de manera fundada y motivada, para el cumplimiento de la presente resolución.</w:t>
      </w:r>
    </w:p>
    <w:p w14:paraId="09C75806" w14:textId="77777777" w:rsidR="00BB3438" w:rsidRPr="00B35732" w:rsidRDefault="00BB3438" w:rsidP="00CC7286">
      <w:pPr>
        <w:rPr>
          <w:szCs w:val="22"/>
        </w:rPr>
      </w:pPr>
    </w:p>
    <w:p w14:paraId="79D5C564" w14:textId="77777777" w:rsidR="00493A38" w:rsidRPr="00B35732" w:rsidRDefault="00493A38" w:rsidP="00CC7286">
      <w:pPr>
        <w:ind w:right="-93"/>
      </w:pPr>
      <w:r w:rsidRPr="00B35732">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OCTAVA SESIÓN ORDINARIA, CELEBRADA EL VEINTIDÓS DE OCTUBRE DE DOS MIL VEINTICINCO ANTE EL SECRETARIO TÉCNICO DEL PLENO, ALEXIS TAPIA RAMÍREZ.</w:t>
      </w:r>
    </w:p>
    <w:p w14:paraId="08C3B1C8" w14:textId="2D9BC456" w:rsidR="00CC7286" w:rsidRDefault="00593577" w:rsidP="00CC7286">
      <w:pPr>
        <w:tabs>
          <w:tab w:val="left" w:pos="2325"/>
        </w:tabs>
        <w:rPr>
          <w:sz w:val="18"/>
          <w:szCs w:val="22"/>
        </w:rPr>
      </w:pPr>
      <w:r w:rsidRPr="00B35732">
        <w:rPr>
          <w:sz w:val="18"/>
          <w:szCs w:val="22"/>
        </w:rPr>
        <w:t>SCMM/AGZ/DEMF/</w:t>
      </w:r>
      <w:r w:rsidR="00EB29A4" w:rsidRPr="00B35732">
        <w:rPr>
          <w:sz w:val="18"/>
          <w:szCs w:val="22"/>
        </w:rPr>
        <w:t>RPG</w:t>
      </w:r>
    </w:p>
    <w:p w14:paraId="1C52372E" w14:textId="542E7772" w:rsidR="001910CD" w:rsidRPr="00B35732" w:rsidRDefault="00CC7286" w:rsidP="00B35732">
      <w:pPr>
        <w:rPr>
          <w:sz w:val="18"/>
          <w:szCs w:val="22"/>
        </w:rPr>
      </w:pPr>
      <w:r>
        <w:rPr>
          <w:sz w:val="18"/>
          <w:szCs w:val="22"/>
        </w:rPr>
        <w:br w:type="page"/>
      </w:r>
    </w:p>
    <w:sectPr w:rsidR="001910CD" w:rsidRPr="00B35732">
      <w:footerReference w:type="default" r:id="rId12"/>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69218A" w14:textId="77777777" w:rsidR="00F436BD" w:rsidRDefault="00F436BD">
      <w:pPr>
        <w:spacing w:line="240" w:lineRule="auto"/>
      </w:pPr>
      <w:r>
        <w:separator/>
      </w:r>
    </w:p>
  </w:endnote>
  <w:endnote w:type="continuationSeparator" w:id="0">
    <w:p w14:paraId="2EF95129" w14:textId="77777777" w:rsidR="00F436BD" w:rsidRDefault="00F436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74E5AC" w14:textId="77777777" w:rsidR="00D57F5A" w:rsidRDefault="00D57F5A">
    <w:pPr>
      <w:tabs>
        <w:tab w:val="center" w:pos="4550"/>
        <w:tab w:val="left" w:pos="5818"/>
      </w:tabs>
      <w:ind w:right="260"/>
      <w:jc w:val="right"/>
      <w:rPr>
        <w:color w:val="071320"/>
        <w:sz w:val="24"/>
        <w:szCs w:val="24"/>
      </w:rPr>
    </w:pPr>
  </w:p>
  <w:p w14:paraId="7F9BD79D" w14:textId="77777777" w:rsidR="00D57F5A" w:rsidRDefault="00D57F5A">
    <w:pPr>
      <w:pBdr>
        <w:top w:val="nil"/>
        <w:left w:val="nil"/>
        <w:bottom w:val="nil"/>
        <w:right w:val="nil"/>
        <w:between w:val="nil"/>
      </w:pBdr>
      <w:tabs>
        <w:tab w:val="center" w:pos="4419"/>
        <w:tab w:val="right" w:pos="8838"/>
      </w:tabs>
      <w:rPr>
        <w:rFonts w:eastAsia="Palatino Linotype" w:cs="Palatino Linotype"/>
        <w:color w:val="000000"/>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80E0A2" w14:textId="141FF06A" w:rsidR="00D57F5A" w:rsidRDefault="00D57F5A">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1E5EC5">
      <w:rPr>
        <w:noProof/>
        <w:color w:val="0A1D30"/>
        <w:sz w:val="24"/>
        <w:szCs w:val="24"/>
      </w:rPr>
      <w:t>6</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1E5EC5">
      <w:rPr>
        <w:noProof/>
        <w:color w:val="0A1D30"/>
        <w:sz w:val="24"/>
        <w:szCs w:val="24"/>
      </w:rPr>
      <w:t>43</w:t>
    </w:r>
    <w:r>
      <w:rPr>
        <w:color w:val="0A1D30"/>
        <w:sz w:val="24"/>
        <w:szCs w:val="24"/>
      </w:rPr>
      <w:fldChar w:fldCharType="end"/>
    </w:r>
  </w:p>
  <w:p w14:paraId="5A36717B" w14:textId="77777777" w:rsidR="00D57F5A" w:rsidRDefault="00D57F5A">
    <w:pPr>
      <w:pBdr>
        <w:top w:val="nil"/>
        <w:left w:val="nil"/>
        <w:bottom w:val="nil"/>
        <w:right w:val="nil"/>
        <w:between w:val="nil"/>
      </w:pBdr>
      <w:tabs>
        <w:tab w:val="center" w:pos="4419"/>
        <w:tab w:val="right" w:pos="8838"/>
      </w:tabs>
      <w:rPr>
        <w:rFonts w:eastAsia="Palatino Linotype" w:cs="Palatino Linotype"/>
        <w:color w:val="000000"/>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2B3A59" w14:textId="77777777" w:rsidR="00F436BD" w:rsidRDefault="00F436BD">
      <w:pPr>
        <w:spacing w:line="240" w:lineRule="auto"/>
      </w:pPr>
      <w:r>
        <w:separator/>
      </w:r>
    </w:p>
  </w:footnote>
  <w:footnote w:type="continuationSeparator" w:id="0">
    <w:p w14:paraId="458B2569" w14:textId="77777777" w:rsidR="00F436BD" w:rsidRDefault="00F436BD">
      <w:pPr>
        <w:spacing w:line="240" w:lineRule="auto"/>
      </w:pPr>
      <w:r>
        <w:continuationSeparator/>
      </w:r>
    </w:p>
  </w:footnote>
  <w:footnote w:id="1">
    <w:p w14:paraId="18077175" w14:textId="6CF42704" w:rsidR="00D57F5A" w:rsidRPr="003F45F7" w:rsidRDefault="00D57F5A">
      <w:pPr>
        <w:pStyle w:val="Textonotapie"/>
        <w:rPr>
          <w:i/>
          <w:sz w:val="18"/>
        </w:rPr>
      </w:pPr>
      <w:r>
        <w:rPr>
          <w:rStyle w:val="Refdenotaalpie"/>
        </w:rPr>
        <w:footnoteRef/>
      </w:r>
      <w:r>
        <w:t xml:space="preserve"> </w:t>
      </w:r>
      <w:r w:rsidRPr="003F45F7">
        <w:rPr>
          <w:rStyle w:val="selectable-text"/>
          <w:i/>
          <w:sz w:val="18"/>
        </w:rPr>
        <w:t>https://legislacion.edomex.gob.mx/sites/legislacion.edomex.gob.mx/files/files/pdf/gct/2024/abril/abr231/abr231e.pdf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195E79" w14:textId="77777777" w:rsidR="00D57F5A" w:rsidRDefault="00D57F5A">
    <w:pPr>
      <w:widowControl w:val="0"/>
      <w:pBdr>
        <w:top w:val="nil"/>
        <w:left w:val="nil"/>
        <w:bottom w:val="nil"/>
        <w:right w:val="nil"/>
        <w:between w:val="nil"/>
      </w:pBdr>
      <w:spacing w:line="276" w:lineRule="auto"/>
      <w:jc w:val="left"/>
      <w:rPr>
        <w:rFonts w:eastAsia="Palatino Linotype" w:cs="Palatino Linotype"/>
        <w:color w:val="000000"/>
        <w:sz w:val="20"/>
      </w:rPr>
    </w:pPr>
  </w:p>
  <w:tbl>
    <w:tblPr>
      <w:tblStyle w:val="3"/>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D57F5A" w:rsidRPr="00ED6DE5" w14:paraId="4891DC08" w14:textId="77777777">
      <w:trPr>
        <w:trHeight w:val="144"/>
        <w:jc w:val="right"/>
      </w:trPr>
      <w:tc>
        <w:tcPr>
          <w:tcW w:w="2727" w:type="dxa"/>
        </w:tcPr>
        <w:p w14:paraId="144A0507" w14:textId="77777777" w:rsidR="00D57F5A" w:rsidRPr="00ED6DE5" w:rsidRDefault="00D57F5A">
          <w:pPr>
            <w:tabs>
              <w:tab w:val="right" w:pos="8838"/>
            </w:tabs>
            <w:ind w:left="-74" w:right="-105"/>
            <w:rPr>
              <w:b/>
              <w:sz w:val="22"/>
              <w:szCs w:val="22"/>
            </w:rPr>
          </w:pPr>
          <w:r w:rsidRPr="00ED6DE5">
            <w:rPr>
              <w:b/>
              <w:sz w:val="22"/>
              <w:szCs w:val="22"/>
            </w:rPr>
            <w:t>Recurso de Revisión:</w:t>
          </w:r>
        </w:p>
      </w:tc>
      <w:tc>
        <w:tcPr>
          <w:tcW w:w="3402" w:type="dxa"/>
        </w:tcPr>
        <w:p w14:paraId="76AF9270" w14:textId="26EB3F3B" w:rsidR="00D57F5A" w:rsidRPr="00ED6DE5" w:rsidRDefault="00D57F5A" w:rsidP="00FB7FFA">
          <w:pPr>
            <w:tabs>
              <w:tab w:val="right" w:pos="8838"/>
            </w:tabs>
            <w:ind w:left="-74" w:right="-108"/>
            <w:rPr>
              <w:sz w:val="22"/>
              <w:szCs w:val="22"/>
            </w:rPr>
          </w:pPr>
          <w:r w:rsidRPr="00ED6DE5">
            <w:rPr>
              <w:sz w:val="22"/>
              <w:szCs w:val="22"/>
            </w:rPr>
            <w:t>0</w:t>
          </w:r>
          <w:r w:rsidR="007811F2">
            <w:rPr>
              <w:sz w:val="22"/>
              <w:szCs w:val="22"/>
            </w:rPr>
            <w:t>7167</w:t>
          </w:r>
          <w:r w:rsidRPr="00ED6DE5">
            <w:rPr>
              <w:sz w:val="22"/>
              <w:szCs w:val="22"/>
            </w:rPr>
            <w:t>/INFOEM/IP/RR/2025 y acumulados.</w:t>
          </w:r>
        </w:p>
      </w:tc>
    </w:tr>
    <w:tr w:rsidR="00D57F5A" w:rsidRPr="00ED6DE5" w14:paraId="30591CAF" w14:textId="77777777">
      <w:trPr>
        <w:trHeight w:val="283"/>
        <w:jc w:val="right"/>
      </w:trPr>
      <w:tc>
        <w:tcPr>
          <w:tcW w:w="2727" w:type="dxa"/>
        </w:tcPr>
        <w:p w14:paraId="1EB2F6CD" w14:textId="77777777" w:rsidR="00D57F5A" w:rsidRPr="00ED6DE5" w:rsidRDefault="00D57F5A">
          <w:pPr>
            <w:tabs>
              <w:tab w:val="right" w:pos="8838"/>
            </w:tabs>
            <w:ind w:left="-74" w:right="-105"/>
            <w:rPr>
              <w:b/>
              <w:sz w:val="22"/>
              <w:szCs w:val="22"/>
            </w:rPr>
          </w:pPr>
          <w:r w:rsidRPr="00ED6DE5">
            <w:rPr>
              <w:b/>
              <w:sz w:val="22"/>
              <w:szCs w:val="22"/>
            </w:rPr>
            <w:t>Sujeto Obligado:</w:t>
          </w:r>
        </w:p>
      </w:tc>
      <w:tc>
        <w:tcPr>
          <w:tcW w:w="3402" w:type="dxa"/>
        </w:tcPr>
        <w:p w14:paraId="52B2CC6C" w14:textId="0A56C77D" w:rsidR="00D57F5A" w:rsidRPr="00ED6DE5" w:rsidRDefault="00D57F5A" w:rsidP="00E36C48">
          <w:pPr>
            <w:tabs>
              <w:tab w:val="left" w:pos="2834"/>
              <w:tab w:val="right" w:pos="8838"/>
            </w:tabs>
            <w:ind w:left="-108" w:right="-105"/>
            <w:rPr>
              <w:sz w:val="22"/>
              <w:szCs w:val="22"/>
            </w:rPr>
          </w:pPr>
          <w:r w:rsidRPr="00ED6DE5">
            <w:rPr>
              <w:sz w:val="22"/>
              <w:szCs w:val="22"/>
            </w:rPr>
            <w:t>Ayuntamiento de Teoloyucan</w:t>
          </w:r>
        </w:p>
      </w:tc>
    </w:tr>
    <w:tr w:rsidR="00D57F5A" w:rsidRPr="00ED6DE5" w14:paraId="6E27B642" w14:textId="77777777">
      <w:trPr>
        <w:trHeight w:val="283"/>
        <w:jc w:val="right"/>
      </w:trPr>
      <w:tc>
        <w:tcPr>
          <w:tcW w:w="2727" w:type="dxa"/>
        </w:tcPr>
        <w:p w14:paraId="65AE2A0F" w14:textId="77777777" w:rsidR="00D57F5A" w:rsidRPr="00ED6DE5" w:rsidRDefault="00D57F5A">
          <w:pPr>
            <w:tabs>
              <w:tab w:val="right" w:pos="8838"/>
            </w:tabs>
            <w:ind w:left="-74" w:right="-105"/>
            <w:rPr>
              <w:b/>
              <w:sz w:val="22"/>
              <w:szCs w:val="22"/>
            </w:rPr>
          </w:pPr>
          <w:r w:rsidRPr="00ED6DE5">
            <w:rPr>
              <w:b/>
              <w:sz w:val="22"/>
              <w:szCs w:val="22"/>
            </w:rPr>
            <w:t>Comisionada Ponente:</w:t>
          </w:r>
        </w:p>
      </w:tc>
      <w:tc>
        <w:tcPr>
          <w:tcW w:w="3402" w:type="dxa"/>
        </w:tcPr>
        <w:p w14:paraId="65905C09" w14:textId="77777777" w:rsidR="00D57F5A" w:rsidRPr="00ED6DE5" w:rsidRDefault="00D57F5A">
          <w:pPr>
            <w:tabs>
              <w:tab w:val="right" w:pos="8838"/>
            </w:tabs>
            <w:ind w:left="-108" w:right="-105"/>
            <w:rPr>
              <w:sz w:val="22"/>
              <w:szCs w:val="22"/>
            </w:rPr>
          </w:pPr>
          <w:r w:rsidRPr="00ED6DE5">
            <w:rPr>
              <w:sz w:val="22"/>
              <w:szCs w:val="22"/>
            </w:rPr>
            <w:t>Sharon Cristina Morales Martínez</w:t>
          </w:r>
        </w:p>
      </w:tc>
    </w:tr>
  </w:tbl>
  <w:p w14:paraId="0487FEE3" w14:textId="77777777" w:rsidR="00D57F5A" w:rsidRDefault="00D57F5A">
    <w:pPr>
      <w:rPr>
        <w:rFonts w:eastAsia="Palatino Linotype" w:cs="Palatino Linotype"/>
        <w:color w:val="000000"/>
        <w:sz w:val="14"/>
        <w:szCs w:val="14"/>
      </w:rPr>
    </w:pPr>
    <w:r>
      <w:rPr>
        <w:rFonts w:ascii="Garamond" w:eastAsia="Garamond" w:hAnsi="Garamond" w:cs="Garamond"/>
        <w:noProof/>
        <w:color w:val="000000"/>
        <w:sz w:val="16"/>
        <w:szCs w:val="16"/>
        <w:lang w:eastAsia="es-MX"/>
      </w:rPr>
      <w:drawing>
        <wp:anchor distT="0" distB="0" distL="0" distR="0" simplePos="0" relativeHeight="251657216" behindDoc="1" locked="0" layoutInCell="1" hidden="0" allowOverlap="1" wp14:anchorId="6E276E0B" wp14:editId="79B58E1C">
          <wp:simplePos x="0" y="0"/>
          <wp:positionH relativeFrom="margin">
            <wp:posOffset>-995043</wp:posOffset>
          </wp:positionH>
          <wp:positionV relativeFrom="margin">
            <wp:posOffset>-1782444</wp:posOffset>
          </wp:positionV>
          <wp:extent cx="8426450" cy="1097280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BDED03" w14:textId="77777777" w:rsidR="00D57F5A" w:rsidRDefault="00D57F5A">
    <w:pPr>
      <w:widowControl w:val="0"/>
      <w:pBdr>
        <w:top w:val="nil"/>
        <w:left w:val="nil"/>
        <w:bottom w:val="nil"/>
        <w:right w:val="nil"/>
        <w:between w:val="nil"/>
      </w:pBdr>
      <w:spacing w:line="276" w:lineRule="auto"/>
      <w:jc w:val="left"/>
      <w:rPr>
        <w:rFonts w:eastAsia="Palatino Linotype" w:cs="Palatino Linotype"/>
        <w:color w:val="000000"/>
        <w:sz w:val="14"/>
        <w:szCs w:val="14"/>
      </w:rPr>
    </w:pPr>
  </w:p>
  <w:tbl>
    <w:tblPr>
      <w:tblStyle w:val="2"/>
      <w:tblW w:w="6661" w:type="dxa"/>
      <w:tblInd w:w="2552" w:type="dxa"/>
      <w:tblLayout w:type="fixed"/>
      <w:tblLook w:val="0400" w:firstRow="0" w:lastRow="0" w:firstColumn="0" w:lastColumn="0" w:noHBand="0" w:noVBand="1"/>
    </w:tblPr>
    <w:tblGrid>
      <w:gridCol w:w="283"/>
      <w:gridCol w:w="6378"/>
    </w:tblGrid>
    <w:tr w:rsidR="00D57F5A" w14:paraId="14695A25" w14:textId="77777777">
      <w:trPr>
        <w:trHeight w:val="1435"/>
      </w:trPr>
      <w:tc>
        <w:tcPr>
          <w:tcW w:w="283" w:type="dxa"/>
        </w:tcPr>
        <w:p w14:paraId="103A3B00" w14:textId="77777777" w:rsidR="00D57F5A" w:rsidRDefault="00D57F5A">
          <w:pPr>
            <w:tabs>
              <w:tab w:val="right" w:pos="4273"/>
            </w:tabs>
            <w:rPr>
              <w:rFonts w:ascii="Garamond" w:eastAsia="Garamond" w:hAnsi="Garamond" w:cs="Garamond"/>
            </w:rPr>
          </w:pPr>
        </w:p>
      </w:tc>
      <w:tc>
        <w:tcPr>
          <w:tcW w:w="6379" w:type="dxa"/>
        </w:tcPr>
        <w:p w14:paraId="24F6173D" w14:textId="77777777" w:rsidR="00D57F5A" w:rsidRDefault="00D57F5A">
          <w:pPr>
            <w:widowControl w:val="0"/>
            <w:pBdr>
              <w:top w:val="nil"/>
              <w:left w:val="nil"/>
              <w:bottom w:val="nil"/>
              <w:right w:val="nil"/>
              <w:between w:val="nil"/>
            </w:pBdr>
            <w:spacing w:line="276" w:lineRule="auto"/>
            <w:jc w:val="left"/>
            <w:rPr>
              <w:rFonts w:ascii="Garamond" w:eastAsia="Garamond" w:hAnsi="Garamond" w:cs="Garamond"/>
            </w:rPr>
          </w:pPr>
        </w:p>
        <w:tbl>
          <w:tblPr>
            <w:tblStyle w:val="1"/>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gridCol w:w="3402"/>
          </w:tblGrid>
          <w:tr w:rsidR="00D57F5A" w14:paraId="6F2758F3" w14:textId="77777777">
            <w:trPr>
              <w:trHeight w:val="144"/>
            </w:trPr>
            <w:tc>
              <w:tcPr>
                <w:tcW w:w="2727" w:type="dxa"/>
              </w:tcPr>
              <w:p w14:paraId="0FE64765" w14:textId="77777777" w:rsidR="00D57F5A" w:rsidRPr="00ED6DE5" w:rsidRDefault="00D57F5A">
                <w:pPr>
                  <w:tabs>
                    <w:tab w:val="right" w:pos="8838"/>
                  </w:tabs>
                  <w:ind w:left="-74" w:right="-105"/>
                  <w:rPr>
                    <w:b/>
                    <w:sz w:val="22"/>
                    <w:szCs w:val="18"/>
                  </w:rPr>
                </w:pPr>
                <w:bookmarkStart w:id="0" w:name="_heading=h.ihv636" w:colFirst="0" w:colLast="0"/>
                <w:bookmarkEnd w:id="0"/>
                <w:r w:rsidRPr="00ED6DE5">
                  <w:rPr>
                    <w:b/>
                    <w:sz w:val="22"/>
                    <w:szCs w:val="18"/>
                  </w:rPr>
                  <w:t>Recurso de Revisión:</w:t>
                </w:r>
              </w:p>
            </w:tc>
            <w:tc>
              <w:tcPr>
                <w:tcW w:w="3402" w:type="dxa"/>
              </w:tcPr>
              <w:p w14:paraId="104DA511" w14:textId="29A2B640" w:rsidR="00D57F5A" w:rsidRPr="00ED6DE5" w:rsidRDefault="00D57F5A" w:rsidP="00245075">
                <w:pPr>
                  <w:tabs>
                    <w:tab w:val="right" w:pos="8838"/>
                  </w:tabs>
                  <w:ind w:left="-74" w:right="-105"/>
                  <w:rPr>
                    <w:sz w:val="22"/>
                    <w:szCs w:val="18"/>
                  </w:rPr>
                </w:pPr>
                <w:r w:rsidRPr="00ED6DE5">
                  <w:rPr>
                    <w:sz w:val="22"/>
                    <w:szCs w:val="18"/>
                  </w:rPr>
                  <w:t>07167/INFOEM/IP/RR/2025 y acumulados</w:t>
                </w:r>
              </w:p>
            </w:tc>
            <w:tc>
              <w:tcPr>
                <w:tcW w:w="3402" w:type="dxa"/>
              </w:tcPr>
              <w:p w14:paraId="0DC23992" w14:textId="77777777" w:rsidR="00D57F5A" w:rsidRDefault="00D57F5A">
                <w:pPr>
                  <w:tabs>
                    <w:tab w:val="right" w:pos="8838"/>
                  </w:tabs>
                  <w:ind w:left="-74" w:right="-105"/>
                </w:pPr>
              </w:p>
            </w:tc>
          </w:tr>
          <w:tr w:rsidR="00D57F5A" w14:paraId="55E8BD7A" w14:textId="77777777">
            <w:trPr>
              <w:trHeight w:val="144"/>
            </w:trPr>
            <w:tc>
              <w:tcPr>
                <w:tcW w:w="2727" w:type="dxa"/>
              </w:tcPr>
              <w:p w14:paraId="538C43FC" w14:textId="77777777" w:rsidR="00D57F5A" w:rsidRPr="00ED6DE5" w:rsidRDefault="00D57F5A">
                <w:pPr>
                  <w:tabs>
                    <w:tab w:val="right" w:pos="8838"/>
                  </w:tabs>
                  <w:ind w:left="-74" w:right="-105"/>
                  <w:rPr>
                    <w:b/>
                    <w:sz w:val="22"/>
                    <w:szCs w:val="18"/>
                  </w:rPr>
                </w:pPr>
                <w:bookmarkStart w:id="1" w:name="_heading=h.32hioqz" w:colFirst="0" w:colLast="0"/>
                <w:bookmarkEnd w:id="1"/>
                <w:r w:rsidRPr="00ED6DE5">
                  <w:rPr>
                    <w:b/>
                    <w:sz w:val="22"/>
                    <w:szCs w:val="18"/>
                  </w:rPr>
                  <w:t>Recurrente:</w:t>
                </w:r>
              </w:p>
            </w:tc>
            <w:tc>
              <w:tcPr>
                <w:tcW w:w="3402" w:type="dxa"/>
              </w:tcPr>
              <w:p w14:paraId="4718EEFE" w14:textId="66286C8B" w:rsidR="00D57F5A" w:rsidRPr="00ED6DE5" w:rsidRDefault="001E5EC5" w:rsidP="009E0AD6">
                <w:pPr>
                  <w:tabs>
                    <w:tab w:val="left" w:pos="3122"/>
                    <w:tab w:val="right" w:pos="8838"/>
                  </w:tabs>
                  <w:ind w:right="-105"/>
                  <w:rPr>
                    <w:sz w:val="22"/>
                    <w:szCs w:val="18"/>
                  </w:rPr>
                </w:pPr>
                <w:r>
                  <w:rPr>
                    <w:sz w:val="22"/>
                    <w:szCs w:val="18"/>
                  </w:rPr>
                  <w:t>XXXXXXX</w:t>
                </w:r>
              </w:p>
            </w:tc>
            <w:tc>
              <w:tcPr>
                <w:tcW w:w="3402" w:type="dxa"/>
              </w:tcPr>
              <w:p w14:paraId="229554F3" w14:textId="77777777" w:rsidR="00D57F5A" w:rsidRDefault="00D57F5A">
                <w:pPr>
                  <w:tabs>
                    <w:tab w:val="left" w:pos="3122"/>
                    <w:tab w:val="right" w:pos="8838"/>
                  </w:tabs>
                  <w:ind w:left="-105" w:right="-105"/>
                </w:pPr>
              </w:p>
            </w:tc>
          </w:tr>
          <w:tr w:rsidR="00D57F5A" w14:paraId="216C4ACB" w14:textId="77777777">
            <w:trPr>
              <w:trHeight w:val="283"/>
            </w:trPr>
            <w:tc>
              <w:tcPr>
                <w:tcW w:w="2727" w:type="dxa"/>
              </w:tcPr>
              <w:p w14:paraId="5CB9CAEF" w14:textId="77777777" w:rsidR="00D57F5A" w:rsidRPr="00ED6DE5" w:rsidRDefault="00D57F5A">
                <w:pPr>
                  <w:tabs>
                    <w:tab w:val="right" w:pos="8838"/>
                  </w:tabs>
                  <w:ind w:left="-74" w:right="-105"/>
                  <w:rPr>
                    <w:b/>
                    <w:sz w:val="22"/>
                    <w:szCs w:val="18"/>
                  </w:rPr>
                </w:pPr>
                <w:r w:rsidRPr="00ED6DE5">
                  <w:rPr>
                    <w:b/>
                    <w:sz w:val="22"/>
                    <w:szCs w:val="18"/>
                  </w:rPr>
                  <w:t>Sujeto Obligado:</w:t>
                </w:r>
              </w:p>
            </w:tc>
            <w:tc>
              <w:tcPr>
                <w:tcW w:w="3402" w:type="dxa"/>
              </w:tcPr>
              <w:p w14:paraId="5EAB15F4" w14:textId="69DD09B6" w:rsidR="00D57F5A" w:rsidRPr="00ED6DE5" w:rsidRDefault="00D57F5A" w:rsidP="00E36C48">
                <w:pPr>
                  <w:tabs>
                    <w:tab w:val="left" w:pos="2834"/>
                    <w:tab w:val="right" w:pos="8838"/>
                  </w:tabs>
                  <w:ind w:left="-108" w:right="-105"/>
                  <w:rPr>
                    <w:sz w:val="22"/>
                    <w:szCs w:val="18"/>
                  </w:rPr>
                </w:pPr>
                <w:r w:rsidRPr="00ED6DE5">
                  <w:rPr>
                    <w:sz w:val="22"/>
                    <w:szCs w:val="18"/>
                  </w:rPr>
                  <w:t>Ayuntamiento de Teoloyucan</w:t>
                </w:r>
              </w:p>
            </w:tc>
            <w:tc>
              <w:tcPr>
                <w:tcW w:w="3402" w:type="dxa"/>
              </w:tcPr>
              <w:p w14:paraId="64761764" w14:textId="77777777" w:rsidR="00D57F5A" w:rsidRDefault="00D57F5A">
                <w:pPr>
                  <w:tabs>
                    <w:tab w:val="left" w:pos="2834"/>
                    <w:tab w:val="right" w:pos="8838"/>
                  </w:tabs>
                  <w:ind w:left="-108" w:right="-105"/>
                </w:pPr>
              </w:p>
            </w:tc>
          </w:tr>
          <w:tr w:rsidR="00D57F5A" w14:paraId="0F307801" w14:textId="77777777">
            <w:trPr>
              <w:trHeight w:val="283"/>
            </w:trPr>
            <w:tc>
              <w:tcPr>
                <w:tcW w:w="2727" w:type="dxa"/>
              </w:tcPr>
              <w:p w14:paraId="527E2410" w14:textId="77777777" w:rsidR="00D57F5A" w:rsidRPr="00ED6DE5" w:rsidRDefault="00D57F5A">
                <w:pPr>
                  <w:tabs>
                    <w:tab w:val="right" w:pos="8838"/>
                  </w:tabs>
                  <w:ind w:left="-74" w:right="-105"/>
                  <w:rPr>
                    <w:b/>
                    <w:sz w:val="22"/>
                    <w:szCs w:val="18"/>
                  </w:rPr>
                </w:pPr>
                <w:r w:rsidRPr="00ED6DE5">
                  <w:rPr>
                    <w:b/>
                    <w:sz w:val="22"/>
                    <w:szCs w:val="18"/>
                  </w:rPr>
                  <w:t>Comisionada Ponente:</w:t>
                </w:r>
              </w:p>
            </w:tc>
            <w:tc>
              <w:tcPr>
                <w:tcW w:w="3402" w:type="dxa"/>
              </w:tcPr>
              <w:p w14:paraId="4C3A5D3E" w14:textId="77777777" w:rsidR="00D57F5A" w:rsidRPr="00ED6DE5" w:rsidRDefault="00D57F5A">
                <w:pPr>
                  <w:tabs>
                    <w:tab w:val="right" w:pos="8838"/>
                  </w:tabs>
                  <w:ind w:left="-108" w:right="-105"/>
                  <w:rPr>
                    <w:sz w:val="22"/>
                    <w:szCs w:val="18"/>
                  </w:rPr>
                </w:pPr>
                <w:r w:rsidRPr="00ED6DE5">
                  <w:rPr>
                    <w:sz w:val="22"/>
                    <w:szCs w:val="18"/>
                  </w:rPr>
                  <w:t>Sharon Cristina Morales Martínez</w:t>
                </w:r>
              </w:p>
            </w:tc>
            <w:tc>
              <w:tcPr>
                <w:tcW w:w="3402" w:type="dxa"/>
              </w:tcPr>
              <w:p w14:paraId="7617EEC8" w14:textId="77777777" w:rsidR="00D57F5A" w:rsidRDefault="00D57F5A">
                <w:pPr>
                  <w:tabs>
                    <w:tab w:val="right" w:pos="8838"/>
                  </w:tabs>
                  <w:ind w:left="-108" w:right="-105"/>
                </w:pPr>
              </w:p>
            </w:tc>
          </w:tr>
        </w:tbl>
        <w:p w14:paraId="51786FE4" w14:textId="77777777" w:rsidR="00D57F5A" w:rsidRDefault="00D57F5A">
          <w:pPr>
            <w:tabs>
              <w:tab w:val="right" w:pos="8838"/>
            </w:tabs>
            <w:ind w:left="-28"/>
            <w:rPr>
              <w:rFonts w:ascii="Arial" w:eastAsia="Arial" w:hAnsi="Arial" w:cs="Arial"/>
              <w:b/>
            </w:rPr>
          </w:pPr>
        </w:p>
      </w:tc>
    </w:tr>
  </w:tbl>
  <w:p w14:paraId="28B3E887" w14:textId="77777777" w:rsidR="00D57F5A" w:rsidRDefault="00F436BD">
    <w:pPr>
      <w:rPr>
        <w:rFonts w:eastAsia="Palatino Linotype" w:cs="Palatino Linotype"/>
        <w:color w:val="000000"/>
        <w:szCs w:val="22"/>
      </w:rPr>
    </w:pPr>
    <w:r>
      <w:rPr>
        <w:rFonts w:eastAsia="Palatino Linotype" w:cs="Palatino Linotype"/>
        <w:color w:val="000000"/>
        <w:sz w:val="36"/>
        <w:szCs w:val="36"/>
      </w:rPr>
      <w:pict w14:anchorId="4519BA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image1" style="position:absolute;left:0;text-align:left;margin-left:-63.65pt;margin-top:-120.1pt;width:663.5pt;height:12in;z-index:-251658240;mso-wrap-edited:f;mso-width-percent:0;mso-height-percent:0;mso-position-horizontal-relative:margin;mso-position-vertical-relative:margin;mso-width-percent:0;mso-height-percent:0">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B3ED8"/>
    <w:multiLevelType w:val="multilevel"/>
    <w:tmpl w:val="24B48596"/>
    <w:lvl w:ilvl="0">
      <w:start w:val="1"/>
      <w:numFmt w:val="decimal"/>
      <w:lvlText w:val="%1."/>
      <w:lvlJc w:val="left"/>
      <w:pPr>
        <w:ind w:left="720" w:hanging="360"/>
      </w:pPr>
      <w:rPr>
        <w:rFonts w:ascii="Palatino Linotype" w:eastAsia="Times New Roman" w:hAnsi="Palatino Linotype"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4D04706"/>
    <w:multiLevelType w:val="multilevel"/>
    <w:tmpl w:val="EF6E18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62D23EB"/>
    <w:multiLevelType w:val="hybridMultilevel"/>
    <w:tmpl w:val="31643D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3243C4"/>
    <w:multiLevelType w:val="hybridMultilevel"/>
    <w:tmpl w:val="09C406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B074E1"/>
    <w:multiLevelType w:val="hybridMultilevel"/>
    <w:tmpl w:val="63BA6D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A816A2"/>
    <w:multiLevelType w:val="hybridMultilevel"/>
    <w:tmpl w:val="BE9632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1C439C8"/>
    <w:multiLevelType w:val="hybridMultilevel"/>
    <w:tmpl w:val="93E09ED6"/>
    <w:lvl w:ilvl="0" w:tplc="E8B869CC">
      <w:start w:val="4"/>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27367C0"/>
    <w:multiLevelType w:val="hybridMultilevel"/>
    <w:tmpl w:val="ACF4B5A6"/>
    <w:lvl w:ilvl="0" w:tplc="080A0017">
      <w:start w:val="1"/>
      <w:numFmt w:val="lowerLetter"/>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135562DE"/>
    <w:multiLevelType w:val="hybridMultilevel"/>
    <w:tmpl w:val="B12EBEA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3AA07A2"/>
    <w:multiLevelType w:val="hybridMultilevel"/>
    <w:tmpl w:val="CA14F8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61E354D"/>
    <w:multiLevelType w:val="hybridMultilevel"/>
    <w:tmpl w:val="1DD27C0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1B511EE1"/>
    <w:multiLevelType w:val="multilevel"/>
    <w:tmpl w:val="CBD090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1DC54B4D"/>
    <w:multiLevelType w:val="hybridMultilevel"/>
    <w:tmpl w:val="FFA270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1306E45"/>
    <w:multiLevelType w:val="multilevel"/>
    <w:tmpl w:val="194242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33F590A"/>
    <w:multiLevelType w:val="hybridMultilevel"/>
    <w:tmpl w:val="1F6E2442"/>
    <w:lvl w:ilvl="0" w:tplc="080A0001">
      <w:start w:val="1"/>
      <w:numFmt w:val="bullet"/>
      <w:lvlText w:val=""/>
      <w:lvlJc w:val="left"/>
      <w:pPr>
        <w:ind w:left="1571" w:hanging="360"/>
      </w:pPr>
      <w:rPr>
        <w:rFonts w:ascii="Symbol" w:hAnsi="Symbol" w:hint="default"/>
      </w:rPr>
    </w:lvl>
    <w:lvl w:ilvl="1" w:tplc="080A0017">
      <w:start w:val="1"/>
      <w:numFmt w:val="lowerLetter"/>
      <w:lvlText w:val="%2)"/>
      <w:lvlJc w:val="left"/>
      <w:pPr>
        <w:ind w:left="2291" w:hanging="360"/>
      </w:pPr>
      <w:rPr>
        <w:rFonts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5" w15:restartNumberingAfterBreak="0">
    <w:nsid w:val="2B715495"/>
    <w:multiLevelType w:val="hybridMultilevel"/>
    <w:tmpl w:val="A40CF7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1496BC8"/>
    <w:multiLevelType w:val="multilevel"/>
    <w:tmpl w:val="2E4432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1A00747"/>
    <w:multiLevelType w:val="hybridMultilevel"/>
    <w:tmpl w:val="81F63510"/>
    <w:lvl w:ilvl="0" w:tplc="080A0001">
      <w:start w:val="1"/>
      <w:numFmt w:val="bullet"/>
      <w:lvlText w:val=""/>
      <w:lvlJc w:val="left"/>
      <w:pPr>
        <w:ind w:left="1571" w:hanging="360"/>
      </w:pPr>
      <w:rPr>
        <w:rFonts w:ascii="Symbol" w:hAnsi="Symbol" w:hint="default"/>
      </w:rPr>
    </w:lvl>
    <w:lvl w:ilvl="1" w:tplc="080A0017">
      <w:start w:val="1"/>
      <w:numFmt w:val="lowerLetter"/>
      <w:lvlText w:val="%2)"/>
      <w:lvlJc w:val="left"/>
      <w:pPr>
        <w:ind w:left="2291" w:hanging="360"/>
      </w:pPr>
      <w:rPr>
        <w:rFonts w:hint="default"/>
      </w:rPr>
    </w:lvl>
    <w:lvl w:ilvl="2" w:tplc="080A0015">
      <w:start w:val="1"/>
      <w:numFmt w:val="upperLetter"/>
      <w:lvlText w:val="%3."/>
      <w:lvlJc w:val="left"/>
      <w:pPr>
        <w:ind w:left="3011" w:hanging="360"/>
      </w:pPr>
      <w:rPr>
        <w:rFont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8" w15:restartNumberingAfterBreak="0">
    <w:nsid w:val="31F8411F"/>
    <w:multiLevelType w:val="multilevel"/>
    <w:tmpl w:val="ACA6C8C8"/>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Palatino Linotype" w:eastAsia="Times New Roman" w:hAnsi="Palatino Linotype" w:cs="Times New Roman"/>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440" w:hanging="108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19" w15:restartNumberingAfterBreak="0">
    <w:nsid w:val="3C7E6046"/>
    <w:multiLevelType w:val="hybridMultilevel"/>
    <w:tmpl w:val="084EEC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C9F62EE"/>
    <w:multiLevelType w:val="hybridMultilevel"/>
    <w:tmpl w:val="5ED81048"/>
    <w:lvl w:ilvl="0" w:tplc="080A0013">
      <w:start w:val="1"/>
      <w:numFmt w:val="upperRoman"/>
      <w:lvlText w:val="%1."/>
      <w:lvlJc w:val="right"/>
      <w:pPr>
        <w:ind w:left="1637" w:hanging="360"/>
      </w:pPr>
    </w:lvl>
    <w:lvl w:ilvl="1" w:tplc="1EF8854C">
      <w:start w:val="1"/>
      <w:numFmt w:val="lowerLetter"/>
      <w:lvlText w:val="%2)"/>
      <w:lvlJc w:val="left"/>
      <w:pPr>
        <w:ind w:left="2357" w:hanging="360"/>
      </w:pPr>
      <w:rPr>
        <w:rFonts w:hint="default"/>
      </w:rPr>
    </w:lvl>
    <w:lvl w:ilvl="2" w:tplc="080A001B" w:tentative="1">
      <w:start w:val="1"/>
      <w:numFmt w:val="lowerRoman"/>
      <w:lvlText w:val="%3."/>
      <w:lvlJc w:val="right"/>
      <w:pPr>
        <w:ind w:left="3077" w:hanging="180"/>
      </w:pPr>
    </w:lvl>
    <w:lvl w:ilvl="3" w:tplc="080A000F" w:tentative="1">
      <w:start w:val="1"/>
      <w:numFmt w:val="decimal"/>
      <w:lvlText w:val="%4."/>
      <w:lvlJc w:val="left"/>
      <w:pPr>
        <w:ind w:left="3797" w:hanging="360"/>
      </w:pPr>
    </w:lvl>
    <w:lvl w:ilvl="4" w:tplc="080A0019" w:tentative="1">
      <w:start w:val="1"/>
      <w:numFmt w:val="lowerLetter"/>
      <w:lvlText w:val="%5."/>
      <w:lvlJc w:val="left"/>
      <w:pPr>
        <w:ind w:left="4517" w:hanging="360"/>
      </w:pPr>
    </w:lvl>
    <w:lvl w:ilvl="5" w:tplc="080A001B" w:tentative="1">
      <w:start w:val="1"/>
      <w:numFmt w:val="lowerRoman"/>
      <w:lvlText w:val="%6."/>
      <w:lvlJc w:val="right"/>
      <w:pPr>
        <w:ind w:left="5237" w:hanging="180"/>
      </w:pPr>
    </w:lvl>
    <w:lvl w:ilvl="6" w:tplc="080A000F" w:tentative="1">
      <w:start w:val="1"/>
      <w:numFmt w:val="decimal"/>
      <w:lvlText w:val="%7."/>
      <w:lvlJc w:val="left"/>
      <w:pPr>
        <w:ind w:left="5957" w:hanging="360"/>
      </w:pPr>
    </w:lvl>
    <w:lvl w:ilvl="7" w:tplc="080A0019" w:tentative="1">
      <w:start w:val="1"/>
      <w:numFmt w:val="lowerLetter"/>
      <w:lvlText w:val="%8."/>
      <w:lvlJc w:val="left"/>
      <w:pPr>
        <w:ind w:left="6677" w:hanging="360"/>
      </w:pPr>
    </w:lvl>
    <w:lvl w:ilvl="8" w:tplc="080A001B" w:tentative="1">
      <w:start w:val="1"/>
      <w:numFmt w:val="lowerRoman"/>
      <w:lvlText w:val="%9."/>
      <w:lvlJc w:val="right"/>
      <w:pPr>
        <w:ind w:left="7397" w:hanging="180"/>
      </w:pPr>
    </w:lvl>
  </w:abstractNum>
  <w:abstractNum w:abstractNumId="21" w15:restartNumberingAfterBreak="0">
    <w:nsid w:val="3E980DB0"/>
    <w:multiLevelType w:val="hybridMultilevel"/>
    <w:tmpl w:val="92DC8B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F3B6FCB"/>
    <w:multiLevelType w:val="hybridMultilevel"/>
    <w:tmpl w:val="1B2E0A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9C25EDD"/>
    <w:multiLevelType w:val="hybridMultilevel"/>
    <w:tmpl w:val="22D8068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15:restartNumberingAfterBreak="0">
    <w:nsid w:val="4E2D4C29"/>
    <w:multiLevelType w:val="hybridMultilevel"/>
    <w:tmpl w:val="172E8FF2"/>
    <w:lvl w:ilvl="0" w:tplc="080A0019">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5" w15:restartNumberingAfterBreak="0">
    <w:nsid w:val="50F628DA"/>
    <w:multiLevelType w:val="hybridMultilevel"/>
    <w:tmpl w:val="DA20A0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2DF70AD"/>
    <w:multiLevelType w:val="multilevel"/>
    <w:tmpl w:val="DDA8FD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5B42F2F"/>
    <w:multiLevelType w:val="multilevel"/>
    <w:tmpl w:val="ACA6C8C8"/>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Palatino Linotype" w:eastAsia="Times New Roman" w:hAnsi="Palatino Linotype" w:cs="Times New Roman"/>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440" w:hanging="108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28" w15:restartNumberingAfterBreak="0">
    <w:nsid w:val="57B628EF"/>
    <w:multiLevelType w:val="hybridMultilevel"/>
    <w:tmpl w:val="3158548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DF53EFD"/>
    <w:multiLevelType w:val="hybridMultilevel"/>
    <w:tmpl w:val="0346004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000374B"/>
    <w:multiLevelType w:val="hybridMultilevel"/>
    <w:tmpl w:val="A134CC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1" w15:restartNumberingAfterBreak="0">
    <w:nsid w:val="623719EA"/>
    <w:multiLevelType w:val="hybridMultilevel"/>
    <w:tmpl w:val="4B8C9F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2CD1529"/>
    <w:multiLevelType w:val="hybridMultilevel"/>
    <w:tmpl w:val="EF7C30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9F82021"/>
    <w:multiLevelType w:val="multilevel"/>
    <w:tmpl w:val="B36CC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AE2FC9"/>
    <w:multiLevelType w:val="hybridMultilevel"/>
    <w:tmpl w:val="E0B07B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6" w15:restartNumberingAfterBreak="0">
    <w:nsid w:val="7E9B51ED"/>
    <w:multiLevelType w:val="hybridMultilevel"/>
    <w:tmpl w:val="CEF2B896"/>
    <w:lvl w:ilvl="0" w:tplc="080A0001">
      <w:start w:val="1"/>
      <w:numFmt w:val="bullet"/>
      <w:lvlText w:val=""/>
      <w:lvlJc w:val="left"/>
      <w:pPr>
        <w:ind w:left="1571" w:hanging="360"/>
      </w:pPr>
      <w:rPr>
        <w:rFonts w:ascii="Symbol" w:hAnsi="Symbol" w:hint="default"/>
      </w:rPr>
    </w:lvl>
    <w:lvl w:ilvl="1" w:tplc="CFD2295E">
      <w:numFmt w:val="bullet"/>
      <w:lvlText w:val="•"/>
      <w:lvlJc w:val="left"/>
      <w:pPr>
        <w:ind w:left="2291" w:hanging="360"/>
      </w:pPr>
      <w:rPr>
        <w:rFonts w:ascii="Palatino Linotype" w:eastAsiaTheme="minorHAnsi" w:hAnsi="Palatino Linotype" w:cstheme="minorBidi"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7" w15:restartNumberingAfterBreak="0">
    <w:nsid w:val="7F5D5AFD"/>
    <w:multiLevelType w:val="multilevel"/>
    <w:tmpl w:val="E774F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33"/>
  </w:num>
  <w:num w:numId="3">
    <w:abstractNumId w:val="37"/>
  </w:num>
  <w:num w:numId="4">
    <w:abstractNumId w:val="22"/>
  </w:num>
  <w:num w:numId="5">
    <w:abstractNumId w:val="3"/>
  </w:num>
  <w:num w:numId="6">
    <w:abstractNumId w:val="32"/>
  </w:num>
  <w:num w:numId="7">
    <w:abstractNumId w:val="4"/>
  </w:num>
  <w:num w:numId="8">
    <w:abstractNumId w:val="8"/>
  </w:num>
  <w:num w:numId="9">
    <w:abstractNumId w:val="23"/>
  </w:num>
  <w:num w:numId="10">
    <w:abstractNumId w:val="7"/>
  </w:num>
  <w:num w:numId="11">
    <w:abstractNumId w:val="24"/>
  </w:num>
  <w:num w:numId="12">
    <w:abstractNumId w:val="31"/>
  </w:num>
  <w:num w:numId="13">
    <w:abstractNumId w:val="25"/>
  </w:num>
  <w:num w:numId="14">
    <w:abstractNumId w:val="11"/>
  </w:num>
  <w:num w:numId="15">
    <w:abstractNumId w:val="21"/>
  </w:num>
  <w:num w:numId="16">
    <w:abstractNumId w:val="27"/>
  </w:num>
  <w:num w:numId="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12"/>
  </w:num>
  <w:num w:numId="20">
    <w:abstractNumId w:val="6"/>
  </w:num>
  <w:num w:numId="21">
    <w:abstractNumId w:val="0"/>
  </w:num>
  <w:num w:numId="22">
    <w:abstractNumId w:val="20"/>
  </w:num>
  <w:num w:numId="23">
    <w:abstractNumId w:val="36"/>
  </w:num>
  <w:num w:numId="24">
    <w:abstractNumId w:val="17"/>
  </w:num>
  <w:num w:numId="25">
    <w:abstractNumId w:val="14"/>
  </w:num>
  <w:num w:numId="26">
    <w:abstractNumId w:val="19"/>
  </w:num>
  <w:num w:numId="27">
    <w:abstractNumId w:val="2"/>
  </w:num>
  <w:num w:numId="28">
    <w:abstractNumId w:val="29"/>
  </w:num>
  <w:num w:numId="29">
    <w:abstractNumId w:val="34"/>
  </w:num>
  <w:num w:numId="30">
    <w:abstractNumId w:val="28"/>
  </w:num>
  <w:num w:numId="31">
    <w:abstractNumId w:val="5"/>
  </w:num>
  <w:num w:numId="32">
    <w:abstractNumId w:val="9"/>
  </w:num>
  <w:num w:numId="33">
    <w:abstractNumId w:val="16"/>
  </w:num>
  <w:num w:numId="34">
    <w:abstractNumId w:val="26"/>
  </w:num>
  <w:num w:numId="35">
    <w:abstractNumId w:val="30"/>
  </w:num>
  <w:num w:numId="36">
    <w:abstractNumId w:val="10"/>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0CD"/>
    <w:rsid w:val="00004514"/>
    <w:rsid w:val="00005E6F"/>
    <w:rsid w:val="00024C5D"/>
    <w:rsid w:val="0002553E"/>
    <w:rsid w:val="00027637"/>
    <w:rsid w:val="000329B1"/>
    <w:rsid w:val="00040E73"/>
    <w:rsid w:val="00050C55"/>
    <w:rsid w:val="00062EAA"/>
    <w:rsid w:val="000667F9"/>
    <w:rsid w:val="00067117"/>
    <w:rsid w:val="000900CD"/>
    <w:rsid w:val="0009143B"/>
    <w:rsid w:val="000A16C8"/>
    <w:rsid w:val="000B7BB2"/>
    <w:rsid w:val="000D2A43"/>
    <w:rsid w:val="000D6871"/>
    <w:rsid w:val="000F2966"/>
    <w:rsid w:val="00115AED"/>
    <w:rsid w:val="00120504"/>
    <w:rsid w:val="00133640"/>
    <w:rsid w:val="00136895"/>
    <w:rsid w:val="00146EA6"/>
    <w:rsid w:val="00153F50"/>
    <w:rsid w:val="0016411B"/>
    <w:rsid w:val="00164CF4"/>
    <w:rsid w:val="00165E3E"/>
    <w:rsid w:val="001910CD"/>
    <w:rsid w:val="001D7007"/>
    <w:rsid w:val="001E5EC5"/>
    <w:rsid w:val="00224E5C"/>
    <w:rsid w:val="00231775"/>
    <w:rsid w:val="00242ECD"/>
    <w:rsid w:val="00245075"/>
    <w:rsid w:val="00256E72"/>
    <w:rsid w:val="00260F7A"/>
    <w:rsid w:val="00262850"/>
    <w:rsid w:val="00263867"/>
    <w:rsid w:val="00273A17"/>
    <w:rsid w:val="002743B7"/>
    <w:rsid w:val="00274C5A"/>
    <w:rsid w:val="002831D5"/>
    <w:rsid w:val="002863BE"/>
    <w:rsid w:val="002A5E9C"/>
    <w:rsid w:val="002B35B5"/>
    <w:rsid w:val="002C21C3"/>
    <w:rsid w:val="002C66D0"/>
    <w:rsid w:val="002D78F7"/>
    <w:rsid w:val="00300002"/>
    <w:rsid w:val="00317ABD"/>
    <w:rsid w:val="003202ED"/>
    <w:rsid w:val="003326FC"/>
    <w:rsid w:val="00337763"/>
    <w:rsid w:val="00342EFF"/>
    <w:rsid w:val="0034347E"/>
    <w:rsid w:val="00350F59"/>
    <w:rsid w:val="0035479A"/>
    <w:rsid w:val="00356DD9"/>
    <w:rsid w:val="00365B4F"/>
    <w:rsid w:val="00375D11"/>
    <w:rsid w:val="00380E5E"/>
    <w:rsid w:val="00385362"/>
    <w:rsid w:val="003863EE"/>
    <w:rsid w:val="003B6AC5"/>
    <w:rsid w:val="003C61CD"/>
    <w:rsid w:val="003E3808"/>
    <w:rsid w:val="003E5424"/>
    <w:rsid w:val="003F16CE"/>
    <w:rsid w:val="003F1BAA"/>
    <w:rsid w:val="003F45F7"/>
    <w:rsid w:val="00411BE0"/>
    <w:rsid w:val="004156B4"/>
    <w:rsid w:val="004156C5"/>
    <w:rsid w:val="004352E9"/>
    <w:rsid w:val="00444E0E"/>
    <w:rsid w:val="00462E38"/>
    <w:rsid w:val="0046378A"/>
    <w:rsid w:val="00480864"/>
    <w:rsid w:val="00486011"/>
    <w:rsid w:val="0049062A"/>
    <w:rsid w:val="00493144"/>
    <w:rsid w:val="00493A38"/>
    <w:rsid w:val="004B1E9B"/>
    <w:rsid w:val="004D502C"/>
    <w:rsid w:val="004E4421"/>
    <w:rsid w:val="004F0EC1"/>
    <w:rsid w:val="004F4233"/>
    <w:rsid w:val="0050475F"/>
    <w:rsid w:val="00505626"/>
    <w:rsid w:val="005136B7"/>
    <w:rsid w:val="005211B0"/>
    <w:rsid w:val="00524A20"/>
    <w:rsid w:val="00591245"/>
    <w:rsid w:val="0059190E"/>
    <w:rsid w:val="00591ED7"/>
    <w:rsid w:val="00593577"/>
    <w:rsid w:val="00594FEC"/>
    <w:rsid w:val="005974F8"/>
    <w:rsid w:val="005B61BD"/>
    <w:rsid w:val="005B7E46"/>
    <w:rsid w:val="005C28A9"/>
    <w:rsid w:val="005C36F7"/>
    <w:rsid w:val="005D0437"/>
    <w:rsid w:val="005D709F"/>
    <w:rsid w:val="00605093"/>
    <w:rsid w:val="006075EA"/>
    <w:rsid w:val="006078D8"/>
    <w:rsid w:val="00615648"/>
    <w:rsid w:val="006223B8"/>
    <w:rsid w:val="0062397A"/>
    <w:rsid w:val="00636754"/>
    <w:rsid w:val="0065188B"/>
    <w:rsid w:val="00654C70"/>
    <w:rsid w:val="00663A9C"/>
    <w:rsid w:val="006670CE"/>
    <w:rsid w:val="00672BF0"/>
    <w:rsid w:val="0067674B"/>
    <w:rsid w:val="00684A98"/>
    <w:rsid w:val="006A06CD"/>
    <w:rsid w:val="006E3191"/>
    <w:rsid w:val="006F18DB"/>
    <w:rsid w:val="0070513F"/>
    <w:rsid w:val="007117B7"/>
    <w:rsid w:val="00713479"/>
    <w:rsid w:val="00736938"/>
    <w:rsid w:val="007515F9"/>
    <w:rsid w:val="00755821"/>
    <w:rsid w:val="00756009"/>
    <w:rsid w:val="0075645F"/>
    <w:rsid w:val="00756D4C"/>
    <w:rsid w:val="007640B3"/>
    <w:rsid w:val="007811F2"/>
    <w:rsid w:val="0079349A"/>
    <w:rsid w:val="00795EDB"/>
    <w:rsid w:val="007A1E37"/>
    <w:rsid w:val="007B0CC9"/>
    <w:rsid w:val="007B1BAC"/>
    <w:rsid w:val="007B69E9"/>
    <w:rsid w:val="0080116D"/>
    <w:rsid w:val="00821667"/>
    <w:rsid w:val="00821A0F"/>
    <w:rsid w:val="008267E3"/>
    <w:rsid w:val="00840D6B"/>
    <w:rsid w:val="00842A81"/>
    <w:rsid w:val="00845B0E"/>
    <w:rsid w:val="0086105F"/>
    <w:rsid w:val="0086461E"/>
    <w:rsid w:val="00866200"/>
    <w:rsid w:val="008816C9"/>
    <w:rsid w:val="00882757"/>
    <w:rsid w:val="00886F53"/>
    <w:rsid w:val="008A3946"/>
    <w:rsid w:val="008A4488"/>
    <w:rsid w:val="008D39E3"/>
    <w:rsid w:val="008E62D7"/>
    <w:rsid w:val="00925EC7"/>
    <w:rsid w:val="00954A96"/>
    <w:rsid w:val="00962200"/>
    <w:rsid w:val="009709E6"/>
    <w:rsid w:val="0097243D"/>
    <w:rsid w:val="009978C4"/>
    <w:rsid w:val="009B4A9B"/>
    <w:rsid w:val="009E0616"/>
    <w:rsid w:val="009E0AD6"/>
    <w:rsid w:val="009E3696"/>
    <w:rsid w:val="00A22A21"/>
    <w:rsid w:val="00A234F9"/>
    <w:rsid w:val="00A26AD1"/>
    <w:rsid w:val="00A3159C"/>
    <w:rsid w:val="00A54A43"/>
    <w:rsid w:val="00A5692F"/>
    <w:rsid w:val="00AB53C8"/>
    <w:rsid w:val="00AB6ADF"/>
    <w:rsid w:val="00AB6E15"/>
    <w:rsid w:val="00AC4308"/>
    <w:rsid w:val="00AC4B94"/>
    <w:rsid w:val="00AD45EC"/>
    <w:rsid w:val="00B0462F"/>
    <w:rsid w:val="00B0775F"/>
    <w:rsid w:val="00B10297"/>
    <w:rsid w:val="00B10979"/>
    <w:rsid w:val="00B16AE6"/>
    <w:rsid w:val="00B35732"/>
    <w:rsid w:val="00B35C52"/>
    <w:rsid w:val="00B43BFF"/>
    <w:rsid w:val="00B61788"/>
    <w:rsid w:val="00B6540B"/>
    <w:rsid w:val="00B706DA"/>
    <w:rsid w:val="00B712AA"/>
    <w:rsid w:val="00B746EB"/>
    <w:rsid w:val="00B8274F"/>
    <w:rsid w:val="00B82E17"/>
    <w:rsid w:val="00BA5403"/>
    <w:rsid w:val="00BB1979"/>
    <w:rsid w:val="00BB3438"/>
    <w:rsid w:val="00BC15D0"/>
    <w:rsid w:val="00BD1886"/>
    <w:rsid w:val="00BD6BE2"/>
    <w:rsid w:val="00BE4786"/>
    <w:rsid w:val="00C057F9"/>
    <w:rsid w:val="00C361ED"/>
    <w:rsid w:val="00C46DA6"/>
    <w:rsid w:val="00C56FE3"/>
    <w:rsid w:val="00C57CE9"/>
    <w:rsid w:val="00C649DC"/>
    <w:rsid w:val="00C77480"/>
    <w:rsid w:val="00C878A7"/>
    <w:rsid w:val="00C919C0"/>
    <w:rsid w:val="00CB1E0D"/>
    <w:rsid w:val="00CB2715"/>
    <w:rsid w:val="00CB7550"/>
    <w:rsid w:val="00CC7286"/>
    <w:rsid w:val="00CD7995"/>
    <w:rsid w:val="00CE1D51"/>
    <w:rsid w:val="00CF35C5"/>
    <w:rsid w:val="00D10C31"/>
    <w:rsid w:val="00D170D6"/>
    <w:rsid w:val="00D22BE2"/>
    <w:rsid w:val="00D327D0"/>
    <w:rsid w:val="00D343E8"/>
    <w:rsid w:val="00D57F5A"/>
    <w:rsid w:val="00D6107D"/>
    <w:rsid w:val="00D77513"/>
    <w:rsid w:val="00D80E4F"/>
    <w:rsid w:val="00D82D2B"/>
    <w:rsid w:val="00D833DF"/>
    <w:rsid w:val="00D941BC"/>
    <w:rsid w:val="00D96DD6"/>
    <w:rsid w:val="00D970DA"/>
    <w:rsid w:val="00DA6808"/>
    <w:rsid w:val="00DC764F"/>
    <w:rsid w:val="00E1342F"/>
    <w:rsid w:val="00E2158F"/>
    <w:rsid w:val="00E307E9"/>
    <w:rsid w:val="00E36C48"/>
    <w:rsid w:val="00E370BC"/>
    <w:rsid w:val="00E43F7B"/>
    <w:rsid w:val="00E6231F"/>
    <w:rsid w:val="00E9245E"/>
    <w:rsid w:val="00EB29A4"/>
    <w:rsid w:val="00EC54C4"/>
    <w:rsid w:val="00ED1466"/>
    <w:rsid w:val="00ED6DE5"/>
    <w:rsid w:val="00ED79B4"/>
    <w:rsid w:val="00F01ED2"/>
    <w:rsid w:val="00F0768F"/>
    <w:rsid w:val="00F105A6"/>
    <w:rsid w:val="00F20695"/>
    <w:rsid w:val="00F31111"/>
    <w:rsid w:val="00F35B3E"/>
    <w:rsid w:val="00F436BD"/>
    <w:rsid w:val="00F51455"/>
    <w:rsid w:val="00F520D7"/>
    <w:rsid w:val="00F53DDD"/>
    <w:rsid w:val="00F71D43"/>
    <w:rsid w:val="00F96162"/>
    <w:rsid w:val="00FA166A"/>
    <w:rsid w:val="00FA1B94"/>
    <w:rsid w:val="00FB7FFA"/>
    <w:rsid w:val="00FD6720"/>
    <w:rsid w:val="00FE2E3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D08843D"/>
  <w15:docId w15:val="{8CD336DA-F273-4F4B-B4D0-F21CB110C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rPr>
      <w:rFonts w:eastAsia="Times New Roman" w:cs="Times New Roman"/>
      <w:szCs w:val="20"/>
      <w:lang w:eastAsia="es-ES"/>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next w:val="Normal"/>
    <w:link w:val="PuestoCar"/>
    <w:uiPriority w:val="10"/>
    <w:qFormat/>
    <w:rsid w:val="002B7C6F"/>
    <w:pPr>
      <w:spacing w:line="240" w:lineRule="auto"/>
      <w:ind w:left="567" w:right="567"/>
      <w:contextualSpacing/>
    </w:pPr>
    <w:rPr>
      <w:rFonts w:eastAsiaTheme="majorEastAsia" w:cstheme="majorBidi"/>
      <w:i/>
      <w:kern w:val="28"/>
      <w:szCs w:val="56"/>
      <w:lang w:eastAsia="es-ES"/>
    </w:rPr>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rPr>
  </w:style>
  <w:style w:type="paragraph" w:styleId="Subttulo">
    <w:name w:val="Subtitle"/>
    <w:basedOn w:val="Normal"/>
    <w:next w:val="Normal"/>
    <w:link w:val="SubttuloCar"/>
    <w:rPr>
      <w:color w:val="595959"/>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aliases w:val="Hipervínculo1,Hipervínculo11,Hipervínculo12,Hipervínculo13,Hipervínculo14,Hipervínculo15"/>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aliases w:val="Francesa,INAI"/>
    <w:link w:val="SinespaciadoCar"/>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61197D"/>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61197D"/>
    <w:rPr>
      <w:rFonts w:ascii="Palatino Linotype" w:eastAsia="Times New Roman" w:hAnsi="Palatino Linotype" w:cs="Times New Roman"/>
      <w:kern w:val="0"/>
      <w:sz w:val="20"/>
      <w:szCs w:val="20"/>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61197D"/>
    <w:rPr>
      <w:vertAlign w:val="superscript"/>
    </w:rPr>
  </w:style>
  <w:style w:type="character" w:styleId="Hipervnculovisitado">
    <w:name w:val="FollowedHyperlink"/>
    <w:basedOn w:val="Fuentedeprrafopredeter"/>
    <w:uiPriority w:val="99"/>
    <w:semiHidden/>
    <w:unhideWhenUsed/>
    <w:rsid w:val="00977152"/>
    <w:rPr>
      <w:color w:val="96607D" w:themeColor="followedHyperlink"/>
      <w:u w:val="single"/>
    </w:rPr>
  </w:style>
  <w:style w:type="character" w:customStyle="1" w:styleId="SinespaciadoCar">
    <w:name w:val="Sin espaciado Car"/>
    <w:aliases w:val="Francesa Car,INAI Car"/>
    <w:link w:val="Sinespaciado"/>
    <w:uiPriority w:val="1"/>
    <w:locked/>
    <w:rsid w:val="00B813E4"/>
    <w:rPr>
      <w:rFonts w:ascii="Palatino Linotype" w:eastAsia="Times New Roman" w:hAnsi="Palatino Linotype" w:cs="Times New Roman"/>
      <w:kern w:val="0"/>
      <w:szCs w:val="20"/>
      <w:lang w:eastAsia="es-ES"/>
    </w:rPr>
  </w:style>
  <w:style w:type="table" w:customStyle="1" w:styleId="Tablaconcuadrcula30">
    <w:name w:val="Tabla con cuadrícula30"/>
    <w:basedOn w:val="Tablanormal"/>
    <w:next w:val="Tablaconcuadrcula"/>
    <w:uiPriority w:val="39"/>
    <w:qFormat/>
    <w:rsid w:val="000F6F5E"/>
    <w:pPr>
      <w:spacing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pPr>
      <w:spacing w:line="240" w:lineRule="auto"/>
    </w:pPr>
    <w:rPr>
      <w:sz w:val="24"/>
      <w:szCs w:val="24"/>
    </w:rPr>
    <w:tblPr>
      <w:tblStyleRowBandSize w:val="1"/>
      <w:tblStyleColBandSize w:val="1"/>
      <w:tblCellMar>
        <w:left w:w="108" w:type="dxa"/>
        <w:right w:w="108" w:type="dxa"/>
      </w:tblCellMar>
    </w:tblPr>
  </w:style>
  <w:style w:type="table" w:customStyle="1" w:styleId="3">
    <w:name w:val="3"/>
    <w:basedOn w:val="TableNormal"/>
    <w:pPr>
      <w:spacing w:line="240" w:lineRule="auto"/>
    </w:pPr>
    <w:rPr>
      <w:sz w:val="24"/>
      <w:szCs w:val="24"/>
    </w:rPr>
    <w:tblPr>
      <w:tblStyleRowBandSize w:val="1"/>
      <w:tblStyleColBandSize w:val="1"/>
      <w:tblCellMar>
        <w:left w:w="108" w:type="dxa"/>
        <w:right w:w="108"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pPr>
      <w:spacing w:line="240" w:lineRule="auto"/>
    </w:pPr>
    <w:rPr>
      <w:sz w:val="24"/>
      <w:szCs w:val="24"/>
    </w:rPr>
    <w:tblPr>
      <w:tblStyleRowBandSize w:val="1"/>
      <w:tblStyleColBandSize w:val="1"/>
      <w:tblCellMar>
        <w:left w:w="108" w:type="dxa"/>
        <w:right w:w="108" w:type="dxa"/>
      </w:tblCellMar>
    </w:tblPr>
  </w:style>
  <w:style w:type="character" w:styleId="Textoennegrita">
    <w:name w:val="Strong"/>
    <w:basedOn w:val="Fuentedeprrafopredeter"/>
    <w:uiPriority w:val="22"/>
    <w:qFormat/>
    <w:rsid w:val="00E6231F"/>
    <w:rPr>
      <w:b/>
      <w:bCs/>
    </w:rPr>
  </w:style>
  <w:style w:type="paragraph" w:customStyle="1" w:styleId="INFOEM">
    <w:name w:val="INFOEM"/>
    <w:basedOn w:val="Normal"/>
    <w:qFormat/>
    <w:rsid w:val="00962200"/>
    <w:pPr>
      <w:spacing w:before="240" w:after="160"/>
      <w:ind w:left="851" w:right="851"/>
    </w:pPr>
    <w:rPr>
      <w:rFonts w:eastAsiaTheme="minorHAnsi" w:cstheme="minorBidi"/>
      <w:i/>
      <w:szCs w:val="14"/>
      <w:lang w:eastAsia="en-US"/>
    </w:rPr>
  </w:style>
  <w:style w:type="paragraph" w:customStyle="1" w:styleId="Citas">
    <w:name w:val="Citas"/>
    <w:basedOn w:val="Normal"/>
    <w:qFormat/>
    <w:rsid w:val="00962200"/>
    <w:pPr>
      <w:spacing w:before="240" w:after="160"/>
      <w:ind w:left="851" w:right="851"/>
    </w:pPr>
    <w:rPr>
      <w:rFonts w:eastAsiaTheme="minorHAnsi" w:cs="Arial"/>
      <w:i/>
      <w:szCs w:val="22"/>
      <w:lang w:eastAsia="en-US"/>
    </w:rPr>
  </w:style>
  <w:style w:type="character" w:customStyle="1" w:styleId="Mencinsinresolver1">
    <w:name w:val="Mención sin resolver1"/>
    <w:basedOn w:val="Fuentedeprrafopredeter"/>
    <w:uiPriority w:val="99"/>
    <w:semiHidden/>
    <w:unhideWhenUsed/>
    <w:rsid w:val="00ED6DE5"/>
    <w:rPr>
      <w:color w:val="605E5C"/>
      <w:shd w:val="clear" w:color="auto" w:fill="E1DFDD"/>
    </w:rPr>
  </w:style>
  <w:style w:type="character" w:customStyle="1" w:styleId="selectable-text">
    <w:name w:val="selectable-text"/>
    <w:basedOn w:val="Fuentedeprrafopredeter"/>
    <w:rsid w:val="003F45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54377">
      <w:bodyDiv w:val="1"/>
      <w:marLeft w:val="0"/>
      <w:marRight w:val="0"/>
      <w:marTop w:val="0"/>
      <w:marBottom w:val="0"/>
      <w:divBdr>
        <w:top w:val="none" w:sz="0" w:space="0" w:color="auto"/>
        <w:left w:val="none" w:sz="0" w:space="0" w:color="auto"/>
        <w:bottom w:val="none" w:sz="0" w:space="0" w:color="auto"/>
        <w:right w:val="none" w:sz="0" w:space="0" w:color="auto"/>
      </w:divBdr>
    </w:div>
    <w:div w:id="86922836">
      <w:bodyDiv w:val="1"/>
      <w:marLeft w:val="0"/>
      <w:marRight w:val="0"/>
      <w:marTop w:val="0"/>
      <w:marBottom w:val="0"/>
      <w:divBdr>
        <w:top w:val="none" w:sz="0" w:space="0" w:color="auto"/>
        <w:left w:val="none" w:sz="0" w:space="0" w:color="auto"/>
        <w:bottom w:val="none" w:sz="0" w:space="0" w:color="auto"/>
        <w:right w:val="none" w:sz="0" w:space="0" w:color="auto"/>
      </w:divBdr>
    </w:div>
    <w:div w:id="454061568">
      <w:bodyDiv w:val="1"/>
      <w:marLeft w:val="0"/>
      <w:marRight w:val="0"/>
      <w:marTop w:val="0"/>
      <w:marBottom w:val="0"/>
      <w:divBdr>
        <w:top w:val="none" w:sz="0" w:space="0" w:color="auto"/>
        <w:left w:val="none" w:sz="0" w:space="0" w:color="auto"/>
        <w:bottom w:val="none" w:sz="0" w:space="0" w:color="auto"/>
        <w:right w:val="none" w:sz="0" w:space="0" w:color="auto"/>
      </w:divBdr>
    </w:div>
    <w:div w:id="472599782">
      <w:bodyDiv w:val="1"/>
      <w:marLeft w:val="0"/>
      <w:marRight w:val="0"/>
      <w:marTop w:val="0"/>
      <w:marBottom w:val="0"/>
      <w:divBdr>
        <w:top w:val="none" w:sz="0" w:space="0" w:color="auto"/>
        <w:left w:val="none" w:sz="0" w:space="0" w:color="auto"/>
        <w:bottom w:val="none" w:sz="0" w:space="0" w:color="auto"/>
        <w:right w:val="none" w:sz="0" w:space="0" w:color="auto"/>
      </w:divBdr>
    </w:div>
    <w:div w:id="525413351">
      <w:bodyDiv w:val="1"/>
      <w:marLeft w:val="0"/>
      <w:marRight w:val="0"/>
      <w:marTop w:val="0"/>
      <w:marBottom w:val="0"/>
      <w:divBdr>
        <w:top w:val="none" w:sz="0" w:space="0" w:color="auto"/>
        <w:left w:val="none" w:sz="0" w:space="0" w:color="auto"/>
        <w:bottom w:val="none" w:sz="0" w:space="0" w:color="auto"/>
        <w:right w:val="none" w:sz="0" w:space="0" w:color="auto"/>
      </w:divBdr>
    </w:div>
    <w:div w:id="712466420">
      <w:bodyDiv w:val="1"/>
      <w:marLeft w:val="0"/>
      <w:marRight w:val="0"/>
      <w:marTop w:val="0"/>
      <w:marBottom w:val="0"/>
      <w:divBdr>
        <w:top w:val="none" w:sz="0" w:space="0" w:color="auto"/>
        <w:left w:val="none" w:sz="0" w:space="0" w:color="auto"/>
        <w:bottom w:val="none" w:sz="0" w:space="0" w:color="auto"/>
        <w:right w:val="none" w:sz="0" w:space="0" w:color="auto"/>
      </w:divBdr>
    </w:div>
    <w:div w:id="953751636">
      <w:bodyDiv w:val="1"/>
      <w:marLeft w:val="0"/>
      <w:marRight w:val="0"/>
      <w:marTop w:val="0"/>
      <w:marBottom w:val="0"/>
      <w:divBdr>
        <w:top w:val="none" w:sz="0" w:space="0" w:color="auto"/>
        <w:left w:val="none" w:sz="0" w:space="0" w:color="auto"/>
        <w:bottom w:val="none" w:sz="0" w:space="0" w:color="auto"/>
        <w:right w:val="none" w:sz="0" w:space="0" w:color="auto"/>
      </w:divBdr>
    </w:div>
    <w:div w:id="1069421126">
      <w:bodyDiv w:val="1"/>
      <w:marLeft w:val="0"/>
      <w:marRight w:val="0"/>
      <w:marTop w:val="0"/>
      <w:marBottom w:val="0"/>
      <w:divBdr>
        <w:top w:val="none" w:sz="0" w:space="0" w:color="auto"/>
        <w:left w:val="none" w:sz="0" w:space="0" w:color="auto"/>
        <w:bottom w:val="none" w:sz="0" w:space="0" w:color="auto"/>
        <w:right w:val="none" w:sz="0" w:space="0" w:color="auto"/>
      </w:divBdr>
    </w:div>
    <w:div w:id="1142581039">
      <w:bodyDiv w:val="1"/>
      <w:marLeft w:val="0"/>
      <w:marRight w:val="0"/>
      <w:marTop w:val="0"/>
      <w:marBottom w:val="0"/>
      <w:divBdr>
        <w:top w:val="none" w:sz="0" w:space="0" w:color="auto"/>
        <w:left w:val="none" w:sz="0" w:space="0" w:color="auto"/>
        <w:bottom w:val="none" w:sz="0" w:space="0" w:color="auto"/>
        <w:right w:val="none" w:sz="0" w:space="0" w:color="auto"/>
      </w:divBdr>
      <w:divsChild>
        <w:div w:id="1508325156">
          <w:marLeft w:val="0"/>
          <w:marRight w:val="0"/>
          <w:marTop w:val="0"/>
          <w:marBottom w:val="0"/>
          <w:divBdr>
            <w:top w:val="none" w:sz="0" w:space="0" w:color="auto"/>
            <w:left w:val="none" w:sz="0" w:space="0" w:color="auto"/>
            <w:bottom w:val="none" w:sz="0" w:space="0" w:color="auto"/>
            <w:right w:val="none" w:sz="0" w:space="0" w:color="auto"/>
          </w:divBdr>
        </w:div>
      </w:divsChild>
    </w:div>
    <w:div w:id="1270771922">
      <w:bodyDiv w:val="1"/>
      <w:marLeft w:val="0"/>
      <w:marRight w:val="0"/>
      <w:marTop w:val="0"/>
      <w:marBottom w:val="0"/>
      <w:divBdr>
        <w:top w:val="none" w:sz="0" w:space="0" w:color="auto"/>
        <w:left w:val="none" w:sz="0" w:space="0" w:color="auto"/>
        <w:bottom w:val="none" w:sz="0" w:space="0" w:color="auto"/>
        <w:right w:val="none" w:sz="0" w:space="0" w:color="auto"/>
      </w:divBdr>
    </w:div>
    <w:div w:id="1333531956">
      <w:bodyDiv w:val="1"/>
      <w:marLeft w:val="0"/>
      <w:marRight w:val="0"/>
      <w:marTop w:val="0"/>
      <w:marBottom w:val="0"/>
      <w:divBdr>
        <w:top w:val="none" w:sz="0" w:space="0" w:color="auto"/>
        <w:left w:val="none" w:sz="0" w:space="0" w:color="auto"/>
        <w:bottom w:val="none" w:sz="0" w:space="0" w:color="auto"/>
        <w:right w:val="none" w:sz="0" w:space="0" w:color="auto"/>
      </w:divBdr>
    </w:div>
    <w:div w:id="1433088837">
      <w:bodyDiv w:val="1"/>
      <w:marLeft w:val="0"/>
      <w:marRight w:val="0"/>
      <w:marTop w:val="0"/>
      <w:marBottom w:val="0"/>
      <w:divBdr>
        <w:top w:val="none" w:sz="0" w:space="0" w:color="auto"/>
        <w:left w:val="none" w:sz="0" w:space="0" w:color="auto"/>
        <w:bottom w:val="none" w:sz="0" w:space="0" w:color="auto"/>
        <w:right w:val="none" w:sz="0" w:space="0" w:color="auto"/>
      </w:divBdr>
    </w:div>
    <w:div w:id="1595897488">
      <w:bodyDiv w:val="1"/>
      <w:marLeft w:val="0"/>
      <w:marRight w:val="0"/>
      <w:marTop w:val="0"/>
      <w:marBottom w:val="0"/>
      <w:divBdr>
        <w:top w:val="none" w:sz="0" w:space="0" w:color="auto"/>
        <w:left w:val="none" w:sz="0" w:space="0" w:color="auto"/>
        <w:bottom w:val="none" w:sz="0" w:space="0" w:color="auto"/>
        <w:right w:val="none" w:sz="0" w:space="0" w:color="auto"/>
      </w:divBdr>
    </w:div>
    <w:div w:id="1659187340">
      <w:bodyDiv w:val="1"/>
      <w:marLeft w:val="0"/>
      <w:marRight w:val="0"/>
      <w:marTop w:val="0"/>
      <w:marBottom w:val="0"/>
      <w:divBdr>
        <w:top w:val="none" w:sz="0" w:space="0" w:color="auto"/>
        <w:left w:val="none" w:sz="0" w:space="0" w:color="auto"/>
        <w:bottom w:val="none" w:sz="0" w:space="0" w:color="auto"/>
        <w:right w:val="none" w:sz="0" w:space="0" w:color="auto"/>
      </w:divBdr>
    </w:div>
    <w:div w:id="1927496683">
      <w:bodyDiv w:val="1"/>
      <w:marLeft w:val="0"/>
      <w:marRight w:val="0"/>
      <w:marTop w:val="0"/>
      <w:marBottom w:val="0"/>
      <w:divBdr>
        <w:top w:val="none" w:sz="0" w:space="0" w:color="auto"/>
        <w:left w:val="none" w:sz="0" w:space="0" w:color="auto"/>
        <w:bottom w:val="none" w:sz="0" w:space="0" w:color="auto"/>
        <w:right w:val="none" w:sz="0" w:space="0" w:color="auto"/>
      </w:divBdr>
    </w:div>
    <w:div w:id="19820719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rPsfmFcMb8tHgfTNZMahgEpZTg==">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4AHIhMW54Z3ZhNkFmZ0V1YzNtaGprY2lxdlVSMWZtVjBKNVd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6293505-EF25-4DEC-9AA3-A59EA4AE7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43</Pages>
  <Words>11465</Words>
  <Characters>63063</Characters>
  <Application>Microsoft Office Word</Application>
  <DocSecurity>0</DocSecurity>
  <Lines>525</Lines>
  <Paragraphs>148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74380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USUARIO</cp:lastModifiedBy>
  <cp:revision>9</cp:revision>
  <cp:lastPrinted>2025-10-24T00:16:00Z</cp:lastPrinted>
  <dcterms:created xsi:type="dcterms:W3CDTF">2025-10-16T17:53:00Z</dcterms:created>
  <dcterms:modified xsi:type="dcterms:W3CDTF">2026-01-26T21:00:00Z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