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sz w:val="22"/>
          <w:szCs w:val="22"/>
          <w:rtl w:val="0"/>
        </w:rPr>
        <w:t xml:space="preserve">catorce de mayo de dos mil veinticinco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02814/INFOEM/IP/RR/2025</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sz w:val="22"/>
          <w:szCs w:val="22"/>
          <w:rtl w:val="0"/>
        </w:rPr>
        <w:t xml:space="preserve"> XXXXXXXXX XXXXXXXX XXXXXXX,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 </w:t>
      </w:r>
      <w:r w:rsidDel="00000000" w:rsidR="00000000" w:rsidRPr="00000000">
        <w:rPr>
          <w:rFonts w:ascii="Palatino Linotype" w:cs="Palatino Linotype" w:eastAsia="Palatino Linotype" w:hAnsi="Palatino Linotype"/>
          <w:b w:val="1"/>
          <w:sz w:val="22"/>
          <w:szCs w:val="22"/>
          <w:rtl w:val="0"/>
        </w:rPr>
        <w:t xml:space="preserve">Poder Judicial,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r w:rsidDel="00000000" w:rsidR="00000000" w:rsidRPr="00000000">
        <w:rPr>
          <w:rtl w:val="0"/>
        </w:rPr>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veinticinco de febrero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00160/PJUDICI/IP/2025, </w:t>
      </w:r>
      <w:r w:rsidDel="00000000" w:rsidR="00000000" w:rsidRPr="00000000">
        <w:rPr>
          <w:rFonts w:ascii="Palatino Linotype" w:cs="Palatino Linotype" w:eastAsia="Palatino Linotype" w:hAnsi="Palatino Linotype"/>
          <w:sz w:val="22"/>
          <w:szCs w:val="22"/>
          <w:rtl w:val="0"/>
        </w:rPr>
        <w:t xml:space="preserve">mediante la cual requirió la información siguiente:</w:t>
      </w:r>
    </w:p>
    <w:p w:rsidR="00000000" w:rsidDel="00000000" w:rsidP="00000000" w:rsidRDefault="00000000" w:rsidRPr="00000000" w14:paraId="00000005">
      <w:pPr>
        <w:spacing w:after="240" w:before="240" w:lineRule="auto"/>
        <w:ind w:left="567" w:right="902" w:firstLine="0"/>
        <w:jc w:val="both"/>
        <w:rPr>
          <w:rFonts w:ascii="Palatino Linotype" w:cs="Palatino Linotype" w:eastAsia="Palatino Linotype" w:hAnsi="Palatino Linotype"/>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 “A QUE NOMBRE ESTA LA PROPIEDAD UBICADA EN: XXXXXXX XXXXXX XX XXXXXXX, XXXXXXX X, XXXX XXX, Código Postal XXXXX, Fraccionamiento Foresta Residencial; Metepec, Toluca, Estado de México.” (Sic) </w:t>
      </w:r>
    </w:p>
    <w:p w:rsidR="00000000" w:rsidDel="00000000" w:rsidP="00000000" w:rsidRDefault="00000000" w:rsidRPr="00000000" w14:paraId="00000006">
      <w:pPr>
        <w:spacing w:after="240" w:before="240" w:line="360" w:lineRule="auto"/>
        <w:ind w:right="49"/>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w:t>
      </w:r>
      <w:r w:rsidDel="00000000" w:rsidR="00000000" w:rsidRPr="00000000">
        <w:rPr>
          <w:rFonts w:ascii="Palatino Linotype" w:cs="Palatino Linotype" w:eastAsia="Palatino Linotype" w:hAnsi="Palatino Linotype"/>
          <w:b w:val="1"/>
          <w:sz w:val="22"/>
          <w:szCs w:val="22"/>
          <w:rtl w:val="0"/>
        </w:rPr>
        <w:t xml:space="preserve">de copias certificadas (con costo)</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b w:val="1"/>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sz w:val="22"/>
          <w:szCs w:val="22"/>
          <w:rtl w:val="0"/>
        </w:rPr>
        <w:t xml:space="preserve">2. Información que Puede estar en Poder de Otro Sujeto Obligado.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veintiocho de febrero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declaró su incompetencia para atender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8">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 notaria incompetencia por lo que se procede a la orientación la cual se adjunta a la presente.</w:t>
      </w:r>
    </w:p>
    <w:p w:rsidR="00000000" w:rsidDel="00000000" w:rsidP="00000000" w:rsidRDefault="00000000" w:rsidRPr="00000000" w14:paraId="00000009">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A">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 EN D. PEDRO J. ISAAC GONZÁLEZ” (Sic)</w:t>
      </w:r>
    </w:p>
    <w:p w:rsidR="00000000" w:rsidDel="00000000" w:rsidP="00000000" w:rsidRDefault="00000000" w:rsidRPr="00000000" w14:paraId="0000000B">
      <w:pPr>
        <w:spacing w:after="240" w:before="240" w:lineRule="auto"/>
        <w:ind w:left="567" w:right="902"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w:t>
      </w:r>
    </w:p>
    <w:p w:rsidR="00000000" w:rsidDel="00000000" w:rsidP="00000000" w:rsidRDefault="00000000" w:rsidRPr="00000000" w14:paraId="0000000C">
      <w:pPr>
        <w:spacing w:after="240" w:before="240" w:line="36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“Orientación 00160-2025.pdf”: </w:t>
      </w:r>
      <w:r w:rsidDel="00000000" w:rsidR="00000000" w:rsidRPr="00000000">
        <w:rPr>
          <w:rFonts w:ascii="Palatino Linotype" w:cs="Palatino Linotype" w:eastAsia="Palatino Linotype" w:hAnsi="Palatino Linotype"/>
          <w:sz w:val="22"/>
          <w:szCs w:val="22"/>
          <w:rtl w:val="0"/>
        </w:rPr>
        <w:t xml:space="preserve">Documento que se compone de tres fojas, suscrito por el Titular de la Unidad de Transparencia, en el cual, medularmente refiere lo siguiente:</w:t>
      </w:r>
    </w:p>
    <w:p w:rsidR="00000000" w:rsidDel="00000000" w:rsidP="00000000" w:rsidRDefault="00000000" w:rsidRPr="00000000" w14:paraId="0000000D">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w:t>
      </w:r>
      <w:r w:rsidDel="00000000" w:rsidR="00000000" w:rsidRPr="00000000">
        <w:rPr>
          <w:rFonts w:ascii="Palatino Linotype" w:cs="Palatino Linotype" w:eastAsia="Palatino Linotype" w:hAnsi="Palatino Linotype"/>
          <w:b w:val="1"/>
          <w:i w:val="1"/>
          <w:sz w:val="22"/>
          <w:szCs w:val="22"/>
          <w:u w:val="single"/>
          <w:rtl w:val="0"/>
        </w:rPr>
        <w:t xml:space="preserve">la información que requiere no es generada ni se encuentra en posesión de este Sujeto Obligado, toda vez que el objetivo del Poder Judicial del Estado de México es impartir justicia en los plazos y términos que fijen las leyes, mediante la emisión de resoluciones de manera pronta, completa e imparcial, por lo que en el artículo primero de la Ley Orgánica del Poder Judicial establece que el ejercicio de la función jurisdiccional corresponde a los órganos del Poder Judicial</w:t>
      </w:r>
      <w:r w:rsidDel="00000000" w:rsidR="00000000" w:rsidRPr="00000000">
        <w:rPr>
          <w:rFonts w:ascii="Palatino Linotype" w:cs="Palatino Linotype" w:eastAsia="Palatino Linotype" w:hAnsi="Palatino Linotype"/>
          <w:i w:val="1"/>
          <w:sz w:val="22"/>
          <w:szCs w:val="22"/>
          <w:rtl w:val="0"/>
        </w:rPr>
        <w:t xml:space="preserve"> en los términos que establece la Constitución Política del Estado Libre y Soberano de México y se deposita en:</w:t>
      </w:r>
    </w:p>
    <w:p w:rsidR="00000000" w:rsidDel="00000000" w:rsidP="00000000" w:rsidRDefault="00000000" w:rsidRPr="00000000" w14:paraId="0000000E">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El Tribunal Superior de Justicia, que funcionará en Pleno y en Salas;</w:t>
      </w:r>
    </w:p>
    <w:p w:rsidR="00000000" w:rsidDel="00000000" w:rsidP="00000000" w:rsidRDefault="00000000" w:rsidRPr="00000000" w14:paraId="0000000F">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Una Sala Constitucional;</w:t>
      </w:r>
    </w:p>
    <w:p w:rsidR="00000000" w:rsidDel="00000000" w:rsidP="00000000" w:rsidRDefault="00000000" w:rsidRPr="00000000" w14:paraId="00000010">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Salas Colegiadas y Unitarias;</w:t>
      </w:r>
    </w:p>
    <w:p w:rsidR="00000000" w:rsidDel="00000000" w:rsidP="00000000" w:rsidRDefault="00000000" w:rsidRPr="00000000" w14:paraId="00000011">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Tribunales de Alzada;</w:t>
      </w:r>
    </w:p>
    <w:p w:rsidR="00000000" w:rsidDel="00000000" w:rsidP="00000000" w:rsidRDefault="00000000" w:rsidRPr="00000000" w14:paraId="00000012">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Tribunales de enjuiciamiento, juzgados de primera instancia y juzgados de ejecución;</w:t>
      </w:r>
    </w:p>
    <w:p w:rsidR="00000000" w:rsidDel="00000000" w:rsidP="00000000" w:rsidRDefault="00000000" w:rsidRPr="00000000" w14:paraId="00000013">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Juzgados de cuantía menor y juzgados de control, y</w:t>
      </w:r>
    </w:p>
    <w:p w:rsidR="00000000" w:rsidDel="00000000" w:rsidP="00000000" w:rsidRDefault="00000000" w:rsidRPr="00000000" w14:paraId="00000014">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 Tribunales laborales</w:t>
      </w:r>
    </w:p>
    <w:p w:rsidR="00000000" w:rsidDel="00000000" w:rsidP="00000000" w:rsidRDefault="00000000" w:rsidRPr="00000000" w14:paraId="00000015">
      <w:pPr>
        <w:spacing w:after="240" w:before="240" w:line="276" w:lineRule="auto"/>
        <w:ind w:left="567"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El Instituto de la Función Registral del Estado de México un Organismo Público Descentralizado, con personalidad jurídica y patrimonio propio, sectorizado a la Consejería Jurídica, que tiene por objeto realizar la función registral en la entidad en términos de la Ley Registral, su Reglamento, el Código Civil, todos del Estado de México y los demás ordenamientos legales aplicables.</w:t>
      </w:r>
    </w:p>
    <w:p w:rsidR="00000000" w:rsidDel="00000000" w:rsidP="00000000" w:rsidRDefault="00000000" w:rsidRPr="00000000" w14:paraId="00000016">
      <w:pPr>
        <w:spacing w:after="240" w:before="240" w:line="276" w:lineRule="auto"/>
        <w:ind w:left="567"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Tiene como propósito dar certeza, seguridad jurídica y publicidad a los actos relacionados con la propiedad inmobiliaria, que por disposición de ley deben inscribirse para producir efectos contra terceros.</w:t>
      </w:r>
    </w:p>
    <w:p w:rsidR="00000000" w:rsidDel="00000000" w:rsidP="00000000" w:rsidRDefault="00000000" w:rsidRPr="00000000" w14:paraId="00000017">
      <w:pPr>
        <w:spacing w:after="240" w:before="240"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 anterior se desprende que el IFREM, no depende ni forma parte de este Sujeto Obligado (Poder Judicial del Estado de México), por lo que lo solicitado no forma parte de la información generada, obtenida, adquirida, transformada, administrada o en posesión del Poder Judicial.</w:t>
      </w:r>
    </w:p>
    <w:p w:rsidR="00000000" w:rsidDel="00000000" w:rsidP="00000000" w:rsidRDefault="00000000" w:rsidRPr="00000000" w14:paraId="00000018">
      <w:pPr>
        <w:spacing w:after="240" w:before="240" w:line="276"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Derivado de lo expuesto, en ejercicio del principio de orientación que rige a esta materia, respetuosamente se invita al particular a que dirija su solicitud a través de la Plataforma Nacional de Transparencia, al Instituto de la Función Registral del Estado de México, https://ifrem.edomex.gob.mx/archivo_general_notarias, que es probable cuenten con la información requerida.”</w:t>
      </w:r>
      <w:r w:rsidDel="00000000" w:rsidR="00000000" w:rsidRPr="00000000">
        <w:rPr>
          <w:rtl w:val="0"/>
        </w:rPr>
      </w:r>
    </w:p>
    <w:p w:rsidR="00000000" w:rsidDel="00000000" w:rsidP="00000000" w:rsidRDefault="00000000" w:rsidRPr="00000000" w14:paraId="00000019">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declaración de incompetencia,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tiene constancia que el </w:t>
      </w:r>
      <w:r w:rsidDel="00000000" w:rsidR="00000000" w:rsidRPr="00000000">
        <w:rPr>
          <w:rFonts w:ascii="Palatino Linotype" w:cs="Palatino Linotype" w:eastAsia="Palatino Linotype" w:hAnsi="Palatino Linotype"/>
          <w:b w:val="1"/>
          <w:sz w:val="22"/>
          <w:szCs w:val="22"/>
          <w:rtl w:val="0"/>
        </w:rPr>
        <w:t xml:space="preserve">doce de marzo de dos mil veinticinco</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en los términos que a continuación se detallan:</w:t>
      </w:r>
    </w:p>
    <w:p w:rsidR="00000000" w:rsidDel="00000000" w:rsidP="00000000" w:rsidRDefault="00000000" w:rsidRPr="00000000" w14:paraId="0000001A">
      <w:pPr>
        <w:tabs>
          <w:tab w:val="left" w:leader="none" w:pos="2745"/>
        </w:tabs>
        <w:spacing w:after="240" w:before="240" w:lineRule="auto"/>
        <w:ind w:left="567" w:right="90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2"/>
          <w:szCs w:val="22"/>
          <w:rtl w:val="0"/>
        </w:rPr>
        <w:t xml:space="preserve">a) Acto impugnado: </w:t>
      </w:r>
      <w:r w:rsidDel="00000000" w:rsidR="00000000" w:rsidRPr="00000000">
        <w:rPr>
          <w:rFonts w:ascii="Palatino Linotype" w:cs="Palatino Linotype" w:eastAsia="Palatino Linotype" w:hAnsi="Palatino Linotype"/>
          <w:i w:val="1"/>
          <w:sz w:val="22"/>
          <w:szCs w:val="22"/>
          <w:rtl w:val="0"/>
        </w:rPr>
        <w:t xml:space="preserve">“HOLA, LA RESPUESTA QUE MANDARON: ES QUE LOS DOCUMENTOS SE ENCUENTRAN EN OTRA DEPENDENCIA, NO ME DICEN EN CUAL INSTITUCION O SI ME VAN A DAR LA INFORMACION QUE SOLICITE, O DONDE TENGO QUE SOLICITARLA.” (Sic)</w:t>
      </w:r>
      <w:r w:rsidDel="00000000" w:rsidR="00000000" w:rsidRPr="00000000">
        <w:rPr>
          <w:rtl w:val="0"/>
        </w:rPr>
      </w:r>
    </w:p>
    <w:p w:rsidR="00000000" w:rsidDel="00000000" w:rsidP="00000000" w:rsidRDefault="00000000" w:rsidRPr="00000000" w14:paraId="0000001B">
      <w:pPr>
        <w:spacing w:line="276" w:lineRule="auto"/>
        <w:ind w:left="567" w:right="900" w:firstLine="0"/>
        <w:jc w:val="both"/>
        <w:rPr>
          <w:rFonts w:ascii="Palatino Linotype" w:cs="Palatino Linotype" w:eastAsia="Palatino Linotype" w:hAnsi="Palatino Linotype"/>
          <w:i w:val="1"/>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“ES LA FECHA QUE LA UNICA RESPUESTA QUE RECIVI ES QUE LA INFORMACION QUE SOLICITE NO SE ENCUENTRA EN ESA DEPENDENCIA” (Sic)</w:t>
      </w:r>
    </w:p>
    <w:p w:rsidR="00000000" w:rsidDel="00000000" w:rsidP="00000000" w:rsidRDefault="00000000" w:rsidRPr="00000000" w14:paraId="0000001C">
      <w:pPr>
        <w:spacing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“Tablero de seguimiento de solicitudes RESPUESTA.pdf”: </w:t>
      </w:r>
      <w:r w:rsidDel="00000000" w:rsidR="00000000" w:rsidRPr="00000000">
        <w:rPr>
          <w:rFonts w:ascii="Palatino Linotype" w:cs="Palatino Linotype" w:eastAsia="Palatino Linotype" w:hAnsi="Palatino Linotype"/>
          <w:sz w:val="22"/>
          <w:szCs w:val="22"/>
          <w:rtl w:val="0"/>
        </w:rPr>
        <w:t xml:space="preserve">Archivo que da cuenta del seguimiento a la presente solicitud de información. </w:t>
      </w:r>
    </w:p>
    <w:p w:rsidR="00000000" w:rsidDel="00000000" w:rsidP="00000000" w:rsidRDefault="00000000" w:rsidRPr="00000000" w14:paraId="0000001D">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dieciocho de marzo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bookmarkStart w:colFirst="0" w:colLast="0" w:name="_heading=h.2s8eyo1" w:id="4"/>
      <w:bookmarkEnd w:id="4"/>
      <w:r w:rsidDel="00000000" w:rsidR="00000000" w:rsidRPr="00000000">
        <w:rPr>
          <w:rFonts w:ascii="Palatino Linotype" w:cs="Palatino Linotype" w:eastAsia="Palatino Linotype" w:hAnsi="Palatino Linotype"/>
          <w:b w:val="1"/>
          <w:sz w:val="22"/>
          <w:szCs w:val="22"/>
          <w:rtl w:val="0"/>
        </w:rPr>
        <w:t xml:space="preserve">6. Manifestaciones e Informe Justificado</w:t>
      </w:r>
      <w:r w:rsidDel="00000000" w:rsidR="00000000" w:rsidRPr="00000000">
        <w:rPr>
          <w:rFonts w:ascii="Palatino Linotype" w:cs="Palatino Linotype" w:eastAsia="Palatino Linotype" w:hAnsi="Palatino Linotype"/>
          <w:sz w:val="22"/>
          <w:szCs w:val="22"/>
          <w:rtl w:val="0"/>
        </w:rPr>
        <w:t xml:space="preserve">. De las constancias que integran el expediente en que se actúa se advierte que durante el periodo de manifestaciones,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 el </w:t>
      </w:r>
      <w:r w:rsidDel="00000000" w:rsidR="00000000" w:rsidRPr="00000000">
        <w:rPr>
          <w:rFonts w:ascii="Palatino Linotype" w:cs="Palatino Linotype" w:eastAsia="Palatino Linotype" w:hAnsi="Palatino Linotype"/>
          <w:b w:val="1"/>
          <w:sz w:val="22"/>
          <w:szCs w:val="22"/>
          <w:rtl w:val="0"/>
        </w:rPr>
        <w:t xml:space="preserve">veinticinco de marzo de dos mil veinticinco</w:t>
      </w:r>
      <w:r w:rsidDel="00000000" w:rsidR="00000000" w:rsidRPr="00000000">
        <w:rPr>
          <w:rFonts w:ascii="Palatino Linotype" w:cs="Palatino Linotype" w:eastAsia="Palatino Linotype" w:hAnsi="Palatino Linotype"/>
          <w:sz w:val="22"/>
          <w:szCs w:val="22"/>
          <w:rtl w:val="0"/>
        </w:rPr>
        <w:t xml:space="preserve">, mediante el archivo electrónico “</w:t>
      </w:r>
      <w:r w:rsidDel="00000000" w:rsidR="00000000" w:rsidRPr="00000000">
        <w:rPr>
          <w:rFonts w:ascii="Palatino Linotype" w:cs="Palatino Linotype" w:eastAsia="Palatino Linotype" w:hAnsi="Palatino Linotype"/>
          <w:b w:val="1"/>
          <w:i w:val="1"/>
          <w:sz w:val="22"/>
          <w:szCs w:val="22"/>
          <w:rtl w:val="0"/>
        </w:rPr>
        <w:t xml:space="preserve">Informe Justif RR2814 25.pdf”,</w:t>
      </w:r>
      <w:r w:rsidDel="00000000" w:rsidR="00000000" w:rsidRPr="00000000">
        <w:rPr>
          <w:rFonts w:ascii="Palatino Linotype" w:cs="Palatino Linotype" w:eastAsia="Palatino Linotype" w:hAnsi="Palatino Linotype"/>
          <w:sz w:val="22"/>
          <w:szCs w:val="22"/>
          <w:rtl w:val="0"/>
        </w:rPr>
        <w:t xml:space="preserve"> el cual se compone de seis fojas y en él, se reitera la incompetencia total para atender la solicitud de información.</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Es de precisar que una vez analizada esta documentación, se determinó ponerla a la vista del particular mediante acuerdo suscrito por la Comisionada Ponente, el </w:t>
      </w:r>
      <w:r w:rsidDel="00000000" w:rsidR="00000000" w:rsidRPr="00000000">
        <w:rPr>
          <w:rFonts w:ascii="Palatino Linotype" w:cs="Palatino Linotype" w:eastAsia="Palatino Linotype" w:hAnsi="Palatino Linotype"/>
          <w:b w:val="1"/>
          <w:sz w:val="22"/>
          <w:szCs w:val="22"/>
          <w:rtl w:val="0"/>
        </w:rPr>
        <w:t xml:space="preserve">treinta de abril de dos mil veinticinco</w:t>
      </w:r>
      <w:r w:rsidDel="00000000" w:rsidR="00000000" w:rsidRPr="00000000">
        <w:rPr>
          <w:rFonts w:ascii="Palatino Linotype" w:cs="Palatino Linotype" w:eastAsia="Palatino Linotype" w:hAnsi="Palatino Linotype"/>
          <w:sz w:val="22"/>
          <w:szCs w:val="22"/>
          <w:rtl w:val="0"/>
        </w:rPr>
        <w:t xml:space="preserve">, derivado de este acuerdo, se advierte que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fue omisa en adjuntar sus alegatos o manifestaciones, por lo que se tiene por precluido su derecho para tal efecto.</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612130" cy="1972945"/>
            <wp:effectExtent b="0" l="0" r="0" t="0"/>
            <wp:docPr id="4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612130" cy="197294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7. Ampliación del término para resolver. </w:t>
      </w:r>
      <w:r w:rsidDel="00000000" w:rsidR="00000000" w:rsidRPr="00000000">
        <w:rPr>
          <w:rFonts w:ascii="Palatino Linotype" w:cs="Palatino Linotype" w:eastAsia="Palatino Linotype" w:hAnsi="Palatino Linotype"/>
          <w:sz w:val="22"/>
          <w:szCs w:val="22"/>
          <w:rtl w:val="0"/>
        </w:rPr>
        <w:t xml:space="preserve">El</w:t>
      </w:r>
      <w:r w:rsidDel="00000000" w:rsidR="00000000" w:rsidRPr="00000000">
        <w:rPr>
          <w:rFonts w:ascii="Palatino Linotype" w:cs="Palatino Linotype" w:eastAsia="Palatino Linotype" w:hAnsi="Palatino Linotype"/>
          <w:b w:val="1"/>
          <w:sz w:val="22"/>
          <w:szCs w:val="22"/>
          <w:rtl w:val="0"/>
        </w:rPr>
        <w:t xml:space="preserve"> treinta de abril de dos mil veinticinco, </w:t>
      </w:r>
      <w:r w:rsidDel="00000000" w:rsidR="00000000" w:rsidRPr="00000000">
        <w:rPr>
          <w:rFonts w:ascii="Palatino Linotype" w:cs="Palatino Linotype" w:eastAsia="Palatino Linotype" w:hAnsi="Palatino Linotype"/>
          <w:sz w:val="22"/>
          <w:szCs w:val="22"/>
          <w:rtl w:val="0"/>
        </w:rPr>
        <w:t xml:space="preserve">se notificó a las partes, el acuerdo que amplía el término para resolver el recurso de revisión en términos del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4">
      <w:pPr>
        <w:spacing w:after="240" w:line="360" w:lineRule="auto"/>
        <w:jc w:val="both"/>
        <w:rPr>
          <w:rFonts w:ascii="Palatino Linotype" w:cs="Palatino Linotype" w:eastAsia="Palatino Linotype" w:hAnsi="Palatino Linotype"/>
          <w:b w:val="1"/>
          <w:sz w:val="22"/>
          <w:szCs w:val="22"/>
        </w:rPr>
      </w:pPr>
      <w:bookmarkStart w:colFirst="0" w:colLast="0" w:name="_heading=h.39n8fycs57x3" w:id="5"/>
      <w:bookmarkEnd w:id="5"/>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sz w:val="22"/>
          <w:szCs w:val="22"/>
          <w:rtl w:val="0"/>
        </w:rPr>
        <w:t xml:space="preserve">ocho de mayo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6">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sz w:val="22"/>
          <w:szCs w:val="22"/>
        </w:rPr>
      </w:pPr>
      <w:bookmarkStart w:colFirst="0" w:colLast="0" w:name="_heading=h.tyjcwt" w:id="6"/>
      <w:bookmarkEnd w:id="6"/>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declaró su incompetencia para atender la solicitud de información el </w:t>
      </w:r>
      <w:r w:rsidDel="00000000" w:rsidR="00000000" w:rsidRPr="00000000">
        <w:rPr>
          <w:rFonts w:ascii="Palatino Linotype" w:cs="Palatino Linotype" w:eastAsia="Palatino Linotype" w:hAnsi="Palatino Linotype"/>
          <w:b w:val="1"/>
          <w:sz w:val="22"/>
          <w:szCs w:val="22"/>
          <w:rtl w:val="0"/>
        </w:rPr>
        <w:t xml:space="preserve">veintiocho de febrero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sz w:val="22"/>
          <w:szCs w:val="22"/>
          <w:rtl w:val="0"/>
        </w:rPr>
        <w:t xml:space="preserve">doce de marzo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 </w:t>
      </w:r>
      <w:r w:rsidDel="00000000" w:rsidR="00000000" w:rsidRPr="00000000">
        <w:rPr>
          <w:rFonts w:ascii="Palatino Linotype" w:cs="Palatino Linotype" w:eastAsia="Palatino Linotype" w:hAnsi="Palatino Linotype"/>
          <w:sz w:val="22"/>
          <w:szCs w:val="22"/>
          <w:rtl w:val="0"/>
        </w:rPr>
        <w:t xml:space="preserve">esto es, el </w:t>
      </w:r>
      <w:r w:rsidDel="00000000" w:rsidR="00000000" w:rsidRPr="00000000">
        <w:rPr>
          <w:rFonts w:ascii="Palatino Linotype" w:cs="Palatino Linotype" w:eastAsia="Palatino Linotype" w:hAnsi="Palatino Linotype"/>
          <w:b w:val="1"/>
          <w:sz w:val="22"/>
          <w:szCs w:val="22"/>
          <w:rtl w:val="0"/>
        </w:rPr>
        <w:t xml:space="preserve">séptimo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día hábil en el que tuvo conocimiento de la declaración de incompetencia impugnada.</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A">
      <w:pPr>
        <w:tabs>
          <w:tab w:val="left" w:leader="none" w:pos="7938"/>
        </w:tabs>
        <w:spacing w:after="240" w:before="240" w:line="360" w:lineRule="auto"/>
        <w:jc w:val="both"/>
        <w:rPr>
          <w:rFonts w:ascii="Palatino Linotype" w:cs="Palatino Linotype" w:eastAsia="Palatino Linotype" w:hAnsi="Palatino Linotype"/>
          <w:sz w:val="22"/>
          <w:szCs w:val="22"/>
        </w:rPr>
      </w:pPr>
      <w:bookmarkStart w:colFirst="0" w:colLast="0" w:name="_heading=h.3znysh7" w:id="7"/>
      <w:bookmarkEnd w:id="7"/>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IV del ordenamiento legal citado, que a la letra dice: </w:t>
      </w:r>
    </w:p>
    <w:p w:rsidR="00000000" w:rsidDel="00000000" w:rsidP="00000000" w:rsidRDefault="00000000" w:rsidRPr="00000000" w14:paraId="0000002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E">
      <w:pPr>
        <w:spacing w:after="120" w:before="120" w:lineRule="auto"/>
        <w:ind w:left="567"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La declaración de incompetencia por el sujeto obligado;” </w:t>
      </w: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declaración total de incompetencia e informe justificado otorgados por el Sujeto Obligado son adecuados y suficientes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240" w:before="240" w:line="360" w:lineRule="auto"/>
        <w:jc w:val="both"/>
        <w:rPr>
          <w:sz w:val="22"/>
          <w:szCs w:val="22"/>
        </w:rPr>
      </w:pPr>
      <w:bookmarkStart w:colFirst="0" w:colLast="0" w:name="_heading=h.2et92p0" w:id="8"/>
      <w:bookmarkEnd w:id="8"/>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Antes de entrar al análisis de los pronunciamientos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240" w:before="240" w:lineRule="auto"/>
        <w:ind w:left="851" w:right="850"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40" w:before="240" w:lineRule="auto"/>
        <w:ind w:left="851" w:right="901"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40" w:before="240" w:lineRule="auto"/>
        <w:ind w:left="851" w:right="901"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 Para tal efecto, los sujetos obligados contarán con las facultades suficientes para su atención.</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Se establecerán mecanismos de acceso a la información pública y procedimientos de revisión expeditos que se sustanciarán ante las instancias competentes en los términos que fija esta Constitución y las leyes.</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40" w:before="240" w:lineRule="auto"/>
        <w:ind w:left="851" w:right="851" w:firstLine="0"/>
        <w:jc w:val="both"/>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40" w:before="240"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before="240" w:lineRule="auto"/>
        <w:ind w:left="709" w:right="760"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40" w:before="240" w:lineRule="auto"/>
        <w:ind w:left="709" w:right="760" w:firstLine="0"/>
        <w:jc w:val="both"/>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40" w:before="240" w:lineRule="auto"/>
        <w:ind w:left="709" w:right="760" w:firstLine="0"/>
        <w:jc w:val="both"/>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before="240"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Rule="auto"/>
        <w:ind w:left="567" w:right="758"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before="240" w:lineRule="auto"/>
        <w:ind w:left="567" w:right="758" w:firstLine="0"/>
        <w:jc w:val="both"/>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sz w:val="22"/>
          <w:szCs w:val="22"/>
          <w:rtl w:val="0"/>
        </w:rPr>
        <w:t xml:space="preserve">ad hoc</w:t>
      </w:r>
      <w:r w:rsidDel="00000000" w:rsidR="00000000" w:rsidRPr="00000000">
        <w:rPr>
          <w:rFonts w:ascii="Palatino Linotype" w:cs="Palatino Linotype" w:eastAsia="Palatino Linotype" w:hAnsi="Palatino Linotype"/>
          <w:sz w:val="22"/>
          <w:szCs w:val="22"/>
          <w:rtl w:val="0"/>
        </w:rPr>
        <w:t xml:space="preserve">, para satisfacer el derecho de acceso a la información pública, como así lo establece el criterio orientador 03/17 emitido por el entonces Instituto Nacional de Transparencia, Acceso a la Información Pública y Protección de Datos Personales, el cual señala lo siguiente:</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before="240" w:lineRule="auto"/>
        <w:ind w:left="567" w:right="900" w:firstLine="0"/>
        <w:jc w:val="both"/>
        <w:rPr/>
      </w:pPr>
      <w:r w:rsidDel="00000000" w:rsidR="00000000" w:rsidRPr="00000000">
        <w:rPr>
          <w:rFonts w:ascii="Palatino Linotype" w:cs="Palatino Linotype" w:eastAsia="Palatino Linotype" w:hAnsi="Palatino Linotype"/>
          <w:b w:val="1"/>
          <w:i w:val="1"/>
          <w:sz w:val="22"/>
          <w:szCs w:val="22"/>
          <w:rtl w:val="0"/>
        </w:rPr>
        <w:t xml:space="preserve">03/17</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240" w:lineRule="auto"/>
        <w:ind w:left="567" w:right="900" w:firstLine="0"/>
        <w:jc w:val="both"/>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Rule="auto"/>
        <w:ind w:left="567" w:right="900" w:firstLine="0"/>
        <w:jc w:val="both"/>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before="240"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360" w:lineRule="auto"/>
        <w:ind w:right="49"/>
        <w:jc w:val="both"/>
        <w:rPr>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40" w:before="240"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Rule="auto"/>
        <w:ind w:left="567" w:right="567" w:firstLine="0"/>
        <w:jc w:val="both"/>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r w:rsidDel="00000000" w:rsidR="00000000" w:rsidRPr="00000000">
        <w:rPr>
          <w:rtl w:val="0"/>
        </w:rPr>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after="240" w:before="240" w:lineRule="auto"/>
        <w:ind w:left="567" w:right="567"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after="240" w:before="240" w:lineRule="auto"/>
        <w:ind w:left="567" w:right="567" w:hanging="36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before="240" w:lineRule="auto"/>
        <w:ind w:left="567" w:right="567" w:hanging="284"/>
        <w:jc w:val="both"/>
        <w:rPr/>
      </w:pPr>
      <w:r w:rsidDel="00000000" w:rsidR="00000000" w:rsidRPr="00000000">
        <w:rPr>
          <w:rFonts w:ascii="Palatino Linotype" w:cs="Palatino Linotype" w:eastAsia="Palatino Linotype" w:hAnsi="Palatino Linotype"/>
          <w:i w:val="1"/>
          <w:sz w:val="22"/>
          <w:szCs w:val="22"/>
          <w:rtl w:val="0"/>
        </w:rPr>
        <w:t xml:space="preserve">3. </w:t>
      </w: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 encuentre en posesión de los Sujetos Obligados.” </w:t>
      </w: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para profundizar en el estudio del presente asunto, es conveniente recordar que de un análisis a la solicitud de información, se advierte que la parte solicitante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le proporcionara lo siguiente:</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567" w:right="900" w:hanging="141"/>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Nombre de la persona propietaria del inmueble ubicado en la dirección señalada en la solicitud de información 00160/PJUDICI/IP/2025.</w:t>
      </w:r>
    </w:p>
    <w:p w:rsidR="00000000" w:rsidDel="00000000" w:rsidP="00000000" w:rsidRDefault="00000000" w:rsidRPr="00000000" w14:paraId="0000005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tesitura, al tercer día hábil,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declaró la incompetencia para atender la presente solicitud de información, señalando que la información que requiere no es generada ni se encuentra en posesión del Poder Judicial, toda vez que su objetivo es impartir justicia en los plazos y términos que fijen las leyes, mediante la emisión de resoluciones de manera pronta, completa e imparcial, por lo que en el artículo primero de la Ley Orgánica del Poder Judicial establece que el ejercicio de la función jurisdiccional corresponde a los órganos del Poder Judicial en los términos que establece la Constitución Política del Estado Libre y Soberano de México y se deposita en:</w:t>
      </w:r>
    </w:p>
    <w:p w:rsidR="00000000" w:rsidDel="00000000" w:rsidP="00000000" w:rsidRDefault="00000000" w:rsidRPr="00000000" w14:paraId="0000005C">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El Tribunal Superior de Justicia, que funcionará en Pleno y en Salas;</w:t>
      </w:r>
    </w:p>
    <w:p w:rsidR="00000000" w:rsidDel="00000000" w:rsidP="00000000" w:rsidRDefault="00000000" w:rsidRPr="00000000" w14:paraId="0000005D">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Una Sala Constitucional;</w:t>
      </w:r>
    </w:p>
    <w:p w:rsidR="00000000" w:rsidDel="00000000" w:rsidP="00000000" w:rsidRDefault="00000000" w:rsidRPr="00000000" w14:paraId="0000005E">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 Salas Colegiadas y Unitarias;</w:t>
      </w:r>
    </w:p>
    <w:p w:rsidR="00000000" w:rsidDel="00000000" w:rsidP="00000000" w:rsidRDefault="00000000" w:rsidRPr="00000000" w14:paraId="0000005F">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 Tribunales de Alzada;</w:t>
      </w:r>
    </w:p>
    <w:p w:rsidR="00000000" w:rsidDel="00000000" w:rsidP="00000000" w:rsidRDefault="00000000" w:rsidRPr="00000000" w14:paraId="0000006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 Tribunales de enjuiciamiento, juzgados de primera instancia y juzgados de ejecución;</w:t>
      </w:r>
    </w:p>
    <w:p w:rsidR="00000000" w:rsidDel="00000000" w:rsidP="00000000" w:rsidRDefault="00000000" w:rsidRPr="00000000" w14:paraId="0000006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 Juzgados de cuantía menor y juzgados de control, y</w:t>
      </w:r>
    </w:p>
    <w:p w:rsidR="00000000" w:rsidDel="00000000" w:rsidP="00000000" w:rsidRDefault="00000000" w:rsidRPr="00000000" w14:paraId="0000006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g) Tribunales laborales</w:t>
      </w:r>
    </w:p>
    <w:p w:rsidR="00000000" w:rsidDel="00000000" w:rsidP="00000000" w:rsidRDefault="00000000" w:rsidRPr="00000000" w14:paraId="00000063">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lo orientó para dirigir su petición al Instituto de la Función Registral del Estado de México es un Organismo Público Descentralizado, con personalidad jurídica y patrimonio propio, sectorizado a la Consejería Jurídica, que tiene por objeto realizar la función registral en la entidad en términos de la Ley Registral, su Reglamento, el Código Civil, todos del Estado de México y los demás ordenamientos legales aplicables.</w:t>
      </w:r>
    </w:p>
    <w:p w:rsidR="00000000" w:rsidDel="00000000" w:rsidP="00000000" w:rsidRDefault="00000000" w:rsidRPr="00000000" w14:paraId="00000064">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tiene como propósito dar certeza, seguridad jurídica y publicidad a los actos relacionados con la propiedad inmobiliaria, que por disposición de ley deben inscribirse para producir efectos contra terceros.</w:t>
      </w:r>
    </w:p>
    <w:p w:rsidR="00000000" w:rsidDel="00000000" w:rsidP="00000000" w:rsidRDefault="00000000" w:rsidRPr="00000000" w14:paraId="00000065">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esta tesitura, una vez conocida la declaración de incompetencia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al no estar conforme con los términos de la misma, interpuso el recurso de revisión que nos ocupa, inconformándose medularmente por la incompetencia alegada, toda vez que a su consideración, no le señalan la institución a la que debe acudir o si se le va a entregar la información.</w:t>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las cosas, durante la etapa de manifestaciones e informe justificado, se tiene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ratificó los términos de su pronunciamiento inicial vertido al momento de declarar su incompetencia.</w:t>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precisar que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fue omisa en pronunciarse en esta etapa, por lo tanto, se tuvo por precluido su prerrogativa para tal efecto y se procede en este acto a emitir la resolución que corresponda conforme a derecho.</w:t>
      </w:r>
    </w:p>
    <w:p w:rsidR="00000000" w:rsidDel="00000000" w:rsidP="00000000" w:rsidRDefault="00000000" w:rsidRPr="00000000" w14:paraId="0000006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expuestas estas consideraciones, resulta necesario iniciar el presente análisis, señalando que las razones o motivos de inconformidad de </w:t>
      </w:r>
      <w:r w:rsidDel="00000000" w:rsidR="00000000" w:rsidRPr="00000000">
        <w:rPr>
          <w:rFonts w:ascii="Palatino Linotype" w:cs="Palatino Linotype" w:eastAsia="Palatino Linotype" w:hAnsi="Palatino Linotype"/>
          <w:b w:val="1"/>
          <w:sz w:val="22"/>
          <w:szCs w:val="22"/>
          <w:rtl w:val="0"/>
        </w:rPr>
        <w:t xml:space="preserve">la parte Recurrente </w:t>
      </w:r>
      <w:r w:rsidDel="00000000" w:rsidR="00000000" w:rsidRPr="00000000">
        <w:rPr>
          <w:rFonts w:ascii="Palatino Linotype" w:cs="Palatino Linotype" w:eastAsia="Palatino Linotype" w:hAnsi="Palatino Linotype"/>
          <w:sz w:val="22"/>
          <w:szCs w:val="22"/>
          <w:rtl w:val="0"/>
        </w:rPr>
        <w:t xml:space="preserve">devienen </w:t>
      </w:r>
      <w:r w:rsidDel="00000000" w:rsidR="00000000" w:rsidRPr="00000000">
        <w:rPr>
          <w:rFonts w:ascii="Palatino Linotype" w:cs="Palatino Linotype" w:eastAsia="Palatino Linotype" w:hAnsi="Palatino Linotype"/>
          <w:b w:val="1"/>
          <w:sz w:val="22"/>
          <w:szCs w:val="22"/>
          <w:rtl w:val="0"/>
        </w:rPr>
        <w:t xml:space="preserve">INFUNDADOS</w:t>
      </w:r>
      <w:r w:rsidDel="00000000" w:rsidR="00000000" w:rsidRPr="00000000">
        <w:rPr>
          <w:rFonts w:ascii="Palatino Linotype" w:cs="Palatino Linotype" w:eastAsia="Palatino Linotype" w:hAnsi="Palatino Linotype"/>
          <w:sz w:val="22"/>
          <w:szCs w:val="22"/>
          <w:rtl w:val="0"/>
        </w:rPr>
        <w:t xml:space="preserve"> por las consideraciones que se expondrán a continuación mediante los dos apartados siguientes:</w:t>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spacing w:line="360" w:lineRule="auto"/>
        <w:ind w:left="567" w:right="900" w:hanging="28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la esfera competencial del Poder Judicial</w:t>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spacing w:line="360" w:lineRule="auto"/>
        <w:ind w:left="720" w:right="90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la esfera competencial del Instituto de la Función Registral del Estado de México</w:t>
      </w:r>
    </w:p>
    <w:p w:rsidR="00000000" w:rsidDel="00000000" w:rsidP="00000000" w:rsidRDefault="00000000" w:rsidRPr="00000000" w14:paraId="0000006C">
      <w:pPr>
        <w:shd w:fill="ebf1dd" w:val="clea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De la esfera competencial del Poder Judicial</w:t>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primera instancia, resulta importante conceptualizar que de acuerdo a la Biblioteca Jurídica Virtual del Instituto de Investigaciones Jurídicas de la UNAM, el Poder Judicial, es un poder del Estado único y exclusivo, que tiene jurisdicción sobre todo un territorio en específico. </w:t>
      </w:r>
      <w:r w:rsidDel="00000000" w:rsidR="00000000" w:rsidRPr="00000000">
        <w:rPr>
          <w:rFonts w:ascii="Palatino Linotype" w:cs="Palatino Linotype" w:eastAsia="Palatino Linotype" w:hAnsi="Palatino Linotype"/>
          <w:b w:val="1"/>
          <w:sz w:val="22"/>
          <w:szCs w:val="22"/>
          <w:u w:val="single"/>
          <w:rtl w:val="0"/>
        </w:rPr>
        <w:t xml:space="preserve">Estudia las leyes creadas por el Poder Legislativo, y con ese conocimiento juzga a quienes cometan faltas. </w:t>
      </w:r>
      <w:r w:rsidDel="00000000" w:rsidR="00000000" w:rsidRPr="00000000">
        <w:rPr>
          <w:rFonts w:ascii="Palatino Linotype" w:cs="Palatino Linotype" w:eastAsia="Palatino Linotype" w:hAnsi="Palatino Linotype"/>
          <w:sz w:val="22"/>
          <w:szCs w:val="22"/>
          <w:rtl w:val="0"/>
        </w:rPr>
        <w:t xml:space="preserve">Ante la diversidad de agravios que pueden ser cometidos, en nuestro país se cuenta con diversos tribunales enfocados a la impartición de justicia. En México, el tribunal más importante es el de la Suprema Corte de Justicia, y está conformado por once jueces, que reciben el nombre de ministros. El Poder Judicial cumple una función específica y primordial, a la par de los otros poderes de un Estado, es decir, el Legislativo y el Ejecutivo.</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Teniendo esto en cuenta, resulta importante señalar que la Constitución Política del Estado Libre y Soberano de México, en su artículo 88, contempla que el ejercicio del Poder Judicial del Estado se deposita en: </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Un órgano colegiado denominado Tribunal Superior de Justicia, el cual funcionará en Pleno, Sala Constitucional, Salas Colegiadas y Unitarias Regionales; </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En tribunales y juzgados de primera instancia, juzgados de cuantía menor y tribunales laborales, organizados de acuerdo a su competencia establecida en las leyes secundarias. Los órganos jurisdiccionales aplicarán las leyes federales, tratándose de jurisdicción concurrente.</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precisar que de conformidad con el Manual de Organización para los Juzgados en Materia Familiar, Civil y Mercantil del Poder Judicial del Estado de México, vigente a la fecha de la solicitud, el Poder Judicial cuenta con una serie de juzgados, entre los que se encuentran los juzgados civiles que son los que revisten interés a nuestro presente análisis y cuentan con las siguientes atribuciones:</w:t>
      </w:r>
    </w:p>
    <w:p w:rsidR="00000000" w:rsidDel="00000000" w:rsidP="00000000" w:rsidRDefault="00000000" w:rsidRPr="00000000" w14:paraId="00000072">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3012020C00 JUZGADOS CIVILES</w:t>
      </w:r>
      <w:r w:rsidDel="00000000" w:rsidR="00000000" w:rsidRPr="00000000">
        <w:rPr>
          <w:rtl w:val="0"/>
        </w:rPr>
      </w:r>
    </w:p>
    <w:p w:rsidR="00000000" w:rsidDel="00000000" w:rsidP="00000000" w:rsidRDefault="00000000" w:rsidRPr="00000000" w14:paraId="00000073">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w:t>
      </w:r>
    </w:p>
    <w:p w:rsidR="00000000" w:rsidDel="00000000" w:rsidP="00000000" w:rsidRDefault="00000000" w:rsidRPr="00000000" w14:paraId="00000074">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Impartir justicia en materia civil, en su caso mediante los servicios del Juzgado en Línea en los asuntos que expresamente las leyes le confieran competencia; mediante el conocimiento de los hechos que las partes expongan, dirigiendo las etapas procesales y dictando las resoluciones conforme a la normatividad y principios que rigen la materia; promoviendo, respetando, protegiendo y garantizando en todo momento los derechos humanos.</w:t>
      </w:r>
    </w:p>
    <w:p w:rsidR="00000000" w:rsidDel="00000000" w:rsidP="00000000" w:rsidRDefault="00000000" w:rsidRPr="00000000" w14:paraId="00000075">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w:t>
      </w:r>
    </w:p>
    <w:p w:rsidR="00000000" w:rsidDel="00000000" w:rsidP="00000000" w:rsidRDefault="00000000" w:rsidRPr="00000000" w14:paraId="00000076">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Conocer de los procedimientos judiciales en materia civil, atendiendo a lo dispuesto por el Código de Procedimientos Civiles del Estado de México, la Ley Orgánica del Poder Judicial del Estado de México y demás normatividad aplicable.”</w:t>
      </w:r>
    </w:p>
    <w:p w:rsidR="00000000" w:rsidDel="00000000" w:rsidP="00000000" w:rsidRDefault="00000000" w:rsidRPr="00000000" w14:paraId="00000077">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anteriormente citado, se aprecia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únicamente es competente para la resolución de las controversias que se lleguen a suscitar en el orden común, así como el estudio de las normas emitidas por el Poder Legislativo, por lo tanto, no cuenta con algún registro que dé cuenta de la propiedad de algún inmueble, lo cual si observaremos al analizar el ámbito competencial del Instituto de la Función Registral del Estado de México.</w:t>
      </w:r>
    </w:p>
    <w:p w:rsidR="00000000" w:rsidDel="00000000" w:rsidP="00000000" w:rsidRDefault="00000000" w:rsidRPr="00000000" w14:paraId="00000078">
      <w:pPr>
        <w:shd w:fill="ebf1dd" w:val="clea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b) De la esfera competencial del Instituto de la Función Registral del Estado de México</w:t>
      </w:r>
    </w:p>
    <w:p w:rsidR="00000000" w:rsidDel="00000000" w:rsidP="00000000" w:rsidRDefault="00000000" w:rsidRPr="00000000" w14:paraId="00000079">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tocante a este Organismo, se tiene que la Ley que crea el Organismo Público Descentralizado denominado Instituto de la Función Registral del Estado de México en su artículo 2º contempla que el Instituto de la Función Registral del Estado de México tiene por objeto llevar a cabo la función registral del Estado de México, para ello contará con las siguientes atribuciones:</w:t>
      </w:r>
    </w:p>
    <w:p w:rsidR="00000000" w:rsidDel="00000000" w:rsidP="00000000" w:rsidRDefault="00000000" w:rsidRPr="00000000" w14:paraId="0000007A">
      <w:pPr>
        <w:spacing w:after="240" w:before="240" w:line="36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 El Instituto de la Función Registral del Estado de México, para el cumplimiento de su objeto, tendrá las siguientes atribuciones:</w:t>
      </w:r>
    </w:p>
    <w:p w:rsidR="00000000" w:rsidDel="00000000" w:rsidP="00000000" w:rsidRDefault="00000000" w:rsidRPr="00000000" w14:paraId="0000007B">
      <w:pPr>
        <w:spacing w:after="240" w:before="240" w:line="36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C">
      <w:pPr>
        <w:spacing w:after="240" w:before="240" w:line="36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Dirigir, coordinar, organizar, </w:t>
      </w:r>
      <w:r w:rsidDel="00000000" w:rsidR="00000000" w:rsidRPr="00000000">
        <w:rPr>
          <w:rFonts w:ascii="Palatino Linotype" w:cs="Palatino Linotype" w:eastAsia="Palatino Linotype" w:hAnsi="Palatino Linotype"/>
          <w:b w:val="1"/>
          <w:i w:val="1"/>
          <w:sz w:val="22"/>
          <w:szCs w:val="22"/>
          <w:u w:val="single"/>
          <w:rtl w:val="0"/>
        </w:rPr>
        <w:t xml:space="preserve">ejercer</w:t>
      </w:r>
      <w:r w:rsidDel="00000000" w:rsidR="00000000" w:rsidRPr="00000000">
        <w:rPr>
          <w:rFonts w:ascii="Palatino Linotype" w:cs="Palatino Linotype" w:eastAsia="Palatino Linotype" w:hAnsi="Palatino Linotype"/>
          <w:i w:val="1"/>
          <w:sz w:val="22"/>
          <w:szCs w:val="22"/>
          <w:rtl w:val="0"/>
        </w:rPr>
        <w:t xml:space="preserve">, vigilar y evaluar </w:t>
      </w:r>
      <w:r w:rsidDel="00000000" w:rsidR="00000000" w:rsidRPr="00000000">
        <w:rPr>
          <w:rFonts w:ascii="Palatino Linotype" w:cs="Palatino Linotype" w:eastAsia="Palatino Linotype" w:hAnsi="Palatino Linotype"/>
          <w:b w:val="1"/>
          <w:i w:val="1"/>
          <w:sz w:val="22"/>
          <w:szCs w:val="22"/>
          <w:rtl w:val="0"/>
        </w:rPr>
        <w:t xml:space="preserve">la función registral</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D">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Establecido lo anterior, resulta pertinente señalar que de conformidad con el artículo 18 del Reglamento de la Ley Registral para el Estado de México, dicho Instituto cuenta con un sistema registral, el cual se integra por las siguientes materias:</w:t>
      </w:r>
    </w:p>
    <w:p w:rsidR="00000000" w:rsidDel="00000000" w:rsidP="00000000" w:rsidRDefault="00000000" w:rsidRPr="00000000" w14:paraId="0000007E">
      <w:pPr>
        <w:spacing w:after="240" w:before="240" w:line="360" w:lineRule="auto"/>
        <w:ind w:right="49"/>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sz w:val="22"/>
          <w:szCs w:val="22"/>
          <w:u w:val="single"/>
          <w:rtl w:val="0"/>
        </w:rPr>
        <w:t xml:space="preserve">I. Registro Inmobiliario; </w:t>
      </w:r>
    </w:p>
    <w:p w:rsidR="00000000" w:rsidDel="00000000" w:rsidP="00000000" w:rsidRDefault="00000000" w:rsidRPr="00000000" w14:paraId="0000007F">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II. Registro de Personas Jurídico Colectivas; </w:t>
      </w:r>
    </w:p>
    <w:p w:rsidR="00000000" w:rsidDel="00000000" w:rsidP="00000000" w:rsidRDefault="00000000" w:rsidRPr="00000000" w14:paraId="0000008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III. Planes de Desarrollo Estatal o Municipal; y </w:t>
      </w:r>
    </w:p>
    <w:p w:rsidR="00000000" w:rsidDel="00000000" w:rsidP="00000000" w:rsidRDefault="00000000" w:rsidRPr="00000000" w14:paraId="0000008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IV. Actos previos. </w:t>
      </w:r>
    </w:p>
    <w:p w:rsidR="00000000" w:rsidDel="00000000" w:rsidP="00000000" w:rsidRDefault="00000000" w:rsidRPr="00000000" w14:paraId="0000008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Resultando de nuestro interés, lo relativo al registro inmobiliario en el que se inscriben los títulos por los cuales se </w:t>
      </w:r>
      <w:r w:rsidDel="00000000" w:rsidR="00000000" w:rsidRPr="00000000">
        <w:rPr>
          <w:rFonts w:ascii="Palatino Linotype" w:cs="Palatino Linotype" w:eastAsia="Palatino Linotype" w:hAnsi="Palatino Linotype"/>
          <w:b w:val="1"/>
          <w:sz w:val="22"/>
          <w:szCs w:val="22"/>
          <w:rtl w:val="0"/>
        </w:rPr>
        <w:t xml:space="preserve">crea</w:t>
      </w:r>
      <w:r w:rsidDel="00000000" w:rsidR="00000000" w:rsidRPr="00000000">
        <w:rPr>
          <w:rFonts w:ascii="Palatino Linotype" w:cs="Palatino Linotype" w:eastAsia="Palatino Linotype" w:hAnsi="Palatino Linotype"/>
          <w:sz w:val="22"/>
          <w:szCs w:val="22"/>
          <w:rtl w:val="0"/>
        </w:rPr>
        <w:t xml:space="preserve">, declara, reconoce, adquiera, transmite, modifica, afecte, limite, grave o extinga </w:t>
      </w:r>
      <w:r w:rsidDel="00000000" w:rsidR="00000000" w:rsidRPr="00000000">
        <w:rPr>
          <w:rFonts w:ascii="Palatino Linotype" w:cs="Palatino Linotype" w:eastAsia="Palatino Linotype" w:hAnsi="Palatino Linotype"/>
          <w:b w:val="1"/>
          <w:sz w:val="22"/>
          <w:szCs w:val="22"/>
          <w:rtl w:val="0"/>
        </w:rPr>
        <w:t xml:space="preserve">la propiedad</w:t>
      </w:r>
      <w:r w:rsidDel="00000000" w:rsidR="00000000" w:rsidRPr="00000000">
        <w:rPr>
          <w:rFonts w:ascii="Palatino Linotype" w:cs="Palatino Linotype" w:eastAsia="Palatino Linotype" w:hAnsi="Palatino Linotype"/>
          <w:sz w:val="22"/>
          <w:szCs w:val="22"/>
          <w:rtl w:val="0"/>
        </w:rPr>
        <w:t xml:space="preserve">, la posesión originaria.  </w:t>
      </w:r>
    </w:p>
    <w:p w:rsidR="00000000" w:rsidDel="00000000" w:rsidP="00000000" w:rsidRDefault="00000000" w:rsidRPr="00000000" w14:paraId="00000083">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pasa desapercibido para este Organismo Garante que de la consulta al apartado de trámites y servicios del Instituto de la Función Registral del Estado de México, se localizó el trámite denominado </w:t>
      </w:r>
      <w:r w:rsidDel="00000000" w:rsidR="00000000" w:rsidRPr="00000000">
        <w:rPr>
          <w:rFonts w:ascii="Palatino Linotype" w:cs="Palatino Linotype" w:eastAsia="Palatino Linotype" w:hAnsi="Palatino Linotype"/>
          <w:b w:val="1"/>
          <w:i w:val="1"/>
          <w:sz w:val="22"/>
          <w:szCs w:val="22"/>
          <w:rtl w:val="0"/>
        </w:rPr>
        <w:t xml:space="preserve">Copias Certificadas y/o Simples de Antecedentes Registrales, </w:t>
      </w:r>
      <w:r w:rsidDel="00000000" w:rsidR="00000000" w:rsidRPr="00000000">
        <w:rPr>
          <w:rFonts w:ascii="Palatino Linotype" w:cs="Palatino Linotype" w:eastAsia="Palatino Linotype" w:hAnsi="Palatino Linotype"/>
          <w:sz w:val="22"/>
          <w:szCs w:val="22"/>
          <w:rtl w:val="0"/>
        </w:rPr>
        <w:t xml:space="preserve">el cual tiene como finalidad, la obtención del documento que haya sido inscrito o anotado en los libros o folio electrónicos correspondientes. Para su desahogo deberán presentarse las siguientes documentales:</w:t>
      </w:r>
    </w:p>
    <w:p w:rsidR="00000000" w:rsidDel="00000000" w:rsidP="00000000" w:rsidRDefault="00000000" w:rsidRPr="00000000" w14:paraId="00000084">
      <w:pPr>
        <w:spacing w:after="240" w:before="240"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230755"/>
            <wp:effectExtent b="0" l="0" r="0" t="0"/>
            <wp:docPr id="5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612130" cy="223075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971675"/>
            <wp:effectExtent b="0" l="0" r="0" t="0"/>
            <wp:docPr id="4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61213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queda de manifiesto que el </w:t>
      </w:r>
      <w:r w:rsidDel="00000000" w:rsidR="00000000" w:rsidRPr="00000000">
        <w:rPr>
          <w:rFonts w:ascii="Palatino Linotype" w:cs="Palatino Linotype" w:eastAsia="Palatino Linotype" w:hAnsi="Palatino Linotype"/>
          <w:b w:val="1"/>
          <w:sz w:val="22"/>
          <w:szCs w:val="22"/>
          <w:rtl w:val="0"/>
        </w:rPr>
        <w:t xml:space="preserve">Instituto de la Función Registral del Estado de México </w:t>
      </w:r>
      <w:r w:rsidDel="00000000" w:rsidR="00000000" w:rsidRPr="00000000">
        <w:rPr>
          <w:rFonts w:ascii="Palatino Linotype" w:cs="Palatino Linotype" w:eastAsia="Palatino Linotype" w:hAnsi="Palatino Linotype"/>
          <w:sz w:val="22"/>
          <w:szCs w:val="22"/>
          <w:rtl w:val="0"/>
        </w:rPr>
        <w:t xml:space="preserve">es la instancia competente para contar con la información solicitada, toda vez que se insiste, esta se encarga de ejercer la función registral, incluso cuenta con trámites que los particulares pueden desahogar para efecto de conocer si algún inmueble cuenta con algún título de propiedad o posesión. </w:t>
      </w:r>
    </w:p>
    <w:p w:rsidR="00000000" w:rsidDel="00000000" w:rsidP="00000000" w:rsidRDefault="00000000" w:rsidRPr="00000000" w14:paraId="00000087">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Continuando con esta línea de estudio, debe destacarse que al observar el Padrón de Sujetos Obligados en materia de Transparencia y Acceso a la Información Pública del Estado de México y Municipios, es posible vislumbrar que el Poder Judicial y el Instituto de la Función Registral del Estado de México son sujetos obligados diversos, se insertan para mejor referencia las siguientes ilustraciones: </w:t>
      </w:r>
    </w:p>
    <w:p w:rsidR="00000000" w:rsidDel="00000000" w:rsidP="00000000" w:rsidRDefault="00000000" w:rsidRPr="00000000" w14:paraId="0000008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579120"/>
            <wp:effectExtent b="0" l="0" r="0" t="0"/>
            <wp:docPr id="5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612130" cy="57912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586105"/>
            <wp:effectExtent b="0" l="0" r="0" t="0"/>
            <wp:docPr id="5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612130" cy="58610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591185"/>
            <wp:effectExtent b="0" l="0" r="0" t="0"/>
            <wp:docPr id="5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612130" cy="59118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no sería posible para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proporcionar la información solicitada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razón de que el Poder Judicial no cuenta con la facultad expresa de ejercer la función registral de los inmuebles pues, se  insiste, esta le corresponde al Instituto de la Función Registral del Estado de México, el cual es un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diverso, es decir, cuenta con su propia unidad de transparencia, por lo tanto, es dable afirmar que tal como lo afirmó desde su declaratoria de incompetencia,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es susceptible de contar con la información requerida.</w:t>
      </w:r>
    </w:p>
    <w:p w:rsidR="00000000" w:rsidDel="00000000" w:rsidP="00000000" w:rsidRDefault="00000000" w:rsidRPr="00000000" w14:paraId="0000008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tiene acreditado que estamos ante una serie de facultades atribuibles al Organismo de Agua y Saneamiento de Toluca, no así al Ayuntamiento de Toluca, por lo tanto, para este Organismo Garante se tiene por acreditada la falta de atribuciones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atender el requerimiento de información. </w:t>
      </w:r>
    </w:p>
    <w:p w:rsidR="00000000" w:rsidDel="00000000" w:rsidP="00000000" w:rsidRDefault="00000000" w:rsidRPr="00000000" w14:paraId="0000008D">
      <w:pPr>
        <w:spacing w:line="360" w:lineRule="auto"/>
        <w:ind w:right="49"/>
        <w:jc w:val="both"/>
        <w:rPr>
          <w:rFonts w:ascii="Palatino Linotype" w:cs="Palatino Linotype" w:eastAsia="Palatino Linotype" w:hAnsi="Palatino Linotype"/>
          <w:sz w:val="22"/>
          <w:szCs w:val="22"/>
        </w:rPr>
      </w:pPr>
      <w:bookmarkStart w:colFirst="0" w:colLast="0" w:name="_heading=h.lnxbz9" w:id="9"/>
      <w:bookmarkEnd w:id="9"/>
      <w:r w:rsidDel="00000000" w:rsidR="00000000" w:rsidRPr="00000000">
        <w:rPr>
          <w:rFonts w:ascii="Palatino Linotype" w:cs="Palatino Linotype" w:eastAsia="Palatino Linotype" w:hAnsi="Palatino Linotype"/>
          <w:sz w:val="22"/>
          <w:szCs w:val="22"/>
          <w:rtl w:val="0"/>
        </w:rPr>
        <w:t xml:space="preserve">Dicho lo anterior, es de recordar que respecto a la Declaración de Incompetencia la Ley de Transparencia y Acceso a la Información Pública del Estado de México, establece, en los artículos 49, fracción II y 167, lo siguiente: </w:t>
      </w:r>
    </w:p>
    <w:p w:rsidR="00000000" w:rsidDel="00000000" w:rsidP="00000000" w:rsidRDefault="00000000" w:rsidRPr="00000000" w14:paraId="0000008E">
      <w:pPr>
        <w:tabs>
          <w:tab w:val="left" w:leader="none" w:pos="1134"/>
        </w:tabs>
        <w:spacing w:line="360" w:lineRule="auto"/>
        <w:ind w:left="567"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F">
      <w:pPr>
        <w:tabs>
          <w:tab w:val="left" w:leader="none" w:pos="1134"/>
          <w:tab w:val="left" w:leader="none" w:pos="1276"/>
        </w:tabs>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090">
      <w:pPr>
        <w:tabs>
          <w:tab w:val="left" w:leader="none" w:pos="1134"/>
        </w:tabs>
        <w:spacing w:line="276"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1">
      <w:pPr>
        <w:tabs>
          <w:tab w:val="left" w:leader="none" w:pos="1134"/>
        </w:tabs>
        <w:spacing w:line="276" w:lineRule="auto"/>
        <w:ind w:left="567"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Calibri" w:cs="Calibri" w:eastAsia="Calibri" w:hAnsi="Calibri"/>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Confirmar, modificar o revocar</w:t>
      </w:r>
      <w:r w:rsidDel="00000000" w:rsidR="00000000" w:rsidRPr="00000000">
        <w:rPr>
          <w:rFonts w:ascii="Palatino Linotype" w:cs="Palatino Linotype" w:eastAsia="Palatino Linotype" w:hAnsi="Palatino Linotype"/>
          <w:i w:val="1"/>
          <w:sz w:val="22"/>
          <w:szCs w:val="22"/>
          <w:rtl w:val="0"/>
        </w:rPr>
        <w:t xml:space="preserve"> las determinaciones que en materia de ampliación del plazo de respuesta, clasificación de la información </w:t>
      </w:r>
      <w:r w:rsidDel="00000000" w:rsidR="00000000" w:rsidRPr="00000000">
        <w:rPr>
          <w:rFonts w:ascii="Palatino Linotype" w:cs="Palatino Linotype" w:eastAsia="Palatino Linotype" w:hAnsi="Palatino Linotype"/>
          <w:b w:val="1"/>
          <w:i w:val="1"/>
          <w:sz w:val="22"/>
          <w:szCs w:val="22"/>
          <w:rtl w:val="0"/>
        </w:rPr>
        <w:t xml:space="preserve">y declaración</w:t>
      </w:r>
      <w:r w:rsidDel="00000000" w:rsidR="00000000" w:rsidRPr="00000000">
        <w:rPr>
          <w:rFonts w:ascii="Palatino Linotype" w:cs="Palatino Linotype" w:eastAsia="Palatino Linotype" w:hAnsi="Palatino Linotype"/>
          <w:i w:val="1"/>
          <w:sz w:val="22"/>
          <w:szCs w:val="22"/>
          <w:rtl w:val="0"/>
        </w:rPr>
        <w:t xml:space="preserve"> de inexistencia o </w:t>
      </w:r>
      <w:r w:rsidDel="00000000" w:rsidR="00000000" w:rsidRPr="00000000">
        <w:rPr>
          <w:rFonts w:ascii="Palatino Linotype" w:cs="Palatino Linotype" w:eastAsia="Palatino Linotype" w:hAnsi="Palatino Linotype"/>
          <w:b w:val="1"/>
          <w:i w:val="1"/>
          <w:sz w:val="22"/>
          <w:szCs w:val="22"/>
          <w:rtl w:val="0"/>
        </w:rPr>
        <w:t xml:space="preserve">de incompetencia realicen los titulares de las áreas de los sujetos obligados;</w:t>
      </w:r>
      <w:r w:rsidDel="00000000" w:rsidR="00000000" w:rsidRPr="00000000">
        <w:rPr>
          <w:rtl w:val="0"/>
        </w:rPr>
      </w:r>
    </w:p>
    <w:p w:rsidR="00000000" w:rsidDel="00000000" w:rsidP="00000000" w:rsidRDefault="00000000" w:rsidRPr="00000000" w14:paraId="00000092">
      <w:pPr>
        <w:tabs>
          <w:tab w:val="left" w:leader="none" w:pos="1134"/>
        </w:tabs>
        <w:spacing w:line="276"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93">
      <w:pPr>
        <w:tabs>
          <w:tab w:val="left" w:leader="none" w:pos="1134"/>
        </w:tabs>
        <w:spacing w:line="276"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las unidades de transparencia determinen la notoria incompetencia</w:t>
      </w:r>
      <w:r w:rsidDel="00000000" w:rsidR="00000000" w:rsidRPr="00000000">
        <w:rPr>
          <w:rFonts w:ascii="Palatino Linotype" w:cs="Palatino Linotype" w:eastAsia="Palatino Linotype" w:hAnsi="Palatino Linotype"/>
          <w:i w:val="1"/>
          <w:sz w:val="22"/>
          <w:szCs w:val="22"/>
          <w:rtl w:val="0"/>
        </w:rPr>
        <w:t xml:space="preserve"> por parte de los sujetos obligados, dentro del ámbito de aplicación, para atender la solicitud de acceso a la información, </w:t>
      </w:r>
      <w:r w:rsidDel="00000000" w:rsidR="00000000" w:rsidRPr="00000000">
        <w:rPr>
          <w:rFonts w:ascii="Palatino Linotype" w:cs="Palatino Linotype" w:eastAsia="Palatino Linotype" w:hAnsi="Palatino Linotype"/>
          <w:b w:val="1"/>
          <w:i w:val="1"/>
          <w:sz w:val="22"/>
          <w:szCs w:val="22"/>
          <w:rtl w:val="0"/>
        </w:rPr>
        <w:t xml:space="preserve">deberán comunicarlo al solicitante, dentro de los tres días hábiles posteriores a la recepción de la solicitud</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en su caso orientar al solicitante, el o los sujetos obligados competentes.” (Énfasis añadido)</w:t>
      </w:r>
    </w:p>
    <w:p w:rsidR="00000000" w:rsidDel="00000000" w:rsidP="00000000" w:rsidRDefault="00000000" w:rsidRPr="00000000" w14:paraId="00000094">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tabs>
          <w:tab w:val="left" w:leader="none" w:pos="142"/>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los preceptos citados se desprende que es atribución del Comité de Transparencia confirmar, modificar o revocar, en su caso, la declaración de incompetencia,</w:t>
      </w:r>
      <w:r w:rsidDel="00000000" w:rsidR="00000000" w:rsidRPr="00000000">
        <w:rPr>
          <w:rFonts w:ascii="Palatino Linotype" w:cs="Palatino Linotype" w:eastAsia="Palatino Linotype" w:hAnsi="Palatino Linotype"/>
          <w:b w:val="1"/>
          <w:sz w:val="22"/>
          <w:szCs w:val="22"/>
          <w:rtl w:val="0"/>
        </w:rPr>
        <w:t xml:space="preserve"> en aquellos casos en los que no se trate de una notoria incompetencia. </w:t>
      </w:r>
    </w:p>
    <w:p w:rsidR="00000000" w:rsidDel="00000000" w:rsidP="00000000" w:rsidRDefault="00000000" w:rsidRPr="00000000" w14:paraId="00000096">
      <w:pPr>
        <w:tabs>
          <w:tab w:val="left" w:leader="none" w:pos="142"/>
          <w:tab w:val="left" w:leader="none" w:pos="284"/>
        </w:tabs>
        <w:spacing w:line="36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97">
      <w:pPr>
        <w:tabs>
          <w:tab w:val="left" w:leader="none" w:pos="142"/>
          <w:tab w:val="left" w:leader="none" w:pos="284"/>
        </w:tabs>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2"/>
          <w:szCs w:val="22"/>
          <w:rtl w:val="0"/>
        </w:rPr>
        <w:t xml:space="preserve">Puesto que la Ley también prevé que dicho acuerdo no es necesario cuando la Unidad de Transparencia determine que la incompetencia es notoria dando un plazo de tres días hábiles para hacerlo del conocimiento del particular. 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Del="00000000" w:rsidR="00000000" w:rsidRPr="00000000">
        <w:rPr>
          <w:rFonts w:ascii="Palatino Linotype" w:cs="Palatino Linotype" w:eastAsia="Palatino Linotype" w:hAnsi="Palatino Linotype"/>
          <w:sz w:val="22"/>
          <w:szCs w:val="22"/>
          <w:u w:val="single"/>
          <w:rtl w:val="0"/>
        </w:rPr>
        <w:t xml:space="preserve">para su aprobación. </w:t>
      </w:r>
      <w:r w:rsidDel="00000000" w:rsidR="00000000" w:rsidRPr="00000000">
        <w:rPr>
          <w:rtl w:val="0"/>
        </w:rPr>
      </w:r>
    </w:p>
    <w:p w:rsidR="00000000" w:rsidDel="00000000" w:rsidP="00000000" w:rsidRDefault="00000000" w:rsidRPr="00000000" w14:paraId="00000098">
      <w:pPr>
        <w:spacing w:line="360" w:lineRule="auto"/>
        <w:ind w:right="18"/>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99">
      <w:pPr>
        <w:spacing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Como sustento de lo anterior, resulta aplicable el Criterio Orientador 20/20, emitido por el entonces Instituto Nacional de Transparencia, Acceso a la Información, y Protección de Datos </w:t>
      </w:r>
      <w:r w:rsidDel="00000000" w:rsidR="00000000" w:rsidRPr="00000000">
        <w:rPr>
          <w:rFonts w:ascii="Palatino Linotype" w:cs="Palatino Linotype" w:eastAsia="Palatino Linotype" w:hAnsi="Palatino Linotype"/>
          <w:rtl w:val="0"/>
        </w:rPr>
        <w:t xml:space="preserve">Personales, INAI, que lleva por rubro y texto los siguientes: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“Declaración de incompetencia por parte del Comité, cuando no sea notoria o manifiesta.</w:t>
      </w:r>
      <w:r w:rsidDel="00000000" w:rsidR="00000000" w:rsidRPr="00000000">
        <w:rPr>
          <w:rFonts w:ascii="Palatino Linotype" w:cs="Palatino Linotype" w:eastAsia="Palatino Linotype" w:hAnsi="Palatino Linotype"/>
          <w:i w:val="1"/>
          <w:sz w:val="22"/>
          <w:szCs w:val="22"/>
          <w:rtl w:val="0"/>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D">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duda razonable sobre la administración del documento materia de la solicitud de información</w:t>
      </w:r>
      <w:r w:rsidDel="00000000" w:rsidR="00000000" w:rsidRPr="00000000">
        <w:rPr>
          <w:rFonts w:ascii="Palatino Linotype" w:cs="Palatino Linotype" w:eastAsia="Palatino Linotype" w:hAnsi="Palatino Linotype"/>
          <w:sz w:val="22"/>
          <w:szCs w:val="22"/>
          <w:rtl w:val="0"/>
        </w:rPr>
        <w:t xml:space="preserve">, como se lee enseguida:</w:t>
      </w:r>
    </w:p>
    <w:p w:rsidR="00000000" w:rsidDel="00000000" w:rsidP="00000000" w:rsidRDefault="00000000" w:rsidRPr="00000000" w14:paraId="0000009E">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F">
      <w:pPr>
        <w:tabs>
          <w:tab w:val="left" w:leader="none" w:pos="1418"/>
        </w:tabs>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“DECLARATORIA DE INCOMPETENCIA DEL SUJETO OBLIGADO. SUPUESTO PARA CONFIRMARLA POR ACUERDO DEL COMITÉ DE TRANSPARENCIA. </w:t>
      </w:r>
      <w:r w:rsidDel="00000000" w:rsidR="00000000" w:rsidRPr="00000000">
        <w:rPr>
          <w:rFonts w:ascii="Palatino Linotype" w:cs="Palatino Linotype" w:eastAsia="Palatino Linotype" w:hAnsi="Palatino Linotype"/>
          <w:i w:val="1"/>
          <w:sz w:val="22"/>
          <w:szCs w:val="22"/>
          <w:rtl w:val="0"/>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Del="00000000" w:rsidR="00000000" w:rsidRPr="00000000">
        <w:rPr>
          <w:rFonts w:ascii="Palatino Linotype" w:cs="Palatino Linotype" w:eastAsia="Palatino Linotype" w:hAnsi="Palatino Linotype"/>
          <w:b w:val="1"/>
          <w:i w:val="1"/>
          <w:sz w:val="22"/>
          <w:szCs w:val="22"/>
          <w:rtl w:val="0"/>
        </w:rPr>
        <w:t xml:space="preserve">al ejercer el derecho de acceso a la información pública cabe la posibilidad de que existan atribuciones concurrentes entre dos o más Sujetos Obligados que </w:t>
      </w:r>
      <w:r w:rsidDel="00000000" w:rsidR="00000000" w:rsidRPr="00000000">
        <w:rPr>
          <w:rFonts w:ascii="Palatino Linotype" w:cs="Palatino Linotype" w:eastAsia="Palatino Linotype" w:hAnsi="Palatino Linotype"/>
          <w:b w:val="1"/>
          <w:i w:val="1"/>
          <w:sz w:val="22"/>
          <w:szCs w:val="22"/>
          <w:u w:val="single"/>
          <w:rtl w:val="0"/>
        </w:rPr>
        <w:t xml:space="preserve">impiden determinar dentro del término legal de tres días hábiles</w:t>
      </w:r>
      <w:r w:rsidDel="00000000" w:rsidR="00000000" w:rsidRPr="00000000">
        <w:rPr>
          <w:rFonts w:ascii="Palatino Linotype" w:cs="Palatino Linotype" w:eastAsia="Palatino Linotype" w:hAnsi="Palatino Linotype"/>
          <w:b w:val="1"/>
          <w:i w:val="1"/>
          <w:sz w:val="22"/>
          <w:szCs w:val="22"/>
          <w:rtl w:val="0"/>
        </w:rPr>
        <w:t xml:space="preserve">, si se posee o no la información por el Sujeto Obligado requerid</w:t>
      </w:r>
      <w:r w:rsidDel="00000000" w:rsidR="00000000" w:rsidRPr="00000000">
        <w:rPr>
          <w:rFonts w:ascii="Palatino Linotype" w:cs="Palatino Linotype" w:eastAsia="Palatino Linotype" w:hAnsi="Palatino Linotype"/>
          <w:i w:val="1"/>
          <w:sz w:val="22"/>
          <w:szCs w:val="22"/>
          <w:rtl w:val="0"/>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000000" w:rsidDel="00000000" w:rsidP="00000000" w:rsidRDefault="00000000" w:rsidRPr="00000000" w14:paraId="000000A0">
      <w:pPr>
        <w:tabs>
          <w:tab w:val="left" w:leader="none" w:pos="1418"/>
        </w:tabs>
        <w:spacing w:line="360"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1">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particular, de los registros que obran en el Sistema de Acceso a la Información Mexiquense, se tiene que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realizó su solicitud de información el </w:t>
      </w:r>
      <w:r w:rsidDel="00000000" w:rsidR="00000000" w:rsidRPr="00000000">
        <w:rPr>
          <w:rFonts w:ascii="Palatino Linotype" w:cs="Palatino Linotype" w:eastAsia="Palatino Linotype" w:hAnsi="Palatino Linotype"/>
          <w:b w:val="1"/>
          <w:sz w:val="22"/>
          <w:szCs w:val="22"/>
          <w:rtl w:val="0"/>
        </w:rPr>
        <w:t xml:space="preserve">veinticinco de febrero de dos mil veinticinco</w:t>
      </w:r>
      <w:r w:rsidDel="00000000" w:rsidR="00000000" w:rsidRPr="00000000">
        <w:rPr>
          <w:rFonts w:ascii="Palatino Linotype" w:cs="Palatino Linotype" w:eastAsia="Palatino Linotype" w:hAnsi="Palatino Linotype"/>
          <w:sz w:val="22"/>
          <w:szCs w:val="22"/>
          <w:rtl w:val="0"/>
        </w:rPr>
        <w:t xml:space="preserve">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declinó la competencia el </w:t>
      </w:r>
      <w:r w:rsidDel="00000000" w:rsidR="00000000" w:rsidRPr="00000000">
        <w:rPr>
          <w:rFonts w:ascii="Palatino Linotype" w:cs="Palatino Linotype" w:eastAsia="Palatino Linotype" w:hAnsi="Palatino Linotype"/>
          <w:b w:val="1"/>
          <w:sz w:val="22"/>
          <w:szCs w:val="22"/>
          <w:rtl w:val="0"/>
        </w:rPr>
        <w:t xml:space="preserve">veintiocho de febrero de dos mil veinticinco</w:t>
      </w:r>
      <w:r w:rsidDel="00000000" w:rsidR="00000000" w:rsidRPr="00000000">
        <w:rPr>
          <w:rFonts w:ascii="Palatino Linotype" w:cs="Palatino Linotype" w:eastAsia="Palatino Linotype" w:hAnsi="Palatino Linotype"/>
          <w:sz w:val="22"/>
          <w:szCs w:val="22"/>
          <w:rtl w:val="0"/>
        </w:rPr>
        <w:t xml:space="preserve">, es decir; al </w:t>
      </w:r>
      <w:r w:rsidDel="00000000" w:rsidR="00000000" w:rsidRPr="00000000">
        <w:rPr>
          <w:rFonts w:ascii="Palatino Linotype" w:cs="Palatino Linotype" w:eastAsia="Palatino Linotype" w:hAnsi="Palatino Linotype"/>
          <w:b w:val="1"/>
          <w:sz w:val="22"/>
          <w:szCs w:val="22"/>
          <w:rtl w:val="0"/>
        </w:rPr>
        <w:t xml:space="preserve">tercer día hábil</w:t>
      </w:r>
      <w:r w:rsidDel="00000000" w:rsidR="00000000" w:rsidRPr="00000000">
        <w:rPr>
          <w:rFonts w:ascii="Palatino Linotype" w:cs="Palatino Linotype" w:eastAsia="Palatino Linotype" w:hAnsi="Palatino Linotype"/>
          <w:sz w:val="22"/>
          <w:szCs w:val="22"/>
          <w:rtl w:val="0"/>
        </w:rPr>
        <w:t xml:space="preserve"> en que se tuvo por registrada la solicitud de información. </w:t>
      </w:r>
    </w:p>
    <w:p w:rsidR="00000000" w:rsidDel="00000000" w:rsidP="00000000" w:rsidRDefault="00000000" w:rsidRPr="00000000" w14:paraId="000000A2">
      <w:pPr>
        <w:tabs>
          <w:tab w:val="left" w:leader="none" w:pos="993"/>
        </w:tabs>
        <w:spacing w:line="360" w:lineRule="auto"/>
        <w:ind w:right="-28"/>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ind w:right="-28"/>
        <w:jc w:val="both"/>
        <w:rPr>
          <w:sz w:val="22"/>
          <w:szCs w:val="22"/>
        </w:rPr>
      </w:pPr>
      <w:r w:rsidDel="00000000" w:rsidR="00000000" w:rsidRPr="00000000">
        <w:rPr>
          <w:rFonts w:ascii="Palatino Linotype" w:cs="Palatino Linotype" w:eastAsia="Palatino Linotype" w:hAnsi="Palatino Linotype"/>
          <w:sz w:val="22"/>
          <w:szCs w:val="22"/>
          <w:rtl w:val="0"/>
        </w:rPr>
        <w:t xml:space="preserve">No obsta mencionar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orientó en su respuesta al particular, refiriendo que una vez analizada la información solicitada, se determinó que esta podía estar en posesión del Instituto de la Función Registral del Estado de México.</w:t>
      </w:r>
      <w:r w:rsidDel="00000000" w:rsidR="00000000" w:rsidRPr="00000000">
        <w:rPr>
          <w:rtl w:val="0"/>
        </w:rPr>
      </w:r>
    </w:p>
    <w:p w:rsidR="00000000" w:rsidDel="00000000" w:rsidP="00000000" w:rsidRDefault="00000000" w:rsidRPr="00000000" w14:paraId="000000A4">
      <w:pPr>
        <w:spacing w:line="360" w:lineRule="auto"/>
        <w:rPr>
          <w:sz w:val="22"/>
          <w:szCs w:val="22"/>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360" w:lineRule="auto"/>
        <w:ind w:right="-28"/>
        <w:jc w:val="both"/>
        <w:rPr>
          <w:sz w:val="22"/>
          <w:szCs w:val="22"/>
        </w:rPr>
      </w:pPr>
      <w:r w:rsidDel="00000000" w:rsidR="00000000" w:rsidRPr="00000000">
        <w:rPr>
          <w:rFonts w:ascii="Palatino Linotype" w:cs="Palatino Linotype" w:eastAsia="Palatino Linotype" w:hAnsi="Palatino Linotype"/>
          <w:sz w:val="22"/>
          <w:szCs w:val="22"/>
          <w:rtl w:val="0"/>
        </w:rPr>
        <w:t xml:space="preserve">En mérito de lo anterior, es de vital importancia señalar que la facultad de orientación al particular para que formule su solicitud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competente es potestativa.</w:t>
      </w:r>
      <w:r w:rsidDel="00000000" w:rsidR="00000000" w:rsidRPr="00000000">
        <w:rPr>
          <w:rtl w:val="0"/>
        </w:rPr>
      </w:r>
    </w:p>
    <w:p w:rsidR="00000000" w:rsidDel="00000000" w:rsidP="00000000" w:rsidRDefault="00000000" w:rsidRPr="00000000" w14:paraId="000000A6">
      <w:pPr>
        <w:tabs>
          <w:tab w:val="left" w:leader="none" w:pos="993"/>
        </w:tabs>
        <w:spacing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tabs>
          <w:tab w:val="left" w:leader="none" w:pos="993"/>
        </w:tabs>
        <w:spacing w:line="360" w:lineRule="auto"/>
        <w:ind w:right="-2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lo expuesto con antelación que se colige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sólo declinó su competencia dentro del plazo establecido por la Ley para tal efecto, sino que, además, orientó al Solicitante para que este presentara su solicitud de información ante los </w:t>
      </w:r>
      <w:r w:rsidDel="00000000" w:rsidR="00000000" w:rsidRPr="00000000">
        <w:rPr>
          <w:rFonts w:ascii="Palatino Linotype" w:cs="Palatino Linotype" w:eastAsia="Palatino Linotype" w:hAnsi="Palatino Linotype"/>
          <w:b w:val="1"/>
          <w:sz w:val="22"/>
          <w:szCs w:val="22"/>
          <w:rtl w:val="0"/>
        </w:rPr>
        <w:t xml:space="preserve">Sujetos Obligados</w:t>
      </w:r>
      <w:r w:rsidDel="00000000" w:rsidR="00000000" w:rsidRPr="00000000">
        <w:rPr>
          <w:rFonts w:ascii="Palatino Linotype" w:cs="Palatino Linotype" w:eastAsia="Palatino Linotype" w:hAnsi="Palatino Linotype"/>
          <w:sz w:val="22"/>
          <w:szCs w:val="22"/>
          <w:rtl w:val="0"/>
        </w:rPr>
        <w:t xml:space="preserve"> correspondientes. En ese sentido, ordenar al Comité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sesione para que emita un acuerdo en el que confirme la declaratoria de incompetencia para garantizar el derecho de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dilata los plazos del procedimiento, genera una carga adicional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ello no modifica el hecho de que la parte Recurrente no obtendrá la información que es de su interés por esta vía, en virtud de que </w:t>
      </w:r>
      <w:r w:rsidDel="00000000" w:rsidR="00000000" w:rsidRPr="00000000">
        <w:rPr>
          <w:rFonts w:ascii="Palatino Linotype" w:cs="Palatino Linotype" w:eastAsia="Palatino Linotype" w:hAnsi="Palatino Linotype"/>
          <w:b w:val="1"/>
          <w:sz w:val="22"/>
          <w:szCs w:val="22"/>
          <w:u w:val="single"/>
          <w:rtl w:val="0"/>
        </w:rPr>
        <w:t xml:space="preserve">el Sujeto Obligado no cuenta con competencia para atender los requerimientos señalados por el particular, por ende no se</w:t>
      </w:r>
      <w:r w:rsidDel="00000000" w:rsidR="00000000" w:rsidRPr="00000000">
        <w:rPr>
          <w:rFonts w:ascii="Calibri" w:cs="Calibri" w:eastAsia="Calibri" w:hAnsi="Calibri"/>
          <w:b w:val="1"/>
          <w:sz w:val="22"/>
          <w:szCs w:val="22"/>
          <w:u w:val="single"/>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encuentra constreñido a entregar la información requerida ante la falta de atribuciones para generar, poseer o administrar lo solicitado. </w:t>
      </w:r>
      <w:r w:rsidDel="00000000" w:rsidR="00000000" w:rsidRPr="00000000">
        <w:rPr>
          <w:rtl w:val="0"/>
        </w:rPr>
      </w:r>
    </w:p>
    <w:p w:rsidR="00000000" w:rsidDel="00000000" w:rsidP="00000000" w:rsidRDefault="00000000" w:rsidRPr="00000000" w14:paraId="000000A8">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instruir al Comité de Transparencia para que sesione y emita una resolución en la que se confirme una notoria incompetencia que ya fue declarada y analizada por este Organismo Garante, se aparta de los principios de sencillez y rapidez establecidos por la Ley de Transparencia y Acceso a la Información Pública del Estado de México y Municipios, en sus artículos 2, fracciones II y III, 21 y 150. </w:t>
      </w:r>
    </w:p>
    <w:p w:rsidR="00000000" w:rsidDel="00000000" w:rsidP="00000000" w:rsidRDefault="00000000" w:rsidRPr="00000000" w14:paraId="000000AA">
      <w:pPr>
        <w:tabs>
          <w:tab w:val="left" w:leader="none" w:pos="993"/>
        </w:tabs>
        <w:spacing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entendido, se determina que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declaró su incompetencia y de este estudio se concluyó que la incompetencia resulta notoria los agravios hechos valer por este devienen </w:t>
      </w:r>
      <w:r w:rsidDel="00000000" w:rsidR="00000000" w:rsidRPr="00000000">
        <w:rPr>
          <w:rFonts w:ascii="Palatino Linotype" w:cs="Palatino Linotype" w:eastAsia="Palatino Linotype" w:hAnsi="Palatino Linotype"/>
          <w:b w:val="1"/>
          <w:sz w:val="22"/>
          <w:szCs w:val="22"/>
          <w:rtl w:val="0"/>
        </w:rPr>
        <w:t xml:space="preserve">INFUNDADOS </w:t>
      </w:r>
      <w:r w:rsidDel="00000000" w:rsidR="00000000" w:rsidRPr="00000000">
        <w:rPr>
          <w:rFonts w:ascii="Palatino Linotype" w:cs="Palatino Linotype" w:eastAsia="Palatino Linotype" w:hAnsi="Palatino Linotype"/>
          <w:sz w:val="22"/>
          <w:szCs w:val="22"/>
          <w:rtl w:val="0"/>
        </w:rPr>
        <w:t xml:space="preserve">y, por lo tanto, resulta procedente </w:t>
      </w:r>
      <w:r w:rsidDel="00000000" w:rsidR="00000000" w:rsidRPr="00000000">
        <w:rPr>
          <w:rFonts w:ascii="Palatino Linotype" w:cs="Palatino Linotype" w:eastAsia="Palatino Linotype" w:hAnsi="Palatino Linotype"/>
          <w:b w:val="1"/>
          <w:sz w:val="22"/>
          <w:szCs w:val="22"/>
          <w:rtl w:val="0"/>
        </w:rPr>
        <w:t xml:space="preserve">CONFIRMAR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la fracción II del artículo 186 de la Ley de Transparencia y Acceso a la Información Pública del Estado de México y Municipios. </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after="240" w:before="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AE">
      <w:pPr>
        <w:spacing w:line="259" w:lineRule="auto"/>
        <w:ind w:left="-142" w:right="49"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0AF">
      <w:pPr>
        <w:spacing w:line="259" w:lineRule="auto"/>
        <w:ind w:left="-142" w:right="49"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B0">
      <w:pPr>
        <w:spacing w:line="360" w:lineRule="auto"/>
        <w:jc w:val="both"/>
        <w:rPr>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 </w:t>
      </w:r>
      <w:r w:rsidDel="00000000" w:rsidR="00000000" w:rsidRPr="00000000">
        <w:rPr>
          <w:rFonts w:ascii="Palatino Linotype" w:cs="Palatino Linotype" w:eastAsia="Palatino Linotype" w:hAnsi="Palatino Linotype"/>
          <w:b w:val="1"/>
          <w:sz w:val="22"/>
          <w:szCs w:val="22"/>
          <w:rtl w:val="0"/>
        </w:rPr>
        <w:t xml:space="preserve">infundados</w:t>
      </w:r>
      <w:r w:rsidDel="00000000" w:rsidR="00000000" w:rsidRPr="00000000">
        <w:rPr>
          <w:rFonts w:ascii="Palatino Linotype" w:cs="Palatino Linotype" w:eastAsia="Palatino Linotype" w:hAnsi="Palatino Linotype"/>
          <w:sz w:val="22"/>
          <w:szCs w:val="22"/>
          <w:rtl w:val="0"/>
        </w:rPr>
        <w:t xml:space="preserve"> los motivos de inconformidad aducidos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02814/INFOEM/IP/RR/2025</w:t>
      </w:r>
      <w:r w:rsidDel="00000000" w:rsidR="00000000" w:rsidRPr="00000000">
        <w:rPr>
          <w:rFonts w:ascii="Palatino Linotype" w:cs="Palatino Linotype" w:eastAsia="Palatino Linotype" w:hAnsi="Palatino Linotype"/>
          <w:sz w:val="22"/>
          <w:szCs w:val="22"/>
          <w:rtl w:val="0"/>
        </w:rPr>
        <w:t xml:space="preserve">; por lo que, en términos de los argumentos señalados en el </w:t>
      </w:r>
      <w:r w:rsidDel="00000000" w:rsidR="00000000" w:rsidRPr="00000000">
        <w:rPr>
          <w:rFonts w:ascii="Palatino Linotype" w:cs="Palatino Linotype" w:eastAsia="Palatino Linotype" w:hAnsi="Palatino Linotype"/>
          <w:b w:val="1"/>
          <w:sz w:val="22"/>
          <w:szCs w:val="22"/>
          <w:rtl w:val="0"/>
        </w:rPr>
        <w:t xml:space="preserve">Considerando Cuarto</w:t>
      </w:r>
      <w:r w:rsidDel="00000000" w:rsidR="00000000" w:rsidRPr="00000000">
        <w:rPr>
          <w:rFonts w:ascii="Palatino Linotype" w:cs="Palatino Linotype" w:eastAsia="Palatino Linotype" w:hAnsi="Palatino Linotype"/>
          <w:sz w:val="22"/>
          <w:szCs w:val="22"/>
          <w:rtl w:val="0"/>
        </w:rPr>
        <w:t xml:space="preserve">, se </w:t>
      </w:r>
      <w:r w:rsidDel="00000000" w:rsidR="00000000" w:rsidRPr="00000000">
        <w:rPr>
          <w:rFonts w:ascii="Palatino Linotype" w:cs="Palatino Linotype" w:eastAsia="Palatino Linotype" w:hAnsi="Palatino Linotype"/>
          <w:b w:val="1"/>
          <w:sz w:val="22"/>
          <w:szCs w:val="22"/>
          <w:rtl w:val="0"/>
        </w:rPr>
        <w:t xml:space="preserve">CONFIRMA</w:t>
      </w:r>
      <w:r w:rsidDel="00000000" w:rsidR="00000000" w:rsidRPr="00000000">
        <w:rPr>
          <w:rFonts w:ascii="Palatino Linotype" w:cs="Palatino Linotype" w:eastAsia="Palatino Linotype" w:hAnsi="Palatino Linotype"/>
          <w:sz w:val="22"/>
          <w:szCs w:val="22"/>
          <w:rtl w:val="0"/>
        </w:rPr>
        <w:t xml:space="preserve"> 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tl w:val="0"/>
        </w:rPr>
      </w:r>
    </w:p>
    <w:p w:rsidR="00000000" w:rsidDel="00000000" w:rsidP="00000000" w:rsidRDefault="00000000" w:rsidRPr="00000000" w14:paraId="000000B1">
      <w:pPr>
        <w:spacing w:line="360" w:lineRule="auto"/>
        <w:rPr>
          <w:sz w:val="22"/>
          <w:szCs w:val="22"/>
        </w:rPr>
      </w:pPr>
      <w:r w:rsidDel="00000000" w:rsidR="00000000" w:rsidRPr="00000000">
        <w:rPr>
          <w:rtl w:val="0"/>
        </w:rPr>
      </w:r>
    </w:p>
    <w:p w:rsidR="00000000" w:rsidDel="00000000" w:rsidP="00000000" w:rsidRDefault="00000000" w:rsidRPr="00000000" w14:paraId="000000B2">
      <w:pPr>
        <w:spacing w:line="360" w:lineRule="auto"/>
        <w:jc w:val="both"/>
        <w:rPr>
          <w:sz w:val="22"/>
          <w:szCs w:val="22"/>
        </w:rPr>
      </w:pPr>
      <w:r w:rsidDel="00000000" w:rsidR="00000000" w:rsidRPr="00000000">
        <w:rPr>
          <w:rFonts w:ascii="Palatino Linotype" w:cs="Palatino Linotype" w:eastAsia="Palatino Linotype" w:hAnsi="Palatino Linotype"/>
          <w:b w:val="1"/>
          <w:sz w:val="22"/>
          <w:szCs w:val="22"/>
          <w:rtl w:val="0"/>
        </w:rPr>
        <w:t xml:space="preserve">Segundo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w:t>
      </w:r>
      <w:r w:rsidDel="00000000" w:rsidR="00000000" w:rsidRPr="00000000">
        <w:rPr>
          <w:rFonts w:ascii="Palatino Linotype" w:cs="Palatino Linotype" w:eastAsia="Palatino Linotype" w:hAnsi="Palatino Linotype"/>
          <w:sz w:val="22"/>
          <w:szCs w:val="22"/>
          <w:rtl w:val="0"/>
        </w:rPr>
        <w:t xml:space="preserve">, 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presente resolución para su conocimiento.</w:t>
      </w:r>
      <w:r w:rsidDel="00000000" w:rsidR="00000000" w:rsidRPr="00000000">
        <w:rPr>
          <w:rtl w:val="0"/>
        </w:rPr>
      </w:r>
    </w:p>
    <w:p w:rsidR="00000000" w:rsidDel="00000000" w:rsidP="00000000" w:rsidRDefault="00000000" w:rsidRPr="00000000" w14:paraId="000000B3">
      <w:pPr>
        <w:spacing w:line="360" w:lineRule="auto"/>
        <w:rPr>
          <w:sz w:val="22"/>
          <w:szCs w:val="22"/>
        </w:rPr>
      </w:pPr>
      <w:r w:rsidDel="00000000" w:rsidR="00000000" w:rsidRPr="00000000">
        <w:rPr>
          <w:rtl w:val="0"/>
        </w:rPr>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a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la presente resolución 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CATORCE DE MAYO DE DOS MIL VEINTICINCO, ANTE EL SECRETARIO TÉCNICO DEL PLENO ALEXIS TAPIA RAMÍREZ. </w:t>
      </w:r>
    </w:p>
    <w:p w:rsidR="00000000" w:rsidDel="00000000" w:rsidP="00000000" w:rsidRDefault="00000000" w:rsidRPr="00000000" w14:paraId="000000B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line="360" w:lineRule="auto"/>
        <w:jc w:val="both"/>
        <w:rPr>
          <w:rFonts w:ascii="Palatino Linotype" w:cs="Palatino Linotype" w:eastAsia="Palatino Linotype" w:hAnsi="Palatino Linotype"/>
        </w:rPr>
      </w:pPr>
      <w:bookmarkStart w:colFirst="0" w:colLast="0" w:name="_heading=h.3rdcrjn" w:id="10"/>
      <w:bookmarkEnd w:id="10"/>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bookmarkStart w:colFirst="0" w:colLast="0" w:name="_heading=h.1t3h5sf" w:id="11"/>
      <w:bookmarkEnd w:id="11"/>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-1080109</wp:posOffset>
          </wp:positionH>
          <wp:positionV relativeFrom="paragraph">
            <wp:posOffset>-488284</wp:posOffset>
          </wp:positionV>
          <wp:extent cx="7809865" cy="10165715"/>
          <wp:effectExtent b="0" l="0" r="0" t="0"/>
          <wp:wrapNone/>
          <wp:docPr id="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7087.0" w:type="dxa"/>
      <w:jc w:val="left"/>
      <w:tblInd w:w="3261.0" w:type="dxa"/>
      <w:tblLayout w:type="fixed"/>
      <w:tblLook w:val="0400"/>
    </w:tblPr>
    <w:tblGrid>
      <w:gridCol w:w="2489"/>
      <w:gridCol w:w="4598"/>
      <w:tblGridChange w:id="0">
        <w:tblGrid>
          <w:gridCol w:w="2489"/>
          <w:gridCol w:w="4598"/>
        </w:tblGrid>
      </w:tblGridChange>
    </w:tblGrid>
    <w:tr>
      <w:trPr>
        <w:cantSplit w:val="0"/>
        <w:tblHeader w:val="0"/>
      </w:trPr>
      <w:tc>
        <w:tcPr>
          <w:shd w:fill="auto" w:val="clear"/>
        </w:tcPr>
        <w:p w:rsidR="00000000" w:rsidDel="00000000" w:rsidP="00000000" w:rsidRDefault="00000000" w:rsidRPr="00000000" w14:paraId="000000D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D2">
          <w:pPr>
            <w:ind w:left="-53" w:right="17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02814/INFOEM/IP/RR/2025</w:t>
          </w:r>
        </w:p>
      </w:tc>
    </w:tr>
    <w:tr>
      <w:trPr>
        <w:cantSplit w:val="0"/>
        <w:trHeight w:val="228" w:hRule="atLeast"/>
        <w:tblHeader w:val="0"/>
      </w:trPr>
      <w:tc>
        <w:tcPr>
          <w:shd w:fill="auto" w:val="clear"/>
          <w:vAlign w:val="center"/>
        </w:tcPr>
        <w:p w:rsidR="00000000" w:rsidDel="00000000" w:rsidP="00000000" w:rsidRDefault="00000000" w:rsidRPr="00000000" w14:paraId="000000D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D4">
          <w:pPr>
            <w:ind w:left="-45" w:right="158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Poder Judicial</w:t>
          </w:r>
        </w:p>
      </w:tc>
    </w:tr>
    <w:tr>
      <w:trPr>
        <w:cantSplit w:val="0"/>
        <w:tblHeader w:val="0"/>
      </w:trPr>
      <w:tc>
        <w:tcPr>
          <w:shd w:fill="auto" w:val="clear"/>
          <w:vAlign w:val="center"/>
        </w:tcPr>
        <w:p w:rsidR="00000000" w:rsidDel="00000000" w:rsidP="00000000" w:rsidRDefault="00000000" w:rsidRPr="00000000" w14:paraId="000000D5">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D6">
          <w:pPr>
            <w:ind w:left="-53" w:right="17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D7">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-1079487</wp:posOffset>
          </wp:positionH>
          <wp:positionV relativeFrom="paragraph">
            <wp:posOffset>-328916</wp:posOffset>
          </wp:positionV>
          <wp:extent cx="7809865" cy="10165715"/>
          <wp:effectExtent b="0" l="0" r="0" t="0"/>
          <wp:wrapNone/>
          <wp:docPr id="4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662.0" w:type="dxa"/>
      <w:jc w:val="left"/>
      <w:tblInd w:w="3261.0" w:type="dxa"/>
      <w:tblLayout w:type="fixed"/>
      <w:tblLook w:val="0400"/>
    </w:tblPr>
    <w:tblGrid>
      <w:gridCol w:w="2551"/>
      <w:gridCol w:w="4111"/>
      <w:tblGridChange w:id="0">
        <w:tblGrid>
          <w:gridCol w:w="2551"/>
          <w:gridCol w:w="4111"/>
        </w:tblGrid>
      </w:tblGridChange>
    </w:tblGrid>
    <w:tr>
      <w:trPr>
        <w:cantSplit w:val="0"/>
        <w:tblHeader w:val="0"/>
      </w:trPr>
      <w:tc>
        <w:tcPr>
          <w:shd w:fill="auto" w:val="clear"/>
          <w:vAlign w:val="center"/>
        </w:tcPr>
        <w:p w:rsidR="00000000" w:rsidDel="00000000" w:rsidP="00000000" w:rsidRDefault="00000000" w:rsidRPr="00000000" w14:paraId="000000D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DA">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02814/INFOEM/IP/RR/2025</w:t>
          </w:r>
        </w:p>
      </w:tc>
    </w:tr>
    <w:tr>
      <w:trPr>
        <w:cantSplit w:val="0"/>
        <w:trHeight w:val="130" w:hRule="atLeast"/>
        <w:tblHeader w:val="0"/>
      </w:trPr>
      <w:tc>
        <w:tcPr>
          <w:shd w:fill="auto" w:val="clear"/>
          <w:vAlign w:val="center"/>
        </w:tcPr>
        <w:p w:rsidR="00000000" w:rsidDel="00000000" w:rsidP="00000000" w:rsidRDefault="00000000" w:rsidRPr="00000000" w14:paraId="000000D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DC">
          <w:pPr>
            <w:ind w:left="-45" w:right="1161" w:firstLine="0"/>
            <w:jc w:val="both"/>
            <w:rPr>
              <w:rFonts w:ascii="Palatino Linotype" w:cs="Palatino Linotype" w:eastAsia="Palatino Linotype" w:hAnsi="Palatino Linotype"/>
              <w:b w:val="1"/>
              <w:sz w:val="22"/>
              <w:szCs w:val="22"/>
            </w:rPr>
          </w:pPr>
          <w:bookmarkStart w:colFirst="0" w:colLast="0" w:name="_heading=h.tfb09yasa0op" w:id="12"/>
          <w:bookmarkEnd w:id="12"/>
          <w:r w:rsidDel="00000000" w:rsidR="00000000" w:rsidRPr="00000000">
            <w:rPr>
              <w:rFonts w:ascii="Palatino Linotype" w:cs="Palatino Linotype" w:eastAsia="Palatino Linotype" w:hAnsi="Palatino Linotype"/>
              <w:b w:val="1"/>
              <w:sz w:val="22"/>
              <w:szCs w:val="22"/>
              <w:rtl w:val="0"/>
            </w:rPr>
            <w:t xml:space="preserve">XXXXXXXXX XXXXXXXX XXXXXXX </w:t>
          </w:r>
        </w:p>
      </w:tc>
    </w:tr>
    <w:tr>
      <w:trPr>
        <w:cantSplit w:val="0"/>
        <w:trHeight w:val="228" w:hRule="atLeast"/>
        <w:tblHeader w:val="0"/>
      </w:trPr>
      <w:tc>
        <w:tcPr>
          <w:shd w:fill="auto" w:val="clear"/>
          <w:vAlign w:val="center"/>
        </w:tcPr>
        <w:p w:rsidR="00000000" w:rsidDel="00000000" w:rsidP="00000000" w:rsidRDefault="00000000" w:rsidRPr="00000000" w14:paraId="000000D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DE">
          <w:pPr>
            <w:ind w:left="-45" w:right="144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Poder Judicial</w:t>
          </w:r>
        </w:p>
      </w:tc>
    </w:tr>
    <w:tr>
      <w:trPr>
        <w:cantSplit w:val="0"/>
        <w:tblHeader w:val="0"/>
      </w:trPr>
      <w:tc>
        <w:tcPr>
          <w:shd w:fill="auto" w:val="clear"/>
          <w:vAlign w:val="center"/>
        </w:tcPr>
        <w:p w:rsidR="00000000" w:rsidDel="00000000" w:rsidP="00000000" w:rsidRDefault="00000000" w:rsidRPr="00000000" w14:paraId="000000D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E0">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3584F"/>
  </w:style>
  <w:style w:type="paragraph" w:styleId="Ttulo1">
    <w:name w:val="heading 1"/>
    <w:basedOn w:val="Normal"/>
    <w:next w:val="Normal"/>
    <w:pPr>
      <w:keepNext w:val="1"/>
      <w:keepLines w:val="1"/>
      <w:spacing w:before="240"/>
      <w:outlineLvl w:val="0"/>
    </w:pPr>
    <w:rPr>
      <w:rFonts w:ascii="Calibri" w:cs="Calibri" w:eastAsia="Calibri" w:hAnsi="Calibri"/>
      <w:color w:val="366091"/>
      <w:sz w:val="32"/>
      <w:szCs w:val="32"/>
      <w:lang w:val="es-ES"/>
    </w:rPr>
  </w:style>
  <w:style w:type="paragraph" w:styleId="Ttulo2">
    <w:name w:val="heading 2"/>
    <w:basedOn w:val="Normal"/>
    <w:next w:val="Normal"/>
    <w:pPr>
      <w:keepNext w:val="1"/>
      <w:keepLines w:val="1"/>
      <w:spacing w:before="40"/>
      <w:outlineLvl w:val="1"/>
    </w:pPr>
    <w:rPr>
      <w:rFonts w:ascii="Calibri" w:cs="Calibri" w:eastAsia="Calibri" w:hAnsi="Calibri"/>
      <w:color w:val="366091"/>
      <w:sz w:val="26"/>
      <w:szCs w:val="26"/>
      <w:lang w:val="es-ES"/>
    </w:rPr>
  </w:style>
  <w:style w:type="paragraph" w:styleId="Ttulo3">
    <w:name w:val="heading 3"/>
    <w:basedOn w:val="Normal"/>
    <w:next w:val="Normal"/>
    <w:pPr>
      <w:keepNext w:val="1"/>
      <w:spacing w:after="60" w:before="240"/>
      <w:ind w:left="2160" w:hanging="720"/>
      <w:outlineLvl w:val="2"/>
    </w:pPr>
    <w:rPr>
      <w:rFonts w:ascii="Calibri" w:cs="Calibri" w:eastAsia="Calibri" w:hAnsi="Calibri"/>
      <w:b w:val="1"/>
      <w:sz w:val="26"/>
      <w:szCs w:val="26"/>
      <w:lang w:val="es-ES"/>
    </w:rPr>
  </w:style>
  <w:style w:type="paragraph" w:styleId="Ttulo4">
    <w:name w:val="heading 4"/>
    <w:basedOn w:val="Normal"/>
    <w:next w:val="Normal"/>
    <w:pPr>
      <w:keepNext w:val="1"/>
      <w:spacing w:after="60" w:before="240"/>
      <w:ind w:left="2880" w:hanging="720"/>
      <w:outlineLvl w:val="3"/>
    </w:pPr>
    <w:rPr>
      <w:rFonts w:ascii="Cambria" w:cs="Cambria" w:eastAsia="Cambria" w:hAnsi="Cambria"/>
      <w:b w:val="1"/>
      <w:sz w:val="28"/>
      <w:szCs w:val="28"/>
      <w:lang w:val="es-ES"/>
    </w:rPr>
  </w:style>
  <w:style w:type="paragraph" w:styleId="Ttulo5">
    <w:name w:val="heading 5"/>
    <w:basedOn w:val="Normal"/>
    <w:next w:val="Normal"/>
    <w:pPr>
      <w:spacing w:after="60" w:before="240"/>
      <w:ind w:left="3600" w:hanging="720"/>
      <w:outlineLvl w:val="4"/>
    </w:pPr>
    <w:rPr>
      <w:rFonts w:ascii="Cambria" w:cs="Cambria" w:eastAsia="Cambria" w:hAnsi="Cambria"/>
      <w:b w:val="1"/>
      <w:i w:val="1"/>
      <w:sz w:val="26"/>
      <w:szCs w:val="26"/>
      <w:lang w:val="es-ES"/>
    </w:rPr>
  </w:style>
  <w:style w:type="paragraph" w:styleId="Ttulo6">
    <w:name w:val="heading 6"/>
    <w:basedOn w:val="Normal"/>
    <w:next w:val="Normal"/>
    <w:pPr>
      <w:spacing w:after="60" w:before="240"/>
      <w:ind w:left="4320" w:hanging="720"/>
      <w:outlineLvl w:val="5"/>
    </w:pPr>
    <w:rPr>
      <w:b w:val="1"/>
      <w:sz w:val="22"/>
      <w:szCs w:val="22"/>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lang w:val="es-ES"/>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7"/>
    <w:tblPr>
      <w:tblStyleRowBandSize w:val="1"/>
      <w:tblStyleColBandSize w:val="1"/>
      <w:tblCellMar>
        <w:left w:w="115.0" w:type="dxa"/>
        <w:right w:w="115.0" w:type="dxa"/>
      </w:tblCellMar>
    </w:tblPr>
  </w:style>
  <w:style w:type="table" w:styleId="a0" w:customStyle="1">
    <w:basedOn w:val="TableNormal7"/>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FE2A5A"/>
    <w:pPr>
      <w:tabs>
        <w:tab w:val="center" w:pos="4419"/>
        <w:tab w:val="right" w:pos="8838"/>
      </w:tabs>
    </w:pPr>
    <w:rPr>
      <w:lang w:val="es-ES"/>
    </w:rPr>
  </w:style>
  <w:style w:type="character" w:styleId="EncabezadoCar" w:customStyle="1">
    <w:name w:val="Encabezado Car"/>
    <w:basedOn w:val="Fuentedeprrafopredeter"/>
    <w:link w:val="Encabezado"/>
    <w:uiPriority w:val="99"/>
    <w:rsid w:val="00FE2A5A"/>
  </w:style>
  <w:style w:type="paragraph" w:styleId="Piedepgina">
    <w:name w:val="footer"/>
    <w:basedOn w:val="Normal"/>
    <w:link w:val="PiedepginaCar"/>
    <w:uiPriority w:val="99"/>
    <w:unhideWhenUsed w:val="1"/>
    <w:rsid w:val="00FE2A5A"/>
    <w:pPr>
      <w:tabs>
        <w:tab w:val="center" w:pos="4419"/>
        <w:tab w:val="right" w:pos="8838"/>
      </w:tabs>
    </w:pPr>
    <w:rPr>
      <w:lang w:val="es-ES"/>
    </w:rPr>
  </w:style>
  <w:style w:type="character" w:styleId="PiedepginaCar" w:customStyle="1">
    <w:name w:val="Pie de página Car"/>
    <w:basedOn w:val="Fuentedeprrafopredeter"/>
    <w:link w:val="Piedepgina"/>
    <w:uiPriority w:val="99"/>
    <w:rsid w:val="00FE2A5A"/>
  </w:style>
  <w:style w:type="paragraph" w:styleId="Prrafodelista">
    <w:name w:val="List Paragraph"/>
    <w:basedOn w:val="Normal"/>
    <w:uiPriority w:val="34"/>
    <w:qFormat w:val="1"/>
    <w:rsid w:val="00FE2A5A"/>
    <w:pPr>
      <w:ind w:left="720"/>
      <w:contextualSpacing w:val="1"/>
    </w:pPr>
    <w:rPr>
      <w:lang w:val="es-ES"/>
    </w:rPr>
  </w:style>
  <w:style w:type="table" w:styleId="Tablaconcuadrcula">
    <w:name w:val="Table Grid"/>
    <w:basedOn w:val="Tablanormal"/>
    <w:uiPriority w:val="39"/>
    <w:rsid w:val="0051350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9012F5"/>
    <w:pPr>
      <w:spacing w:after="100" w:afterAutospacing="1" w:before="100" w:beforeAutospacing="1"/>
    </w:pPr>
    <w:rPr>
      <w:lang w:val="es-ES"/>
    </w:rPr>
  </w:style>
  <w:style w:type="table" w:styleId="a1" w:customStyle="1">
    <w:basedOn w:val="TableNormal7"/>
    <w:tblPr>
      <w:tblStyleRowBandSize w:val="1"/>
      <w:tblStyleColBandSize w:val="1"/>
      <w:tblCellMar>
        <w:left w:w="115.0" w:type="dxa"/>
        <w:right w:w="115.0" w:type="dxa"/>
      </w:tblCellMar>
    </w:tblPr>
  </w:style>
  <w:style w:type="table" w:styleId="a2" w:customStyle="1">
    <w:basedOn w:val="TableNormal7"/>
    <w:tblPr>
      <w:tblStyleRowBandSize w:val="1"/>
      <w:tblStyleColBandSize w:val="1"/>
      <w:tblCellMar>
        <w:left w:w="115.0" w:type="dxa"/>
        <w:right w:w="115.0" w:type="dxa"/>
      </w:tblCellMar>
    </w:tblPr>
  </w:style>
  <w:style w:type="character" w:styleId="apple-tab-span" w:customStyle="1">
    <w:name w:val="apple-tab-span"/>
    <w:basedOn w:val="Fuentedeprrafopredeter"/>
    <w:rsid w:val="00355FC9"/>
  </w:style>
  <w:style w:type="table" w:styleId="a3" w:customStyle="1">
    <w:basedOn w:val="TableNormal6"/>
    <w:tblPr>
      <w:tblStyleRowBandSize w:val="1"/>
      <w:tblStyleColBandSize w:val="1"/>
      <w:tblCellMar>
        <w:left w:w="115.0" w:type="dxa"/>
        <w:right w:w="115.0" w:type="dxa"/>
      </w:tblCellMar>
    </w:tblPr>
  </w:style>
  <w:style w:type="table" w:styleId="a4" w:customStyle="1">
    <w:basedOn w:val="TableNormal6"/>
    <w:tblPr>
      <w:tblStyleRowBandSize w:val="1"/>
      <w:tblStyleColBandSize w:val="1"/>
      <w:tblCellMar>
        <w:left w:w="115.0" w:type="dxa"/>
        <w:right w:w="115.0" w:type="dxa"/>
      </w:tblCellMar>
    </w:tblPr>
  </w:style>
  <w:style w:type="character" w:styleId="Hipervnculo">
    <w:name w:val="Hyperlink"/>
    <w:basedOn w:val="Fuentedeprrafopredeter"/>
    <w:uiPriority w:val="99"/>
    <w:semiHidden w:val="1"/>
    <w:unhideWhenUsed w:val="1"/>
    <w:rsid w:val="009C2C49"/>
    <w:rPr>
      <w:color w:val="0000ff"/>
      <w:u w:val="single"/>
    </w:r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4"/>
    <w:tblPr>
      <w:tblStyleRowBandSize w:val="1"/>
      <w:tblStyleColBandSize w:val="1"/>
      <w:tblCellMar>
        <w:left w:w="115.0" w:type="dxa"/>
        <w:right w:w="115.0" w:type="dxa"/>
      </w:tblCellMar>
    </w:tblPr>
  </w:style>
  <w:style w:type="table" w:styleId="a8" w:customStyle="1">
    <w:basedOn w:val="TableNormal4"/>
    <w:tblPr>
      <w:tblStyleRowBandSize w:val="1"/>
      <w:tblStyleColBandSize w:val="1"/>
      <w:tblCellMar>
        <w:left w:w="115.0" w:type="dxa"/>
        <w:right w:w="115.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tiOtGZKmPSSXpECLWzJO9AJnhg==">CgMxLjAyCWguMWZvYjl0ZTIIaC5namRneHMyCWguM2R5NnZrbTIJaC4zMGowemxsMgloLjJzOGV5bzEyDmguMzluOGZ5Y3M1N3gzMghoLnR5amN3dDIJaC4zem55c2g3MgloLjJldDkycDAyCGgubG54Yno5MgloLjNyZGNyam4yCWguMXQzaDVzZjIOaC50ZmIwOXlhc2Ewb3A4AHIhMVlXMDlTcEF6OHZGdGJGejNxWmZ2SjFkX0FRREdkdjg1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2025-06-03T19:47:00Z</dcterms:created>
  <dc:creator>USUARIO</dc:creator>
</cp:coreProperties>
</file>