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1DB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5C38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diez de septiembre de dos mil veinticinco. </w:t>
      </w:r>
    </w:p>
    <w:p w14:paraId="2C6C2809" w14:textId="67A5279C" w:rsidR="00275B55" w:rsidRPr="005C38E7" w:rsidRDefault="00E436DD">
      <w:pPr>
        <w:spacing w:before="240" w:after="240" w:line="360" w:lineRule="auto"/>
        <w:jc w:val="both"/>
        <w:rPr>
          <w:rFonts w:ascii="Palatino Linotype" w:eastAsia="Palatino Linotype" w:hAnsi="Palatino Linotype" w:cs="Palatino Linotype"/>
          <w:sz w:val="22"/>
          <w:szCs w:val="22"/>
        </w:rPr>
      </w:pPr>
      <w:bookmarkStart w:id="1" w:name="_heading=h.q7458r2sgzp0" w:colFirst="0" w:colLast="0"/>
      <w:bookmarkEnd w:id="1"/>
      <w:r w:rsidRPr="005C38E7">
        <w:rPr>
          <w:rFonts w:ascii="Palatino Linotype" w:eastAsia="Palatino Linotype" w:hAnsi="Palatino Linotype" w:cs="Palatino Linotype"/>
          <w:b/>
          <w:sz w:val="22"/>
          <w:szCs w:val="22"/>
        </w:rPr>
        <w:t>Visto</w:t>
      </w:r>
      <w:r w:rsidRPr="005C38E7">
        <w:rPr>
          <w:rFonts w:ascii="Palatino Linotype" w:eastAsia="Palatino Linotype" w:hAnsi="Palatino Linotype" w:cs="Palatino Linotype"/>
          <w:sz w:val="22"/>
          <w:szCs w:val="22"/>
        </w:rPr>
        <w:t xml:space="preserve"> el expediente relativo al recurso de revisión </w:t>
      </w:r>
      <w:r w:rsidRPr="005C38E7">
        <w:rPr>
          <w:rFonts w:ascii="Palatino Linotype" w:eastAsia="Palatino Linotype" w:hAnsi="Palatino Linotype" w:cs="Palatino Linotype"/>
          <w:b/>
          <w:sz w:val="22"/>
          <w:szCs w:val="22"/>
        </w:rPr>
        <w:t>05174/INFOEM/IP/RR/2025</w:t>
      </w:r>
      <w:r w:rsidRPr="005C38E7">
        <w:rPr>
          <w:rFonts w:ascii="Palatino Linotype" w:eastAsia="Palatino Linotype" w:hAnsi="Palatino Linotype" w:cs="Palatino Linotype"/>
          <w:sz w:val="22"/>
          <w:szCs w:val="22"/>
        </w:rPr>
        <w:t xml:space="preserve">, interpuesto por </w:t>
      </w:r>
      <w:r w:rsidR="00CD6E67" w:rsidRPr="00CD6E67">
        <w:rPr>
          <w:rFonts w:ascii="Palatino Linotype" w:eastAsia="Palatino Linotype" w:hAnsi="Palatino Linotype" w:cs="Palatino Linotype"/>
          <w:b/>
          <w:sz w:val="22"/>
          <w:szCs w:val="22"/>
        </w:rPr>
        <w:t>XXXX XXXXXXXXX XXXXXX XXXX</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en lo sucesivo se le denominará la parte</w:t>
      </w:r>
      <w:r w:rsidRPr="005C38E7">
        <w:rPr>
          <w:rFonts w:ascii="Palatino Linotype" w:eastAsia="Palatino Linotype" w:hAnsi="Palatino Linotype" w:cs="Palatino Linotype"/>
          <w:b/>
          <w:sz w:val="22"/>
          <w:szCs w:val="22"/>
        </w:rPr>
        <w:t xml:space="preserve"> Recurrente</w:t>
      </w:r>
      <w:r w:rsidRPr="005C38E7">
        <w:rPr>
          <w:rFonts w:ascii="Palatino Linotype" w:eastAsia="Palatino Linotype" w:hAnsi="Palatino Linotype" w:cs="Palatino Linotype"/>
          <w:sz w:val="22"/>
          <w:szCs w:val="22"/>
        </w:rPr>
        <w:t>, en contra de la respuesta a su solicitud de información con número de folio</w:t>
      </w:r>
      <w:r w:rsidRPr="005C38E7">
        <w:rPr>
          <w:rFonts w:ascii="Palatino Linotype" w:eastAsia="Palatino Linotype" w:hAnsi="Palatino Linotype" w:cs="Palatino Linotype"/>
          <w:b/>
          <w:sz w:val="22"/>
          <w:szCs w:val="22"/>
        </w:rPr>
        <w:t xml:space="preserve"> 00132/COYOTEP/IP/2025</w:t>
      </w:r>
      <w:r w:rsidRPr="005C38E7">
        <w:rPr>
          <w:rFonts w:ascii="Palatino Linotype" w:eastAsia="Palatino Linotype" w:hAnsi="Palatino Linotype" w:cs="Palatino Linotype"/>
          <w:sz w:val="22"/>
          <w:szCs w:val="22"/>
        </w:rPr>
        <w:t xml:space="preserve">, por parte del </w:t>
      </w:r>
      <w:r w:rsidRPr="005C38E7">
        <w:rPr>
          <w:rFonts w:ascii="Palatino Linotype" w:eastAsia="Palatino Linotype" w:hAnsi="Palatino Linotype" w:cs="Palatino Linotype"/>
          <w:b/>
          <w:sz w:val="22"/>
          <w:szCs w:val="22"/>
        </w:rPr>
        <w:t xml:space="preserve">Ayuntamiento de Coyotepec </w:t>
      </w:r>
      <w:r w:rsidRPr="005C38E7">
        <w:rPr>
          <w:rFonts w:ascii="Palatino Linotype" w:eastAsia="Palatino Linotype" w:hAnsi="Palatino Linotype" w:cs="Palatino Linotype"/>
          <w:sz w:val="22"/>
          <w:szCs w:val="22"/>
        </w:rPr>
        <w:t xml:space="preserve">en lo sucesivo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se procede a dictar la presente resolución, con base en los siguientes:</w:t>
      </w:r>
    </w:p>
    <w:p w14:paraId="4C48B557" w14:textId="77777777" w:rsidR="00275B55" w:rsidRPr="005C38E7" w:rsidRDefault="00E436DD">
      <w:pPr>
        <w:numPr>
          <w:ilvl w:val="0"/>
          <w:numId w:val="9"/>
        </w:numPr>
        <w:pBdr>
          <w:top w:val="nil"/>
          <w:left w:val="nil"/>
          <w:bottom w:val="nil"/>
          <w:right w:val="nil"/>
          <w:between w:val="nil"/>
        </w:pBdr>
        <w:spacing w:before="240" w:after="240" w:line="360" w:lineRule="auto"/>
        <w:ind w:left="993" w:hanging="276"/>
        <w:jc w:val="center"/>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A N T E C E D E N T E S:</w:t>
      </w:r>
    </w:p>
    <w:p w14:paraId="1C619CCE" w14:textId="77777777" w:rsidR="00275B55" w:rsidRPr="005C38E7" w:rsidRDefault="00E436DD">
      <w:pPr>
        <w:numPr>
          <w:ilvl w:val="1"/>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 xml:space="preserve">Solicitud de acceso a la información. </w:t>
      </w:r>
      <w:r w:rsidRPr="005C38E7">
        <w:rPr>
          <w:rFonts w:ascii="Palatino Linotype" w:eastAsia="Palatino Linotype" w:hAnsi="Palatino Linotype" w:cs="Palatino Linotype"/>
          <w:sz w:val="22"/>
          <w:szCs w:val="22"/>
        </w:rPr>
        <w:t xml:space="preserve">Con fecha </w:t>
      </w:r>
      <w:r w:rsidRPr="005C38E7">
        <w:rPr>
          <w:rFonts w:ascii="Palatino Linotype" w:eastAsia="Palatino Linotype" w:hAnsi="Palatino Linotype" w:cs="Palatino Linotype"/>
          <w:b/>
          <w:sz w:val="22"/>
          <w:szCs w:val="22"/>
        </w:rPr>
        <w:t>catorce de marzo de dos mil veinticinco</w:t>
      </w:r>
      <w:r w:rsidRPr="005C38E7">
        <w:rPr>
          <w:rFonts w:ascii="Palatino Linotype" w:eastAsia="Palatino Linotype" w:hAnsi="Palatino Linotype" w:cs="Palatino Linotype"/>
          <w:sz w:val="22"/>
          <w:szCs w:val="22"/>
        </w:rPr>
        <w:t xml:space="preserve">,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formuló solicitud de acceso a información pública al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a través del Sistema de Acceso a la Información Mexiquense, en adelante </w:t>
      </w:r>
      <w:r w:rsidRPr="005C38E7">
        <w:rPr>
          <w:rFonts w:ascii="Palatino Linotype" w:eastAsia="Palatino Linotype" w:hAnsi="Palatino Linotype" w:cs="Palatino Linotype"/>
          <w:b/>
          <w:sz w:val="22"/>
          <w:szCs w:val="22"/>
        </w:rPr>
        <w:t>SAIMEX</w:t>
      </w:r>
      <w:r w:rsidRPr="005C38E7">
        <w:rPr>
          <w:rFonts w:ascii="Palatino Linotype" w:eastAsia="Palatino Linotype" w:hAnsi="Palatino Linotype" w:cs="Palatino Linotype"/>
          <w:sz w:val="22"/>
          <w:szCs w:val="22"/>
        </w:rPr>
        <w:t>, requiriéndole lo siguiente:</w:t>
      </w:r>
    </w:p>
    <w:p w14:paraId="67C94846"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“Solicito los acuses de toda la correspondencia interna (entre dependencias y/o ayuntamiento) y externas (ciudadanía) </w:t>
      </w:r>
      <w:r w:rsidRPr="005C38E7">
        <w:rPr>
          <w:rFonts w:ascii="Palatino Linotype" w:eastAsia="Palatino Linotype" w:hAnsi="Palatino Linotype" w:cs="Palatino Linotype"/>
          <w:b/>
          <w:i/>
          <w:sz w:val="22"/>
          <w:szCs w:val="22"/>
          <w:u w:val="single"/>
        </w:rPr>
        <w:t>emitidas</w:t>
      </w:r>
      <w:r w:rsidRPr="005C38E7">
        <w:rPr>
          <w:rFonts w:ascii="Palatino Linotype" w:eastAsia="Palatino Linotype" w:hAnsi="Palatino Linotype" w:cs="Palatino Linotype"/>
          <w:i/>
          <w:sz w:val="22"/>
          <w:szCs w:val="22"/>
        </w:rPr>
        <w:t xml:space="preserve"> por la </w:t>
      </w:r>
      <w:r w:rsidRPr="005C38E7">
        <w:rPr>
          <w:rFonts w:ascii="Palatino Linotype" w:eastAsia="Palatino Linotype" w:hAnsi="Palatino Linotype" w:cs="Palatino Linotype"/>
          <w:b/>
          <w:i/>
          <w:sz w:val="22"/>
          <w:szCs w:val="22"/>
          <w:u w:val="single"/>
        </w:rPr>
        <w:t>Presidencia Municipal y la Secretaría del Ayuntamiento</w:t>
      </w:r>
      <w:r w:rsidRPr="005C38E7">
        <w:rPr>
          <w:rFonts w:ascii="Palatino Linotype" w:eastAsia="Palatino Linotype" w:hAnsi="Palatino Linotype" w:cs="Palatino Linotype"/>
          <w:i/>
          <w:sz w:val="22"/>
          <w:szCs w:val="22"/>
        </w:rPr>
        <w:t>, por el periodo comprendido del 01 de febrero de 2025 a la fecha.”</w:t>
      </w:r>
    </w:p>
    <w:p w14:paraId="2FE6A38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Modalidad elegida para la entrega de la información: </w:t>
      </w:r>
      <w:r w:rsidRPr="005C38E7">
        <w:rPr>
          <w:rFonts w:ascii="Palatino Linotype" w:eastAsia="Palatino Linotype" w:hAnsi="Palatino Linotype" w:cs="Palatino Linotype"/>
          <w:sz w:val="22"/>
          <w:szCs w:val="22"/>
        </w:rPr>
        <w:t xml:space="preserve">a través del Sistema de Acceso a la Información Mexiquense. </w:t>
      </w:r>
    </w:p>
    <w:p w14:paraId="3E1C8D25" w14:textId="77777777" w:rsidR="00275B55" w:rsidRPr="005C38E7" w:rsidRDefault="00E436DD">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Respuesta. </w:t>
      </w:r>
      <w:r w:rsidRPr="005C38E7">
        <w:rPr>
          <w:rFonts w:ascii="Palatino Linotype" w:eastAsia="Palatino Linotype" w:hAnsi="Palatino Linotype" w:cs="Palatino Linotype"/>
          <w:sz w:val="22"/>
          <w:szCs w:val="22"/>
        </w:rPr>
        <w:t xml:space="preserve">Con fecha </w:t>
      </w:r>
      <w:r w:rsidRPr="005C38E7">
        <w:rPr>
          <w:rFonts w:ascii="Palatino Linotype" w:eastAsia="Palatino Linotype" w:hAnsi="Palatino Linotype" w:cs="Palatino Linotype"/>
          <w:b/>
          <w:sz w:val="22"/>
          <w:szCs w:val="22"/>
        </w:rPr>
        <w:t>siete de abril de dos mil veinticinco</w:t>
      </w:r>
      <w:r w:rsidRPr="005C38E7">
        <w:rPr>
          <w:rFonts w:ascii="Palatino Linotype" w:eastAsia="Palatino Linotype" w:hAnsi="Palatino Linotype" w:cs="Palatino Linotype"/>
          <w:sz w:val="22"/>
          <w:szCs w:val="22"/>
        </w:rPr>
        <w:t xml:space="preserv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85F9E21" w14:textId="77777777" w:rsidR="00275B55" w:rsidRPr="005C38E7" w:rsidRDefault="00E436DD">
      <w:pPr>
        <w:tabs>
          <w:tab w:val="left" w:pos="7371"/>
        </w:tabs>
        <w:spacing w:before="240" w:after="240" w:line="276" w:lineRule="auto"/>
        <w:ind w:left="851" w:right="616"/>
        <w:jc w:val="right"/>
        <w:rPr>
          <w:rFonts w:ascii="Palatino Linotype" w:eastAsia="Palatino Linotype" w:hAnsi="Palatino Linotype" w:cs="Palatino Linotype"/>
          <w:i/>
          <w:sz w:val="22"/>
          <w:szCs w:val="22"/>
        </w:rPr>
      </w:pPr>
      <w:bookmarkStart w:id="2" w:name="_heading=h.3znysh7" w:colFirst="0" w:colLast="0"/>
      <w:bookmarkEnd w:id="2"/>
      <w:r w:rsidRPr="005C38E7">
        <w:rPr>
          <w:rFonts w:ascii="Palatino Linotype" w:eastAsia="Palatino Linotype" w:hAnsi="Palatino Linotype" w:cs="Palatino Linotype"/>
          <w:i/>
          <w:sz w:val="22"/>
          <w:szCs w:val="22"/>
        </w:rPr>
        <w:lastRenderedPageBreak/>
        <w:t>”</w:t>
      </w:r>
      <w:r w:rsidRPr="005C38E7">
        <w:rPr>
          <w:rFonts w:ascii="Palatino Linotype" w:eastAsia="Palatino Linotype" w:hAnsi="Palatino Linotype" w:cs="Palatino Linotype"/>
          <w:sz w:val="22"/>
          <w:szCs w:val="22"/>
        </w:rPr>
        <w:t xml:space="preserve"> </w:t>
      </w:r>
      <w:r w:rsidRPr="005C38E7">
        <w:rPr>
          <w:rFonts w:ascii="Palatino Linotype" w:eastAsia="Palatino Linotype" w:hAnsi="Palatino Linotype" w:cs="Palatino Linotype"/>
          <w:i/>
          <w:sz w:val="22"/>
          <w:szCs w:val="22"/>
        </w:rPr>
        <w:t>Folio de la solicitud: 00132/COYOTEP/IP/2025</w:t>
      </w:r>
    </w:p>
    <w:p w14:paraId="37424216" w14:textId="77777777" w:rsidR="00275B55" w:rsidRPr="005C38E7" w:rsidRDefault="00E436DD">
      <w:pPr>
        <w:tabs>
          <w:tab w:val="left" w:pos="737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EE27A1" w14:textId="77777777" w:rsidR="00275B55" w:rsidRPr="005C38E7" w:rsidRDefault="00E436DD">
      <w:pPr>
        <w:tabs>
          <w:tab w:val="left" w:pos="737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 los servidores públicos habilitados de las áreas a las que fue turnada la solicitud, así mismo se anexa acuerdos de la cuarta sesión ordinaria del Comité de Transparencia en el cual se expuso la clasificación de la información de la solicitud 00132/COYOTEP/IP/2025.</w:t>
      </w:r>
    </w:p>
    <w:p w14:paraId="6272F299" w14:textId="77777777" w:rsidR="00275B55" w:rsidRPr="005C38E7" w:rsidRDefault="00E436DD">
      <w:pPr>
        <w:tabs>
          <w:tab w:val="left" w:pos="737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ATENTAMENTE</w:t>
      </w:r>
    </w:p>
    <w:p w14:paraId="6ED1D0BD" w14:textId="77777777" w:rsidR="00275B55" w:rsidRPr="005C38E7" w:rsidRDefault="00E436DD">
      <w:pPr>
        <w:tabs>
          <w:tab w:val="left" w:pos="737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LIC. Samanta Pineda Velázquez.”</w:t>
      </w:r>
    </w:p>
    <w:p w14:paraId="0241D7DA"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bookmarkStart w:id="3" w:name="_heading=h.98yg9wwg8yei" w:colFirst="0" w:colLast="0"/>
      <w:bookmarkEnd w:id="3"/>
      <w:r w:rsidRPr="005C38E7">
        <w:rPr>
          <w:rFonts w:ascii="Palatino Linotype" w:eastAsia="Palatino Linotype" w:hAnsi="Palatino Linotype" w:cs="Palatino Linotype"/>
          <w:sz w:val="22"/>
          <w:szCs w:val="22"/>
        </w:rPr>
        <w:t xml:space="preserve">Del mismo modo,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adjuntó a su respuesta lo siguiente: </w:t>
      </w:r>
    </w:p>
    <w:p w14:paraId="33027CF8" w14:textId="77777777" w:rsidR="00275B55" w:rsidRPr="005C38E7" w:rsidRDefault="00E436DD">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i/>
          <w:sz w:val="22"/>
          <w:szCs w:val="22"/>
        </w:rPr>
        <w:t>COY SA INT 04 2025 0200 Bis OF PDD.pdf y COY SA INT 04 2025 0200 OF.pdf</w:t>
      </w:r>
      <w:r w:rsidRPr="005C38E7">
        <w:rPr>
          <w:rFonts w:ascii="Palatino Linotype" w:eastAsia="Palatino Linotype" w:hAnsi="Palatino Linotype" w:cs="Palatino Linotype"/>
          <w:sz w:val="22"/>
          <w:szCs w:val="22"/>
        </w:rPr>
        <w:t xml:space="preserve">: Contiene el oficio signado por el </w:t>
      </w:r>
      <w:proofErr w:type="gramStart"/>
      <w:r w:rsidRPr="005C38E7">
        <w:rPr>
          <w:rFonts w:ascii="Palatino Linotype" w:eastAsia="Palatino Linotype" w:hAnsi="Palatino Linotype" w:cs="Palatino Linotype"/>
          <w:sz w:val="22"/>
          <w:szCs w:val="22"/>
        </w:rPr>
        <w:t>Secretario</w:t>
      </w:r>
      <w:proofErr w:type="gramEnd"/>
      <w:r w:rsidRPr="005C38E7">
        <w:rPr>
          <w:rFonts w:ascii="Palatino Linotype" w:eastAsia="Palatino Linotype" w:hAnsi="Palatino Linotype" w:cs="Palatino Linotype"/>
          <w:sz w:val="22"/>
          <w:szCs w:val="22"/>
        </w:rPr>
        <w:t xml:space="preserve"> del Ayuntamiento, a través del cual solicita a la Unidad de Transparencia la clasificación de la información, como reservada, exponiendo los argumentos que estimó necesarios para tal efecto. </w:t>
      </w:r>
    </w:p>
    <w:p w14:paraId="01810779" w14:textId="77777777" w:rsidR="00275B55" w:rsidRPr="005C38E7" w:rsidRDefault="00E436DD">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i/>
          <w:sz w:val="22"/>
          <w:szCs w:val="22"/>
        </w:rPr>
        <w:t xml:space="preserve">RESPUESTA A SOLICITUD 132.pdf. </w:t>
      </w:r>
      <w:r w:rsidRPr="005C38E7">
        <w:rPr>
          <w:rFonts w:ascii="Palatino Linotype" w:eastAsia="Palatino Linotype" w:hAnsi="Palatino Linotype" w:cs="Palatino Linotype"/>
          <w:sz w:val="22"/>
          <w:szCs w:val="22"/>
        </w:rPr>
        <w:t xml:space="preserve">Oficio signado por el presidente municipal a través del cual solicita a la Unidad de Transparencia la </w:t>
      </w:r>
      <w:r w:rsidRPr="005C38E7">
        <w:rPr>
          <w:rFonts w:ascii="Palatino Linotype" w:eastAsia="Palatino Linotype" w:hAnsi="Palatino Linotype" w:cs="Palatino Linotype"/>
          <w:sz w:val="22"/>
          <w:szCs w:val="22"/>
        </w:rPr>
        <w:lastRenderedPageBreak/>
        <w:t xml:space="preserve">clasificación de la información, como reservada, exponiendo los argumentos que estimó necesarios para tal efecto. </w:t>
      </w:r>
    </w:p>
    <w:p w14:paraId="4E085B1D" w14:textId="77777777" w:rsidR="00275B55" w:rsidRPr="005C38E7" w:rsidRDefault="00E436DD">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i/>
          <w:sz w:val="22"/>
          <w:szCs w:val="22"/>
        </w:rPr>
        <w:t xml:space="preserve">ACTA-4-ORD-ACUERDO-5.pdf.  </w:t>
      </w:r>
      <w:r w:rsidRPr="005C38E7">
        <w:rPr>
          <w:rFonts w:ascii="Palatino Linotype" w:eastAsia="Palatino Linotype" w:hAnsi="Palatino Linotype" w:cs="Palatino Linotype"/>
          <w:sz w:val="22"/>
          <w:szCs w:val="22"/>
        </w:rPr>
        <w:t>Contiene el Acuerdo mediante la cual se aprueba la Clasificación de información como reservada, relativa a los oficios emitidos por el Secretario del Ayuntamiento, por considerar que con su divulgación se vulnera la conducción de los expedientes judiciales de procedimientos administrativos seguidos en forma de juicio y que el daño que puede producirse es mayor que el interés de dar a conocer la información, cuando es información relacionada con procedimientos administrativos, asimismo que puede poner en riesgo la vida y seguridad o salud de una persona física, lo anterior con fundamento en los artículo 140 fracciones VIII y X de la Ley de Transparencia y Acceso a la Información Pública del Estado de México y Municipios, y el artículo 113 fracciones V, XI de la Ley General de Transparencia y Acceso a la Información Pública.</w:t>
      </w:r>
    </w:p>
    <w:p w14:paraId="319C3D2E" w14:textId="77777777" w:rsidR="00275B55" w:rsidRPr="005C38E7" w:rsidRDefault="00E436DD">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i/>
          <w:sz w:val="22"/>
          <w:szCs w:val="22"/>
        </w:rPr>
        <w:t xml:space="preserve">ACTA-4-ORD-ACUERDO-3.pdf. </w:t>
      </w:r>
      <w:r w:rsidRPr="005C38E7">
        <w:rPr>
          <w:rFonts w:ascii="Palatino Linotype" w:eastAsia="Palatino Linotype" w:hAnsi="Palatino Linotype" w:cs="Palatino Linotype"/>
          <w:sz w:val="22"/>
          <w:szCs w:val="22"/>
        </w:rPr>
        <w:t xml:space="preserve">Contiene el Acuerdo mediante la cual se aprueba la Clasificación de información como reservada, relativa a los oficios emitidos por el Presidente Municipal, por considerar que con su divulgación se vulnera la conducción de los expedientes judiciales de procedimientos administrativos seguidos en forma de juicio y que el daño que puede producirse es mayor que el interés de dar a conocer la información, cuando es información relacionada con procedimientos administrativos, asimismo que puede poner en riesgo la vida y seguridad o salud de una persona física, lo anterior con fundamento en los artículo 140 fracciones VIII y X de la Ley de Transparencia y Acceso a la Información Pública del Estado de México y </w:t>
      </w:r>
      <w:r w:rsidRPr="005C38E7">
        <w:rPr>
          <w:rFonts w:ascii="Palatino Linotype" w:eastAsia="Palatino Linotype" w:hAnsi="Palatino Linotype" w:cs="Palatino Linotype"/>
          <w:sz w:val="22"/>
          <w:szCs w:val="22"/>
        </w:rPr>
        <w:lastRenderedPageBreak/>
        <w:t>Municipios, y el artículo 113 fracciones V, XI de la Ley General de Transparencia y Acceso a la Información Pública.</w:t>
      </w:r>
    </w:p>
    <w:p w14:paraId="51E3E441" w14:textId="77777777" w:rsidR="00275B55" w:rsidRPr="005C38E7" w:rsidRDefault="00E436DD">
      <w:pPr>
        <w:numPr>
          <w:ilvl w:val="0"/>
          <w:numId w:val="1"/>
        </w:numPr>
        <w:pBdr>
          <w:top w:val="nil"/>
          <w:left w:val="nil"/>
          <w:bottom w:val="nil"/>
          <w:right w:val="nil"/>
          <w:between w:val="nil"/>
        </w:pBdr>
        <w:tabs>
          <w:tab w:val="left" w:pos="426"/>
        </w:tabs>
        <w:spacing w:before="240" w:after="240" w:line="360" w:lineRule="auto"/>
        <w:ind w:left="0" w:right="49"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Interposición del recurso de revisión. </w:t>
      </w:r>
      <w:r w:rsidRPr="005C38E7">
        <w:rPr>
          <w:rFonts w:ascii="Palatino Linotype" w:eastAsia="Palatino Linotype" w:hAnsi="Palatino Linotype" w:cs="Palatino Linotype"/>
          <w:sz w:val="22"/>
          <w:szCs w:val="22"/>
        </w:rPr>
        <w:t xml:space="preserve">Inconforme con la respuesta del </w:t>
      </w:r>
      <w:r w:rsidRPr="005C38E7">
        <w:rPr>
          <w:rFonts w:ascii="Palatino Linotype" w:eastAsia="Palatino Linotype" w:hAnsi="Palatino Linotype" w:cs="Palatino Linotype"/>
          <w:b/>
          <w:sz w:val="22"/>
          <w:szCs w:val="22"/>
        </w:rPr>
        <w:t xml:space="preserve">Sujeto Obligado </w:t>
      </w:r>
      <w:r w:rsidRPr="005C38E7">
        <w:rPr>
          <w:rFonts w:ascii="Palatino Linotype" w:eastAsia="Palatino Linotype" w:hAnsi="Palatino Linotype" w:cs="Palatino Linotype"/>
          <w:sz w:val="22"/>
          <w:szCs w:val="22"/>
        </w:rPr>
        <w:t>la parte</w:t>
      </w:r>
      <w:r w:rsidRPr="005C38E7">
        <w:rPr>
          <w:rFonts w:ascii="Palatino Linotype" w:eastAsia="Palatino Linotype" w:hAnsi="Palatino Linotype" w:cs="Palatino Linotype"/>
          <w:b/>
          <w:sz w:val="22"/>
          <w:szCs w:val="22"/>
        </w:rPr>
        <w:t xml:space="preserve"> Recurrente</w:t>
      </w:r>
      <w:r w:rsidRPr="005C38E7">
        <w:rPr>
          <w:rFonts w:ascii="Palatino Linotype" w:eastAsia="Palatino Linotype" w:hAnsi="Palatino Linotype" w:cs="Palatino Linotype"/>
          <w:sz w:val="22"/>
          <w:szCs w:val="22"/>
        </w:rPr>
        <w:t xml:space="preserve"> interpuso recurso de revisión a través del SAIMEX en fecha </w:t>
      </w:r>
      <w:r w:rsidRPr="005C38E7">
        <w:rPr>
          <w:rFonts w:ascii="Palatino Linotype" w:eastAsia="Palatino Linotype" w:hAnsi="Palatino Linotype" w:cs="Palatino Linotype"/>
          <w:b/>
          <w:sz w:val="22"/>
          <w:szCs w:val="22"/>
        </w:rPr>
        <w:t>siete de mayo de dos mil veinticinco</w:t>
      </w:r>
      <w:r w:rsidRPr="005C38E7">
        <w:rPr>
          <w:rFonts w:ascii="Palatino Linotype" w:eastAsia="Palatino Linotype" w:hAnsi="Palatino Linotype" w:cs="Palatino Linotype"/>
          <w:sz w:val="22"/>
          <w:szCs w:val="22"/>
        </w:rPr>
        <w:t>, a través del cual expresó lo siguiente:</w:t>
      </w:r>
    </w:p>
    <w:p w14:paraId="2EB86396" w14:textId="77777777" w:rsidR="00275B55" w:rsidRPr="005C38E7" w:rsidRDefault="00E436DD">
      <w:pPr>
        <w:spacing w:before="240" w:after="240" w:line="360"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sz w:val="22"/>
          <w:szCs w:val="22"/>
        </w:rPr>
        <w:t xml:space="preserve">Acto impugnado. </w:t>
      </w:r>
      <w:r w:rsidRPr="005C38E7">
        <w:rPr>
          <w:rFonts w:ascii="Palatino Linotype" w:eastAsia="Palatino Linotype" w:hAnsi="Palatino Linotype" w:cs="Palatino Linotype"/>
          <w:i/>
          <w:sz w:val="22"/>
          <w:szCs w:val="22"/>
        </w:rPr>
        <w:t xml:space="preserve">“LA RESPUESTA DEL SUJETO OBLIGADO.” </w:t>
      </w:r>
    </w:p>
    <w:p w14:paraId="72D14064" w14:textId="77777777" w:rsidR="00275B55" w:rsidRPr="005C38E7" w:rsidRDefault="00E436DD">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b/>
          <w:i/>
          <w:sz w:val="22"/>
          <w:szCs w:val="22"/>
          <w:u w:val="single"/>
        </w:rPr>
      </w:pPr>
      <w:r w:rsidRPr="005C38E7">
        <w:rPr>
          <w:rFonts w:ascii="Palatino Linotype" w:eastAsia="Palatino Linotype" w:hAnsi="Palatino Linotype" w:cs="Palatino Linotype"/>
          <w:b/>
          <w:sz w:val="22"/>
          <w:szCs w:val="22"/>
        </w:rPr>
        <w:t xml:space="preserve">Motivos de inconformidad. </w:t>
      </w:r>
      <w:r w:rsidRPr="005C38E7">
        <w:rPr>
          <w:rFonts w:ascii="Palatino Linotype" w:eastAsia="Palatino Linotype" w:hAnsi="Palatino Linotype" w:cs="Palatino Linotype"/>
          <w:i/>
          <w:sz w:val="22"/>
          <w:szCs w:val="22"/>
        </w:rPr>
        <w:t>“NO ENTREGAN LA INFORMACIÓN SOLICITADA, PRUEBA DE DAÑO TOTALMENTE ERRONEA, REALIZAN UNA CLASIFICACIÓN DE INFORMACIÓN INCORRECTA.”</w:t>
      </w:r>
    </w:p>
    <w:p w14:paraId="60A0206E" w14:textId="77777777" w:rsidR="00275B55" w:rsidRPr="005C38E7" w:rsidRDefault="00E436DD">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Turno. </w:t>
      </w:r>
      <w:r w:rsidRPr="005C38E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C38E7">
        <w:rPr>
          <w:rFonts w:ascii="Palatino Linotype" w:eastAsia="Palatino Linotype" w:hAnsi="Palatino Linotype" w:cs="Palatino Linotype"/>
          <w:b/>
          <w:sz w:val="22"/>
          <w:szCs w:val="22"/>
        </w:rPr>
        <w:t>05174/INFOEM/IP/RR/2025</w:t>
      </w:r>
      <w:r w:rsidRPr="005C38E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C38E7">
        <w:rPr>
          <w:rFonts w:ascii="Palatino Linotype" w:eastAsia="Palatino Linotype" w:hAnsi="Palatino Linotype" w:cs="Palatino Linotype"/>
          <w:b/>
          <w:sz w:val="22"/>
          <w:szCs w:val="22"/>
        </w:rPr>
        <w:t>Guadalupe Ramírez Peña</w:t>
      </w:r>
      <w:r w:rsidRPr="005C38E7">
        <w:rPr>
          <w:rFonts w:ascii="Palatino Linotype" w:eastAsia="Palatino Linotype" w:hAnsi="Palatino Linotype" w:cs="Palatino Linotype"/>
          <w:sz w:val="22"/>
          <w:szCs w:val="22"/>
        </w:rPr>
        <w:t>, para su análisis, estudio, elaboración del proyecto y presentación ante el Pleno de este Instituto.</w:t>
      </w:r>
    </w:p>
    <w:p w14:paraId="7A090F92" w14:textId="77777777" w:rsidR="00275B55" w:rsidRPr="005C38E7" w:rsidRDefault="00E436DD">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sz w:val="22"/>
          <w:szCs w:val="22"/>
        </w:rPr>
      </w:pPr>
      <w:bookmarkStart w:id="4" w:name="_heading=h.gjdgxs" w:colFirst="0" w:colLast="0"/>
      <w:bookmarkEnd w:id="4"/>
      <w:r w:rsidRPr="005C38E7">
        <w:rPr>
          <w:rFonts w:ascii="Palatino Linotype" w:eastAsia="Palatino Linotype" w:hAnsi="Palatino Linotype" w:cs="Palatino Linotype"/>
          <w:b/>
          <w:sz w:val="22"/>
          <w:szCs w:val="22"/>
        </w:rPr>
        <w:t xml:space="preserve">Admisión del recurso de revisión: </w:t>
      </w:r>
      <w:r w:rsidRPr="005C38E7">
        <w:rPr>
          <w:rFonts w:ascii="Palatino Linotype" w:eastAsia="Palatino Linotype" w:hAnsi="Palatino Linotype" w:cs="Palatino Linotype"/>
          <w:sz w:val="22"/>
          <w:szCs w:val="22"/>
        </w:rPr>
        <w:t xml:space="preserve">En fecha </w:t>
      </w:r>
      <w:r w:rsidRPr="005C38E7">
        <w:rPr>
          <w:rFonts w:ascii="Palatino Linotype" w:eastAsia="Palatino Linotype" w:hAnsi="Palatino Linotype" w:cs="Palatino Linotype"/>
          <w:b/>
          <w:sz w:val="22"/>
          <w:szCs w:val="22"/>
        </w:rPr>
        <w:t>doce de mayo de dos mil veinticinco</w:t>
      </w:r>
      <w:r w:rsidRPr="005C38E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presentara su informe justificado.</w:t>
      </w:r>
    </w:p>
    <w:p w14:paraId="48A75EA8" w14:textId="77777777" w:rsidR="00275B55" w:rsidRPr="005C38E7" w:rsidRDefault="00275B55">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p>
    <w:p w14:paraId="57E72E5E" w14:textId="77777777" w:rsidR="00275B55" w:rsidRPr="005C38E7" w:rsidRDefault="00E436DD">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lastRenderedPageBreak/>
        <w:t>Manifestaciones</w:t>
      </w:r>
      <w:r w:rsidRPr="005C38E7">
        <w:rPr>
          <w:rFonts w:ascii="Palatino Linotype" w:eastAsia="Palatino Linotype" w:hAnsi="Palatino Linotype" w:cs="Palatino Linotype"/>
          <w:sz w:val="22"/>
          <w:szCs w:val="22"/>
        </w:rPr>
        <w:t xml:space="preserve">: De las constancias que obran en el expediente electrónico del </w:t>
      </w:r>
      <w:r w:rsidRPr="005C38E7">
        <w:rPr>
          <w:rFonts w:ascii="Palatino Linotype" w:eastAsia="Palatino Linotype" w:hAnsi="Palatino Linotype" w:cs="Palatino Linotype"/>
          <w:b/>
          <w:sz w:val="22"/>
          <w:szCs w:val="22"/>
        </w:rPr>
        <w:t>SAIMEX</w:t>
      </w:r>
      <w:r w:rsidRPr="005C38E7">
        <w:rPr>
          <w:rFonts w:ascii="Palatino Linotype" w:eastAsia="Palatino Linotype" w:hAnsi="Palatino Linotype" w:cs="Palatino Linotype"/>
          <w:sz w:val="22"/>
          <w:szCs w:val="22"/>
        </w:rPr>
        <w:t xml:space="preserve"> se desprende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rindió su informe justificado el </w:t>
      </w:r>
      <w:r w:rsidRPr="005C38E7">
        <w:rPr>
          <w:rFonts w:ascii="Palatino Linotype" w:eastAsia="Palatino Linotype" w:hAnsi="Palatino Linotype" w:cs="Palatino Linotype"/>
          <w:b/>
          <w:sz w:val="22"/>
          <w:szCs w:val="22"/>
        </w:rPr>
        <w:t>veintiuno de mayo de dos mil veinticinco</w:t>
      </w:r>
      <w:r w:rsidRPr="005C38E7">
        <w:rPr>
          <w:rFonts w:ascii="Palatino Linotype" w:eastAsia="Palatino Linotype" w:hAnsi="Palatino Linotype" w:cs="Palatino Linotype"/>
          <w:sz w:val="22"/>
          <w:szCs w:val="22"/>
        </w:rPr>
        <w:t xml:space="preserve">, a través del cual, en términos generales, confirma su respuesta. Información que se puso a disposición del ahora recurrente en fecha </w:t>
      </w:r>
      <w:r w:rsidRPr="005C38E7">
        <w:rPr>
          <w:rFonts w:ascii="Palatino Linotype" w:eastAsia="Palatino Linotype" w:hAnsi="Palatino Linotype" w:cs="Palatino Linotype"/>
          <w:b/>
          <w:sz w:val="22"/>
          <w:szCs w:val="22"/>
        </w:rPr>
        <w:t>dos de septiembre de dos mil veinticinco</w:t>
      </w:r>
      <w:r w:rsidRPr="005C38E7">
        <w:rPr>
          <w:rFonts w:ascii="Palatino Linotype" w:eastAsia="Palatino Linotype" w:hAnsi="Palatino Linotype" w:cs="Palatino Linotype"/>
          <w:sz w:val="22"/>
          <w:szCs w:val="22"/>
        </w:rPr>
        <w:t xml:space="preserve">.  Por su parte, el ahora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omitió realizar manifestaciones que a su derecho resultaran convenientes.</w:t>
      </w:r>
    </w:p>
    <w:p w14:paraId="5AEAB619"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 xml:space="preserve">7. Ampliación de plazo: </w:t>
      </w:r>
      <w:r w:rsidRPr="005C38E7">
        <w:rPr>
          <w:rFonts w:ascii="Palatino Linotype" w:eastAsia="Palatino Linotype" w:hAnsi="Palatino Linotype" w:cs="Palatino Linotype"/>
          <w:sz w:val="22"/>
          <w:szCs w:val="22"/>
        </w:rPr>
        <w:t>El</w:t>
      </w:r>
      <w:r w:rsidRPr="005C38E7">
        <w:rPr>
          <w:rFonts w:ascii="Palatino Linotype" w:eastAsia="Palatino Linotype" w:hAnsi="Palatino Linotype" w:cs="Palatino Linotype"/>
          <w:b/>
          <w:sz w:val="22"/>
          <w:szCs w:val="22"/>
        </w:rPr>
        <w:t xml:space="preserve"> dos de septiembre de dos mil veinticinco, </w:t>
      </w:r>
      <w:r w:rsidRPr="005C38E7">
        <w:rPr>
          <w:rFonts w:ascii="Palatino Linotype" w:eastAsia="Palatino Linotype" w:hAnsi="Palatino Linotype" w:cs="Palatino Linotype"/>
          <w:sz w:val="22"/>
          <w:szCs w:val="22"/>
        </w:rPr>
        <w:t>se amplió el término para resolver el recurso de revisión en términos del artículo 181 párrafo tercero de la Ley de Transparencia y Acceso a la Información Pública del Estado de México y Municipios.</w:t>
      </w:r>
    </w:p>
    <w:p w14:paraId="7958B0C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829802"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F0E7D22"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E37D9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559D1D" w14:textId="77777777" w:rsidR="00275B55" w:rsidRPr="005C38E7" w:rsidRDefault="00E436DD">
      <w:pPr>
        <w:spacing w:before="240" w:after="240" w:line="360" w:lineRule="auto"/>
        <w:jc w:val="both"/>
        <w:rPr>
          <w:rFonts w:ascii="Palatino Linotype" w:eastAsia="Palatino Linotype" w:hAnsi="Palatino Linotype" w:cs="Palatino Linotype"/>
          <w:strike/>
          <w:sz w:val="22"/>
          <w:szCs w:val="22"/>
        </w:rPr>
      </w:pPr>
      <w:r w:rsidRPr="005C38E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A792F29" w14:textId="77777777" w:rsidR="00275B55" w:rsidRPr="005C38E7" w:rsidRDefault="00E436DD">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61318A0" w14:textId="77777777" w:rsidR="00275B55" w:rsidRPr="005C38E7" w:rsidRDefault="00E436DD">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Actividad Procesal del interesado. Acciones u omisiones del interesado.</w:t>
      </w:r>
    </w:p>
    <w:p w14:paraId="65A49F12" w14:textId="77777777" w:rsidR="00275B55" w:rsidRPr="005C38E7" w:rsidRDefault="00E436DD">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777536C" w14:textId="77777777" w:rsidR="00275B55" w:rsidRPr="005C38E7" w:rsidRDefault="00E436DD">
      <w:pPr>
        <w:tabs>
          <w:tab w:val="left" w:pos="567"/>
        </w:tabs>
        <w:spacing w:before="240" w:after="240" w:line="360" w:lineRule="auto"/>
        <w:ind w:left="284"/>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7C846E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55D322"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C38E7">
        <w:rPr>
          <w:rFonts w:ascii="Palatino Linotype" w:eastAsia="Palatino Linotype" w:hAnsi="Palatino Linotype" w:cs="Palatino Linotype"/>
          <w:i/>
          <w:sz w:val="22"/>
          <w:szCs w:val="22"/>
        </w:rPr>
        <w:t xml:space="preserve">“TÉRMINOS PROCESALES. PARA DETERMINAR SI UN FUNCIONARIO JUDICIAL ACTUÓ INDEBIDAMENTE POR NO </w:t>
      </w:r>
      <w:r w:rsidRPr="005C38E7">
        <w:rPr>
          <w:rFonts w:ascii="Palatino Linotype" w:eastAsia="Palatino Linotype" w:hAnsi="Palatino Linotype" w:cs="Palatino Linotype"/>
          <w:i/>
          <w:sz w:val="22"/>
          <w:szCs w:val="22"/>
        </w:rPr>
        <w:lastRenderedPageBreak/>
        <w:t>RESPETARLOS SE DEBE ATENDER AL PRESUPUESTO QUE CONSIDERÓ EL LEGISLADOR AL FIJARLOS Y LAS CARACTERÍSTICAS DEL CASO.”</w:t>
      </w:r>
      <w:r w:rsidRPr="005C38E7">
        <w:rPr>
          <w:rFonts w:ascii="Palatino Linotype" w:eastAsia="Palatino Linotype" w:hAnsi="Palatino Linotype" w:cs="Palatino Linotype"/>
          <w:sz w:val="22"/>
          <w:szCs w:val="22"/>
        </w:rPr>
        <w:t>, visible en la Gaceta del Seminario Judicial de la Federación con el registro digital 205635.</w:t>
      </w:r>
    </w:p>
    <w:p w14:paraId="0C917B73"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3991D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F9BCAC0" w14:textId="77777777" w:rsidR="00275B55" w:rsidRPr="005C38E7" w:rsidRDefault="00E436DD">
      <w:pPr>
        <w:spacing w:before="240" w:after="240" w:line="360" w:lineRule="auto"/>
        <w:ind w:left="851" w:right="902"/>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 </w:t>
      </w: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PLAZO RAZONABLE PARA RESOLVER. DIMENSIÓN Y EFECTOS DE ESTE CONCEPTO CUANDO SE ADUCE EXCESIVA CARGA DE TRABAJO</w:t>
      </w: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sz w:val="22"/>
          <w:szCs w:val="22"/>
        </w:rPr>
        <w:t xml:space="preserve"> consultable en el Seminario Judicial de la Federación y su gaceta, con el registro digital 2002351.</w:t>
      </w:r>
    </w:p>
    <w:p w14:paraId="46BE210F" w14:textId="77777777" w:rsidR="00275B55" w:rsidRPr="005C38E7" w:rsidRDefault="00E436DD">
      <w:pPr>
        <w:spacing w:before="240" w:after="240" w:line="360" w:lineRule="auto"/>
        <w:ind w:left="851" w:right="902"/>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sz w:val="22"/>
          <w:szCs w:val="22"/>
        </w:rPr>
        <w:t>, visible en el Seminario Judicial de la Federación y su gaceta, con el registro digital 2002350.</w:t>
      </w:r>
    </w:p>
    <w:p w14:paraId="0707194A"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w:t>
      </w:r>
      <w:proofErr w:type="gramStart"/>
      <w:r w:rsidRPr="005C38E7">
        <w:rPr>
          <w:rFonts w:ascii="Palatino Linotype" w:eastAsia="Palatino Linotype" w:hAnsi="Palatino Linotype" w:cs="Palatino Linotype"/>
          <w:sz w:val="22"/>
          <w:szCs w:val="22"/>
        </w:rPr>
        <w:t>asunto,</w:t>
      </w:r>
      <w:proofErr w:type="gramEnd"/>
      <w:r w:rsidRPr="005C38E7">
        <w:rPr>
          <w:rFonts w:ascii="Palatino Linotype" w:eastAsia="Palatino Linotype" w:hAnsi="Palatino Linotype" w:cs="Palatino Linotype"/>
          <w:sz w:val="22"/>
          <w:szCs w:val="22"/>
        </w:rPr>
        <w:t xml:space="preserve"> resulta de carácter excepcional.</w:t>
      </w:r>
    </w:p>
    <w:p w14:paraId="3661E162" w14:textId="77777777" w:rsidR="00275B55" w:rsidRPr="005C38E7" w:rsidRDefault="00E436DD">
      <w:pPr>
        <w:numPr>
          <w:ilvl w:val="0"/>
          <w:numId w:val="15"/>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Cierre de instrucción. </w:t>
      </w:r>
      <w:r w:rsidRPr="005C38E7">
        <w:rPr>
          <w:rFonts w:ascii="Palatino Linotype" w:eastAsia="Palatino Linotype" w:hAnsi="Palatino Linotype" w:cs="Palatino Linotype"/>
          <w:sz w:val="22"/>
          <w:szCs w:val="22"/>
        </w:rPr>
        <w:t xml:space="preserve">El </w:t>
      </w:r>
      <w:r w:rsidRPr="005C38E7">
        <w:rPr>
          <w:rFonts w:ascii="Palatino Linotype" w:eastAsia="Palatino Linotype" w:hAnsi="Palatino Linotype" w:cs="Palatino Linotype"/>
          <w:b/>
          <w:sz w:val="22"/>
          <w:szCs w:val="22"/>
        </w:rPr>
        <w:t>ocho de septiembre de dos mil veinticinco</w:t>
      </w:r>
      <w:r w:rsidRPr="005C38E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4103A9A"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proofErr w:type="gramStart"/>
      <w:r w:rsidRPr="005C38E7">
        <w:rPr>
          <w:rFonts w:ascii="Palatino Linotype" w:eastAsia="Palatino Linotype" w:hAnsi="Palatino Linotype" w:cs="Palatino Linotype"/>
          <w:sz w:val="22"/>
          <w:szCs w:val="22"/>
        </w:rPr>
        <w:t>En razón de</w:t>
      </w:r>
      <w:proofErr w:type="gramEnd"/>
      <w:r w:rsidRPr="005C38E7">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5DA50328" w14:textId="77777777" w:rsidR="00275B55" w:rsidRPr="005C38E7" w:rsidRDefault="00E436DD">
      <w:pPr>
        <w:numPr>
          <w:ilvl w:val="0"/>
          <w:numId w:val="9"/>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30j0zll" w:colFirst="0" w:colLast="0"/>
      <w:bookmarkEnd w:id="5"/>
      <w:r w:rsidRPr="005C38E7">
        <w:rPr>
          <w:rFonts w:ascii="Palatino Linotype" w:eastAsia="Palatino Linotype" w:hAnsi="Palatino Linotype" w:cs="Palatino Linotype"/>
          <w:b/>
          <w:sz w:val="22"/>
          <w:szCs w:val="22"/>
        </w:rPr>
        <w:t>C O N S I D E R A N D O:</w:t>
      </w:r>
    </w:p>
    <w:p w14:paraId="1E76EDE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Primero. Competencia. </w:t>
      </w:r>
      <w:r w:rsidRPr="005C38E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39063C5" w14:textId="77777777" w:rsidR="00275B55" w:rsidRPr="005C38E7" w:rsidRDefault="00275B55">
      <w:pPr>
        <w:spacing w:before="240" w:after="240" w:line="360" w:lineRule="auto"/>
        <w:jc w:val="both"/>
        <w:rPr>
          <w:rFonts w:ascii="Palatino Linotype" w:eastAsia="Palatino Linotype" w:hAnsi="Palatino Linotype" w:cs="Palatino Linotype"/>
          <w:b/>
          <w:sz w:val="22"/>
          <w:szCs w:val="22"/>
        </w:rPr>
      </w:pPr>
    </w:p>
    <w:p w14:paraId="65505BA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lastRenderedPageBreak/>
        <w:t>Segundo. Oportunidad y Procedibilidad del Recurso de Revisión</w:t>
      </w:r>
      <w:r w:rsidRPr="005C38E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D8DC66" w14:textId="77777777" w:rsidR="00275B55" w:rsidRPr="005C38E7" w:rsidRDefault="00E436DD">
      <w:pPr>
        <w:spacing w:before="240" w:after="240" w:line="360" w:lineRule="auto"/>
        <w:ind w:right="49"/>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proporcionó su respuesta a la solicitud de información el </w:t>
      </w:r>
      <w:r w:rsidRPr="005C38E7">
        <w:rPr>
          <w:rFonts w:ascii="Palatino Linotype" w:eastAsia="Palatino Linotype" w:hAnsi="Palatino Linotype" w:cs="Palatino Linotype"/>
          <w:b/>
          <w:sz w:val="22"/>
          <w:szCs w:val="22"/>
        </w:rPr>
        <w:t>siete de abril de dos mil veinticinco,</w:t>
      </w:r>
      <w:r w:rsidRPr="005C38E7">
        <w:rPr>
          <w:rFonts w:ascii="Palatino Linotype" w:eastAsia="Palatino Linotype" w:hAnsi="Palatino Linotype" w:cs="Palatino Linotype"/>
          <w:sz w:val="22"/>
          <w:szCs w:val="22"/>
        </w:rPr>
        <w:t xml:space="preserve"> y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presentó su recurso de revisión el </w:t>
      </w:r>
      <w:r w:rsidRPr="005C38E7">
        <w:rPr>
          <w:rFonts w:ascii="Palatino Linotype" w:eastAsia="Palatino Linotype" w:hAnsi="Palatino Linotype" w:cs="Palatino Linotype"/>
          <w:b/>
          <w:sz w:val="22"/>
          <w:szCs w:val="22"/>
        </w:rPr>
        <w:t>siete de mayo de dos mil veinticinco</w:t>
      </w:r>
      <w:r w:rsidRPr="005C38E7">
        <w:rPr>
          <w:rFonts w:ascii="Palatino Linotype" w:eastAsia="Palatino Linotype" w:hAnsi="Palatino Linotype" w:cs="Palatino Linotype"/>
          <w:sz w:val="22"/>
          <w:szCs w:val="22"/>
        </w:rPr>
        <w:t>;</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 xml:space="preserve">esto es al décimo quinta día hábil siguiente en que tuvo conocimiento de la respuesta. </w:t>
      </w:r>
    </w:p>
    <w:p w14:paraId="588C20E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2D619D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 de la ley de la materia, que a la letra dice:</w:t>
      </w:r>
    </w:p>
    <w:p w14:paraId="3AA9956F" w14:textId="77777777" w:rsidR="00275B55" w:rsidRPr="005C38E7" w:rsidRDefault="00E436DD">
      <w:pPr>
        <w:spacing w:before="240" w:after="240"/>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 xml:space="preserve">Artículo 179. </w:t>
      </w:r>
      <w:r w:rsidRPr="005C38E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6D69EBD" w14:textId="77777777" w:rsidR="00275B55" w:rsidRPr="005C38E7" w:rsidRDefault="00E436DD">
      <w:pPr>
        <w:spacing w:before="240" w:after="240"/>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42948337" w14:textId="77777777" w:rsidR="00275B55" w:rsidRPr="005C38E7" w:rsidRDefault="00E436DD">
      <w:pPr>
        <w:spacing w:before="240" w:after="240"/>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La clasificación de la información;</w:t>
      </w:r>
    </w:p>
    <w:p w14:paraId="567AA48E" w14:textId="77777777" w:rsidR="00275B55" w:rsidRPr="005C38E7" w:rsidRDefault="00E436DD">
      <w:pPr>
        <w:spacing w:before="240" w:after="240"/>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 </w:t>
      </w:r>
    </w:p>
    <w:p w14:paraId="3A07B1AE" w14:textId="77777777" w:rsidR="00275B55" w:rsidRPr="005C38E7" w:rsidRDefault="00275B55">
      <w:pPr>
        <w:spacing w:before="240" w:after="240" w:line="360" w:lineRule="auto"/>
        <w:ind w:left="567" w:right="616"/>
        <w:jc w:val="both"/>
        <w:rPr>
          <w:rFonts w:ascii="Palatino Linotype" w:eastAsia="Palatino Linotype" w:hAnsi="Palatino Linotype" w:cs="Palatino Linotype"/>
          <w:i/>
          <w:sz w:val="22"/>
          <w:szCs w:val="22"/>
        </w:rPr>
      </w:pPr>
    </w:p>
    <w:p w14:paraId="54382EBC"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lastRenderedPageBreak/>
        <w:t>Tercero. Materia de Revisión</w:t>
      </w:r>
      <w:r w:rsidRPr="005C38E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II del artículo 179 de la Ley de Transparencia y Acceso a la Información Pública del Estado de México y Municipios.  </w:t>
      </w:r>
    </w:p>
    <w:p w14:paraId="0A65C9E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Cuarto. Estudio de fondo del asunto. </w:t>
      </w:r>
      <w:r w:rsidRPr="005C38E7">
        <w:rPr>
          <w:rFonts w:ascii="Palatino Linotype" w:eastAsia="Palatino Linotype" w:hAnsi="Palatino Linotype" w:cs="Palatino Linotype"/>
          <w:sz w:val="22"/>
          <w:szCs w:val="22"/>
        </w:rPr>
        <w:t>Es conveniente analizar si la respuesta del Sujeto Obligado</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E004496" w14:textId="77777777" w:rsidR="00275B55" w:rsidRPr="005C38E7" w:rsidRDefault="00E436DD">
      <w:pPr>
        <w:tabs>
          <w:tab w:val="left" w:pos="85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Artículo 4</w:t>
      </w:r>
      <w:r w:rsidRPr="005C38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54373C" w14:textId="77777777" w:rsidR="00275B55" w:rsidRPr="005C38E7" w:rsidRDefault="00E436DD">
      <w:pPr>
        <w:tabs>
          <w:tab w:val="left" w:pos="85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C38E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8D7E5AC" w14:textId="77777777" w:rsidR="00275B55" w:rsidRPr="005C38E7" w:rsidRDefault="00E436DD">
      <w:pPr>
        <w:tabs>
          <w:tab w:val="left" w:pos="851"/>
        </w:tabs>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5C38E7">
        <w:rPr>
          <w:rFonts w:ascii="Palatino Linotype" w:eastAsia="Palatino Linotype" w:hAnsi="Palatino Linotype" w:cs="Palatino Linotype"/>
          <w:i/>
          <w:sz w:val="22"/>
          <w:szCs w:val="22"/>
        </w:rPr>
        <w:t>.”</w:t>
      </w:r>
    </w:p>
    <w:p w14:paraId="2D92A81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4835F3"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Artículo 12.-</w:t>
      </w:r>
      <w:r w:rsidRPr="005C38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4AAE2D"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C38E7">
        <w:rPr>
          <w:rFonts w:ascii="Palatino Linotype" w:eastAsia="Palatino Linotype" w:hAnsi="Palatino Linotype" w:cs="Palatino Linotype"/>
          <w:i/>
          <w:sz w:val="22"/>
          <w:szCs w:val="22"/>
        </w:rPr>
        <w:t xml:space="preserve">. </w:t>
      </w:r>
      <w:r w:rsidRPr="005C38E7">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5C38E7">
        <w:rPr>
          <w:rFonts w:ascii="Palatino Linotype" w:eastAsia="Palatino Linotype" w:hAnsi="Palatino Linotype" w:cs="Palatino Linotype"/>
          <w:b/>
          <w:i/>
          <w:sz w:val="22"/>
          <w:szCs w:val="22"/>
        </w:rPr>
        <w:t>la misma</w:t>
      </w:r>
      <w:proofErr w:type="gramEnd"/>
      <w:r w:rsidRPr="005C38E7">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r w:rsidRPr="005C38E7">
        <w:rPr>
          <w:rFonts w:ascii="Palatino Linotype" w:eastAsia="Palatino Linotype" w:hAnsi="Palatino Linotype" w:cs="Palatino Linotype"/>
          <w:i/>
          <w:sz w:val="22"/>
          <w:szCs w:val="22"/>
        </w:rPr>
        <w:t xml:space="preserve">.” </w:t>
      </w:r>
    </w:p>
    <w:p w14:paraId="4308DAC6" w14:textId="77777777" w:rsidR="00275B55" w:rsidRPr="005C38E7" w:rsidRDefault="00E436DD">
      <w:pPr>
        <w:spacing w:before="240" w:after="240" w:line="360" w:lineRule="auto"/>
        <w:ind w:right="-93"/>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5BDC362" w14:textId="77777777" w:rsidR="00275B55" w:rsidRPr="005C38E7" w:rsidRDefault="00275B55">
      <w:pPr>
        <w:spacing w:before="240" w:after="240" w:line="360" w:lineRule="auto"/>
        <w:ind w:right="-93"/>
        <w:jc w:val="both"/>
        <w:rPr>
          <w:rFonts w:ascii="Palatino Linotype" w:eastAsia="Palatino Linotype" w:hAnsi="Palatino Linotype" w:cs="Palatino Linotype"/>
          <w:sz w:val="22"/>
          <w:szCs w:val="22"/>
        </w:rPr>
      </w:pPr>
    </w:p>
    <w:p w14:paraId="1BFD5E32"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5C38E7">
        <w:rPr>
          <w:rFonts w:ascii="Palatino Linotype" w:eastAsia="Palatino Linotype" w:hAnsi="Palatino Linotype" w:cs="Palatino Linotype"/>
          <w:b/>
          <w:sz w:val="22"/>
          <w:szCs w:val="22"/>
        </w:rPr>
        <w:t xml:space="preserve"> </w:t>
      </w:r>
    </w:p>
    <w:p w14:paraId="6213649A"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No existe obligación de elaborar documentos ad hoc para atender las solicitudes de acceso a la información.</w:t>
      </w:r>
      <w:r w:rsidRPr="005C38E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D0749E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A9FFBA"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C444E3"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w:t>
      </w:r>
      <w:r w:rsidRPr="005C38E7">
        <w:rPr>
          <w:rFonts w:ascii="Palatino Linotype" w:eastAsia="Palatino Linotype" w:hAnsi="Palatino Linotype" w:cs="Palatino Linotype"/>
          <w:b/>
          <w:i/>
          <w:sz w:val="22"/>
          <w:szCs w:val="22"/>
        </w:rPr>
        <w:t xml:space="preserve">Artículo 3. </w:t>
      </w:r>
      <w:r w:rsidRPr="005C38E7">
        <w:rPr>
          <w:rFonts w:ascii="Palatino Linotype" w:eastAsia="Palatino Linotype" w:hAnsi="Palatino Linotype" w:cs="Palatino Linotype"/>
          <w:i/>
          <w:sz w:val="22"/>
          <w:szCs w:val="22"/>
        </w:rPr>
        <w:t>Para los efectos de la presente Ley se entenderá por:</w:t>
      </w:r>
    </w:p>
    <w:p w14:paraId="1B93626D"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0033BEA7" w14:textId="77777777" w:rsidR="00275B55" w:rsidRPr="005C38E7" w:rsidRDefault="00E436DD">
      <w:pPr>
        <w:spacing w:before="240" w:after="240" w:line="276" w:lineRule="auto"/>
        <w:ind w:left="851"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i/>
          <w:sz w:val="22"/>
          <w:szCs w:val="22"/>
        </w:rPr>
        <w:t>XI. Documento:</w:t>
      </w:r>
      <w:r w:rsidRPr="005C38E7">
        <w:rPr>
          <w:rFonts w:ascii="Palatino Linotype" w:eastAsia="Palatino Linotype" w:hAnsi="Palatino Linotype" w:cs="Palatino Linotype"/>
          <w:i/>
          <w:sz w:val="22"/>
          <w:szCs w:val="22"/>
        </w:rPr>
        <w:t xml:space="preserve"> Los expedientes, reportes, estudios, actas</w:t>
      </w:r>
      <w:r w:rsidRPr="005C38E7">
        <w:rPr>
          <w:rFonts w:ascii="Palatino Linotype" w:eastAsia="Palatino Linotype" w:hAnsi="Palatino Linotype" w:cs="Palatino Linotype"/>
          <w:b/>
          <w:i/>
          <w:sz w:val="22"/>
          <w:szCs w:val="22"/>
        </w:rPr>
        <w:t>,</w:t>
      </w:r>
      <w:r w:rsidRPr="005C38E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C25B1FB"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D29D58F" w14:textId="77777777" w:rsidR="00275B55" w:rsidRPr="005C38E7" w:rsidRDefault="00E436DD">
      <w:pPr>
        <w:spacing w:before="240" w:after="240" w:line="276" w:lineRule="auto"/>
        <w:ind w:left="851" w:right="616"/>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sz w:val="22"/>
          <w:szCs w:val="22"/>
        </w:rPr>
        <w:t>“</w:t>
      </w:r>
      <w:r w:rsidRPr="005C38E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C38E7">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5C38E7">
        <w:rPr>
          <w:rFonts w:ascii="Palatino Linotype" w:eastAsia="Palatino Linotype" w:hAnsi="Palatino Linotype" w:cs="Palatino Linotype"/>
          <w:i/>
          <w:sz w:val="22"/>
          <w:szCs w:val="22"/>
        </w:rPr>
        <w:t>pública,</w:t>
      </w:r>
      <w:proofErr w:type="gramEnd"/>
      <w:r w:rsidRPr="005C38E7">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F29BFA"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En </w:t>
      </w:r>
      <w:proofErr w:type="gramStart"/>
      <w:r w:rsidRPr="005C38E7">
        <w:rPr>
          <w:rFonts w:ascii="Palatino Linotype" w:eastAsia="Palatino Linotype" w:hAnsi="Palatino Linotype" w:cs="Palatino Linotype"/>
          <w:i/>
          <w:sz w:val="22"/>
          <w:szCs w:val="22"/>
        </w:rPr>
        <w:t>consecuencia</w:t>
      </w:r>
      <w:proofErr w:type="gramEnd"/>
      <w:r w:rsidRPr="005C38E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E56952B"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C38E7">
        <w:rPr>
          <w:rFonts w:ascii="Palatino Linotype" w:eastAsia="Palatino Linotype" w:hAnsi="Palatino Linotype" w:cs="Palatino Linotype"/>
          <w:i/>
          <w:sz w:val="22"/>
          <w:szCs w:val="22"/>
        </w:rPr>
        <w:t>que</w:t>
      </w:r>
      <w:proofErr w:type="gramEnd"/>
      <w:r w:rsidRPr="005C38E7">
        <w:rPr>
          <w:rFonts w:ascii="Palatino Linotype" w:eastAsia="Palatino Linotype" w:hAnsi="Palatino Linotype" w:cs="Palatino Linotype"/>
          <w:i/>
          <w:sz w:val="22"/>
          <w:szCs w:val="22"/>
        </w:rPr>
        <w:t xml:space="preserve"> en ejercicio de las atribuciones conferidas, sea generada por los Sujetos Obligados;</w:t>
      </w:r>
    </w:p>
    <w:p w14:paraId="6AA57A2B" w14:textId="77777777" w:rsidR="00275B55" w:rsidRPr="005C38E7" w:rsidRDefault="00E436DD">
      <w:pPr>
        <w:spacing w:before="240" w:after="240" w:line="276" w:lineRule="auto"/>
        <w:ind w:left="851" w:right="616"/>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5C38E7">
        <w:rPr>
          <w:rFonts w:ascii="Palatino Linotype" w:eastAsia="Palatino Linotype" w:hAnsi="Palatino Linotype" w:cs="Palatino Linotype"/>
          <w:b/>
          <w:i/>
          <w:sz w:val="22"/>
          <w:szCs w:val="22"/>
        </w:rPr>
        <w:t>que</w:t>
      </w:r>
      <w:proofErr w:type="gramEnd"/>
      <w:r w:rsidRPr="005C38E7">
        <w:rPr>
          <w:rFonts w:ascii="Palatino Linotype" w:eastAsia="Palatino Linotype" w:hAnsi="Palatino Linotype" w:cs="Palatino Linotype"/>
          <w:b/>
          <w:i/>
          <w:sz w:val="22"/>
          <w:szCs w:val="22"/>
        </w:rPr>
        <w:t xml:space="preserve"> en ejercicio de las atribuciones conferidas, sea administrada por los Sujetos Obligados, y</w:t>
      </w:r>
    </w:p>
    <w:p w14:paraId="694CC4DF" w14:textId="77777777" w:rsidR="00275B55" w:rsidRPr="005C38E7" w:rsidRDefault="00E436DD">
      <w:pPr>
        <w:spacing w:before="240" w:after="240" w:line="276" w:lineRule="auto"/>
        <w:ind w:left="851" w:right="616"/>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C38E7">
        <w:rPr>
          <w:rFonts w:ascii="Palatino Linotype" w:eastAsia="Palatino Linotype" w:hAnsi="Palatino Linotype" w:cs="Palatino Linotype"/>
          <w:b/>
          <w:i/>
          <w:sz w:val="22"/>
          <w:szCs w:val="22"/>
        </w:rPr>
        <w:t>que</w:t>
      </w:r>
      <w:proofErr w:type="gramEnd"/>
      <w:r w:rsidRPr="005C38E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1298584"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F3DF02"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6BF498F" w14:textId="77777777" w:rsidR="00275B55" w:rsidRPr="005C38E7" w:rsidRDefault="00E436DD">
      <w:pPr>
        <w:spacing w:before="240" w:after="240" w:line="360" w:lineRule="auto"/>
        <w:ind w:right="51"/>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requirió al </w:t>
      </w:r>
      <w:r w:rsidRPr="005C38E7">
        <w:rPr>
          <w:rFonts w:ascii="Palatino Linotype" w:eastAsia="Palatino Linotype" w:hAnsi="Palatino Linotype" w:cs="Palatino Linotype"/>
          <w:b/>
          <w:sz w:val="22"/>
          <w:szCs w:val="22"/>
        </w:rPr>
        <w:t xml:space="preserve">Sujeto Obligado </w:t>
      </w:r>
      <w:r w:rsidRPr="005C38E7">
        <w:rPr>
          <w:rFonts w:ascii="Palatino Linotype" w:eastAsia="Palatino Linotype" w:hAnsi="Palatino Linotype" w:cs="Palatino Linotype"/>
          <w:sz w:val="22"/>
          <w:szCs w:val="22"/>
        </w:rPr>
        <w:t xml:space="preserve">le proporcione, </w:t>
      </w:r>
      <w:r w:rsidRPr="005C38E7">
        <w:rPr>
          <w:rFonts w:ascii="Palatino Linotype" w:eastAsia="Palatino Linotype" w:hAnsi="Palatino Linotype" w:cs="Palatino Linotype"/>
          <w:b/>
          <w:sz w:val="22"/>
          <w:szCs w:val="22"/>
        </w:rPr>
        <w:t xml:space="preserve">de la Presidencia Municipal y la Secretaría del Ayuntamiento: </w:t>
      </w:r>
    </w:p>
    <w:p w14:paraId="0375DA48" w14:textId="77777777" w:rsidR="00275B55" w:rsidRPr="005C38E7" w:rsidRDefault="00E436DD">
      <w:pPr>
        <w:numPr>
          <w:ilvl w:val="0"/>
          <w:numId w:val="4"/>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 xml:space="preserve">Los acuses de toda la correspondencia interna y externa emitida del primero de febrero al catorce de marzo de dos mil veinticinco. </w:t>
      </w:r>
    </w:p>
    <w:p w14:paraId="5B439BC6" w14:textId="77777777" w:rsidR="00275B55" w:rsidRPr="005C38E7" w:rsidRDefault="00E436DD">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remitió en respuesta los Acuerdos mediante los cuales se aprueba la Clasificación de información como reservada, relativa a los acuses </w:t>
      </w:r>
      <w:proofErr w:type="spellStart"/>
      <w:r w:rsidRPr="005C38E7">
        <w:rPr>
          <w:rFonts w:ascii="Palatino Linotype" w:eastAsia="Palatino Linotype" w:hAnsi="Palatino Linotype" w:cs="Palatino Linotype"/>
          <w:sz w:val="22"/>
          <w:szCs w:val="22"/>
        </w:rPr>
        <w:t>acuses</w:t>
      </w:r>
      <w:proofErr w:type="spellEnd"/>
      <w:r w:rsidRPr="005C38E7">
        <w:rPr>
          <w:rFonts w:ascii="Palatino Linotype" w:eastAsia="Palatino Linotype" w:hAnsi="Palatino Linotype" w:cs="Palatino Linotype"/>
          <w:sz w:val="22"/>
          <w:szCs w:val="22"/>
        </w:rPr>
        <w:t xml:space="preserve"> de la correspondencia interna y externa emitidos por el Secretario del Ayuntamiento y el Presidente Municipal, por considerar que con su divulgación se vulnera la conducción de los expedientes judiciales de procedimientos administrativos seguidos en forma de juicio y que el daño que puede producirse es mayor que el interés de dar a conocer la información, cuando es información relacionada con procedimientos administrativos, lo anterior con fundamento en el Artículo 140 fracciones VIII y  X de la Ley de Transparencia y Acceso a la Información Pública del Estado de México y Municipios, artículo 113 fracciones V y  XI de la Ley General de Transparencia y Acceso a la Información Pública. </w:t>
      </w:r>
    </w:p>
    <w:p w14:paraId="4BBBEDCB" w14:textId="77777777" w:rsidR="00275B55" w:rsidRPr="005C38E7" w:rsidRDefault="00E436DD">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Inconforme con la respuesta, el hoy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interpuso el recurso de revisión que se analiza en el presente asunto, por medio del cual se inconformó en lo medular de la negativa de la información derivada de la reserva de los documentos. </w:t>
      </w:r>
    </w:p>
    <w:p w14:paraId="039E700C" w14:textId="77777777" w:rsidR="00275B55" w:rsidRPr="005C38E7" w:rsidRDefault="00E436DD">
      <w:pPr>
        <w:tabs>
          <w:tab w:val="left" w:pos="4962"/>
        </w:tabs>
        <w:spacing w:before="240" w:after="240" w:line="360" w:lineRule="auto"/>
        <w:ind w:right="-93"/>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 así </w:t>
      </w:r>
      <w:proofErr w:type="gramStart"/>
      <w:r w:rsidRPr="005C38E7">
        <w:rPr>
          <w:rFonts w:ascii="Palatino Linotype" w:eastAsia="Palatino Linotype" w:hAnsi="Palatino Linotype" w:cs="Palatino Linotype"/>
          <w:sz w:val="22"/>
          <w:szCs w:val="22"/>
        </w:rPr>
        <w:t>que</w:t>
      </w:r>
      <w:proofErr w:type="gramEnd"/>
      <w:r w:rsidRPr="005C38E7">
        <w:rPr>
          <w:rFonts w:ascii="Palatino Linotype" w:eastAsia="Palatino Linotype" w:hAnsi="Palatino Linotype" w:cs="Palatino Linotype"/>
          <w:sz w:val="22"/>
          <w:szCs w:val="22"/>
        </w:rPr>
        <w:t xml:space="preserve">, el </w:t>
      </w:r>
      <w:r w:rsidRPr="005C38E7">
        <w:rPr>
          <w:rFonts w:ascii="Palatino Linotype" w:eastAsia="Palatino Linotype" w:hAnsi="Palatino Linotype" w:cs="Palatino Linotype"/>
          <w:b/>
          <w:sz w:val="22"/>
          <w:szCs w:val="22"/>
        </w:rPr>
        <w:t xml:space="preserve">Sujeto Obligado </w:t>
      </w:r>
      <w:r w:rsidRPr="005C38E7">
        <w:rPr>
          <w:rFonts w:ascii="Palatino Linotype" w:eastAsia="Palatino Linotype" w:hAnsi="Palatino Linotype" w:cs="Palatino Linotype"/>
          <w:sz w:val="22"/>
          <w:szCs w:val="22"/>
        </w:rPr>
        <w:t xml:space="preserve">en informe justificado ratificó su respuesta inicial, mientras que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fue omisa en realizar alguna manifestación al respecto. </w:t>
      </w:r>
    </w:p>
    <w:p w14:paraId="703D3407"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Expuestas las posturas de las partes, conviene traer a contexto el artículo 12 de la Ley en la materia, que establece que los sujetos obligados proporcionarán la información pública que se les requiera y que obre en sus archivos, en el estado en que esta se encuentre, de tal forma </w:t>
      </w:r>
      <w:r w:rsidRPr="005C38E7">
        <w:rPr>
          <w:rFonts w:ascii="Palatino Linotype" w:eastAsia="Palatino Linotype" w:hAnsi="Palatino Linotype" w:cs="Palatino Linotype"/>
          <w:sz w:val="22"/>
          <w:szCs w:val="22"/>
        </w:rPr>
        <w:lastRenderedPageBreak/>
        <w:t xml:space="preserve">que, lo solicitado, al tratarse de documentación, es información que puede obrar en los archivos del Sujeto Obligado y, que, por ende, es de acceso público. </w:t>
      </w:r>
    </w:p>
    <w:p w14:paraId="7701EF2B"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Ahora bien, en el caso que nos ocupa, derivado de las constancias que obran en el expediente en el que se actúa se advierte que la Unidad de Transparencia, en observancia de lo previsto en los artículos 53, fracciones II y IV</w:t>
      </w:r>
      <w:r w:rsidRPr="005C38E7">
        <w:rPr>
          <w:rFonts w:ascii="Palatino Linotype" w:eastAsia="Palatino Linotype" w:hAnsi="Palatino Linotype" w:cs="Palatino Linotype"/>
          <w:sz w:val="22"/>
          <w:szCs w:val="22"/>
          <w:vertAlign w:val="superscript"/>
        </w:rPr>
        <w:t xml:space="preserve"> </w:t>
      </w:r>
      <w:r w:rsidRPr="005C38E7">
        <w:rPr>
          <w:rFonts w:ascii="Palatino Linotype" w:eastAsia="Palatino Linotype" w:hAnsi="Palatino Linotype" w:cs="Palatino Linotype"/>
          <w:sz w:val="22"/>
          <w:szCs w:val="22"/>
          <w:vertAlign w:val="superscript"/>
        </w:rPr>
        <w:footnoteReference w:id="1"/>
      </w:r>
      <w:r w:rsidRPr="005C38E7">
        <w:rPr>
          <w:rFonts w:ascii="Palatino Linotype" w:eastAsia="Palatino Linotype" w:hAnsi="Palatino Linotype" w:cs="Palatino Linotype"/>
          <w:sz w:val="22"/>
          <w:szCs w:val="22"/>
        </w:rPr>
        <w:t xml:space="preserve"> y 162</w:t>
      </w:r>
      <w:r w:rsidRPr="005C38E7">
        <w:rPr>
          <w:rFonts w:ascii="Palatino Linotype" w:eastAsia="Palatino Linotype" w:hAnsi="Palatino Linotype" w:cs="Palatino Linotype"/>
          <w:sz w:val="22"/>
          <w:szCs w:val="22"/>
          <w:vertAlign w:val="superscript"/>
        </w:rPr>
        <w:footnoteReference w:id="2"/>
      </w:r>
      <w:r w:rsidRPr="005C38E7">
        <w:rPr>
          <w:rFonts w:ascii="Palatino Linotype" w:eastAsia="Palatino Linotype" w:hAnsi="Palatino Linotype" w:cs="Palatino Linotype"/>
          <w:sz w:val="22"/>
          <w:szCs w:val="22"/>
        </w:rPr>
        <w:t xml:space="preserve"> de la Ley de Transparencia y Acceso a la Información Pública del Estado de México y Municipios, turnó la solicitud de información a las áreas que, de acuerdo con sus facultades, competencias y funciones, pudiera contar con la información materia de la solicitud, esto es la Presidencia Municipal  y Secretaría del Ayuntamiento, al ser las dependencias de las cuales se solicitó la información y quien en ejercicio de sus funciones dieron atención a la solicitud de mérito. </w:t>
      </w:r>
    </w:p>
    <w:p w14:paraId="204143E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Dicho lo anterior, retomando la clasificación como información reservada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realizó respecto de los oficios emitidos por la Presidencia Municipal y Secretaría del Ayuntamiento, a criterio de este Órgano Garante conviene analizar la reserva de dicha información, partiendo de las siguientes consideraciones:</w:t>
      </w:r>
    </w:p>
    <w:p w14:paraId="02D7A5F5" w14:textId="77777777" w:rsidR="00275B55" w:rsidRPr="005C38E7" w:rsidRDefault="00E436DD">
      <w:pPr>
        <w:numPr>
          <w:ilvl w:val="0"/>
          <w:numId w:val="7"/>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De las restricciones a la entrega de la información. </w:t>
      </w:r>
    </w:p>
    <w:p w14:paraId="260646BA"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Al respecto,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w:t>
      </w:r>
    </w:p>
    <w:p w14:paraId="59D4132E"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En ese sentido, según Trujillo, Humberto (2019), en el “Diccionario de Transparencia y Acceso a la Información Pública” (p. 201), </w:t>
      </w:r>
      <w:r w:rsidRPr="005C38E7">
        <w:rPr>
          <w:rFonts w:ascii="Palatino Linotype" w:eastAsia="Palatino Linotype" w:hAnsi="Palatino Linotype" w:cs="Palatino Linotype"/>
          <w:b/>
          <w:sz w:val="22"/>
          <w:szCs w:val="22"/>
        </w:rPr>
        <w:t xml:space="preserve">la negativa de acceso a la información </w:t>
      </w:r>
      <w:r w:rsidRPr="005C38E7">
        <w:rPr>
          <w:rFonts w:ascii="Palatino Linotype" w:eastAsia="Palatino Linotype" w:hAnsi="Palatino Linotype" w:cs="Palatino Linotype"/>
          <w:sz w:val="22"/>
          <w:szCs w:val="22"/>
        </w:rPr>
        <w:t xml:space="preserve">ocurre cuando de manera fundada y motivada, una autoridad la niega o la limita, por alguna de las siguientes razones: </w:t>
      </w:r>
    </w:p>
    <w:p w14:paraId="37F0B2BD" w14:textId="77777777" w:rsidR="00275B55" w:rsidRPr="005C38E7" w:rsidRDefault="00E436DD">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 xml:space="preserve">La inexistencia de la información (p. 171): </w:t>
      </w:r>
      <w:r w:rsidRPr="005C38E7">
        <w:rPr>
          <w:rFonts w:ascii="Palatino Linotype" w:eastAsia="Palatino Linotype" w:hAnsi="Palatino Linotype" w:cs="Palatino Linotype"/>
          <w:sz w:val="22"/>
          <w:szCs w:val="22"/>
        </w:rPr>
        <w:t>Sucede cuando la información solicitada no se encuentra en los archivos públicos o clasificados de los entes sujetos a las Leyes de Transparencia.</w:t>
      </w:r>
    </w:p>
    <w:p w14:paraId="2805CD23" w14:textId="77777777" w:rsidR="00275B55" w:rsidRPr="005C38E7" w:rsidRDefault="00E436DD">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 xml:space="preserve">La incompetencia del Sujeto Obligado (p. 171): </w:t>
      </w:r>
      <w:r w:rsidRPr="005C38E7">
        <w:rPr>
          <w:rFonts w:ascii="Palatino Linotype" w:eastAsia="Palatino Linotype" w:hAnsi="Palatino Linotype" w:cs="Palatino Linotype"/>
          <w:sz w:val="22"/>
          <w:szCs w:val="22"/>
        </w:rPr>
        <w:t>Ocurre cuando el Sujeto Obligado carece de atribuciones para poseer la información peticionada.</w:t>
      </w:r>
    </w:p>
    <w:p w14:paraId="019B6E57" w14:textId="77777777" w:rsidR="00275B55" w:rsidRPr="005C38E7" w:rsidRDefault="00E436DD">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5C38E7">
        <w:rPr>
          <w:rFonts w:ascii="Palatino Linotype" w:eastAsia="Palatino Linotype" w:hAnsi="Palatino Linotype" w:cs="Palatino Linotype"/>
          <w:b/>
          <w:sz w:val="22"/>
          <w:szCs w:val="22"/>
          <w:u w:val="single"/>
        </w:rPr>
        <w:t>La clasificación de la información (p. 70): Es el proceso o conjunto de acciones que realizan los sujetos obligados para establecer que determinada información se encuentra en alguno de los supuestos de reserva o confidencialidad establecidos en la legislación en materia de transparencia.</w:t>
      </w:r>
    </w:p>
    <w:p w14:paraId="42E4C30B"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t xml:space="preserve">En ese orden de ideas y en atención a lo anterior, es de señalar que las excepciones al derecho de acceso a la </w:t>
      </w:r>
      <w:proofErr w:type="gramStart"/>
      <w:r w:rsidRPr="005C38E7">
        <w:rPr>
          <w:rFonts w:ascii="Palatino Linotype" w:eastAsia="Palatino Linotype" w:hAnsi="Palatino Linotype" w:cs="Palatino Linotype"/>
          <w:sz w:val="22"/>
          <w:szCs w:val="22"/>
        </w:rPr>
        <w:t>información,</w:t>
      </w:r>
      <w:proofErr w:type="gramEnd"/>
      <w:r w:rsidRPr="005C38E7">
        <w:rPr>
          <w:rFonts w:ascii="Palatino Linotype" w:eastAsia="Palatino Linotype" w:hAnsi="Palatino Linotype" w:cs="Palatino Linotype"/>
          <w:sz w:val="22"/>
          <w:szCs w:val="22"/>
        </w:rPr>
        <w:t xml:space="preserve"> consisten en que la documentación sea inexistente, </w:t>
      </w:r>
      <w:r w:rsidRPr="005C38E7">
        <w:rPr>
          <w:rFonts w:ascii="Palatino Linotype" w:eastAsia="Palatino Linotype" w:hAnsi="Palatino Linotype" w:cs="Palatino Linotype"/>
          <w:b/>
          <w:sz w:val="22"/>
          <w:szCs w:val="22"/>
        </w:rPr>
        <w:t>se encuentre clasificada</w:t>
      </w:r>
      <w:r w:rsidRPr="005C38E7">
        <w:rPr>
          <w:rFonts w:ascii="Palatino Linotype" w:eastAsia="Palatino Linotype" w:hAnsi="Palatino Linotype" w:cs="Palatino Linotype"/>
          <w:sz w:val="22"/>
          <w:szCs w:val="22"/>
        </w:rPr>
        <w:t xml:space="preserve">, o bien,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sea incompetente para contar con esta; esto es, la negativa de acceso a la </w:t>
      </w:r>
      <w:proofErr w:type="gramStart"/>
      <w:r w:rsidRPr="005C38E7">
        <w:rPr>
          <w:rFonts w:ascii="Palatino Linotype" w:eastAsia="Palatino Linotype" w:hAnsi="Palatino Linotype" w:cs="Palatino Linotype"/>
          <w:sz w:val="22"/>
          <w:szCs w:val="22"/>
        </w:rPr>
        <w:t>información,</w:t>
      </w:r>
      <w:proofErr w:type="gramEnd"/>
      <w:r w:rsidRPr="005C38E7">
        <w:rPr>
          <w:rFonts w:ascii="Palatino Linotype" w:eastAsia="Palatino Linotype" w:hAnsi="Palatino Linotype" w:cs="Palatino Linotype"/>
          <w:sz w:val="22"/>
          <w:szCs w:val="22"/>
        </w:rPr>
        <w:t xml:space="preserve"> recae cuando la documentación no se encuentre en los archivos del sujeto obligado, o bien exista, pero no pueda proporcionarse por contener datos </w:t>
      </w:r>
      <w:r w:rsidRPr="005C38E7">
        <w:rPr>
          <w:rFonts w:ascii="Palatino Linotype" w:eastAsia="Palatino Linotype" w:hAnsi="Palatino Linotype" w:cs="Palatino Linotype"/>
          <w:b/>
          <w:sz w:val="22"/>
          <w:szCs w:val="22"/>
        </w:rPr>
        <w:t>confidenciales o reservados.</w:t>
      </w:r>
    </w:p>
    <w:p w14:paraId="5D1B42C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Así, en los artículos 122, 128 y 130 de la Ley Transparencia y Acceso a la Información Pública del Estado de México y Municipios, se prevé que </w:t>
      </w:r>
      <w:r w:rsidRPr="005C38E7">
        <w:rPr>
          <w:rFonts w:ascii="Palatino Linotype" w:eastAsia="Palatino Linotype" w:hAnsi="Palatino Linotype" w:cs="Palatino Linotype"/>
          <w:b/>
          <w:sz w:val="22"/>
          <w:szCs w:val="22"/>
        </w:rPr>
        <w:t xml:space="preserve">la clasificación </w:t>
      </w:r>
      <w:r w:rsidRPr="005C38E7">
        <w:rPr>
          <w:rFonts w:ascii="Palatino Linotype" w:eastAsia="Palatino Linotype" w:hAnsi="Palatino Linotype" w:cs="Palatino Linotype"/>
          <w:sz w:val="22"/>
          <w:szCs w:val="22"/>
        </w:rPr>
        <w:t xml:space="preserve">es el proceso mediante el cual los sujetos obligados determinan que la información en su </w:t>
      </w:r>
      <w:proofErr w:type="gramStart"/>
      <w:r w:rsidRPr="005C38E7">
        <w:rPr>
          <w:rFonts w:ascii="Palatino Linotype" w:eastAsia="Palatino Linotype" w:hAnsi="Palatino Linotype" w:cs="Palatino Linotype"/>
          <w:sz w:val="22"/>
          <w:szCs w:val="22"/>
        </w:rPr>
        <w:t>poder,</w:t>
      </w:r>
      <w:proofErr w:type="gramEnd"/>
      <w:r w:rsidRPr="005C38E7">
        <w:rPr>
          <w:rFonts w:ascii="Palatino Linotype" w:eastAsia="Palatino Linotype" w:hAnsi="Palatino Linotype" w:cs="Palatino Linotype"/>
          <w:sz w:val="22"/>
          <w:szCs w:val="22"/>
        </w:rPr>
        <w:t xml:space="preserve"> actualiza alguno de los supuestos de reserva o confidencialidad. Además, que dichos entes deberán aplicar de </w:t>
      </w:r>
      <w:r w:rsidRPr="005C38E7">
        <w:rPr>
          <w:rFonts w:ascii="Palatino Linotype" w:eastAsia="Palatino Linotype" w:hAnsi="Palatino Linotype" w:cs="Palatino Linotype"/>
          <w:sz w:val="22"/>
          <w:szCs w:val="22"/>
        </w:rPr>
        <w:lastRenderedPageBreak/>
        <w:t>manera restrictiva y limitada, las excepciones al derecho de acceso a la información, por lo que, tendrán que acreditar la procedencia.</w:t>
      </w:r>
    </w:p>
    <w:p w14:paraId="79DCCF8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Por lo cual, en los casos en que se niegue el acceso a la información, por actualizarse alguno de los supuestos de clasificación, </w:t>
      </w:r>
      <w:r w:rsidRPr="005C38E7">
        <w:rPr>
          <w:rFonts w:ascii="Palatino Linotype" w:eastAsia="Palatino Linotype" w:hAnsi="Palatino Linotype" w:cs="Palatino Linotype"/>
          <w:b/>
          <w:sz w:val="22"/>
          <w:szCs w:val="22"/>
        </w:rPr>
        <w:t xml:space="preserve">el Comité de Transparencia deberá confirmar, modificar o revocar la decisión; </w:t>
      </w:r>
      <w:r w:rsidRPr="005C38E7">
        <w:rPr>
          <w:rFonts w:ascii="Palatino Linotype" w:eastAsia="Palatino Linotype" w:hAnsi="Palatino Linotype" w:cs="Palatino Linotype"/>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712AA6A"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sz w:val="22"/>
          <w:szCs w:val="22"/>
        </w:rPr>
        <w:t xml:space="preserve">Por su parte, según Bonifaz, Leticia (2016), en la “Ley General de Transparencia y Acceso a la Información Pública Comentada” (p. 342), la </w:t>
      </w:r>
      <w:r w:rsidRPr="005C38E7">
        <w:rPr>
          <w:rFonts w:ascii="Palatino Linotype" w:eastAsia="Palatino Linotype" w:hAnsi="Palatino Linotype" w:cs="Palatino Linotype"/>
          <w:b/>
          <w:sz w:val="22"/>
          <w:szCs w:val="22"/>
        </w:rPr>
        <w:t xml:space="preserve">clasificación de la </w:t>
      </w:r>
      <w:proofErr w:type="gramStart"/>
      <w:r w:rsidRPr="005C38E7">
        <w:rPr>
          <w:rFonts w:ascii="Palatino Linotype" w:eastAsia="Palatino Linotype" w:hAnsi="Palatino Linotype" w:cs="Palatino Linotype"/>
          <w:b/>
          <w:sz w:val="22"/>
          <w:szCs w:val="22"/>
        </w:rPr>
        <w:t>información</w:t>
      </w:r>
      <w:r w:rsidRPr="005C38E7">
        <w:rPr>
          <w:rFonts w:ascii="Palatino Linotype" w:eastAsia="Palatino Linotype" w:hAnsi="Palatino Linotype" w:cs="Palatino Linotype"/>
          <w:sz w:val="22"/>
          <w:szCs w:val="22"/>
        </w:rPr>
        <w:t>,</w:t>
      </w:r>
      <w:proofErr w:type="gramEnd"/>
      <w:r w:rsidRPr="005C38E7">
        <w:rPr>
          <w:rFonts w:ascii="Palatino Linotype" w:eastAsia="Palatino Linotype" w:hAnsi="Palatino Linotype" w:cs="Palatino Linotype"/>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C38E7">
        <w:rPr>
          <w:rFonts w:ascii="Palatino Linotype" w:eastAsia="Palatino Linotype" w:hAnsi="Palatino Linotype" w:cs="Palatino Linotype"/>
          <w:b/>
          <w:sz w:val="22"/>
          <w:szCs w:val="22"/>
        </w:rPr>
        <w:t>de manera adecuada la negativa de información.</w:t>
      </w:r>
    </w:p>
    <w:p w14:paraId="122070D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Conforme a lo anterior, en el presente caso, el Sujeto Obligado por conducto de los servidores públicos habilitados competentes, no señaló que era inexistente la información; al contrario, precisó que no podía proporcionarla al ser reservada; esto es, aludió a una clasificación; al respecto, el Criterio Orientador 29/10, emitido por el Pleno del entonces Instituto Federal de Acceso a la Información y Protección de Datos, precisa lo siguiente:</w:t>
      </w:r>
    </w:p>
    <w:p w14:paraId="01968549"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w:t>
      </w:r>
      <w:r w:rsidRPr="005C38E7">
        <w:rPr>
          <w:rFonts w:ascii="Palatino Linotype" w:eastAsia="Palatino Linotype" w:hAnsi="Palatino Linotype" w:cs="Palatino Linotype"/>
          <w:i/>
          <w:sz w:val="22"/>
          <w:szCs w:val="22"/>
        </w:rPr>
        <w:lastRenderedPageBreak/>
        <w:t xml:space="preserve">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w:t>
      </w:r>
      <w:proofErr w:type="gramStart"/>
      <w:r w:rsidRPr="005C38E7">
        <w:rPr>
          <w:rFonts w:ascii="Palatino Linotype" w:eastAsia="Palatino Linotype" w:hAnsi="Palatino Linotype" w:cs="Palatino Linotype"/>
          <w:i/>
          <w:sz w:val="22"/>
          <w:szCs w:val="22"/>
        </w:rPr>
        <w:t>los mismos</w:t>
      </w:r>
      <w:proofErr w:type="gramEnd"/>
      <w:r w:rsidRPr="005C38E7">
        <w:rPr>
          <w:rFonts w:ascii="Palatino Linotype" w:eastAsia="Palatino Linotype" w:hAnsi="Palatino Linotype" w:cs="Palatino Linotype"/>
          <w:i/>
          <w:sz w:val="22"/>
          <w:szCs w:val="22"/>
        </w:rPr>
        <w:t xml:space="preserve"> en los archivos de la dependencia o entidad de que se trate.”</w:t>
      </w:r>
    </w:p>
    <w:p w14:paraId="0684017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Del citado criterio, se advierte que la clasificación y la inexistencia no coexisten entre sí, en virtud de que la primera implica la existencia de un documento o documentos determinados, mientras que la segunda conlleva a la ausencia de </w:t>
      </w:r>
      <w:proofErr w:type="gramStart"/>
      <w:r w:rsidRPr="005C38E7">
        <w:rPr>
          <w:rFonts w:ascii="Palatino Linotype" w:eastAsia="Palatino Linotype" w:hAnsi="Palatino Linotype" w:cs="Palatino Linotype"/>
          <w:sz w:val="22"/>
          <w:szCs w:val="22"/>
        </w:rPr>
        <w:t>los mismos</w:t>
      </w:r>
      <w:proofErr w:type="gramEnd"/>
      <w:r w:rsidRPr="005C38E7">
        <w:rPr>
          <w:rFonts w:ascii="Palatino Linotype" w:eastAsia="Palatino Linotype" w:hAnsi="Palatino Linotype" w:cs="Palatino Linotype"/>
          <w:sz w:val="22"/>
          <w:szCs w:val="22"/>
        </w:rPr>
        <w:t xml:space="preserve"> en los archivos de la dependencia o entidad de que se trate.</w:t>
      </w:r>
    </w:p>
    <w:p w14:paraId="1137D6D8" w14:textId="77777777" w:rsidR="00275B55" w:rsidRPr="005C38E7" w:rsidRDefault="00E436DD">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Conforme a lo anterior, se negó el acceso a la información peticionada por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al considerar que estaba clasificada; en términos de lo dispuesto por el artículo 140 fracciones VIII y X de la Ley de Transparencia y Acceso a la Información Pública del Estado de México y Municipios, y el artículo 113 fracción V, XI de la Ley General de Transparencia y Acceso a la Información Pública; por lo que, proporcionó los Acuerdos, emitidos por el Comité de Transparencia mediante el cual confirmó la clasificación de la información solicitada como reservada, tal como se muestra a continuación: </w:t>
      </w:r>
    </w:p>
    <w:p w14:paraId="2639E17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noProof/>
          <w:sz w:val="22"/>
          <w:szCs w:val="22"/>
        </w:rPr>
        <w:lastRenderedPageBreak/>
        <w:drawing>
          <wp:inline distT="0" distB="0" distL="0" distR="0" wp14:anchorId="79A2E12E" wp14:editId="78A59EFD">
            <wp:extent cx="5612130" cy="2096135"/>
            <wp:effectExtent l="0" t="0" r="0" b="0"/>
            <wp:docPr id="21285507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096135"/>
                    </a:xfrm>
                    <a:prstGeom prst="rect">
                      <a:avLst/>
                    </a:prstGeom>
                    <a:ln/>
                  </pic:spPr>
                </pic:pic>
              </a:graphicData>
            </a:graphic>
          </wp:inline>
        </w:drawing>
      </w:r>
    </w:p>
    <w:p w14:paraId="158A4C67"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w:t>
      </w:r>
      <w:r w:rsidRPr="005C38E7">
        <w:rPr>
          <w:rFonts w:ascii="Palatino Linotype" w:eastAsia="Palatino Linotype" w:hAnsi="Palatino Linotype" w:cs="Palatino Linotype"/>
          <w:sz w:val="22"/>
          <w:szCs w:val="22"/>
          <w:u w:val="single"/>
        </w:rPr>
        <w:t>los sujetos obligados no podrán emitir acuerdos de carácter general que clasifiquen documentos o expedientes</w:t>
      </w:r>
      <w:r w:rsidRPr="005C38E7">
        <w:rPr>
          <w:rFonts w:ascii="Palatino Linotype" w:eastAsia="Palatino Linotype" w:hAnsi="Palatino Linotype" w:cs="Palatino Linotype"/>
          <w:sz w:val="22"/>
          <w:szCs w:val="22"/>
        </w:rPr>
        <w:t xml:space="preserve">; por lo que, </w:t>
      </w:r>
      <w:r w:rsidRPr="005C38E7">
        <w:rPr>
          <w:rFonts w:ascii="Palatino Linotype" w:eastAsia="Palatino Linotype" w:hAnsi="Palatino Linotype" w:cs="Palatino Linotype"/>
          <w:b/>
          <w:sz w:val="22"/>
          <w:szCs w:val="22"/>
          <w:u w:val="single"/>
        </w:rPr>
        <w:t>la clasificación de información se llevará a cabo mediante un análisis caso por caso</w:t>
      </w:r>
      <w:r w:rsidRPr="005C38E7">
        <w:rPr>
          <w:rFonts w:ascii="Palatino Linotype" w:eastAsia="Palatino Linotype" w:hAnsi="Palatino Linotype" w:cs="Palatino Linotype"/>
          <w:sz w:val="22"/>
          <w:szCs w:val="22"/>
        </w:rPr>
        <w:t xml:space="preserve">. </w:t>
      </w:r>
    </w:p>
    <w:p w14:paraId="75A1D8BE"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Además, el artículo 131 de la Ley referida, así como el Quinto de los Lineamientos Generales, establecen que los sujetos obligados deberán fundar y motivar debidamente la clasificación de la información. Al respecto, el Octavo de los Lineamientos Generales, precisa lo siguiente:</w:t>
      </w:r>
    </w:p>
    <w:p w14:paraId="5D04DC3F" w14:textId="77777777" w:rsidR="00275B55" w:rsidRPr="005C38E7" w:rsidRDefault="00E436DD">
      <w:pPr>
        <w:pBdr>
          <w:top w:val="nil"/>
          <w:left w:val="nil"/>
          <w:bottom w:val="nil"/>
          <w:right w:val="nil"/>
          <w:between w:val="nil"/>
        </w:pBdr>
        <w:spacing w:before="240" w:after="240" w:line="276" w:lineRule="auto"/>
        <w:ind w:left="851" w:right="616"/>
        <w:jc w:val="center"/>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E823408"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Octavo. </w:t>
      </w:r>
      <w:r w:rsidRPr="005C38E7">
        <w:rPr>
          <w:rFonts w:ascii="Palatino Linotype" w:eastAsia="Palatino Linotype" w:hAnsi="Palatino Linotype" w:cs="Palatino Linotype"/>
          <w:b/>
          <w:i/>
          <w:sz w:val="22"/>
          <w:szCs w:val="22"/>
          <w:u w:val="single"/>
        </w:rPr>
        <w:t xml:space="preserve">Para fundar la clasificación de la información se debe señalar el artículo, fracción, inciso, párrafo o numeral de la ley o tratado internacional </w:t>
      </w:r>
      <w:r w:rsidRPr="005C38E7">
        <w:rPr>
          <w:rFonts w:ascii="Palatino Linotype" w:eastAsia="Palatino Linotype" w:hAnsi="Palatino Linotype" w:cs="Palatino Linotype"/>
          <w:b/>
          <w:i/>
          <w:sz w:val="22"/>
          <w:szCs w:val="22"/>
          <w:u w:val="single"/>
        </w:rPr>
        <w:lastRenderedPageBreak/>
        <w:t>suscrito por el Estado mexicano que expresamente le otorga el carácter de reservada o confidencial</w:t>
      </w:r>
      <w:r w:rsidRPr="005C38E7">
        <w:rPr>
          <w:rFonts w:ascii="Palatino Linotype" w:eastAsia="Palatino Linotype" w:hAnsi="Palatino Linotype" w:cs="Palatino Linotype"/>
          <w:i/>
          <w:sz w:val="22"/>
          <w:szCs w:val="22"/>
        </w:rPr>
        <w:t>.</w:t>
      </w:r>
    </w:p>
    <w:p w14:paraId="0412D3E7"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u w:val="single"/>
        </w:rPr>
        <w:t>Para motivar la clasificación se deberán señalar las razones o circunstancias especiales que lo llevaron a concluir que el caso particular se ajusta al supuesto previsto por la norma legal invocada como fundamento</w:t>
      </w:r>
      <w:r w:rsidRPr="005C38E7">
        <w:rPr>
          <w:rFonts w:ascii="Palatino Linotype" w:eastAsia="Palatino Linotype" w:hAnsi="Palatino Linotype" w:cs="Palatino Linotype"/>
          <w:i/>
          <w:sz w:val="22"/>
          <w:szCs w:val="22"/>
        </w:rPr>
        <w:t>.</w:t>
      </w:r>
    </w:p>
    <w:p w14:paraId="6157F2D9"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60C55F0"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2498945" w14:textId="77777777" w:rsidR="00275B55" w:rsidRPr="005C38E7" w:rsidRDefault="00E436DD">
      <w:p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A23CE9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Para fundar la clasificación de la información se deberán señalar el artículo, fracción, inciso, párrafo o numeral de la Ley aplicable;</w:t>
      </w:r>
    </w:p>
    <w:p w14:paraId="4AB87AD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Para motivar la clasificación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24DBF82"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w:t>
      </w:r>
      <w:r w:rsidRPr="005C38E7">
        <w:rPr>
          <w:rFonts w:ascii="Palatino Linotype" w:eastAsia="Palatino Linotype" w:hAnsi="Palatino Linotype" w:cs="Palatino Linotype"/>
          <w:sz w:val="22"/>
          <w:szCs w:val="22"/>
        </w:rPr>
        <w:lastRenderedPageBreak/>
        <w:t>Época, publicada en el Semanario Judicial de la Federación, Tomo XIV, noviembre de mil novecientos noventa y cuatro, (p. 450), que establece lo siguiente:</w:t>
      </w:r>
    </w:p>
    <w:p w14:paraId="1BB8AE8D" w14:textId="77777777" w:rsidR="00275B55" w:rsidRPr="005C38E7" w:rsidRDefault="00E436DD">
      <w:pP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“FUNDAMENTACION Y MOTIVACION,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70D264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Conforme a lo anterior, se advierte lo siguiente: </w:t>
      </w:r>
    </w:p>
    <w:p w14:paraId="6E82171B" w14:textId="77777777" w:rsidR="00275B55" w:rsidRPr="005C38E7" w:rsidRDefault="00E436DD">
      <w:pPr>
        <w:numPr>
          <w:ilvl w:val="0"/>
          <w:numId w:val="10"/>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sz w:val="22"/>
          <w:szCs w:val="22"/>
        </w:rPr>
        <w:t>Fundamentación:</w:t>
      </w:r>
      <w:r w:rsidRPr="005C38E7">
        <w:rPr>
          <w:rFonts w:ascii="Palatino Linotype" w:eastAsia="Palatino Linotype" w:hAnsi="Palatino Linotype" w:cs="Palatino Linotype"/>
          <w:sz w:val="22"/>
          <w:szCs w:val="22"/>
        </w:rPr>
        <w:t xml:space="preserve"> Obligación de la autoridad que emite un acto, para citar los preceptos legales, sustantivos y adjetivos, en que se apoye para la determinación tomada.</w:t>
      </w:r>
    </w:p>
    <w:p w14:paraId="0FBD522F" w14:textId="77777777" w:rsidR="00275B55" w:rsidRPr="005C38E7" w:rsidRDefault="00E436DD">
      <w:pPr>
        <w:numPr>
          <w:ilvl w:val="0"/>
          <w:numId w:val="10"/>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sz w:val="22"/>
          <w:szCs w:val="22"/>
        </w:rPr>
        <w:t>Motivación:</w:t>
      </w:r>
      <w:r w:rsidRPr="005C38E7">
        <w:rPr>
          <w:rFonts w:ascii="Palatino Linotype" w:eastAsia="Palatino Linotype" w:hAnsi="Palatino Linotype" w:cs="Palatino Linotype"/>
          <w:sz w:val="22"/>
          <w:szCs w:val="22"/>
        </w:rPr>
        <w:t xml:space="preserve"> Razonamientos lógico-jurídicos sobre porque se consideró en el caso en concreto, que se ajusta a la hipótesis normativa.</w:t>
      </w:r>
    </w:p>
    <w:p w14:paraId="6D0693C9" w14:textId="77777777" w:rsidR="00275B55" w:rsidRPr="005C38E7" w:rsidRDefault="00E436D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Asimismo, el Trigésimo tercero de los Lineamientos Generales establece la forma en que debe fundamentar y motivar la reserva de la información, es decir, a través de los siguientes pasos:</w:t>
      </w:r>
    </w:p>
    <w:p w14:paraId="3060877F"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Trigésimo tercero</w:t>
      </w:r>
      <w:r w:rsidRPr="005C38E7">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023AE82F"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28EA0CC5"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 xml:space="preserve">II.       Mediante la ponderación de los intereses en conflicto, los sujetos obligados deberán demostrar que la publicidad de la información solicitada generaría un riesgo de perjuicio </w:t>
      </w:r>
      <w:proofErr w:type="gramStart"/>
      <w:r w:rsidRPr="005C38E7">
        <w:rPr>
          <w:rFonts w:ascii="Palatino Linotype" w:eastAsia="Palatino Linotype" w:hAnsi="Palatino Linotype" w:cs="Palatino Linotype"/>
          <w:i/>
          <w:sz w:val="22"/>
          <w:szCs w:val="22"/>
        </w:rPr>
        <w:t>y</w:t>
      </w:r>
      <w:proofErr w:type="gramEnd"/>
      <w:r w:rsidRPr="005C38E7">
        <w:rPr>
          <w:rFonts w:ascii="Palatino Linotype" w:eastAsia="Palatino Linotype" w:hAnsi="Palatino Linotype" w:cs="Palatino Linotype"/>
          <w:i/>
          <w:sz w:val="22"/>
          <w:szCs w:val="22"/>
        </w:rPr>
        <w:t xml:space="preserve"> por lo tanto, tendrán que acreditar que este último rebasa el interés público protegido por la reserva;</w:t>
      </w:r>
    </w:p>
    <w:p w14:paraId="35F8B62A"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Se debe de acreditar el vínculo entre la difusión de la información y la afectación del interés jurídico tutelado de que se trate;</w:t>
      </w:r>
    </w:p>
    <w:p w14:paraId="21713683"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IV.      Precisar las razones objetivas por las que la apertura de la información generaría una afectación, a través de los elementos de un riesgo real, demostrable e identificable;</w:t>
      </w:r>
    </w:p>
    <w:p w14:paraId="0F44FD7C"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       En la motivación de la clasificación, el sujeto obligado deberá acreditar las circunstancias de modo, tiempo y lugar del daño, y</w:t>
      </w:r>
    </w:p>
    <w:p w14:paraId="64BD32DF" w14:textId="77777777" w:rsidR="00275B55" w:rsidRPr="005C38E7" w:rsidRDefault="00E436DD">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4955710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orden de ideas, el Trigésimo tercero de los Lineamientos </w:t>
      </w:r>
      <w:proofErr w:type="gramStart"/>
      <w:r w:rsidRPr="005C38E7">
        <w:rPr>
          <w:rFonts w:ascii="Palatino Linotype" w:eastAsia="Palatino Linotype" w:hAnsi="Palatino Linotype" w:cs="Palatino Linotype"/>
          <w:sz w:val="22"/>
          <w:szCs w:val="22"/>
        </w:rPr>
        <w:t>Generales,</w:t>
      </w:r>
      <w:proofErr w:type="gramEnd"/>
      <w:r w:rsidRPr="005C38E7">
        <w:rPr>
          <w:rFonts w:ascii="Palatino Linotype" w:eastAsia="Palatino Linotype" w:hAnsi="Palatino Linotype" w:cs="Palatino Linotype"/>
          <w:sz w:val="22"/>
          <w:szCs w:val="22"/>
        </w:rPr>
        <w:t xml:space="preserve"> establece la forma en que se debe fundamentar y motivar la reserva de la información, es decir, a través de los siguientes pasos: </w:t>
      </w:r>
    </w:p>
    <w:p w14:paraId="6DDDCF1D"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15F86DD"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Se deberá demostrar que la publicidad de la información generaría un riesgo de perjuicio, que rebasa el interés público; </w:t>
      </w:r>
    </w:p>
    <w:p w14:paraId="78C5CBE3"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Se acreditará el vínculo entre la difusión de la información y la afectación del interés jurídico tutelado; </w:t>
      </w:r>
    </w:p>
    <w:p w14:paraId="572BAA31"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Se precisará las razones objetivas por las que la apertura de la información generaría una afectación, por medio del riesgo real, demostrable e identificable; </w:t>
      </w:r>
    </w:p>
    <w:p w14:paraId="412CF4D7"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Se deberán señalar las circunstancias de modo, tiempo y lugar del daño, y </w:t>
      </w:r>
    </w:p>
    <w:p w14:paraId="74B9AA2E" w14:textId="77777777" w:rsidR="00275B55" w:rsidRPr="005C38E7" w:rsidRDefault="00E436DD">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Se elegirá la opción de excepción al acceso a la información que menos restrinja, la cual será adecuada y proporcional para la protección del interés público.</w:t>
      </w:r>
    </w:p>
    <w:p w14:paraId="11C28AE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Por lo que para determinar si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fundó y motivó la clasificación de la información, resulta procedente analizar los Acuerdos emitidos por su Comité de Transparencia. </w:t>
      </w:r>
    </w:p>
    <w:p w14:paraId="6F57211F" w14:textId="77777777" w:rsidR="00275B55" w:rsidRPr="005C38E7" w:rsidRDefault="00E436DD">
      <w:pPr>
        <w:numPr>
          <w:ilvl w:val="0"/>
          <w:numId w:val="12"/>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Del análisis de la reserva aludida por el Sujeto Obligado. </w:t>
      </w:r>
    </w:p>
    <w:p w14:paraId="7C9E895C"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u w:val="single"/>
        </w:rPr>
      </w:pPr>
      <w:r w:rsidRPr="005C38E7">
        <w:rPr>
          <w:rFonts w:ascii="Palatino Linotype" w:eastAsia="Palatino Linotype" w:hAnsi="Palatino Linotype" w:cs="Palatino Linotype"/>
          <w:sz w:val="22"/>
          <w:szCs w:val="22"/>
        </w:rPr>
        <w:t xml:space="preserve">Por lo que hace a una de las causales invocadas por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en el acuerdo, esto es a la </w:t>
      </w:r>
      <w:r w:rsidRPr="005C38E7">
        <w:rPr>
          <w:rFonts w:ascii="Palatino Linotype" w:eastAsia="Palatino Linotype" w:hAnsi="Palatino Linotype" w:cs="Palatino Linotype"/>
          <w:b/>
          <w:sz w:val="22"/>
          <w:szCs w:val="22"/>
          <w:u w:val="single"/>
        </w:rPr>
        <w:t>fracción X del artículo 140</w:t>
      </w:r>
      <w:r w:rsidRPr="005C38E7">
        <w:rPr>
          <w:rFonts w:ascii="Palatino Linotype" w:eastAsia="Palatino Linotype" w:hAnsi="Palatino Linotype" w:cs="Palatino Linotype"/>
          <w:sz w:val="22"/>
          <w:szCs w:val="22"/>
        </w:rPr>
        <w:t xml:space="preserve">, de la Ley de Transparencia y Acceso a la Información Pública del Estado de México y Municipios, será información reservada, aquella en la que el daño que pueda producirse con la publicación de la información sea mayor que el interés público de conocer la información de referencia, </w:t>
      </w:r>
      <w:r w:rsidRPr="005C38E7">
        <w:rPr>
          <w:rFonts w:ascii="Palatino Linotype" w:eastAsia="Palatino Linotype" w:hAnsi="Palatino Linotype" w:cs="Palatino Linotype"/>
          <w:b/>
          <w:sz w:val="22"/>
          <w:szCs w:val="22"/>
          <w:u w:val="single"/>
        </w:rPr>
        <w:t xml:space="preserve">siempre que esté directamente relacionado con procesos o procedimientos administrativos o judiciales que no hayan quedado firme. </w:t>
      </w:r>
    </w:p>
    <w:p w14:paraId="69088C3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sentido, los Lineamientos Generales prevén lo siguiente: “Vigésimo noveno. De conformidad con el artículo 113, fracción X de la Ley General, podrá considerarse como información reservada, aquella que de divulgarse afecte el debido proceso al actualizarse los siguientes elementos: </w:t>
      </w:r>
    </w:p>
    <w:p w14:paraId="07F8660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I. La existencia de un procedimiento judicial, administrativo o arbitral en trámite; </w:t>
      </w:r>
    </w:p>
    <w:p w14:paraId="5F6E4BDE"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II. Que el sujeto obligado sea parte en ese procedimiento; </w:t>
      </w:r>
    </w:p>
    <w:p w14:paraId="2561682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III. Que la información no sea conocida por la contraparte antes de la presentación de </w:t>
      </w:r>
      <w:proofErr w:type="gramStart"/>
      <w:r w:rsidRPr="005C38E7">
        <w:rPr>
          <w:rFonts w:ascii="Palatino Linotype" w:eastAsia="Palatino Linotype" w:hAnsi="Palatino Linotype" w:cs="Palatino Linotype"/>
          <w:sz w:val="22"/>
          <w:szCs w:val="22"/>
        </w:rPr>
        <w:t>la misma</w:t>
      </w:r>
      <w:proofErr w:type="gramEnd"/>
      <w:r w:rsidRPr="005C38E7">
        <w:rPr>
          <w:rFonts w:ascii="Palatino Linotype" w:eastAsia="Palatino Linotype" w:hAnsi="Palatino Linotype" w:cs="Palatino Linotype"/>
          <w:sz w:val="22"/>
          <w:szCs w:val="22"/>
        </w:rPr>
        <w:t xml:space="preserve"> en el proceso, y </w:t>
      </w:r>
    </w:p>
    <w:p w14:paraId="24E483B8"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IV. Que con su divulgación se afecte la oportunidad de llevar a cabo alguna de las garantías del debido proceso.” </w:t>
      </w:r>
    </w:p>
    <w:p w14:paraId="6D9DF97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Con base en lo expuesto, se advierte que la información susceptible de clasificarse como reservada bajo el supuesto aludido por el sujeto obligado, es aquella cuya difusión afecte el debido proceso, ante la existencia de un procedimiento judicial, administrativo o arbitral en trámite, en donde el Sujeto Obligado es parte. </w:t>
      </w:r>
    </w:p>
    <w:p w14:paraId="607933D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Por lo cual, se procede analizar cada uno de los requisitos señalados en los Lineamientos Generales, con la finalidad de verificar si se configura la hipótesis de reserva en estudio: </w:t>
      </w:r>
    </w:p>
    <w:p w14:paraId="24C6634C"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1) </w:t>
      </w:r>
      <w:r w:rsidRPr="005C38E7">
        <w:rPr>
          <w:rFonts w:ascii="Palatino Linotype" w:eastAsia="Palatino Linotype" w:hAnsi="Palatino Linotype" w:cs="Palatino Linotype"/>
          <w:b/>
          <w:sz w:val="22"/>
          <w:szCs w:val="22"/>
          <w:u w:val="single"/>
        </w:rPr>
        <w:t>La existencia de un procedimiento judicial, administrativo o arbitral en trámite</w:t>
      </w:r>
      <w:r w:rsidRPr="005C38E7">
        <w:rPr>
          <w:rFonts w:ascii="Palatino Linotype" w:eastAsia="Palatino Linotype" w:hAnsi="Palatino Linotype" w:cs="Palatino Linotype"/>
          <w:sz w:val="22"/>
          <w:szCs w:val="22"/>
        </w:rPr>
        <w:t xml:space="preserve">. Al respecto, en el presente caso,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indicó que </w:t>
      </w:r>
      <w:r w:rsidRPr="005C38E7">
        <w:rPr>
          <w:rFonts w:ascii="Palatino Linotype" w:eastAsia="Palatino Linotype" w:hAnsi="Palatino Linotype" w:cs="Palatino Linotype"/>
          <w:i/>
          <w:sz w:val="22"/>
          <w:szCs w:val="22"/>
        </w:rPr>
        <w:t>revelar nombre y último cargo que tenían en el gobierno municipal de Coyotepec de todas las personas que tiene demandado laboralmente al municipio de Coyotepec, así como también el monto de dinero que reclaman que les pague la administración municipal de Coyotepec, o copia de los documentos oficiales que contengan esta información, es evidente que su divulgación supera el interés público al difundirse dicha información, ya que causa un riesgo al tratarse de nombres y monto de dinero que reclaman.</w:t>
      </w:r>
      <w:r w:rsidRPr="005C38E7">
        <w:rPr>
          <w:rFonts w:ascii="Palatino Linotype" w:eastAsia="Palatino Linotype" w:hAnsi="Palatino Linotype" w:cs="Palatino Linotype"/>
          <w:sz w:val="22"/>
          <w:szCs w:val="22"/>
        </w:rPr>
        <w:t xml:space="preserve"> Por lo que, en el presente caso, se desprende que la información, a dicho del ente obligado, se relaciona con juicios laborales.</w:t>
      </w:r>
    </w:p>
    <w:p w14:paraId="69DC2A2E" w14:textId="77777777" w:rsidR="00275B55" w:rsidRPr="005C38E7" w:rsidRDefault="00275B55">
      <w:pPr>
        <w:spacing w:before="240" w:after="240" w:line="360" w:lineRule="auto"/>
        <w:jc w:val="both"/>
        <w:rPr>
          <w:rFonts w:ascii="Palatino Linotype" w:eastAsia="Palatino Linotype" w:hAnsi="Palatino Linotype" w:cs="Palatino Linotype"/>
          <w:sz w:val="22"/>
          <w:szCs w:val="22"/>
        </w:rPr>
      </w:pPr>
    </w:p>
    <w:p w14:paraId="3E4B232B"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 xml:space="preserve">En ese sentido, en el presente asunto se advierte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no acreditó fehacientemente que la totalidad de los acuses de los acuses de la documentación solicitada tuvieran relación directa con los procedimientos que se desahogan y tampoco proporcionó elementos detallados que permitieran acreditar la existencia de procedimientos en trámite, como pudiera ser el número de radicación de los procedimientos, la etapa en la que se encuentra cada uno de ellos o bien, que la documentación solicitada fueran constancias propias del mismo. </w:t>
      </w:r>
    </w:p>
    <w:p w14:paraId="6390F72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 así </w:t>
      </w:r>
      <w:proofErr w:type="gramStart"/>
      <w:r w:rsidRPr="005C38E7">
        <w:rPr>
          <w:rFonts w:ascii="Palatino Linotype" w:eastAsia="Palatino Linotype" w:hAnsi="Palatino Linotype" w:cs="Palatino Linotype"/>
          <w:sz w:val="22"/>
          <w:szCs w:val="22"/>
        </w:rPr>
        <w:t>que</w:t>
      </w:r>
      <w:proofErr w:type="gramEnd"/>
      <w:r w:rsidRPr="005C38E7">
        <w:rPr>
          <w:rFonts w:ascii="Palatino Linotype" w:eastAsia="Palatino Linotype" w:hAnsi="Palatino Linotype" w:cs="Palatino Linotype"/>
          <w:sz w:val="22"/>
          <w:szCs w:val="22"/>
        </w:rPr>
        <w:t xml:space="preserve">, la simple referencia del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respecto de que se relaciona con juicios </w:t>
      </w:r>
      <w:proofErr w:type="gramStart"/>
      <w:r w:rsidRPr="005C38E7">
        <w:rPr>
          <w:rFonts w:ascii="Palatino Linotype" w:eastAsia="Palatino Linotype" w:hAnsi="Palatino Linotype" w:cs="Palatino Linotype"/>
          <w:sz w:val="22"/>
          <w:szCs w:val="22"/>
        </w:rPr>
        <w:t>laborales,</w:t>
      </w:r>
      <w:proofErr w:type="gramEnd"/>
      <w:r w:rsidRPr="005C38E7">
        <w:rPr>
          <w:rFonts w:ascii="Palatino Linotype" w:eastAsia="Palatino Linotype" w:hAnsi="Palatino Linotype" w:cs="Palatino Linotype"/>
          <w:sz w:val="22"/>
          <w:szCs w:val="22"/>
        </w:rPr>
        <w:t xml:space="preserve"> no basta para acreditar la existencia de un procedimiento judicial, administrativo o arbitral en proceso y, por ende, no se actualiza la primera hipótesis. </w:t>
      </w:r>
    </w:p>
    <w:p w14:paraId="4B662E11"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2) </w:t>
      </w:r>
      <w:r w:rsidRPr="005C38E7">
        <w:rPr>
          <w:rFonts w:ascii="Palatino Linotype" w:eastAsia="Palatino Linotype" w:hAnsi="Palatino Linotype" w:cs="Palatino Linotype"/>
          <w:b/>
          <w:sz w:val="22"/>
          <w:szCs w:val="22"/>
        </w:rPr>
        <w:t>Que el sujeto obligado sea parte en ese procedimiento:</w:t>
      </w:r>
      <w:r w:rsidRPr="005C38E7">
        <w:rPr>
          <w:rFonts w:ascii="Palatino Linotype" w:eastAsia="Palatino Linotype" w:hAnsi="Palatino Linotype" w:cs="Palatino Linotype"/>
          <w:sz w:val="22"/>
          <w:szCs w:val="22"/>
        </w:rPr>
        <w:t xml:space="preserve"> Ahora bien, en el presente caso,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señaló expresamente que formar parte dentro de los procedimientos ya que fue demandado laboralmente. </w:t>
      </w:r>
    </w:p>
    <w:p w14:paraId="2A02240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No obstante, como anteriormente se refirió,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no acreditó fehacientemente </w:t>
      </w:r>
      <w:r w:rsidRPr="005C38E7">
        <w:rPr>
          <w:rFonts w:ascii="Palatino Linotype" w:eastAsia="Palatino Linotype" w:hAnsi="Palatino Linotype" w:cs="Palatino Linotype"/>
          <w:b/>
          <w:sz w:val="22"/>
          <w:szCs w:val="22"/>
          <w:u w:val="single"/>
        </w:rPr>
        <w:t>que todos los acuses de la correspondencia emitida</w:t>
      </w:r>
      <w:r w:rsidRPr="005C38E7">
        <w:rPr>
          <w:rFonts w:ascii="Palatino Linotype" w:eastAsia="Palatino Linotype" w:hAnsi="Palatino Linotype" w:cs="Palatino Linotype"/>
          <w:sz w:val="22"/>
          <w:szCs w:val="22"/>
        </w:rPr>
        <w:t xml:space="preserve"> por las áreas de las que se pide información, tanto externos como internos, tuvieran relación directa con los procedimientos que se desahogan o incluso de su existencia, razón por la que, en el presente caso, tampoco se puede determinar que en todos los expedientes que se encuentren en trámite obre la totalidad de la correspondencia solicitada; por lo que no se acredita el cumplimiento de dicho requisito.</w:t>
      </w:r>
    </w:p>
    <w:p w14:paraId="2F2D294A"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3) </w:t>
      </w:r>
      <w:r w:rsidRPr="005C38E7">
        <w:rPr>
          <w:rFonts w:ascii="Palatino Linotype" w:eastAsia="Palatino Linotype" w:hAnsi="Palatino Linotype" w:cs="Palatino Linotype"/>
          <w:b/>
          <w:sz w:val="22"/>
          <w:szCs w:val="22"/>
          <w:u w:val="single"/>
        </w:rPr>
        <w:t xml:space="preserve">Que la información no sea conocida por la contraparte antes de la presentación de </w:t>
      </w:r>
      <w:proofErr w:type="gramStart"/>
      <w:r w:rsidRPr="005C38E7">
        <w:rPr>
          <w:rFonts w:ascii="Palatino Linotype" w:eastAsia="Palatino Linotype" w:hAnsi="Palatino Linotype" w:cs="Palatino Linotype"/>
          <w:b/>
          <w:sz w:val="22"/>
          <w:szCs w:val="22"/>
          <w:u w:val="single"/>
        </w:rPr>
        <w:t>la misma</w:t>
      </w:r>
      <w:proofErr w:type="gramEnd"/>
      <w:r w:rsidRPr="005C38E7">
        <w:rPr>
          <w:rFonts w:ascii="Palatino Linotype" w:eastAsia="Palatino Linotype" w:hAnsi="Palatino Linotype" w:cs="Palatino Linotype"/>
          <w:b/>
          <w:sz w:val="22"/>
          <w:szCs w:val="22"/>
          <w:u w:val="single"/>
        </w:rPr>
        <w:t xml:space="preserve"> en el proceso</w:t>
      </w:r>
      <w:r w:rsidRPr="005C38E7">
        <w:rPr>
          <w:rFonts w:ascii="Palatino Linotype" w:eastAsia="Palatino Linotype" w:hAnsi="Palatino Linotype" w:cs="Palatino Linotype"/>
          <w:sz w:val="22"/>
          <w:szCs w:val="22"/>
        </w:rPr>
        <w:t xml:space="preserve">. Al respecto,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en la referida Acta del Comité de Transparencia, no acredita el cumplimiento de dicho requisito, ya que no se demuestra el </w:t>
      </w:r>
      <w:r w:rsidRPr="005C38E7">
        <w:rPr>
          <w:rFonts w:ascii="Palatino Linotype" w:eastAsia="Palatino Linotype" w:hAnsi="Palatino Linotype" w:cs="Palatino Linotype"/>
          <w:sz w:val="22"/>
          <w:szCs w:val="22"/>
        </w:rPr>
        <w:lastRenderedPageBreak/>
        <w:t xml:space="preserve">tipo de información que obra en la correspondencia emitida y las razones por las que no puede ser conocida por la hoy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w:t>
      </w:r>
    </w:p>
    <w:p w14:paraId="7295C25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4) </w:t>
      </w:r>
      <w:r w:rsidRPr="005C38E7">
        <w:rPr>
          <w:rFonts w:ascii="Palatino Linotype" w:eastAsia="Palatino Linotype" w:hAnsi="Palatino Linotype" w:cs="Palatino Linotype"/>
          <w:b/>
          <w:sz w:val="22"/>
          <w:szCs w:val="22"/>
          <w:u w:val="single"/>
        </w:rPr>
        <w:t>Que la información con su divulgación se afecte la oportunidad de llevar a cabo alguna de las garantías del debido proceso</w:t>
      </w:r>
      <w:r w:rsidRPr="005C38E7">
        <w:rPr>
          <w:rFonts w:ascii="Palatino Linotype" w:eastAsia="Palatino Linotype" w:hAnsi="Palatino Linotype" w:cs="Palatino Linotype"/>
          <w:sz w:val="22"/>
          <w:szCs w:val="22"/>
        </w:rPr>
        <w:t xml:space="preserve">. Sobre dicho requisito,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fue omiso en indicar la razón por la que la divulgación de la información afectaría la oportunidad de llevar a cabo alguno de las garantías del debido proceso. Respecto lo anterior, es de recordar que el debido proceso es el derecho que tiene toda persona para ejercer su defensa y ser oída dentro de un procedimiento, con las debidas oportunidades y dentro de un plazo razonable, por la autoridad competente previo al reconocimiento o restricción de sus derechos y obligaciones. Por tales circunstancias, se considera que en el caso no se acredita la reserva de la información bajo la causal analizada, por el incumplimiento a los requisitos para que proceda.</w:t>
      </w:r>
    </w:p>
    <w:p w14:paraId="764C6D5F"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Ahora bien, se procede al análisis </w:t>
      </w:r>
      <w:r w:rsidRPr="005C38E7">
        <w:rPr>
          <w:rFonts w:ascii="Palatino Linotype" w:eastAsia="Palatino Linotype" w:hAnsi="Palatino Linotype" w:cs="Palatino Linotype"/>
          <w:b/>
          <w:sz w:val="22"/>
          <w:szCs w:val="22"/>
          <w:u w:val="single"/>
        </w:rPr>
        <w:t>en lo que respecta a la causal de clasificación establecida en el artículo 140, fracción VIII de la Ley de Transparencia y Acceso a la Información Pública y al homólogo 113, fracción XI de la Ley General de Transparencia y Acceso a la Información Pública</w:t>
      </w:r>
      <w:r w:rsidRPr="005C38E7">
        <w:rPr>
          <w:rFonts w:ascii="Palatino Linotype" w:eastAsia="Palatino Linotype" w:hAnsi="Palatino Linotype" w:cs="Palatino Linotype"/>
          <w:sz w:val="22"/>
          <w:szCs w:val="22"/>
        </w:rPr>
        <w:t>, mismos que establece que será información reservada aquella que vulnere la conducción de los expedientes judiciales o de los procedimientos administrativos seguidos en forma de juicio, en tanto no hayan causado estado.</w:t>
      </w:r>
    </w:p>
    <w:p w14:paraId="6D0CCE8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En ese sentido, los Lineamientos Generales prevé lo siguiente:</w:t>
      </w:r>
    </w:p>
    <w:p w14:paraId="1F5BABA5"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“Trigésimo.</w:t>
      </w:r>
      <w:r w:rsidRPr="005C38E7">
        <w:rPr>
          <w:rFonts w:ascii="Palatino Linotype" w:eastAsia="Palatino Linotype" w:hAnsi="Palatino Linotype" w:cs="Palatino Linotype"/>
          <w:i/>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1AD49F01"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lastRenderedPageBreak/>
        <w:t>I.</w:t>
      </w:r>
      <w:r w:rsidRPr="005C38E7">
        <w:rPr>
          <w:rFonts w:ascii="Palatino Linotype" w:eastAsia="Palatino Linotype" w:hAnsi="Palatino Linotype" w:cs="Palatino Linotype"/>
          <w:i/>
          <w:sz w:val="22"/>
          <w:szCs w:val="22"/>
        </w:rPr>
        <w:t xml:space="preserve"> La existencia de un juicio o procedimiento administrativo materialmente jurisdiccional, que se encuentre en trámite, y </w:t>
      </w:r>
    </w:p>
    <w:p w14:paraId="69E49678"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II.</w:t>
      </w:r>
      <w:r w:rsidRPr="005C38E7">
        <w:rPr>
          <w:rFonts w:ascii="Palatino Linotype" w:eastAsia="Palatino Linotype" w:hAnsi="Palatino Linotype" w:cs="Palatino Linotype"/>
          <w:i/>
          <w:sz w:val="22"/>
          <w:szCs w:val="22"/>
        </w:rPr>
        <w:t xml:space="preserve"> Que la información solicitada se refiera a actuaciones, diligencias o constancias propias del procedimiento. </w:t>
      </w:r>
    </w:p>
    <w:p w14:paraId="016D60C6"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Para los efectos del primer párrafo de este numeral, se considera procedimiento seguido en forma de juicio a aquel formalmente administrativo, pero materialmente jurisdiccional; esto es, en el que concurran los siguientes elementos: </w:t>
      </w:r>
    </w:p>
    <w:p w14:paraId="5C2643FA"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1.</w:t>
      </w:r>
      <w:r w:rsidRPr="005C38E7">
        <w:rPr>
          <w:rFonts w:ascii="Palatino Linotype" w:eastAsia="Palatino Linotype" w:hAnsi="Palatino Linotype" w:cs="Palatino Linotype"/>
          <w:i/>
          <w:sz w:val="22"/>
          <w:szCs w:val="22"/>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430AA291"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2.</w:t>
      </w:r>
      <w:r w:rsidRPr="005C38E7">
        <w:rPr>
          <w:rFonts w:ascii="Palatino Linotype" w:eastAsia="Palatino Linotype" w:hAnsi="Palatino Linotype" w:cs="Palatino Linotype"/>
          <w:i/>
          <w:sz w:val="22"/>
          <w:szCs w:val="22"/>
        </w:rPr>
        <w:t xml:space="preserve"> Que se cumplan las formalidades esenciales del procedimiento. </w:t>
      </w:r>
    </w:p>
    <w:p w14:paraId="0A0B6454" w14:textId="77777777" w:rsidR="00275B55" w:rsidRPr="005C38E7" w:rsidRDefault="00E436DD">
      <w:pPr>
        <w:spacing w:before="240" w:after="240" w:line="276" w:lineRule="auto"/>
        <w:ind w:left="567" w:right="567"/>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214A13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De la normatividad citada, se desprende que el supuesto de clasificación invocado prevé que como información reservada podrá clasificarse aquella que vulnere la conducción de los expedientes judiciales o de los procedimientos administrativos seguidos en forma de juicio, en tanto no hayan causado estado. </w:t>
      </w:r>
    </w:p>
    <w:p w14:paraId="1C798563"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Por lo cual, para considerar que se actualiza dicha causal es necesario que se configuren los siguientes elementos:</w:t>
      </w:r>
    </w:p>
    <w:p w14:paraId="7CFEE8AC" w14:textId="77777777" w:rsidR="00275B55" w:rsidRPr="005C38E7" w:rsidRDefault="00E436DD">
      <w:pPr>
        <w:numPr>
          <w:ilvl w:val="0"/>
          <w:numId w:val="13"/>
        </w:num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La existencia de un juicio o procedimiento administrativo materialmente jurisdiccional, que se encuentre en trámite, y</w:t>
      </w:r>
    </w:p>
    <w:p w14:paraId="5A311A26" w14:textId="77777777" w:rsidR="00275B55" w:rsidRPr="005C38E7" w:rsidRDefault="00E436DD">
      <w:pPr>
        <w:numPr>
          <w:ilvl w:val="0"/>
          <w:numId w:val="13"/>
        </w:num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Que la información solicitada se refiera a actuaciones, diligencias o constancias propias del procedimiento.</w:t>
      </w:r>
    </w:p>
    <w:p w14:paraId="28C513D3"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2B964E56"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Por lo cual, se procede analizar cada uno de los requisitos señalados en los Lineamientos Generales, con la finalidad de verificar si se configura la hipótesis de reserva en estudio:</w:t>
      </w:r>
    </w:p>
    <w:p w14:paraId="4047F410" w14:textId="77777777" w:rsidR="00275B55" w:rsidRPr="005C38E7" w:rsidRDefault="00E436DD">
      <w:pPr>
        <w:numPr>
          <w:ilvl w:val="0"/>
          <w:numId w:val="14"/>
        </w:numP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La existencia de un juicio o procedimiento administrativo materialmente jurisdiccional, que se encuentre en trámite.</w:t>
      </w:r>
    </w:p>
    <w:p w14:paraId="236AD3D8"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Al respecto, en el presente caso y, de lo que se desprende no se acreditó la existencia de los juicios referidos, y tampoco que la totalidad de la correspondencia emitida por los servidores públicos de los que se pide información, se encuentren efectivamente relacionada con los mismos. </w:t>
      </w:r>
    </w:p>
    <w:p w14:paraId="544DCAA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sentido, no se actualiza el </w:t>
      </w:r>
      <w:r w:rsidRPr="005C38E7">
        <w:rPr>
          <w:rFonts w:ascii="Palatino Linotype" w:eastAsia="Palatino Linotype" w:hAnsi="Palatino Linotype" w:cs="Palatino Linotype"/>
          <w:b/>
          <w:sz w:val="22"/>
          <w:szCs w:val="22"/>
        </w:rPr>
        <w:t xml:space="preserve">primer elemento, </w:t>
      </w:r>
      <w:r w:rsidRPr="005C38E7">
        <w:rPr>
          <w:rFonts w:ascii="Palatino Linotype" w:eastAsia="Palatino Linotype" w:hAnsi="Palatino Linotype" w:cs="Palatino Linotype"/>
          <w:sz w:val="22"/>
          <w:szCs w:val="22"/>
        </w:rPr>
        <w:t>respecto de la primera causal de clasificación en estudio.</w:t>
      </w:r>
    </w:p>
    <w:p w14:paraId="47634F11" w14:textId="77777777" w:rsidR="00275B55" w:rsidRPr="005C38E7" w:rsidRDefault="00E436DD">
      <w:pPr>
        <w:numPr>
          <w:ilvl w:val="0"/>
          <w:numId w:val="14"/>
        </w:numPr>
        <w:pBdr>
          <w:top w:val="nil"/>
          <w:left w:val="nil"/>
          <w:bottom w:val="nil"/>
          <w:right w:val="nil"/>
          <w:between w:val="nil"/>
        </w:pBdr>
        <w:spacing w:before="240" w:after="240" w:line="360" w:lineRule="auto"/>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Que la información solicitada se refiera a actuaciones, diligencias o constancias propias del procedimiento.</w:t>
      </w:r>
    </w:p>
    <w:p w14:paraId="47DD0B1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 Ahora bien, por lo que hace a que la información se refiera a actuaciones, diligencias o constancias propias del procedimiento, es de recordar que, en el presente caso, la pretensión del ahora Recurrente es todos los oficios emitidos tanto autoridades del propio ayuntamiento como a particulares o dependencias distintas al ayuntamiento, información que no acreditó que  en su totalidad se encontrara contenida en el los expedientes de juicios laborales, por lo que, en primera instancia se podría decir que la totalidad de los documentos solicitados no acreditan el presente requisito, pues de conformidad con la prueba de daño </w:t>
      </w:r>
      <w:r w:rsidRPr="005C38E7">
        <w:rPr>
          <w:rFonts w:ascii="Palatino Linotype" w:eastAsia="Palatino Linotype" w:hAnsi="Palatino Linotype" w:cs="Palatino Linotype"/>
          <w:sz w:val="22"/>
          <w:szCs w:val="22"/>
        </w:rPr>
        <w:lastRenderedPageBreak/>
        <w:t xml:space="preserve">remitida en respuesta no aportó elementos para acreditar tal circunstancia, esto es, no acreditó que la totalidad de la correspondencia solicitada, corresponda a documentos generados dentro de los juicios laborales, a los que hace referencia el Sujeto Obligado. </w:t>
      </w:r>
    </w:p>
    <w:p w14:paraId="05FED82F"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 así que, del análisis a los Acuerdos  del Comité de Transparencia, se tiene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w:t>
      </w:r>
      <w:r w:rsidRPr="005C38E7">
        <w:rPr>
          <w:rFonts w:ascii="Palatino Linotype" w:eastAsia="Palatino Linotype" w:hAnsi="Palatino Linotype" w:cs="Palatino Linotype"/>
          <w:b/>
          <w:sz w:val="22"/>
          <w:szCs w:val="22"/>
          <w:u w:val="single"/>
        </w:rPr>
        <w:t>no fundó y motivó adecuadamente la clasificación de la información solicitada</w:t>
      </w:r>
      <w:r w:rsidRPr="005C38E7">
        <w:rPr>
          <w:rFonts w:ascii="Palatino Linotype" w:eastAsia="Palatino Linotype" w:hAnsi="Palatino Linotype" w:cs="Palatino Linotype"/>
          <w:sz w:val="22"/>
          <w:szCs w:val="22"/>
        </w:rPr>
        <w:t xml:space="preserve">, pues no señaló específicamente las razones, motivos o circunstancias especiales que lo llevaron a concluir que el caso concreto se ajusta a cada una de las hipótesis previstas por la norma legal que fundamenta el acto, así como, </w:t>
      </w:r>
      <w:r w:rsidRPr="005C38E7">
        <w:rPr>
          <w:rFonts w:ascii="Palatino Linotype" w:eastAsia="Palatino Linotype" w:hAnsi="Palatino Linotype" w:cs="Palatino Linotype"/>
          <w:b/>
          <w:sz w:val="22"/>
          <w:szCs w:val="22"/>
          <w:u w:val="single"/>
        </w:rPr>
        <w:t>no desarrolló la prueba de daño cabalmente de cada una de los supuestos referidos</w:t>
      </w:r>
      <w:r w:rsidRPr="005C38E7">
        <w:rPr>
          <w:rFonts w:ascii="Palatino Linotype" w:eastAsia="Palatino Linotype" w:hAnsi="Palatino Linotype" w:cs="Palatino Linotype"/>
          <w:sz w:val="22"/>
          <w:szCs w:val="22"/>
        </w:rPr>
        <w:t xml:space="preserve">, es decir: </w:t>
      </w:r>
    </w:p>
    <w:p w14:paraId="1CB8355B" w14:textId="77777777" w:rsidR="00275B55" w:rsidRPr="005C38E7" w:rsidRDefault="00E436DD">
      <w:pPr>
        <w:numPr>
          <w:ilvl w:val="0"/>
          <w:numId w:val="8"/>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No señaló las razones objetivas por las que la exhibición de la información generaría una afectación;</w:t>
      </w:r>
    </w:p>
    <w:p w14:paraId="61E392F6" w14:textId="77777777" w:rsidR="00275B55" w:rsidRPr="005C38E7" w:rsidRDefault="00E436DD">
      <w:pPr>
        <w:numPr>
          <w:ilvl w:val="0"/>
          <w:numId w:val="8"/>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 No justificó que la divulgación de la información representa un riesgo real, demostrable e identificable en perjuicio del interés público.</w:t>
      </w:r>
    </w:p>
    <w:p w14:paraId="7289DC54" w14:textId="77777777" w:rsidR="00275B55" w:rsidRPr="005C38E7" w:rsidRDefault="00E436DD">
      <w:pPr>
        <w:numPr>
          <w:ilvl w:val="0"/>
          <w:numId w:val="8"/>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No justificó que el riesgo del perjuicio que supondría dicha divulgación, supera el interés público general de que se difunda; y </w:t>
      </w:r>
    </w:p>
    <w:p w14:paraId="2DD6711C" w14:textId="77777777" w:rsidR="00275B55" w:rsidRPr="005C38E7" w:rsidRDefault="00E436DD">
      <w:pPr>
        <w:numPr>
          <w:ilvl w:val="0"/>
          <w:numId w:val="8"/>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No precisó adecuadamente que la limitación se adecua al principio de proporcionalidad y representa el medio menos restrictivo disponible para evitar el perjuicio.</w:t>
      </w:r>
    </w:p>
    <w:p w14:paraId="16BE1CE9" w14:textId="77777777" w:rsidR="00275B55" w:rsidRPr="005C38E7" w:rsidRDefault="00E436DD">
      <w:pPr>
        <w:spacing w:before="240" w:after="240" w:line="360" w:lineRule="auto"/>
        <w:jc w:val="both"/>
        <w:rPr>
          <w:rFonts w:ascii="Palatino Linotype" w:eastAsia="Palatino Linotype" w:hAnsi="Palatino Linotype" w:cs="Palatino Linotype"/>
          <w:b/>
          <w:sz w:val="22"/>
          <w:szCs w:val="22"/>
          <w:u w:val="single"/>
        </w:rPr>
      </w:pPr>
      <w:r w:rsidRPr="005C38E7">
        <w:rPr>
          <w:rFonts w:ascii="Palatino Linotype" w:eastAsia="Palatino Linotype" w:hAnsi="Palatino Linotype" w:cs="Palatino Linotype"/>
          <w:b/>
          <w:sz w:val="22"/>
          <w:szCs w:val="22"/>
          <w:u w:val="single"/>
        </w:rPr>
        <w:t xml:space="preserve">Es así </w:t>
      </w:r>
      <w:proofErr w:type="gramStart"/>
      <w:r w:rsidRPr="005C38E7">
        <w:rPr>
          <w:rFonts w:ascii="Palatino Linotype" w:eastAsia="Palatino Linotype" w:hAnsi="Palatino Linotype" w:cs="Palatino Linotype"/>
          <w:b/>
          <w:sz w:val="22"/>
          <w:szCs w:val="22"/>
          <w:u w:val="single"/>
        </w:rPr>
        <w:t>que</w:t>
      </w:r>
      <w:proofErr w:type="gramEnd"/>
      <w:r w:rsidRPr="005C38E7">
        <w:rPr>
          <w:rFonts w:ascii="Palatino Linotype" w:eastAsia="Palatino Linotype" w:hAnsi="Palatino Linotype" w:cs="Palatino Linotype"/>
          <w:b/>
          <w:sz w:val="22"/>
          <w:szCs w:val="22"/>
          <w:u w:val="single"/>
        </w:rPr>
        <w:t xml:space="preserve">, este Organismo Garante determina que el Comité de Transparencia no fundamentó ni motivó adecuadamente la clasificación de la información, ya que, no acreditó fehacientemente que la divulgación de la información lesiona el interés jurídicamente protegido por la normatividad aplicable y que el daño que puede producirse con la publicidad de la información es mayor que el interés de conocerla. </w:t>
      </w:r>
    </w:p>
    <w:p w14:paraId="1667D30A" w14:textId="77777777" w:rsidR="00275B55" w:rsidRPr="005C38E7" w:rsidRDefault="00E436DD">
      <w:pPr>
        <w:numPr>
          <w:ilvl w:val="0"/>
          <w:numId w:val="7"/>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lastRenderedPageBreak/>
        <w:t xml:space="preserve">Del interés público de la información solicitada. </w:t>
      </w:r>
    </w:p>
    <w:p w14:paraId="2817E98C"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sentido, para realizar el análisis de la reserva de la información es necesario valorar la naturaleza de la información solicitada, en el presente caso, es de señalar que la </w:t>
      </w:r>
      <w:r w:rsidRPr="005C38E7">
        <w:rPr>
          <w:rFonts w:ascii="Palatino Linotype" w:eastAsia="Palatino Linotype" w:hAnsi="Palatino Linotype" w:cs="Palatino Linotype"/>
          <w:b/>
          <w:sz w:val="22"/>
          <w:szCs w:val="22"/>
        </w:rPr>
        <w:t xml:space="preserve">pretensión </w:t>
      </w:r>
      <w:r w:rsidRPr="005C38E7">
        <w:rPr>
          <w:rFonts w:ascii="Palatino Linotype" w:eastAsia="Palatino Linotype" w:hAnsi="Palatino Linotype" w:cs="Palatino Linotype"/>
          <w:sz w:val="22"/>
          <w:szCs w:val="22"/>
        </w:rPr>
        <w:t xml:space="preserve">de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es obtener los acuses de la correspondencia emitida por el </w:t>
      </w:r>
      <w:proofErr w:type="gramStart"/>
      <w:r w:rsidRPr="005C38E7">
        <w:rPr>
          <w:rFonts w:ascii="Palatino Linotype" w:eastAsia="Palatino Linotype" w:hAnsi="Palatino Linotype" w:cs="Palatino Linotype"/>
          <w:sz w:val="22"/>
          <w:szCs w:val="22"/>
        </w:rPr>
        <w:t>Presidente</w:t>
      </w:r>
      <w:proofErr w:type="gramEnd"/>
      <w:r w:rsidRPr="005C38E7">
        <w:rPr>
          <w:rFonts w:ascii="Palatino Linotype" w:eastAsia="Palatino Linotype" w:hAnsi="Palatino Linotype" w:cs="Palatino Linotype"/>
          <w:sz w:val="22"/>
          <w:szCs w:val="22"/>
        </w:rPr>
        <w:t xml:space="preserve"> Municipal y el </w:t>
      </w:r>
      <w:proofErr w:type="gramStart"/>
      <w:r w:rsidRPr="005C38E7">
        <w:rPr>
          <w:rFonts w:ascii="Palatino Linotype" w:eastAsia="Palatino Linotype" w:hAnsi="Palatino Linotype" w:cs="Palatino Linotype"/>
          <w:sz w:val="22"/>
          <w:szCs w:val="22"/>
        </w:rPr>
        <w:t>Secretario</w:t>
      </w:r>
      <w:proofErr w:type="gramEnd"/>
      <w:r w:rsidRPr="005C38E7">
        <w:rPr>
          <w:rFonts w:ascii="Palatino Linotype" w:eastAsia="Palatino Linotype" w:hAnsi="Palatino Linotype" w:cs="Palatino Linotype"/>
          <w:sz w:val="22"/>
          <w:szCs w:val="22"/>
        </w:rPr>
        <w:t xml:space="preserve"> del Ayuntamiento. </w:t>
      </w:r>
    </w:p>
    <w:p w14:paraId="38675B3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Respecto al tema, es conviene señalar </w:t>
      </w:r>
      <w:proofErr w:type="gramStart"/>
      <w:r w:rsidRPr="005C38E7">
        <w:rPr>
          <w:rFonts w:ascii="Palatino Linotype" w:eastAsia="Palatino Linotype" w:hAnsi="Palatino Linotype" w:cs="Palatino Linotype"/>
          <w:sz w:val="22"/>
          <w:szCs w:val="22"/>
        </w:rPr>
        <w:t>que</w:t>
      </w:r>
      <w:proofErr w:type="gramEnd"/>
      <w:r w:rsidRPr="005C38E7">
        <w:rPr>
          <w:rFonts w:ascii="Palatino Linotype" w:eastAsia="Palatino Linotype" w:hAnsi="Palatino Linotype" w:cs="Palatino Linotype"/>
          <w:sz w:val="22"/>
          <w:szCs w:val="22"/>
        </w:rPr>
        <w:t xml:space="preserve"> de manera enunciativa, más no limitativa se puede comprender dentro de la correspondencia </w:t>
      </w:r>
      <w:proofErr w:type="gramStart"/>
      <w:r w:rsidRPr="005C38E7">
        <w:rPr>
          <w:rFonts w:ascii="Palatino Linotype" w:eastAsia="Palatino Linotype" w:hAnsi="Palatino Linotype" w:cs="Palatino Linotype"/>
          <w:sz w:val="22"/>
          <w:szCs w:val="22"/>
        </w:rPr>
        <w:t>emitida,  los</w:t>
      </w:r>
      <w:proofErr w:type="gramEnd"/>
      <w:r w:rsidRPr="005C38E7">
        <w:rPr>
          <w:rFonts w:ascii="Palatino Linotype" w:eastAsia="Palatino Linotype" w:hAnsi="Palatino Linotype" w:cs="Palatino Linotype"/>
          <w:sz w:val="22"/>
          <w:szCs w:val="22"/>
        </w:rPr>
        <w:t xml:space="preserve"> </w:t>
      </w:r>
      <w:r w:rsidRPr="005C38E7">
        <w:rPr>
          <w:rFonts w:ascii="Palatino Linotype" w:eastAsia="Palatino Linotype" w:hAnsi="Palatino Linotype" w:cs="Palatino Linotype"/>
          <w:b/>
          <w:i/>
          <w:sz w:val="22"/>
          <w:szCs w:val="22"/>
        </w:rPr>
        <w:t>oficios</w:t>
      </w:r>
      <w:r w:rsidRPr="005C38E7">
        <w:rPr>
          <w:rFonts w:ascii="Palatino Linotype" w:eastAsia="Palatino Linotype" w:hAnsi="Palatino Linotype" w:cs="Palatino Linotype"/>
          <w:sz w:val="22"/>
          <w:szCs w:val="22"/>
        </w:rPr>
        <w:t>, mismos que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7022AE55" w14:textId="77777777" w:rsidR="00275B55" w:rsidRPr="005C38E7" w:rsidRDefault="00E436DD">
      <w:pPr>
        <w:shd w:val="clear" w:color="auto" w:fill="FFFFFF"/>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“6. m. Comunicación escrita, referente a los asuntos de las Administraciones públicas.</w:t>
      </w:r>
    </w:p>
    <w:p w14:paraId="7D86E7EA" w14:textId="77777777" w:rsidR="00275B55" w:rsidRPr="005C38E7" w:rsidRDefault="00E436DD">
      <w:pPr>
        <w:shd w:val="clear" w:color="auto" w:fill="FFFFFF"/>
        <w:spacing w:before="240" w:after="240" w:line="276" w:lineRule="auto"/>
        <w:ind w:left="851"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Sin.: escrito, comunicado, comunicación, documento, expediente.” (Sic)</w:t>
      </w:r>
    </w:p>
    <w:p w14:paraId="3B7BF1B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Esto es, deberá proporcionar aquellos documentos (oficios, circulares, </w:t>
      </w:r>
      <w:proofErr w:type="spellStart"/>
      <w:r w:rsidRPr="005C38E7">
        <w:rPr>
          <w:rFonts w:ascii="Palatino Linotype" w:eastAsia="Palatino Linotype" w:hAnsi="Palatino Linotype" w:cs="Palatino Linotype"/>
          <w:sz w:val="22"/>
          <w:szCs w:val="22"/>
        </w:rPr>
        <w:t>memorandums</w:t>
      </w:r>
      <w:proofErr w:type="spellEnd"/>
      <w:r w:rsidRPr="005C38E7">
        <w:rPr>
          <w:rFonts w:ascii="Palatino Linotype" w:eastAsia="Palatino Linotype" w:hAnsi="Palatino Linotype" w:cs="Palatino Linotype"/>
          <w:sz w:val="22"/>
          <w:szCs w:val="22"/>
        </w:rPr>
        <w:t xml:space="preserve">, o cualquier otros) que sirven de comunicación entre las diferentes unidades administrativas de una institución pública o bien con particulares o bien otras instituciones ajenas a la organización. </w:t>
      </w:r>
    </w:p>
    <w:p w14:paraId="1CF50779" w14:textId="77777777" w:rsidR="00275B55" w:rsidRPr="005C38E7" w:rsidRDefault="00E436DD">
      <w:pPr>
        <w:widowControl w:val="0"/>
        <w:spacing w:before="240" w:after="240" w:line="360" w:lineRule="auto"/>
        <w:ind w:right="-91"/>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lo que respecta a la Presidencia Municipal y la Secretaría del Ayuntamiento, la Ley Orgánica Municipal del Estado de México establece que contarán con las siguientes funciones: </w:t>
      </w:r>
    </w:p>
    <w:p w14:paraId="7F2C6872" w14:textId="77777777" w:rsidR="00275B55" w:rsidRPr="005C38E7" w:rsidRDefault="00E436DD">
      <w:pPr>
        <w:widowControl w:val="0"/>
        <w:spacing w:line="276" w:lineRule="auto"/>
        <w:ind w:left="567" w:right="333"/>
        <w:jc w:val="both"/>
        <w:rPr>
          <w:rFonts w:ascii="Palatino Linotype" w:eastAsia="Palatino Linotype" w:hAnsi="Palatino Linotype" w:cs="Palatino Linotype"/>
          <w:b/>
          <w:i/>
          <w:sz w:val="22"/>
          <w:szCs w:val="22"/>
        </w:rPr>
      </w:pPr>
      <w:r w:rsidRPr="005C38E7">
        <w:rPr>
          <w:rFonts w:ascii="Palatino Linotype" w:eastAsia="Palatino Linotype" w:hAnsi="Palatino Linotype" w:cs="Palatino Linotype"/>
          <w:i/>
          <w:sz w:val="22"/>
          <w:szCs w:val="22"/>
        </w:rPr>
        <w:t xml:space="preserve">Artículo 48.- </w:t>
      </w:r>
      <w:r w:rsidRPr="005C38E7">
        <w:rPr>
          <w:rFonts w:ascii="Palatino Linotype" w:eastAsia="Palatino Linotype" w:hAnsi="Palatino Linotype" w:cs="Palatino Linotype"/>
          <w:b/>
          <w:i/>
          <w:sz w:val="22"/>
          <w:szCs w:val="22"/>
        </w:rPr>
        <w:t>La persona titular de la presidencia municipal tiene las siguientes atribuciones:</w:t>
      </w:r>
    </w:p>
    <w:p w14:paraId="65AFE628"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I. Presidir y dirigir las sesiones del ayuntamiento;</w:t>
      </w:r>
    </w:p>
    <w:p w14:paraId="281D7967"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Ejecutar los acuerdos del ayuntamiento e informar su cumplimiento;</w:t>
      </w:r>
    </w:p>
    <w:p w14:paraId="0DC73B57"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Promulgar y publicar el Bando Municipal en la Gaceta Municipal y en los estrados de la Secretaría del Ayuntamiento, así como ordenar la difusión de las normas de carácter general y reglamentos aprobados por el Ayuntamiento;</w:t>
      </w:r>
    </w:p>
    <w:p w14:paraId="2F3C20B2"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IV.- Asumir la representación jurídica del Municipio y del ayuntamiento, así como de las dependencias de la Administración Pública Municipal, en los litigios en que este sea parte.</w:t>
      </w:r>
    </w:p>
    <w:p w14:paraId="30BF06F6"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IV Bis. Vigilar y ejecutar los programas y acciones para la prevención, atención y en su caso, el pago de las responsabilidades económicas de los Ayuntamientos de los conflictos laborales;</w:t>
      </w:r>
    </w:p>
    <w:p w14:paraId="2B7ACAFC"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20C9E131"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V. Convocar a sesiones ordinarias y extraordinarias a los integrantes del ayuntamiento; </w:t>
      </w:r>
    </w:p>
    <w:p w14:paraId="7BD0DEC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 Bis. Elaborar, con la aprobación del cabildo, el presupuesto correspondiente al pago de las responsabilidades económicas derivadas de los conflictos laborales;</w:t>
      </w:r>
    </w:p>
    <w:p w14:paraId="16FE76AB"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 Proponer al ayuntamiento los nombramientos de las personas titulares de la secretaría,</w:t>
      </w:r>
    </w:p>
    <w:p w14:paraId="3B1B4EF8"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tesorería y de las dependencias y organismos auxiliares de la administración pública municipal, observando en todo tiempo que en su integración se respeten los principios de igualdad, equidad y garantizando la paridad de género;</w:t>
      </w:r>
    </w:p>
    <w:p w14:paraId="21B1598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 Bis. Expedir, previo acuerdo del Ayuntamiento, la licencia del establecimiento mercantil que autorice o permita la venta de bebidas alcohólicas, en un plazo no mayor a tres días hábiles, contados a partir de que sea emitida la autorización del Ayuntamiento;</w:t>
      </w:r>
    </w:p>
    <w:p w14:paraId="2BC59825"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 Ter. Informar al cabildo de los casos de terminación y recisión de las relaciones laborales</w:t>
      </w:r>
    </w:p>
    <w:p w14:paraId="566A8B12"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que se presenten independientemente de su causa, así como de las acciones que al respecto se deban tener para evitar los conflictos laborales, en términos de lo dispuesto por la Ley de</w:t>
      </w:r>
    </w:p>
    <w:p w14:paraId="50662441"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Transparencia y Acceso a la Información Pública del Estado de México y Municipios y la Ley de Protección de Datos Personales en posesión de sujetos obligados del Estado de México y Municipios;</w:t>
      </w:r>
    </w:p>
    <w:p w14:paraId="7989AEF9"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VII. Presidir las comisiones que le asigne la ley o el ayuntamiento;</w:t>
      </w:r>
    </w:p>
    <w:p w14:paraId="320A6CBC"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VIII. Contratar y concertar en representación del ayuntamiento y previo acuerdo de éste, la realización de obras y la prestación de servicios públicos, por terceros o con el concurso del Estado o de otros ayuntamientos;</w:t>
      </w:r>
    </w:p>
    <w:p w14:paraId="54FA3FE3"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IX. Verificar que la recaudación de las contribuciones y demás ingresos propios del municipio se realicen conforme a las disposiciones legales aplicables;</w:t>
      </w:r>
    </w:p>
    <w:p w14:paraId="1F71CE45"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 Vigilar la correcta inversión de los fondos públicos;</w:t>
      </w:r>
    </w:p>
    <w:p w14:paraId="6C02E8A2"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 Supervisar la administración, registro, control, uso, mantenimiento y conservación</w:t>
      </w:r>
    </w:p>
    <w:p w14:paraId="46A37833"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adecuados de los bienes del municipio; </w:t>
      </w:r>
    </w:p>
    <w:p w14:paraId="0847255B"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XII. Tener bajo su mando los cuerpos de seguridad pública, tránsito y bomberos municipales, en los términos del capítulo octavo, del título cuarto de esta Ley;</w:t>
      </w:r>
    </w:p>
    <w:p w14:paraId="2C70CBF5"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XII </w:t>
      </w:r>
      <w:proofErr w:type="gramStart"/>
      <w:r w:rsidRPr="005C38E7">
        <w:rPr>
          <w:rFonts w:ascii="Palatino Linotype" w:eastAsia="Palatino Linotype" w:hAnsi="Palatino Linotype" w:cs="Palatino Linotype"/>
          <w:i/>
          <w:sz w:val="22"/>
          <w:szCs w:val="22"/>
        </w:rPr>
        <w:t>bis.-</w:t>
      </w:r>
      <w:proofErr w:type="gramEnd"/>
      <w:r w:rsidRPr="005C38E7">
        <w:rPr>
          <w:rFonts w:ascii="Palatino Linotype" w:eastAsia="Palatino Linotype" w:hAnsi="Palatino Linotype" w:cs="Palatino Linotype"/>
          <w:i/>
          <w:sz w:val="22"/>
          <w:szCs w:val="22"/>
        </w:rPr>
        <w:t xml:space="preserve"> Vigilar y ejecutar los programas y subprogramas de protección civil y realizar las acciones encaminadas a optimizar los programas tendientes a prevenir el impacto de los fenómenos perturbadores.</w:t>
      </w:r>
    </w:p>
    <w:p w14:paraId="7E4D3CC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XIII. Vigilar que se integren y funcionen en forma legal las dependencias, unidades administrativas y organismos desconcentrados o descentralizados y fideicomisos que formen parte de la estructura administrativa;</w:t>
      </w:r>
    </w:p>
    <w:p w14:paraId="7422C3FD"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w:t>
      </w:r>
    </w:p>
    <w:p w14:paraId="74C5A53C"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XIII Ter.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w:t>
      </w:r>
    </w:p>
    <w:p w14:paraId="5D60F76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w:t>
      </w:r>
    </w:p>
    <w:p w14:paraId="6BFF9643"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XIII </w:t>
      </w:r>
      <w:proofErr w:type="spellStart"/>
      <w:r w:rsidRPr="005C38E7">
        <w:rPr>
          <w:rFonts w:ascii="Palatino Linotype" w:eastAsia="Palatino Linotype" w:hAnsi="Palatino Linotype" w:cs="Palatino Linotype"/>
          <w:i/>
          <w:sz w:val="22"/>
          <w:szCs w:val="22"/>
        </w:rPr>
        <w:t>Quáter</w:t>
      </w:r>
      <w:proofErr w:type="spellEnd"/>
      <w:r w:rsidRPr="005C38E7">
        <w:rPr>
          <w:rFonts w:ascii="Palatino Linotype" w:eastAsia="Palatino Linotype" w:hAnsi="Palatino Linotype" w:cs="Palatino Linotype"/>
          <w:i/>
          <w:sz w:val="22"/>
          <w:szCs w:val="22"/>
        </w:rPr>
        <w:t xml:space="preserve">. Expedir o negar licencias o permisos de funcionamiento para unidades económicas, de conformidad con lo previsto en las fracciones XXIV </w:t>
      </w:r>
      <w:proofErr w:type="spellStart"/>
      <w:r w:rsidRPr="005C38E7">
        <w:rPr>
          <w:rFonts w:ascii="Palatino Linotype" w:eastAsia="Palatino Linotype" w:hAnsi="Palatino Linotype" w:cs="Palatino Linotype"/>
          <w:i/>
          <w:sz w:val="22"/>
          <w:szCs w:val="22"/>
        </w:rPr>
        <w:t>Quater</w:t>
      </w:r>
      <w:proofErr w:type="spellEnd"/>
      <w:r w:rsidRPr="005C38E7">
        <w:rPr>
          <w:rFonts w:ascii="Palatino Linotype" w:eastAsia="Palatino Linotype" w:hAnsi="Palatino Linotype" w:cs="Palatino Linotype"/>
          <w:i/>
          <w:sz w:val="22"/>
          <w:szCs w:val="22"/>
        </w:rPr>
        <w:t xml:space="preserve"> y XXIV Quinques del artículo 31 de la presente Ley. Dicha expedición o negación queda supeditada al resultado del Dictamen de Giro o Evaluación de Impacto Estatal según corresponda, </w:t>
      </w:r>
      <w:r w:rsidRPr="005C38E7">
        <w:rPr>
          <w:rFonts w:ascii="Palatino Linotype" w:eastAsia="Palatino Linotype" w:hAnsi="Palatino Linotype" w:cs="Palatino Linotype"/>
          <w:i/>
          <w:sz w:val="22"/>
          <w:szCs w:val="22"/>
        </w:rPr>
        <w:lastRenderedPageBreak/>
        <w:t>dando respuesta en un plazo que no exceda de cinco días hábiles posteriores a la presentación de dicho dictamen o evaluación, en su caso, la cual deberá ser fundamentada y acorde al principio de transparencia.</w:t>
      </w:r>
    </w:p>
    <w:p w14:paraId="4734678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Las actividades que cuenten con Evaluación de Impacto Estatal no requerirán la emisión de Dictamen de Giro.</w:t>
      </w:r>
    </w:p>
    <w:p w14:paraId="4073675A"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La autoridad municipal deberá iniciar los trámites relativos con las autorizaciones, licencias o permisos, a partir de que el solicitante presente el acuerdo de aceptación de la solicitud de Evaluación de Impacto Estatal.</w:t>
      </w:r>
    </w:p>
    <w:p w14:paraId="2650B6F9"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Una vez que el solicitante entregue la Evaluación de Impacto Estatal, de ser procedente, podrá obtener la autorización, licencia o permiso correspondiente.</w:t>
      </w:r>
    </w:p>
    <w:p w14:paraId="018828AE"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XIII Quinquies. Desarrollar y ejecutar las políticas, programas y acciones en materia de Gobierno Digital, impulsando el uso estratégico de las tecnologías de la información en los</w:t>
      </w:r>
    </w:p>
    <w:p w14:paraId="5F8D53DB"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trámites y servicios que se otorgan por parte del Ayuntamiento, conforme a lo establecido en la Ley de Gobierno Digital del Estado de México y Municipios, su Reglamento y conforme a las disposiciones jurídicas de la materia;</w:t>
      </w:r>
    </w:p>
    <w:p w14:paraId="4BD6DEB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XIV. Vigilar que se integren y funcionen los consejos de participación ciudadana municipal y otros órganos de los que formen parte representantes de los vecinos;</w:t>
      </w:r>
    </w:p>
    <w:p w14:paraId="0D29DAFC"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19C2AF3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Dicho informe se publicará en la página oficial, en la Gaceta Municipal y en los estrados de la Secretaría del ayuntamiento para su consulta.</w:t>
      </w:r>
    </w:p>
    <w:p w14:paraId="5CC9B21E"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40C30583"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XVI Bis. Coadyuvar con el Instituto de Verificación Administrativa del Estado de México</w:t>
      </w:r>
    </w:p>
    <w:p w14:paraId="14B7398D"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respecto a la vigilancia a los establecimientos mercantiles con venta o suministro de bebidas</w:t>
      </w:r>
    </w:p>
    <w:p w14:paraId="54278A39"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alcohólicas en botella cerrada, consumo inmediato y al copeo, a fin de verificar que cuenten con la correspondiente licencia de funcionamiento y el Dictamen de Giro y cumplan con las disposiciones legales y reglamentarias correspondientes. Asimismo, para instaurar, los</w:t>
      </w:r>
    </w:p>
    <w:p w14:paraId="0BEE88CC"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procedimientos sancionadores correspondientes y, en su caso, dar vista al Ministerio Público por la posible comisión de algún delito;</w:t>
      </w:r>
    </w:p>
    <w:p w14:paraId="5902B6A6"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XVI Ter. Instalar y vigilar el debido funcionamiento de la ventanilla única en materia de</w:t>
      </w:r>
    </w:p>
    <w:p w14:paraId="5825F58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 xml:space="preserve">unidades económicas; </w:t>
      </w:r>
    </w:p>
    <w:p w14:paraId="4348A26B"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548BB81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0F212BC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XIX. Comunicar por escrito, con anticipación a su salida al extranjero, a la Legislatura o a la Diputación Permanente y al cabildo, los propósitos y objetivos del viaje e informar de las</w:t>
      </w:r>
    </w:p>
    <w:p w14:paraId="069A708E"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acciones realizadas dentro de los diez días siguientes a su regreso.</w:t>
      </w:r>
    </w:p>
    <w:p w14:paraId="6DDCAE95"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46227068"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XXI. Satisfacer los requerimientos que le sean solicitados por la Secretaría de Seguridad para el registro y actualización de la licencia colectiva para la portación de armas de fuego de los elementos a su cargo;</w:t>
      </w:r>
    </w:p>
    <w:p w14:paraId="323F1D6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XXII. Vigilar la integración, funcionamiento y cumplimiento de los acuerdos tomados por el Consejo Municipal de Seguridad Pública, en los términos de esta Ley;</w:t>
      </w:r>
    </w:p>
    <w:p w14:paraId="3A56AC50"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XXIII. Rendir un informe anual sobre el cumplimiento de su Programa Municipal para la Igualdad de Trato y Oportunidades entre Mujeres y Hombres y para Prevenir, Atender, Sancionar y Erradicar la Violencia contra las Mujeres;</w:t>
      </w:r>
    </w:p>
    <w:p w14:paraId="2A1D5AF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XXIV. Presidir el Comité Municipal de Dictámenes de Giro a que se refiere la Ley de Competitividad y Ordenamiento Comercial del Estado de México, y</w:t>
      </w:r>
    </w:p>
    <w:p w14:paraId="4338AB9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XXV. Firmar las Actas de Cabildo, y</w:t>
      </w:r>
    </w:p>
    <w:p w14:paraId="701CDB6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XXVI. Las demás que le confieran esta Ley y otros ordenamientos.</w:t>
      </w:r>
    </w:p>
    <w:p w14:paraId="1E1B2803" w14:textId="77777777" w:rsidR="00275B55" w:rsidRPr="005C38E7" w:rsidRDefault="00275B55">
      <w:pPr>
        <w:widowControl w:val="0"/>
        <w:spacing w:line="276" w:lineRule="auto"/>
        <w:ind w:left="567" w:right="333"/>
        <w:jc w:val="both"/>
        <w:rPr>
          <w:rFonts w:ascii="Palatino Linotype" w:eastAsia="Palatino Linotype" w:hAnsi="Palatino Linotype" w:cs="Palatino Linotype"/>
          <w:i/>
          <w:sz w:val="22"/>
          <w:szCs w:val="22"/>
        </w:rPr>
      </w:pPr>
    </w:p>
    <w:p w14:paraId="12DACA2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 xml:space="preserve">Artículo 91.- La Secretaría del Ayuntamiento estará a cargo de un </w:t>
      </w:r>
      <w:proofErr w:type="gramStart"/>
      <w:r w:rsidRPr="005C38E7">
        <w:rPr>
          <w:rFonts w:ascii="Palatino Linotype" w:eastAsia="Palatino Linotype" w:hAnsi="Palatino Linotype" w:cs="Palatino Linotype"/>
          <w:b/>
          <w:i/>
          <w:sz w:val="22"/>
          <w:szCs w:val="22"/>
        </w:rPr>
        <w:t>Secretario</w:t>
      </w:r>
      <w:proofErr w:type="gramEnd"/>
      <w:r w:rsidRPr="005C38E7">
        <w:rPr>
          <w:rFonts w:ascii="Palatino Linotype" w:eastAsia="Palatino Linotype" w:hAnsi="Palatino Linotype" w:cs="Palatino Linotype"/>
          <w:b/>
          <w:i/>
          <w:sz w:val="22"/>
          <w:szCs w:val="22"/>
        </w:rPr>
        <w:t xml:space="preserve">, el que, sin ser </w:t>
      </w:r>
      <w:r w:rsidRPr="005C38E7">
        <w:rPr>
          <w:rFonts w:ascii="Palatino Linotype" w:eastAsia="Palatino Linotype" w:hAnsi="Palatino Linotype" w:cs="Palatino Linotype"/>
          <w:i/>
          <w:sz w:val="22"/>
          <w:szCs w:val="22"/>
        </w:rPr>
        <w:t xml:space="preserve">miembro </w:t>
      </w:r>
      <w:proofErr w:type="gramStart"/>
      <w:r w:rsidRPr="005C38E7">
        <w:rPr>
          <w:rFonts w:ascii="Palatino Linotype" w:eastAsia="Palatino Linotype" w:hAnsi="Palatino Linotype" w:cs="Palatino Linotype"/>
          <w:i/>
          <w:sz w:val="22"/>
          <w:szCs w:val="22"/>
        </w:rPr>
        <w:t>del mismo</w:t>
      </w:r>
      <w:proofErr w:type="gramEnd"/>
      <w:r w:rsidRPr="005C38E7">
        <w:rPr>
          <w:rFonts w:ascii="Palatino Linotype" w:eastAsia="Palatino Linotype" w:hAnsi="Palatino Linotype" w:cs="Palatino Linotype"/>
          <w:i/>
          <w:sz w:val="22"/>
          <w:szCs w:val="22"/>
        </w:rPr>
        <w:t xml:space="preserve">, deberá ser nombrado por el propio Ayuntamiento a propuesta del </w:t>
      </w:r>
      <w:proofErr w:type="gramStart"/>
      <w:r w:rsidRPr="005C38E7">
        <w:rPr>
          <w:rFonts w:ascii="Palatino Linotype" w:eastAsia="Palatino Linotype" w:hAnsi="Palatino Linotype" w:cs="Palatino Linotype"/>
          <w:i/>
          <w:sz w:val="22"/>
          <w:szCs w:val="22"/>
        </w:rPr>
        <w:t>Presidente</w:t>
      </w:r>
      <w:proofErr w:type="gramEnd"/>
      <w:r w:rsidRPr="005C38E7">
        <w:rPr>
          <w:rFonts w:ascii="Palatino Linotype" w:eastAsia="Palatino Linotype" w:hAnsi="Palatino Linotype" w:cs="Palatino Linotype"/>
          <w:i/>
          <w:sz w:val="22"/>
          <w:szCs w:val="22"/>
        </w:rPr>
        <w:t xml:space="preserve"> Municipal como lo marca el artículo 31 de la presente ley. Sus faltas temporales serán cubiertas por quien designe el Ayuntamiento y sus atribuciones son las siguientes:</w:t>
      </w:r>
    </w:p>
    <w:p w14:paraId="6E8992C1"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Asistir a las sesiones del ayuntamiento y levantar las actas correspondientes;</w:t>
      </w:r>
    </w:p>
    <w:p w14:paraId="2ECFE17D"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Emitir los citatorios para la celebración de las sesiones de cabildo, convocadas legalmente;</w:t>
      </w:r>
    </w:p>
    <w:p w14:paraId="780A371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Dar cuenta en la primera sesión de cada mes, del número y contenido de los expedientes</w:t>
      </w:r>
    </w:p>
    <w:p w14:paraId="3AF1A1BD"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pasados a comisión, con mención de los que hayan sido resueltos y de los pendientes;</w:t>
      </w:r>
    </w:p>
    <w:p w14:paraId="62D6A4B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IV. Llevar y conservar los libros de actas de cabildo, obteniendo las firmas de los asistentes a las sesiones;</w:t>
      </w:r>
    </w:p>
    <w:p w14:paraId="5F796D72"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 Validar con su firma, los documentos oficiales emanados del ayuntamiento o de cualquiera de sus miembros;</w:t>
      </w:r>
    </w:p>
    <w:p w14:paraId="5068A95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 Tener a su cargo el archivo general del ayuntamiento;</w:t>
      </w:r>
    </w:p>
    <w:p w14:paraId="5A367E1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VII. Controlar y distribuir la correspondencia oficial del ayuntamiento, dando cuenta diaria al presidente municipal para acordar su trámite;</w:t>
      </w:r>
    </w:p>
    <w:p w14:paraId="7791589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VIII. Publicar los reglamentos, circulares y demás disposiciones municipales de observancia</w:t>
      </w:r>
    </w:p>
    <w:p w14:paraId="1E00267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general; </w:t>
      </w:r>
    </w:p>
    <w:p w14:paraId="06D18C0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IX. Compilar leyes, decretos, reglamentos, periódicos oficiales del estado, circulares y órdenes relativas a los distintos sectores de la administración pública municipal;</w:t>
      </w:r>
    </w:p>
    <w:p w14:paraId="2FF51992"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68E2BEA4"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w:t>
      </w:r>
    </w:p>
    <w:p w14:paraId="5DB89A27"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conocimiento y opinión.</w:t>
      </w:r>
    </w:p>
    <w:p w14:paraId="0DFEBEAF"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w:t>
      </w:r>
      <w:r w:rsidRPr="005C38E7">
        <w:rPr>
          <w:rFonts w:ascii="Palatino Linotype" w:eastAsia="Palatino Linotype" w:hAnsi="Palatino Linotype" w:cs="Palatino Linotype"/>
          <w:i/>
          <w:sz w:val="22"/>
          <w:szCs w:val="22"/>
        </w:rPr>
        <w:lastRenderedPageBreak/>
        <w:t>cabildo para su conocimiento y opinión.</w:t>
      </w:r>
    </w:p>
    <w:p w14:paraId="00E6045D"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XII. Integrar un sistema de información que contenga datos de los aspectos </w:t>
      </w:r>
      <w:proofErr w:type="gramStart"/>
      <w:r w:rsidRPr="005C38E7">
        <w:rPr>
          <w:rFonts w:ascii="Palatino Linotype" w:eastAsia="Palatino Linotype" w:hAnsi="Palatino Linotype" w:cs="Palatino Linotype"/>
          <w:i/>
          <w:sz w:val="22"/>
          <w:szCs w:val="22"/>
        </w:rPr>
        <w:t>socio-económicos</w:t>
      </w:r>
      <w:proofErr w:type="gramEnd"/>
      <w:r w:rsidRPr="005C38E7">
        <w:rPr>
          <w:rFonts w:ascii="Palatino Linotype" w:eastAsia="Palatino Linotype" w:hAnsi="Palatino Linotype" w:cs="Palatino Linotype"/>
          <w:i/>
          <w:sz w:val="22"/>
          <w:szCs w:val="22"/>
        </w:rPr>
        <w:t xml:space="preserve"> básicos del municipio;</w:t>
      </w:r>
    </w:p>
    <w:p w14:paraId="13420D86"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XIII. Ser responsable de la publicación de la Gaceta Municipal, así como de las publicaciones en los estrados de los Ayuntamientos; y </w:t>
      </w:r>
    </w:p>
    <w:p w14:paraId="680D87D3" w14:textId="77777777" w:rsidR="00275B55" w:rsidRPr="005C38E7" w:rsidRDefault="00E436DD">
      <w:pPr>
        <w:widowControl w:val="0"/>
        <w:spacing w:line="276" w:lineRule="auto"/>
        <w:ind w:left="567" w:right="333"/>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XIV. Las demás que le confieran esta Ley y disposiciones aplicables.</w:t>
      </w:r>
    </w:p>
    <w:p w14:paraId="6A208D31" w14:textId="77777777" w:rsidR="00275B55" w:rsidRPr="005C38E7" w:rsidRDefault="00E436DD">
      <w:pPr>
        <w:widowControl w:val="0"/>
        <w:spacing w:before="240" w:after="240" w:line="360" w:lineRule="auto"/>
        <w:ind w:right="-91"/>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Con lo anterior se acredita la diversidad de funciones que realizan los titulares de las áreas de las que se pide información, y que no están encaminadas a atender únicamente lo relativo a los juicios laborales, más aún en el caso del </w:t>
      </w:r>
      <w:proofErr w:type="gramStart"/>
      <w:r w:rsidRPr="005C38E7">
        <w:rPr>
          <w:rFonts w:ascii="Palatino Linotype" w:eastAsia="Palatino Linotype" w:hAnsi="Palatino Linotype" w:cs="Palatino Linotype"/>
          <w:sz w:val="22"/>
          <w:szCs w:val="22"/>
        </w:rPr>
        <w:t>Secretario</w:t>
      </w:r>
      <w:proofErr w:type="gramEnd"/>
      <w:r w:rsidRPr="005C38E7">
        <w:rPr>
          <w:rFonts w:ascii="Palatino Linotype" w:eastAsia="Palatino Linotype" w:hAnsi="Palatino Linotype" w:cs="Palatino Linotype"/>
          <w:sz w:val="22"/>
          <w:szCs w:val="22"/>
        </w:rPr>
        <w:t xml:space="preserve"> del Ayuntamiento. </w:t>
      </w:r>
    </w:p>
    <w:p w14:paraId="7DD589BB" w14:textId="77777777" w:rsidR="00275B55" w:rsidRPr="005C38E7" w:rsidRDefault="00E436DD">
      <w:pPr>
        <w:widowControl w:val="0"/>
        <w:spacing w:before="240" w:after="240" w:line="360" w:lineRule="auto"/>
        <w:ind w:right="-91"/>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Toma relevancia, lo señalado en el artículo 2°, fracción VII de la Ley de Transparencia y Acceso a la Información Pública del Estado de México y Municipios, el cual establece como objetivo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0411D195"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Como se logra observar, el derecho de acceso a la información </w:t>
      </w:r>
      <w:proofErr w:type="gramStart"/>
      <w:r w:rsidRPr="005C38E7">
        <w:rPr>
          <w:rFonts w:ascii="Palatino Linotype" w:eastAsia="Palatino Linotype" w:hAnsi="Palatino Linotype" w:cs="Palatino Linotype"/>
          <w:sz w:val="22"/>
          <w:szCs w:val="22"/>
        </w:rPr>
        <w:t>pública,</w:t>
      </w:r>
      <w:proofErr w:type="gramEnd"/>
      <w:r w:rsidRPr="005C38E7">
        <w:rPr>
          <w:rFonts w:ascii="Palatino Linotype" w:eastAsia="Palatino Linotype" w:hAnsi="Palatino Linotype" w:cs="Palatino Linotype"/>
          <w:sz w:val="22"/>
          <w:szCs w:val="22"/>
        </w:rPr>
        <w:t xml:space="preserve"> es una herramienta con la que, cuentan los particulares, para conocer la forma en que los Gobiernos Municipales, cumplen sus atribuciones y obligaciones, así como, ejercen los recursos públicos con los que cuentan; esto es, sirven para que los Sujetos Obligados rindan cuentas a la ciudadanía, de su hacer diario.</w:t>
      </w:r>
    </w:p>
    <w:p w14:paraId="3AA20457"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Conforme a todo lo expuesto, es de interés público, proporcionar información solicitada, pues rinde cuentas de que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está cumpliendo atribuciones y fines específicos; además, que transparenta, las acciones realizadas por este.</w:t>
      </w:r>
    </w:p>
    <w:p w14:paraId="748D54D2"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Sin embargo, no obsta mencionar que cabe la posibilidad de que dentro de la información que se ordena, pudieran encontrarse acuses de correspondencia que contengan información </w:t>
      </w:r>
      <w:r w:rsidRPr="005C38E7">
        <w:rPr>
          <w:rFonts w:ascii="Palatino Linotype" w:eastAsia="Palatino Linotype" w:hAnsi="Palatino Linotype" w:cs="Palatino Linotype"/>
          <w:sz w:val="22"/>
          <w:szCs w:val="22"/>
        </w:rPr>
        <w:lastRenderedPageBreak/>
        <w:t xml:space="preserve">que actualice alguna de las causales de reserva establecidas en el artículo 140 de la Ley de Transparencia y Acceso a la Información Pública del Estado de México y Municipios, concretamente por lo que se refiere procedimientos que de haberse presentado y se encontraran en trámite a la fecha de la solicitud, se deberá emitir un acuerdo que clasifique con tal carácter el documento, de conformidad con lo previsto en los artículos 49, fracciones II y VIII, 129, 132, 134, 140, 141 y 142, de la misma Ley, así como en los Lineamientos Generales en materia de Clasificación y Desclasificación de la Información, así como para la elaboración de Versiones Públicas, para efectos de clasificar dicha información hasta en tanto no se emita una resolución definitiva, cumpliendo con las formalidades anteriormente analizadas. </w:t>
      </w:r>
    </w:p>
    <w:p w14:paraId="6CFBE69C"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bookmarkStart w:id="6" w:name="_heading=h.g574rcqg1rzm" w:colFirst="0" w:colLast="0"/>
      <w:bookmarkEnd w:id="6"/>
      <w:r w:rsidRPr="005C38E7">
        <w:rPr>
          <w:rFonts w:ascii="Palatino Linotype" w:eastAsia="Palatino Linotype" w:hAnsi="Palatino Linotype" w:cs="Palatino Linotype"/>
          <w:sz w:val="22"/>
          <w:szCs w:val="22"/>
        </w:rPr>
        <w:t xml:space="preserve">Por lo que, se determina que los agravios del Particular son </w:t>
      </w:r>
      <w:r w:rsidRPr="005C38E7">
        <w:rPr>
          <w:rFonts w:ascii="Palatino Linotype" w:eastAsia="Palatino Linotype" w:hAnsi="Palatino Linotype" w:cs="Palatino Linotype"/>
          <w:b/>
          <w:sz w:val="22"/>
          <w:szCs w:val="22"/>
        </w:rPr>
        <w:t xml:space="preserve">fundados </w:t>
      </w:r>
      <w:r w:rsidRPr="005C38E7">
        <w:rPr>
          <w:rFonts w:ascii="Palatino Linotype" w:eastAsia="Palatino Linotype" w:hAnsi="Palatino Linotype" w:cs="Palatino Linotype"/>
          <w:sz w:val="22"/>
          <w:szCs w:val="22"/>
        </w:rPr>
        <w:t xml:space="preserve">y, con fundamento en el artículo 186, fracción III, de la Ley de Transparencia y Acceso a la Información Pública del Estado de México y Municipios, este Instituto considera procedente </w:t>
      </w:r>
      <w:r w:rsidRPr="005C38E7">
        <w:rPr>
          <w:rFonts w:ascii="Palatino Linotype" w:eastAsia="Palatino Linotype" w:hAnsi="Palatino Linotype" w:cs="Palatino Linotype"/>
          <w:b/>
          <w:sz w:val="22"/>
          <w:szCs w:val="22"/>
        </w:rPr>
        <w:t xml:space="preserve">Revocar </w:t>
      </w:r>
      <w:r w:rsidRPr="005C38E7">
        <w:rPr>
          <w:rFonts w:ascii="Palatino Linotype" w:eastAsia="Palatino Linotype" w:hAnsi="Palatino Linotype" w:cs="Palatino Linotype"/>
          <w:sz w:val="22"/>
          <w:szCs w:val="22"/>
        </w:rPr>
        <w:t xml:space="preserve">la respuesta del Ayuntamiento de Coyotepec, a efecto de que entregue, de ser el caso en versión pública, a través del Sistema de Acceso a la Información Mexiquense (SAIMEX), los acuses de la correspondencia emitida por el Presidente Municipal y el Secretario del Ayuntamiento, del primero de febrero al catorce de marzo de dos mil veinticinco, en versión pública. </w:t>
      </w:r>
    </w:p>
    <w:p w14:paraId="16CAE549"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Quinto. Versión Pública. </w:t>
      </w:r>
      <w:r w:rsidRPr="005C38E7">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0CAE9AE"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w:t>
      </w:r>
      <w:r w:rsidRPr="005C38E7">
        <w:rPr>
          <w:rFonts w:ascii="Palatino Linotype" w:eastAsia="Palatino Linotype" w:hAnsi="Palatino Linotype" w:cs="Palatino Linotype"/>
          <w:sz w:val="22"/>
          <w:szCs w:val="22"/>
        </w:rPr>
        <w:lastRenderedPageBreak/>
        <w:t>de acceso a la información pública del recurrente sin menoscabar el derecho a la protección de los datos personales de terceros.</w:t>
      </w:r>
    </w:p>
    <w:p w14:paraId="0373689E" w14:textId="77777777" w:rsidR="00275B55" w:rsidRPr="005C38E7" w:rsidRDefault="00E436DD">
      <w:pPr>
        <w:spacing w:before="240" w:after="240" w:line="360" w:lineRule="auto"/>
        <w:ind w:right="50"/>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7D8135E9"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Artículo 3.</w:t>
      </w:r>
      <w:r w:rsidRPr="005C38E7">
        <w:rPr>
          <w:rFonts w:ascii="Palatino Linotype" w:eastAsia="Palatino Linotype" w:hAnsi="Palatino Linotype" w:cs="Palatino Linotype"/>
          <w:i/>
          <w:sz w:val="22"/>
          <w:szCs w:val="22"/>
        </w:rPr>
        <w:t xml:space="preserve"> Para los efectos de la presente Ley se entenderá por:</w:t>
      </w:r>
    </w:p>
    <w:p w14:paraId="60FE200A"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10200BE8"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87588D1"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 Información clasificada: Aquella considerada por la presente Ley como reservada o confidencial;</w:t>
      </w:r>
    </w:p>
    <w:p w14:paraId="100E82FC"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C3B4D9"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9FD9E41"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21AD1103"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Artículo 91.</w:t>
      </w:r>
      <w:r w:rsidRPr="005C38E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7725B10"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Artículo 132.</w:t>
      </w:r>
      <w:r w:rsidRPr="005C38E7">
        <w:rPr>
          <w:rFonts w:ascii="Palatino Linotype" w:eastAsia="Palatino Linotype" w:hAnsi="Palatino Linotype" w:cs="Palatino Linotype"/>
          <w:i/>
          <w:sz w:val="22"/>
          <w:szCs w:val="22"/>
        </w:rPr>
        <w:t xml:space="preserve"> La clasificación de la información se llevará a cabo en el momento en que:</w:t>
      </w:r>
    </w:p>
    <w:p w14:paraId="491C266A" w14:textId="77777777" w:rsidR="00275B55" w:rsidRPr="005C38E7" w:rsidRDefault="00E436DD">
      <w:pPr>
        <w:tabs>
          <w:tab w:val="left" w:pos="1134"/>
        </w:tabs>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Se reciba una solicitud de acceso a la información;</w:t>
      </w:r>
    </w:p>
    <w:p w14:paraId="57FA93C9" w14:textId="77777777" w:rsidR="00275B55" w:rsidRPr="005C38E7" w:rsidRDefault="00E436DD">
      <w:pPr>
        <w:tabs>
          <w:tab w:val="left" w:pos="1134"/>
        </w:tabs>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Se determine mediante resolución de autoridad competente; o</w:t>
      </w:r>
    </w:p>
    <w:p w14:paraId="430479B5" w14:textId="77777777" w:rsidR="00275B55" w:rsidRPr="005C38E7" w:rsidRDefault="00E436DD">
      <w:pPr>
        <w:tabs>
          <w:tab w:val="left" w:pos="1134"/>
        </w:tabs>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DBDFFFB"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1D11F0E4"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Artículo 143</w:t>
      </w:r>
      <w:r w:rsidRPr="005C38E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45310DA"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1BA539D"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4266E66"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1661A05"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5C38E7">
        <w:rPr>
          <w:rFonts w:ascii="Palatino Linotype" w:eastAsia="Palatino Linotype" w:hAnsi="Palatino Linotype" w:cs="Palatino Linotype"/>
          <w:i/>
          <w:sz w:val="22"/>
          <w:szCs w:val="22"/>
        </w:rPr>
        <w:t>la misma</w:t>
      </w:r>
      <w:proofErr w:type="gramEnd"/>
      <w:r w:rsidRPr="005C38E7">
        <w:rPr>
          <w:rFonts w:ascii="Palatino Linotype" w:eastAsia="Palatino Linotype" w:hAnsi="Palatino Linotype" w:cs="Palatino Linotype"/>
          <w:i/>
          <w:sz w:val="22"/>
          <w:szCs w:val="22"/>
        </w:rPr>
        <w:t>, sus representantes y los servidores públicos facultados para ello.</w:t>
      </w:r>
    </w:p>
    <w:p w14:paraId="0500F8ED"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5A5E0A"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2D6531D"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33F6332"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 “</w:t>
      </w:r>
      <w:r w:rsidRPr="005C38E7">
        <w:rPr>
          <w:rFonts w:ascii="Palatino Linotype" w:eastAsia="Palatino Linotype" w:hAnsi="Palatino Linotype" w:cs="Palatino Linotype"/>
          <w:b/>
          <w:i/>
          <w:sz w:val="22"/>
          <w:szCs w:val="22"/>
        </w:rPr>
        <w:t>Quincuagésimo</w:t>
      </w:r>
      <w:r w:rsidRPr="005C38E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1CD189B"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Quincuagésimo primero.</w:t>
      </w:r>
      <w:r w:rsidRPr="005C38E7">
        <w:rPr>
          <w:rFonts w:ascii="Palatino Linotype" w:eastAsia="Palatino Linotype" w:hAnsi="Palatino Linotype" w:cs="Palatino Linotype"/>
          <w:i/>
          <w:sz w:val="22"/>
          <w:szCs w:val="22"/>
        </w:rPr>
        <w:t xml:space="preserve"> Toda acta del Comité de Transparencia deberá contener: </w:t>
      </w:r>
    </w:p>
    <w:p w14:paraId="2435C8EE"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lastRenderedPageBreak/>
        <w:t xml:space="preserve">I. El número de sesión y fecha; </w:t>
      </w:r>
    </w:p>
    <w:p w14:paraId="3E6A1C0A"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II. El nombre del área que solicitó la clasificación de información; </w:t>
      </w:r>
    </w:p>
    <w:p w14:paraId="07C293B6"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III. La fundamentación legal y motivación correspondiente; </w:t>
      </w:r>
    </w:p>
    <w:p w14:paraId="4EA96C0E"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IV. La resolución o resoluciones aprobadas; y </w:t>
      </w:r>
    </w:p>
    <w:p w14:paraId="54A3451A"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V. La rúbrica o firma digital de cada integrante del Comité de Transparencia. </w:t>
      </w:r>
    </w:p>
    <w:p w14:paraId="169EE57E"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8D6CD97"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Los motivos y razonamientos que sustenten la confirmación o modificación de la prueba de daño;</w:t>
      </w:r>
    </w:p>
    <w:p w14:paraId="139A0A40"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II. Descripción de las partes o secciones reservadas, en caso de clasificación parcial; </w:t>
      </w:r>
    </w:p>
    <w:p w14:paraId="1787FE69"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III. El periodo por el que mantendrá su clasificación y fecha de expiración; y </w:t>
      </w:r>
    </w:p>
    <w:p w14:paraId="5737CEB8"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3025B1D"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C6E1B16"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11F3A3"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Quincuagésimo segundo.</w:t>
      </w:r>
      <w:r w:rsidRPr="005C38E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6BC631E"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4336ADD"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3976885"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2916DB1"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III. Señalar las personas o instancias autorizadas a acceder a la información clasificada.</w:t>
      </w:r>
    </w:p>
    <w:p w14:paraId="1029DBB2"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0DDFE9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lastRenderedPageBreak/>
        <w:t>De igual forma, deberá observar los Lineamientos Quincuagésimo cuarto, Quincuagésimo quinto, Quincuagésimo séptimo y Quincuagésimo octavo, establecen lo siguiente:</w:t>
      </w:r>
    </w:p>
    <w:p w14:paraId="4F7C2F1C" w14:textId="77777777" w:rsidR="00275B55" w:rsidRPr="005C38E7" w:rsidRDefault="00E436D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r w:rsidRPr="005C38E7">
        <w:rPr>
          <w:rFonts w:ascii="Palatino Linotype" w:eastAsia="Palatino Linotype" w:hAnsi="Palatino Linotype" w:cs="Palatino Linotype"/>
          <w:b/>
          <w:i/>
          <w:sz w:val="22"/>
          <w:szCs w:val="22"/>
        </w:rPr>
        <w:t>Quincuagésimo cuarto.</w:t>
      </w:r>
      <w:r w:rsidRPr="005C38E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A28199D"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Quincuagésimo quinto.</w:t>
      </w:r>
      <w:r w:rsidRPr="005C38E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C38E7">
        <w:rPr>
          <w:rFonts w:ascii="Palatino Linotype" w:eastAsia="Palatino Linotype" w:hAnsi="Palatino Linotype" w:cs="Palatino Linotype"/>
          <w:i/>
          <w:sz w:val="22"/>
          <w:szCs w:val="22"/>
        </w:rPr>
        <w:t>testado</w:t>
      </w:r>
      <w:proofErr w:type="spellEnd"/>
      <w:r w:rsidRPr="005C38E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F6B9113"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w:t>
      </w:r>
    </w:p>
    <w:p w14:paraId="7CA95519"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b/>
          <w:i/>
          <w:sz w:val="22"/>
          <w:szCs w:val="22"/>
        </w:rPr>
        <w:t>Quincuagésimo séptimo.</w:t>
      </w:r>
      <w:r w:rsidRPr="005C38E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732A010"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C334294"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58E0D85"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C38E7">
        <w:rPr>
          <w:rFonts w:ascii="Palatino Linotype" w:eastAsia="Palatino Linotype" w:hAnsi="Palatino Linotype" w:cs="Palatino Linotype"/>
          <w:i/>
          <w:sz w:val="22"/>
          <w:szCs w:val="22"/>
        </w:rPr>
        <w:t>los mismos</w:t>
      </w:r>
      <w:proofErr w:type="gramEnd"/>
      <w:r w:rsidRPr="005C38E7">
        <w:rPr>
          <w:rFonts w:ascii="Palatino Linotype" w:eastAsia="Palatino Linotype" w:hAnsi="Palatino Linotype" w:cs="Palatino Linotype"/>
          <w:i/>
          <w:sz w:val="22"/>
          <w:szCs w:val="22"/>
        </w:rPr>
        <w:t xml:space="preserve">. </w:t>
      </w:r>
    </w:p>
    <w:p w14:paraId="05A9746C"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0E40330" w14:textId="77777777" w:rsidR="00275B55" w:rsidRPr="005C38E7" w:rsidRDefault="00E436DD">
      <w:pPr>
        <w:spacing w:line="276" w:lineRule="auto"/>
        <w:ind w:left="567" w:right="616"/>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5C38E7">
        <w:rPr>
          <w:rFonts w:ascii="Palatino Linotype" w:eastAsia="Palatino Linotype" w:hAnsi="Palatino Linotype" w:cs="Palatino Linotype"/>
          <w:i/>
          <w:sz w:val="22"/>
          <w:szCs w:val="22"/>
        </w:rPr>
        <w:t>la misma</w:t>
      </w:r>
      <w:proofErr w:type="gramEnd"/>
      <w:r w:rsidRPr="005C38E7">
        <w:rPr>
          <w:rFonts w:ascii="Palatino Linotype" w:eastAsia="Palatino Linotype" w:hAnsi="Palatino Linotype" w:cs="Palatino Linotype"/>
          <w:i/>
          <w:sz w:val="22"/>
          <w:szCs w:val="22"/>
        </w:rPr>
        <w:t>.”</w:t>
      </w:r>
    </w:p>
    <w:p w14:paraId="565B2BDE"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w:t>
      </w:r>
      <w:r w:rsidRPr="005C38E7">
        <w:rPr>
          <w:rFonts w:ascii="Palatino Linotype" w:eastAsia="Palatino Linotype" w:hAnsi="Palatino Linotype" w:cs="Palatino Linotype"/>
          <w:sz w:val="22"/>
          <w:szCs w:val="22"/>
        </w:rPr>
        <w:lastRenderedPageBreak/>
        <w:t>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2AEBEEA"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dentro del recurso de revisión </w:t>
      </w:r>
      <w:r w:rsidRPr="005C38E7">
        <w:rPr>
          <w:rFonts w:ascii="Palatino Linotype" w:eastAsia="Palatino Linotype" w:hAnsi="Palatino Linotype" w:cs="Palatino Linotype"/>
          <w:b/>
          <w:sz w:val="22"/>
          <w:szCs w:val="22"/>
        </w:rPr>
        <w:t>05174/INFOEM/IP/RR/2025</w:t>
      </w:r>
      <w:r w:rsidRPr="005C38E7">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5C38E7">
        <w:rPr>
          <w:rFonts w:ascii="Palatino Linotype" w:eastAsia="Palatino Linotype" w:hAnsi="Palatino Linotype" w:cs="Palatino Linotype"/>
          <w:b/>
          <w:sz w:val="22"/>
          <w:szCs w:val="22"/>
        </w:rPr>
        <w:t xml:space="preserve">Revoca </w:t>
      </w:r>
      <w:r w:rsidRPr="005C38E7">
        <w:rPr>
          <w:rFonts w:ascii="Palatino Linotype" w:eastAsia="Palatino Linotype" w:hAnsi="Palatino Linotype" w:cs="Palatino Linotype"/>
          <w:sz w:val="22"/>
          <w:szCs w:val="22"/>
        </w:rPr>
        <w:t xml:space="preserve">la respuesta del </w:t>
      </w:r>
      <w:r w:rsidRPr="005C38E7">
        <w:rPr>
          <w:rFonts w:ascii="Palatino Linotype" w:eastAsia="Palatino Linotype" w:hAnsi="Palatino Linotype" w:cs="Palatino Linotype"/>
          <w:b/>
          <w:sz w:val="22"/>
          <w:szCs w:val="22"/>
        </w:rPr>
        <w:t xml:space="preserve">Sujeto Obligado </w:t>
      </w:r>
      <w:r w:rsidRPr="005C38E7">
        <w:rPr>
          <w:rFonts w:ascii="Palatino Linotype" w:eastAsia="Palatino Linotype" w:hAnsi="Palatino Linotype" w:cs="Palatino Linotype"/>
          <w:sz w:val="22"/>
          <w:szCs w:val="22"/>
        </w:rPr>
        <w:t xml:space="preserve">a la solicitud de información </w:t>
      </w:r>
      <w:r w:rsidRPr="005C38E7">
        <w:rPr>
          <w:rFonts w:ascii="Palatino Linotype" w:eastAsia="Palatino Linotype" w:hAnsi="Palatino Linotype" w:cs="Palatino Linotype"/>
          <w:b/>
          <w:sz w:val="22"/>
          <w:szCs w:val="22"/>
        </w:rPr>
        <w:t>00132/COYOTEP/IP/2025.</w:t>
      </w:r>
      <w:r w:rsidRPr="005C38E7">
        <w:rPr>
          <w:rFonts w:ascii="Palatino Linotype" w:eastAsia="Palatino Linotype" w:hAnsi="Palatino Linotype" w:cs="Palatino Linotype"/>
          <w:sz w:val="22"/>
          <w:szCs w:val="22"/>
        </w:rPr>
        <w:t xml:space="preserve">  </w:t>
      </w:r>
    </w:p>
    <w:p w14:paraId="04DED3A1"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36978F1" w14:textId="77777777" w:rsidR="00275B55" w:rsidRPr="005C38E7" w:rsidRDefault="00E436DD">
      <w:pPr>
        <w:spacing w:before="240" w:after="240" w:line="360" w:lineRule="auto"/>
        <w:ind w:left="1080"/>
        <w:jc w:val="center"/>
        <w:rPr>
          <w:rFonts w:ascii="Palatino Linotype" w:eastAsia="Palatino Linotype" w:hAnsi="Palatino Linotype" w:cs="Palatino Linotype"/>
          <w:b/>
          <w:sz w:val="22"/>
          <w:szCs w:val="22"/>
        </w:rPr>
      </w:pPr>
      <w:r w:rsidRPr="005C38E7">
        <w:rPr>
          <w:rFonts w:ascii="Palatino Linotype" w:eastAsia="Palatino Linotype" w:hAnsi="Palatino Linotype" w:cs="Palatino Linotype"/>
          <w:b/>
          <w:sz w:val="22"/>
          <w:szCs w:val="22"/>
        </w:rPr>
        <w:t>R E S U E L V E</w:t>
      </w:r>
    </w:p>
    <w:p w14:paraId="3051A1E4"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PRIMERO. </w:t>
      </w:r>
      <w:r w:rsidRPr="005C38E7">
        <w:rPr>
          <w:rFonts w:ascii="Palatino Linotype" w:eastAsia="Palatino Linotype" w:hAnsi="Palatino Linotype" w:cs="Palatino Linotype"/>
          <w:sz w:val="22"/>
          <w:szCs w:val="22"/>
        </w:rPr>
        <w:t xml:space="preserve">Resultan fundados los motivos de inconformidad hechos valer por 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xml:space="preserve"> en el Recurso de Revisión </w:t>
      </w:r>
      <w:r w:rsidRPr="005C38E7">
        <w:rPr>
          <w:rFonts w:ascii="Palatino Linotype" w:eastAsia="Palatino Linotype" w:hAnsi="Palatino Linotype" w:cs="Palatino Linotype"/>
          <w:b/>
          <w:sz w:val="22"/>
          <w:szCs w:val="22"/>
        </w:rPr>
        <w:t>05174/INFOEM/IP/RR/2025</w:t>
      </w:r>
      <w:r w:rsidRPr="005C38E7">
        <w:rPr>
          <w:rFonts w:ascii="Palatino Linotype" w:eastAsia="Palatino Linotype" w:hAnsi="Palatino Linotype" w:cs="Palatino Linotype"/>
          <w:sz w:val="22"/>
          <w:szCs w:val="22"/>
        </w:rPr>
        <w:t>,</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 xml:space="preserve">por lo que, en términos del considerando </w:t>
      </w:r>
      <w:r w:rsidRPr="005C38E7">
        <w:rPr>
          <w:rFonts w:ascii="Palatino Linotype" w:eastAsia="Palatino Linotype" w:hAnsi="Palatino Linotype" w:cs="Palatino Linotype"/>
          <w:b/>
          <w:sz w:val="22"/>
          <w:szCs w:val="22"/>
        </w:rPr>
        <w:t xml:space="preserve">Cuarto </w:t>
      </w:r>
      <w:r w:rsidRPr="005C38E7">
        <w:rPr>
          <w:rFonts w:ascii="Palatino Linotype" w:eastAsia="Palatino Linotype" w:hAnsi="Palatino Linotype" w:cs="Palatino Linotype"/>
          <w:sz w:val="22"/>
          <w:szCs w:val="22"/>
        </w:rPr>
        <w:t xml:space="preserve">de esta resolución, se </w:t>
      </w:r>
      <w:r w:rsidRPr="005C38E7">
        <w:rPr>
          <w:rFonts w:ascii="Palatino Linotype" w:eastAsia="Palatino Linotype" w:hAnsi="Palatino Linotype" w:cs="Palatino Linotype"/>
          <w:b/>
          <w:sz w:val="22"/>
          <w:szCs w:val="22"/>
        </w:rPr>
        <w:t xml:space="preserve">Revoca </w:t>
      </w:r>
      <w:r w:rsidRPr="005C38E7">
        <w:rPr>
          <w:rFonts w:ascii="Palatino Linotype" w:eastAsia="Palatino Linotype" w:hAnsi="Palatino Linotype" w:cs="Palatino Linotype"/>
          <w:sz w:val="22"/>
          <w:szCs w:val="22"/>
        </w:rPr>
        <w:t xml:space="preserve">la respuesta emitida por el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w:t>
      </w:r>
    </w:p>
    <w:p w14:paraId="46BC6532"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lastRenderedPageBreak/>
        <w:t xml:space="preserve">SEGUNDO. </w:t>
      </w:r>
      <w:r w:rsidRPr="005C38E7">
        <w:rPr>
          <w:rFonts w:ascii="Palatino Linotype" w:eastAsia="Palatino Linotype" w:hAnsi="Palatino Linotype" w:cs="Palatino Linotype"/>
          <w:sz w:val="22"/>
          <w:szCs w:val="22"/>
        </w:rPr>
        <w:t xml:space="preserve">Se </w:t>
      </w:r>
      <w:r w:rsidRPr="005C38E7">
        <w:rPr>
          <w:rFonts w:ascii="Palatino Linotype" w:eastAsia="Palatino Linotype" w:hAnsi="Palatino Linotype" w:cs="Palatino Linotype"/>
          <w:b/>
          <w:sz w:val="22"/>
          <w:szCs w:val="22"/>
        </w:rPr>
        <w:t xml:space="preserve">Ordena </w:t>
      </w:r>
      <w:r w:rsidRPr="005C38E7">
        <w:rPr>
          <w:rFonts w:ascii="Palatino Linotype" w:eastAsia="Palatino Linotype" w:hAnsi="Palatino Linotype" w:cs="Palatino Linotype"/>
          <w:sz w:val="22"/>
          <w:szCs w:val="22"/>
        </w:rPr>
        <w:t xml:space="preserve">al </w:t>
      </w:r>
      <w:r w:rsidRPr="005C38E7">
        <w:rPr>
          <w:rFonts w:ascii="Palatino Linotype" w:eastAsia="Palatino Linotype" w:hAnsi="Palatino Linotype" w:cs="Palatino Linotype"/>
          <w:b/>
          <w:sz w:val="22"/>
          <w:szCs w:val="22"/>
        </w:rPr>
        <w:t>Sujeto Obligado</w:t>
      </w:r>
      <w:r w:rsidRPr="005C38E7">
        <w:rPr>
          <w:rFonts w:ascii="Palatino Linotype" w:eastAsia="Palatino Linotype" w:hAnsi="Palatino Linotype" w:cs="Palatino Linotype"/>
          <w:sz w:val="22"/>
          <w:szCs w:val="22"/>
        </w:rPr>
        <w:t xml:space="preserve"> entregue, previa búsqueda exhaustiva y razonable, a</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 xml:space="preserve">la parte </w:t>
      </w:r>
      <w:r w:rsidRPr="005C38E7">
        <w:rPr>
          <w:rFonts w:ascii="Palatino Linotype" w:eastAsia="Palatino Linotype" w:hAnsi="Palatino Linotype" w:cs="Palatino Linotype"/>
          <w:b/>
          <w:sz w:val="22"/>
          <w:szCs w:val="22"/>
        </w:rPr>
        <w:t>Recurrente</w:t>
      </w:r>
      <w:r w:rsidRPr="005C38E7">
        <w:rPr>
          <w:rFonts w:ascii="Palatino Linotype" w:eastAsia="Palatino Linotype" w:hAnsi="Palatino Linotype" w:cs="Palatino Linotype"/>
          <w:sz w:val="22"/>
          <w:szCs w:val="22"/>
        </w:rPr>
        <w:t>, vía</w:t>
      </w:r>
      <w:r w:rsidRPr="005C38E7">
        <w:rPr>
          <w:rFonts w:ascii="Palatino Linotype" w:eastAsia="Palatino Linotype" w:hAnsi="Palatino Linotype" w:cs="Palatino Linotype"/>
          <w:b/>
          <w:sz w:val="22"/>
          <w:szCs w:val="22"/>
        </w:rPr>
        <w:t xml:space="preserve"> Sistema de Acceso a la Información Mexiquense</w:t>
      </w:r>
      <w:r w:rsidRPr="005C38E7">
        <w:rPr>
          <w:rFonts w:ascii="Palatino Linotype" w:eastAsia="Palatino Linotype" w:hAnsi="Palatino Linotype" w:cs="Palatino Linotype"/>
          <w:sz w:val="22"/>
          <w:szCs w:val="22"/>
        </w:rPr>
        <w:t>, en términos de los</w:t>
      </w:r>
      <w:r w:rsidRPr="005C38E7">
        <w:rPr>
          <w:rFonts w:ascii="Palatino Linotype" w:eastAsia="Palatino Linotype" w:hAnsi="Palatino Linotype" w:cs="Palatino Linotype"/>
          <w:b/>
          <w:sz w:val="22"/>
          <w:szCs w:val="22"/>
        </w:rPr>
        <w:t xml:space="preserve"> Considerandos</w:t>
      </w:r>
      <w:r w:rsidRPr="005C38E7">
        <w:rPr>
          <w:rFonts w:ascii="Palatino Linotype" w:eastAsia="Palatino Linotype" w:hAnsi="Palatino Linotype" w:cs="Palatino Linotype"/>
          <w:sz w:val="22"/>
          <w:szCs w:val="22"/>
        </w:rPr>
        <w:t xml:space="preserve"> </w:t>
      </w:r>
      <w:r w:rsidRPr="005C38E7">
        <w:rPr>
          <w:rFonts w:ascii="Palatino Linotype" w:eastAsia="Palatino Linotype" w:hAnsi="Palatino Linotype" w:cs="Palatino Linotype"/>
          <w:b/>
          <w:sz w:val="22"/>
          <w:szCs w:val="22"/>
        </w:rPr>
        <w:t>Cuarto y Quinto</w:t>
      </w:r>
      <w:r w:rsidRPr="005C38E7">
        <w:rPr>
          <w:rFonts w:ascii="Palatino Linotype" w:eastAsia="Palatino Linotype" w:hAnsi="Palatino Linotype" w:cs="Palatino Linotype"/>
          <w:sz w:val="22"/>
          <w:szCs w:val="22"/>
        </w:rPr>
        <w:t>,</w:t>
      </w:r>
      <w:r w:rsidRPr="005C38E7">
        <w:rPr>
          <w:rFonts w:ascii="Palatino Linotype" w:eastAsia="Palatino Linotype" w:hAnsi="Palatino Linotype" w:cs="Palatino Linotype"/>
          <w:b/>
          <w:sz w:val="22"/>
          <w:szCs w:val="22"/>
        </w:rPr>
        <w:t xml:space="preserve"> </w:t>
      </w:r>
      <w:r w:rsidRPr="005C38E7">
        <w:rPr>
          <w:rFonts w:ascii="Palatino Linotype" w:eastAsia="Palatino Linotype" w:hAnsi="Palatino Linotype" w:cs="Palatino Linotype"/>
          <w:sz w:val="22"/>
          <w:szCs w:val="22"/>
        </w:rPr>
        <w:t xml:space="preserve">de ser el caso en versión pública, de lo siguiente: </w:t>
      </w:r>
    </w:p>
    <w:p w14:paraId="4482FFF0" w14:textId="77777777" w:rsidR="00275B55" w:rsidRPr="005C38E7" w:rsidRDefault="00E436DD">
      <w:pPr>
        <w:numPr>
          <w:ilvl w:val="0"/>
          <w:numId w:val="5"/>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sz w:val="22"/>
          <w:szCs w:val="22"/>
        </w:rPr>
        <w:t xml:space="preserve">Los acuses de la correspondencia interna y externa, emitida por el </w:t>
      </w:r>
      <w:proofErr w:type="gramStart"/>
      <w:r w:rsidRPr="005C38E7">
        <w:rPr>
          <w:rFonts w:ascii="Palatino Linotype" w:eastAsia="Palatino Linotype" w:hAnsi="Palatino Linotype" w:cs="Palatino Linotype"/>
          <w:sz w:val="22"/>
          <w:szCs w:val="22"/>
        </w:rPr>
        <w:t>Presidente</w:t>
      </w:r>
      <w:proofErr w:type="gramEnd"/>
      <w:r w:rsidRPr="005C38E7">
        <w:rPr>
          <w:rFonts w:ascii="Palatino Linotype" w:eastAsia="Palatino Linotype" w:hAnsi="Palatino Linotype" w:cs="Palatino Linotype"/>
          <w:sz w:val="22"/>
          <w:szCs w:val="22"/>
        </w:rPr>
        <w:t xml:space="preserve"> Municipal y </w:t>
      </w:r>
      <w:proofErr w:type="gramStart"/>
      <w:r w:rsidRPr="005C38E7">
        <w:rPr>
          <w:rFonts w:ascii="Palatino Linotype" w:eastAsia="Palatino Linotype" w:hAnsi="Palatino Linotype" w:cs="Palatino Linotype"/>
          <w:sz w:val="22"/>
          <w:szCs w:val="22"/>
        </w:rPr>
        <w:t>Secretario</w:t>
      </w:r>
      <w:proofErr w:type="gramEnd"/>
      <w:r w:rsidRPr="005C38E7">
        <w:rPr>
          <w:rFonts w:ascii="Palatino Linotype" w:eastAsia="Palatino Linotype" w:hAnsi="Palatino Linotype" w:cs="Palatino Linotype"/>
          <w:sz w:val="22"/>
          <w:szCs w:val="22"/>
        </w:rPr>
        <w:t xml:space="preserve"> del Ayuntamiento de Coyotepec, del primero de febrero al catorce de marzo de dos mil veinticinco. </w:t>
      </w:r>
    </w:p>
    <w:p w14:paraId="70A16CAE" w14:textId="77777777" w:rsidR="00275B55" w:rsidRPr="005C38E7" w:rsidRDefault="00E436DD">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i/>
          <w:sz w:val="22"/>
          <w:szCs w:val="22"/>
        </w:rPr>
      </w:pPr>
      <w:bookmarkStart w:id="7" w:name="_heading=h.yenandw9mnjo" w:colFirst="0" w:colLast="0"/>
      <w:bookmarkEnd w:id="7"/>
      <w:r w:rsidRPr="005C38E7">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C38E7">
        <w:rPr>
          <w:rFonts w:ascii="Palatino Linotype" w:eastAsia="Palatino Linotype" w:hAnsi="Palatino Linotype" w:cs="Palatino Linotype"/>
          <w:b/>
          <w:i/>
          <w:sz w:val="22"/>
          <w:szCs w:val="22"/>
        </w:rPr>
        <w:t>,</w:t>
      </w:r>
      <w:r w:rsidRPr="005C38E7">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 </w:t>
      </w:r>
    </w:p>
    <w:p w14:paraId="7BD34EE3" w14:textId="77777777" w:rsidR="00275B55" w:rsidRPr="005C38E7" w:rsidRDefault="00E436DD">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i/>
          <w:sz w:val="22"/>
          <w:szCs w:val="22"/>
        </w:rPr>
      </w:pPr>
      <w:r w:rsidRPr="005C38E7">
        <w:rPr>
          <w:rFonts w:ascii="Palatino Linotype" w:eastAsia="Palatino Linotype" w:hAnsi="Palatino Linotype" w:cs="Palatino Linotype"/>
          <w:i/>
          <w:sz w:val="22"/>
          <w:szCs w:val="22"/>
        </w:rPr>
        <w:t xml:space="preserve">En el supuesto de que alguno de los acuses actualice alguna causal de reserva en su totalidad, el </w:t>
      </w:r>
      <w:r w:rsidRPr="005C38E7">
        <w:rPr>
          <w:rFonts w:ascii="Palatino Linotype" w:eastAsia="Palatino Linotype" w:hAnsi="Palatino Linotype" w:cs="Palatino Linotype"/>
          <w:b/>
          <w:i/>
          <w:sz w:val="22"/>
          <w:szCs w:val="22"/>
        </w:rPr>
        <w:t>Sujeto Obligado</w:t>
      </w:r>
      <w:r w:rsidRPr="005C38E7">
        <w:rPr>
          <w:rFonts w:ascii="Palatino Linotype" w:eastAsia="Palatino Linotype" w:hAnsi="Palatino Linotype" w:cs="Palatino Linotype"/>
          <w:i/>
          <w:sz w:val="22"/>
          <w:szCs w:val="22"/>
        </w:rPr>
        <w:t xml:space="preserve"> 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14:paraId="74864815" w14:textId="77777777" w:rsidR="00275B55" w:rsidRPr="005C38E7" w:rsidRDefault="00E436DD">
      <w:pPr>
        <w:spacing w:before="240" w:after="240" w:line="360" w:lineRule="auto"/>
        <w:ind w:right="49"/>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TERCERO.  Notifíquese vía SAIMEX, </w:t>
      </w:r>
      <w:r w:rsidRPr="005C38E7">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5C38E7">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5E8843F0" w14:textId="77777777" w:rsidR="00275B55" w:rsidRPr="005C38E7" w:rsidRDefault="00E436DD">
      <w:pP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CUARTO. </w:t>
      </w:r>
      <w:r w:rsidRPr="005C38E7">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w:t>
      </w:r>
      <w:r w:rsidRPr="005C38E7">
        <w:rPr>
          <w:rFonts w:ascii="Palatino Linotype" w:eastAsia="Palatino Linotype" w:hAnsi="Palatino Linotype" w:cs="Palatino Linotype"/>
          <w:b/>
          <w:sz w:val="22"/>
          <w:szCs w:val="22"/>
        </w:rPr>
        <w:t xml:space="preserve"> Sujeto Obligado</w:t>
      </w:r>
      <w:r w:rsidRPr="005C38E7">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CA34733" w14:textId="77777777" w:rsidR="00275B55" w:rsidRPr="005C38E7" w:rsidRDefault="00E436D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C38E7">
        <w:rPr>
          <w:rFonts w:ascii="Palatino Linotype" w:eastAsia="Palatino Linotype" w:hAnsi="Palatino Linotype" w:cs="Palatino Linotype"/>
          <w:b/>
          <w:sz w:val="22"/>
          <w:szCs w:val="22"/>
        </w:rPr>
        <w:t xml:space="preserve">QUINTO. Notifíquese, </w:t>
      </w:r>
      <w:r w:rsidRPr="005C38E7">
        <w:rPr>
          <w:rFonts w:ascii="Palatino Linotype" w:eastAsia="Palatino Linotype" w:hAnsi="Palatino Linotype" w:cs="Palatino Linotype"/>
          <w:sz w:val="22"/>
          <w:szCs w:val="22"/>
        </w:rPr>
        <w:t xml:space="preserve">vía </w:t>
      </w:r>
      <w:r w:rsidRPr="005C38E7">
        <w:rPr>
          <w:rFonts w:ascii="Palatino Linotype" w:eastAsia="Palatino Linotype" w:hAnsi="Palatino Linotype" w:cs="Palatino Linotype"/>
          <w:b/>
          <w:sz w:val="22"/>
          <w:szCs w:val="22"/>
        </w:rPr>
        <w:t>SAIMEX</w:t>
      </w:r>
      <w:r w:rsidRPr="005C38E7">
        <w:rPr>
          <w:rFonts w:ascii="Palatino Linotype" w:eastAsia="Palatino Linotype" w:hAnsi="Palatino Linotype" w:cs="Palatino Linotype"/>
          <w:sz w:val="22"/>
          <w:szCs w:val="22"/>
        </w:rPr>
        <w:t>, a la parte</w:t>
      </w:r>
      <w:r w:rsidRPr="005C38E7">
        <w:rPr>
          <w:rFonts w:ascii="Palatino Linotype" w:eastAsia="Palatino Linotype" w:hAnsi="Palatino Linotype" w:cs="Palatino Linotype"/>
          <w:b/>
          <w:sz w:val="22"/>
          <w:szCs w:val="22"/>
        </w:rPr>
        <w:t xml:space="preserve"> Recurrente</w:t>
      </w:r>
      <w:r w:rsidRPr="005C38E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EF306B" w14:textId="026C69EE" w:rsidR="00275B55" w:rsidRPr="001079DC" w:rsidRDefault="00E436DD">
      <w:pPr>
        <w:spacing w:before="240" w:after="240" w:line="360" w:lineRule="auto"/>
        <w:jc w:val="both"/>
        <w:rPr>
          <w:rFonts w:ascii="Palatino Linotype" w:eastAsia="Palatino Linotype" w:hAnsi="Palatino Linotype" w:cs="Palatino Linotype"/>
          <w:sz w:val="22"/>
          <w:szCs w:val="22"/>
        </w:rPr>
        <w:sectPr w:rsidR="00275B55" w:rsidRPr="001079DC">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5C38E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79DC" w:rsidRPr="005C38E7">
        <w:rPr>
          <w:rFonts w:ascii="Palatino Linotype" w:eastAsia="Palatino Linotype" w:hAnsi="Palatino Linotype" w:cs="Palatino Linotype"/>
          <w:sz w:val="22"/>
          <w:szCs w:val="22"/>
        </w:rPr>
        <w:t>, EMITIENDO VOTO PARTICULAR</w:t>
      </w:r>
      <w:r w:rsidRPr="005C38E7">
        <w:rPr>
          <w:rFonts w:ascii="Palatino Linotype" w:eastAsia="Palatino Linotype" w:hAnsi="Palatino Linotype" w:cs="Palatino Linotype"/>
          <w:sz w:val="22"/>
          <w:szCs w:val="22"/>
        </w:rPr>
        <w:t xml:space="preserve"> Y GUADALUPE RAMÍREZ PEÑA; EN TRIGÉSIMA SEGUNDA SESIÓN ORDINARIA CELEBRADA EL DIEZ DE SEPTIEMBRE DE DOS MIL VEINTICINCO, ANTE EL SECRETARIO TÉCNICO DEL PLENO, ALEXIS TAPIA RAMÍREZ.</w:t>
      </w:r>
      <w:r w:rsidRPr="001079DC">
        <w:rPr>
          <w:rFonts w:ascii="Palatino Linotype" w:eastAsia="Palatino Linotype" w:hAnsi="Palatino Linotype" w:cs="Palatino Linotype"/>
          <w:sz w:val="22"/>
          <w:szCs w:val="22"/>
        </w:rPr>
        <w:t xml:space="preserve">                            </w:t>
      </w:r>
    </w:p>
    <w:p w14:paraId="092137E4" w14:textId="77777777" w:rsidR="00275B55" w:rsidRPr="001079DC" w:rsidRDefault="00275B55">
      <w:pPr>
        <w:spacing w:before="240" w:after="240" w:line="360" w:lineRule="auto"/>
        <w:jc w:val="both"/>
        <w:rPr>
          <w:rFonts w:ascii="Palatino Linotype" w:eastAsia="Palatino Linotype" w:hAnsi="Palatino Linotype" w:cs="Palatino Linotype"/>
          <w:sz w:val="22"/>
          <w:szCs w:val="22"/>
        </w:rPr>
      </w:pPr>
    </w:p>
    <w:p w14:paraId="5A69D016" w14:textId="77777777" w:rsidR="00275B55" w:rsidRPr="001079DC" w:rsidRDefault="00275B55">
      <w:pPr>
        <w:spacing w:before="240" w:after="240" w:line="360" w:lineRule="auto"/>
        <w:jc w:val="both"/>
        <w:rPr>
          <w:rFonts w:ascii="Palatino Linotype" w:eastAsia="Palatino Linotype" w:hAnsi="Palatino Linotype" w:cs="Palatino Linotype"/>
          <w:sz w:val="22"/>
          <w:szCs w:val="22"/>
        </w:rPr>
      </w:pPr>
    </w:p>
    <w:p w14:paraId="2860C6EB" w14:textId="77777777" w:rsidR="00275B55" w:rsidRPr="001079DC" w:rsidRDefault="00275B55">
      <w:pPr>
        <w:spacing w:before="240" w:after="240" w:line="360" w:lineRule="auto"/>
        <w:jc w:val="both"/>
        <w:rPr>
          <w:rFonts w:ascii="Palatino Linotype" w:eastAsia="Palatino Linotype" w:hAnsi="Palatino Linotype" w:cs="Palatino Linotype"/>
          <w:sz w:val="22"/>
          <w:szCs w:val="22"/>
        </w:rPr>
      </w:pPr>
    </w:p>
    <w:p w14:paraId="23BBE091" w14:textId="77777777" w:rsidR="00275B55" w:rsidRPr="001079DC" w:rsidRDefault="00275B55">
      <w:pPr>
        <w:spacing w:before="240" w:after="240" w:line="360" w:lineRule="auto"/>
        <w:jc w:val="both"/>
        <w:rPr>
          <w:rFonts w:ascii="Palatino Linotype" w:eastAsia="Palatino Linotype" w:hAnsi="Palatino Linotype" w:cs="Palatino Linotype"/>
          <w:sz w:val="22"/>
          <w:szCs w:val="22"/>
        </w:rPr>
      </w:pPr>
    </w:p>
    <w:sectPr w:rsidR="00275B55" w:rsidRPr="001079DC">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3BF7" w14:textId="77777777" w:rsidR="00C24597" w:rsidRDefault="00C24597">
      <w:r>
        <w:separator/>
      </w:r>
    </w:p>
  </w:endnote>
  <w:endnote w:type="continuationSeparator" w:id="0">
    <w:p w14:paraId="2475E6EA" w14:textId="77777777" w:rsidR="00C24597" w:rsidRDefault="00C2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158" w14:textId="77777777" w:rsidR="00275B55" w:rsidRDefault="00E436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C38E7">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C38E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79B3641B" w14:textId="77777777" w:rsidR="00275B55" w:rsidRDefault="00275B55">
    <w:pPr>
      <w:pBdr>
        <w:top w:val="nil"/>
        <w:left w:val="nil"/>
        <w:bottom w:val="nil"/>
        <w:right w:val="nil"/>
        <w:between w:val="nil"/>
      </w:pBdr>
      <w:tabs>
        <w:tab w:val="center" w:pos="4252"/>
        <w:tab w:val="right" w:pos="8504"/>
      </w:tabs>
      <w:rPr>
        <w:color w:val="000000"/>
      </w:rPr>
    </w:pPr>
  </w:p>
  <w:p w14:paraId="72146986" w14:textId="77777777" w:rsidR="00275B55" w:rsidRDefault="00275B5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7396" w14:textId="77777777" w:rsidR="00275B55" w:rsidRDefault="00E436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C38E7">
      <w:rPr>
        <w:rFonts w:ascii="Arial" w:eastAsia="Arial" w:hAnsi="Arial" w:cs="Arial"/>
        <w:b/>
        <w:noProof/>
        <w:color w:val="000000"/>
        <w:sz w:val="20"/>
        <w:szCs w:val="20"/>
      </w:rPr>
      <w:t>46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C38E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532E16C2" w14:textId="77777777" w:rsidR="00275B55" w:rsidRDefault="00275B5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35B3" w14:textId="77777777" w:rsidR="00C24597" w:rsidRDefault="00C24597">
      <w:r>
        <w:separator/>
      </w:r>
    </w:p>
  </w:footnote>
  <w:footnote w:type="continuationSeparator" w:id="0">
    <w:p w14:paraId="1357BF79" w14:textId="77777777" w:rsidR="00C24597" w:rsidRDefault="00C24597">
      <w:r>
        <w:continuationSeparator/>
      </w:r>
    </w:p>
  </w:footnote>
  <w:footnote w:id="1">
    <w:p w14:paraId="5FCEBA7A" w14:textId="77777777" w:rsidR="00275B55" w:rsidRDefault="00E436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18D4D236" w14:textId="77777777" w:rsidR="00275B55" w:rsidRDefault="00E436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37911DB6" w14:textId="77777777" w:rsidR="00275B55" w:rsidRDefault="00E436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552D9C84" w14:textId="77777777" w:rsidR="00275B55" w:rsidRDefault="00E436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8E61" w14:textId="77777777" w:rsidR="00275B55" w:rsidRDefault="00E436DD">
    <w:pPr>
      <w:widowControl w:val="0"/>
      <w:pBdr>
        <w:top w:val="nil"/>
        <w:left w:val="nil"/>
        <w:bottom w:val="nil"/>
        <w:right w:val="nil"/>
        <w:between w:val="nil"/>
      </w:pBdr>
      <w:spacing w:line="276" w:lineRule="auto"/>
      <w:rPr>
        <w:rFonts w:ascii="Calibri" w:eastAsia="Calibri" w:hAnsi="Calibri" w:cs="Calibri"/>
        <w:color w:val="000000"/>
      </w:rPr>
    </w:pPr>
    <w:r>
      <w:rPr>
        <w:noProof/>
      </w:rPr>
      <w:drawing>
        <wp:anchor distT="0" distB="0" distL="0" distR="0" simplePos="0" relativeHeight="251658240" behindDoc="1" locked="0" layoutInCell="1" hidden="0" allowOverlap="1" wp14:anchorId="4B066404" wp14:editId="4F37C245">
          <wp:simplePos x="0" y="0"/>
          <wp:positionH relativeFrom="column">
            <wp:posOffset>-638170</wp:posOffset>
          </wp:positionH>
          <wp:positionV relativeFrom="paragraph">
            <wp:posOffset>-450209</wp:posOffset>
          </wp:positionV>
          <wp:extent cx="7809876" cy="10165823"/>
          <wp:effectExtent l="0" t="0" r="0" b="0"/>
          <wp:wrapNone/>
          <wp:docPr id="21285507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d"/>
      <w:tblW w:w="5528" w:type="dxa"/>
      <w:tblInd w:w="3261" w:type="dxa"/>
      <w:tblLayout w:type="fixed"/>
      <w:tblLook w:val="0400" w:firstRow="0" w:lastRow="0" w:firstColumn="0" w:lastColumn="0" w:noHBand="0" w:noVBand="1"/>
    </w:tblPr>
    <w:tblGrid>
      <w:gridCol w:w="2551"/>
      <w:gridCol w:w="2977"/>
    </w:tblGrid>
    <w:tr w:rsidR="00275B55" w14:paraId="36170A57" w14:textId="77777777">
      <w:trPr>
        <w:tblHeader/>
      </w:trPr>
      <w:tc>
        <w:tcPr>
          <w:tcW w:w="2551" w:type="dxa"/>
          <w:vAlign w:val="center"/>
        </w:tcPr>
        <w:p w14:paraId="02C9EEF7"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7E13766" w14:textId="77777777" w:rsidR="00275B55" w:rsidRDefault="00E436D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05174/INFOEM/IP/RR/2025</w:t>
          </w:r>
        </w:p>
      </w:tc>
    </w:tr>
    <w:tr w:rsidR="00275B55" w14:paraId="355DF096" w14:textId="77777777">
      <w:trPr>
        <w:trHeight w:val="228"/>
      </w:trPr>
      <w:tc>
        <w:tcPr>
          <w:tcW w:w="2551" w:type="dxa"/>
          <w:vAlign w:val="center"/>
        </w:tcPr>
        <w:p w14:paraId="2CF4849F"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B909982" w14:textId="77777777" w:rsidR="00275B55" w:rsidRDefault="00E436D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Coyotepec</w:t>
          </w:r>
        </w:p>
      </w:tc>
    </w:tr>
    <w:tr w:rsidR="00275B55" w14:paraId="16D25793" w14:textId="77777777">
      <w:tc>
        <w:tcPr>
          <w:tcW w:w="2551" w:type="dxa"/>
          <w:vAlign w:val="center"/>
        </w:tcPr>
        <w:p w14:paraId="6FE37498"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3FCDDB7" w14:textId="77777777" w:rsidR="00275B55" w:rsidRDefault="00E436D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766EAF" w14:textId="77777777" w:rsidR="00275B55" w:rsidRDefault="00E436D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6E29" w14:textId="77777777" w:rsidR="00275B55" w:rsidRDefault="00E436D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14:anchorId="2924C296" wp14:editId="0249AF17">
          <wp:simplePos x="0" y="0"/>
          <wp:positionH relativeFrom="column">
            <wp:posOffset>-1054734</wp:posOffset>
          </wp:positionH>
          <wp:positionV relativeFrom="paragraph">
            <wp:posOffset>-398779</wp:posOffset>
          </wp:positionV>
          <wp:extent cx="7809876" cy="10165823"/>
          <wp:effectExtent l="0" t="0" r="0" b="0"/>
          <wp:wrapNone/>
          <wp:docPr id="2128550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e"/>
      <w:tblW w:w="5670" w:type="dxa"/>
      <w:tblInd w:w="3119" w:type="dxa"/>
      <w:tblLayout w:type="fixed"/>
      <w:tblLook w:val="0400" w:firstRow="0" w:lastRow="0" w:firstColumn="0" w:lastColumn="0" w:noHBand="0" w:noVBand="1"/>
    </w:tblPr>
    <w:tblGrid>
      <w:gridCol w:w="2551"/>
      <w:gridCol w:w="3119"/>
    </w:tblGrid>
    <w:tr w:rsidR="00275B55" w14:paraId="710E3BD7" w14:textId="77777777">
      <w:tc>
        <w:tcPr>
          <w:tcW w:w="2551" w:type="dxa"/>
          <w:vAlign w:val="center"/>
        </w:tcPr>
        <w:p w14:paraId="4179F110"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E21C84D" w14:textId="77777777" w:rsidR="00275B55" w:rsidRDefault="00E436D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05174/INFOEM/IP/RR/2025</w:t>
          </w:r>
        </w:p>
      </w:tc>
    </w:tr>
    <w:tr w:rsidR="00275B55" w14:paraId="4335A882" w14:textId="77777777">
      <w:tc>
        <w:tcPr>
          <w:tcW w:w="2551" w:type="dxa"/>
          <w:vAlign w:val="center"/>
        </w:tcPr>
        <w:p w14:paraId="4A1A8956" w14:textId="77777777" w:rsidR="00275B55" w:rsidRDefault="00E436D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713872C" w14:textId="2241596B" w:rsidR="00275B55" w:rsidRDefault="00CD6E67">
          <w:pPr>
            <w:ind w:right="180"/>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XXXX XXXXXXXXX XXXXXX XXXX </w:t>
          </w:r>
        </w:p>
      </w:tc>
    </w:tr>
    <w:tr w:rsidR="00275B55" w14:paraId="14FDFDDE" w14:textId="77777777">
      <w:trPr>
        <w:trHeight w:val="228"/>
      </w:trPr>
      <w:tc>
        <w:tcPr>
          <w:tcW w:w="2551" w:type="dxa"/>
          <w:vAlign w:val="center"/>
        </w:tcPr>
        <w:p w14:paraId="7C8E5113"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AC93B89" w14:textId="77777777" w:rsidR="00275B55" w:rsidRDefault="00E436D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Coyotepec </w:t>
          </w:r>
        </w:p>
      </w:tc>
    </w:tr>
    <w:tr w:rsidR="00275B55" w14:paraId="0103D32A" w14:textId="77777777">
      <w:tc>
        <w:tcPr>
          <w:tcW w:w="2551" w:type="dxa"/>
          <w:vAlign w:val="center"/>
        </w:tcPr>
        <w:p w14:paraId="6F00F44E" w14:textId="77777777" w:rsidR="00275B55" w:rsidRDefault="00E43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2A93931" w14:textId="77777777" w:rsidR="00275B55" w:rsidRDefault="00E436D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C894E1" w14:textId="77777777" w:rsidR="00275B55" w:rsidRDefault="00275B5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8847" w14:textId="77777777" w:rsidR="00275B55" w:rsidRDefault="00275B5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54E0FE4" w14:textId="77777777" w:rsidR="00275B55" w:rsidRDefault="00275B5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F6"/>
    <w:multiLevelType w:val="multilevel"/>
    <w:tmpl w:val="0298FB78"/>
    <w:lvl w:ilvl="0">
      <w:start w:val="2"/>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A2C7B"/>
    <w:multiLevelType w:val="multilevel"/>
    <w:tmpl w:val="65B4184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3CB44AD"/>
    <w:multiLevelType w:val="multilevel"/>
    <w:tmpl w:val="BB8C9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2039A1"/>
    <w:multiLevelType w:val="multilevel"/>
    <w:tmpl w:val="126C093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532164"/>
    <w:multiLevelType w:val="multilevel"/>
    <w:tmpl w:val="606EC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B76B4D"/>
    <w:multiLevelType w:val="multilevel"/>
    <w:tmpl w:val="70084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72890"/>
    <w:multiLevelType w:val="multilevel"/>
    <w:tmpl w:val="B7EA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B61BB5"/>
    <w:multiLevelType w:val="multilevel"/>
    <w:tmpl w:val="5D5AA55A"/>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9EA154F"/>
    <w:multiLevelType w:val="multilevel"/>
    <w:tmpl w:val="463E4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DB25FE"/>
    <w:multiLevelType w:val="multilevel"/>
    <w:tmpl w:val="9902763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50670C"/>
    <w:multiLevelType w:val="multilevel"/>
    <w:tmpl w:val="F17E2250"/>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CA4594"/>
    <w:multiLevelType w:val="multilevel"/>
    <w:tmpl w:val="FF6EECDC"/>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E93B96"/>
    <w:multiLevelType w:val="multilevel"/>
    <w:tmpl w:val="306282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84920"/>
    <w:multiLevelType w:val="multilevel"/>
    <w:tmpl w:val="0E5C2FB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932F64"/>
    <w:multiLevelType w:val="multilevel"/>
    <w:tmpl w:val="8528EBD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448494">
    <w:abstractNumId w:val="12"/>
  </w:num>
  <w:num w:numId="2" w16cid:durableId="774057564">
    <w:abstractNumId w:val="14"/>
  </w:num>
  <w:num w:numId="3" w16cid:durableId="1068844952">
    <w:abstractNumId w:val="1"/>
  </w:num>
  <w:num w:numId="4" w16cid:durableId="568031814">
    <w:abstractNumId w:val="0"/>
  </w:num>
  <w:num w:numId="5" w16cid:durableId="685252087">
    <w:abstractNumId w:val="9"/>
  </w:num>
  <w:num w:numId="6" w16cid:durableId="1235551322">
    <w:abstractNumId w:val="2"/>
  </w:num>
  <w:num w:numId="7" w16cid:durableId="2127655579">
    <w:abstractNumId w:val="4"/>
  </w:num>
  <w:num w:numId="8" w16cid:durableId="190925793">
    <w:abstractNumId w:val="3"/>
  </w:num>
  <w:num w:numId="9" w16cid:durableId="821583658">
    <w:abstractNumId w:val="7"/>
  </w:num>
  <w:num w:numId="10" w16cid:durableId="56512875">
    <w:abstractNumId w:val="8"/>
  </w:num>
  <w:num w:numId="11" w16cid:durableId="1558543213">
    <w:abstractNumId w:val="6"/>
  </w:num>
  <w:num w:numId="12" w16cid:durableId="2138060510">
    <w:abstractNumId w:val="5"/>
  </w:num>
  <w:num w:numId="13" w16cid:durableId="1635138818">
    <w:abstractNumId w:val="13"/>
  </w:num>
  <w:num w:numId="14" w16cid:durableId="692417968">
    <w:abstractNumId w:val="11"/>
  </w:num>
  <w:num w:numId="15" w16cid:durableId="1206914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55"/>
    <w:rsid w:val="001079DC"/>
    <w:rsid w:val="00116604"/>
    <w:rsid w:val="00275B55"/>
    <w:rsid w:val="005C38E7"/>
    <w:rsid w:val="00C24597"/>
    <w:rsid w:val="00CD6E67"/>
    <w:rsid w:val="00E43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EEBA"/>
  <w15:docId w15:val="{832F5518-269F-4B0C-B39C-4D5C7B58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Listaconvietas3">
    <w:name w:val="List Bullet 3"/>
    <w:basedOn w:val="Normal"/>
    <w:uiPriority w:val="99"/>
    <w:unhideWhenUsed/>
    <w:rsid w:val="009E0405"/>
    <w:pPr>
      <w:numPr>
        <w:numId w:val="4"/>
      </w:numPr>
      <w:contextualSpacing/>
    </w:pPr>
  </w:style>
  <w:style w:type="paragraph" w:styleId="Listaconvietas">
    <w:name w:val="List Bullet"/>
    <w:basedOn w:val="Normal"/>
    <w:uiPriority w:val="99"/>
    <w:unhideWhenUsed/>
    <w:rsid w:val="00E6231A"/>
    <w:pPr>
      <w:tabs>
        <w:tab w:val="num" w:pos="720"/>
      </w:tabs>
      <w:ind w:left="720" w:hanging="720"/>
      <w:contextualSpacing/>
    </w:p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A34A0"/>
    <w:rPr>
      <w:color w:val="605E5C"/>
      <w:shd w:val="clear" w:color="auto" w:fill="E1DFDD"/>
    </w:rPr>
  </w:style>
  <w:style w:type="paragraph" w:customStyle="1" w:styleId="Default">
    <w:name w:val="Default"/>
    <w:rsid w:val="00740F46"/>
    <w:pPr>
      <w:autoSpaceDE w:val="0"/>
      <w:autoSpaceDN w:val="0"/>
      <w:adjustRightInd w:val="0"/>
    </w:pPr>
    <w:rPr>
      <w:rFonts w:ascii="Arial" w:eastAsiaTheme="minorHAnsi" w:hAnsi="Arial" w:cs="Arial"/>
      <w:color w:val="000000"/>
      <w:lang w:eastAsia="en-US"/>
    </w:rPr>
  </w:style>
  <w:style w:type="table" w:customStyle="1" w:styleId="Tablaconcuadrcula2">
    <w:name w:val="Tabla con cuadrícula2"/>
    <w:basedOn w:val="Tablanormal"/>
    <w:next w:val="Tablaconcuadrcula"/>
    <w:uiPriority w:val="39"/>
    <w:rsid w:val="005764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1">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2C0EC1"/>
    <w:rPr>
      <w:color w:val="605E5C"/>
      <w:shd w:val="clear" w:color="auto" w:fill="E1DFDD"/>
    </w:r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character" w:customStyle="1" w:styleId="apple-tab-span">
    <w:name w:val="apple-tab-span"/>
    <w:basedOn w:val="Fuentedeprrafopredeter"/>
    <w:rsid w:val="0067511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kOZbK7KpZwOTuAhb+2M5jPy2g==">CgMxLjAyCWguMWZvYjl0ZTIOaC5xNzQ1OHIyc2d6cDAyCWguM3pueXNoNzIOaC45OHlnOXd3Zzh5ZWkyCGguZ2pkZ3hzMgloLjMwajB6bGwyDmguZzU3NHJjcWcxcnptMg5oLnllbmFuZHc5bW5qbzgAciExcmxsc05iZUVIU3R4Q3JTck5uWnRJR0hxWGtxTkdYc1c=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13203</Words>
  <Characters>71169</Characters>
  <Application>Microsoft Office Word</Application>
  <DocSecurity>0</DocSecurity>
  <Lines>1147</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2025-09-11T15:49:00Z</cp:lastPrinted>
  <dcterms:created xsi:type="dcterms:W3CDTF">2025-10-06T16:21:00Z</dcterms:created>
  <dcterms:modified xsi:type="dcterms:W3CDTF">2025-10-06T16:21:00Z</dcterms:modified>
</cp:coreProperties>
</file>