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3rdcrjn"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tres de diciembre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sz w:val="22"/>
          <w:szCs w:val="22"/>
        </w:rPr>
      </w:pPr>
      <w:bookmarkStart w:colFirst="0" w:colLast="0" w:name="_heading=h.daj3j2xo6q66"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10329/INFOEM/IP/RR/2025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XXXX 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00022/UPAT/IP/2025, </w:t>
      </w:r>
      <w:r w:rsidDel="00000000" w:rsidR="00000000" w:rsidRPr="00000000">
        <w:rPr>
          <w:rFonts w:ascii="Palatino Linotype" w:cs="Palatino Linotype" w:eastAsia="Palatino Linotype" w:hAnsi="Palatino Linotype"/>
          <w:sz w:val="22"/>
          <w:szCs w:val="22"/>
          <w:rtl w:val="0"/>
        </w:rPr>
        <w:t xml:space="preserve">por parte de la </w:t>
      </w:r>
      <w:r w:rsidDel="00000000" w:rsidR="00000000" w:rsidRPr="00000000">
        <w:rPr>
          <w:rFonts w:ascii="Palatino Linotype" w:cs="Palatino Linotype" w:eastAsia="Palatino Linotype" w:hAnsi="Palatino Linotype"/>
          <w:b w:val="1"/>
          <w:bCs w:val="1"/>
          <w:sz w:val="22"/>
          <w:szCs w:val="22"/>
          <w:rtl w:val="0"/>
        </w:rPr>
        <w:t xml:space="preserve">Universidad Politécnica de Atlacomulco,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veinticinco de agosto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bookmarkStart w:colFirst="0" w:colLast="0" w:name="_heading=h.4iky416o5x7n" w:id="3"/>
      <w:bookmarkEnd w:id="3"/>
      <w:r w:rsidDel="00000000" w:rsidR="00000000" w:rsidRPr="00000000">
        <w:rPr>
          <w:rFonts w:ascii="Palatino Linotype" w:cs="Palatino Linotype" w:eastAsia="Palatino Linotype" w:hAnsi="Palatino Linotype"/>
          <w:i w:val="1"/>
          <w:iCs w:val="1"/>
          <w:sz w:val="22"/>
          <w:szCs w:val="22"/>
          <w:rtl w:val="0"/>
        </w:rPr>
        <w:t xml:space="preserve"> “nombre, correo electrónico de los suplentes de los integrantes de la Junta Directiva</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bookmarkStart w:colFirst="0" w:colLast="0" w:name="_heading=h.3dy6vkm" w:id="4"/>
      <w:bookmarkEnd w:id="4"/>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veintisiete de agosto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del SAIMEX, sustancialmente en los términos siguientes:   </w:t>
      </w:r>
    </w:p>
    <w:p w:rsidR="00000000" w:rsidDel="00000000" w:rsidP="00000000" w:rsidRDefault="00000000" w:rsidRPr="00000000" w14:paraId="00000007">
      <w:pPr>
        <w:spacing w:after="240" w:before="24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“…le contestamos que Conforme al análisis realizado por parte de esta Unidad de Transparencia, se le da contestación en términos de los documentos que se adjuntan al presente. Con lo anteriormente expuesto y fundado, se da respuesta a su requerimiento en tiempo y forma, de conformidad con los artículos 3 fracción II, 12, 21, 23 fracción I, 24 último párrafo, 59, fracciones II y III, 150 y 173 de la Ley de Transparencia Local...” (sic)</w:t>
      </w:r>
    </w:p>
    <w:p w:rsidR="00000000" w:rsidDel="00000000" w:rsidP="00000000" w:rsidRDefault="00000000" w:rsidRPr="00000000" w14:paraId="0000000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adjuntó lo siguiente:</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Oficio número 00022/UPAT/IP/2025, mediante el cual el titular de la Unidad de Transparencia, en atención a la solicitud, refirió que por cuanto hace a los datos de contacto que solicita como correo electrónico, el Sujeto Obligado no genera, ni posee esa información al ser los integrantes de la Junta Directiva adscritos de distintas dependencias del Gobierno, sin embargo y en aras de facilitar su consulta proporcionó el link para ingresar al directorio de servidoras públicas y servidores públicos gobierno del Estado de México, para lo cual se debe ingresar el nombre del servidor público que desea contactar y se le proporcionaran los datos de contacto con que cuenta dicho servidor.</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nombre de los suplentes de integrantes de la Junta Directiva de la Universidad Politécnica de Atlacomulco, reiteró que el Sujeto Obligado no genera, ni posee la información al ser los integrantes de la Junta Directiva adscritos de distintas dependencias del Gobierno, sin embargo y en atención del principio de máxima publicidad proporcionó los nombres de los integrantes titulares de la Junta Directiva, para efectos de que la persona solicitante ingresara al directorio de servidores y solicitar de forma particular a cada integrante la información que solicita, lo anterior en virtud que cada integrante designa a su suplente de forma particular mediante oficio.</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dos de septiembre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0E">
      <w:pPr>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acuerdo a la respuesta obtenida de la Universidad Politécnica de Atlacomulco (UPAT) a la solicitud de información SAIMEX 00022/UPAT/IP/2025, en la que argumentan que no generan ni poseen los nombres y correos electrónicos institucionales de los integrantes y sus suplentes de la Junta Directiva, basándose en el principio de máxima publicidad y en que son adscritos a distintas dependencias de gobierno.”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bookmarkStart w:colFirst="0" w:colLast="0" w:name="_heading=h.30j0zll" w:id="5"/>
      <w:bookmarkEnd w:id="5"/>
      <w:r w:rsidDel="00000000" w:rsidR="00000000" w:rsidRPr="00000000">
        <w:rPr>
          <w:rFonts w:ascii="Palatino Linotype" w:cs="Palatino Linotype" w:eastAsia="Palatino Linotype" w:hAnsi="Palatino Linotype"/>
          <w:b w:val="1"/>
          <w:bCs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acuerdo a la respuesta obtenida de la Universidad Politécnica de Atlacomulco (UPAT) a la solicitud SAIMEX 00022/UPAT/IP/2025, en la que argumentan, basándose en el principio de máxima publicidad, que no generan ni poseen la información al ser los integrantes y sus suplentes de la Junta Directiva adscritos de distintas dependencias del Gobierno, presento el siguiente argumento: El principio de máxima publicidad es fundamental en el ámbito de la transparencia y el acceso a la información pública en México. Este concepto establece que toda la información en posesión de las entidades gubernamentales y de quienes manejan recursos públicos debe ser pública, completa, oportuna y accesible. Este principio invierte la lógica tradicional del secreto, al establecer que la información es pública a menos que exista una excepción legal muy bien definida. En este sentido, los nombres de los suplentes de la junta directiva de una entidad pública son información pública, ya que pertenecen al ámbito de la transparencia y la rendición de cuentas. La información de los servidores públicos es de interés general y debe ser accesible para la ciudadanía. • Rendición de cuentas: Los suplentes, al igual que los titulares, tienen la potestad de tomar decisiones, votar y participar en la gestión pública. La ciudadanía tiene el derecho de saber quiénes son las personas que ocupan estos cargos. • Transparencia proactiva: Las leyes de transparencia obligan a los sujetos obligados (gobiernos, órganos autónomos, universidades públicas, etc.) a publicar de forma rutinaria y proactiva información sobre su estructura orgánica, incluyendo los nombres y puestos de todos sus miembros, tanto titulares como suplentes. • Interés público: El nombre de un suplente no es información confidencial o reservada. Pertenecer a un órgano de gobierno es una función de interés público. • La información relacionada con la función pública de un servidor debe ser accesible para los ciudadanos. Un correo electrónico oficial es una herramienta de trabajo, no es un dato personal o privado. La Universidad Politécnica de Atlacomulco está violando el mismo principio sobre el cual argumenta no tener la información. Por lo tanto, solicito que se proporcionen los nombres y correos electrónicos institucionales de los suplentes actuales de la Junta Directiva de la Universidad Politécnica de Atlacomulco, el correo electrónico institucional de los miembros de la Junta Directiva forma parte de la información pública que la Universidad, como sujeto obligado, debe transparentar para permitir la comunicación y la rendición de cuentas.” (sic)</w:t>
      </w:r>
    </w:p>
    <w:p w:rsidR="00000000" w:rsidDel="00000000" w:rsidP="00000000" w:rsidRDefault="00000000" w:rsidRPr="00000000" w14:paraId="000000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cinco de septiembre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sz w:val="22"/>
          <w:szCs w:val="22"/>
        </w:rPr>
      </w:pPr>
      <w:bookmarkStart w:colFirst="0" w:colLast="0" w:name="_heading=h.2s8eyo1" w:id="6"/>
      <w:bookmarkEnd w:id="6"/>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doce de septiembre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a través del SAIMEX su informe justificado, mediante el cual, por conducto del Titular de la Unidad de Transparencia, ratificó la respuesta emitida en primera instancia, manifestando que la información solicitada no está catalogada como relevante o beneficiosa para la sociedad, o que sea de utilidad para que el público comprenda las actividades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reiterando que los suplentes de cada integrante de la Junta Directiva es designado por los propios titulares mediante oficio, es decir, que el Sujeto Obligado no es quien designa o nombra a los suplentes, sino cada integrante de forma particular,  </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analizada la información, se hizo del conocimiento de la persona solicitante a efecto de que manifestara lo que a su derecho estimara conveniente, por lo que el </w:t>
      </w:r>
      <w:r w:rsidDel="00000000" w:rsidR="00000000" w:rsidRPr="00000000">
        <w:rPr>
          <w:rFonts w:ascii="Palatino Linotype" w:cs="Palatino Linotype" w:eastAsia="Palatino Linotype" w:hAnsi="Palatino Linotype"/>
          <w:b w:val="1"/>
          <w:bCs w:val="1"/>
          <w:sz w:val="22"/>
          <w:szCs w:val="22"/>
          <w:rtl w:val="0"/>
        </w:rPr>
        <w:t xml:space="preserve">veintitrés de septiembre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bCs w:val="1"/>
          <w:sz w:val="22"/>
          <w:szCs w:val="22"/>
          <w:rtl w:val="0"/>
        </w:rPr>
        <w:t xml:space="preserve">veintidós de octubre de dos mil veinticinco, </w:t>
      </w:r>
      <w:r w:rsidDel="00000000" w:rsidR="00000000" w:rsidRPr="00000000">
        <w:rPr>
          <w:rFonts w:ascii="Palatino Linotype" w:cs="Palatino Linotype" w:eastAsia="Palatino Linotype" w:hAnsi="Palatino Linotype"/>
          <w:sz w:val="22"/>
          <w:szCs w:val="22"/>
          <w:rtl w:val="0"/>
        </w:rPr>
        <w:t xml:space="preserve">manifestó mediante escrito libre, lo siguiente:</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respuesta emitida por el Sujeto Obligado es infundada, ya que la justificación presentada no se apega a los supuestos de clasificación y reserva establecidos en la Ley General de Transparencia y Acceso a la Información Pública. </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Respecto al argumento de "falta de relevancia":</w:t>
      </w:r>
      <w:r w:rsidDel="00000000" w:rsidR="00000000" w:rsidRPr="00000000">
        <w:rPr>
          <w:rFonts w:ascii="Palatino Linotype" w:cs="Palatino Linotype" w:eastAsia="Palatino Linotype" w:hAnsi="Palatino Linotype"/>
          <w:sz w:val="22"/>
          <w:szCs w:val="22"/>
          <w:rtl w:val="0"/>
        </w:rPr>
        <w:t xml:space="preserve"> La Ley de Transparencia no faculta al Sujeto Obligado para negar la entrega de información bajo el pretexto de que no la considera relevante o beneficiosa para la sociedad. Dicho criterio no es un motivo legal para restringir el acceso. Por el contrario, la Ley establece que toda información generada, obtenida, adquirida, administrada o en posesión de los sujetos obligados es pública, completa y oportuna, y solo podrá ser clasificada por motivos estrictamente definidos en la misma. </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Respecto al argumento de "inexistencia</w:t>
      </w:r>
      <w:r w:rsidDel="00000000" w:rsidR="00000000" w:rsidRPr="00000000">
        <w:rPr>
          <w:rFonts w:ascii="Palatino Linotype" w:cs="Palatino Linotype" w:eastAsia="Palatino Linotype" w:hAnsi="Palatino Linotype"/>
          <w:sz w:val="22"/>
          <w:szCs w:val="22"/>
          <w:rtl w:val="0"/>
        </w:rPr>
        <w:t xml:space="preserve">": El Sujeto Obligado incurre en una contradicción al declarar la inexistencia de la información. La identidad de los suplentes de la Junta Directiva forma parte de la estructura orgánica del sujeto obligado y, por lo tanto, es una información inherente a sus funciones y debe ser generada y resguardada. La negativa basada en la inexistencia carece de validez y evidencia un claro intento de ocultar la información.” (sic)</w:t>
      </w:r>
    </w:p>
    <w:p w:rsidR="00000000" w:rsidDel="00000000" w:rsidP="00000000" w:rsidRDefault="00000000" w:rsidRPr="00000000" w14:paraId="00000018">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ESCRITO DE ALEGATOS Y DESVIRTUACIÓN DE CAUSALES DE IMPROCEDENCIA </w:t>
      </w:r>
    </w:p>
    <w:p w:rsidR="00000000" w:rsidDel="00000000" w:rsidP="00000000" w:rsidRDefault="00000000" w:rsidRPr="00000000" w14:paraId="0000001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DIRIGIDO A</w:t>
      </w:r>
      <w:r w:rsidDel="00000000" w:rsidR="00000000" w:rsidRPr="00000000">
        <w:rPr>
          <w:rFonts w:ascii="Palatino Linotype" w:cs="Palatino Linotype" w:eastAsia="Palatino Linotype" w:hAnsi="Palatino Linotype"/>
          <w:i w:val="1"/>
          <w:iCs w:val="1"/>
          <w:sz w:val="22"/>
          <w:szCs w:val="22"/>
          <w:rtl w:val="0"/>
        </w:rPr>
        <w:t xml:space="preserve">: El Pleno del Instituto de Transparencia, Acceso a la Información Pública y Protección de Datos Personales del Estado de México y Municipios (INFOEM).</w:t>
      </w:r>
    </w:p>
    <w:p w:rsidR="00000000" w:rsidDel="00000000" w:rsidP="00000000" w:rsidRDefault="00000000" w:rsidRPr="00000000" w14:paraId="0000001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ASUNTO:</w:t>
      </w:r>
      <w:r w:rsidDel="00000000" w:rsidR="00000000" w:rsidRPr="00000000">
        <w:rPr>
          <w:rFonts w:ascii="Palatino Linotype" w:cs="Palatino Linotype" w:eastAsia="Palatino Linotype" w:hAnsi="Palatino Linotype"/>
          <w:i w:val="1"/>
          <w:iCs w:val="1"/>
          <w:sz w:val="22"/>
          <w:szCs w:val="22"/>
          <w:rtl w:val="0"/>
        </w:rPr>
        <w:t xml:space="preserve"> Desvirtuación de causales de improcedencia e Ilegalidad de la respuesta del Sujeto Obligado. </w:t>
      </w:r>
    </w:p>
    <w:p w:rsidR="00000000" w:rsidDel="00000000" w:rsidP="00000000" w:rsidRDefault="00000000" w:rsidRPr="00000000" w14:paraId="0000001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EXPEDIENTE INFOEM</w:t>
      </w:r>
      <w:r w:rsidDel="00000000" w:rsidR="00000000" w:rsidRPr="00000000">
        <w:rPr>
          <w:rFonts w:ascii="Palatino Linotype" w:cs="Palatino Linotype" w:eastAsia="Palatino Linotype" w:hAnsi="Palatino Linotype"/>
          <w:i w:val="1"/>
          <w:iCs w:val="1"/>
          <w:sz w:val="22"/>
          <w:szCs w:val="22"/>
          <w:rtl w:val="0"/>
        </w:rPr>
        <w:t xml:space="preserve"> No.: Folio de recurso</w:t>
      </w:r>
      <w:r w:rsidDel="00000000" w:rsidR="00000000" w:rsidRPr="00000000">
        <w:rPr>
          <w:rFonts w:ascii="Palatino Linotype" w:cs="Palatino Linotype" w:eastAsia="Palatino Linotype" w:hAnsi="Palatino Linotype"/>
          <w:b w:val="1"/>
          <w:bCs w:val="1"/>
          <w:i w:val="1"/>
          <w:iCs w:val="1"/>
          <w:sz w:val="22"/>
          <w:szCs w:val="22"/>
          <w:rtl w:val="0"/>
        </w:rPr>
        <w:t xml:space="preserve">: 10329/INFOEM/IP/RR/2025</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1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comparezco para desvirtuar las manifestaciones vertidas por la Universidad Politécnica de Atlacomulco (UPA) en su Informe Justificado. </w:t>
      </w:r>
    </w:p>
    <w:p w:rsidR="00000000" w:rsidDel="00000000" w:rsidP="00000000" w:rsidRDefault="00000000" w:rsidRPr="00000000" w14:paraId="0000001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Invalidez de las Causales de Desechamiento Invocadas por la UPA (Art. 191)</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1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Sujeto Obligado alega que mi Recurso debe ser desechado por falta de fundamentación (Fracc. III) e impugnación de veracidad (Fracc. V), lo cual es jurídicamente improcedente: </w:t>
      </w:r>
    </w:p>
    <w:p w:rsidR="00000000" w:rsidDel="00000000" w:rsidP="00000000" w:rsidRDefault="00000000" w:rsidRPr="00000000" w14:paraId="0000001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 Improcedencia por Falta de Fundamentación</w:t>
      </w:r>
      <w:r w:rsidDel="00000000" w:rsidR="00000000" w:rsidRPr="00000000">
        <w:rPr>
          <w:rFonts w:ascii="Palatino Linotype" w:cs="Palatino Linotype" w:eastAsia="Palatino Linotype" w:hAnsi="Palatino Linotype"/>
          <w:i w:val="1"/>
          <w:iCs w:val="1"/>
          <w:sz w:val="22"/>
          <w:szCs w:val="22"/>
          <w:rtl w:val="0"/>
        </w:rPr>
        <w:t xml:space="preserve">: Esta es una falacia. Mi inconformidad se encuadra en el </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fracción XIII</w:t>
      </w:r>
      <w:r w:rsidDel="00000000" w:rsidR="00000000" w:rsidRPr="00000000">
        <w:rPr>
          <w:rFonts w:ascii="Palatino Linotype" w:cs="Palatino Linotype" w:eastAsia="Palatino Linotype" w:hAnsi="Palatino Linotype"/>
          <w:i w:val="1"/>
          <w:iCs w:val="1"/>
          <w:sz w:val="22"/>
          <w:szCs w:val="22"/>
          <w:rtl w:val="0"/>
        </w:rPr>
        <w:t xml:space="preserve"> (insuficiencia de fundamentación y motivación en la respuesta), ya que el Sujeto Obligado no fundó su negativa en una causal de reserva o confidencialidad, sino en argumentos ajenos a la Ley. El INFOEM debe aplicar el principio pro persona para reencauzar la queja, sin exigir tecnicismos al recurrente. </w:t>
      </w:r>
    </w:p>
    <w:p w:rsidR="00000000" w:rsidDel="00000000" w:rsidP="00000000" w:rsidRDefault="00000000" w:rsidRPr="00000000" w14:paraId="0000002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Improcedencia por Impugnación de Veracidad:</w:t>
      </w:r>
      <w:r w:rsidDel="00000000" w:rsidR="00000000" w:rsidRPr="00000000">
        <w:rPr>
          <w:rFonts w:ascii="Palatino Linotype" w:cs="Palatino Linotype" w:eastAsia="Palatino Linotype" w:hAnsi="Palatino Linotype"/>
          <w:i w:val="1"/>
          <w:iCs w:val="1"/>
          <w:sz w:val="22"/>
          <w:szCs w:val="22"/>
          <w:rtl w:val="0"/>
        </w:rPr>
        <w:t xml:space="preserve"> Es materialmente imposible impugnar la veracidad de una información que </w:t>
      </w:r>
      <w:r w:rsidDel="00000000" w:rsidR="00000000" w:rsidRPr="00000000">
        <w:rPr>
          <w:rFonts w:ascii="Palatino Linotype" w:cs="Palatino Linotype" w:eastAsia="Palatino Linotype" w:hAnsi="Palatino Linotype"/>
          <w:b w:val="1"/>
          <w:bCs w:val="1"/>
          <w:i w:val="1"/>
          <w:iCs w:val="1"/>
          <w:sz w:val="22"/>
          <w:szCs w:val="22"/>
          <w:rtl w:val="0"/>
        </w:rPr>
        <w:t xml:space="preserve">aún no ha sido entregada</w:t>
      </w:r>
      <w:r w:rsidDel="00000000" w:rsidR="00000000" w:rsidRPr="00000000">
        <w:rPr>
          <w:rFonts w:ascii="Palatino Linotype" w:cs="Palatino Linotype" w:eastAsia="Palatino Linotype" w:hAnsi="Palatino Linotype"/>
          <w:i w:val="1"/>
          <w:iCs w:val="1"/>
          <w:sz w:val="22"/>
          <w:szCs w:val="22"/>
          <w:rtl w:val="0"/>
        </w:rPr>
        <w:t xml:space="preserve">. Mi recurso impugna la </w:t>
      </w:r>
      <w:r w:rsidDel="00000000" w:rsidR="00000000" w:rsidRPr="00000000">
        <w:rPr>
          <w:rFonts w:ascii="Palatino Linotype" w:cs="Palatino Linotype" w:eastAsia="Palatino Linotype" w:hAnsi="Palatino Linotype"/>
          <w:b w:val="1"/>
          <w:bCs w:val="1"/>
          <w:i w:val="1"/>
          <w:iCs w:val="1"/>
          <w:sz w:val="22"/>
          <w:szCs w:val="22"/>
          <w:rtl w:val="0"/>
        </w:rPr>
        <w:t xml:space="preserve">ilegalidad de la respuesta de la UPA</w:t>
      </w:r>
      <w:r w:rsidDel="00000000" w:rsidR="00000000" w:rsidRPr="00000000">
        <w:rPr>
          <w:rFonts w:ascii="Palatino Linotype" w:cs="Palatino Linotype" w:eastAsia="Palatino Linotype" w:hAnsi="Palatino Linotype"/>
          <w:i w:val="1"/>
          <w:iCs w:val="1"/>
          <w:sz w:val="22"/>
          <w:szCs w:val="22"/>
          <w:rtl w:val="0"/>
        </w:rPr>
        <w:t xml:space="preserve">, que equivale a una negativa deficiente. </w:t>
      </w:r>
    </w:p>
    <w:p w:rsidR="00000000" w:rsidDel="00000000" w:rsidP="00000000" w:rsidRDefault="00000000" w:rsidRPr="00000000" w14:paraId="0000002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Violación Directa a los Principios Rectores de la Transparencia</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2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Sujeto Obligado invoca los principios de </w:t>
      </w:r>
      <w:r w:rsidDel="00000000" w:rsidR="00000000" w:rsidRPr="00000000">
        <w:rPr>
          <w:rFonts w:ascii="Palatino Linotype" w:cs="Palatino Linotype" w:eastAsia="Palatino Linotype" w:hAnsi="Palatino Linotype"/>
          <w:b w:val="1"/>
          <w:bCs w:val="1"/>
          <w:i w:val="1"/>
          <w:iCs w:val="1"/>
          <w:sz w:val="22"/>
          <w:szCs w:val="22"/>
          <w:rtl w:val="0"/>
        </w:rPr>
        <w:t xml:space="preserve">Máxima Publicidad</w:t>
      </w:r>
      <w:r w:rsidDel="00000000" w:rsidR="00000000" w:rsidRPr="00000000">
        <w:rPr>
          <w:rFonts w:ascii="Palatino Linotype" w:cs="Palatino Linotype" w:eastAsia="Palatino Linotype" w:hAnsi="Palatino Linotype"/>
          <w:i w:val="1"/>
          <w:iCs w:val="1"/>
          <w:sz w:val="22"/>
          <w:szCs w:val="22"/>
          <w:rtl w:val="0"/>
        </w:rPr>
        <w:t xml:space="preserve"> y el </w:t>
      </w:r>
      <w:r w:rsidDel="00000000" w:rsidR="00000000" w:rsidRPr="00000000">
        <w:rPr>
          <w:rFonts w:ascii="Palatino Linotype" w:cs="Palatino Linotype" w:eastAsia="Palatino Linotype" w:hAnsi="Palatino Linotype"/>
          <w:b w:val="1"/>
          <w:bCs w:val="1"/>
          <w:i w:val="1"/>
          <w:iCs w:val="1"/>
          <w:sz w:val="22"/>
          <w:szCs w:val="22"/>
          <w:rtl w:val="0"/>
        </w:rPr>
        <w:t xml:space="preserve">Artículo 6º Constitucional</w:t>
      </w:r>
      <w:r w:rsidDel="00000000" w:rsidR="00000000" w:rsidRPr="00000000">
        <w:rPr>
          <w:rFonts w:ascii="Palatino Linotype" w:cs="Palatino Linotype" w:eastAsia="Palatino Linotype" w:hAnsi="Palatino Linotype"/>
          <w:i w:val="1"/>
          <w:iCs w:val="1"/>
          <w:sz w:val="22"/>
          <w:szCs w:val="22"/>
          <w:rtl w:val="0"/>
        </w:rPr>
        <w:t xml:space="preserve">, sin advertir que su respuesta los viola directamente: </w:t>
      </w:r>
    </w:p>
    <w:p w:rsidR="00000000" w:rsidDel="00000000" w:rsidP="00000000" w:rsidRDefault="00000000" w:rsidRPr="00000000" w14:paraId="00000023">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 Violación al Principio de No Inquisición (Art. 6º y Art. 4 LTAIPEMM): </w:t>
      </w:r>
    </w:p>
    <w:p w:rsidR="00000000" w:rsidDel="00000000" w:rsidP="00000000" w:rsidRDefault="00000000" w:rsidRPr="00000000" w14:paraId="0000002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Noto Sans Symbols" w:cs="Noto Sans Symbols" w:eastAsia="Noto Sans Symbols" w:hAnsi="Noto Sans Symbols"/>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El Artículo 6º Constitucional y el Artículo 4 de la Ley de Transparencia prohíben categóricamente </w:t>
      </w:r>
      <w:r w:rsidDel="00000000" w:rsidR="00000000" w:rsidRPr="00000000">
        <w:rPr>
          <w:rFonts w:ascii="Palatino Linotype" w:cs="Palatino Linotype" w:eastAsia="Palatino Linotype" w:hAnsi="Palatino Linotype"/>
          <w:b w:val="1"/>
          <w:bCs w:val="1"/>
          <w:i w:val="1"/>
          <w:iCs w:val="1"/>
          <w:sz w:val="22"/>
          <w:szCs w:val="22"/>
          <w:rtl w:val="0"/>
        </w:rPr>
        <w:t xml:space="preserve">acreditar interés alguno o justificar su utilización</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2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Noto Sans Symbols" w:cs="Noto Sans Symbols" w:eastAsia="Noto Sans Symbols" w:hAnsi="Noto Sans Symbols"/>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La UPA violó este precepto al condicionar la entrega de la información a mi "interés particular" y a la "comprensión del procesamiento". Esta es la principal </w:t>
      </w:r>
      <w:r w:rsidDel="00000000" w:rsidR="00000000" w:rsidRPr="00000000">
        <w:rPr>
          <w:rFonts w:ascii="Palatino Linotype" w:cs="Palatino Linotype" w:eastAsia="Palatino Linotype" w:hAnsi="Palatino Linotype"/>
          <w:b w:val="1"/>
          <w:bCs w:val="1"/>
          <w:i w:val="1"/>
          <w:iCs w:val="1"/>
          <w:sz w:val="22"/>
          <w:szCs w:val="22"/>
          <w:rtl w:val="0"/>
        </w:rPr>
        <w:t xml:space="preserve">deficiencia de motivación y fundamento</w:t>
      </w:r>
      <w:r w:rsidDel="00000000" w:rsidR="00000000" w:rsidRPr="00000000">
        <w:rPr>
          <w:rFonts w:ascii="Palatino Linotype" w:cs="Palatino Linotype" w:eastAsia="Palatino Linotype" w:hAnsi="Palatino Linotype"/>
          <w:i w:val="1"/>
          <w:iCs w:val="1"/>
          <w:sz w:val="22"/>
          <w:szCs w:val="22"/>
          <w:rtl w:val="0"/>
        </w:rPr>
        <w:t xml:space="preserve"> que debe ser revocada. </w:t>
      </w:r>
    </w:p>
    <w:p w:rsidR="00000000" w:rsidDel="00000000" w:rsidP="00000000" w:rsidRDefault="00000000" w:rsidRPr="00000000" w14:paraId="00000026">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Violación al Principio de Máxima Publicidad (Art. 7, Fracc. VII): </w:t>
      </w:r>
    </w:p>
    <w:p w:rsidR="00000000" w:rsidDel="00000000" w:rsidP="00000000" w:rsidRDefault="00000000" w:rsidRPr="00000000" w14:paraId="0000002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Noto Sans Symbols" w:cs="Noto Sans Symbols" w:eastAsia="Noto Sans Symbols" w:hAnsi="Noto Sans Symbols"/>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La UPA está obligada a favorecer siempre la publicidad de la información. La única forma de invocar el Principio de Máxima Publicidad es </w:t>
      </w:r>
      <w:r w:rsidDel="00000000" w:rsidR="00000000" w:rsidRPr="00000000">
        <w:rPr>
          <w:rFonts w:ascii="Palatino Linotype" w:cs="Palatino Linotype" w:eastAsia="Palatino Linotype" w:hAnsi="Palatino Linotype"/>
          <w:b w:val="1"/>
          <w:bCs w:val="1"/>
          <w:i w:val="1"/>
          <w:iCs w:val="1"/>
          <w:sz w:val="22"/>
          <w:szCs w:val="22"/>
          <w:rtl w:val="0"/>
        </w:rPr>
        <w:t xml:space="preserve">entregando la información</w:t>
      </w:r>
      <w:r w:rsidDel="00000000" w:rsidR="00000000" w:rsidRPr="00000000">
        <w:rPr>
          <w:rFonts w:ascii="Palatino Linotype" w:cs="Palatino Linotype" w:eastAsia="Palatino Linotype" w:hAnsi="Palatino Linotype"/>
          <w:i w:val="1"/>
          <w:iCs w:val="1"/>
          <w:sz w:val="22"/>
          <w:szCs w:val="22"/>
          <w:rtl w:val="0"/>
        </w:rPr>
        <w:t xml:space="preserve">, ya que el Sujeto Obligado no emitió ninguna declaración formal para clasificar los nombres de los suplentes como reservados o confidenciales. El principio obliga a </w:t>
      </w:r>
      <w:r w:rsidDel="00000000" w:rsidR="00000000" w:rsidRPr="00000000">
        <w:rPr>
          <w:rFonts w:ascii="Palatino Linotype" w:cs="Palatino Linotype" w:eastAsia="Palatino Linotype" w:hAnsi="Palatino Linotype"/>
          <w:b w:val="1"/>
          <w:bCs w:val="1"/>
          <w:i w:val="1"/>
          <w:iCs w:val="1"/>
          <w:sz w:val="22"/>
          <w:szCs w:val="22"/>
          <w:rtl w:val="0"/>
        </w:rPr>
        <w:t xml:space="preserve">abrir la información</w:t>
      </w:r>
      <w:r w:rsidDel="00000000" w:rsidR="00000000" w:rsidRPr="00000000">
        <w:rPr>
          <w:rFonts w:ascii="Palatino Linotype" w:cs="Palatino Linotype" w:eastAsia="Palatino Linotype" w:hAnsi="Palatino Linotype"/>
          <w:i w:val="1"/>
          <w:iCs w:val="1"/>
          <w:sz w:val="22"/>
          <w:szCs w:val="22"/>
          <w:rtl w:val="0"/>
        </w:rPr>
        <w:t xml:space="preserve">, no a justificar su opacidad. </w:t>
      </w:r>
    </w:p>
    <w:p w:rsidR="00000000" w:rsidDel="00000000" w:rsidP="00000000" w:rsidRDefault="00000000" w:rsidRPr="00000000" w14:paraId="0000002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Invalidez de los Argumentos de Excepción (Incompetencia y Art. 12)</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2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Sujeto Obligado utiliza los siguientes límites de la Ley de manera incorrecta para evadir su responsabilidad: </w:t>
      </w:r>
    </w:p>
    <w:p w:rsidR="00000000" w:rsidDel="00000000" w:rsidP="00000000" w:rsidRDefault="00000000" w:rsidRPr="00000000" w14:paraId="0000002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w:t>
      </w:r>
      <w:r w:rsidDel="00000000" w:rsidR="00000000" w:rsidRPr="00000000">
        <w:rPr>
          <w:rFonts w:ascii="Palatino Linotype" w:cs="Palatino Linotype" w:eastAsia="Palatino Linotype" w:hAnsi="Palatino Linotype"/>
          <w:b w:val="1"/>
          <w:bCs w:val="1"/>
          <w:i w:val="1"/>
          <w:iCs w:val="1"/>
          <w:sz w:val="22"/>
          <w:szCs w:val="22"/>
          <w:rtl w:val="0"/>
        </w:rPr>
        <w:t xml:space="preserve">Refutación al Artículo 12, Segundo Párrafo (Generación de Documentos):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2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La solicitud no exige a la UPA "generar documentos" o "investigar", sino entregar los documentos existentes que acrediten la identidad de los suplentes de la Junta Directiva. El nombramiento de dichos miembros es un acto administrativo obligatorio que, por la naturaleza de su función, debe obrar en sus archivos. </w:t>
      </w:r>
    </w:p>
    <w:p w:rsidR="00000000" w:rsidDel="00000000" w:rsidP="00000000" w:rsidRDefault="00000000" w:rsidRPr="00000000" w14:paraId="0000002C">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w:t>
      </w:r>
      <w:r w:rsidDel="00000000" w:rsidR="00000000" w:rsidRPr="00000000">
        <w:rPr>
          <w:rFonts w:ascii="Palatino Linotype" w:cs="Palatino Linotype" w:eastAsia="Palatino Linotype" w:hAnsi="Palatino Linotype"/>
          <w:b w:val="1"/>
          <w:bCs w:val="1"/>
          <w:i w:val="1"/>
          <w:iCs w:val="1"/>
          <w:sz w:val="22"/>
          <w:szCs w:val="22"/>
          <w:rtl w:val="0"/>
        </w:rPr>
        <w:t xml:space="preserve">. Refutación a la Invocación de Incompetencia: </w:t>
      </w:r>
    </w:p>
    <w:p w:rsidR="00000000" w:rsidDel="00000000" w:rsidP="00000000" w:rsidRDefault="00000000" w:rsidRPr="00000000" w14:paraId="0000002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La UPA es el sujeto obligado natural para poseer la documentación de nombramiento de su propio órgano de gobierno. Si la información no obrara en su posesión, la UPA debió emitir una declaración formal de Inexistencia o Incompetencia con el debido turno, y no una respuesta evasiva con condiciones ilegales. Al no hacerlo, su respuesta carece de legalidad. </w:t>
      </w:r>
    </w:p>
    <w:p w:rsidR="00000000" w:rsidDel="00000000" w:rsidP="00000000" w:rsidRDefault="00000000" w:rsidRPr="00000000" w14:paraId="0000002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PETICIÓN AL INFOEM</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2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Por todo lo anteriormente expuesto y fundado, solicito atentamente al Pleno de este H. Instituto: </w:t>
      </w:r>
    </w:p>
    <w:p w:rsidR="00000000" w:rsidDel="00000000" w:rsidP="00000000" w:rsidRDefault="00000000" w:rsidRPr="00000000" w14:paraId="0000003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PRIMERO.</w:t>
      </w:r>
      <w:r w:rsidDel="00000000" w:rsidR="00000000" w:rsidRPr="00000000">
        <w:rPr>
          <w:rFonts w:ascii="Palatino Linotype" w:cs="Palatino Linotype" w:eastAsia="Palatino Linotype" w:hAnsi="Palatino Linotype"/>
          <w:i w:val="1"/>
          <w:iCs w:val="1"/>
          <w:sz w:val="22"/>
          <w:szCs w:val="22"/>
          <w:rtl w:val="0"/>
        </w:rPr>
        <w:t xml:space="preserve"> Tener por presentado el presente escrito de Alegatos y Desvirtuación de Causales de Improcedencia, e integrarlo al expediente. </w:t>
      </w:r>
    </w:p>
    <w:p w:rsidR="00000000" w:rsidDel="00000000" w:rsidP="00000000" w:rsidRDefault="00000000" w:rsidRPr="00000000" w14:paraId="0000003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SEGUNDO</w:t>
      </w:r>
      <w:r w:rsidDel="00000000" w:rsidR="00000000" w:rsidRPr="00000000">
        <w:rPr>
          <w:rFonts w:ascii="Palatino Linotype" w:cs="Palatino Linotype" w:eastAsia="Palatino Linotype" w:hAnsi="Palatino Linotype"/>
          <w:i w:val="1"/>
          <w:iCs w:val="1"/>
          <w:sz w:val="22"/>
          <w:szCs w:val="22"/>
          <w:rtl w:val="0"/>
        </w:rPr>
        <w:t xml:space="preserve">. Desestimar los argumentos de la Universidad Politécnica de Atlacomulco por ser violatorios de los Artículos 6º Constitucional, 4º y 7º de la Ley de Transparencia, y por intentar evadir el fondo del asunto.</w:t>
      </w:r>
    </w:p>
    <w:p w:rsidR="00000000" w:rsidDel="00000000" w:rsidP="00000000" w:rsidRDefault="00000000" w:rsidRPr="00000000" w14:paraId="00000032">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TERCERO.</w:t>
      </w:r>
      <w:r w:rsidDel="00000000" w:rsidR="00000000" w:rsidRPr="00000000">
        <w:rPr>
          <w:rFonts w:ascii="Palatino Linotype" w:cs="Palatino Linotype" w:eastAsia="Palatino Linotype" w:hAnsi="Palatino Linotype"/>
          <w:i w:val="1"/>
          <w:iCs w:val="1"/>
          <w:sz w:val="22"/>
          <w:szCs w:val="22"/>
          <w:rtl w:val="0"/>
        </w:rPr>
        <w:t xml:space="preserve"> Declarar </w:t>
      </w:r>
      <w:r w:rsidDel="00000000" w:rsidR="00000000" w:rsidRPr="00000000">
        <w:rPr>
          <w:rFonts w:ascii="Palatino Linotype" w:cs="Palatino Linotype" w:eastAsia="Palatino Linotype" w:hAnsi="Palatino Linotype"/>
          <w:b w:val="1"/>
          <w:bCs w:val="1"/>
          <w:i w:val="1"/>
          <w:iCs w:val="1"/>
          <w:sz w:val="22"/>
          <w:szCs w:val="22"/>
          <w:rtl w:val="0"/>
        </w:rPr>
        <w:t xml:space="preserve">FUNDADO</w:t>
      </w:r>
      <w:r w:rsidDel="00000000" w:rsidR="00000000" w:rsidRPr="00000000">
        <w:rPr>
          <w:rFonts w:ascii="Palatino Linotype" w:cs="Palatino Linotype" w:eastAsia="Palatino Linotype" w:hAnsi="Palatino Linotype"/>
          <w:i w:val="1"/>
          <w:iCs w:val="1"/>
          <w:sz w:val="22"/>
          <w:szCs w:val="22"/>
          <w:rtl w:val="0"/>
        </w:rPr>
        <w:t xml:space="preserve"> el Recurso de Revisión interpuesto por el recurrente, al configurarse plenamente la causal de insuficiencia de fundamentación y motivación (Art. 179, Fracc. XIII). </w:t>
      </w:r>
    </w:p>
    <w:p w:rsidR="00000000" w:rsidDel="00000000" w:rsidP="00000000" w:rsidRDefault="00000000" w:rsidRPr="00000000" w14:paraId="0000003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CUARTO.</w:t>
      </w:r>
      <w:r w:rsidDel="00000000" w:rsidR="00000000" w:rsidRPr="00000000">
        <w:rPr>
          <w:rFonts w:ascii="Palatino Linotype" w:cs="Palatino Linotype" w:eastAsia="Palatino Linotype" w:hAnsi="Palatino Linotype"/>
          <w:i w:val="1"/>
          <w:iCs w:val="1"/>
          <w:sz w:val="22"/>
          <w:szCs w:val="22"/>
          <w:rtl w:val="0"/>
        </w:rPr>
        <w:t xml:space="preserve"> Ordenar a la Universidad Politécnica de Atlacomulco </w:t>
      </w:r>
      <w:r w:rsidDel="00000000" w:rsidR="00000000" w:rsidRPr="00000000">
        <w:rPr>
          <w:rFonts w:ascii="Palatino Linotype" w:cs="Palatino Linotype" w:eastAsia="Palatino Linotype" w:hAnsi="Palatino Linotype"/>
          <w:b w:val="1"/>
          <w:bCs w:val="1"/>
          <w:i w:val="1"/>
          <w:iCs w:val="1"/>
          <w:sz w:val="22"/>
          <w:szCs w:val="22"/>
          <w:rtl w:val="0"/>
        </w:rPr>
        <w:t xml:space="preserve">entregar la información solicitada</w:t>
      </w:r>
      <w:r w:rsidDel="00000000" w:rsidR="00000000" w:rsidRPr="00000000">
        <w:rPr>
          <w:rFonts w:ascii="Palatino Linotype" w:cs="Palatino Linotype" w:eastAsia="Palatino Linotype" w:hAnsi="Palatino Linotype"/>
          <w:i w:val="1"/>
          <w:iCs w:val="1"/>
          <w:sz w:val="22"/>
          <w:szCs w:val="22"/>
          <w:rtl w:val="0"/>
        </w:rPr>
        <w:t xml:space="preserve"> (nombres y/o documentos de nombramiento de los suplentes de la H. Junta Directiva), en el plazo que el INFOEM determine. </w:t>
      </w:r>
    </w:p>
    <w:p w:rsidR="00000000" w:rsidDel="00000000" w:rsidP="00000000" w:rsidRDefault="00000000" w:rsidRPr="00000000" w14:paraId="0000003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PROTESTO LO NECESARIO</w:t>
      </w:r>
      <w:r w:rsidDel="00000000" w:rsidR="00000000" w:rsidRPr="00000000">
        <w:rPr>
          <w:rFonts w:ascii="Palatino Linotype" w:cs="Palatino Linotype" w:eastAsia="Palatino Linotype" w:hAnsi="Palatino Linotype"/>
          <w:i w:val="1"/>
          <w:iCs w:val="1"/>
          <w:sz w:val="22"/>
          <w:szCs w:val="22"/>
          <w:rtl w:val="0"/>
        </w:rPr>
        <w:t xml:space="preserve">” (sic)</w:t>
      </w:r>
    </w:p>
    <w:p w:rsidR="00000000" w:rsidDel="00000000" w:rsidP="00000000" w:rsidRDefault="00000000" w:rsidRPr="00000000" w14:paraId="00000035">
      <w:pPr>
        <w:widowControl w:val="0"/>
        <w:spacing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bCs w:val="1"/>
          <w:sz w:val="22"/>
          <w:szCs w:val="22"/>
          <w:rtl w:val="0"/>
        </w:rPr>
        <w:t xml:space="preserve">veintisiete de noviembre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6">
      <w:pPr>
        <w:widowControl w:val="0"/>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del término para resolver</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veintisiete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C">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D">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Actividad Procesal del interesado. Acciones u omisiones del interesado.</w:t>
      </w:r>
    </w:p>
    <w:p w:rsidR="00000000" w:rsidDel="00000000" w:rsidP="00000000" w:rsidRDefault="00000000" w:rsidRPr="00000000" w14:paraId="0000003E">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F">
      <w:pPr>
        <w:tabs>
          <w:tab w:val="left" w:leader="none" w:pos="567"/>
        </w:tabs>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La afectación generada en la situación jurídica de la persona involucrada en el proceso: Violación a sus derechos humanos.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4">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8">
      <w:pPr>
        <w:widowControl w:val="0"/>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sz w:val="22"/>
          <w:szCs w:val="22"/>
        </w:rPr>
      </w:pPr>
      <w:bookmarkStart w:colFirst="0" w:colLast="0" w:name="_heading=h.tyjcwt" w:id="7"/>
      <w:bookmarkEnd w:id="7"/>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veintisiete de agosto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tuvo por presentado el día</w:t>
      </w:r>
      <w:r w:rsidDel="00000000" w:rsidR="00000000" w:rsidRPr="00000000">
        <w:rPr>
          <w:rFonts w:ascii="Palatino Linotype" w:cs="Palatino Linotype" w:eastAsia="Palatino Linotype" w:hAnsi="Palatino Linotype"/>
          <w:b w:val="1"/>
          <w:bCs w:val="1"/>
          <w:sz w:val="22"/>
          <w:szCs w:val="22"/>
          <w:rtl w:val="0"/>
        </w:rPr>
        <w:t xml:space="preserve"> dos de septiembre de dos mil veinticinco, </w:t>
      </w:r>
      <w:r w:rsidDel="00000000" w:rsidR="00000000" w:rsidRPr="00000000">
        <w:rPr>
          <w:rFonts w:ascii="Palatino Linotype" w:cs="Palatino Linotype" w:eastAsia="Palatino Linotype" w:hAnsi="Palatino Linotype"/>
          <w:sz w:val="22"/>
          <w:szCs w:val="22"/>
          <w:rtl w:val="0"/>
        </w:rPr>
        <w:t xml:space="preserve">esto es, el cuarto día hábil posterior a aquel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señaló un </w:t>
      </w:r>
      <w:r w:rsidDel="00000000" w:rsidR="00000000" w:rsidRPr="00000000">
        <w:rPr>
          <w:rFonts w:ascii="Palatino Linotype" w:cs="Palatino Linotype" w:eastAsia="Palatino Linotype" w:hAnsi="Palatino Linotype"/>
          <w:b w:val="1"/>
          <w:bCs w:val="1"/>
          <w:sz w:val="22"/>
          <w:szCs w:val="22"/>
          <w:rtl w:val="0"/>
        </w:rPr>
        <w:t xml:space="preserve">nombre completo</w:t>
      </w:r>
      <w:r w:rsidDel="00000000" w:rsidR="00000000" w:rsidRPr="00000000">
        <w:rPr>
          <w:rFonts w:ascii="Palatino Linotype" w:cs="Palatino Linotype" w:eastAsia="Palatino Linotype" w:hAnsi="Palatino Linotype"/>
          <w:sz w:val="22"/>
          <w:szCs w:val="22"/>
          <w:rtl w:val="0"/>
        </w:rPr>
        <w:t xml:space="preserve"> con el cual desea ser identificado, como se advierte en el detalle de seguimiento del SAIMEX, no obstante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anónimas</w:t>
      </w:r>
      <w:r w:rsidDel="00000000" w:rsidR="00000000" w:rsidRPr="00000000">
        <w:rPr>
          <w:rFonts w:ascii="Palatino Linotype" w:cs="Palatino Linotype" w:eastAsia="Palatino Linotype" w:hAnsi="Palatino Linotype"/>
          <w:i w:val="1"/>
          <w:iCs w:val="1"/>
          <w:sz w:val="22"/>
          <w:szCs w:val="22"/>
          <w:rtl w:val="0"/>
        </w:rPr>
        <w:t xml:space="preserve">, con nombre incompleto o </w:t>
      </w:r>
      <w:r w:rsidDel="00000000" w:rsidR="00000000" w:rsidRPr="00000000">
        <w:rPr>
          <w:rFonts w:ascii="Palatino Linotype" w:cs="Palatino Linotype" w:eastAsia="Palatino Linotype" w:hAnsi="Palatino Linotype"/>
          <w:b w:val="1"/>
          <w:bCs w:val="1"/>
          <w:i w:val="1"/>
          <w:iCs w:val="1"/>
          <w:sz w:val="22"/>
          <w:szCs w:val="22"/>
          <w:rtl w:val="0"/>
        </w:rPr>
        <w:t xml:space="preserve">seudónimo</w:t>
      </w:r>
      <w:r w:rsidDel="00000000" w:rsidR="00000000" w:rsidRPr="00000000">
        <w:rPr>
          <w:rFonts w:ascii="Palatino Linotype" w:cs="Palatino Linotype" w:eastAsia="Palatino Linotype" w:hAnsi="Palatino Linotype"/>
          <w:i w:val="1"/>
          <w:iCs w:val="1"/>
          <w:sz w:val="22"/>
          <w:szCs w:val="22"/>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bCs w:val="1"/>
          <w:sz w:val="22"/>
          <w:szCs w:val="22"/>
          <w:rtl w:val="0"/>
        </w:rPr>
        <w:t xml:space="preserve"> SAIMEX.</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fracciones I y XIII del ordenamiento legal citado, que a la letra dice: </w:t>
      </w:r>
    </w:p>
    <w:p w:rsidR="00000000" w:rsidDel="00000000" w:rsidP="00000000" w:rsidRDefault="00000000" w:rsidRPr="00000000" w14:paraId="00000050">
      <w:pPr>
        <w:tabs>
          <w:tab w:val="left" w:leader="none" w:pos="7938"/>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1">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negativa a la información solicitada;</w:t>
      </w:r>
    </w:p>
    <w:p w:rsidR="00000000" w:rsidDel="00000000" w:rsidP="00000000" w:rsidRDefault="00000000" w:rsidRPr="00000000" w14:paraId="00000052">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3">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XIII.</w:t>
      </w:r>
      <w:r w:rsidDel="00000000" w:rsidR="00000000" w:rsidRPr="00000000">
        <w:rPr>
          <w:rFonts w:ascii="Palatino Linotype" w:cs="Palatino Linotype" w:eastAsia="Palatino Linotype" w:hAnsi="Palatino Linotype"/>
          <w:i w:val="1"/>
          <w:iCs w:val="1"/>
          <w:sz w:val="22"/>
          <w:szCs w:val="22"/>
          <w:rtl w:val="0"/>
        </w:rPr>
        <w:t xml:space="preserve"> La falta, deficiencia o insuficiencia de la fundamentación y/o motivación en la respuesta; y”</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sz w:val="22"/>
          <w:szCs w:val="22"/>
        </w:rPr>
      </w:pPr>
      <w:bookmarkStart w:colFirst="0" w:colLast="0" w:name="_heading=h.2et92p0" w:id="8"/>
      <w:bookmarkEnd w:id="8"/>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5C">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F">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0">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1">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62">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3">
      <w:pPr>
        <w:tabs>
          <w:tab w:val="left" w:leader="none" w:pos="993"/>
        </w:tabs>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7">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9">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6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C">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6D">
      <w:pPr>
        <w:spacing w:after="240" w:before="240" w:line="360" w:lineRule="auto"/>
        <w:ind w:left="284"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Nombre y correo electrónico de los suplentes de los integrantes de la Junta Directiva.</w:t>
      </w:r>
    </w:p>
    <w:p w:rsidR="00000000" w:rsidDel="00000000" w:rsidP="00000000" w:rsidRDefault="00000000" w:rsidRPr="00000000" w14:paraId="0000006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 la Unidad de Transparencia, indicó que no genera, ni posee la información relativa a los datos de contacto solicitados, como el correo electrónico, así como el nombre de los suplentes de la Junta Directiva, al ser los integrantes de la Junta Directiva adscritos de distintas dependencias del Gobierno, siendo estos quienes designan a sus suplentes de forma particular mediante oficio, sin embargo, bajo el principio de máxima publicidad, proporcionó la dirección electrónica ingresar al directorio de servidoras públicas y servidores públicos gobierno del Estado de México, así como el nombre de los titulares de la Junta Directiva, con la finalidad de que la persona solicitante consultara la información y solicitará a cada integrante el nombre y los datos de contacto de su suplente.</w:t>
      </w:r>
    </w:p>
    <w:p w:rsidR="00000000" w:rsidDel="00000000" w:rsidP="00000000" w:rsidRDefault="00000000" w:rsidRPr="00000000" w14:paraId="0000006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no estar conforme con los términos de la respuesta proporcionada,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interpuso el recurso de revisión que se resuelve, en el cual manifestó en lo medular que la información solicitada es pública, sin embargo,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justificó de manera fundada y motivada la restricción de la misma, por lo que reiteró en sus términos su petición.</w:t>
      </w:r>
    </w:p>
    <w:p w:rsidR="00000000" w:rsidDel="00000000" w:rsidP="00000000" w:rsidRDefault="00000000" w:rsidRPr="00000000" w14:paraId="0000007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la etapa de manifestaciones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ratificó en lo sustancial la respuesta proporcionada en primera instancia, mientras que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reiteró que la respuesta proporcionada carecía de fundamentación y/o motivación.</w:t>
      </w:r>
    </w:p>
    <w:p w:rsidR="00000000" w:rsidDel="00000000" w:rsidP="00000000" w:rsidRDefault="00000000" w:rsidRPr="00000000" w14:paraId="00000071">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7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7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7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línea de pensamiento, derivado del análisis de las constancias que obran en el expediente electrónico en el que se actúa, se advirtió que la Unidad de Transparencia atendió por cuenta propia la solicitud de información, al no haber registro de que esta hubiese sido turnada al área competente para conocer de la materia de la misma, por lo tanto, en el presente asunto, no se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vulnerando con ello el Derecho de acceso de la persona solicitante, al no tener certeza de la existencia o inexistencia de la información, pues se insiste, no hubo pronunciamiento del área competente.</w:t>
      </w:r>
    </w:p>
    <w:p w:rsidR="00000000" w:rsidDel="00000000" w:rsidP="00000000" w:rsidRDefault="00000000" w:rsidRPr="00000000" w14:paraId="0000007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se estima que para tener por satisfecho el Derecho de acceso, es necesario que, previa búsqueda exhaustiva y razonable en los archivos del área competente se haga entrega del o los documentos que den cuenta de lo solicitado, en versión pública de ser procedente, de conformidad con el considerando siguiente.</w:t>
      </w:r>
    </w:p>
    <w:p w:rsidR="00000000" w:rsidDel="00000000" w:rsidP="00000000" w:rsidRDefault="00000000" w:rsidRPr="00000000" w14:paraId="0000007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tales efectos, es oportuno mencionar que de conformidad con el artículo 7 del Decreto del ejecutivo por el que se crea el Organismo Público Descentralizado denominado Universidad Politécnica de Atlacomulco, la Junta Directiva es el órgano supremo de gobierno de la Universidad y sus determinaciones serán obligatorias para la persona titular de Rectoría y para las demás personas servidoras públicas adscritas; al Organismo. y se integra de la siguiente forma:</w:t>
      </w:r>
    </w:p>
    <w:p w:rsidR="00000000" w:rsidDel="00000000" w:rsidP="00000000" w:rsidRDefault="00000000" w:rsidRPr="00000000" w14:paraId="00000079">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 Tres representantes del Gobierno del Estado, designados por el Gobernador, que serán el secretario de Educación, quien lo presidirá, el Secretario de Finanzas y el Secretario de Desarrollo Económico. </w:t>
      </w:r>
    </w:p>
    <w:p w:rsidR="00000000" w:rsidDel="00000000" w:rsidP="00000000" w:rsidRDefault="00000000" w:rsidRPr="00000000" w14:paraId="0000007A">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II. Tres representantes de: Gobierno Federal, designados por la Secretaría de Educación Pública, por conducto de la Subsecretaría de Educación Superior y/o de la Coordinación General de Universidades Tecnológicas y Politécnicas. </w:t>
      </w:r>
    </w:p>
    <w:p w:rsidR="00000000" w:rsidDel="00000000" w:rsidP="00000000" w:rsidRDefault="00000000" w:rsidRPr="00000000" w14:paraId="0000007B">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III. Un representante del municipio de Atlacomulco, designado por e! Ayuntamiento.</w:t>
      </w:r>
    </w:p>
    <w:p w:rsidR="00000000" w:rsidDel="00000000" w:rsidP="00000000" w:rsidRDefault="00000000" w:rsidRPr="00000000" w14:paraId="0000007C">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IV. Tres representantes de los sectores productivo y social de la región, dos de ellos invitados por el Gobernador del Estado y uno invitado por la Secretaría de Educación Pública, a través de b Subsecretaria de Educación Superior y/o de la Coordinación General de Universidades Tecnológicas y Politécnicas. </w:t>
      </w:r>
    </w:p>
    <w:p w:rsidR="00000000" w:rsidDel="00000000" w:rsidP="00000000" w:rsidRDefault="00000000" w:rsidRPr="00000000" w14:paraId="0000007D">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junta Directiva contara además con la participación de: </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 Secretario, que será designado por la junta Directiva, a propuesta de su Presidente. </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 Comisario que será el representante de la Secretaría de la Contraloría del Gobierno del Estado de México. </w:t>
      </w:r>
    </w:p>
    <w:p w:rsidR="00000000" w:rsidDel="00000000" w:rsidP="00000000" w:rsidRDefault="00000000" w:rsidRPr="00000000" w14:paraId="0000008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los suplentes, el párrafo segundo del articulo 9 del referido Decreto, dispone lo siguiente:</w:t>
      </w:r>
    </w:p>
    <w:p w:rsidR="00000000" w:rsidDel="00000000" w:rsidP="00000000" w:rsidRDefault="00000000" w:rsidRPr="00000000" w14:paraId="00000081">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9</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2">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Cada integrante de la Junta Directiva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designará a un suplente con funciones de propietario</w:t>
      </w:r>
      <w:r w:rsidDel="00000000" w:rsidR="00000000" w:rsidRPr="00000000">
        <w:rPr>
          <w:rFonts w:ascii="Palatino Linotype" w:cs="Palatino Linotype" w:eastAsia="Palatino Linotype" w:hAnsi="Palatino Linotype"/>
          <w:i w:val="1"/>
          <w:iCs w:val="1"/>
          <w:sz w:val="22"/>
          <w:szCs w:val="22"/>
          <w:rtl w:val="0"/>
        </w:rPr>
        <w:t xml:space="preserve">, para que </w:t>
      </w:r>
      <w:r w:rsidDel="00000000" w:rsidR="00000000" w:rsidRPr="00000000">
        <w:rPr>
          <w:rFonts w:ascii="Palatino Linotype" w:cs="Palatino Linotype" w:eastAsia="Palatino Linotype" w:hAnsi="Palatino Linotype"/>
          <w:b w:val="1"/>
          <w:bCs w:val="1"/>
          <w:i w:val="1"/>
          <w:iCs w:val="1"/>
          <w:sz w:val="22"/>
          <w:szCs w:val="22"/>
          <w:rtl w:val="0"/>
        </w:rPr>
        <w:t xml:space="preserve">cubra sus ausencias temporales</w:t>
      </w:r>
      <w:r w:rsidDel="00000000" w:rsidR="00000000" w:rsidRPr="00000000">
        <w:rPr>
          <w:rFonts w:ascii="Palatino Linotype" w:cs="Palatino Linotype" w:eastAsia="Palatino Linotype" w:hAnsi="Palatino Linotype"/>
          <w:i w:val="1"/>
          <w:iCs w:val="1"/>
          <w:sz w:val="22"/>
          <w:szCs w:val="22"/>
          <w:rtl w:val="0"/>
        </w:rPr>
        <w:t xml:space="preserve">, quien en ausencia de aquél </w:t>
      </w:r>
      <w:r w:rsidDel="00000000" w:rsidR="00000000" w:rsidRPr="00000000">
        <w:rPr>
          <w:rFonts w:ascii="Palatino Linotype" w:cs="Palatino Linotype" w:eastAsia="Palatino Linotype" w:hAnsi="Palatino Linotype"/>
          <w:b w:val="1"/>
          <w:bCs w:val="1"/>
          <w:i w:val="1"/>
          <w:iCs w:val="1"/>
          <w:sz w:val="22"/>
          <w:szCs w:val="22"/>
          <w:rtl w:val="0"/>
        </w:rPr>
        <w:t xml:space="preserve">fungirá con voz y voto.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designación del suplente deberá recaer en una misma persona a fin de garantizar la continuidad de los trabajos.”</w:t>
      </w:r>
    </w:p>
    <w:p w:rsidR="00000000" w:rsidDel="00000000" w:rsidP="00000000" w:rsidRDefault="00000000" w:rsidRPr="00000000" w14:paraId="0000008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citado se desprende que si bien, como lo refirió el titular de la Unidad de Transparencia, los propietarios de la Junta Directiva son los responsables de designar a sus suplentes, ello no exime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 contar con la información solicitada, en el entendido que los suplentes fungen como propietarios ante las ausencias temporales de estos, por lo cual tienen voz y voto.</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lo anterior, no debe perderse de cista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rsidR="00000000" w:rsidDel="00000000" w:rsidP="00000000" w:rsidRDefault="00000000" w:rsidRPr="00000000" w14:paraId="0000008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18.</w:t>
      </w:r>
      <w:r w:rsidDel="00000000" w:rsidR="00000000" w:rsidRPr="00000000">
        <w:rPr>
          <w:rFonts w:ascii="Palatino Linotype" w:cs="Palatino Linotype" w:eastAsia="Palatino Linotype" w:hAnsi="Palatino Linotype"/>
          <w:i w:val="1"/>
          <w:iCs w:val="1"/>
          <w:sz w:val="22"/>
          <w:szCs w:val="22"/>
          <w:rtl w:val="0"/>
        </w:rPr>
        <w:t xml:space="preserve"> Los sujetos obligados </w:t>
      </w:r>
      <w:r w:rsidDel="00000000" w:rsidR="00000000" w:rsidRPr="00000000">
        <w:rPr>
          <w:rFonts w:ascii="Palatino Linotype" w:cs="Palatino Linotype" w:eastAsia="Palatino Linotype" w:hAnsi="Palatino Linotype"/>
          <w:b w:val="1"/>
          <w:bCs w:val="1"/>
          <w:i w:val="1"/>
          <w:iCs w:val="1"/>
          <w:sz w:val="22"/>
          <w:szCs w:val="22"/>
          <w:rtl w:val="0"/>
        </w:rPr>
        <w:t xml:space="preserve">deberán documentar todo acto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que derive del ejercicio de sus facultades, competencias o funciones</w:t>
      </w:r>
      <w:r w:rsidDel="00000000" w:rsidR="00000000" w:rsidRPr="00000000">
        <w:rPr>
          <w:rFonts w:ascii="Palatino Linotype" w:cs="Palatino Linotype" w:eastAsia="Palatino Linotype" w:hAnsi="Palatino Linotype"/>
          <w:i w:val="1"/>
          <w:iCs w:val="1"/>
          <w:sz w:val="22"/>
          <w:szCs w:val="22"/>
          <w:rtl w:val="0"/>
        </w:rPr>
        <w:t xml:space="preserve">, considerando desde su origen la eventual publicidad y reutilización de la información que generen.</w:t>
      </w:r>
    </w:p>
    <w:p w:rsidR="00000000" w:rsidDel="00000000" w:rsidP="00000000" w:rsidRDefault="00000000" w:rsidRPr="00000000" w14:paraId="0000008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24.</w:t>
      </w:r>
      <w:r w:rsidDel="00000000" w:rsidR="00000000" w:rsidRPr="00000000">
        <w:rPr>
          <w:rFonts w:ascii="Palatino Linotype" w:cs="Palatino Linotype" w:eastAsia="Palatino Linotype" w:hAnsi="Palatino Linotype"/>
          <w:i w:val="1"/>
          <w:iCs w:val="1"/>
          <w:sz w:val="22"/>
          <w:szCs w:val="22"/>
          <w:rtl w:val="0"/>
        </w:rPr>
        <w:t xml:space="preserve"> Para el cumplimiento de los objetivos de esta Ley</w:t>
      </w:r>
      <w:r w:rsidDel="00000000" w:rsidR="00000000" w:rsidRPr="00000000">
        <w:rPr>
          <w:rFonts w:ascii="Palatino Linotype" w:cs="Palatino Linotype" w:eastAsia="Palatino Linotype" w:hAnsi="Palatino Linotype"/>
          <w:b w:val="1"/>
          <w:bCs w:val="1"/>
          <w:i w:val="1"/>
          <w:iCs w:val="1"/>
          <w:sz w:val="22"/>
          <w:szCs w:val="22"/>
          <w:rtl w:val="0"/>
        </w:rPr>
        <w:t xml:space="preserve">, los sujetos obligados deberán cumplir con las siguientes obligaciones</w:t>
      </w:r>
      <w:r w:rsidDel="00000000" w:rsidR="00000000" w:rsidRPr="00000000">
        <w:rPr>
          <w:rFonts w:ascii="Palatino Linotype" w:cs="Palatino Linotype" w:eastAsia="Palatino Linotype" w:hAnsi="Palatino Linotype"/>
          <w:i w:val="1"/>
          <w:iCs w:val="1"/>
          <w:sz w:val="22"/>
          <w:szCs w:val="22"/>
          <w:rtl w:val="0"/>
        </w:rPr>
        <w:t xml:space="preserve">, según corresponda, de acuerdo a su naturaleza:</w:t>
      </w:r>
    </w:p>
    <w:p w:rsidR="00000000" w:rsidDel="00000000" w:rsidP="00000000" w:rsidRDefault="00000000" w:rsidRPr="00000000" w14:paraId="0000008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Documentar todo acto que derive del ejercicio de sus facultades, competencias o funciones</w:t>
      </w:r>
      <w:r w:rsidDel="00000000" w:rsidR="00000000" w:rsidRPr="00000000">
        <w:rPr>
          <w:rFonts w:ascii="Palatino Linotype" w:cs="Palatino Linotype" w:eastAsia="Palatino Linotype" w:hAnsi="Palatino Linotype"/>
          <w:i w:val="1"/>
          <w:iCs w:val="1"/>
          <w:sz w:val="22"/>
          <w:szCs w:val="22"/>
          <w:rtl w:val="0"/>
        </w:rPr>
        <w:t xml:space="preserve"> y abstenerse de destruirlos u ocultarlos, dentro de los que destacan los procesos deliberativos y de decisión definitiva;”</w:t>
      </w:r>
    </w:p>
    <w:p w:rsidR="00000000" w:rsidDel="00000000" w:rsidP="00000000" w:rsidRDefault="00000000" w:rsidRPr="00000000" w14:paraId="0000008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se estima dable ordenar, previa búsqueda exhaustiva y razonable, la entrega del o los documentos que den cuenta del nombre de los suplentes de la Junta Directiva, al veinticinco de agosto de dos mil veinticinco, así como su correo electrónico oficial.</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si derivado de la búsqueda que se ordena, no se llegara a encontrar soporte documental relativo al correo electrónico oficial de los suplentes se deberá  atender las formalidades que establece el artículo 19, párrafo segundo de la Ley de Transparencia y Acceso a la Información Pública del Estado de México y Municipios, que es del tenor literal siguiente:</w:t>
      </w:r>
    </w:p>
    <w:p w:rsidR="00000000" w:rsidDel="00000000" w:rsidP="00000000" w:rsidRDefault="00000000" w:rsidRPr="00000000" w14:paraId="0000008C">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19</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08E">
      <w:pPr>
        <w:tabs>
          <w:tab w:val="left" w:leader="none" w:pos="975"/>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devienen fundados, siendo procedente </w:t>
      </w:r>
      <w:r w:rsidDel="00000000" w:rsidR="00000000" w:rsidRPr="00000000">
        <w:rPr>
          <w:rFonts w:ascii="Palatino Linotype" w:cs="Palatino Linotype" w:eastAsia="Palatino Linotype" w:hAnsi="Palatino Linotype"/>
          <w:i w:val="1"/>
          <w:iCs w:val="1"/>
          <w:sz w:val="22"/>
          <w:szCs w:val="22"/>
          <w:rtl w:val="0"/>
        </w:rPr>
        <w:t xml:space="preserve">Revocar </w:t>
      </w:r>
      <w:r w:rsidDel="00000000" w:rsidR="00000000" w:rsidRPr="00000000">
        <w:rPr>
          <w:rFonts w:ascii="Palatino Linotype" w:cs="Palatino Linotype" w:eastAsia="Palatino Linotype" w:hAnsi="Palatino Linotype"/>
          <w:sz w:val="22"/>
          <w:szCs w:val="22"/>
          <w:rtl w:val="0"/>
        </w:rPr>
        <w:t xml:space="preserve">la respuesta proporcionada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8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Como fue debidamente apuntado,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09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09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09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los artículos 3, fracciones IX, XX, XXI, XXXII, XLV; 6, 91, 132, 137, 143, fracción I, de la Ley de Transparencia y Acceso a la Información Pública del Estado de México y Municipios establecen:</w:t>
      </w:r>
    </w:p>
    <w:p w:rsidR="00000000" w:rsidDel="00000000" w:rsidP="00000000" w:rsidRDefault="00000000" w:rsidRPr="00000000" w14:paraId="0000009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094">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5">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096">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7">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098">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Información confidencial</w:t>
      </w:r>
      <w:r w:rsidDel="00000000" w:rsidR="00000000" w:rsidRPr="00000000">
        <w:rPr>
          <w:rFonts w:ascii="Palatino Linotype" w:cs="Palatino Linotype" w:eastAsia="Palatino Linotype" w:hAnsi="Palatino Linotype"/>
          <w:i w:val="1"/>
          <w:iCs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99">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A">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iCs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9B">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C">
      <w:pPr>
        <w:tabs>
          <w:tab w:val="left" w:leader="none" w:pos="127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9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6</w:t>
      </w:r>
      <w:r w:rsidDel="00000000" w:rsidR="00000000" w:rsidRPr="00000000">
        <w:rPr>
          <w:rFonts w:ascii="Palatino Linotype" w:cs="Palatino Linotype" w:eastAsia="Palatino Linotype" w:hAnsi="Palatino Linotype"/>
          <w:i w:val="1"/>
          <w:iCs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9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0A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0A1">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0A2">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 autoridad competente; o</w:t>
      </w:r>
    </w:p>
    <w:p w:rsidR="00000000" w:rsidDel="00000000" w:rsidP="00000000" w:rsidRDefault="00000000" w:rsidRPr="00000000" w14:paraId="000000A3">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A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A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A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A7">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A8">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0A9">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AA">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A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Los Comités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atribuciones:</w:t>
      </w:r>
    </w:p>
    <w:p w:rsidR="00000000" w:rsidDel="00000000" w:rsidP="00000000" w:rsidRDefault="00000000" w:rsidRPr="00000000" w14:paraId="000000AC">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53.</w:t>
      </w:r>
      <w:r w:rsidDel="00000000" w:rsidR="00000000" w:rsidRPr="00000000">
        <w:rPr>
          <w:rFonts w:ascii="Palatino Linotype" w:cs="Palatino Linotype" w:eastAsia="Palatino Linotype" w:hAnsi="Palatino Linotype"/>
          <w:i w:val="1"/>
          <w:iCs w:val="1"/>
          <w:sz w:val="22"/>
          <w:szCs w:val="22"/>
          <w:rtl w:val="0"/>
        </w:rPr>
        <w:t xml:space="preserve"> Las </w:t>
      </w:r>
      <w:r w:rsidDel="00000000" w:rsidR="00000000" w:rsidRPr="00000000">
        <w:rPr>
          <w:rFonts w:ascii="Palatino Linotype" w:cs="Palatino Linotype" w:eastAsia="Palatino Linotype" w:hAnsi="Palatino Linotype"/>
          <w:b w:val="1"/>
          <w:bCs w:val="1"/>
          <w:i w:val="1"/>
          <w:iCs w:val="1"/>
          <w:sz w:val="22"/>
          <w:szCs w:val="22"/>
          <w:rtl w:val="0"/>
        </w:rPr>
        <w:t xml:space="preserve">Unidades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E">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A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59.</w:t>
      </w:r>
      <w:r w:rsidDel="00000000" w:rsidR="00000000" w:rsidRPr="00000000">
        <w:rPr>
          <w:rFonts w:ascii="Palatino Linotype" w:cs="Palatino Linotype" w:eastAsia="Palatino Linotype" w:hAnsi="Palatino Linotype"/>
          <w:i w:val="1"/>
          <w:iCs w:val="1"/>
          <w:sz w:val="22"/>
          <w:szCs w:val="22"/>
          <w:rtl w:val="0"/>
        </w:rPr>
        <w:t xml:space="preserve"> Los </w:t>
      </w:r>
      <w:r w:rsidDel="00000000" w:rsidR="00000000" w:rsidRPr="00000000">
        <w:rPr>
          <w:rFonts w:ascii="Palatino Linotype" w:cs="Palatino Linotype" w:eastAsia="Palatino Linotype" w:hAnsi="Palatino Linotype"/>
          <w:b w:val="1"/>
          <w:bCs w:val="1"/>
          <w:i w:val="1"/>
          <w:iCs w:val="1"/>
          <w:sz w:val="22"/>
          <w:szCs w:val="22"/>
          <w:rtl w:val="0"/>
        </w:rPr>
        <w:t xml:space="preserve">servidores públicos habilitados</w:t>
      </w:r>
      <w:r w:rsidDel="00000000" w:rsidR="00000000" w:rsidRPr="00000000">
        <w:rPr>
          <w:rFonts w:ascii="Palatino Linotype" w:cs="Palatino Linotype" w:eastAsia="Palatino Linotype" w:hAnsi="Palatino Linotype"/>
          <w:i w:val="1"/>
          <w:iCs w:val="1"/>
          <w:sz w:val="22"/>
          <w:szCs w:val="22"/>
          <w:rtl w:val="0"/>
        </w:rPr>
        <w:t xml:space="preserve"> tendrán las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 siguientes:</w:t>
      </w:r>
    </w:p>
    <w:p w:rsidR="00000000" w:rsidDel="00000000" w:rsidP="00000000" w:rsidRDefault="00000000" w:rsidRPr="00000000" w14:paraId="000000B0">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la cual tendrá los fundamentos y argumentos en que se basa dicha propuesta…”</w:t>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B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149.</w:t>
      </w:r>
      <w:r w:rsidDel="00000000" w:rsidR="00000000" w:rsidRPr="00000000">
        <w:rPr>
          <w:rFonts w:ascii="Palatino Linotype" w:cs="Palatino Linotype" w:eastAsia="Palatino Linotype" w:hAnsi="Palatino Linotype"/>
          <w:i w:val="1"/>
          <w:iCs w:val="1"/>
          <w:sz w:val="22"/>
          <w:szCs w:val="22"/>
          <w:rtl w:val="0"/>
        </w:rPr>
        <w:t xml:space="preserve"> El </w:t>
      </w:r>
      <w:r w:rsidDel="00000000" w:rsidR="00000000" w:rsidRPr="00000000">
        <w:rPr>
          <w:rFonts w:ascii="Palatino Linotype" w:cs="Palatino Linotype" w:eastAsia="Palatino Linotype" w:hAnsi="Palatino Linotype"/>
          <w:b w:val="1"/>
          <w:bCs w:val="1"/>
          <w:i w:val="1"/>
          <w:iCs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iCs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0B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0B6">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“Quincuagésimo. </w:t>
      </w:r>
      <w:r w:rsidDel="00000000" w:rsidR="00000000" w:rsidRPr="00000000">
        <w:rPr>
          <w:rFonts w:ascii="Palatino Linotype" w:cs="Palatino Linotype" w:eastAsia="Palatino Linotype" w:hAnsi="Palatino Linotype"/>
          <w:i w:val="1"/>
          <w:iCs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 </w:t>
      </w:r>
      <w:r w:rsidDel="00000000" w:rsidR="00000000" w:rsidRPr="00000000">
        <w:rPr>
          <w:rFonts w:ascii="Palatino Linotype" w:cs="Palatino Linotype" w:eastAsia="Palatino Linotype" w:hAnsi="Palatino Linotype"/>
          <w:i w:val="1"/>
          <w:iCs w:val="1"/>
          <w:sz w:val="22"/>
          <w:szCs w:val="22"/>
          <w:rtl w:val="0"/>
        </w:rPr>
        <w:t xml:space="preserve">Toda acta del Comité de Transparencia deberá contener: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número de sesión y fecha;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del área que solicitó la clasificación de información;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fundamentación legal y motivación correspondiente;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La resolución o resoluciones aprobadas; y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rúbrica o firma digital de cada integrante del Comité de Transparencia.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Los motivos y razonamientos que sustenten la confirmación o modificación de la prueba de daño;</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periodo por el que mantendrá su clasificación y fecha de expiración; y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nombre del titular y área encargada de realizar la versión pública del documento, en su caso.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000000" w:rsidDel="00000000" w:rsidP="00000000" w:rsidRDefault="00000000" w:rsidRPr="00000000" w14:paraId="000000C5">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C6">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0C7">
      <w:pPr>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0C8">
      <w:pPr>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0C9">
      <w:pPr>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Señalar las personas o instancias autorizadas a acceder a la información clasificada.</w:t>
      </w:r>
    </w:p>
    <w:p w:rsidR="00000000" w:rsidDel="00000000" w:rsidP="00000000" w:rsidRDefault="00000000" w:rsidRPr="00000000" w14:paraId="000000CA">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 </w:t>
      </w:r>
      <w:r w:rsidDel="00000000" w:rsidR="00000000" w:rsidRPr="00000000">
        <w:rPr>
          <w:rFonts w:ascii="Palatino Linotype" w:cs="Palatino Linotype" w:eastAsia="Palatino Linotype" w:hAnsi="Palatino Linotype"/>
          <w:i w:val="1"/>
          <w:iCs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0C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 </w:t>
      </w:r>
      <w:r w:rsidDel="00000000" w:rsidR="00000000" w:rsidRPr="00000000">
        <w:rPr>
          <w:rFonts w:ascii="Palatino Linotype" w:cs="Palatino Linotype" w:eastAsia="Palatino Linotype" w:hAnsi="Palatino Linotype"/>
          <w:i w:val="1"/>
          <w:iCs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0CE">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C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D0">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D1">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0D2">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0D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0D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w:t>
      </w:r>
      <w:r w:rsidDel="00000000" w:rsidR="00000000" w:rsidRPr="00000000">
        <w:rPr>
          <w:rFonts w:ascii="Palatino Linotype" w:cs="Palatino Linotype" w:eastAsia="Palatino Linotype" w:hAnsi="Palatino Linotype"/>
          <w:i w:val="1"/>
          <w:iCs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sz w:val="22"/>
          <w:szCs w:val="22"/>
        </w:rPr>
      </w:pPr>
      <w:bookmarkStart w:colFirst="0" w:colLast="0" w:name="_heading=h.26in1rg" w:id="9"/>
      <w:bookmarkEnd w:id="9"/>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10329/INFOEM/IP/RR/2025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tl w:val="0"/>
        </w:rPr>
      </w:r>
    </w:p>
    <w:p w:rsidR="00000000" w:rsidDel="00000000" w:rsidP="00000000" w:rsidRDefault="00000000" w:rsidRPr="00000000" w14:paraId="000000D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bCs w:val="1"/>
          <w:sz w:val="22"/>
          <w:szCs w:val="22"/>
          <w:rtl w:val="0"/>
        </w:rPr>
        <w:t xml:space="preserve">Quinto </w:t>
      </w:r>
      <w:r w:rsidDel="00000000" w:rsidR="00000000" w:rsidRPr="00000000">
        <w:rPr>
          <w:rFonts w:ascii="Palatino Linotype" w:cs="Palatino Linotype" w:eastAsia="Palatino Linotype" w:hAnsi="Palatino Linotype"/>
          <w:sz w:val="22"/>
          <w:szCs w:val="22"/>
          <w:rtl w:val="0"/>
        </w:rPr>
        <w:t xml:space="preserve">de esta resolución, haga entrega, 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versión pública de ser procedente, de lo siguiente:</w:t>
      </w:r>
    </w:p>
    <w:p w:rsidR="00000000" w:rsidDel="00000000" w:rsidP="00000000" w:rsidRDefault="00000000" w:rsidRPr="00000000" w14:paraId="000000D9">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El o los documentos que den cuenta del nombre de los suplentes de los propietarios de la Junta Directiva, al veinticinco de agosto de dos mil veinticinco, así como su correo electrónico oficial.</w:t>
      </w:r>
    </w:p>
    <w:p w:rsidR="00000000" w:rsidDel="00000000" w:rsidP="00000000" w:rsidRDefault="00000000" w:rsidRPr="00000000" w14:paraId="000000DA">
      <w:pPr>
        <w:spacing w:after="120" w:before="120" w:lineRule="auto"/>
        <w:ind w:left="284"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bCs w:val="1"/>
          <w:i w:val="1"/>
          <w:iCs w:val="1"/>
          <w:sz w:val="20"/>
          <w:szCs w:val="20"/>
          <w:rtl w:val="0"/>
        </w:rPr>
        <w:t xml:space="preserve">Recurrente</w:t>
      </w:r>
      <w:r w:rsidDel="00000000" w:rsidR="00000000" w:rsidRPr="00000000">
        <w:rPr>
          <w:rFonts w:ascii="Palatino Linotype" w:cs="Palatino Linotype" w:eastAsia="Palatino Linotype" w:hAnsi="Palatino Linotype"/>
          <w:i w:val="1"/>
          <w:iCs w:val="1"/>
          <w:sz w:val="20"/>
          <w:szCs w:val="20"/>
          <w:rtl w:val="0"/>
        </w:rPr>
        <w:t xml:space="preserve">, en términos de los artículos 49, fracción VIII, de la Ley de Transparencia y Acceso a la Información Pública del Estado de México y Municipios.</w:t>
      </w:r>
    </w:p>
    <w:p w:rsidR="00000000" w:rsidDel="00000000" w:rsidP="00000000" w:rsidRDefault="00000000" w:rsidRPr="00000000" w14:paraId="000000DB">
      <w:pPr>
        <w:spacing w:after="120" w:before="120" w:lineRule="auto"/>
        <w:ind w:left="284" w:firstLine="0"/>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En el supuesto que la información que se ordena relativa al correo electrónico oficial no obre en los archivos del </w:t>
      </w:r>
      <w:r w:rsidDel="00000000" w:rsidR="00000000" w:rsidRPr="00000000">
        <w:rPr>
          <w:rFonts w:ascii="Palatino Linotype" w:cs="Palatino Linotype" w:eastAsia="Palatino Linotype" w:hAnsi="Palatino Linotype"/>
          <w:b w:val="1"/>
          <w:bCs w:val="1"/>
          <w:i w:val="1"/>
          <w:iCs w:val="1"/>
          <w:sz w:val="20"/>
          <w:szCs w:val="20"/>
          <w:rtl w:val="0"/>
        </w:rPr>
        <w:t xml:space="preserve">Sujeto Obligado, </w:t>
      </w:r>
      <w:r w:rsidDel="00000000" w:rsidR="00000000" w:rsidRPr="00000000">
        <w:rPr>
          <w:rFonts w:ascii="Palatino Linotype" w:cs="Palatino Linotype" w:eastAsia="Palatino Linotype" w:hAnsi="Palatino Linotype"/>
          <w:i w:val="1"/>
          <w:iCs w:val="1"/>
          <w:sz w:val="20"/>
          <w:szCs w:val="20"/>
          <w:rtl w:val="0"/>
        </w:rPr>
        <w:t xml:space="preserve">por no haberse generado, poseído o administrado, bastará con que así lo haga del conocimiento de la parte </w:t>
      </w:r>
      <w:r w:rsidDel="00000000" w:rsidR="00000000" w:rsidRPr="00000000">
        <w:rPr>
          <w:rFonts w:ascii="Palatino Linotype" w:cs="Palatino Linotype" w:eastAsia="Palatino Linotype" w:hAnsi="Palatino Linotype"/>
          <w:b w:val="1"/>
          <w:bCs w:val="1"/>
          <w:i w:val="1"/>
          <w:iCs w:val="1"/>
          <w:sz w:val="20"/>
          <w:szCs w:val="20"/>
          <w:rtl w:val="0"/>
        </w:rPr>
        <w:t xml:space="preserve">Recurrente</w:t>
      </w:r>
      <w:r w:rsidDel="00000000" w:rsidR="00000000" w:rsidRPr="00000000">
        <w:rPr>
          <w:rFonts w:ascii="Palatino Linotype" w:cs="Palatino Linotype" w:eastAsia="Palatino Linotype" w:hAnsi="Palatino Linotype"/>
          <w:i w:val="1"/>
          <w:iCs w:val="1"/>
          <w:sz w:val="20"/>
          <w:szCs w:val="20"/>
          <w:rtl w:val="0"/>
        </w:rPr>
        <w:t xml:space="preserve">,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sz w:val="22"/>
          <w:szCs w:val="22"/>
        </w:rPr>
      </w:pPr>
      <w:bookmarkStart w:colFirst="0" w:colLast="0" w:name="_heading=h.17dp8vu" w:id="10"/>
      <w:bookmarkEnd w:id="10"/>
      <w:r w:rsidDel="00000000" w:rsidR="00000000" w:rsidRPr="00000000">
        <w:rPr>
          <w:rFonts w:ascii="Palatino Linotype" w:cs="Palatino Linotype" w:eastAsia="Palatino Linotype" w:hAnsi="Palatino Linotype"/>
          <w:b w:val="1"/>
          <w:bCs w:val="1"/>
          <w:sz w:val="22"/>
          <w:szCs w:val="22"/>
          <w:rtl w:val="0"/>
        </w:rPr>
        <w:t xml:space="preserve">Cuarto.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DF">
      <w:pPr>
        <w:tabs>
          <w:tab w:val="left" w:leader="none" w:pos="8647"/>
        </w:tabs>
        <w:spacing w:after="240" w:before="240" w:line="360" w:lineRule="auto"/>
        <w:ind w:right="51"/>
        <w:jc w:val="both"/>
        <w:rPr>
          <w:rFonts w:ascii="Palatino Linotype" w:cs="Palatino Linotype" w:eastAsia="Palatino Linotype" w:hAnsi="Palatino Linotype"/>
          <w:sz w:val="22"/>
          <w:szCs w:val="22"/>
        </w:rPr>
      </w:pPr>
      <w:bookmarkStart w:colFirst="0" w:colLast="0" w:name="_heading=h.lnxbz9" w:id="11"/>
      <w:bookmarkEnd w:id="11"/>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-1080089</wp:posOffset>
          </wp:positionH>
          <wp:positionV relativeFrom="paragraph">
            <wp:posOffset>-488259</wp:posOffset>
          </wp:positionV>
          <wp:extent cx="7809865" cy="10165715"/>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08">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09">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10329/INFOEM/IP/RR/2025</w:t>
          </w:r>
        </w:p>
      </w:tc>
    </w:tr>
    <w:tr>
      <w:trPr>
        <w:cantSplit w:val="0"/>
        <w:trHeight w:val="228" w:hRule="atLeast"/>
        <w:tblHeader w:val="0"/>
      </w:trPr>
      <w:tc>
        <w:tcPr>
          <w:vAlign w:val="center"/>
        </w:tcPr>
        <w:p w:rsidR="00000000" w:rsidDel="00000000" w:rsidP="00000000" w:rsidRDefault="00000000" w:rsidRPr="00000000" w14:paraId="0000010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0B">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Universidad Politécnica de Atlacomulco</w:t>
          </w:r>
        </w:p>
      </w:tc>
    </w:tr>
    <w:tr>
      <w:trPr>
        <w:cantSplit w:val="0"/>
        <w:tblHeader w:val="0"/>
      </w:trPr>
      <w:tc>
        <w:tcPr>
          <w:vAlign w:val="center"/>
        </w:tcPr>
        <w:p w:rsidR="00000000" w:rsidDel="00000000" w:rsidP="00000000" w:rsidRDefault="00000000" w:rsidRPr="00000000" w14:paraId="0000010C">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0D">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0E">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-369890</wp:posOffset>
          </wp:positionV>
          <wp:extent cx="7809865" cy="10165715"/>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10">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11">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10329/INFOEM/IP/RR/2025</w:t>
          </w:r>
        </w:p>
      </w:tc>
    </w:tr>
    <w:tr>
      <w:trPr>
        <w:cantSplit w:val="0"/>
        <w:tblHeader w:val="0"/>
      </w:trPr>
      <w:tc>
        <w:tcPr/>
        <w:p w:rsidR="00000000" w:rsidDel="00000000" w:rsidP="00000000" w:rsidRDefault="00000000" w:rsidRPr="00000000" w14:paraId="0000011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113">
          <w:pPr>
            <w:ind w:right="175"/>
            <w:jc w:val="both"/>
            <w:rPr>
              <w:rFonts w:ascii="Palatino Linotype" w:cs="Palatino Linotype" w:eastAsia="Palatino Linotype" w:hAnsi="Palatino Linotype"/>
              <w:b w:val="1"/>
              <w:bCs w:val="1"/>
              <w:sz w:val="22"/>
              <w:szCs w:val="22"/>
              <w:highlight w:val="yellow"/>
            </w:rPr>
          </w:pPr>
          <w:r w:rsidDel="00000000" w:rsidR="00000000" w:rsidRPr="00000000">
            <w:rPr>
              <w:rFonts w:ascii="Palatino Linotype" w:cs="Palatino Linotype" w:eastAsia="Palatino Linotype" w:hAnsi="Palatino Linotype"/>
              <w:b w:val="1"/>
              <w:bCs w:val="1"/>
              <w:sz w:val="22"/>
              <w:szCs w:val="22"/>
              <w:rtl w:val="0"/>
            </w:rPr>
            <w:t xml:space="preserve">XXXX XXXXXXX </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1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15">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Universidad Politécnica de Atlacomulco</w:t>
          </w:r>
        </w:p>
      </w:tc>
    </w:tr>
    <w:tr>
      <w:trPr>
        <w:cantSplit w:val="0"/>
        <w:tblHeader w:val="0"/>
      </w:trPr>
      <w:tc>
        <w:tcPr>
          <w:vAlign w:val="center"/>
        </w:tcPr>
        <w:p w:rsidR="00000000" w:rsidDel="00000000" w:rsidP="00000000" w:rsidRDefault="00000000" w:rsidRPr="00000000" w14:paraId="00000116">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17">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table" w:styleId="a" w:customStyle="1">
    <w:basedOn w:val="TableNormalf2"/>
    <w:tblPr>
      <w:tblStyleRowBandSize w:val="1"/>
      <w:tblStyleColBandSize w:val="1"/>
      <w:tblCellMar>
        <w:left w:w="115.0" w:type="dxa"/>
        <w:right w:w="115.0" w:type="dxa"/>
      </w:tblCellMar>
    </w:tblPr>
  </w:style>
  <w:style w:type="table" w:styleId="a0" w:customStyle="1">
    <w:basedOn w:val="TableNormalf2"/>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semiHidden w:val="1"/>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f2"/>
    <w:tblPr>
      <w:tblStyleRowBandSize w:val="1"/>
      <w:tblStyleColBandSize w:val="1"/>
      <w:tblCellMar>
        <w:left w:w="115.0" w:type="dxa"/>
        <w:right w:w="115.0" w:type="dxa"/>
      </w:tblCellMar>
    </w:tblPr>
  </w:style>
  <w:style w:type="table" w:styleId="a2" w:customStyle="1">
    <w:basedOn w:val="TableNormalf2"/>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f1"/>
    <w:tblPr>
      <w:tblStyleRowBandSize w:val="1"/>
      <w:tblStyleColBandSize w:val="1"/>
      <w:tblCellMar>
        <w:left w:w="115.0" w:type="dxa"/>
        <w:right w:w="115.0" w:type="dxa"/>
      </w:tblCellMar>
    </w:tblPr>
  </w:style>
  <w:style w:type="table" w:styleId="a4" w:customStyle="1">
    <w:basedOn w:val="TableNormalf1"/>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f0"/>
    <w:tblPr>
      <w:tblStyleRowBandSize w:val="1"/>
      <w:tblStyleColBandSize w:val="1"/>
      <w:tblCellMar>
        <w:left w:w="108.0" w:type="dxa"/>
        <w:right w:w="108.0" w:type="dxa"/>
      </w:tblCellMar>
    </w:tblPr>
  </w:style>
  <w:style w:type="table" w:styleId="a6" w:customStyle="1">
    <w:basedOn w:val="TableNormalf0"/>
    <w:tblPr>
      <w:tblStyleRowBandSize w:val="1"/>
      <w:tblStyleColBandSize w:val="1"/>
      <w:tblCellMar>
        <w:left w:w="108.0" w:type="dxa"/>
        <w:right w:w="108.0" w:type="dxa"/>
      </w:tblCellMar>
    </w:tblPr>
  </w:style>
  <w:style w:type="table" w:styleId="a7" w:customStyle="1">
    <w:basedOn w:val="TableNormalf0"/>
    <w:tblPr>
      <w:tblStyleRowBandSize w:val="1"/>
      <w:tblStyleColBandSize w:val="1"/>
      <w:tblCellMar>
        <w:left w:w="108.0" w:type="dxa"/>
        <w:right w:w="108.0" w:type="dxa"/>
      </w:tblCellMar>
    </w:tblPr>
  </w:style>
  <w:style w:type="table" w:styleId="a8" w:customStyle="1">
    <w:basedOn w:val="TableNormalf0"/>
    <w:tblPr>
      <w:tblStyleRowBandSize w:val="1"/>
      <w:tblStyleColBandSize w:val="1"/>
      <w:tblCellMar>
        <w:left w:w="108.0" w:type="dxa"/>
        <w:right w:w="108.0" w:type="dxa"/>
      </w:tblCellMar>
    </w:tblPr>
  </w:style>
  <w:style w:type="table" w:styleId="a9" w:customStyle="1">
    <w:basedOn w:val="TableNormalf0"/>
    <w:tblPr>
      <w:tblStyleRowBandSize w:val="1"/>
      <w:tblStyleColBandSize w:val="1"/>
      <w:tblCellMar>
        <w:left w:w="108.0" w:type="dxa"/>
        <w:right w:w="108.0" w:type="dxa"/>
      </w:tblCellMar>
    </w:tblPr>
  </w:style>
  <w:style w:type="table" w:styleId="aa" w:customStyle="1">
    <w:basedOn w:val="TableNormalf0"/>
    <w:tblPr>
      <w:tblStyleRowBandSize w:val="1"/>
      <w:tblStyleColBandSize w:val="1"/>
      <w:tblCellMar>
        <w:left w:w="115.0" w:type="dxa"/>
        <w:right w:w="115.0" w:type="dxa"/>
      </w:tblCellMar>
    </w:tblPr>
  </w:style>
  <w:style w:type="table" w:styleId="ab" w:customStyle="1">
    <w:basedOn w:val="TableNormalf0"/>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08.0" w:type="dxa"/>
        <w:right w:w="108.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e"/>
    <w:tblPr>
      <w:tblStyleRowBandSize w:val="1"/>
      <w:tblStyleColBandSize w:val="1"/>
      <w:tblCellMar>
        <w:left w:w="115.0" w:type="dxa"/>
        <w:right w:w="115.0" w:type="dxa"/>
      </w:tblCellMar>
    </w:tblPr>
  </w:style>
  <w:style w:type="table" w:styleId="af0" w:customStyle="1">
    <w:basedOn w:val="TableNormale"/>
    <w:tblPr>
      <w:tblStyleRowBandSize w:val="1"/>
      <w:tblStyleColBandSize w:val="1"/>
      <w:tblCellMar>
        <w:left w:w="115.0" w:type="dxa"/>
        <w:right w:w="115.0" w:type="dxa"/>
      </w:tblCellMar>
    </w:tblPr>
  </w:style>
  <w:style w:type="table" w:styleId="af1" w:customStyle="1">
    <w:basedOn w:val="TableNormale"/>
    <w:tblPr>
      <w:tblStyleRowBandSize w:val="1"/>
      <w:tblStyleColBandSize w:val="1"/>
      <w:tblCellMar>
        <w:left w:w="115.0" w:type="dxa"/>
        <w:right w:w="115.0" w:type="dxa"/>
      </w:tblCellMar>
    </w:tblPr>
  </w:style>
  <w:style w:type="table" w:styleId="af2" w:customStyle="1">
    <w:basedOn w:val="TableNormald"/>
    <w:tblPr>
      <w:tblStyleRowBandSize w:val="1"/>
      <w:tblStyleColBandSize w:val="1"/>
      <w:tblCellMar>
        <w:left w:w="115.0" w:type="dxa"/>
        <w:right w:w="115.0" w:type="dxa"/>
      </w:tblCellMar>
    </w:tblPr>
  </w:style>
  <w:style w:type="table" w:styleId="af3" w:customStyle="1">
    <w:basedOn w:val="TableNormald"/>
    <w:tblPr>
      <w:tblStyleRowBandSize w:val="1"/>
      <w:tblStyleColBandSize w:val="1"/>
      <w:tblCellMar>
        <w:left w:w="115.0" w:type="dxa"/>
        <w:right w:w="115.0" w:type="dxa"/>
      </w:tblCellMar>
    </w:tblPr>
  </w:style>
  <w:style w:type="table" w:styleId="af4" w:customStyle="1">
    <w:basedOn w:val="TableNormalc"/>
    <w:tblPr>
      <w:tblStyleRowBandSize w:val="1"/>
      <w:tblStyleColBandSize w:val="1"/>
      <w:tblCellMar>
        <w:left w:w="115.0" w:type="dxa"/>
        <w:right w:w="115.0" w:type="dxa"/>
      </w:tblCellMar>
    </w:tblPr>
  </w:style>
  <w:style w:type="table" w:styleId="af5" w:customStyle="1">
    <w:basedOn w:val="TableNormalc"/>
    <w:tblPr>
      <w:tblStyleRowBandSize w:val="1"/>
      <w:tblStyleColBandSize w:val="1"/>
      <w:tblCellMar>
        <w:left w:w="115.0" w:type="dxa"/>
        <w:right w:w="115.0" w:type="dxa"/>
      </w:tblCellMar>
    </w:tblPr>
  </w:style>
  <w:style w:type="table" w:styleId="af6" w:customStyle="1">
    <w:basedOn w:val="TableNormalb"/>
    <w:tblPr>
      <w:tblStyleRowBandSize w:val="1"/>
      <w:tblStyleColBandSize w:val="1"/>
      <w:tblCellMar>
        <w:left w:w="115.0" w:type="dxa"/>
        <w:right w:w="115.0" w:type="dxa"/>
      </w:tblCellMar>
    </w:tblPr>
  </w:style>
  <w:style w:type="table" w:styleId="af7" w:customStyle="1">
    <w:basedOn w:val="TableNormalb"/>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a"/>
    <w:tblPr>
      <w:tblStyleRowBandSize w:val="1"/>
      <w:tblStyleColBandSize w:val="1"/>
      <w:tblCellMar>
        <w:left w:w="115.0" w:type="dxa"/>
        <w:right w:w="115.0" w:type="dxa"/>
      </w:tblCellMar>
    </w:tblPr>
  </w:style>
  <w:style w:type="table" w:styleId="af9" w:customStyle="1">
    <w:basedOn w:val="TableNormala"/>
    <w:tblPr>
      <w:tblStyleRowBandSize w:val="1"/>
      <w:tblStyleColBandSize w:val="1"/>
      <w:tblCellMar>
        <w:left w:w="115.0" w:type="dxa"/>
        <w:right w:w="115.0" w:type="dxa"/>
      </w:tblCellMar>
    </w:tblPr>
  </w:style>
  <w:style w:type="table" w:styleId="afa" w:customStyle="1">
    <w:basedOn w:val="TableNormal9"/>
    <w:tblPr>
      <w:tblStyleRowBandSize w:val="1"/>
      <w:tblStyleColBandSize w:val="1"/>
      <w:tblCellMar>
        <w:left w:w="115.0" w:type="dxa"/>
        <w:right w:w="115.0" w:type="dxa"/>
      </w:tblCellMar>
    </w:tblPr>
  </w:style>
  <w:style w:type="table" w:styleId="afb" w:customStyle="1">
    <w:basedOn w:val="TableNormal9"/>
    <w:tblPr>
      <w:tblStyleRowBandSize w:val="1"/>
      <w:tblStyleColBandSize w:val="1"/>
      <w:tblCellMar>
        <w:left w:w="115.0" w:type="dxa"/>
        <w:right w:w="115.0" w:type="dxa"/>
      </w:tblCellMar>
    </w:tblPr>
  </w:style>
  <w:style w:type="table" w:styleId="afc" w:customStyle="1">
    <w:basedOn w:val="TableNormal8"/>
    <w:tblPr>
      <w:tblStyleRowBandSize w:val="1"/>
      <w:tblStyleColBandSize w:val="1"/>
      <w:tblCellMar>
        <w:left w:w="115.0" w:type="dxa"/>
        <w:right w:w="115.0" w:type="dxa"/>
      </w:tblCellMar>
    </w:tblPr>
  </w:style>
  <w:style w:type="table" w:styleId="afd" w:customStyle="1">
    <w:basedOn w:val="TableNormal8"/>
    <w:tblPr>
      <w:tblStyleRowBandSize w:val="1"/>
      <w:tblStyleColBandSize w:val="1"/>
      <w:tblCellMar>
        <w:left w:w="115.0" w:type="dxa"/>
        <w:right w:w="115.0" w:type="dxa"/>
      </w:tblCellMar>
    </w:tblPr>
  </w:style>
  <w:style w:type="table" w:styleId="afe" w:customStyle="1">
    <w:basedOn w:val="TableNormal7"/>
    <w:tblPr>
      <w:tblStyleRowBandSize w:val="1"/>
      <w:tblStyleColBandSize w:val="1"/>
      <w:tblCellMar>
        <w:left w:w="115.0" w:type="dxa"/>
        <w:right w:w="115.0" w:type="dxa"/>
      </w:tblCellMar>
    </w:tblPr>
  </w:style>
  <w:style w:type="table" w:styleId="aff" w:customStyle="1">
    <w:basedOn w:val="TableNormal7"/>
    <w:tblPr>
      <w:tblStyleRowBandSize w:val="1"/>
      <w:tblStyleColBandSize w:val="1"/>
      <w:tblCellMar>
        <w:left w:w="115.0" w:type="dxa"/>
        <w:right w:w="115.0" w:type="dxa"/>
      </w:tblCellMar>
    </w:tblPr>
  </w:style>
  <w:style w:type="table" w:styleId="aff0" w:customStyle="1">
    <w:basedOn w:val="TableNormal6"/>
    <w:tblPr>
      <w:tblStyleRowBandSize w:val="1"/>
      <w:tblStyleColBandSize w:val="1"/>
      <w:tblCellMar>
        <w:left w:w="115.0" w:type="dxa"/>
        <w:right w:w="115.0" w:type="dxa"/>
      </w:tblCellMar>
    </w:tblPr>
  </w:style>
  <w:style w:type="table" w:styleId="aff1" w:customStyle="1">
    <w:basedOn w:val="TableNormal6"/>
    <w:tblPr>
      <w:tblStyleRowBandSize w:val="1"/>
      <w:tblStyleColBandSize w:val="1"/>
      <w:tblCellMar>
        <w:left w:w="115.0" w:type="dxa"/>
        <w:right w:w="115.0" w:type="dxa"/>
      </w:tblCellMar>
    </w:tblPr>
  </w:style>
  <w:style w:type="table" w:styleId="aff2" w:customStyle="1">
    <w:basedOn w:val="TableNormal5"/>
    <w:tblPr>
      <w:tblStyleRowBandSize w:val="1"/>
      <w:tblStyleColBandSize w:val="1"/>
      <w:tblCellMar>
        <w:left w:w="115.0" w:type="dxa"/>
        <w:right w:w="115.0" w:type="dxa"/>
      </w:tblCellMar>
    </w:tblPr>
  </w:style>
  <w:style w:type="table" w:styleId="aff3" w:customStyle="1">
    <w:basedOn w:val="TableNormal5"/>
    <w:tblPr>
      <w:tblStyleRowBandSize w:val="1"/>
      <w:tblStyleColBandSize w:val="1"/>
      <w:tblCellMar>
        <w:left w:w="115.0" w:type="dxa"/>
        <w:right w:w="115.0" w:type="dxa"/>
      </w:tblCellMar>
    </w:tblPr>
  </w:style>
  <w:style w:type="table" w:styleId="aff4" w:customStyle="1">
    <w:basedOn w:val="TableNormal4"/>
    <w:tblPr>
      <w:tblStyleRowBandSize w:val="1"/>
      <w:tblStyleColBandSize w:val="1"/>
      <w:tblCellMar>
        <w:left w:w="115.0" w:type="dxa"/>
        <w:right w:w="115.0" w:type="dxa"/>
      </w:tblCellMar>
    </w:tblPr>
  </w:style>
  <w:style w:type="table" w:styleId="aff5" w:customStyle="1">
    <w:basedOn w:val="TableNormal4"/>
    <w:tblPr>
      <w:tblStyleRowBandSize w:val="1"/>
      <w:tblStyleColBandSize w:val="1"/>
      <w:tblCellMar>
        <w:left w:w="115.0" w:type="dxa"/>
        <w:right w:w="115.0" w:type="dxa"/>
      </w:tblCellMar>
    </w:tblPr>
  </w:style>
  <w:style w:type="table" w:styleId="aff6" w:customStyle="1">
    <w:basedOn w:val="TableNormal3"/>
    <w:tblPr>
      <w:tblStyleRowBandSize w:val="1"/>
      <w:tblStyleColBandSize w:val="1"/>
      <w:tblCellMar>
        <w:left w:w="115.0" w:type="dxa"/>
        <w:right w:w="115.0" w:type="dxa"/>
      </w:tblCellMar>
    </w:tblPr>
  </w:style>
  <w:style w:type="table" w:styleId="aff7" w:customStyle="1">
    <w:basedOn w:val="TableNormal3"/>
    <w:tblPr>
      <w:tblStyleRowBandSize w:val="1"/>
      <w:tblStyleColBandSize w:val="1"/>
      <w:tblCellMar>
        <w:left w:w="115.0" w:type="dxa"/>
        <w:right w:w="115.0" w:type="dxa"/>
      </w:tblCellMar>
    </w:tblPr>
  </w:style>
  <w:style w:type="table" w:styleId="aff8" w:customStyle="1">
    <w:basedOn w:val="TableNormal2"/>
    <w:tblPr>
      <w:tblStyleRowBandSize w:val="1"/>
      <w:tblStyleColBandSize w:val="1"/>
      <w:tblCellMar>
        <w:left w:w="115.0" w:type="dxa"/>
        <w:right w:w="115.0" w:type="dxa"/>
      </w:tblCellMar>
    </w:tblPr>
  </w:style>
  <w:style w:type="table" w:styleId="aff9" w:customStyle="1">
    <w:basedOn w:val="TableNormal2"/>
    <w:tblPr>
      <w:tblStyleRowBandSize w:val="1"/>
      <w:tblStyleColBandSize w:val="1"/>
      <w:tblCellMar>
        <w:left w:w="115.0" w:type="dxa"/>
        <w:right w:w="115.0" w:type="dxa"/>
      </w:tblCellMar>
    </w:tblPr>
  </w:style>
  <w:style w:type="table" w:styleId="affa" w:customStyle="1">
    <w:basedOn w:val="TableNormal1"/>
    <w:tblPr>
      <w:tblStyleRowBandSize w:val="1"/>
      <w:tblStyleColBandSize w:val="1"/>
      <w:tblCellMar>
        <w:left w:w="115.0" w:type="dxa"/>
        <w:right w:w="115.0" w:type="dxa"/>
      </w:tblCellMar>
    </w:tblPr>
  </w:style>
  <w:style w:type="table" w:styleId="affb" w:customStyle="1">
    <w:basedOn w:val="TableNormal1"/>
    <w:tblPr>
      <w:tblStyleRowBandSize w:val="1"/>
      <w:tblStyleColBandSize w:val="1"/>
      <w:tblCellMar>
        <w:left w:w="115.0" w:type="dxa"/>
        <w:right w:w="115.0" w:type="dxa"/>
      </w:tblCellMar>
    </w:tblPr>
  </w:style>
  <w:style w:type="table" w:styleId="affc" w:customStyle="1">
    <w:basedOn w:val="TableNormal0"/>
    <w:tblPr>
      <w:tblStyleRowBandSize w:val="1"/>
      <w:tblStyleColBandSize w:val="1"/>
      <w:tblCellMar>
        <w:left w:w="115.0" w:type="dxa"/>
        <w:right w:w="115.0" w:type="dxa"/>
      </w:tblCellMar>
    </w:tblPr>
  </w:style>
  <w:style w:type="table" w:styleId="affd"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Vk7n1/L0tcRh5ieQC1mytaLXQ==">CgMxLjAyCWguM3JkY3JqbjIOaC5kYWozajJ4bzZxNjYyCGguZ2pkZ3hzMg5oLjRpa3k0MTZvNXg3bjIJaC4zZHk2dmttMgloLjMwajB6bGwyCWguMnM4ZXlvMTIIaC50eWpjd3QyCWguMmV0OTJwMDIJaC4yNmluMXJnMgloLjE3ZHA4dnUyCGgubG54Yno5OAByITExTXJsQWs3NVZDTzBGR1IyWkp4MXppVG1ONGk1dnRiVw==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2026-01-16T19:38:00Z</dcterms:created>
  <dc:creator>USUARIO</dc:creator>
</cp:coreProperties>
</file>