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C326C" w14:textId="0E6792BB" w:rsidR="00942616" w:rsidRPr="008C1586" w:rsidRDefault="00942616" w:rsidP="00942616">
      <w:pPr>
        <w:tabs>
          <w:tab w:val="left" w:pos="3465"/>
        </w:tabs>
        <w:spacing w:line="360" w:lineRule="auto"/>
        <w:jc w:val="both"/>
        <w:rPr>
          <w:rFonts w:ascii="Palatino Linotype" w:hAnsi="Palatino Linotype"/>
          <w:b/>
        </w:rPr>
      </w:pPr>
      <w:r w:rsidRPr="008C1586">
        <w:rPr>
          <w:rFonts w:ascii="Palatino Linotype" w:hAnsi="Palatino Linotype"/>
        </w:rPr>
        <w:t>Resolución del Pleno del Instituto de Transparencia, Acceso a la Información Pública y Protección de Datos Personales del Estado de México y Municipios, con domicilio en Metepec, Estado de México; de fecha</w:t>
      </w:r>
      <w:r w:rsidR="009F045A" w:rsidRPr="008C1586">
        <w:rPr>
          <w:rFonts w:ascii="Palatino Linotype" w:hAnsi="Palatino Linotype"/>
          <w:b/>
        </w:rPr>
        <w:t xml:space="preserve"> </w:t>
      </w:r>
      <w:r w:rsidR="00466784" w:rsidRPr="008C1586">
        <w:rPr>
          <w:rFonts w:ascii="Palatino Linotype" w:hAnsi="Palatino Linotype"/>
          <w:b/>
        </w:rPr>
        <w:t>diecinueve de febrero de dos mil veinticinco.</w:t>
      </w:r>
    </w:p>
    <w:p w14:paraId="7A47408F" w14:textId="77777777" w:rsidR="00942616" w:rsidRPr="008C1586" w:rsidRDefault="00942616" w:rsidP="00942616">
      <w:pPr>
        <w:tabs>
          <w:tab w:val="left" w:pos="3465"/>
        </w:tabs>
        <w:spacing w:line="360" w:lineRule="auto"/>
        <w:jc w:val="both"/>
        <w:rPr>
          <w:rFonts w:ascii="Palatino Linotype" w:hAnsi="Palatino Linotype"/>
        </w:rPr>
      </w:pPr>
    </w:p>
    <w:p w14:paraId="1A849A4C" w14:textId="37FB2E46" w:rsidR="00942616" w:rsidRPr="008C1586" w:rsidRDefault="00942616" w:rsidP="00942616">
      <w:pPr>
        <w:spacing w:line="360" w:lineRule="auto"/>
        <w:jc w:val="both"/>
        <w:rPr>
          <w:rFonts w:ascii="Palatino Linotype" w:hAnsi="Palatino Linotype"/>
        </w:rPr>
      </w:pPr>
      <w:r w:rsidRPr="008C1586">
        <w:rPr>
          <w:rFonts w:ascii="Palatino Linotype" w:hAnsi="Palatino Linotype"/>
          <w:b/>
        </w:rPr>
        <w:t>VISTO</w:t>
      </w:r>
      <w:r w:rsidRPr="008C1586">
        <w:rPr>
          <w:rFonts w:ascii="Palatino Linotype" w:hAnsi="Palatino Linotype"/>
        </w:rPr>
        <w:t xml:space="preserve"> el expediente electrónico formado con</w:t>
      </w:r>
      <w:r w:rsidR="00AA73B4">
        <w:rPr>
          <w:rFonts w:ascii="Palatino Linotype" w:hAnsi="Palatino Linotype"/>
        </w:rPr>
        <w:t xml:space="preserve"> motivo del recurso de revisión</w:t>
      </w:r>
      <w:r w:rsidR="009F045A" w:rsidRPr="008C1586">
        <w:rPr>
          <w:rFonts w:ascii="Palatino Linotype" w:hAnsi="Palatino Linotype"/>
          <w:b/>
          <w:bCs/>
        </w:rPr>
        <w:t> </w:t>
      </w:r>
      <w:r w:rsidR="00466784" w:rsidRPr="008C1586">
        <w:rPr>
          <w:rFonts w:ascii="Palatino Linotype" w:hAnsi="Palatino Linotype"/>
          <w:b/>
          <w:bCs/>
        </w:rPr>
        <w:t>02398/INFOEM/IP/RR/2024</w:t>
      </w:r>
      <w:r w:rsidR="003441EF" w:rsidRPr="008C1586">
        <w:rPr>
          <w:rFonts w:ascii="Palatino Linotype" w:hAnsi="Palatino Linotype"/>
          <w:b/>
        </w:rPr>
        <w:t>,</w:t>
      </w:r>
      <w:r w:rsidRPr="008C1586">
        <w:rPr>
          <w:rFonts w:ascii="Palatino Linotype" w:hAnsi="Palatino Linotype" w:cs="Arial"/>
          <w:b/>
          <w:bCs/>
        </w:rPr>
        <w:t xml:space="preserve"> </w:t>
      </w:r>
      <w:r w:rsidRPr="008C1586">
        <w:rPr>
          <w:rFonts w:ascii="Palatino Linotype" w:hAnsi="Palatino Linotype"/>
        </w:rPr>
        <w:t>promovido por</w:t>
      </w:r>
      <w:r w:rsidR="006E76C7" w:rsidRPr="008C1586">
        <w:rPr>
          <w:rFonts w:ascii="Palatino Linotype" w:hAnsi="Palatino Linotype"/>
          <w:b/>
        </w:rPr>
        <w:t xml:space="preserve"> </w:t>
      </w:r>
      <w:r w:rsidR="00AA73B4">
        <w:rPr>
          <w:rFonts w:ascii="Palatino Linotype" w:hAnsi="Palatino Linotype"/>
          <w:b/>
          <w:bCs/>
        </w:rPr>
        <w:t xml:space="preserve">XXX XXXX </w:t>
      </w:r>
      <w:proofErr w:type="spellStart"/>
      <w:r w:rsidR="00AA73B4">
        <w:rPr>
          <w:rFonts w:ascii="Palatino Linotype" w:hAnsi="Palatino Linotype"/>
          <w:b/>
          <w:bCs/>
        </w:rPr>
        <w:t>XXXX</w:t>
      </w:r>
      <w:proofErr w:type="spellEnd"/>
      <w:r w:rsidRPr="008C1586">
        <w:rPr>
          <w:rFonts w:ascii="Palatino Linotype" w:hAnsi="Palatino Linotype"/>
        </w:rPr>
        <w:t xml:space="preserve">, a quien en lo sucesivo se le identificará como </w:t>
      </w:r>
      <w:r w:rsidRPr="008C1586">
        <w:rPr>
          <w:rFonts w:ascii="Palatino Linotype" w:hAnsi="Palatino Linotype"/>
          <w:b/>
        </w:rPr>
        <w:t>EL RECURRENTE</w:t>
      </w:r>
      <w:r w:rsidR="00466784" w:rsidRPr="008C1586">
        <w:rPr>
          <w:rFonts w:ascii="Palatino Linotype" w:hAnsi="Palatino Linotype" w:cs="Arial"/>
        </w:rPr>
        <w:t>, en contra de la respuesta de la</w:t>
      </w:r>
      <w:r w:rsidRPr="008C1586">
        <w:rPr>
          <w:rFonts w:ascii="Palatino Linotype" w:hAnsi="Palatino Linotype" w:cs="Arial"/>
        </w:rPr>
        <w:t xml:space="preserve"> </w:t>
      </w:r>
      <w:r w:rsidR="00466784" w:rsidRPr="008C1586">
        <w:rPr>
          <w:rFonts w:ascii="Palatino Linotype" w:hAnsi="Palatino Linotype" w:cs="Arial"/>
          <w:b/>
          <w:bCs/>
        </w:rPr>
        <w:t>Comisión del Agua del Estado de México</w:t>
      </w:r>
      <w:r w:rsidRPr="008C1586">
        <w:rPr>
          <w:rFonts w:ascii="Palatino Linotype" w:hAnsi="Palatino Linotype" w:cs="Arial"/>
          <w:b/>
        </w:rPr>
        <w:t>,</w:t>
      </w:r>
      <w:r w:rsidRPr="008C1586">
        <w:rPr>
          <w:rFonts w:ascii="Palatino Linotype" w:hAnsi="Palatino Linotype"/>
          <w:b/>
        </w:rPr>
        <w:t xml:space="preserve"> </w:t>
      </w:r>
      <w:r w:rsidRPr="008C1586">
        <w:rPr>
          <w:rFonts w:ascii="Palatino Linotype" w:hAnsi="Palatino Linotype"/>
        </w:rPr>
        <w:t>en lo sucesivo el</w:t>
      </w:r>
      <w:r w:rsidRPr="008C1586">
        <w:rPr>
          <w:rFonts w:ascii="Palatino Linotype" w:hAnsi="Palatino Linotype"/>
          <w:b/>
        </w:rPr>
        <w:t xml:space="preserve"> SUJETO OBLIGADO</w:t>
      </w:r>
      <w:r w:rsidRPr="008C1586">
        <w:rPr>
          <w:rFonts w:ascii="Palatino Linotype" w:hAnsi="Palatino Linotype"/>
        </w:rPr>
        <w:t>, se procede a dictar la presente resolución, con base en los siguientes:</w:t>
      </w:r>
    </w:p>
    <w:p w14:paraId="6C202242" w14:textId="77777777" w:rsidR="00942616" w:rsidRPr="008C1586" w:rsidRDefault="00942616" w:rsidP="00942616">
      <w:pPr>
        <w:spacing w:line="360" w:lineRule="auto"/>
        <w:jc w:val="both"/>
        <w:rPr>
          <w:rFonts w:ascii="Palatino Linotype" w:hAnsi="Palatino Linotype"/>
          <w:b/>
        </w:rPr>
      </w:pPr>
    </w:p>
    <w:p w14:paraId="6225BF92" w14:textId="77777777" w:rsidR="007A7B97" w:rsidRPr="008C1586" w:rsidRDefault="007A7B97" w:rsidP="00942616">
      <w:pPr>
        <w:spacing w:line="360" w:lineRule="auto"/>
        <w:jc w:val="both"/>
        <w:rPr>
          <w:rFonts w:ascii="Palatino Linotype" w:hAnsi="Palatino Linotype"/>
          <w:b/>
        </w:rPr>
      </w:pPr>
    </w:p>
    <w:p w14:paraId="71FCCE90" w14:textId="7922406A" w:rsidR="007C50BE" w:rsidRPr="008C1586" w:rsidRDefault="00942616" w:rsidP="007A7B97">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8C1586">
        <w:rPr>
          <w:rFonts w:ascii="Palatino Linotype" w:hAnsi="Palatino Linotype"/>
          <w:b/>
          <w:color w:val="000000" w:themeColor="text1"/>
          <w:sz w:val="24"/>
          <w:szCs w:val="24"/>
        </w:rPr>
        <w:t>ANTECEDENTES</w:t>
      </w:r>
      <w:bookmarkEnd w:id="0"/>
      <w:bookmarkEnd w:id="1"/>
      <w:bookmarkEnd w:id="2"/>
    </w:p>
    <w:p w14:paraId="320E1AC5" w14:textId="2341483A" w:rsidR="007A7B97" w:rsidRPr="008C1586" w:rsidRDefault="00FE2702" w:rsidP="00FE2702">
      <w:pPr>
        <w:pStyle w:val="Ttulo1"/>
        <w:spacing w:before="0" w:line="360" w:lineRule="auto"/>
        <w:jc w:val="center"/>
        <w:rPr>
          <w:rFonts w:ascii="Palatino Linotype" w:hAnsi="Palatino Linotype"/>
          <w:b/>
          <w:color w:val="000000" w:themeColor="text1"/>
          <w:sz w:val="24"/>
          <w:szCs w:val="24"/>
        </w:rPr>
      </w:pPr>
      <w:r w:rsidRPr="008C1586">
        <w:rPr>
          <w:rFonts w:ascii="Palatino Linotype" w:hAnsi="Palatino Linotype"/>
          <w:b/>
          <w:color w:val="000000" w:themeColor="text1"/>
          <w:sz w:val="24"/>
          <w:szCs w:val="24"/>
        </w:rPr>
        <w:t>SOLICITUD</w:t>
      </w:r>
    </w:p>
    <w:p w14:paraId="1EB5593D" w14:textId="77777777" w:rsidR="00FE2702" w:rsidRPr="008C1586" w:rsidRDefault="00FE2702" w:rsidP="00FE2702"/>
    <w:p w14:paraId="5D33333B" w14:textId="2AD1FFC2" w:rsidR="007A7B97" w:rsidRPr="008C1586" w:rsidRDefault="007A7B97" w:rsidP="007A7B97">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8C1586">
        <w:rPr>
          <w:rFonts w:ascii="Palatino Linotype" w:eastAsia="Calibri" w:hAnsi="Palatino Linotype" w:cs="Arial"/>
          <w:lang w:val="es-ES"/>
        </w:rPr>
        <w:t>El día</w:t>
      </w:r>
      <w:r w:rsidR="00033D9B" w:rsidRPr="008C1586">
        <w:rPr>
          <w:rFonts w:ascii="Palatino Linotype" w:eastAsia="Calibri" w:hAnsi="Palatino Linotype" w:cs="Arial"/>
          <w:b/>
          <w:lang w:val="es-ES"/>
        </w:rPr>
        <w:t xml:space="preserve"> </w:t>
      </w:r>
      <w:r w:rsidR="00466784" w:rsidRPr="008C1586">
        <w:rPr>
          <w:rFonts w:ascii="Palatino Linotype" w:eastAsia="Calibri" w:hAnsi="Palatino Linotype" w:cs="Arial"/>
          <w:b/>
          <w:lang w:val="es-ES"/>
        </w:rPr>
        <w:t>diez de abril de dos mil veinticuatro</w:t>
      </w:r>
      <w:r w:rsidRPr="008C1586">
        <w:rPr>
          <w:rFonts w:ascii="Palatino Linotype" w:hAnsi="Palatino Linotype"/>
          <w:b/>
        </w:rPr>
        <w:t xml:space="preserve">, </w:t>
      </w:r>
      <w:r w:rsidRPr="008C1586">
        <w:rPr>
          <w:rFonts w:ascii="Palatino Linotype" w:eastAsia="Calibri" w:hAnsi="Palatino Linotype" w:cs="Arial"/>
          <w:lang w:val="es-ES"/>
        </w:rPr>
        <w:t xml:space="preserve">se presentó ante el </w:t>
      </w:r>
      <w:r w:rsidRPr="008C1586">
        <w:rPr>
          <w:rFonts w:ascii="Palatino Linotype" w:eastAsia="Calibri" w:hAnsi="Palatino Linotype" w:cs="Arial"/>
          <w:b/>
          <w:lang w:val="es-ES"/>
        </w:rPr>
        <w:t>SUJETO OBLIGADO</w:t>
      </w:r>
      <w:r w:rsidRPr="008C1586">
        <w:rPr>
          <w:rFonts w:ascii="Palatino Linotype" w:eastAsia="Calibri" w:hAnsi="Palatino Linotype" w:cs="Arial"/>
        </w:rPr>
        <w:t xml:space="preserve"> vía </w:t>
      </w:r>
      <w:r w:rsidRPr="008C1586">
        <w:rPr>
          <w:rFonts w:ascii="Palatino Linotype" w:eastAsia="Calibri" w:hAnsi="Palatino Linotype" w:cs="Arial"/>
          <w:lang w:val="es-ES"/>
        </w:rPr>
        <w:t>SAIMEX, la solicitud de información pública registrada con el número</w:t>
      </w:r>
      <w:r w:rsidR="00466784" w:rsidRPr="008C1586">
        <w:rPr>
          <w:rFonts w:ascii="Palatino Linotype" w:hAnsi="Palatino Linotype"/>
          <w:b/>
          <w:bCs/>
          <w:color w:val="000000" w:themeColor="text1"/>
        </w:rPr>
        <w:t> 00194/CAEM/IP/2024</w:t>
      </w:r>
      <w:r w:rsidRPr="008C1586">
        <w:rPr>
          <w:rFonts w:ascii="Palatino Linotype" w:hAnsi="Palatino Linotype"/>
          <w:b/>
          <w:bCs/>
          <w:color w:val="000000" w:themeColor="text1"/>
        </w:rPr>
        <w:t xml:space="preserve">; </w:t>
      </w:r>
      <w:r w:rsidRPr="008C1586">
        <w:rPr>
          <w:rFonts w:ascii="Palatino Linotype" w:eastAsia="Calibri" w:hAnsi="Palatino Linotype" w:cs="Arial"/>
          <w:lang w:val="es-ES"/>
        </w:rPr>
        <w:t>mediante la cual se solicitó la siguiente información:</w:t>
      </w:r>
    </w:p>
    <w:p w14:paraId="4F5072D1" w14:textId="77777777" w:rsidR="007A7B97" w:rsidRPr="008C1586" w:rsidRDefault="007A7B97" w:rsidP="00033D9B">
      <w:pPr>
        <w:pStyle w:val="Prrafodelista"/>
        <w:ind w:left="426" w:right="476"/>
        <w:jc w:val="both"/>
        <w:rPr>
          <w:rFonts w:ascii="Palatino Linotype" w:hAnsi="Palatino Linotype"/>
          <w:i/>
        </w:rPr>
      </w:pPr>
    </w:p>
    <w:p w14:paraId="4BBC003D" w14:textId="374A3B75" w:rsidR="007A7B97" w:rsidRPr="008C1586" w:rsidRDefault="007A7B97" w:rsidP="009F045A">
      <w:pPr>
        <w:pStyle w:val="Prrafodelista"/>
        <w:ind w:left="426" w:right="476"/>
        <w:jc w:val="both"/>
        <w:rPr>
          <w:rFonts w:ascii="Palatino Linotype" w:hAnsi="Palatino Linotype"/>
          <w:i/>
        </w:rPr>
      </w:pPr>
      <w:r w:rsidRPr="008C1586">
        <w:rPr>
          <w:rFonts w:ascii="Palatino Linotype" w:hAnsi="Palatino Linotype"/>
          <w:i/>
        </w:rPr>
        <w:t>“</w:t>
      </w:r>
      <w:r w:rsidR="00466784" w:rsidRPr="008C1586">
        <w:rPr>
          <w:rFonts w:ascii="Palatino Linotype" w:hAnsi="Palatino Linotype"/>
          <w:i/>
        </w:rPr>
        <w:t xml:space="preserve">Por medio de la presente, y de conformidad con la Ley de Transparencia y Acceso a la Información Pública del Estado de México, me permito solicitar la siguiente información: Desglose del presupuesto asignado a la Comisión del Agua del Estado de México (CAEM) durante el periodo comprendido entre octubre de 2023 hasta el 9 de abril de 2024. Detalle de cómo ha sido utilizado el presupuesto mencionado en el punto anterior, especificando los gastos realizados por cada una de las direcciones y subdirecciones pertenecientes a la Comisión del Agua del Estado de México en el periodo mencionado. Evidencia documental que respalde el uso o destino de los </w:t>
      </w:r>
      <w:r w:rsidR="00466784" w:rsidRPr="008C1586">
        <w:rPr>
          <w:rFonts w:ascii="Palatino Linotype" w:hAnsi="Palatino Linotype"/>
          <w:i/>
        </w:rPr>
        <w:lastRenderedPageBreak/>
        <w:t>recursos financieros de la Comisión del Agua del Estado de México desde octubre de 2023 hasta el 9 de abril de 2024.</w:t>
      </w:r>
      <w:r w:rsidRPr="008C1586">
        <w:rPr>
          <w:rFonts w:ascii="Palatino Linotype" w:hAnsi="Palatino Linotype"/>
          <w:i/>
        </w:rPr>
        <w:t>”</w:t>
      </w:r>
    </w:p>
    <w:p w14:paraId="0661FBD5" w14:textId="77777777" w:rsidR="007A7B97" w:rsidRPr="008C1586" w:rsidRDefault="007A7B97" w:rsidP="007A7B97">
      <w:pPr>
        <w:pStyle w:val="Prrafodelista"/>
        <w:spacing w:line="360" w:lineRule="auto"/>
        <w:ind w:left="851" w:right="34"/>
        <w:jc w:val="both"/>
        <w:rPr>
          <w:rFonts w:ascii="Palatino Linotype" w:hAnsi="Palatino Linotype"/>
        </w:rPr>
      </w:pPr>
    </w:p>
    <w:p w14:paraId="5C51A533" w14:textId="65226C3B" w:rsidR="007A7B97" w:rsidRPr="008C1586" w:rsidRDefault="007A7B97" w:rsidP="009F045A">
      <w:pPr>
        <w:pStyle w:val="Prrafodelista"/>
        <w:numPr>
          <w:ilvl w:val="0"/>
          <w:numId w:val="2"/>
        </w:numPr>
        <w:spacing w:line="360" w:lineRule="auto"/>
        <w:ind w:left="851" w:right="474"/>
        <w:jc w:val="both"/>
        <w:rPr>
          <w:rFonts w:ascii="Palatino Linotype" w:hAnsi="Palatino Linotype"/>
        </w:rPr>
      </w:pPr>
      <w:r w:rsidRPr="008C1586">
        <w:rPr>
          <w:rFonts w:ascii="Palatino Linotype" w:eastAsia="Times New Roman" w:hAnsi="Palatino Linotype" w:cs="Arial"/>
          <w:lang w:val="es-ES"/>
        </w:rPr>
        <w:t>Se eligió como modalidad de entrega de la información</w:t>
      </w:r>
      <w:r w:rsidRPr="008C1586">
        <w:rPr>
          <w:rFonts w:ascii="Palatino Linotype" w:hAnsi="Palatino Linotype"/>
        </w:rPr>
        <w:t xml:space="preserve">: A través del </w:t>
      </w:r>
      <w:r w:rsidRPr="008C1586">
        <w:rPr>
          <w:rFonts w:ascii="Palatino Linotype" w:hAnsi="Palatino Linotype"/>
          <w:b/>
        </w:rPr>
        <w:t>SAIMEX.</w:t>
      </w:r>
    </w:p>
    <w:p w14:paraId="749F0EFD" w14:textId="77777777" w:rsidR="009F045A" w:rsidRPr="008C1586" w:rsidRDefault="009F045A" w:rsidP="009F045A">
      <w:pPr>
        <w:spacing w:line="360" w:lineRule="auto"/>
        <w:ind w:left="491" w:right="474"/>
        <w:jc w:val="both"/>
        <w:rPr>
          <w:rFonts w:ascii="Palatino Linotype" w:hAnsi="Palatino Linotype"/>
        </w:rPr>
      </w:pPr>
    </w:p>
    <w:p w14:paraId="21E5DFA3" w14:textId="54C7D26B" w:rsidR="009D742C" w:rsidRPr="008C1586" w:rsidRDefault="00033D9B" w:rsidP="00466784">
      <w:pPr>
        <w:pStyle w:val="Prrafodelista"/>
        <w:numPr>
          <w:ilvl w:val="0"/>
          <w:numId w:val="1"/>
        </w:numPr>
        <w:tabs>
          <w:tab w:val="left" w:pos="0"/>
        </w:tabs>
        <w:spacing w:line="360" w:lineRule="auto"/>
        <w:ind w:left="0" w:right="49" w:firstLine="0"/>
        <w:jc w:val="both"/>
        <w:rPr>
          <w:rFonts w:ascii="Palatino Linotype" w:hAnsi="Palatino Linotype" w:cs="Arial"/>
          <w:b/>
          <w:color w:val="000000" w:themeColor="text1"/>
        </w:rPr>
      </w:pPr>
      <w:r w:rsidRPr="008C1586">
        <w:rPr>
          <w:rFonts w:ascii="Palatino Linotype" w:hAnsi="Palatino Linotype" w:cs="Arial"/>
          <w:color w:val="000000" w:themeColor="text1"/>
        </w:rPr>
        <w:t xml:space="preserve">El </w:t>
      </w:r>
      <w:r w:rsidR="00466784" w:rsidRPr="008C1586">
        <w:rPr>
          <w:rFonts w:ascii="Palatino Linotype" w:hAnsi="Palatino Linotype" w:cs="Arial"/>
          <w:b/>
          <w:color w:val="000000" w:themeColor="text1"/>
        </w:rPr>
        <w:t>treinta de abril de dos mil veinticuatro</w:t>
      </w:r>
      <w:r w:rsidRPr="008C1586">
        <w:rPr>
          <w:rFonts w:ascii="Palatino Linotype" w:hAnsi="Palatino Linotype" w:cs="Arial"/>
          <w:b/>
          <w:color w:val="000000" w:themeColor="text1"/>
        </w:rPr>
        <w:t xml:space="preserve">, </w:t>
      </w:r>
      <w:r w:rsidRPr="008C1586">
        <w:rPr>
          <w:rFonts w:ascii="Palatino Linotype" w:hAnsi="Palatino Linotype"/>
        </w:rPr>
        <w:t xml:space="preserve">el </w:t>
      </w:r>
      <w:r w:rsidR="00466784" w:rsidRPr="008C1586">
        <w:rPr>
          <w:rFonts w:ascii="Palatino Linotype" w:hAnsi="Palatino Linotype"/>
          <w:b/>
        </w:rPr>
        <w:t>SUJETO OBLIGADO</w:t>
      </w:r>
      <w:r w:rsidR="007A7B97" w:rsidRPr="008C1586">
        <w:rPr>
          <w:rFonts w:ascii="Palatino Linotype" w:hAnsi="Palatino Linotype" w:cs="Arial"/>
          <w:b/>
          <w:color w:val="000000" w:themeColor="text1"/>
        </w:rPr>
        <w:t>,</w:t>
      </w:r>
      <w:r w:rsidR="009F045A" w:rsidRPr="008C1586">
        <w:rPr>
          <w:rFonts w:ascii="Palatino Linotype" w:hAnsi="Palatino Linotype" w:cs="Arial"/>
          <w:color w:val="000000" w:themeColor="text1"/>
        </w:rPr>
        <w:t xml:space="preserve"> dio respuesta a través de los archivos siguientes:</w:t>
      </w:r>
    </w:p>
    <w:p w14:paraId="10E04750" w14:textId="77777777" w:rsidR="00466784" w:rsidRPr="008C1586" w:rsidRDefault="00466784" w:rsidP="00466784">
      <w:pPr>
        <w:pStyle w:val="Prrafodelista"/>
        <w:tabs>
          <w:tab w:val="left" w:pos="0"/>
        </w:tabs>
        <w:spacing w:line="360" w:lineRule="auto"/>
        <w:ind w:left="0" w:right="49"/>
        <w:jc w:val="both"/>
        <w:rPr>
          <w:rFonts w:ascii="Palatino Linotype" w:hAnsi="Palatino Linotype" w:cs="Arial"/>
          <w:b/>
          <w:color w:val="000000" w:themeColor="text1"/>
        </w:rPr>
      </w:pPr>
    </w:p>
    <w:p w14:paraId="349B97E6" w14:textId="77777777" w:rsidR="00466784" w:rsidRPr="008C1586" w:rsidRDefault="00466784" w:rsidP="00466784">
      <w:pPr>
        <w:pStyle w:val="Prrafodelista"/>
        <w:numPr>
          <w:ilvl w:val="0"/>
          <w:numId w:val="2"/>
        </w:numPr>
        <w:spacing w:line="360" w:lineRule="auto"/>
        <w:ind w:left="1276" w:right="474" w:hanging="590"/>
        <w:jc w:val="both"/>
        <w:rPr>
          <w:rFonts w:ascii="Palatino Linotype" w:hAnsi="Palatino Linotype"/>
          <w:b/>
          <w:i/>
        </w:rPr>
      </w:pPr>
      <w:r w:rsidRPr="008C1586">
        <w:rPr>
          <w:rFonts w:ascii="Palatino Linotype" w:hAnsi="Palatino Linotype"/>
          <w:b/>
          <w:i/>
        </w:rPr>
        <w:t>00194-CAEM-IP-2024.pdf</w:t>
      </w:r>
    </w:p>
    <w:p w14:paraId="446B3996" w14:textId="1B1C710A" w:rsidR="00466784" w:rsidRPr="008C1586" w:rsidRDefault="00466784" w:rsidP="00466784">
      <w:pPr>
        <w:spacing w:line="360" w:lineRule="auto"/>
        <w:ind w:right="474"/>
        <w:jc w:val="both"/>
        <w:rPr>
          <w:rFonts w:ascii="Palatino Linotype" w:hAnsi="Palatino Linotype"/>
        </w:rPr>
      </w:pPr>
      <w:r w:rsidRPr="008C1586">
        <w:rPr>
          <w:rFonts w:ascii="Palatino Linotype" w:hAnsi="Palatino Linotype"/>
        </w:rPr>
        <w:t>Oficio de veinticuatro de abril de dos mil veinticuatro, firmado por la Directora General de Administración y Finanzas, por el que informo lo siguiente:</w:t>
      </w:r>
    </w:p>
    <w:p w14:paraId="77FC7F91" w14:textId="77777777" w:rsidR="00466784" w:rsidRPr="008C1586" w:rsidRDefault="00466784" w:rsidP="00466784">
      <w:pPr>
        <w:spacing w:line="360" w:lineRule="auto"/>
        <w:ind w:right="474"/>
        <w:jc w:val="both"/>
        <w:rPr>
          <w:rFonts w:ascii="Palatino Linotype" w:hAnsi="Palatino Linotype"/>
        </w:rPr>
      </w:pPr>
    </w:p>
    <w:p w14:paraId="2D29528B" w14:textId="1F5A795C" w:rsidR="00466784" w:rsidRPr="008C1586" w:rsidRDefault="00466784" w:rsidP="00466784">
      <w:pPr>
        <w:spacing w:line="360" w:lineRule="auto"/>
        <w:ind w:right="474"/>
        <w:jc w:val="both"/>
        <w:rPr>
          <w:rFonts w:ascii="Palatino Linotype" w:hAnsi="Palatino Linotype"/>
          <w:i/>
        </w:rPr>
      </w:pPr>
      <w:r w:rsidRPr="008C1586">
        <w:rPr>
          <w:rFonts w:ascii="Palatino Linotype" w:hAnsi="Palatino Linotype"/>
          <w:i/>
        </w:rPr>
        <w:t>“En consecuencia, considerando el oficio 219C0117020000L/0381/2024 signado por el Director de Finanzas, se adjunta CD con los archivos en formato PDF de la información emitida por el Sistema de Planeación y Presupuesto (SPP) los cuales contienen el desglose del presupuesto por centro de costos (Avance Financiero Mensual por Centro de Costo y Objeto de Gasto PPP-12b) de los meses de octubre, noviembre y diciembre 2023, así como de los correspondientes a 2024 (enero, febrero y marzo), resaltando que, el mes de abril no ha concluido y, en consecuencia no puede emitirse la información respectiva.”</w:t>
      </w:r>
    </w:p>
    <w:p w14:paraId="7A19988C" w14:textId="77777777" w:rsidR="009A0416" w:rsidRPr="008C1586" w:rsidRDefault="009A0416" w:rsidP="00466784">
      <w:pPr>
        <w:spacing w:line="360" w:lineRule="auto"/>
        <w:ind w:right="474"/>
        <w:jc w:val="both"/>
        <w:rPr>
          <w:rFonts w:ascii="Palatino Linotype" w:hAnsi="Palatino Linotype"/>
          <w:i/>
        </w:rPr>
      </w:pPr>
    </w:p>
    <w:p w14:paraId="2AF455D7" w14:textId="77777777" w:rsidR="009A0416" w:rsidRPr="008C1586" w:rsidRDefault="009A0416" w:rsidP="009A0416">
      <w:pPr>
        <w:spacing w:line="360" w:lineRule="auto"/>
        <w:ind w:right="474"/>
        <w:jc w:val="both"/>
        <w:rPr>
          <w:rFonts w:ascii="Palatino Linotype" w:hAnsi="Palatino Linotype"/>
        </w:rPr>
      </w:pPr>
      <w:r w:rsidRPr="008C1586">
        <w:rPr>
          <w:rFonts w:ascii="Palatino Linotype" w:hAnsi="Palatino Linotype"/>
        </w:rPr>
        <w:t>Oficio de diecinueve de abril de dos mil veinticuatro firmado por el Director de Finanzas, por el que informo lo siguiente:</w:t>
      </w:r>
    </w:p>
    <w:p w14:paraId="7A8DDFFC" w14:textId="370DF4CD" w:rsidR="009A0416" w:rsidRPr="008C1586" w:rsidRDefault="009A0416" w:rsidP="009A0416">
      <w:pPr>
        <w:spacing w:line="360" w:lineRule="auto"/>
        <w:ind w:right="474"/>
        <w:jc w:val="both"/>
        <w:rPr>
          <w:rFonts w:ascii="Palatino Linotype" w:hAnsi="Palatino Linotype"/>
          <w:i/>
        </w:rPr>
      </w:pPr>
      <w:r w:rsidRPr="008C1586">
        <w:rPr>
          <w:rFonts w:ascii="Palatino Linotype" w:hAnsi="Palatino Linotype"/>
          <w:i/>
        </w:rPr>
        <w:lastRenderedPageBreak/>
        <w:t>“Al respecto, anexo CD que contiene archivos en formato PDF de la información emitida por el Sistema de Planeación y Presupuesto (SPP), mismos que contienen el desglose del presupuesto de todos sus movimientos por centro de costos (Avance Financiero Mensual por Centro de Costo y Objeto de Gasto PPP-12b) de los meses de octubre, noviembre y diciembre de 2023, así como los meses de enero, febrero y marzo de 2024, y que el mes de abril a la fecha no ha concluido.”</w:t>
      </w:r>
    </w:p>
    <w:p w14:paraId="25506408" w14:textId="77777777" w:rsidR="00466784" w:rsidRPr="008C1586" w:rsidRDefault="00466784" w:rsidP="00466784">
      <w:pPr>
        <w:spacing w:line="360" w:lineRule="auto"/>
        <w:ind w:right="474"/>
        <w:jc w:val="both"/>
        <w:rPr>
          <w:rFonts w:ascii="Palatino Linotype" w:hAnsi="Palatino Linotype"/>
        </w:rPr>
      </w:pPr>
    </w:p>
    <w:p w14:paraId="501F15EA" w14:textId="77777777" w:rsidR="00466784" w:rsidRPr="008C1586" w:rsidRDefault="00466784" w:rsidP="00466784">
      <w:pPr>
        <w:pStyle w:val="Prrafodelista"/>
        <w:numPr>
          <w:ilvl w:val="0"/>
          <w:numId w:val="2"/>
        </w:numPr>
        <w:spacing w:line="360" w:lineRule="auto"/>
        <w:ind w:left="1276" w:right="474" w:hanging="590"/>
        <w:jc w:val="both"/>
        <w:rPr>
          <w:rFonts w:ascii="Palatino Linotype" w:hAnsi="Palatino Linotype"/>
          <w:b/>
          <w:i/>
        </w:rPr>
      </w:pPr>
      <w:r w:rsidRPr="008C1586">
        <w:rPr>
          <w:rFonts w:ascii="Palatino Linotype" w:hAnsi="Palatino Linotype"/>
          <w:b/>
          <w:i/>
        </w:rPr>
        <w:t xml:space="preserve">Anexo </w:t>
      </w:r>
      <w:proofErr w:type="spellStart"/>
      <w:r w:rsidRPr="008C1586">
        <w:rPr>
          <w:rFonts w:ascii="Palatino Linotype" w:hAnsi="Palatino Linotype"/>
          <w:b/>
          <w:i/>
        </w:rPr>
        <w:t>saimex</w:t>
      </w:r>
      <w:proofErr w:type="spellEnd"/>
      <w:r w:rsidRPr="008C1586">
        <w:rPr>
          <w:rFonts w:ascii="Palatino Linotype" w:hAnsi="Palatino Linotype"/>
          <w:b/>
          <w:i/>
        </w:rPr>
        <w:t xml:space="preserve"> 194 PPP 12B.zip</w:t>
      </w:r>
    </w:p>
    <w:p w14:paraId="2D752215" w14:textId="7ED365D3" w:rsidR="009A0416" w:rsidRPr="008C1586" w:rsidRDefault="009A0416" w:rsidP="009A0416">
      <w:pPr>
        <w:spacing w:line="360" w:lineRule="auto"/>
        <w:ind w:right="474"/>
        <w:jc w:val="both"/>
        <w:rPr>
          <w:rFonts w:ascii="Palatino Linotype" w:hAnsi="Palatino Linotype"/>
        </w:rPr>
      </w:pPr>
      <w:r w:rsidRPr="008C1586">
        <w:rPr>
          <w:rFonts w:ascii="Palatino Linotype" w:hAnsi="Palatino Linotype"/>
        </w:rPr>
        <w:t>Archivo que contiene la carpeta denominada “</w:t>
      </w:r>
      <w:r w:rsidRPr="008C1586">
        <w:rPr>
          <w:rFonts w:ascii="Palatino Linotype" w:hAnsi="Palatino Linotype"/>
          <w:i/>
        </w:rPr>
        <w:t xml:space="preserve">Anexo </w:t>
      </w:r>
      <w:proofErr w:type="spellStart"/>
      <w:r w:rsidRPr="008C1586">
        <w:rPr>
          <w:rFonts w:ascii="Palatino Linotype" w:hAnsi="Palatino Linotype"/>
          <w:i/>
        </w:rPr>
        <w:t>saimex</w:t>
      </w:r>
      <w:proofErr w:type="spellEnd"/>
      <w:r w:rsidRPr="008C1586">
        <w:rPr>
          <w:rFonts w:ascii="Palatino Linotype" w:hAnsi="Palatino Linotype"/>
          <w:i/>
        </w:rPr>
        <w:t xml:space="preserve"> 194 PPP 12B”, </w:t>
      </w:r>
      <w:r w:rsidRPr="008C1586">
        <w:rPr>
          <w:rFonts w:ascii="Palatino Linotype" w:hAnsi="Palatino Linotype"/>
        </w:rPr>
        <w:t>de cuyo contenido se desprende lo siguiente:</w:t>
      </w:r>
    </w:p>
    <w:p w14:paraId="24BA7F8F" w14:textId="77777777" w:rsidR="009A0416" w:rsidRPr="008C1586" w:rsidRDefault="009A0416" w:rsidP="009A0416">
      <w:pPr>
        <w:spacing w:line="360" w:lineRule="auto"/>
        <w:ind w:right="474"/>
        <w:jc w:val="both"/>
        <w:rPr>
          <w:rFonts w:ascii="Palatino Linotype" w:hAnsi="Palatino Linotype"/>
        </w:rPr>
      </w:pPr>
    </w:p>
    <w:p w14:paraId="0EF64E22" w14:textId="58E0C64A" w:rsidR="009A0416" w:rsidRPr="008C1586" w:rsidRDefault="009A0416" w:rsidP="009A0416">
      <w:pPr>
        <w:spacing w:line="360" w:lineRule="auto"/>
        <w:ind w:right="474"/>
        <w:jc w:val="center"/>
        <w:rPr>
          <w:rFonts w:ascii="Palatino Linotype" w:hAnsi="Palatino Linotype"/>
        </w:rPr>
      </w:pPr>
      <w:r w:rsidRPr="008C1586">
        <w:rPr>
          <w:rFonts w:ascii="Palatino Linotype" w:hAnsi="Palatino Linotype"/>
          <w:noProof/>
          <w:lang w:val="es-MX" w:eastAsia="es-MX"/>
        </w:rPr>
        <w:drawing>
          <wp:inline distT="0" distB="0" distL="0" distR="0" wp14:anchorId="4223DF8C" wp14:editId="7543CF74">
            <wp:extent cx="3296110" cy="1629002"/>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96110" cy="1629002"/>
                    </a:xfrm>
                    <a:prstGeom prst="rect">
                      <a:avLst/>
                    </a:prstGeom>
                  </pic:spPr>
                </pic:pic>
              </a:graphicData>
            </a:graphic>
          </wp:inline>
        </w:drawing>
      </w:r>
    </w:p>
    <w:p w14:paraId="21BC5164" w14:textId="77777777" w:rsidR="009A0416" w:rsidRPr="008C1586" w:rsidRDefault="009A0416" w:rsidP="009A0416">
      <w:pPr>
        <w:spacing w:line="360" w:lineRule="auto"/>
        <w:ind w:right="474"/>
        <w:jc w:val="center"/>
        <w:rPr>
          <w:rFonts w:ascii="Palatino Linotype" w:hAnsi="Palatino Linotype"/>
        </w:rPr>
      </w:pPr>
    </w:p>
    <w:p w14:paraId="77733EA8" w14:textId="468913F7" w:rsidR="009A0416" w:rsidRPr="008C1586" w:rsidRDefault="009A0416" w:rsidP="009A0416">
      <w:pPr>
        <w:spacing w:line="360" w:lineRule="auto"/>
        <w:ind w:right="474"/>
        <w:rPr>
          <w:rFonts w:ascii="Palatino Linotype" w:hAnsi="Palatino Linotype"/>
        </w:rPr>
      </w:pPr>
      <w:r w:rsidRPr="008C1586">
        <w:rPr>
          <w:rFonts w:ascii="Palatino Linotype" w:hAnsi="Palatino Linotype"/>
        </w:rPr>
        <w:t>El contenido de las carpetas se describe a continuación:</w:t>
      </w:r>
    </w:p>
    <w:p w14:paraId="27977DD7" w14:textId="77777777" w:rsidR="009A0416" w:rsidRPr="008C1586" w:rsidRDefault="009A0416" w:rsidP="009A0416">
      <w:pPr>
        <w:spacing w:line="360" w:lineRule="auto"/>
        <w:ind w:right="474"/>
        <w:rPr>
          <w:rFonts w:ascii="Palatino Linotype" w:hAnsi="Palatino Linotype"/>
        </w:rPr>
      </w:pPr>
    </w:p>
    <w:p w14:paraId="41CB11DB" w14:textId="701C323B" w:rsidR="00942E8F" w:rsidRPr="008C1586" w:rsidRDefault="009A0416" w:rsidP="00942E8F">
      <w:pPr>
        <w:pStyle w:val="Prrafodelista"/>
        <w:numPr>
          <w:ilvl w:val="0"/>
          <w:numId w:val="2"/>
        </w:numPr>
        <w:spacing w:line="360" w:lineRule="auto"/>
        <w:ind w:left="993" w:right="474"/>
        <w:rPr>
          <w:rFonts w:ascii="Palatino Linotype" w:hAnsi="Palatino Linotype"/>
          <w:b/>
          <w:i/>
        </w:rPr>
      </w:pPr>
      <w:r w:rsidRPr="008C1586">
        <w:rPr>
          <w:rFonts w:ascii="Palatino Linotype" w:hAnsi="Palatino Linotype"/>
          <w:b/>
          <w:i/>
        </w:rPr>
        <w:t>DICIEMBRE 23</w:t>
      </w:r>
    </w:p>
    <w:p w14:paraId="60836F13" w14:textId="6621F73C" w:rsidR="00B71AE1" w:rsidRPr="008C1586" w:rsidRDefault="00B71AE1" w:rsidP="00B71AE1">
      <w:pPr>
        <w:ind w:right="474"/>
        <w:jc w:val="both"/>
        <w:rPr>
          <w:rFonts w:ascii="Palatino Linotype" w:hAnsi="Palatino Linotype"/>
        </w:rPr>
      </w:pPr>
      <w:r w:rsidRPr="008C1586">
        <w:rPr>
          <w:rFonts w:ascii="Palatino Linotype" w:hAnsi="Palatino Linotype"/>
        </w:rPr>
        <w:t xml:space="preserve">Avance financiero mensual por centro de costo y objeto de gasto de año dos mil veintitrés, de las siguientes áreas: </w:t>
      </w:r>
    </w:p>
    <w:p w14:paraId="6171A994" w14:textId="77777777" w:rsidR="00B71AE1" w:rsidRPr="008C1586" w:rsidRDefault="00B71AE1" w:rsidP="00B71AE1">
      <w:pPr>
        <w:spacing w:line="360" w:lineRule="auto"/>
        <w:ind w:right="474"/>
        <w:rPr>
          <w:rFonts w:ascii="Palatino Linotype" w:hAnsi="Palatino Linotype"/>
        </w:rPr>
      </w:pPr>
    </w:p>
    <w:p w14:paraId="39C7F383"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Unidad de Modernización Administrativa e Informática.</w:t>
      </w:r>
    </w:p>
    <w:p w14:paraId="46D5BDC9"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lastRenderedPageBreak/>
        <w:t xml:space="preserve">Contraloría Interna </w:t>
      </w:r>
    </w:p>
    <w:p w14:paraId="10DE8FA7"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Programa Hidráulico</w:t>
      </w:r>
    </w:p>
    <w:p w14:paraId="4539C605"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Inversión y Gestión</w:t>
      </w:r>
    </w:p>
    <w:p w14:paraId="546E8B2D"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Infraestructura Hidráulica</w:t>
      </w:r>
    </w:p>
    <w:p w14:paraId="2FDE23A0"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de Construcción</w:t>
      </w:r>
    </w:p>
    <w:p w14:paraId="780988A3" w14:textId="777777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 xml:space="preserve">Dirección General de Operaciones y Atención a Emergencias </w:t>
      </w:r>
    </w:p>
    <w:p w14:paraId="3C2DB025" w14:textId="2E648F04"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Toluca</w:t>
      </w:r>
    </w:p>
    <w:p w14:paraId="62CF62FE" w14:textId="64D67454"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Cuautitlán Poniente</w:t>
      </w:r>
    </w:p>
    <w:p w14:paraId="23AE6F17" w14:textId="64C75FB6"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 xml:space="preserve">Gerencia Regional Cuautitlán Oriente </w:t>
      </w:r>
    </w:p>
    <w:p w14:paraId="4FAFA86D" w14:textId="15C3DAD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Atlacomulco</w:t>
      </w:r>
    </w:p>
    <w:p w14:paraId="79A173B6" w14:textId="6BBFB0E3"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Coatepec Harinas</w:t>
      </w:r>
    </w:p>
    <w:p w14:paraId="33F1F185" w14:textId="16A3B380"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Tejupilco-Valle de Bravo</w:t>
      </w:r>
    </w:p>
    <w:p w14:paraId="212A01B4" w14:textId="1D329477"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Gerencia Regional Cuautitlán Texcoco</w:t>
      </w:r>
    </w:p>
    <w:p w14:paraId="387652A9" w14:textId="12DB6292"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Coordinación de Organismos Operadores</w:t>
      </w:r>
    </w:p>
    <w:p w14:paraId="15AF1ABD" w14:textId="704CD259"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Asuntos Jurídicos</w:t>
      </w:r>
    </w:p>
    <w:p w14:paraId="4E2EA2A2" w14:textId="50981972"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Dirección General de Administración y Finanzas</w:t>
      </w:r>
    </w:p>
    <w:p w14:paraId="1239AFEE" w14:textId="342672FA" w:rsidR="00B71AE1" w:rsidRPr="008C1586" w:rsidRDefault="00B71AE1" w:rsidP="00B71AE1">
      <w:pPr>
        <w:pStyle w:val="Prrafodelista"/>
        <w:numPr>
          <w:ilvl w:val="0"/>
          <w:numId w:val="2"/>
        </w:numPr>
        <w:spacing w:line="360" w:lineRule="auto"/>
        <w:ind w:left="851" w:right="474"/>
        <w:rPr>
          <w:rFonts w:ascii="Palatino Linotype" w:hAnsi="Palatino Linotype"/>
        </w:rPr>
      </w:pPr>
      <w:r w:rsidRPr="008C1586">
        <w:rPr>
          <w:rFonts w:ascii="Palatino Linotype" w:hAnsi="Palatino Linotype"/>
        </w:rPr>
        <w:t>Vocalía Ejecutiva</w:t>
      </w:r>
    </w:p>
    <w:p w14:paraId="4215AC80" w14:textId="77777777" w:rsidR="00B71AE1" w:rsidRPr="008C1586" w:rsidRDefault="00B71AE1" w:rsidP="00B71AE1">
      <w:pPr>
        <w:spacing w:line="360" w:lineRule="auto"/>
        <w:ind w:right="474"/>
        <w:rPr>
          <w:rFonts w:ascii="Palatino Linotype" w:hAnsi="Palatino Linotype"/>
        </w:rPr>
      </w:pPr>
    </w:p>
    <w:p w14:paraId="7D5FFF64" w14:textId="71B6ACD2" w:rsidR="00B71AE1" w:rsidRPr="008C1586" w:rsidRDefault="00B71AE1" w:rsidP="00B71AE1">
      <w:pPr>
        <w:pStyle w:val="Prrafodelista"/>
        <w:numPr>
          <w:ilvl w:val="0"/>
          <w:numId w:val="2"/>
        </w:numPr>
        <w:spacing w:line="360" w:lineRule="auto"/>
        <w:ind w:left="993" w:right="474"/>
        <w:rPr>
          <w:rFonts w:ascii="Palatino Linotype" w:hAnsi="Palatino Linotype"/>
          <w:b/>
          <w:i/>
        </w:rPr>
      </w:pPr>
      <w:r w:rsidRPr="008C1586">
        <w:rPr>
          <w:rFonts w:ascii="Palatino Linotype" w:hAnsi="Palatino Linotype"/>
          <w:b/>
          <w:i/>
        </w:rPr>
        <w:t>ENERO 24</w:t>
      </w:r>
    </w:p>
    <w:p w14:paraId="0D092D98" w14:textId="08E26402" w:rsidR="00B71AE1" w:rsidRPr="008C1586" w:rsidRDefault="00B71AE1" w:rsidP="00B71AE1">
      <w:pPr>
        <w:ind w:right="474"/>
        <w:jc w:val="both"/>
        <w:rPr>
          <w:rFonts w:ascii="Palatino Linotype" w:hAnsi="Palatino Linotype"/>
        </w:rPr>
      </w:pPr>
      <w:r w:rsidRPr="008C1586">
        <w:rPr>
          <w:rFonts w:ascii="Palatino Linotype" w:hAnsi="Palatino Linotype"/>
        </w:rPr>
        <w:t xml:space="preserve">Avance financiero mensual por centro de costo y objeto de gasto del año dos mil veinticuatro, de las siguientes áreas: </w:t>
      </w:r>
    </w:p>
    <w:p w14:paraId="702361C3" w14:textId="77777777" w:rsidR="00B71AE1" w:rsidRPr="008C1586" w:rsidRDefault="00B71AE1" w:rsidP="00B71AE1">
      <w:pPr>
        <w:ind w:right="474"/>
        <w:jc w:val="both"/>
        <w:rPr>
          <w:rFonts w:ascii="Palatino Linotype" w:hAnsi="Palatino Linotype"/>
        </w:rPr>
      </w:pPr>
    </w:p>
    <w:p w14:paraId="186A6928" w14:textId="5FD35CCC" w:rsidR="00B71AE1" w:rsidRPr="008C1586" w:rsidRDefault="00B71AE1" w:rsidP="00B71AE1">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Unidad de Modernización Administrativa e Informática</w:t>
      </w:r>
    </w:p>
    <w:p w14:paraId="7DDDAC94" w14:textId="4BB962E2" w:rsidR="00B71AE1" w:rsidRPr="008C1586" w:rsidRDefault="00B71AE1" w:rsidP="00B71AE1">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Contraloría Interna</w:t>
      </w:r>
    </w:p>
    <w:p w14:paraId="0A87C29D"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Programa Hidráulico</w:t>
      </w:r>
    </w:p>
    <w:p w14:paraId="1541C227"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lastRenderedPageBreak/>
        <w:t>Dirección General de Inversión y Gestión</w:t>
      </w:r>
    </w:p>
    <w:p w14:paraId="16C1FFB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Infraestructura Hidráulica</w:t>
      </w:r>
    </w:p>
    <w:p w14:paraId="2B7C46D5"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de Construcción</w:t>
      </w:r>
    </w:p>
    <w:p w14:paraId="59B61F10"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Dirección General de Operaciones y Atención a Emergencias </w:t>
      </w:r>
    </w:p>
    <w:p w14:paraId="3AD27FCE" w14:textId="7EA31CA2"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w:t>
      </w:r>
      <w:r w:rsidR="00D018BE" w:rsidRPr="008C1586">
        <w:rPr>
          <w:rFonts w:ascii="Palatino Linotype" w:hAnsi="Palatino Linotype"/>
        </w:rPr>
        <w:t>excoco</w:t>
      </w:r>
    </w:p>
    <w:p w14:paraId="528E7A19" w14:textId="03D24DD1" w:rsidR="00D018BE"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w:t>
      </w:r>
      <w:r w:rsidR="00D018BE" w:rsidRPr="008C1586">
        <w:rPr>
          <w:rFonts w:ascii="Palatino Linotype" w:hAnsi="Palatino Linotype"/>
        </w:rPr>
        <w:t xml:space="preserve"> Toluca</w:t>
      </w:r>
    </w:p>
    <w:p w14:paraId="387DD741" w14:textId="3EEEE5AD"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 Cuautitlán Poniente</w:t>
      </w:r>
    </w:p>
    <w:p w14:paraId="36000C57" w14:textId="077DD7F1" w:rsidR="00D018BE" w:rsidRPr="008C1586" w:rsidRDefault="00B71AE1"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w:t>
      </w:r>
      <w:r w:rsidR="00D018BE" w:rsidRPr="008C1586">
        <w:rPr>
          <w:rFonts w:ascii="Palatino Linotype" w:hAnsi="Palatino Linotype"/>
        </w:rPr>
        <w:t>cia Regional Cuautitlán Oriente</w:t>
      </w:r>
    </w:p>
    <w:p w14:paraId="78AD5927"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Atlacomulco</w:t>
      </w:r>
    </w:p>
    <w:p w14:paraId="2D423204"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Coatepec Harinas</w:t>
      </w:r>
    </w:p>
    <w:p w14:paraId="5F859F3D"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Tejupilco-Valle de Bravo</w:t>
      </w:r>
    </w:p>
    <w:p w14:paraId="7FF92CE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Coordinación de Organismos Operadores</w:t>
      </w:r>
    </w:p>
    <w:p w14:paraId="153D0B57"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Asuntos Jurídicos</w:t>
      </w:r>
    </w:p>
    <w:p w14:paraId="61E8C5AC"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Administración y Finanzas</w:t>
      </w:r>
    </w:p>
    <w:p w14:paraId="39F432BF"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Vocalía Ejecutiva</w:t>
      </w:r>
    </w:p>
    <w:p w14:paraId="23688C4A" w14:textId="77777777" w:rsidR="00B71AE1" w:rsidRPr="008C1586" w:rsidRDefault="00B71AE1" w:rsidP="00B71AE1">
      <w:pPr>
        <w:spacing w:line="360" w:lineRule="auto"/>
        <w:ind w:right="474"/>
        <w:rPr>
          <w:rFonts w:ascii="Palatino Linotype" w:hAnsi="Palatino Linotype"/>
        </w:rPr>
      </w:pPr>
    </w:p>
    <w:p w14:paraId="461D63E3" w14:textId="1699839D" w:rsidR="00B71AE1" w:rsidRPr="008C1586" w:rsidRDefault="00B71AE1" w:rsidP="00B71AE1">
      <w:pPr>
        <w:pStyle w:val="Prrafodelista"/>
        <w:numPr>
          <w:ilvl w:val="0"/>
          <w:numId w:val="38"/>
        </w:numPr>
        <w:spacing w:line="360" w:lineRule="auto"/>
        <w:ind w:right="474"/>
        <w:rPr>
          <w:rFonts w:ascii="Palatino Linotype" w:hAnsi="Palatino Linotype"/>
          <w:b/>
          <w:i/>
        </w:rPr>
      </w:pPr>
      <w:r w:rsidRPr="008C1586">
        <w:rPr>
          <w:rFonts w:ascii="Palatino Linotype" w:hAnsi="Palatino Linotype"/>
          <w:b/>
          <w:i/>
        </w:rPr>
        <w:t>FEBRERO 24</w:t>
      </w:r>
      <w:r w:rsidRPr="008C1586">
        <w:rPr>
          <w:rFonts w:ascii="Palatino Linotype" w:hAnsi="Palatino Linotype"/>
          <w:b/>
          <w:i/>
        </w:rPr>
        <w:tab/>
      </w:r>
    </w:p>
    <w:p w14:paraId="1FACDB27" w14:textId="2C35098B" w:rsidR="00B71AE1" w:rsidRPr="008C1586" w:rsidRDefault="00B71AE1" w:rsidP="00D018BE">
      <w:pPr>
        <w:spacing w:line="360" w:lineRule="auto"/>
        <w:ind w:right="474"/>
        <w:jc w:val="both"/>
        <w:rPr>
          <w:rFonts w:ascii="Palatino Linotype" w:hAnsi="Palatino Linotype"/>
        </w:rPr>
      </w:pPr>
      <w:r w:rsidRPr="008C1586">
        <w:rPr>
          <w:rFonts w:ascii="Palatino Linotype" w:hAnsi="Palatino Linotype"/>
        </w:rPr>
        <w:t xml:space="preserve">Avance financiero mensual por centro de costo y objeto de gasto del </w:t>
      </w:r>
      <w:r w:rsidR="00D018BE" w:rsidRPr="008C1586">
        <w:rPr>
          <w:rFonts w:ascii="Palatino Linotype" w:hAnsi="Palatino Linotype"/>
        </w:rPr>
        <w:t xml:space="preserve">mes de febrero del </w:t>
      </w:r>
      <w:r w:rsidRPr="008C1586">
        <w:rPr>
          <w:rFonts w:ascii="Palatino Linotype" w:hAnsi="Palatino Linotype"/>
        </w:rPr>
        <w:t xml:space="preserve">año dos mil veinticuatro, de las siguientes áreas: </w:t>
      </w:r>
    </w:p>
    <w:p w14:paraId="45601ACB" w14:textId="77777777" w:rsidR="00B71AE1" w:rsidRPr="008C1586" w:rsidRDefault="00B71AE1" w:rsidP="00B71AE1">
      <w:pPr>
        <w:ind w:right="474"/>
        <w:jc w:val="both"/>
        <w:rPr>
          <w:rFonts w:ascii="Palatino Linotype" w:hAnsi="Palatino Linotype"/>
        </w:rPr>
      </w:pPr>
    </w:p>
    <w:p w14:paraId="12F0BD5C" w14:textId="77777777" w:rsidR="00B71AE1" w:rsidRPr="008C1586" w:rsidRDefault="00B71AE1" w:rsidP="00B71AE1">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Unidad de Modernización Administrativa e Informática</w:t>
      </w:r>
    </w:p>
    <w:p w14:paraId="389D1D35" w14:textId="77777777" w:rsidR="00B71AE1" w:rsidRPr="008C1586" w:rsidRDefault="00B71AE1" w:rsidP="00B71AE1">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Contraloría Interna</w:t>
      </w:r>
    </w:p>
    <w:p w14:paraId="7E76493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Programa Hidráulico</w:t>
      </w:r>
    </w:p>
    <w:p w14:paraId="1AE42125"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Inversión y Gestión</w:t>
      </w:r>
    </w:p>
    <w:p w14:paraId="3CD851A6"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Infraestructura Hidráulica</w:t>
      </w:r>
    </w:p>
    <w:p w14:paraId="51C1128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lastRenderedPageBreak/>
        <w:t>Dirección de Construcción</w:t>
      </w:r>
    </w:p>
    <w:p w14:paraId="76F10BAD"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Dirección General de Operaciones y Atención a Emergencias </w:t>
      </w:r>
    </w:p>
    <w:p w14:paraId="1859D9FF"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Toluca</w:t>
      </w:r>
    </w:p>
    <w:p w14:paraId="4A0CBFB6"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Poniente</w:t>
      </w:r>
    </w:p>
    <w:p w14:paraId="66238C2C"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Gerencia Regional Cuautitlán Oriente </w:t>
      </w:r>
    </w:p>
    <w:p w14:paraId="7CC552C4"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Atlacomulco</w:t>
      </w:r>
    </w:p>
    <w:p w14:paraId="390520C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Coatepec Harinas</w:t>
      </w:r>
    </w:p>
    <w:p w14:paraId="14C7BB54"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Tejupilco-Valle de Bravo</w:t>
      </w:r>
    </w:p>
    <w:p w14:paraId="4D6A461A"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Texcoco</w:t>
      </w:r>
    </w:p>
    <w:p w14:paraId="01104351"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Coordinación de Organismos Operadores</w:t>
      </w:r>
    </w:p>
    <w:p w14:paraId="67F3352B"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Asuntos Jurídicos</w:t>
      </w:r>
    </w:p>
    <w:p w14:paraId="784B9C0B"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Administración y Finanzas</w:t>
      </w:r>
    </w:p>
    <w:p w14:paraId="07AE4D1B" w14:textId="77777777" w:rsidR="00B71AE1" w:rsidRPr="008C1586" w:rsidRDefault="00B71AE1" w:rsidP="00B71AE1">
      <w:pPr>
        <w:pStyle w:val="Prrafodelista"/>
        <w:numPr>
          <w:ilvl w:val="0"/>
          <w:numId w:val="38"/>
        </w:numPr>
        <w:spacing w:line="360" w:lineRule="auto"/>
        <w:ind w:right="474"/>
        <w:rPr>
          <w:rFonts w:ascii="Palatino Linotype" w:hAnsi="Palatino Linotype"/>
        </w:rPr>
      </w:pPr>
      <w:r w:rsidRPr="008C1586">
        <w:rPr>
          <w:rFonts w:ascii="Palatino Linotype" w:hAnsi="Palatino Linotype"/>
        </w:rPr>
        <w:t>Vocalía Ejecutiva</w:t>
      </w:r>
    </w:p>
    <w:p w14:paraId="3864B530" w14:textId="77777777" w:rsidR="00B71AE1" w:rsidRPr="008C1586" w:rsidRDefault="00B71AE1" w:rsidP="00B71AE1">
      <w:pPr>
        <w:ind w:right="474"/>
        <w:jc w:val="both"/>
        <w:rPr>
          <w:rFonts w:ascii="Palatino Linotype" w:hAnsi="Palatino Linotype"/>
        </w:rPr>
      </w:pPr>
    </w:p>
    <w:p w14:paraId="1DEEE785" w14:textId="2E1974FC" w:rsidR="00D018BE" w:rsidRPr="008C1586" w:rsidRDefault="00D018BE" w:rsidP="00D018BE">
      <w:pPr>
        <w:pStyle w:val="Prrafodelista"/>
        <w:numPr>
          <w:ilvl w:val="0"/>
          <w:numId w:val="38"/>
        </w:numPr>
        <w:spacing w:line="360" w:lineRule="auto"/>
        <w:ind w:right="474"/>
        <w:rPr>
          <w:rFonts w:ascii="Palatino Linotype" w:hAnsi="Palatino Linotype"/>
          <w:b/>
          <w:i/>
        </w:rPr>
      </w:pPr>
      <w:r w:rsidRPr="008C1586">
        <w:rPr>
          <w:rFonts w:ascii="Palatino Linotype" w:hAnsi="Palatino Linotype"/>
          <w:b/>
          <w:i/>
        </w:rPr>
        <w:t>MARZO 24</w:t>
      </w:r>
      <w:r w:rsidRPr="008C1586">
        <w:rPr>
          <w:rFonts w:ascii="Palatino Linotype" w:hAnsi="Palatino Linotype"/>
          <w:b/>
          <w:i/>
        </w:rPr>
        <w:tab/>
      </w:r>
    </w:p>
    <w:p w14:paraId="7134993A" w14:textId="29D8B254" w:rsidR="00D018BE" w:rsidRPr="008C1586" w:rsidRDefault="00D018BE" w:rsidP="00D018BE">
      <w:pPr>
        <w:spacing w:line="360" w:lineRule="auto"/>
        <w:ind w:right="474"/>
        <w:jc w:val="both"/>
        <w:rPr>
          <w:rFonts w:ascii="Palatino Linotype" w:hAnsi="Palatino Linotype"/>
        </w:rPr>
      </w:pPr>
      <w:r w:rsidRPr="008C1586">
        <w:rPr>
          <w:rFonts w:ascii="Palatino Linotype" w:hAnsi="Palatino Linotype"/>
        </w:rPr>
        <w:t xml:space="preserve">Avance financiero mensual por centro de costo y objeto de gasto del mes de marzo del año dos mil veinticuatro, de las siguientes áreas: </w:t>
      </w:r>
    </w:p>
    <w:p w14:paraId="5B8C8452" w14:textId="77777777" w:rsidR="00D018BE" w:rsidRPr="008C1586" w:rsidRDefault="00D018BE" w:rsidP="00D018BE">
      <w:pPr>
        <w:spacing w:line="360" w:lineRule="auto"/>
        <w:ind w:right="474"/>
        <w:jc w:val="both"/>
        <w:rPr>
          <w:rFonts w:ascii="Palatino Linotype" w:hAnsi="Palatino Linotype"/>
        </w:rPr>
      </w:pPr>
    </w:p>
    <w:p w14:paraId="37D4F549" w14:textId="77777777" w:rsidR="00D018BE" w:rsidRPr="008C1586" w:rsidRDefault="00D018BE" w:rsidP="00D018BE">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Unidad de Modernización Administrativa e Informática</w:t>
      </w:r>
    </w:p>
    <w:p w14:paraId="7FD2C476" w14:textId="77777777" w:rsidR="00D018BE" w:rsidRPr="008C1586" w:rsidRDefault="00D018BE" w:rsidP="00D018BE">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Contraloría Interna</w:t>
      </w:r>
    </w:p>
    <w:p w14:paraId="53C7E5FE"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Programa Hidráulico</w:t>
      </w:r>
    </w:p>
    <w:p w14:paraId="36CF1651"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Inversión y Gestión</w:t>
      </w:r>
    </w:p>
    <w:p w14:paraId="4198017C"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Infraestructura Hidráulica</w:t>
      </w:r>
    </w:p>
    <w:p w14:paraId="7F7DC6A3"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de Construcción</w:t>
      </w:r>
    </w:p>
    <w:p w14:paraId="173A5E31"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Dirección General de Operaciones y Atención a Emergencias </w:t>
      </w:r>
    </w:p>
    <w:p w14:paraId="353C44C2"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lastRenderedPageBreak/>
        <w:t>Gerencia Regional Toluca</w:t>
      </w:r>
    </w:p>
    <w:p w14:paraId="6426A0D7"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Poniente</w:t>
      </w:r>
    </w:p>
    <w:p w14:paraId="38F53431"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Gerencia Regional Cuautitlán Oriente </w:t>
      </w:r>
    </w:p>
    <w:p w14:paraId="31E01EB5"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Atlacomulco</w:t>
      </w:r>
    </w:p>
    <w:p w14:paraId="7E06D699"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Coatepec Harinas</w:t>
      </w:r>
    </w:p>
    <w:p w14:paraId="6763AB68"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Tejupilco-Valle de Bravo</w:t>
      </w:r>
    </w:p>
    <w:p w14:paraId="75B3B07C"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Texcoco</w:t>
      </w:r>
    </w:p>
    <w:p w14:paraId="098680FB"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Coordinación de Organismos Operadores</w:t>
      </w:r>
    </w:p>
    <w:p w14:paraId="080EE172"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Asuntos Jurídicos</w:t>
      </w:r>
    </w:p>
    <w:p w14:paraId="3DEB9819"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Administración y Finanzas</w:t>
      </w:r>
    </w:p>
    <w:p w14:paraId="1236CE14" w14:textId="77777777" w:rsidR="00D018BE" w:rsidRPr="008C1586" w:rsidRDefault="00D018BE" w:rsidP="00D018BE">
      <w:pPr>
        <w:pStyle w:val="Prrafodelista"/>
        <w:numPr>
          <w:ilvl w:val="0"/>
          <w:numId w:val="38"/>
        </w:numPr>
        <w:spacing w:line="360" w:lineRule="auto"/>
        <w:ind w:right="474"/>
        <w:rPr>
          <w:rFonts w:ascii="Palatino Linotype" w:hAnsi="Palatino Linotype"/>
        </w:rPr>
      </w:pPr>
      <w:r w:rsidRPr="008C1586">
        <w:rPr>
          <w:rFonts w:ascii="Palatino Linotype" w:hAnsi="Palatino Linotype"/>
        </w:rPr>
        <w:t>Vocalía Ejecutiva</w:t>
      </w:r>
    </w:p>
    <w:p w14:paraId="38BD1A54" w14:textId="77777777" w:rsidR="00D018BE" w:rsidRPr="008C1586" w:rsidRDefault="00D018BE" w:rsidP="00D018BE">
      <w:pPr>
        <w:spacing w:line="360" w:lineRule="auto"/>
        <w:ind w:right="474"/>
        <w:rPr>
          <w:rFonts w:ascii="Palatino Linotype" w:hAnsi="Palatino Linotype"/>
        </w:rPr>
      </w:pPr>
    </w:p>
    <w:p w14:paraId="4BEFC966" w14:textId="170B26BB" w:rsidR="00D018BE" w:rsidRPr="008C1586" w:rsidRDefault="00D018BE" w:rsidP="00D018BE">
      <w:pPr>
        <w:pStyle w:val="Prrafodelista"/>
        <w:numPr>
          <w:ilvl w:val="0"/>
          <w:numId w:val="38"/>
        </w:numPr>
        <w:spacing w:line="360" w:lineRule="auto"/>
        <w:ind w:right="474"/>
        <w:rPr>
          <w:rFonts w:ascii="Palatino Linotype" w:hAnsi="Palatino Linotype"/>
          <w:b/>
          <w:i/>
        </w:rPr>
      </w:pPr>
      <w:r w:rsidRPr="008C1586">
        <w:rPr>
          <w:rFonts w:ascii="Palatino Linotype" w:hAnsi="Palatino Linotype"/>
          <w:b/>
          <w:i/>
        </w:rPr>
        <w:t>NOVIEMBRE 23</w:t>
      </w:r>
    </w:p>
    <w:p w14:paraId="264CC7AD" w14:textId="008128F1" w:rsidR="00B31DF0" w:rsidRPr="008C1586" w:rsidRDefault="00B31DF0" w:rsidP="00B31DF0">
      <w:pPr>
        <w:spacing w:line="360" w:lineRule="auto"/>
        <w:ind w:right="474"/>
        <w:jc w:val="both"/>
        <w:rPr>
          <w:rFonts w:ascii="Palatino Linotype" w:hAnsi="Palatino Linotype"/>
        </w:rPr>
      </w:pPr>
      <w:r w:rsidRPr="008C1586">
        <w:rPr>
          <w:rFonts w:ascii="Palatino Linotype" w:hAnsi="Palatino Linotype"/>
        </w:rPr>
        <w:t xml:space="preserve">Avance financiero mensual por centro de costo y objeto de gasto del ejercicio dos mil veintitrés, de las siguientes áreas: </w:t>
      </w:r>
    </w:p>
    <w:p w14:paraId="6A94EFD1" w14:textId="77777777" w:rsidR="00B31DF0" w:rsidRPr="008C1586" w:rsidRDefault="00B31DF0" w:rsidP="00B31DF0">
      <w:pPr>
        <w:spacing w:line="360" w:lineRule="auto"/>
        <w:ind w:right="474"/>
        <w:jc w:val="both"/>
        <w:rPr>
          <w:rFonts w:ascii="Palatino Linotype" w:hAnsi="Palatino Linotype"/>
        </w:rPr>
      </w:pPr>
    </w:p>
    <w:p w14:paraId="6EC11910" w14:textId="77777777" w:rsidR="00B31DF0" w:rsidRPr="008C1586" w:rsidRDefault="00B31DF0" w:rsidP="00B31DF0">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Unidad de Modernización Administrativa e Informática</w:t>
      </w:r>
    </w:p>
    <w:p w14:paraId="00EB697C" w14:textId="77777777" w:rsidR="00B31DF0" w:rsidRPr="008C1586" w:rsidRDefault="00B31DF0" w:rsidP="00B31DF0">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Contraloría Interna</w:t>
      </w:r>
    </w:p>
    <w:p w14:paraId="623A7876"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Programa Hidráulico</w:t>
      </w:r>
    </w:p>
    <w:p w14:paraId="782C2C78"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Inversión y Gestión</w:t>
      </w:r>
    </w:p>
    <w:p w14:paraId="51B2E896"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Infraestructura Hidráulica</w:t>
      </w:r>
    </w:p>
    <w:p w14:paraId="57919909"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de Construcción</w:t>
      </w:r>
    </w:p>
    <w:p w14:paraId="07A8C03F"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Dirección General de Operaciones y Atención a Emergencias </w:t>
      </w:r>
    </w:p>
    <w:p w14:paraId="6FE3D96C"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Toluca</w:t>
      </w:r>
    </w:p>
    <w:p w14:paraId="1318E857"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lastRenderedPageBreak/>
        <w:t>Gerencia Regional Cuautitlán Poniente</w:t>
      </w:r>
    </w:p>
    <w:p w14:paraId="3D961EDB"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Gerencia Regional Cuautitlán Oriente </w:t>
      </w:r>
    </w:p>
    <w:p w14:paraId="432A9BD0"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Atlacomulco</w:t>
      </w:r>
    </w:p>
    <w:p w14:paraId="54A855C0"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Coatepec Harinas</w:t>
      </w:r>
    </w:p>
    <w:p w14:paraId="58EE82C3"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Tejupilco-Valle de Bravo</w:t>
      </w:r>
    </w:p>
    <w:p w14:paraId="511B4EC7"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Texcoco</w:t>
      </w:r>
    </w:p>
    <w:p w14:paraId="1FA9FD44"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Coordinación de Organismos Operadores</w:t>
      </w:r>
    </w:p>
    <w:p w14:paraId="5765CC6E"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Asuntos Jurídicos</w:t>
      </w:r>
    </w:p>
    <w:p w14:paraId="776070AC"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Administración y Finanzas</w:t>
      </w:r>
    </w:p>
    <w:p w14:paraId="49CF7916"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Vocalía Ejecutiva</w:t>
      </w:r>
    </w:p>
    <w:p w14:paraId="25077B14" w14:textId="77777777" w:rsidR="00B31DF0" w:rsidRPr="008C1586" w:rsidRDefault="00B31DF0" w:rsidP="00B31DF0">
      <w:pPr>
        <w:pStyle w:val="Prrafodelista"/>
        <w:spacing w:line="360" w:lineRule="auto"/>
        <w:ind w:right="474"/>
        <w:rPr>
          <w:rFonts w:ascii="Palatino Linotype" w:hAnsi="Palatino Linotype"/>
        </w:rPr>
      </w:pPr>
    </w:p>
    <w:p w14:paraId="348DC56B" w14:textId="762282F9" w:rsidR="00B31DF0" w:rsidRPr="008C1586" w:rsidRDefault="00B31DF0" w:rsidP="00B31DF0">
      <w:pPr>
        <w:pStyle w:val="Prrafodelista"/>
        <w:numPr>
          <w:ilvl w:val="0"/>
          <w:numId w:val="38"/>
        </w:numPr>
        <w:spacing w:line="360" w:lineRule="auto"/>
        <w:ind w:right="474"/>
        <w:rPr>
          <w:rFonts w:ascii="Palatino Linotype" w:hAnsi="Palatino Linotype"/>
          <w:b/>
        </w:rPr>
      </w:pPr>
      <w:r w:rsidRPr="008C1586">
        <w:rPr>
          <w:rFonts w:ascii="Palatino Linotype" w:hAnsi="Palatino Linotype"/>
          <w:b/>
          <w:i/>
        </w:rPr>
        <w:t>OCTUBRE 23</w:t>
      </w:r>
    </w:p>
    <w:p w14:paraId="359EE59B" w14:textId="77777777" w:rsidR="00D018BE" w:rsidRPr="008C1586" w:rsidRDefault="00D018BE" w:rsidP="00B31DF0">
      <w:pPr>
        <w:rPr>
          <w:rFonts w:ascii="Palatino Linotype" w:hAnsi="Palatino Linotype"/>
          <w:b/>
          <w:i/>
        </w:rPr>
      </w:pPr>
    </w:p>
    <w:p w14:paraId="75EA8665" w14:textId="6292C3FC" w:rsidR="00B31DF0" w:rsidRPr="008C1586" w:rsidRDefault="00B31DF0" w:rsidP="00B31DF0">
      <w:pPr>
        <w:spacing w:line="360" w:lineRule="auto"/>
        <w:ind w:right="474"/>
        <w:jc w:val="both"/>
        <w:rPr>
          <w:rFonts w:ascii="Palatino Linotype" w:hAnsi="Palatino Linotype"/>
        </w:rPr>
      </w:pPr>
      <w:r w:rsidRPr="008C1586">
        <w:rPr>
          <w:rFonts w:ascii="Palatino Linotype" w:hAnsi="Palatino Linotype"/>
        </w:rPr>
        <w:t xml:space="preserve">Avance financiero mensual por centro de costo y objeto de gasto del ejercicio dos mil veintitrés, de las siguientes áreas: </w:t>
      </w:r>
    </w:p>
    <w:p w14:paraId="4132CF65" w14:textId="77777777" w:rsidR="00B31DF0" w:rsidRPr="008C1586" w:rsidRDefault="00B31DF0" w:rsidP="00B31DF0">
      <w:pPr>
        <w:spacing w:line="360" w:lineRule="auto"/>
        <w:ind w:right="474"/>
        <w:jc w:val="both"/>
        <w:rPr>
          <w:rFonts w:ascii="Palatino Linotype" w:hAnsi="Palatino Linotype"/>
        </w:rPr>
      </w:pPr>
    </w:p>
    <w:p w14:paraId="554B3586" w14:textId="77777777" w:rsidR="00B31DF0" w:rsidRPr="008C1586" w:rsidRDefault="00B31DF0" w:rsidP="00B31DF0">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Unidad de Modernización Administrativa e Informática</w:t>
      </w:r>
    </w:p>
    <w:p w14:paraId="41513BBB" w14:textId="77777777" w:rsidR="00B31DF0" w:rsidRPr="008C1586" w:rsidRDefault="00B31DF0" w:rsidP="00B31DF0">
      <w:pPr>
        <w:pStyle w:val="Prrafodelista"/>
        <w:numPr>
          <w:ilvl w:val="0"/>
          <w:numId w:val="38"/>
        </w:numPr>
        <w:spacing w:line="360" w:lineRule="auto"/>
        <w:ind w:right="474"/>
        <w:jc w:val="both"/>
        <w:rPr>
          <w:rFonts w:ascii="Palatino Linotype" w:hAnsi="Palatino Linotype"/>
        </w:rPr>
      </w:pPr>
      <w:r w:rsidRPr="008C1586">
        <w:rPr>
          <w:rFonts w:ascii="Palatino Linotype" w:hAnsi="Palatino Linotype"/>
        </w:rPr>
        <w:t>Contraloría Interna</w:t>
      </w:r>
    </w:p>
    <w:p w14:paraId="646D5DE8"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Programa Hidráulico</w:t>
      </w:r>
    </w:p>
    <w:p w14:paraId="52B8797A"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Inversión y Gestión</w:t>
      </w:r>
    </w:p>
    <w:p w14:paraId="0A192241"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Infraestructura Hidráulica</w:t>
      </w:r>
    </w:p>
    <w:p w14:paraId="0143BE6E"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de Construcción</w:t>
      </w:r>
    </w:p>
    <w:p w14:paraId="1EED38E3"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 xml:space="preserve">Dirección General de Operaciones y Atención a Emergencias </w:t>
      </w:r>
    </w:p>
    <w:p w14:paraId="0DAC156A"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Toluca</w:t>
      </w:r>
    </w:p>
    <w:p w14:paraId="1DBE4449"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Poniente</w:t>
      </w:r>
    </w:p>
    <w:p w14:paraId="274E6C44"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lastRenderedPageBreak/>
        <w:t xml:space="preserve">Gerencia Regional Cuautitlán Oriente </w:t>
      </w:r>
    </w:p>
    <w:p w14:paraId="069C3054"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Atlacomulco</w:t>
      </w:r>
    </w:p>
    <w:p w14:paraId="30F6CA84"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Coatepec Harinas</w:t>
      </w:r>
    </w:p>
    <w:p w14:paraId="06C3EA6F"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Tejupilco-Valle de Bravo</w:t>
      </w:r>
    </w:p>
    <w:p w14:paraId="25055032"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Gerencia Regional Cuautitlán Texcoco</w:t>
      </w:r>
    </w:p>
    <w:p w14:paraId="57E26245"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Coordinación de Organismos Operadores</w:t>
      </w:r>
    </w:p>
    <w:p w14:paraId="22E0D9EE"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Asuntos Jurídicos</w:t>
      </w:r>
    </w:p>
    <w:p w14:paraId="27154DFD" w14:textId="77777777" w:rsidR="00B31DF0" w:rsidRPr="008C1586" w:rsidRDefault="00B31DF0" w:rsidP="00B31DF0">
      <w:pPr>
        <w:pStyle w:val="Prrafodelista"/>
        <w:numPr>
          <w:ilvl w:val="0"/>
          <w:numId w:val="38"/>
        </w:numPr>
        <w:spacing w:line="360" w:lineRule="auto"/>
        <w:ind w:right="474"/>
        <w:rPr>
          <w:rFonts w:ascii="Palatino Linotype" w:hAnsi="Palatino Linotype"/>
        </w:rPr>
      </w:pPr>
      <w:r w:rsidRPr="008C1586">
        <w:rPr>
          <w:rFonts w:ascii="Palatino Linotype" w:hAnsi="Palatino Linotype"/>
        </w:rPr>
        <w:t>Dirección General de Administración y Finanzas</w:t>
      </w:r>
    </w:p>
    <w:p w14:paraId="677EFC31" w14:textId="61229832" w:rsidR="00942E8F" w:rsidRPr="008C1586" w:rsidRDefault="00B31DF0" w:rsidP="00942E8F">
      <w:pPr>
        <w:pStyle w:val="Prrafodelista"/>
        <w:numPr>
          <w:ilvl w:val="0"/>
          <w:numId w:val="38"/>
        </w:numPr>
        <w:spacing w:line="360" w:lineRule="auto"/>
        <w:ind w:right="474"/>
        <w:rPr>
          <w:rFonts w:ascii="Palatino Linotype" w:hAnsi="Palatino Linotype"/>
        </w:rPr>
      </w:pPr>
      <w:r w:rsidRPr="008C1586">
        <w:rPr>
          <w:rFonts w:ascii="Palatino Linotype" w:hAnsi="Palatino Linotype"/>
        </w:rPr>
        <w:t>Vocalía Ejecutiva</w:t>
      </w:r>
    </w:p>
    <w:p w14:paraId="07359088" w14:textId="77777777" w:rsidR="00B31DF0" w:rsidRPr="008C1586" w:rsidRDefault="00B31DF0" w:rsidP="00B31DF0">
      <w:pPr>
        <w:pStyle w:val="Prrafodelista"/>
        <w:spacing w:line="360" w:lineRule="auto"/>
        <w:ind w:right="474"/>
        <w:rPr>
          <w:rFonts w:ascii="Palatino Linotype" w:hAnsi="Palatino Linotype"/>
        </w:rPr>
      </w:pPr>
    </w:p>
    <w:p w14:paraId="0EE778DF" w14:textId="70E05C6A" w:rsidR="00653D29" w:rsidRPr="008C1586" w:rsidRDefault="00466784" w:rsidP="00653D29">
      <w:pPr>
        <w:pStyle w:val="Prrafodelista"/>
        <w:numPr>
          <w:ilvl w:val="0"/>
          <w:numId w:val="2"/>
        </w:numPr>
        <w:spacing w:line="360" w:lineRule="auto"/>
        <w:ind w:left="1276" w:right="474" w:hanging="590"/>
        <w:jc w:val="both"/>
        <w:rPr>
          <w:rFonts w:ascii="Palatino Linotype" w:hAnsi="Palatino Linotype" w:cs="Arial"/>
          <w:b/>
          <w:bCs/>
          <w:i/>
          <w:color w:val="000000" w:themeColor="text1"/>
          <w:lang w:val="es-MX"/>
        </w:rPr>
      </w:pPr>
      <w:proofErr w:type="spellStart"/>
      <w:r w:rsidRPr="008C1586">
        <w:rPr>
          <w:rFonts w:ascii="Palatino Linotype" w:hAnsi="Palatino Linotype"/>
          <w:b/>
          <w:i/>
        </w:rPr>
        <w:t>Respuedta</w:t>
      </w:r>
      <w:proofErr w:type="spellEnd"/>
      <w:r w:rsidRPr="008C1586">
        <w:rPr>
          <w:rFonts w:ascii="Palatino Linotype" w:hAnsi="Palatino Linotype"/>
          <w:b/>
          <w:i/>
        </w:rPr>
        <w:t xml:space="preserve"> </w:t>
      </w:r>
      <w:proofErr w:type="spellStart"/>
      <w:r w:rsidRPr="008C1586">
        <w:rPr>
          <w:rFonts w:ascii="Palatino Linotype" w:hAnsi="Palatino Linotype"/>
          <w:b/>
          <w:i/>
        </w:rPr>
        <w:t>saimex</w:t>
      </w:r>
      <w:proofErr w:type="spellEnd"/>
      <w:r w:rsidRPr="008C1586">
        <w:rPr>
          <w:rFonts w:ascii="Palatino Linotype" w:hAnsi="Palatino Linotype"/>
          <w:b/>
          <w:i/>
        </w:rPr>
        <w:t xml:space="preserve"> 194 b04-30-2024-231823.pdf</w:t>
      </w:r>
    </w:p>
    <w:p w14:paraId="1E1BA60A" w14:textId="77777777" w:rsidR="00653D29" w:rsidRPr="008C1586" w:rsidRDefault="00653D29" w:rsidP="00653D29">
      <w:pPr>
        <w:pStyle w:val="Prrafodelista"/>
        <w:spacing w:line="360" w:lineRule="auto"/>
        <w:ind w:left="1276" w:right="474"/>
        <w:jc w:val="both"/>
        <w:rPr>
          <w:rFonts w:ascii="Palatino Linotype" w:hAnsi="Palatino Linotype" w:cs="Arial"/>
          <w:b/>
          <w:bCs/>
          <w:i/>
          <w:color w:val="000000" w:themeColor="text1"/>
          <w:lang w:val="es-MX"/>
        </w:rPr>
      </w:pPr>
    </w:p>
    <w:p w14:paraId="7338187A" w14:textId="14BCF4C2" w:rsidR="00466784" w:rsidRPr="008C1586" w:rsidRDefault="00466784" w:rsidP="00466784">
      <w:pPr>
        <w:spacing w:line="360" w:lineRule="auto"/>
        <w:ind w:right="474"/>
        <w:jc w:val="both"/>
        <w:rPr>
          <w:rFonts w:ascii="Palatino Linotype" w:hAnsi="Palatino Linotype" w:cs="Arial"/>
          <w:bCs/>
          <w:color w:val="000000" w:themeColor="text1"/>
          <w:lang w:val="es-MX"/>
        </w:rPr>
      </w:pPr>
      <w:r w:rsidRPr="008C1586">
        <w:rPr>
          <w:rFonts w:ascii="Palatino Linotype" w:hAnsi="Palatino Linotype" w:cs="Arial"/>
          <w:bCs/>
          <w:color w:val="000000" w:themeColor="text1"/>
          <w:lang w:val="es-MX"/>
        </w:rPr>
        <w:t>Oficio de veintinueve de abril de dos mil veinticuatro, firmado por la Titular de la Unidad de Transparencia, por el que hizo de conocimiento lo siguiente:</w:t>
      </w:r>
    </w:p>
    <w:p w14:paraId="6A4652E7" w14:textId="77777777" w:rsidR="00653D29" w:rsidRPr="008C1586" w:rsidRDefault="00653D29" w:rsidP="00466784">
      <w:pPr>
        <w:spacing w:line="360" w:lineRule="auto"/>
        <w:ind w:right="474"/>
        <w:jc w:val="both"/>
        <w:rPr>
          <w:rFonts w:ascii="Palatino Linotype" w:hAnsi="Palatino Linotype" w:cs="Arial"/>
          <w:bCs/>
          <w:color w:val="000000" w:themeColor="text1"/>
          <w:lang w:val="es-MX"/>
        </w:rPr>
      </w:pPr>
    </w:p>
    <w:p w14:paraId="02A50939" w14:textId="37660B5D" w:rsidR="00466784" w:rsidRPr="008C1586" w:rsidRDefault="00466784" w:rsidP="00653D29">
      <w:pPr>
        <w:spacing w:line="360" w:lineRule="auto"/>
        <w:ind w:left="567" w:right="900" w:hanging="141"/>
        <w:jc w:val="both"/>
        <w:rPr>
          <w:rFonts w:ascii="Palatino Linotype" w:hAnsi="Palatino Linotype"/>
          <w:i/>
        </w:rPr>
      </w:pPr>
      <w:r w:rsidRPr="008C1586">
        <w:rPr>
          <w:rFonts w:ascii="Palatino Linotype" w:hAnsi="Palatino Linotype"/>
          <w:i/>
        </w:rPr>
        <w:t xml:space="preserve">“En consecuencia, considerando el oficio 219C0117020000L/0381/2024 signado por el Director de Finanzas, se adjunta archivo electrónico con información en formato PDF emitida por el Sistema de Planeación y Presupuesto (SPP) los cuales contienen el desglose del presupuesto por centro de costos (Avance Financiero Mensual por Centro de Costo y Objeto de Gasto PPP-12b) de los meses de octubre, noviembre y diciembre 2023. </w:t>
      </w:r>
      <w:proofErr w:type="gramStart"/>
      <w:r w:rsidRPr="008C1586">
        <w:rPr>
          <w:rFonts w:ascii="Palatino Linotype" w:hAnsi="Palatino Linotype"/>
          <w:i/>
        </w:rPr>
        <w:t>así</w:t>
      </w:r>
      <w:proofErr w:type="gramEnd"/>
      <w:r w:rsidRPr="008C1586">
        <w:rPr>
          <w:rFonts w:ascii="Palatino Linotype" w:hAnsi="Palatino Linotype"/>
          <w:i/>
        </w:rPr>
        <w:t xml:space="preserve"> como de los correspondientes a 2024 (enero, febrero y marzo), resaltando que, el mes de abril no ha concluido y, en consecuencia no puede em</w:t>
      </w:r>
      <w:r w:rsidR="009A0416" w:rsidRPr="008C1586">
        <w:rPr>
          <w:rFonts w:ascii="Palatino Linotype" w:hAnsi="Palatino Linotype"/>
          <w:i/>
        </w:rPr>
        <w:t>itirse la información respectiva”</w:t>
      </w:r>
    </w:p>
    <w:p w14:paraId="30268E17" w14:textId="6DB8188C" w:rsidR="00942616" w:rsidRPr="008C1586"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8C1586">
        <w:rPr>
          <w:rFonts w:ascii="Palatino Linotype" w:eastAsia="Times New Roman" w:hAnsi="Palatino Linotype" w:cs="Arial"/>
          <w:color w:val="000000" w:themeColor="text1"/>
          <w:lang w:val="es-ES"/>
        </w:rPr>
        <w:lastRenderedPageBreak/>
        <w:t>El</w:t>
      </w:r>
      <w:r w:rsidR="00722086" w:rsidRPr="008C1586">
        <w:rPr>
          <w:rFonts w:ascii="Palatino Linotype" w:eastAsia="Times New Roman" w:hAnsi="Palatino Linotype" w:cs="Arial"/>
          <w:b/>
          <w:color w:val="000000" w:themeColor="text1"/>
          <w:lang w:val="es-ES"/>
        </w:rPr>
        <w:t xml:space="preserve"> </w:t>
      </w:r>
      <w:r w:rsidR="00653D29" w:rsidRPr="008C1586">
        <w:rPr>
          <w:rFonts w:ascii="Palatino Linotype" w:eastAsia="Times New Roman" w:hAnsi="Palatino Linotype" w:cs="Arial"/>
          <w:b/>
          <w:color w:val="000000" w:themeColor="text1"/>
          <w:lang w:val="es-ES"/>
        </w:rPr>
        <w:t>treinta de abril de dos mil veinticuatro</w:t>
      </w:r>
      <w:r w:rsidRPr="008C1586">
        <w:rPr>
          <w:rFonts w:ascii="Palatino Linotype" w:eastAsia="Times New Roman" w:hAnsi="Palatino Linotype" w:cs="Arial"/>
          <w:color w:val="000000" w:themeColor="text1"/>
          <w:lang w:val="es-ES"/>
        </w:rPr>
        <w:t xml:space="preserve">, </w:t>
      </w:r>
      <w:r w:rsidR="00653D29" w:rsidRPr="008C1586">
        <w:rPr>
          <w:rFonts w:ascii="Palatino Linotype" w:eastAsia="Times New Roman" w:hAnsi="Palatino Linotype" w:cs="Arial"/>
          <w:b/>
          <w:color w:val="000000" w:themeColor="text1"/>
          <w:lang w:val="es-ES"/>
        </w:rPr>
        <w:t>EL PARTICULAR</w:t>
      </w:r>
      <w:r w:rsidR="00653D29" w:rsidRPr="008C1586">
        <w:rPr>
          <w:rFonts w:ascii="Palatino Linotype" w:eastAsia="Times New Roman" w:hAnsi="Palatino Linotype" w:cs="Arial"/>
          <w:color w:val="000000" w:themeColor="text1"/>
          <w:lang w:val="es-ES"/>
        </w:rPr>
        <w:t xml:space="preserve"> </w:t>
      </w:r>
      <w:r w:rsidRPr="008C1586">
        <w:rPr>
          <w:rFonts w:ascii="Palatino Linotype" w:eastAsia="Times New Roman" w:hAnsi="Palatino Linotype" w:cs="Arial"/>
          <w:color w:val="000000" w:themeColor="text1"/>
          <w:lang w:val="es-ES"/>
        </w:rPr>
        <w:t>interpuso el recurso de revisión en contra de la respuesta, manifestando las siguientes razones o motivos de inconformidad:</w:t>
      </w:r>
    </w:p>
    <w:p w14:paraId="5225D202" w14:textId="77777777" w:rsidR="00942616" w:rsidRPr="008C1586"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9EAD540" w:rsidR="00942616" w:rsidRPr="008C1586" w:rsidRDefault="00942616" w:rsidP="006D0B08">
      <w:pPr>
        <w:pStyle w:val="Prrafodelista"/>
        <w:numPr>
          <w:ilvl w:val="0"/>
          <w:numId w:val="2"/>
        </w:numPr>
        <w:ind w:left="993" w:right="616" w:hanging="709"/>
        <w:jc w:val="both"/>
        <w:rPr>
          <w:rStyle w:val="Ttulo2Car"/>
          <w:rFonts w:ascii="Palatino Linotype" w:hAnsi="Palatino Linotype"/>
          <w:i/>
          <w:color w:val="000000" w:themeColor="text1"/>
          <w:sz w:val="24"/>
          <w:szCs w:val="24"/>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8C1586">
        <w:rPr>
          <w:rStyle w:val="Ttulo2Car"/>
          <w:rFonts w:ascii="Palatino Linotype" w:hAnsi="Palatino Linotype"/>
          <w:b/>
          <w:color w:val="auto"/>
          <w:sz w:val="24"/>
          <w:szCs w:val="24"/>
        </w:rPr>
        <w:t>Acto impugnado</w:t>
      </w:r>
      <w:bookmarkEnd w:id="3"/>
      <w:r w:rsidRPr="008C1586">
        <w:rPr>
          <w:rStyle w:val="Ttulo2Car"/>
          <w:rFonts w:ascii="Palatino Linotype" w:hAnsi="Palatino Linotype"/>
          <w:b/>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9304C1" w:rsidRPr="008C1586">
        <w:rPr>
          <w:rStyle w:val="Ttulo2Car"/>
          <w:rFonts w:ascii="Palatino Linotype" w:hAnsi="Palatino Linotype"/>
          <w:i/>
          <w:color w:val="000000" w:themeColor="text1"/>
          <w:sz w:val="24"/>
          <w:szCs w:val="24"/>
        </w:rPr>
        <w:t>“</w:t>
      </w:r>
      <w:proofErr w:type="spellStart"/>
      <w:r w:rsidR="00653D29" w:rsidRPr="008C1586">
        <w:rPr>
          <w:rFonts w:ascii="Palatino Linotype" w:eastAsiaTheme="majorEastAsia" w:hAnsi="Palatino Linotype" w:cstheme="majorBidi"/>
          <w:i/>
          <w:color w:val="000000" w:themeColor="text1"/>
        </w:rPr>
        <w:t>negacion</w:t>
      </w:r>
      <w:proofErr w:type="spellEnd"/>
      <w:r w:rsidR="00653D29" w:rsidRPr="008C1586">
        <w:rPr>
          <w:rFonts w:ascii="Palatino Linotype" w:eastAsiaTheme="majorEastAsia" w:hAnsi="Palatino Linotype" w:cstheme="majorBidi"/>
          <w:i/>
          <w:color w:val="000000" w:themeColor="text1"/>
        </w:rPr>
        <w:t xml:space="preserve"> a ac</w:t>
      </w:r>
      <w:bookmarkStart w:id="127" w:name="_GoBack"/>
      <w:bookmarkEnd w:id="127"/>
      <w:r w:rsidR="00653D29" w:rsidRPr="008C1586">
        <w:rPr>
          <w:rFonts w:ascii="Palatino Linotype" w:eastAsiaTheme="majorEastAsia" w:hAnsi="Palatino Linotype" w:cstheme="majorBidi"/>
          <w:i/>
          <w:color w:val="000000" w:themeColor="text1"/>
        </w:rPr>
        <w:t xml:space="preserve">ceso a la </w:t>
      </w:r>
      <w:proofErr w:type="spellStart"/>
      <w:r w:rsidR="00653D29" w:rsidRPr="008C1586">
        <w:rPr>
          <w:rFonts w:ascii="Palatino Linotype" w:eastAsiaTheme="majorEastAsia" w:hAnsi="Palatino Linotype" w:cstheme="majorBidi"/>
          <w:i/>
          <w:color w:val="000000" w:themeColor="text1"/>
        </w:rPr>
        <w:t>informacion</w:t>
      </w:r>
      <w:proofErr w:type="spellEnd"/>
      <w:r w:rsidR="00653D29" w:rsidRPr="008C1586">
        <w:rPr>
          <w:rFonts w:ascii="Palatino Linotype" w:eastAsiaTheme="majorEastAsia" w:hAnsi="Palatino Linotype" w:cstheme="majorBidi"/>
          <w:i/>
          <w:color w:val="000000" w:themeColor="text1"/>
        </w:rPr>
        <w:t xml:space="preserve"> publica sobre el presupuesto ejercido</w:t>
      </w:r>
      <w:r w:rsidR="009304C1" w:rsidRPr="008C1586">
        <w:rPr>
          <w:rStyle w:val="Ttulo2Car"/>
          <w:rFonts w:ascii="Palatino Linotype" w:hAnsi="Palatino Linotype"/>
          <w:i/>
          <w:color w:val="000000" w:themeColor="text1"/>
          <w:sz w:val="24"/>
          <w:szCs w:val="24"/>
        </w:rPr>
        <w:t>”</w:t>
      </w:r>
    </w:p>
    <w:p w14:paraId="7F76B7BF" w14:textId="03E2E620" w:rsidR="00942616" w:rsidRPr="008C1586" w:rsidRDefault="004F003E" w:rsidP="006D0B08">
      <w:pPr>
        <w:pStyle w:val="Prrafodelista"/>
        <w:tabs>
          <w:tab w:val="left" w:pos="7020"/>
        </w:tabs>
        <w:ind w:left="993" w:right="616" w:hanging="709"/>
        <w:jc w:val="both"/>
        <w:rPr>
          <w:rStyle w:val="Ttulo2Car"/>
          <w:rFonts w:ascii="Palatino Linotype" w:hAnsi="Palatino Linotype"/>
          <w:i/>
          <w:color w:val="000000" w:themeColor="text1"/>
          <w:sz w:val="24"/>
          <w:szCs w:val="24"/>
        </w:rPr>
      </w:pPr>
      <w:r w:rsidRPr="008C1586">
        <w:rPr>
          <w:rStyle w:val="Ttulo2Car"/>
          <w:rFonts w:ascii="Palatino Linotype" w:hAnsi="Palatino Linotype"/>
          <w:i/>
          <w:color w:val="000000" w:themeColor="text1"/>
          <w:sz w:val="24"/>
          <w:szCs w:val="24"/>
        </w:rPr>
        <w:tab/>
      </w:r>
    </w:p>
    <w:p w14:paraId="08740AC8" w14:textId="664E2E9B" w:rsidR="00942616" w:rsidRPr="008C1586" w:rsidRDefault="00942616" w:rsidP="006D0B08">
      <w:pPr>
        <w:pStyle w:val="Prrafodelista"/>
        <w:numPr>
          <w:ilvl w:val="0"/>
          <w:numId w:val="2"/>
        </w:numPr>
        <w:ind w:left="993" w:right="616" w:hanging="709"/>
        <w:jc w:val="both"/>
        <w:rPr>
          <w:rFonts w:ascii="Palatino Linotype" w:hAnsi="Palatino Linotype"/>
          <w:i/>
          <w:color w:val="000000" w:themeColor="text1"/>
        </w:rPr>
      </w:pPr>
      <w:bookmarkStart w:id="128" w:name="_Toc53584977"/>
      <w:bookmarkStart w:id="129" w:name="_Toc60925404"/>
      <w:bookmarkStart w:id="130" w:name="_Toc81364834"/>
      <w:bookmarkStart w:id="131" w:name="_Toc81390611"/>
      <w:bookmarkStart w:id="132" w:name="_Toc82611034"/>
      <w:bookmarkStart w:id="133" w:name="_Toc83128577"/>
      <w:r w:rsidRPr="008C1586">
        <w:rPr>
          <w:rStyle w:val="Ttulo2Car"/>
          <w:rFonts w:ascii="Palatino Linotype" w:hAnsi="Palatino Linotype"/>
          <w:b/>
          <w:color w:val="000000" w:themeColor="text1"/>
          <w:sz w:val="24"/>
          <w:szCs w:val="24"/>
        </w:rPr>
        <w:t>Razones o Motivos de inconformidad:</w:t>
      </w:r>
      <w:bookmarkEnd w:id="68"/>
      <w:bookmarkEnd w:id="128"/>
      <w:bookmarkEnd w:id="129"/>
      <w:bookmarkEnd w:id="130"/>
      <w:bookmarkEnd w:id="131"/>
      <w:bookmarkEnd w:id="132"/>
      <w:bookmarkEnd w:id="133"/>
      <w:r w:rsidRPr="008C1586">
        <w:rPr>
          <w:rFonts w:ascii="Palatino Linotype" w:hAnsi="Palatino Linotype"/>
          <w:b/>
          <w:color w:val="000000" w:themeColor="text1"/>
        </w:rPr>
        <w:t xml:space="preserve"> </w:t>
      </w:r>
      <w:r w:rsidRPr="008C1586">
        <w:rPr>
          <w:rFonts w:ascii="Palatino Linotype" w:hAnsi="Palatino Linotype"/>
          <w:i/>
          <w:color w:val="000000" w:themeColor="text1"/>
        </w:rPr>
        <w:t>“</w:t>
      </w:r>
      <w:r w:rsidR="00653D29" w:rsidRPr="008C1586">
        <w:rPr>
          <w:rFonts w:ascii="Palatino Linotype" w:hAnsi="Palatino Linotype"/>
          <w:i/>
          <w:color w:val="000000" w:themeColor="text1"/>
        </w:rPr>
        <w:t xml:space="preserve">se les solicito </w:t>
      </w:r>
      <w:proofErr w:type="spellStart"/>
      <w:r w:rsidR="00653D29" w:rsidRPr="008C1586">
        <w:rPr>
          <w:rFonts w:ascii="Palatino Linotype" w:hAnsi="Palatino Linotype"/>
          <w:i/>
          <w:color w:val="000000" w:themeColor="text1"/>
        </w:rPr>
        <w:t>informacion</w:t>
      </w:r>
      <w:proofErr w:type="spellEnd"/>
      <w:r w:rsidR="00653D29" w:rsidRPr="008C1586">
        <w:rPr>
          <w:rFonts w:ascii="Palatino Linotype" w:hAnsi="Palatino Linotype"/>
          <w:i/>
          <w:color w:val="000000" w:themeColor="text1"/>
        </w:rPr>
        <w:t xml:space="preserve"> sobre en que se ha usado el presupuesto no se les solicito procesamiento de esta </w:t>
      </w:r>
      <w:proofErr w:type="spellStart"/>
      <w:r w:rsidR="00653D29" w:rsidRPr="008C1586">
        <w:rPr>
          <w:rFonts w:ascii="Palatino Linotype" w:hAnsi="Palatino Linotype"/>
          <w:i/>
          <w:color w:val="000000" w:themeColor="text1"/>
        </w:rPr>
        <w:t>informacion</w:t>
      </w:r>
      <w:proofErr w:type="spellEnd"/>
      <w:r w:rsidR="00653D29" w:rsidRPr="008C1586">
        <w:rPr>
          <w:rFonts w:ascii="Palatino Linotype" w:hAnsi="Palatino Linotype"/>
          <w:i/>
          <w:color w:val="000000" w:themeColor="text1"/>
        </w:rPr>
        <w:t xml:space="preserve"> la solicitud es evidencia de cuanto y en donde se le ha ejercido presupuesto </w:t>
      </w:r>
      <w:proofErr w:type="spellStart"/>
      <w:r w:rsidR="00653D29" w:rsidRPr="008C1586">
        <w:rPr>
          <w:rFonts w:ascii="Palatino Linotype" w:hAnsi="Palatino Linotype"/>
          <w:i/>
          <w:color w:val="000000" w:themeColor="text1"/>
        </w:rPr>
        <w:t>publico</w:t>
      </w:r>
      <w:proofErr w:type="spellEnd"/>
      <w:r w:rsidR="00653D29" w:rsidRPr="008C1586">
        <w:rPr>
          <w:rFonts w:ascii="Palatino Linotype" w:hAnsi="Palatino Linotype"/>
          <w:i/>
          <w:color w:val="000000" w:themeColor="text1"/>
        </w:rPr>
        <w:t xml:space="preserve"> por parte de esta </w:t>
      </w:r>
      <w:proofErr w:type="spellStart"/>
      <w:r w:rsidR="00653D29" w:rsidRPr="008C1586">
        <w:rPr>
          <w:rFonts w:ascii="Palatino Linotype" w:hAnsi="Palatino Linotype"/>
          <w:i/>
          <w:color w:val="000000" w:themeColor="text1"/>
        </w:rPr>
        <w:t>comision</w:t>
      </w:r>
      <w:proofErr w:type="spellEnd"/>
      <w:r w:rsidRPr="008C1586">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8C1586" w:rsidRDefault="00942616" w:rsidP="00942616">
      <w:pPr>
        <w:spacing w:line="360" w:lineRule="auto"/>
        <w:rPr>
          <w:rFonts w:ascii="Palatino Linotype" w:hAnsi="Palatino Linotype"/>
          <w:i/>
          <w:color w:val="000000" w:themeColor="text1"/>
        </w:rPr>
      </w:pPr>
    </w:p>
    <w:p w14:paraId="163EA181" w14:textId="1A51B782" w:rsidR="00942616" w:rsidRPr="008C1586" w:rsidRDefault="00942616" w:rsidP="00942616">
      <w:pPr>
        <w:pStyle w:val="Prrafodelista"/>
        <w:numPr>
          <w:ilvl w:val="0"/>
          <w:numId w:val="1"/>
        </w:numPr>
        <w:spacing w:line="360" w:lineRule="auto"/>
        <w:ind w:left="0" w:firstLine="0"/>
        <w:jc w:val="both"/>
        <w:rPr>
          <w:rFonts w:ascii="Palatino Linotype" w:hAnsi="Palatino Linotype"/>
          <w:i/>
        </w:rPr>
      </w:pPr>
      <w:r w:rsidRPr="008C1586">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591927" w:rsidRPr="008C1586">
        <w:rPr>
          <w:rFonts w:ascii="Palatino Linotype" w:eastAsia="Calibri" w:hAnsi="Palatino Linotype" w:cs="Arial"/>
          <w:b/>
          <w:bCs/>
          <w:lang w:val="es-ES"/>
        </w:rPr>
        <w:t>siete de mayo de dos mil veinticuatro</w:t>
      </w:r>
      <w:r w:rsidRPr="008C1586">
        <w:rPr>
          <w:rFonts w:ascii="Palatino Linotype" w:eastAsia="Calibri" w:hAnsi="Palatino Linotype" w:cs="Arial"/>
          <w:lang w:val="es-ES"/>
        </w:rPr>
        <w:t xml:space="preserve">, puso a disposición de las partes el expediente electrónico </w:t>
      </w:r>
      <w:r w:rsidRPr="008C1586">
        <w:rPr>
          <w:rFonts w:ascii="Palatino Linotype" w:eastAsia="Calibri" w:hAnsi="Palatino Linotype" w:cs="Arial"/>
        </w:rPr>
        <w:t xml:space="preserve">vía </w:t>
      </w:r>
      <w:r w:rsidRPr="008C1586">
        <w:rPr>
          <w:rFonts w:ascii="Palatino Linotype" w:eastAsia="Calibri" w:hAnsi="Palatino Linotype" w:cs="Arial"/>
          <w:b/>
          <w:lang w:val="es-ES"/>
        </w:rPr>
        <w:t xml:space="preserve">SAIMEX </w:t>
      </w:r>
      <w:r w:rsidRPr="008C1586">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8C1586">
        <w:rPr>
          <w:rFonts w:ascii="Palatino Linotype" w:eastAsia="Calibri" w:hAnsi="Palatino Linotype" w:cs="Arial"/>
          <w:b/>
          <w:lang w:val="es-ES"/>
        </w:rPr>
        <w:t>SUJETO OBLIGADO</w:t>
      </w:r>
      <w:r w:rsidRPr="008C1586">
        <w:rPr>
          <w:rFonts w:ascii="Palatino Linotype" w:eastAsia="Calibri" w:hAnsi="Palatino Linotype" w:cs="Arial"/>
          <w:lang w:val="es-ES"/>
        </w:rPr>
        <w:t xml:space="preserve"> presentará el Informe Justificado procedente.</w:t>
      </w:r>
    </w:p>
    <w:p w14:paraId="7BC69DC3" w14:textId="77777777" w:rsidR="00942616" w:rsidRPr="008C1586" w:rsidRDefault="00942616" w:rsidP="00942616">
      <w:pPr>
        <w:pStyle w:val="Prrafodelista"/>
        <w:spacing w:line="360" w:lineRule="auto"/>
        <w:ind w:left="0"/>
        <w:jc w:val="both"/>
        <w:rPr>
          <w:rFonts w:ascii="Palatino Linotype" w:hAnsi="Palatino Linotype"/>
        </w:rPr>
      </w:pPr>
    </w:p>
    <w:p w14:paraId="31B8518A" w14:textId="62C72BC6" w:rsidR="00942616" w:rsidRPr="008C1586" w:rsidRDefault="00923E55" w:rsidP="00591927">
      <w:pPr>
        <w:pStyle w:val="Prrafodelista"/>
        <w:numPr>
          <w:ilvl w:val="0"/>
          <w:numId w:val="1"/>
        </w:numPr>
        <w:spacing w:line="360" w:lineRule="auto"/>
        <w:ind w:left="0" w:firstLine="0"/>
        <w:jc w:val="both"/>
        <w:rPr>
          <w:rFonts w:ascii="Palatino Linotype" w:hAnsi="Palatino Linotype"/>
          <w:color w:val="000000"/>
        </w:rPr>
      </w:pPr>
      <w:r w:rsidRPr="008C1586">
        <w:rPr>
          <w:rFonts w:ascii="Palatino Linotype" w:hAnsi="Palatino Linotype"/>
          <w:color w:val="000000"/>
        </w:rPr>
        <w:t>De lo anterior</w:t>
      </w:r>
      <w:r w:rsidR="003E76A0" w:rsidRPr="008C1586">
        <w:rPr>
          <w:rFonts w:ascii="Palatino Linotype" w:hAnsi="Palatino Linotype"/>
          <w:color w:val="000000"/>
        </w:rPr>
        <w:t xml:space="preserve">, </w:t>
      </w:r>
      <w:r w:rsidR="002B540C" w:rsidRPr="008C1586">
        <w:rPr>
          <w:rFonts w:ascii="Palatino Linotype" w:hAnsi="Palatino Linotype"/>
          <w:color w:val="000000"/>
        </w:rPr>
        <w:t xml:space="preserve">el </w:t>
      </w:r>
      <w:r w:rsidR="00942616" w:rsidRPr="008C1586">
        <w:rPr>
          <w:rFonts w:ascii="Palatino Linotype" w:hAnsi="Palatino Linotype"/>
          <w:b/>
          <w:color w:val="000000"/>
        </w:rPr>
        <w:t xml:space="preserve">PARTICULAR </w:t>
      </w:r>
      <w:r w:rsidR="00591927" w:rsidRPr="008C1586">
        <w:rPr>
          <w:rFonts w:ascii="Palatino Linotype" w:hAnsi="Palatino Linotype"/>
          <w:color w:val="000000"/>
        </w:rPr>
        <w:t xml:space="preserve">dejo </w:t>
      </w:r>
      <w:r w:rsidRPr="008C1586">
        <w:rPr>
          <w:rFonts w:ascii="Palatino Linotype" w:hAnsi="Palatino Linotype"/>
          <w:color w:val="000000"/>
        </w:rPr>
        <w:t xml:space="preserve">de realizar </w:t>
      </w:r>
      <w:r w:rsidR="00942616" w:rsidRPr="008C1586">
        <w:rPr>
          <w:rFonts w:ascii="Palatino Linotype" w:hAnsi="Palatino Linotype"/>
          <w:color w:val="000000"/>
        </w:rPr>
        <w:t>manifestaciones que a su</w:t>
      </w:r>
      <w:r w:rsidR="007505E5" w:rsidRPr="008C1586">
        <w:rPr>
          <w:rFonts w:ascii="Palatino Linotype" w:hAnsi="Palatino Linotype"/>
          <w:color w:val="000000"/>
        </w:rPr>
        <w:t xml:space="preserve"> derecho conviniera y asistiera</w:t>
      </w:r>
      <w:r w:rsidR="002B540C" w:rsidRPr="008C1586">
        <w:rPr>
          <w:rFonts w:ascii="Palatino Linotype" w:hAnsi="Palatino Linotype"/>
          <w:color w:val="000000"/>
        </w:rPr>
        <w:t xml:space="preserve">. </w:t>
      </w:r>
    </w:p>
    <w:p w14:paraId="32255AA8" w14:textId="77777777" w:rsidR="00591927" w:rsidRPr="008C1586" w:rsidRDefault="00591927" w:rsidP="00591927">
      <w:pPr>
        <w:pStyle w:val="Prrafodelista"/>
        <w:spacing w:line="360" w:lineRule="auto"/>
        <w:ind w:left="0"/>
        <w:jc w:val="both"/>
        <w:rPr>
          <w:rFonts w:ascii="Palatino Linotype" w:hAnsi="Palatino Linotype"/>
          <w:color w:val="000000"/>
        </w:rPr>
      </w:pPr>
    </w:p>
    <w:p w14:paraId="0DE72A64" w14:textId="2AE7BBA0" w:rsidR="00591927" w:rsidRPr="008C1586" w:rsidRDefault="00591927" w:rsidP="004A091A">
      <w:pPr>
        <w:pStyle w:val="Prrafodelista"/>
        <w:numPr>
          <w:ilvl w:val="0"/>
          <w:numId w:val="1"/>
        </w:numPr>
        <w:spacing w:line="360" w:lineRule="auto"/>
        <w:jc w:val="both"/>
        <w:rPr>
          <w:rFonts w:ascii="Palatino Linotype" w:hAnsi="Palatino Linotype"/>
          <w:color w:val="000000"/>
        </w:rPr>
      </w:pPr>
      <w:r w:rsidRPr="008C1586">
        <w:rPr>
          <w:rFonts w:ascii="Palatino Linotype" w:hAnsi="Palatino Linotype"/>
          <w:color w:val="000000"/>
        </w:rPr>
        <w:t xml:space="preserve">El </w:t>
      </w:r>
      <w:r w:rsidRPr="008C1586">
        <w:rPr>
          <w:rFonts w:ascii="Palatino Linotype" w:hAnsi="Palatino Linotype"/>
          <w:b/>
          <w:color w:val="000000"/>
        </w:rPr>
        <w:t xml:space="preserve">SUJETO OBLIGADO, </w:t>
      </w:r>
      <w:r w:rsidRPr="008C1586">
        <w:rPr>
          <w:rFonts w:ascii="Palatino Linotype" w:hAnsi="Palatino Linotype"/>
          <w:color w:val="000000"/>
        </w:rPr>
        <w:t>rindió el Informe Justificado correspondiente a través del archivo siguiente:</w:t>
      </w:r>
    </w:p>
    <w:p w14:paraId="1715A49F" w14:textId="77777777" w:rsidR="00591927" w:rsidRPr="008C1586" w:rsidRDefault="00591927" w:rsidP="00591927">
      <w:pPr>
        <w:pStyle w:val="Prrafodelista"/>
        <w:spacing w:line="360" w:lineRule="auto"/>
        <w:ind w:left="360"/>
        <w:jc w:val="both"/>
        <w:rPr>
          <w:rFonts w:ascii="Palatino Linotype" w:hAnsi="Palatino Linotype"/>
          <w:i/>
        </w:rPr>
      </w:pPr>
    </w:p>
    <w:p w14:paraId="345923C8" w14:textId="75497093" w:rsidR="00591927" w:rsidRPr="008C1586" w:rsidRDefault="00727C2A" w:rsidP="00591927">
      <w:pPr>
        <w:pStyle w:val="Prrafodelista"/>
        <w:numPr>
          <w:ilvl w:val="0"/>
          <w:numId w:val="39"/>
        </w:numPr>
        <w:spacing w:line="360" w:lineRule="auto"/>
        <w:jc w:val="both"/>
        <w:rPr>
          <w:rFonts w:ascii="Palatino Linotype" w:hAnsi="Palatino Linotype"/>
          <w:i/>
        </w:rPr>
      </w:pPr>
      <w:hyperlink r:id="rId9" w:history="1">
        <w:r w:rsidR="00591927" w:rsidRPr="008C1586">
          <w:rPr>
            <w:rStyle w:val="Hipervnculo"/>
            <w:rFonts w:ascii="Palatino Linotype" w:hAnsi="Palatino Linotype"/>
            <w:b/>
            <w:bCs/>
            <w:i/>
            <w:color w:val="auto"/>
            <w:u w:val="none"/>
          </w:rPr>
          <w:t>RECURSO DE REVISIÓN 2398.pdf</w:t>
        </w:r>
      </w:hyperlink>
      <w:r w:rsidR="00591927" w:rsidRPr="008C1586">
        <w:rPr>
          <w:rFonts w:ascii="Palatino Linotype" w:hAnsi="Palatino Linotype"/>
          <w:i/>
        </w:rPr>
        <w:t xml:space="preserve">: </w:t>
      </w:r>
    </w:p>
    <w:p w14:paraId="28242DED" w14:textId="2297AA62" w:rsidR="00FB532A" w:rsidRPr="008C1586" w:rsidRDefault="00FB532A" w:rsidP="00FB532A">
      <w:pPr>
        <w:spacing w:line="360" w:lineRule="auto"/>
        <w:jc w:val="both"/>
        <w:rPr>
          <w:rFonts w:ascii="Palatino Linotype" w:hAnsi="Palatino Linotype"/>
        </w:rPr>
      </w:pPr>
      <w:r w:rsidRPr="008C1586">
        <w:rPr>
          <w:rFonts w:ascii="Palatino Linotype" w:hAnsi="Palatino Linotype"/>
        </w:rPr>
        <w:lastRenderedPageBreak/>
        <w:t xml:space="preserve">Oficio de seis de noviembre de dos mil veinticuatro, </w:t>
      </w:r>
      <w:r w:rsidR="00C9358F" w:rsidRPr="008C1586">
        <w:rPr>
          <w:rFonts w:ascii="Palatino Linotype" w:hAnsi="Palatino Linotype"/>
        </w:rPr>
        <w:t>firmado por la Titular de la Unidad de Transparencia, confirmo su respuesta primigenia y solicito el sobreseimiento del recurso que nos ocupa.</w:t>
      </w:r>
    </w:p>
    <w:p w14:paraId="2F702FB8" w14:textId="77777777" w:rsidR="00C9358F" w:rsidRPr="008C1586" w:rsidRDefault="00C9358F" w:rsidP="00FB532A">
      <w:pPr>
        <w:spacing w:line="360" w:lineRule="auto"/>
        <w:jc w:val="both"/>
        <w:rPr>
          <w:rFonts w:ascii="Palatino Linotype" w:hAnsi="Palatino Linotype"/>
        </w:rPr>
      </w:pPr>
    </w:p>
    <w:p w14:paraId="7DE36F92" w14:textId="74EDB419" w:rsidR="00C9358F" w:rsidRPr="008C1586" w:rsidRDefault="00C9358F" w:rsidP="00FB532A">
      <w:pPr>
        <w:spacing w:line="360" w:lineRule="auto"/>
        <w:jc w:val="both"/>
        <w:rPr>
          <w:rFonts w:ascii="Palatino Linotype" w:hAnsi="Palatino Linotype"/>
        </w:rPr>
      </w:pPr>
      <w:r w:rsidRPr="008C1586">
        <w:rPr>
          <w:rFonts w:ascii="Palatino Linotype" w:hAnsi="Palatino Linotype"/>
        </w:rPr>
        <w:t xml:space="preserve">Oficio de tres de septiembre de dos mil veinticuatro, </w:t>
      </w:r>
      <w:r w:rsidR="00516C55" w:rsidRPr="008C1586">
        <w:rPr>
          <w:rFonts w:ascii="Palatino Linotype" w:hAnsi="Palatino Linotype"/>
        </w:rPr>
        <w:t>firmado por la Directora General de Administración y Finanzas, por el que informo que en respuesta se remitió la información en el estado que obra dentro de sus archivos, en consecuencia, solicito tenerse por colmada la solicitud de mérito.</w:t>
      </w:r>
    </w:p>
    <w:p w14:paraId="3A2CF0EE" w14:textId="77777777" w:rsidR="002B540C" w:rsidRPr="008C1586" w:rsidRDefault="002B540C" w:rsidP="002B540C">
      <w:pPr>
        <w:pStyle w:val="Prrafodelista"/>
        <w:spacing w:line="360" w:lineRule="auto"/>
        <w:ind w:left="360"/>
        <w:jc w:val="both"/>
        <w:rPr>
          <w:rFonts w:ascii="Palatino Linotype" w:hAnsi="Palatino Linotype"/>
        </w:rPr>
      </w:pPr>
    </w:p>
    <w:p w14:paraId="071CF068" w14:textId="7D9CC899" w:rsidR="00942616" w:rsidRPr="008C1586"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8C1586">
        <w:rPr>
          <w:rFonts w:ascii="Palatino Linotype" w:hAnsi="Palatino Linotype"/>
        </w:rPr>
        <w:t xml:space="preserve">En fecha </w:t>
      </w:r>
      <w:r w:rsidR="00516C55" w:rsidRPr="008C1586">
        <w:rPr>
          <w:rFonts w:ascii="Palatino Linotype" w:hAnsi="Palatino Linotype"/>
          <w:b/>
        </w:rPr>
        <w:t>dieciocho de junio de dos</w:t>
      </w:r>
      <w:r w:rsidR="006D0B08" w:rsidRPr="008C1586">
        <w:rPr>
          <w:rFonts w:ascii="Palatino Linotype" w:hAnsi="Palatino Linotype"/>
          <w:b/>
        </w:rPr>
        <w:t xml:space="preserve"> mil</w:t>
      </w:r>
      <w:r w:rsidR="004A091A" w:rsidRPr="008C1586">
        <w:rPr>
          <w:rFonts w:ascii="Palatino Linotype" w:hAnsi="Palatino Linotype"/>
          <w:b/>
        </w:rPr>
        <w:t xml:space="preserve"> veinticuatro</w:t>
      </w:r>
      <w:r w:rsidRPr="008C1586">
        <w:rPr>
          <w:rFonts w:ascii="Palatino Linotype" w:hAnsi="Palatino Linotype"/>
        </w:rPr>
        <w:t>, se amplió el término para resolver; al respecto es menester realizar las siguientes precisiones.</w:t>
      </w:r>
    </w:p>
    <w:p w14:paraId="7C3F6E04" w14:textId="77777777" w:rsidR="00942616" w:rsidRPr="008C1586" w:rsidRDefault="00942616" w:rsidP="00942616">
      <w:pPr>
        <w:spacing w:line="360" w:lineRule="auto"/>
        <w:rPr>
          <w:rFonts w:ascii="Palatino Linotype" w:hAnsi="Palatino Linotype"/>
        </w:rPr>
      </w:pPr>
    </w:p>
    <w:p w14:paraId="696BE277" w14:textId="77777777" w:rsidR="00033D9B" w:rsidRPr="008C1586" w:rsidRDefault="00033D9B" w:rsidP="00033D9B">
      <w:pPr>
        <w:pStyle w:val="Prrafodelista"/>
        <w:numPr>
          <w:ilvl w:val="0"/>
          <w:numId w:val="1"/>
        </w:numPr>
        <w:spacing w:line="360" w:lineRule="auto"/>
        <w:ind w:left="0" w:firstLine="0"/>
        <w:jc w:val="both"/>
        <w:rPr>
          <w:rFonts w:ascii="Palatino Linotype" w:hAnsi="Palatino Linotype"/>
          <w:b/>
        </w:rPr>
      </w:pPr>
      <w:r w:rsidRPr="008C1586">
        <w:rPr>
          <w:rFonts w:ascii="Palatino Linotype" w:hAnsi="Palatino Linotype"/>
        </w:rPr>
        <w:t>Este Organismo Garante no pasa por alto explicar que la dilación en la resolución del presente asunto encuentra justificación en que, el alto número de recursos de revisión recibidos,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8C1586" w:rsidRDefault="00942616" w:rsidP="00942616">
      <w:pPr>
        <w:pStyle w:val="Prrafodelista"/>
        <w:spacing w:line="360" w:lineRule="auto"/>
        <w:ind w:left="0"/>
        <w:jc w:val="both"/>
        <w:rPr>
          <w:rFonts w:ascii="Palatino Linotype" w:hAnsi="Palatino Linotype"/>
        </w:rPr>
      </w:pPr>
    </w:p>
    <w:p w14:paraId="421C7B37"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w:t>
      </w:r>
      <w:r w:rsidRPr="008C1586">
        <w:rPr>
          <w:rFonts w:ascii="Palatino Linotype" w:hAnsi="Palatino Linotype"/>
        </w:rPr>
        <w:lastRenderedPageBreak/>
        <w:t>parámetros establecidos por diversos órganos jurisdiccionales federales, aplicables también en procedimientos análogos, como el que nos ocupa.</w:t>
      </w:r>
    </w:p>
    <w:p w14:paraId="59AFC864" w14:textId="77777777" w:rsidR="00942616" w:rsidRPr="008C1586" w:rsidRDefault="00942616" w:rsidP="00942616">
      <w:pPr>
        <w:pStyle w:val="Prrafodelista"/>
        <w:spacing w:line="360" w:lineRule="auto"/>
        <w:rPr>
          <w:rFonts w:ascii="Palatino Linotype" w:hAnsi="Palatino Linotype"/>
        </w:rPr>
      </w:pPr>
    </w:p>
    <w:p w14:paraId="47A7953F"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8C1586" w:rsidRDefault="00942616" w:rsidP="00942616">
      <w:pPr>
        <w:pStyle w:val="Prrafodelista"/>
        <w:spacing w:line="360" w:lineRule="auto"/>
        <w:rPr>
          <w:rFonts w:ascii="Palatino Linotype" w:hAnsi="Palatino Linotype"/>
        </w:rPr>
      </w:pPr>
    </w:p>
    <w:p w14:paraId="6648C1F5"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8C1586" w:rsidRDefault="00942616" w:rsidP="00942616">
      <w:pPr>
        <w:pStyle w:val="Prrafodelista"/>
        <w:spacing w:line="360" w:lineRule="auto"/>
        <w:rPr>
          <w:rFonts w:ascii="Palatino Linotype" w:hAnsi="Palatino Linotype"/>
        </w:rPr>
      </w:pPr>
    </w:p>
    <w:p w14:paraId="6038D175"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8C1586" w:rsidRDefault="00942616" w:rsidP="00942616">
      <w:pPr>
        <w:spacing w:line="360" w:lineRule="auto"/>
        <w:jc w:val="both"/>
        <w:rPr>
          <w:rFonts w:ascii="Palatino Linotype" w:hAnsi="Palatino Linotype"/>
        </w:rPr>
      </w:pPr>
    </w:p>
    <w:p w14:paraId="65707673" w14:textId="77777777" w:rsidR="00942616" w:rsidRPr="008C1586" w:rsidRDefault="00942616" w:rsidP="00942616">
      <w:pPr>
        <w:pStyle w:val="Prrafodelista"/>
        <w:numPr>
          <w:ilvl w:val="0"/>
          <w:numId w:val="3"/>
        </w:numPr>
        <w:spacing w:line="360" w:lineRule="auto"/>
        <w:jc w:val="both"/>
        <w:rPr>
          <w:rFonts w:ascii="Palatino Linotype" w:hAnsi="Palatino Linotype"/>
        </w:rPr>
      </w:pPr>
      <w:r w:rsidRPr="008C1586">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8C1586" w:rsidRDefault="00942616" w:rsidP="00942616">
      <w:pPr>
        <w:pStyle w:val="Prrafodelista"/>
        <w:numPr>
          <w:ilvl w:val="0"/>
          <w:numId w:val="3"/>
        </w:numPr>
        <w:spacing w:line="360" w:lineRule="auto"/>
        <w:jc w:val="both"/>
        <w:rPr>
          <w:rFonts w:ascii="Palatino Linotype" w:hAnsi="Palatino Linotype"/>
        </w:rPr>
      </w:pPr>
      <w:r w:rsidRPr="008C1586">
        <w:rPr>
          <w:rFonts w:ascii="Palatino Linotype" w:hAnsi="Palatino Linotype"/>
        </w:rPr>
        <w:t>Actividad Procesal del interesado. Acciones u omisiones del interesado.</w:t>
      </w:r>
    </w:p>
    <w:p w14:paraId="256F257B" w14:textId="77777777" w:rsidR="00942616" w:rsidRPr="008C1586" w:rsidRDefault="00942616" w:rsidP="00942616">
      <w:pPr>
        <w:pStyle w:val="Prrafodelista"/>
        <w:numPr>
          <w:ilvl w:val="0"/>
          <w:numId w:val="3"/>
        </w:numPr>
        <w:spacing w:line="360" w:lineRule="auto"/>
        <w:jc w:val="both"/>
        <w:rPr>
          <w:rFonts w:ascii="Palatino Linotype" w:hAnsi="Palatino Linotype"/>
        </w:rPr>
      </w:pPr>
      <w:r w:rsidRPr="008C1586">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8C1586" w:rsidRDefault="00942616" w:rsidP="00942616">
      <w:pPr>
        <w:spacing w:line="360" w:lineRule="auto"/>
        <w:ind w:left="851" w:hanging="284"/>
        <w:jc w:val="both"/>
        <w:rPr>
          <w:rFonts w:ascii="Palatino Linotype" w:hAnsi="Palatino Linotype"/>
        </w:rPr>
      </w:pPr>
      <w:r w:rsidRPr="008C1586">
        <w:rPr>
          <w:rFonts w:ascii="Palatino Linotype" w:hAnsi="Palatino Linotype"/>
        </w:rPr>
        <w:lastRenderedPageBreak/>
        <w:t>d) La afectación generada en la situación jurídica de la persona involucrada en el proceso: Violación a sus derechos humanos.</w:t>
      </w:r>
    </w:p>
    <w:p w14:paraId="274A60C9" w14:textId="77777777" w:rsidR="00942616" w:rsidRPr="008C1586" w:rsidRDefault="00942616" w:rsidP="00942616">
      <w:pPr>
        <w:spacing w:line="360" w:lineRule="auto"/>
        <w:ind w:left="851" w:hanging="284"/>
        <w:jc w:val="both"/>
        <w:rPr>
          <w:rFonts w:ascii="Palatino Linotype" w:hAnsi="Palatino Linotype"/>
        </w:rPr>
      </w:pPr>
    </w:p>
    <w:p w14:paraId="6B6FC5AD"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39FF62B4" w14:textId="77777777" w:rsidR="00942616" w:rsidRPr="008C1586" w:rsidRDefault="00942616" w:rsidP="00942616">
      <w:pPr>
        <w:pStyle w:val="Prrafodelista"/>
        <w:spacing w:line="360" w:lineRule="auto"/>
        <w:ind w:left="0"/>
        <w:jc w:val="both"/>
        <w:rPr>
          <w:rFonts w:ascii="Palatino Linotype" w:hAnsi="Palatino Linotype"/>
        </w:rPr>
      </w:pPr>
    </w:p>
    <w:p w14:paraId="157A59C0"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b/>
        </w:rPr>
      </w:pPr>
      <w:r w:rsidRPr="008C1586">
        <w:rPr>
          <w:rFonts w:ascii="Palatino Linotype" w:hAnsi="Palatino Linotype"/>
        </w:rPr>
        <w:t>Argumento que encuentra sustento en la jurisprudencia P</w:t>
      </w:r>
      <w:proofErr w:type="gramStart"/>
      <w:r w:rsidRPr="008C1586">
        <w:rPr>
          <w:rFonts w:ascii="Palatino Linotype" w:hAnsi="Palatino Linotype"/>
        </w:rPr>
        <w:t>./</w:t>
      </w:r>
      <w:proofErr w:type="gramEnd"/>
      <w:r w:rsidRPr="008C1586">
        <w:rPr>
          <w:rFonts w:ascii="Palatino Linotype" w:hAnsi="Palatino Linotype"/>
        </w:rPr>
        <w:t xml:space="preserve">J. 32/92 emitida por el Pleno de la Suprema Corte de Justicia de la Nación de rubro </w:t>
      </w:r>
      <w:r w:rsidRPr="008C1586">
        <w:rPr>
          <w:rFonts w:ascii="Palatino Linotype" w:hAnsi="Palatino Linotype"/>
          <w:i/>
        </w:rPr>
        <w:t xml:space="preserve">“TÉRMINOS PROCESALES. PARA DETERMINAR SI UN FUNCIONARIO JUDICIAL ACTUÓ </w:t>
      </w:r>
      <w:r w:rsidRPr="008C1586">
        <w:rPr>
          <w:rFonts w:ascii="Palatino Linotype" w:hAnsi="Palatino Linotype"/>
        </w:rPr>
        <w:t>INDEBIDAMENTE</w:t>
      </w:r>
      <w:r w:rsidRPr="008C1586">
        <w:rPr>
          <w:rFonts w:ascii="Palatino Linotype" w:hAnsi="Palatino Linotype"/>
          <w:i/>
        </w:rPr>
        <w:t xml:space="preserve"> POR NO RESPETARLOS SE DEBE ATENDER AL PRESUPUESTO QUE CONSIDERÓ EL LEGISLADOR AL FIJARLOS Y LAS CARACTERÍSTICAS DEL CASO.”</w:t>
      </w:r>
      <w:r w:rsidRPr="008C1586">
        <w:rPr>
          <w:rFonts w:ascii="Palatino Linotype" w:hAnsi="Palatino Linotype"/>
        </w:rPr>
        <w:t>, visible en la Gaceta del Seminario Judicial de la Federación con el registro digital 205635.</w:t>
      </w:r>
    </w:p>
    <w:p w14:paraId="11D1E3BC" w14:textId="77777777" w:rsidR="00942616" w:rsidRPr="008C1586" w:rsidRDefault="00942616" w:rsidP="00942616">
      <w:pPr>
        <w:spacing w:line="360" w:lineRule="auto"/>
        <w:jc w:val="both"/>
        <w:rPr>
          <w:rFonts w:ascii="Palatino Linotype" w:hAnsi="Palatino Linotype"/>
        </w:rPr>
      </w:pPr>
    </w:p>
    <w:p w14:paraId="3C1A53A0"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w:t>
      </w:r>
      <w:r w:rsidRPr="008C1586">
        <w:rPr>
          <w:rFonts w:ascii="Palatino Linotype" w:hAnsi="Palatino Linotype"/>
        </w:rPr>
        <w:lastRenderedPageBreak/>
        <w:t>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8C1586" w:rsidRDefault="00942616" w:rsidP="00942616">
      <w:pPr>
        <w:pStyle w:val="Prrafodelista"/>
        <w:spacing w:line="360" w:lineRule="auto"/>
        <w:rPr>
          <w:rFonts w:ascii="Palatino Linotype" w:hAnsi="Palatino Linotype"/>
        </w:rPr>
      </w:pPr>
    </w:p>
    <w:p w14:paraId="7CBF7CEC"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Por ello, este organismo garante comprometido con la tutela de los derechos humanos confiados, señala que este exceso del plazo legal para resolver el presente asunto, resulta de carácter excepcional.</w:t>
      </w:r>
    </w:p>
    <w:p w14:paraId="592874F3" w14:textId="77777777" w:rsidR="00942616" w:rsidRPr="008C1586" w:rsidRDefault="00942616" w:rsidP="00942616">
      <w:pPr>
        <w:spacing w:line="360" w:lineRule="auto"/>
        <w:jc w:val="both"/>
        <w:rPr>
          <w:rFonts w:ascii="Palatino Linotype" w:hAnsi="Palatino Linotype"/>
        </w:rPr>
      </w:pPr>
    </w:p>
    <w:p w14:paraId="001B7B01"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rPr>
      </w:pPr>
      <w:r w:rsidRPr="008C1586">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8C1586" w:rsidRDefault="00942616" w:rsidP="00942616">
      <w:pPr>
        <w:spacing w:line="360" w:lineRule="auto"/>
        <w:jc w:val="both"/>
        <w:rPr>
          <w:rFonts w:ascii="Palatino Linotype" w:hAnsi="Palatino Linotype"/>
        </w:rPr>
      </w:pPr>
    </w:p>
    <w:p w14:paraId="78E9AEE0" w14:textId="77777777" w:rsidR="00942616" w:rsidRPr="008C1586" w:rsidRDefault="00942616" w:rsidP="00942616">
      <w:pPr>
        <w:spacing w:line="360" w:lineRule="auto"/>
        <w:ind w:left="425" w:right="476"/>
        <w:jc w:val="both"/>
        <w:rPr>
          <w:rFonts w:ascii="Palatino Linotype" w:hAnsi="Palatino Linotype"/>
        </w:rPr>
      </w:pPr>
      <w:r w:rsidRPr="008C1586">
        <w:rPr>
          <w:rFonts w:ascii="Palatino Linotype" w:hAnsi="Palatino Linotype"/>
        </w:rPr>
        <w:t xml:space="preserve"> </w:t>
      </w:r>
      <w:r w:rsidRPr="008C1586">
        <w:rPr>
          <w:rFonts w:ascii="Palatino Linotype" w:hAnsi="Palatino Linotype"/>
          <w:i/>
        </w:rPr>
        <w:t>“PLAZO RAZONABLE PARA RESOLVER. DIMENSIÓN Y EFECTOS DE ESTE CONCEPTO CUANDO SE ADUCE EXCESIVA CARGA DE TRABAJO.”</w:t>
      </w:r>
      <w:r w:rsidRPr="008C1586">
        <w:rPr>
          <w:rFonts w:ascii="Palatino Linotype" w:hAnsi="Palatino Linotype"/>
        </w:rPr>
        <w:t xml:space="preserve"> consultable en el Seminario Judicial de la Federación y su gaceta, con el registro digital 2002351.</w:t>
      </w:r>
    </w:p>
    <w:p w14:paraId="37E6B5AC" w14:textId="77777777" w:rsidR="00942616" w:rsidRPr="008C1586" w:rsidRDefault="00942616" w:rsidP="00942616">
      <w:pPr>
        <w:spacing w:line="360" w:lineRule="auto"/>
        <w:ind w:left="425" w:right="476"/>
        <w:jc w:val="both"/>
        <w:rPr>
          <w:rFonts w:ascii="Palatino Linotype" w:hAnsi="Palatino Linotype"/>
          <w:b/>
        </w:rPr>
      </w:pPr>
    </w:p>
    <w:p w14:paraId="28D44959" w14:textId="77777777" w:rsidR="00942616" w:rsidRPr="008C1586" w:rsidRDefault="00942616" w:rsidP="00942616">
      <w:pPr>
        <w:spacing w:line="360" w:lineRule="auto"/>
        <w:ind w:left="425" w:right="476"/>
        <w:jc w:val="both"/>
        <w:rPr>
          <w:rFonts w:ascii="Palatino Linotype" w:hAnsi="Palatino Linotype"/>
        </w:rPr>
      </w:pPr>
      <w:r w:rsidRPr="008C1586">
        <w:rPr>
          <w:rFonts w:ascii="Palatino Linotype" w:hAnsi="Palatino Linotype"/>
          <w:i/>
        </w:rPr>
        <w:t>“PLAZO RAZONABLE PARA RESOLVER. CONCEPTO Y ELEMENTOS QUE LO INTEGRAN A LA LUZ DEL DERECHO INTERNACIONAL DE LOS DERECHOS HUMANOS.”</w:t>
      </w:r>
      <w:r w:rsidRPr="008C1586">
        <w:rPr>
          <w:rFonts w:ascii="Palatino Linotype" w:hAnsi="Palatino Linotype"/>
        </w:rPr>
        <w:t>, visible en el Seminario Judicial de la Federación y su gaceta, con el registro digital 2002350.”</w:t>
      </w:r>
    </w:p>
    <w:p w14:paraId="730EA835" w14:textId="77777777" w:rsidR="00942616" w:rsidRPr="008C1586" w:rsidRDefault="00942616" w:rsidP="00942616">
      <w:pPr>
        <w:pStyle w:val="Prrafodelista"/>
        <w:spacing w:line="360" w:lineRule="auto"/>
        <w:rPr>
          <w:rFonts w:ascii="Palatino Linotype" w:hAnsi="Palatino Linotype"/>
        </w:rPr>
      </w:pPr>
    </w:p>
    <w:p w14:paraId="0A60B96A" w14:textId="028201AA" w:rsidR="00942616" w:rsidRPr="008C1586"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8C1586">
        <w:rPr>
          <w:rFonts w:ascii="Palatino Linotype" w:hAnsi="Palatino Linotype"/>
        </w:rPr>
        <w:lastRenderedPageBreak/>
        <w:t xml:space="preserve">Seguidamente, mediante </w:t>
      </w:r>
      <w:r w:rsidRPr="008C1586">
        <w:rPr>
          <w:rFonts w:ascii="Palatino Linotype" w:hAnsi="Palatino Linotype"/>
          <w:color w:val="000000"/>
        </w:rPr>
        <w:t>acuerdo</w:t>
      </w:r>
      <w:r w:rsidR="006D0B08" w:rsidRPr="008C1586">
        <w:rPr>
          <w:rFonts w:ascii="Palatino Linotype" w:hAnsi="Palatino Linotype"/>
          <w:color w:val="000000"/>
        </w:rPr>
        <w:t xml:space="preserve"> notificado el </w:t>
      </w:r>
      <w:r w:rsidR="006D0B08" w:rsidRPr="008C1586">
        <w:rPr>
          <w:rFonts w:ascii="Palatino Linotype" w:hAnsi="Palatino Linotype"/>
          <w:b/>
          <w:color w:val="000000"/>
        </w:rPr>
        <w:t>catorce de noviembre de dos mil veintitrés,</w:t>
      </w:r>
      <w:r w:rsidR="00923E55" w:rsidRPr="008C1586">
        <w:rPr>
          <w:rFonts w:ascii="Palatino Linotype" w:hAnsi="Palatino Linotype"/>
          <w:b/>
        </w:rPr>
        <w:t xml:space="preserve"> </w:t>
      </w:r>
      <w:r w:rsidR="00923E55" w:rsidRPr="008C1586">
        <w:rPr>
          <w:rFonts w:ascii="Palatino Linotype" w:hAnsi="Palatino Linotype"/>
        </w:rPr>
        <w:t>se decretó</w:t>
      </w:r>
      <w:r w:rsidRPr="008C1586">
        <w:rPr>
          <w:rFonts w:ascii="Palatino Linotype" w:hAnsi="Palatino Linotype"/>
        </w:rPr>
        <w:t xml:space="preserve"> el cierre de instrucción, </w:t>
      </w:r>
      <w:r w:rsidRPr="008C1586">
        <w:rPr>
          <w:rFonts w:ascii="Palatino Linotype" w:hAnsi="Palatino Linotype" w:cs="Arial"/>
        </w:rPr>
        <w:t>por lo que no ha</w:t>
      </w:r>
      <w:bookmarkStart w:id="134" w:name="_Toc491791302"/>
      <w:bookmarkStart w:id="135" w:name="_Toc83128578"/>
      <w:r w:rsidRPr="008C1586">
        <w:rPr>
          <w:rFonts w:ascii="Palatino Linotype" w:hAnsi="Palatino Linotype" w:cs="Arial"/>
        </w:rPr>
        <w:t>biendo más que hacer constar, y</w:t>
      </w:r>
      <w:r w:rsidR="00033D9B" w:rsidRPr="008C1586">
        <w:rPr>
          <w:rFonts w:ascii="Palatino Linotype" w:hAnsi="Palatino Linotype" w:cs="Arial"/>
        </w:rPr>
        <w:t>----------</w:t>
      </w:r>
      <w:r w:rsidR="006D0B08" w:rsidRPr="008C1586">
        <w:rPr>
          <w:rFonts w:ascii="Palatino Linotype" w:hAnsi="Palatino Linotype" w:cs="Arial"/>
        </w:rPr>
        <w:t>--------------------------------------------------------------------------------</w:t>
      </w:r>
    </w:p>
    <w:p w14:paraId="38DC3722" w14:textId="77777777" w:rsidR="007C50BE" w:rsidRPr="008C1586"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8C1586"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8C1586" w:rsidRDefault="00942616" w:rsidP="00942616">
      <w:pPr>
        <w:pStyle w:val="Prrafodelista"/>
        <w:spacing w:line="360" w:lineRule="auto"/>
        <w:ind w:left="0"/>
        <w:jc w:val="center"/>
        <w:rPr>
          <w:rFonts w:ascii="Palatino Linotype" w:hAnsi="Palatino Linotype"/>
          <w:b/>
          <w:color w:val="000000" w:themeColor="text1"/>
        </w:rPr>
      </w:pPr>
      <w:r w:rsidRPr="008C1586">
        <w:rPr>
          <w:rFonts w:ascii="Palatino Linotype" w:hAnsi="Palatino Linotype"/>
          <w:b/>
          <w:color w:val="000000" w:themeColor="text1"/>
        </w:rPr>
        <w:t>CONSIDERANDO</w:t>
      </w:r>
      <w:bookmarkEnd w:id="134"/>
      <w:bookmarkEnd w:id="135"/>
    </w:p>
    <w:p w14:paraId="494FCAAD" w14:textId="77777777" w:rsidR="00942616" w:rsidRPr="008C1586"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8C1586" w:rsidRDefault="00942616" w:rsidP="00942616">
      <w:pPr>
        <w:pStyle w:val="Ttulo2"/>
        <w:spacing w:before="0" w:line="360" w:lineRule="auto"/>
        <w:rPr>
          <w:rFonts w:ascii="Palatino Linotype" w:hAnsi="Palatino Linotype"/>
          <w:b/>
          <w:color w:val="auto"/>
          <w:sz w:val="24"/>
          <w:szCs w:val="24"/>
        </w:rPr>
      </w:pPr>
      <w:bookmarkStart w:id="136" w:name="_Toc491791303"/>
      <w:bookmarkStart w:id="137" w:name="_Toc83128579"/>
      <w:r w:rsidRPr="008C1586">
        <w:rPr>
          <w:rFonts w:ascii="Palatino Linotype" w:hAnsi="Palatino Linotype"/>
          <w:b/>
          <w:color w:val="auto"/>
          <w:sz w:val="24"/>
          <w:szCs w:val="24"/>
        </w:rPr>
        <w:t>PRIMERO. De la competencia</w:t>
      </w:r>
      <w:bookmarkEnd w:id="136"/>
      <w:bookmarkEnd w:id="137"/>
    </w:p>
    <w:p w14:paraId="64ED7630" w14:textId="77777777" w:rsidR="00942616" w:rsidRPr="008C1586" w:rsidRDefault="00942616" w:rsidP="00942616">
      <w:pPr>
        <w:spacing w:line="360" w:lineRule="auto"/>
        <w:rPr>
          <w:rFonts w:ascii="Palatino Linotype" w:hAnsi="Palatino Linotype"/>
          <w:lang w:val="es-MX" w:eastAsia="en-US"/>
        </w:rPr>
      </w:pPr>
    </w:p>
    <w:p w14:paraId="04DC053B"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8C1586">
        <w:rPr>
          <w:rFonts w:ascii="Palatino Linotype" w:hAnsi="Palatino Linotype"/>
          <w:color w:val="000000" w:themeColor="text1"/>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07C14A3B" w14:textId="77777777" w:rsidR="00942616" w:rsidRPr="008C1586"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8C1586" w:rsidRDefault="00942616" w:rsidP="00942616">
      <w:pPr>
        <w:pStyle w:val="Ttulo2"/>
        <w:spacing w:before="0" w:line="360" w:lineRule="auto"/>
        <w:rPr>
          <w:rFonts w:ascii="Palatino Linotype" w:hAnsi="Palatino Linotype"/>
          <w:b/>
          <w:color w:val="auto"/>
          <w:sz w:val="24"/>
          <w:szCs w:val="24"/>
        </w:rPr>
      </w:pPr>
      <w:bookmarkStart w:id="138" w:name="_Toc491791304"/>
      <w:bookmarkStart w:id="139" w:name="_Toc83128580"/>
      <w:r w:rsidRPr="008C1586">
        <w:rPr>
          <w:rFonts w:ascii="Palatino Linotype" w:hAnsi="Palatino Linotype"/>
          <w:b/>
          <w:color w:val="auto"/>
          <w:sz w:val="24"/>
          <w:szCs w:val="24"/>
        </w:rPr>
        <w:t>SEGUNDO. De la oportunidad y procedencia.</w:t>
      </w:r>
      <w:bookmarkEnd w:id="138"/>
      <w:bookmarkEnd w:id="139"/>
    </w:p>
    <w:p w14:paraId="246E1D9F" w14:textId="77777777" w:rsidR="00942616" w:rsidRPr="008C1586" w:rsidRDefault="00942616" w:rsidP="00942616">
      <w:pPr>
        <w:spacing w:line="360" w:lineRule="auto"/>
        <w:rPr>
          <w:rFonts w:ascii="Palatino Linotype" w:hAnsi="Palatino Linotype"/>
          <w:lang w:val="es-MX" w:eastAsia="en-US"/>
        </w:rPr>
      </w:pPr>
    </w:p>
    <w:p w14:paraId="74AAE6DD" w14:textId="4865DA53" w:rsidR="00C474DA" w:rsidRPr="008C1586" w:rsidRDefault="00942616" w:rsidP="004E0CA9">
      <w:pPr>
        <w:pStyle w:val="Prrafodelista"/>
        <w:numPr>
          <w:ilvl w:val="0"/>
          <w:numId w:val="1"/>
        </w:numPr>
        <w:spacing w:line="360" w:lineRule="auto"/>
        <w:ind w:left="0" w:firstLine="0"/>
        <w:jc w:val="both"/>
        <w:rPr>
          <w:rFonts w:ascii="Palatino Linotype" w:hAnsi="Palatino Linotype"/>
        </w:rPr>
      </w:pPr>
      <w:r w:rsidRPr="008C1586">
        <w:rPr>
          <w:rFonts w:ascii="Palatino Linotype" w:eastAsia="Calibri" w:hAnsi="Palatino Linotype" w:cs="Arial"/>
        </w:rPr>
        <w:lastRenderedPageBreak/>
        <w:t xml:space="preserve">El medio de impugnación fue presentado a través del </w:t>
      </w:r>
      <w:r w:rsidRPr="008C1586">
        <w:rPr>
          <w:rFonts w:ascii="Palatino Linotype" w:eastAsia="Calibri" w:hAnsi="Palatino Linotype" w:cs="Arial"/>
          <w:b/>
        </w:rPr>
        <w:t>SAIMEX,</w:t>
      </w:r>
      <w:r w:rsidRPr="008C1586">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8C1586">
        <w:rPr>
          <w:rFonts w:ascii="Palatino Linotype" w:eastAsia="Calibri" w:hAnsi="Palatino Linotype" w:cs="Arial"/>
          <w:b/>
        </w:rPr>
        <w:t>SUJETO OBLIGADO</w:t>
      </w:r>
      <w:r w:rsidRPr="008C1586">
        <w:rPr>
          <w:rFonts w:ascii="Palatino Linotype" w:eastAsia="Calibri" w:hAnsi="Palatino Linotype" w:cs="Arial"/>
        </w:rPr>
        <w:t xml:space="preserve"> entregó su respuesta el </w:t>
      </w:r>
      <w:r w:rsidR="00276B47" w:rsidRPr="008C1586">
        <w:rPr>
          <w:rFonts w:ascii="Palatino Linotype" w:eastAsia="Calibri" w:hAnsi="Palatino Linotype" w:cs="Arial"/>
          <w:b/>
        </w:rPr>
        <w:t>treinta de abril de dos mi</w:t>
      </w:r>
      <w:r w:rsidR="00E3211F" w:rsidRPr="008C1586">
        <w:rPr>
          <w:rFonts w:ascii="Palatino Linotype" w:eastAsia="Calibri" w:hAnsi="Palatino Linotype" w:cs="Arial"/>
          <w:b/>
        </w:rPr>
        <w:t>l</w:t>
      </w:r>
      <w:r w:rsidR="00276B47" w:rsidRPr="008C1586">
        <w:rPr>
          <w:rFonts w:ascii="Palatino Linotype" w:eastAsia="Calibri" w:hAnsi="Palatino Linotype" w:cs="Arial"/>
          <w:b/>
        </w:rPr>
        <w:t xml:space="preserve"> veinticuatro</w:t>
      </w:r>
      <w:r w:rsidRPr="008C1586">
        <w:rPr>
          <w:rFonts w:ascii="Palatino Linotype" w:eastAsia="Calibri" w:hAnsi="Palatino Linotype" w:cs="Arial"/>
        </w:rPr>
        <w:t xml:space="preserve">, </w:t>
      </w:r>
      <w:r w:rsidRPr="008C1586">
        <w:rPr>
          <w:rFonts w:ascii="Palatino Linotype" w:hAnsi="Palatino Linotype" w:cs="Arial"/>
        </w:rPr>
        <w:t xml:space="preserve">de tal forma que el plazo para interponer el recurso de revisión transcurrió del día </w:t>
      </w:r>
      <w:r w:rsidR="00C474DA" w:rsidRPr="008C1586">
        <w:rPr>
          <w:rFonts w:ascii="Palatino Linotype" w:hAnsi="Palatino Linotype" w:cs="Arial"/>
          <w:b/>
        </w:rPr>
        <w:t xml:space="preserve">tres de mayo al </w:t>
      </w:r>
      <w:r w:rsidR="00E3211F" w:rsidRPr="008C1586">
        <w:rPr>
          <w:rFonts w:ascii="Palatino Linotype" w:hAnsi="Palatino Linotype" w:cs="Arial"/>
          <w:b/>
        </w:rPr>
        <w:t xml:space="preserve"> veinti</w:t>
      </w:r>
      <w:r w:rsidR="00C474DA" w:rsidRPr="008C1586">
        <w:rPr>
          <w:rFonts w:ascii="Palatino Linotype" w:hAnsi="Palatino Linotype" w:cs="Arial"/>
          <w:b/>
        </w:rPr>
        <w:t>cuatro</w:t>
      </w:r>
      <w:r w:rsidR="00E3211F" w:rsidRPr="008C1586">
        <w:rPr>
          <w:rFonts w:ascii="Palatino Linotype" w:hAnsi="Palatino Linotype" w:cs="Arial"/>
          <w:b/>
        </w:rPr>
        <w:t xml:space="preserve"> de </w:t>
      </w:r>
      <w:r w:rsidR="00C474DA" w:rsidRPr="008C1586">
        <w:rPr>
          <w:rFonts w:ascii="Palatino Linotype" w:hAnsi="Palatino Linotype" w:cs="Arial"/>
          <w:b/>
        </w:rPr>
        <w:t>mayo</w:t>
      </w:r>
      <w:r w:rsidR="00E3211F" w:rsidRPr="008C1586">
        <w:rPr>
          <w:rFonts w:ascii="Palatino Linotype" w:hAnsi="Palatino Linotype" w:cs="Arial"/>
          <w:b/>
        </w:rPr>
        <w:t xml:space="preserve"> de dos mil veinticuatro</w:t>
      </w:r>
      <w:r w:rsidRPr="008C1586">
        <w:rPr>
          <w:rFonts w:ascii="Palatino Linotype" w:hAnsi="Palatino Linotype" w:cs="Arial"/>
        </w:rPr>
        <w:t xml:space="preserve">; en consecuencia, el ahora </w:t>
      </w:r>
      <w:r w:rsidRPr="008C1586">
        <w:rPr>
          <w:rFonts w:ascii="Palatino Linotype" w:hAnsi="Palatino Linotype" w:cs="Arial"/>
          <w:b/>
        </w:rPr>
        <w:t>RECURRENTE</w:t>
      </w:r>
      <w:r w:rsidRPr="008C1586">
        <w:rPr>
          <w:rFonts w:ascii="Palatino Linotype" w:hAnsi="Palatino Linotype" w:cs="Arial"/>
        </w:rPr>
        <w:t xml:space="preserve"> presentó su inconformidad el </w:t>
      </w:r>
      <w:r w:rsidR="00C474DA" w:rsidRPr="008C1586">
        <w:rPr>
          <w:rFonts w:ascii="Palatino Linotype" w:hAnsi="Palatino Linotype" w:cs="Arial"/>
        </w:rPr>
        <w:t xml:space="preserve">mismo día </w:t>
      </w:r>
      <w:r w:rsidR="00C474DA" w:rsidRPr="008C1586">
        <w:rPr>
          <w:rFonts w:ascii="Palatino Linotype" w:eastAsia="Calibri" w:hAnsi="Palatino Linotype" w:cs="Arial"/>
        </w:rPr>
        <w:t>el mismo día en que tuvo conocimiento de la respuesta, es decir un día antes de que iniciara el plazo de quince (15) días para la interposición del recurso, así es de señalar que dicha situación no es determinante para declarar el recurso interpuesto extemporáneo, toda vez que el tiempo concedido es para delimitar el término en que pueden impugnarse las respuestas, lo cual no impide que se presenten antes de iniciado el plazo previsto.</w:t>
      </w:r>
    </w:p>
    <w:p w14:paraId="5B6799E7" w14:textId="77777777" w:rsidR="00C474DA" w:rsidRPr="008C1586" w:rsidRDefault="00C474DA" w:rsidP="00C474DA">
      <w:pPr>
        <w:spacing w:line="360" w:lineRule="auto"/>
        <w:ind w:right="49"/>
        <w:contextualSpacing/>
        <w:jc w:val="both"/>
        <w:rPr>
          <w:rFonts w:ascii="Palatino Linotype" w:hAnsi="Palatino Linotype"/>
        </w:rPr>
      </w:pPr>
    </w:p>
    <w:p w14:paraId="3088293B" w14:textId="77777777" w:rsidR="00C474DA" w:rsidRPr="008C1586" w:rsidRDefault="00C474DA" w:rsidP="004E0CA9">
      <w:pPr>
        <w:pStyle w:val="Prrafodelista"/>
        <w:numPr>
          <w:ilvl w:val="0"/>
          <w:numId w:val="1"/>
        </w:numPr>
        <w:spacing w:line="360" w:lineRule="auto"/>
        <w:ind w:left="0" w:firstLine="0"/>
        <w:jc w:val="both"/>
        <w:rPr>
          <w:rFonts w:ascii="Palatino Linotype" w:eastAsia="MS Mincho" w:hAnsi="Palatino Linotype"/>
        </w:rPr>
      </w:pPr>
      <w:r w:rsidRPr="008C1586">
        <w:rPr>
          <w:rFonts w:ascii="Palatino Linotype" w:eastAsia="Calibri" w:hAnsi="Palatino Linotype" w:cs="Arial"/>
        </w:rPr>
        <w:t>Discernimiento de este Órgano Garante que se robustece con la jurisprudencia número 1a./J. 41/2015 (10a.), Décima Época, sustentada por la Primera Sala de la Suprema Corte de Justicia de la Nación, visible en la página 569, libro 19, tomo I, de la Gaceta del Semanario Judicial de la Federación, del mes de junio de 2015, cuyo rubro y texto disponen:</w:t>
      </w:r>
    </w:p>
    <w:p w14:paraId="72A28F00" w14:textId="77777777" w:rsidR="00C474DA" w:rsidRPr="008C1586" w:rsidRDefault="00C474DA" w:rsidP="00C474DA">
      <w:pPr>
        <w:rPr>
          <w:rFonts w:ascii="Palatino Linotype" w:eastAsia="Calibri" w:hAnsi="Palatino Linotype" w:cs="Arial"/>
          <w:i/>
        </w:rPr>
      </w:pPr>
    </w:p>
    <w:p w14:paraId="6154F9A5" w14:textId="77777777" w:rsidR="00C474DA" w:rsidRPr="008C1586" w:rsidRDefault="00C474DA" w:rsidP="00C474DA">
      <w:pPr>
        <w:spacing w:line="360" w:lineRule="auto"/>
        <w:ind w:left="567" w:right="616"/>
        <w:contextualSpacing/>
        <w:jc w:val="both"/>
        <w:rPr>
          <w:rFonts w:ascii="Palatino Linotype" w:eastAsia="Calibri" w:hAnsi="Palatino Linotype" w:cs="Arial"/>
        </w:rPr>
      </w:pPr>
      <w:r w:rsidRPr="008C1586">
        <w:rPr>
          <w:rFonts w:ascii="Palatino Linotype" w:eastAsia="Calibri" w:hAnsi="Palatino Linotype" w:cs="Arial"/>
          <w:b/>
          <w:i/>
        </w:rPr>
        <w:t>RECURSO DE RECLAMACIÓN. SU INTERPOSICIÓN NO ES EXTEMPORÁNEA SI SE REALIZA ANTES DE QUE INICIE EL PLAZO PARA HACERLO.</w:t>
      </w:r>
      <w:r w:rsidRPr="008C1586">
        <w:rPr>
          <w:rFonts w:ascii="Palatino Linotype" w:eastAsia="Calibri" w:hAnsi="Palatino Linotype" w:cs="Arial"/>
          <w:i/>
        </w:rPr>
        <w:t xml:space="preserve">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w:t>
      </w:r>
      <w:r w:rsidRPr="008C1586">
        <w:rPr>
          <w:rFonts w:ascii="Palatino Linotype" w:eastAsia="Calibri" w:hAnsi="Palatino Linotype" w:cs="Arial"/>
          <w:i/>
        </w:rPr>
        <w:lastRenderedPageBreak/>
        <w:t>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15A7A576" w14:textId="77777777" w:rsidR="00435EAB" w:rsidRPr="008C1586" w:rsidRDefault="00435EAB" w:rsidP="00942616">
      <w:pPr>
        <w:rPr>
          <w:rFonts w:ascii="Palatino Linotype" w:eastAsia="Calibri" w:hAnsi="Palatino Linotype" w:cs="Arial"/>
        </w:rPr>
      </w:pPr>
    </w:p>
    <w:p w14:paraId="70B1788E" w14:textId="77777777" w:rsidR="00942616" w:rsidRPr="008C1586" w:rsidRDefault="00942616" w:rsidP="004E0CA9">
      <w:pPr>
        <w:pStyle w:val="Prrafodelista"/>
        <w:numPr>
          <w:ilvl w:val="0"/>
          <w:numId w:val="1"/>
        </w:numPr>
        <w:spacing w:line="360" w:lineRule="auto"/>
        <w:ind w:left="0" w:firstLine="0"/>
        <w:jc w:val="both"/>
        <w:rPr>
          <w:rFonts w:ascii="Palatino Linotype" w:eastAsia="Calibri" w:hAnsi="Palatino Linotype" w:cs="Arial"/>
        </w:rPr>
      </w:pPr>
      <w:r w:rsidRPr="008C1586">
        <w:rPr>
          <w:rFonts w:ascii="Palatino Linotype" w:eastAsia="Calibri" w:hAnsi="Palatino Linotype" w:cs="Arial"/>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636AC809" w14:textId="77777777" w:rsidR="00942616" w:rsidRPr="008C1586" w:rsidRDefault="00942616" w:rsidP="00942616">
      <w:pPr>
        <w:pStyle w:val="Prrafodelista"/>
        <w:spacing w:line="360" w:lineRule="auto"/>
        <w:ind w:left="0"/>
        <w:rPr>
          <w:rFonts w:ascii="Palatino Linotype" w:eastAsia="Calibri" w:hAnsi="Palatino Linotype" w:cs="Arial"/>
        </w:rPr>
      </w:pPr>
    </w:p>
    <w:p w14:paraId="1288E334" w14:textId="77777777" w:rsidR="00942616" w:rsidRPr="008C1586" w:rsidRDefault="00942616" w:rsidP="00942616">
      <w:pPr>
        <w:pStyle w:val="Ttulo1"/>
        <w:spacing w:before="0" w:line="360" w:lineRule="auto"/>
        <w:rPr>
          <w:rFonts w:ascii="Palatino Linotype" w:hAnsi="Palatino Linotype"/>
          <w:b/>
          <w:color w:val="000000" w:themeColor="text1"/>
          <w:sz w:val="24"/>
          <w:szCs w:val="24"/>
        </w:rPr>
      </w:pPr>
      <w:bookmarkStart w:id="140" w:name="_Toc66998086"/>
      <w:bookmarkStart w:id="141" w:name="_Toc70526130"/>
      <w:r w:rsidRPr="008C1586">
        <w:rPr>
          <w:rFonts w:ascii="Palatino Linotype" w:hAnsi="Palatino Linotype"/>
          <w:b/>
          <w:color w:val="auto"/>
          <w:sz w:val="24"/>
          <w:szCs w:val="24"/>
        </w:rPr>
        <w:t xml:space="preserve">TERCERO. </w:t>
      </w:r>
      <w:bookmarkStart w:id="142" w:name="_Toc34246179"/>
      <w:bookmarkStart w:id="143" w:name="_Toc50033991"/>
      <w:bookmarkStart w:id="144" w:name="_Toc51259588"/>
      <w:bookmarkStart w:id="145" w:name="_Toc83128581"/>
      <w:bookmarkStart w:id="146" w:name="_Toc501021589"/>
      <w:bookmarkEnd w:id="140"/>
      <w:bookmarkEnd w:id="141"/>
      <w:r w:rsidRPr="008C1586">
        <w:rPr>
          <w:rFonts w:ascii="Palatino Linotype" w:hAnsi="Palatino Linotype"/>
          <w:b/>
          <w:color w:val="000000" w:themeColor="text1"/>
          <w:sz w:val="24"/>
          <w:szCs w:val="24"/>
        </w:rPr>
        <w:t xml:space="preserve">Del planteamiento de la </w:t>
      </w:r>
      <w:r w:rsidRPr="008C1586">
        <w:rPr>
          <w:rFonts w:ascii="Palatino Linotype" w:hAnsi="Palatino Linotype"/>
          <w:b/>
          <w:i/>
          <w:color w:val="000000" w:themeColor="text1"/>
          <w:sz w:val="24"/>
          <w:szCs w:val="24"/>
        </w:rPr>
        <w:t>Litis</w:t>
      </w:r>
      <w:r w:rsidRPr="008C1586">
        <w:rPr>
          <w:rFonts w:ascii="Palatino Linotype" w:hAnsi="Palatino Linotype"/>
          <w:b/>
          <w:color w:val="000000" w:themeColor="text1"/>
          <w:sz w:val="24"/>
          <w:szCs w:val="24"/>
        </w:rPr>
        <w:t>.</w:t>
      </w:r>
      <w:bookmarkEnd w:id="142"/>
      <w:bookmarkEnd w:id="143"/>
      <w:bookmarkEnd w:id="144"/>
      <w:bookmarkEnd w:id="145"/>
      <w:bookmarkEnd w:id="146"/>
    </w:p>
    <w:p w14:paraId="288104E1" w14:textId="77777777" w:rsidR="00942616" w:rsidRPr="008C1586" w:rsidRDefault="00942616" w:rsidP="00942616">
      <w:pPr>
        <w:spacing w:line="360" w:lineRule="auto"/>
        <w:rPr>
          <w:rFonts w:ascii="Palatino Linotype" w:hAnsi="Palatino Linotype"/>
          <w:lang w:val="es-MX" w:eastAsia="en-US"/>
        </w:rPr>
      </w:pPr>
    </w:p>
    <w:p w14:paraId="78A4EE0C" w14:textId="77777777" w:rsidR="00942616" w:rsidRPr="008C1586" w:rsidRDefault="00942616" w:rsidP="00942616">
      <w:pPr>
        <w:pStyle w:val="Prrafodelista"/>
        <w:numPr>
          <w:ilvl w:val="0"/>
          <w:numId w:val="1"/>
        </w:numPr>
        <w:spacing w:line="360" w:lineRule="auto"/>
        <w:ind w:left="0" w:firstLine="0"/>
        <w:jc w:val="both"/>
        <w:rPr>
          <w:rFonts w:ascii="Palatino Linotype" w:hAnsi="Palatino Linotype" w:cs="Arial"/>
        </w:rPr>
      </w:pPr>
      <w:r w:rsidRPr="008C1586">
        <w:rPr>
          <w:rFonts w:ascii="Palatino Linotype" w:hAnsi="Palatino Linotype" w:cs="Arial"/>
        </w:rPr>
        <w:t xml:space="preserve">Se </w:t>
      </w:r>
      <w:r w:rsidRPr="008C1586">
        <w:rPr>
          <w:rFonts w:ascii="Palatino Linotype" w:eastAsia="Calibri" w:hAnsi="Palatino Linotype" w:cs="Arial"/>
        </w:rPr>
        <w:t>solicitó</w:t>
      </w:r>
      <w:r w:rsidRPr="008C1586">
        <w:rPr>
          <w:rFonts w:ascii="Palatino Linotype" w:hAnsi="Palatino Linotype" w:cs="Arial"/>
        </w:rPr>
        <w:t xml:space="preserve"> tener acceso, a la información que a continuación se desagrega:</w:t>
      </w:r>
    </w:p>
    <w:p w14:paraId="5AC81CD6" w14:textId="77777777" w:rsidR="00435EAB" w:rsidRPr="008C1586" w:rsidRDefault="00435EAB" w:rsidP="00435EAB">
      <w:pPr>
        <w:pStyle w:val="Prrafodelista"/>
        <w:spacing w:line="360" w:lineRule="auto"/>
        <w:ind w:left="778"/>
        <w:jc w:val="both"/>
        <w:rPr>
          <w:rFonts w:ascii="Palatino Linotype" w:hAnsi="Palatino Linotype" w:cs="Arial"/>
          <w:b/>
        </w:rPr>
      </w:pPr>
    </w:p>
    <w:p w14:paraId="77C695C5" w14:textId="77777777" w:rsidR="00E3211F" w:rsidRPr="008C1586" w:rsidRDefault="00E3211F" w:rsidP="00E3211F">
      <w:pPr>
        <w:pStyle w:val="Prrafodelista"/>
        <w:numPr>
          <w:ilvl w:val="0"/>
          <w:numId w:val="39"/>
        </w:numPr>
        <w:spacing w:line="360" w:lineRule="auto"/>
        <w:ind w:right="1041"/>
        <w:jc w:val="both"/>
        <w:rPr>
          <w:rFonts w:ascii="Palatino Linotype" w:hAnsi="Palatino Linotype" w:cs="Arial"/>
        </w:rPr>
      </w:pPr>
      <w:r w:rsidRPr="008C1586">
        <w:rPr>
          <w:rFonts w:ascii="Palatino Linotype" w:hAnsi="Palatino Linotype" w:cs="Arial"/>
        </w:rPr>
        <w:t>Desglose del presupuesto asignado a la Comisión del Agua del Estado de México (CAEM) durante el periodo comprendido entre octubre de 2023 hasta el 9 de abril de 2024:</w:t>
      </w:r>
    </w:p>
    <w:p w14:paraId="429EE60C" w14:textId="77777777" w:rsidR="00E3211F" w:rsidRPr="008C1586" w:rsidRDefault="00E3211F" w:rsidP="00E3211F">
      <w:pPr>
        <w:pStyle w:val="Prrafodelista"/>
        <w:numPr>
          <w:ilvl w:val="0"/>
          <w:numId w:val="39"/>
        </w:numPr>
        <w:spacing w:line="360" w:lineRule="auto"/>
        <w:ind w:right="1041"/>
        <w:jc w:val="both"/>
        <w:rPr>
          <w:rFonts w:ascii="Palatino Linotype" w:hAnsi="Palatino Linotype" w:cs="Arial"/>
        </w:rPr>
      </w:pPr>
      <w:r w:rsidRPr="008C1586">
        <w:rPr>
          <w:rFonts w:ascii="Palatino Linotype" w:hAnsi="Palatino Linotype" w:cs="Arial"/>
        </w:rPr>
        <w:t xml:space="preserve">Detalle de cómo ha sido utilizado el presupuesto mencionado en el punto anterior, especificando los gastos realizados por cada una de las direcciones y subdirecciones pertenecientes a la Comisión del Agua del Estado de México en el periodo mencionado. </w:t>
      </w:r>
    </w:p>
    <w:p w14:paraId="742EDE0F" w14:textId="64EC420F" w:rsidR="00435EAB" w:rsidRPr="008C1586" w:rsidRDefault="00E3211F" w:rsidP="00E3211F">
      <w:pPr>
        <w:pStyle w:val="Prrafodelista"/>
        <w:numPr>
          <w:ilvl w:val="0"/>
          <w:numId w:val="39"/>
        </w:numPr>
        <w:spacing w:line="360" w:lineRule="auto"/>
        <w:ind w:right="1041"/>
        <w:jc w:val="both"/>
        <w:rPr>
          <w:rFonts w:ascii="Palatino Linotype" w:hAnsi="Palatino Linotype" w:cs="Arial"/>
        </w:rPr>
      </w:pPr>
      <w:r w:rsidRPr="008C1586">
        <w:rPr>
          <w:rFonts w:ascii="Palatino Linotype" w:hAnsi="Palatino Linotype" w:cs="Arial"/>
        </w:rPr>
        <w:lastRenderedPageBreak/>
        <w:t>Evidencia documental que respalde el uso o destino de los recursos financieros de la Comisión del Agua del Estado de México desde octubre de 2023 hasta el 9 de abril de 2024.</w:t>
      </w:r>
    </w:p>
    <w:p w14:paraId="3A5584B4" w14:textId="77777777" w:rsidR="00E3211F" w:rsidRPr="008C1586" w:rsidRDefault="00E3211F" w:rsidP="00E3211F">
      <w:pPr>
        <w:spacing w:line="360" w:lineRule="auto"/>
        <w:ind w:right="333"/>
        <w:jc w:val="both"/>
        <w:rPr>
          <w:rFonts w:ascii="Palatino Linotype" w:hAnsi="Palatino Linotype" w:cs="Arial"/>
        </w:rPr>
      </w:pPr>
    </w:p>
    <w:p w14:paraId="140CF175" w14:textId="559C3CA2" w:rsidR="00525313" w:rsidRPr="008C1586" w:rsidRDefault="00942616" w:rsidP="0096402B">
      <w:pPr>
        <w:numPr>
          <w:ilvl w:val="0"/>
          <w:numId w:val="1"/>
        </w:numPr>
        <w:spacing w:line="360" w:lineRule="auto"/>
        <w:ind w:left="0" w:firstLine="0"/>
        <w:contextualSpacing/>
        <w:jc w:val="both"/>
        <w:rPr>
          <w:rFonts w:ascii="Palatino Linotype" w:hAnsi="Palatino Linotype" w:cs="Arial"/>
          <w:i/>
          <w:color w:val="000000" w:themeColor="text1"/>
        </w:rPr>
      </w:pPr>
      <w:r w:rsidRPr="008C1586">
        <w:rPr>
          <w:rFonts w:ascii="Palatino Linotype" w:hAnsi="Palatino Linotype" w:cs="Arial"/>
        </w:rPr>
        <w:t xml:space="preserve">En respuesta, el </w:t>
      </w:r>
      <w:r w:rsidRPr="008C1586">
        <w:rPr>
          <w:rFonts w:ascii="Palatino Linotype" w:hAnsi="Palatino Linotype" w:cs="Arial"/>
          <w:b/>
        </w:rPr>
        <w:t xml:space="preserve">SUJETO OBLIGADO </w:t>
      </w:r>
      <w:r w:rsidR="00435EAB" w:rsidRPr="008C1586">
        <w:rPr>
          <w:rFonts w:ascii="Palatino Linotype" w:hAnsi="Palatino Linotype" w:cs="Arial"/>
        </w:rPr>
        <w:t>dio r</w:t>
      </w:r>
      <w:r w:rsidR="00D04A36" w:rsidRPr="008C1586">
        <w:rPr>
          <w:rFonts w:ascii="Palatino Linotype" w:hAnsi="Palatino Linotype" w:cs="Arial"/>
        </w:rPr>
        <w:t>espuesta como quedo referido en</w:t>
      </w:r>
      <w:r w:rsidR="00435EAB" w:rsidRPr="008C1586">
        <w:rPr>
          <w:rFonts w:ascii="Palatino Linotype" w:hAnsi="Palatino Linotype" w:cs="Arial"/>
        </w:rPr>
        <w:t xml:space="preserve"> </w:t>
      </w:r>
      <w:r w:rsidR="00D04A36" w:rsidRPr="008C1586">
        <w:rPr>
          <w:rFonts w:ascii="Palatino Linotype" w:hAnsi="Palatino Linotype" w:cs="Arial"/>
        </w:rPr>
        <w:t>e</w:t>
      </w:r>
      <w:r w:rsidR="00435EAB" w:rsidRPr="008C1586">
        <w:rPr>
          <w:rFonts w:ascii="Palatino Linotype" w:hAnsi="Palatino Linotype" w:cs="Arial"/>
        </w:rPr>
        <w:t xml:space="preserve">l numeral 2 del presente proyecto </w:t>
      </w:r>
    </w:p>
    <w:p w14:paraId="61C8B8FE" w14:textId="77777777" w:rsidR="0096402B" w:rsidRPr="008C1586" w:rsidRDefault="0096402B" w:rsidP="0096402B">
      <w:pPr>
        <w:spacing w:line="360" w:lineRule="auto"/>
        <w:contextualSpacing/>
        <w:jc w:val="both"/>
        <w:rPr>
          <w:rFonts w:ascii="Palatino Linotype" w:hAnsi="Palatino Linotype" w:cs="Arial"/>
          <w:i/>
          <w:color w:val="000000" w:themeColor="text1"/>
        </w:rPr>
      </w:pPr>
    </w:p>
    <w:p w14:paraId="1001E368" w14:textId="4466296C" w:rsidR="00E3211F" w:rsidRPr="008C1586" w:rsidRDefault="0096402B" w:rsidP="00E3211F">
      <w:pPr>
        <w:numPr>
          <w:ilvl w:val="0"/>
          <w:numId w:val="1"/>
        </w:numPr>
        <w:spacing w:line="360" w:lineRule="auto"/>
        <w:ind w:left="0" w:firstLine="0"/>
        <w:contextualSpacing/>
        <w:jc w:val="both"/>
        <w:rPr>
          <w:rFonts w:ascii="Palatino Linotype" w:hAnsi="Palatino Linotype" w:cs="Arial"/>
          <w:i/>
          <w:color w:val="000000" w:themeColor="text1"/>
        </w:rPr>
      </w:pPr>
      <w:r w:rsidRPr="008C1586">
        <w:rPr>
          <w:rFonts w:ascii="Palatino Linotype" w:hAnsi="Palatino Linotype" w:cs="Arial"/>
          <w:color w:val="000000" w:themeColor="text1"/>
        </w:rPr>
        <w:t xml:space="preserve">Inconforme el </w:t>
      </w:r>
      <w:r w:rsidRPr="008C1586">
        <w:rPr>
          <w:rFonts w:ascii="Palatino Linotype" w:hAnsi="Palatino Linotype" w:cs="Arial"/>
          <w:b/>
          <w:color w:val="000000" w:themeColor="text1"/>
        </w:rPr>
        <w:t>PARTICULAR</w:t>
      </w:r>
      <w:r w:rsidRPr="008C1586">
        <w:rPr>
          <w:rFonts w:ascii="Palatino Linotype" w:hAnsi="Palatino Linotype" w:cs="Arial"/>
          <w:color w:val="000000" w:themeColor="text1"/>
        </w:rPr>
        <w:t>, interpuso recurso de revis</w:t>
      </w:r>
      <w:r w:rsidR="00435EAB" w:rsidRPr="008C1586">
        <w:rPr>
          <w:rFonts w:ascii="Palatino Linotype" w:hAnsi="Palatino Linotype" w:cs="Arial"/>
          <w:color w:val="000000" w:themeColor="text1"/>
        </w:rPr>
        <w:t xml:space="preserve">ión arguyendo medularmente que </w:t>
      </w:r>
      <w:r w:rsidR="00435EAB" w:rsidRPr="008C1586">
        <w:rPr>
          <w:rFonts w:ascii="Palatino Linotype" w:hAnsi="Palatino Linotype" w:cs="Arial"/>
          <w:b/>
          <w:color w:val="000000" w:themeColor="text1"/>
        </w:rPr>
        <w:t>“</w:t>
      </w:r>
      <w:proofErr w:type="spellStart"/>
      <w:r w:rsidR="00E3211F" w:rsidRPr="008C1586">
        <w:rPr>
          <w:rFonts w:ascii="Palatino Linotype" w:hAnsi="Palatino Linotype" w:cs="Arial"/>
          <w:i/>
          <w:color w:val="000000" w:themeColor="text1"/>
        </w:rPr>
        <w:t>negacion</w:t>
      </w:r>
      <w:proofErr w:type="spellEnd"/>
      <w:r w:rsidR="00E3211F" w:rsidRPr="008C1586">
        <w:rPr>
          <w:rFonts w:ascii="Palatino Linotype" w:hAnsi="Palatino Linotype" w:cs="Arial"/>
          <w:i/>
          <w:color w:val="000000" w:themeColor="text1"/>
        </w:rPr>
        <w:t xml:space="preserve"> a acceso a la </w:t>
      </w:r>
      <w:proofErr w:type="spellStart"/>
      <w:r w:rsidR="00E3211F" w:rsidRPr="008C1586">
        <w:rPr>
          <w:rFonts w:ascii="Palatino Linotype" w:hAnsi="Palatino Linotype" w:cs="Arial"/>
          <w:i/>
          <w:color w:val="000000" w:themeColor="text1"/>
        </w:rPr>
        <w:t>informacion</w:t>
      </w:r>
      <w:proofErr w:type="spellEnd"/>
      <w:r w:rsidR="00E3211F" w:rsidRPr="008C1586">
        <w:rPr>
          <w:rFonts w:ascii="Palatino Linotype" w:hAnsi="Palatino Linotype" w:cs="Arial"/>
          <w:i/>
          <w:color w:val="000000" w:themeColor="text1"/>
        </w:rPr>
        <w:t xml:space="preserve"> publica sobre el presupuesto ejercido”</w:t>
      </w:r>
    </w:p>
    <w:p w14:paraId="4F892031" w14:textId="200E107F" w:rsidR="00942616" w:rsidRPr="008C1586" w:rsidRDefault="00942616" w:rsidP="00942616">
      <w:pPr>
        <w:tabs>
          <w:tab w:val="left" w:pos="933"/>
        </w:tabs>
        <w:spacing w:line="360" w:lineRule="auto"/>
        <w:contextualSpacing/>
        <w:jc w:val="both"/>
        <w:rPr>
          <w:rFonts w:ascii="Palatino Linotype" w:eastAsia="MS Mincho" w:hAnsi="Palatino Linotype" w:cs="Arial"/>
        </w:rPr>
      </w:pPr>
    </w:p>
    <w:p w14:paraId="5AA4EABD" w14:textId="0F48E5F9" w:rsidR="00942616" w:rsidRPr="008C1586"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8C1586">
        <w:rPr>
          <w:rFonts w:ascii="Palatino Linotype" w:eastAsia="MS Mincho" w:hAnsi="Palatino Linotype" w:cs="Arial"/>
        </w:rPr>
        <w:t xml:space="preserve">En </w:t>
      </w:r>
      <w:r w:rsidRPr="008C1586">
        <w:rPr>
          <w:rFonts w:ascii="Palatino Linotype" w:hAnsi="Palatino Linotype" w:cs="Arial"/>
          <w:lang w:eastAsia="es-MX"/>
        </w:rPr>
        <w:t>dichas</w:t>
      </w:r>
      <w:r w:rsidRPr="008C1586">
        <w:rPr>
          <w:rFonts w:ascii="Palatino Linotype" w:eastAsia="Times New Roman" w:hAnsi="Palatino Linotype" w:cs="Arial"/>
        </w:rPr>
        <w:t xml:space="preserve"> condiciones, la </w:t>
      </w:r>
      <w:r w:rsidRPr="008C1586">
        <w:rPr>
          <w:rFonts w:ascii="Palatino Linotype" w:eastAsia="Times New Roman" w:hAnsi="Palatino Linotype" w:cs="Arial"/>
          <w:i/>
        </w:rPr>
        <w:t>Litis</w:t>
      </w:r>
      <w:r w:rsidRPr="008C1586">
        <w:rPr>
          <w:rFonts w:ascii="Palatino Linotype" w:eastAsia="Times New Roman" w:hAnsi="Palatino Linotype" w:cs="Arial"/>
        </w:rPr>
        <w:t xml:space="preserve"> a resolver en este recurso se circunscribe a determinar si </w:t>
      </w:r>
      <w:r w:rsidRPr="008C1586">
        <w:rPr>
          <w:rFonts w:ascii="Palatino Linotype" w:eastAsia="MS Mincho" w:hAnsi="Palatino Linotype" w:cs="Arial"/>
        </w:rPr>
        <w:t xml:space="preserve">se actualiza la causal de procedencia prevista en el artículo 179, </w:t>
      </w:r>
      <w:r w:rsidR="00525313" w:rsidRPr="008C1586">
        <w:rPr>
          <w:rFonts w:ascii="Palatino Linotype" w:eastAsia="MS Mincho" w:hAnsi="Palatino Linotype" w:cs="Arial"/>
          <w:b/>
        </w:rPr>
        <w:t>fracción I</w:t>
      </w:r>
      <w:r w:rsidRPr="008C1586">
        <w:rPr>
          <w:rFonts w:ascii="Palatino Linotype" w:eastAsia="MS Mincho" w:hAnsi="Palatino Linotype" w:cs="Arial"/>
          <w:b/>
        </w:rPr>
        <w:t xml:space="preserve"> </w:t>
      </w:r>
      <w:r w:rsidRPr="008C1586">
        <w:rPr>
          <w:rFonts w:ascii="Palatino Linotype" w:eastAsia="MS Mincho" w:hAnsi="Palatino Linotype" w:cs="Arial"/>
        </w:rPr>
        <w:t xml:space="preserve">de la </w:t>
      </w:r>
      <w:r w:rsidRPr="008C1586">
        <w:rPr>
          <w:rFonts w:ascii="Palatino Linotype" w:eastAsia="MS Mincho" w:hAnsi="Palatino Linotype" w:cs="Arial"/>
          <w:b/>
        </w:rPr>
        <w:t xml:space="preserve">Ley de Transparencia y Acceso a la Información Pública del Estado de </w:t>
      </w:r>
      <w:r w:rsidRPr="008C1586">
        <w:rPr>
          <w:rFonts w:ascii="Palatino Linotype" w:hAnsi="Palatino Linotype" w:cs="Arial"/>
        </w:rPr>
        <w:t>México</w:t>
      </w:r>
      <w:r w:rsidRPr="008C1586">
        <w:rPr>
          <w:rFonts w:ascii="Palatino Linotype" w:eastAsia="MS Mincho" w:hAnsi="Palatino Linotype" w:cs="Arial"/>
          <w:b/>
        </w:rPr>
        <w:t xml:space="preserve"> y </w:t>
      </w:r>
      <w:r w:rsidRPr="008C1586">
        <w:rPr>
          <w:rFonts w:ascii="Palatino Linotype" w:hAnsi="Palatino Linotype" w:cs="Arial"/>
        </w:rPr>
        <w:t>Municipios</w:t>
      </w:r>
      <w:r w:rsidRPr="008C1586">
        <w:rPr>
          <w:rFonts w:ascii="Palatino Linotype" w:eastAsia="MS Mincho" w:hAnsi="Palatino Linotype" w:cs="Arial"/>
        </w:rPr>
        <w:t xml:space="preserve">; </w:t>
      </w:r>
      <w:r w:rsidRPr="008C1586">
        <w:rPr>
          <w:rFonts w:ascii="Palatino Linotype" w:eastAsia="Times New Roman" w:hAnsi="Palatino Linotype" w:cs="Arial"/>
          <w:color w:val="000000" w:themeColor="text1"/>
          <w:lang w:val="es-ES" w:eastAsia="es-MX"/>
        </w:rPr>
        <w:t>fracción que determina la hipótesis jurídica relativa a la</w:t>
      </w:r>
      <w:r w:rsidR="00CC56ED" w:rsidRPr="008C1586">
        <w:rPr>
          <w:rFonts w:ascii="Palatino Linotype" w:eastAsia="Times New Roman" w:hAnsi="Palatino Linotype" w:cs="Arial"/>
          <w:color w:val="000000" w:themeColor="text1"/>
          <w:lang w:val="es-ES" w:eastAsia="es-MX"/>
        </w:rPr>
        <w:t xml:space="preserve"> </w:t>
      </w:r>
      <w:r w:rsidR="00887A17" w:rsidRPr="008C1586">
        <w:rPr>
          <w:rFonts w:ascii="Palatino Linotype" w:eastAsia="Times New Roman" w:hAnsi="Palatino Linotype" w:cs="Arial"/>
          <w:color w:val="000000" w:themeColor="text1"/>
          <w:lang w:val="es-ES" w:eastAsia="es-MX"/>
        </w:rPr>
        <w:t>negativa a la información solicitada</w:t>
      </w:r>
      <w:r w:rsidRPr="008C1586">
        <w:rPr>
          <w:rFonts w:ascii="Palatino Linotype" w:eastAsia="Times New Roman" w:hAnsi="Palatino Linotype" w:cs="Arial"/>
          <w:color w:val="000000" w:themeColor="text1"/>
          <w:lang w:val="es-ES" w:eastAsia="es-MX"/>
        </w:rPr>
        <w:t xml:space="preserve">; </w:t>
      </w:r>
      <w:r w:rsidRPr="008C1586">
        <w:rPr>
          <w:rFonts w:ascii="Palatino Linotype" w:eastAsia="MS Mincho" w:hAnsi="Palatino Linotype" w:cs="Arial"/>
        </w:rPr>
        <w:t xml:space="preserve">contexto del cual se dolió </w:t>
      </w:r>
      <w:r w:rsidRPr="008C1586">
        <w:rPr>
          <w:rFonts w:ascii="Palatino Linotype" w:eastAsia="MS Mincho" w:hAnsi="Palatino Linotype" w:cs="Arial"/>
          <w:b/>
        </w:rPr>
        <w:t xml:space="preserve">EL RECURRENTE </w:t>
      </w:r>
      <w:r w:rsidRPr="008C1586">
        <w:rPr>
          <w:rFonts w:ascii="Palatino Linotype" w:eastAsia="MS Mincho" w:hAnsi="Palatino Linotype" w:cs="Arial"/>
        </w:rPr>
        <w:t>al momento de interponer su inconformidad.</w:t>
      </w:r>
      <w:r w:rsidRPr="008C1586">
        <w:rPr>
          <w:rFonts w:ascii="Palatino Linotype" w:eastAsia="Times New Roman" w:hAnsi="Palatino Linotype" w:cs="Arial"/>
          <w:color w:val="000000" w:themeColor="text1"/>
          <w:lang w:val="es-ES" w:eastAsia="es-MX"/>
        </w:rPr>
        <w:t xml:space="preserve"> De modo tal </w:t>
      </w:r>
      <w:r w:rsidRPr="008C1586">
        <w:rPr>
          <w:rFonts w:ascii="Palatino Linotype" w:hAnsi="Palatino Linotype" w:cs="Arial"/>
          <w:color w:val="000000" w:themeColor="text1"/>
        </w:rPr>
        <w:t xml:space="preserve">que el presente recurso de revisión se abocara en determinar si el </w:t>
      </w:r>
      <w:r w:rsidRPr="008C1586">
        <w:rPr>
          <w:rFonts w:ascii="Palatino Linotype" w:hAnsi="Palatino Linotype" w:cs="Arial"/>
          <w:b/>
          <w:color w:val="000000" w:themeColor="text1"/>
        </w:rPr>
        <w:t>SUJETO</w:t>
      </w:r>
      <w:r w:rsidRPr="008C1586">
        <w:rPr>
          <w:rFonts w:ascii="Palatino Linotype" w:hAnsi="Palatino Linotype" w:cs="Arial"/>
          <w:color w:val="000000" w:themeColor="text1"/>
        </w:rPr>
        <w:t xml:space="preserve"> </w:t>
      </w:r>
      <w:r w:rsidRPr="008C1586">
        <w:rPr>
          <w:rFonts w:ascii="Palatino Linotype" w:hAnsi="Palatino Linotype" w:cs="Arial"/>
          <w:b/>
          <w:color w:val="000000" w:themeColor="text1"/>
        </w:rPr>
        <w:t>OBLIGADO</w:t>
      </w:r>
      <w:r w:rsidRPr="008C1586">
        <w:rPr>
          <w:rFonts w:ascii="Palatino Linotype" w:hAnsi="Palatino Linotype" w:cs="Arial"/>
          <w:color w:val="000000" w:themeColor="text1"/>
        </w:rPr>
        <w:t xml:space="preserve"> con su respuesta ciertamente </w:t>
      </w:r>
      <w:r w:rsidRPr="008C1586">
        <w:rPr>
          <w:rFonts w:ascii="Palatino Linotype" w:eastAsia="Times New Roman" w:hAnsi="Palatino Linotype"/>
          <w:color w:val="000000" w:themeColor="text1"/>
        </w:rPr>
        <w:t>actualiza la causal de procedencia</w:t>
      </w:r>
      <w:r w:rsidRPr="008C1586">
        <w:rPr>
          <w:rFonts w:ascii="Palatino Linotype" w:eastAsia="Times New Roman" w:hAnsi="Palatino Linotype"/>
          <w:b/>
          <w:color w:val="000000" w:themeColor="text1"/>
        </w:rPr>
        <w:t xml:space="preserve"> </w:t>
      </w:r>
      <w:r w:rsidRPr="008C1586">
        <w:rPr>
          <w:rFonts w:ascii="Palatino Linotype" w:eastAsia="Times New Roman" w:hAnsi="Palatino Linotype" w:cs="Arial"/>
          <w:color w:val="000000" w:themeColor="text1"/>
          <w:lang w:eastAsia="es-MX"/>
        </w:rPr>
        <w:t xml:space="preserve">antes señalada. </w:t>
      </w:r>
    </w:p>
    <w:p w14:paraId="03CE46EE" w14:textId="77777777" w:rsidR="00942616" w:rsidRPr="008C1586" w:rsidRDefault="00942616" w:rsidP="00942616">
      <w:pPr>
        <w:spacing w:line="360" w:lineRule="auto"/>
        <w:rPr>
          <w:rFonts w:ascii="Palatino Linotype" w:eastAsia="MS Mincho" w:hAnsi="Palatino Linotype" w:cs="Arial"/>
        </w:rPr>
      </w:pPr>
    </w:p>
    <w:p w14:paraId="1B83CC04" w14:textId="77777777" w:rsidR="00942616" w:rsidRPr="008C1586" w:rsidRDefault="00942616" w:rsidP="00942616">
      <w:pPr>
        <w:pStyle w:val="Ttulo2"/>
        <w:spacing w:before="0" w:line="360" w:lineRule="auto"/>
        <w:rPr>
          <w:rFonts w:ascii="Palatino Linotype" w:hAnsi="Palatino Linotype"/>
          <w:b/>
          <w:color w:val="000000" w:themeColor="text1"/>
          <w:sz w:val="24"/>
          <w:szCs w:val="24"/>
        </w:rPr>
      </w:pPr>
      <w:bookmarkStart w:id="147" w:name="_Toc495427545"/>
      <w:bookmarkStart w:id="148" w:name="_Toc23414596"/>
      <w:bookmarkStart w:id="149" w:name="_Toc34819433"/>
      <w:bookmarkStart w:id="150" w:name="_Toc51259589"/>
      <w:bookmarkStart w:id="151" w:name="_Toc83128582"/>
      <w:r w:rsidRPr="008C1586">
        <w:rPr>
          <w:rFonts w:ascii="Palatino Linotype" w:hAnsi="Palatino Linotype"/>
          <w:b/>
          <w:color w:val="000000" w:themeColor="text1"/>
          <w:sz w:val="24"/>
          <w:szCs w:val="24"/>
        </w:rPr>
        <w:t>CUARTO. Del estudio y resolución del asunto.</w:t>
      </w:r>
      <w:bookmarkEnd w:id="147"/>
      <w:bookmarkEnd w:id="148"/>
      <w:bookmarkEnd w:id="149"/>
      <w:bookmarkEnd w:id="150"/>
      <w:bookmarkEnd w:id="151"/>
    </w:p>
    <w:p w14:paraId="66DE95D7" w14:textId="0B7965C4" w:rsidR="00942616" w:rsidRPr="008C1586" w:rsidRDefault="00942616" w:rsidP="00942616">
      <w:pPr>
        <w:spacing w:line="360" w:lineRule="auto"/>
        <w:jc w:val="both"/>
        <w:rPr>
          <w:rFonts w:ascii="Palatino Linotype" w:hAnsi="Palatino Linotype"/>
        </w:rPr>
      </w:pPr>
    </w:p>
    <w:p w14:paraId="3696F214" w14:textId="77777777" w:rsidR="00BC5F48" w:rsidRPr="008C1586" w:rsidRDefault="00BC5F48" w:rsidP="00BC5F48">
      <w:pPr>
        <w:numPr>
          <w:ilvl w:val="0"/>
          <w:numId w:val="1"/>
        </w:numPr>
        <w:spacing w:line="360" w:lineRule="auto"/>
        <w:ind w:left="0"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 xml:space="preserve">Ahora bien, se procede al análisis del presente recurso, así como al contenido íntegro de las actuaciones que obran en el expediente electrónico, para así estar en </w:t>
      </w:r>
      <w:r w:rsidRPr="008C1586">
        <w:rPr>
          <w:rFonts w:ascii="Palatino Linotype" w:eastAsia="Times New Roman" w:hAnsi="Palatino Linotype" w:cs="Arial"/>
          <w:lang w:val="es-ES"/>
        </w:rPr>
        <w:lastRenderedPageBreak/>
        <w:t>posibilidades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3D107216" w14:textId="77777777" w:rsidR="00435EAB" w:rsidRPr="008C1586" w:rsidRDefault="00435EAB" w:rsidP="00435EAB">
      <w:pPr>
        <w:spacing w:line="360" w:lineRule="auto"/>
        <w:contextualSpacing/>
        <w:jc w:val="both"/>
        <w:rPr>
          <w:rFonts w:ascii="Palatino Linotype" w:eastAsia="Times New Roman" w:hAnsi="Palatino Linotype" w:cs="Arial"/>
          <w:lang w:val="es-ES"/>
        </w:rPr>
      </w:pPr>
    </w:p>
    <w:p w14:paraId="718B0E96" w14:textId="51590E33" w:rsidR="00435EAB" w:rsidRPr="008C1586"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8C1586">
        <w:rPr>
          <w:rFonts w:ascii="Palatino Linotype" w:eastAsia="Times New Roman" w:hAnsi="Palatino Linotype" w:cs="Palatino Linotype"/>
          <w:lang w:val="es-MX" w:eastAsia="en-US"/>
        </w:rPr>
        <w:t xml:space="preserve">Primeramente es necesario señalar que el particular no impugno la totalidad de rubros que conformaron la solicitud de información, por lo que en el recurso de revisión </w:t>
      </w:r>
      <w:r w:rsidR="008370A7" w:rsidRPr="008C1586">
        <w:rPr>
          <w:rFonts w:ascii="Palatino Linotype" w:eastAsia="Times New Roman" w:hAnsi="Palatino Linotype" w:cs="Palatino Linotype"/>
          <w:lang w:val="es-MX" w:eastAsia="en-US"/>
        </w:rPr>
        <w:t>se observa que no inconforma por el contenido de la respuesta, solamente se inconforma por el procesamiento de la misma</w:t>
      </w:r>
      <w:r w:rsidRPr="008C1586">
        <w:rPr>
          <w:rFonts w:ascii="Palatino Linotype" w:eastAsia="Times New Roman" w:hAnsi="Palatino Linotype" w:cs="Palatino Linotype"/>
          <w:lang w:val="es-MX" w:eastAsia="en-US"/>
        </w:rPr>
        <w:t xml:space="preserve">, </w:t>
      </w:r>
      <w:r w:rsidR="008370A7" w:rsidRPr="008C1586">
        <w:rPr>
          <w:rFonts w:ascii="Palatino Linotype" w:eastAsia="Times New Roman" w:hAnsi="Palatino Linotype" w:cs="Palatino Linotype"/>
          <w:lang w:val="es-MX" w:eastAsia="en-US"/>
        </w:rPr>
        <w:t xml:space="preserve">por lo que el contenido de la información </w:t>
      </w:r>
      <w:r w:rsidRPr="008C1586">
        <w:rPr>
          <w:rFonts w:ascii="Palatino Linotype" w:eastAsia="Times New Roman" w:hAnsi="Palatino Linotype" w:cs="Palatino Linotype"/>
          <w:lang w:val="es-MX" w:eastAsia="en-US"/>
        </w:rPr>
        <w:t xml:space="preserve">se tiene como actos consentidos, de tal forma que, la parte de la solicitud que no fue impugnada debe declararse consentida, toda vez que al no realizar manifestaciones de inconformidad; no pueden producirse </w:t>
      </w:r>
      <w:r w:rsidRPr="008C1586">
        <w:rPr>
          <w:rFonts w:ascii="Palatino Linotype" w:eastAsia="Times New Roman" w:hAnsi="Palatino Linotype" w:cs="Arial"/>
        </w:rPr>
        <w:t>efectos</w:t>
      </w:r>
      <w:r w:rsidRPr="008C1586">
        <w:rPr>
          <w:rFonts w:ascii="Palatino Linotype" w:eastAsia="Times New Roman" w:hAnsi="Palatino Linotype" w:cs="Palatino Linotype"/>
          <w:lang w:val="es-MX" w:eastAsia="en-US"/>
        </w:rPr>
        <w:t xml:space="preserve"> jurídicos tendentes a revocar, confirmar o modificar el acto reclamado, ya que no realizó manifestación alguna al respecto. </w:t>
      </w:r>
    </w:p>
    <w:p w14:paraId="7CA22EB8" w14:textId="77777777" w:rsidR="00435EAB" w:rsidRPr="008C1586" w:rsidRDefault="00435EAB" w:rsidP="00435EAB">
      <w:pPr>
        <w:spacing w:line="360" w:lineRule="auto"/>
        <w:ind w:right="49"/>
        <w:contextualSpacing/>
        <w:jc w:val="both"/>
        <w:rPr>
          <w:rFonts w:ascii="Palatino Linotype" w:eastAsia="Times New Roman" w:hAnsi="Palatino Linotype" w:cs="Palatino Linotype"/>
          <w:lang w:val="es-MX" w:eastAsia="en-US"/>
        </w:rPr>
      </w:pPr>
    </w:p>
    <w:p w14:paraId="74E75508" w14:textId="77777777" w:rsidR="00435EAB" w:rsidRPr="008C1586"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8C1586">
        <w:rPr>
          <w:rFonts w:ascii="Palatino Linotype" w:eastAsia="Times New Roman" w:hAnsi="Palatino Linotype" w:cs="Palatino Linotype"/>
          <w:lang w:val="es-MX" w:eastAsia="en-US"/>
        </w:rPr>
        <w:t>Sirve de sustento, la tesis jurisprudencial número VI.3o.C. J/60, publicada en el Semanario Judicial de la Federación y su Gaceta bajo el número de registro 176,608 que a la letra dice:</w:t>
      </w:r>
    </w:p>
    <w:p w14:paraId="69B60E69" w14:textId="77777777" w:rsidR="00435EAB" w:rsidRPr="008C1586" w:rsidRDefault="00435EAB" w:rsidP="00435EAB">
      <w:pPr>
        <w:spacing w:line="360" w:lineRule="auto"/>
        <w:ind w:left="720"/>
        <w:contextualSpacing/>
        <w:rPr>
          <w:rFonts w:ascii="Palatino Linotype" w:eastAsia="Times New Roman" w:hAnsi="Palatino Linotype" w:cs="Palatino Linotype"/>
        </w:rPr>
      </w:pPr>
    </w:p>
    <w:p w14:paraId="0853D1C0" w14:textId="77777777" w:rsidR="00435EAB" w:rsidRPr="008C1586" w:rsidRDefault="00435EAB" w:rsidP="00435EAB">
      <w:pPr>
        <w:tabs>
          <w:tab w:val="left" w:pos="851"/>
        </w:tabs>
        <w:spacing w:line="360" w:lineRule="auto"/>
        <w:ind w:left="502" w:right="616"/>
        <w:contextualSpacing/>
        <w:jc w:val="both"/>
        <w:rPr>
          <w:rFonts w:ascii="Palatino Linotype" w:eastAsia="Times New Roman" w:hAnsi="Palatino Linotype" w:cs="Palatino Linotype"/>
          <w:i/>
        </w:rPr>
      </w:pPr>
      <w:r w:rsidRPr="008C1586">
        <w:rPr>
          <w:rFonts w:ascii="Palatino Linotype" w:eastAsia="Times New Roman" w:hAnsi="Palatino Linotype" w:cs="Palatino Linotype"/>
          <w:b/>
          <w:i/>
        </w:rPr>
        <w:t xml:space="preserve">“ACTOS CONSENTIDOS. SON LOS QUE NO SE IMPUGNAN MEDIANTE EL RECURSO IDÓNEO. </w:t>
      </w:r>
      <w:r w:rsidRPr="008C1586">
        <w:rPr>
          <w:rFonts w:ascii="Palatino Linotype" w:eastAsia="Times New Roman" w:hAnsi="Palatino Linotype" w:cs="Palatino Linotype"/>
          <w:i/>
        </w:rPr>
        <w:t xml:space="preserve">Debe reputarse como consentido el acto que no se impugnó por el medio establecido por la ley, ya que si se hizo uso </w:t>
      </w:r>
      <w:r w:rsidRPr="008C1586">
        <w:rPr>
          <w:rFonts w:ascii="Palatino Linotype" w:eastAsia="Times New Roman" w:hAnsi="Palatino Linotype" w:cs="Palatino Linotype"/>
          <w:i/>
        </w:rPr>
        <w:lastRenderedPageBreak/>
        <w:t>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12A2730B" w14:textId="77777777" w:rsidR="00435EAB" w:rsidRPr="008C1586" w:rsidRDefault="00435EAB" w:rsidP="00435EAB">
      <w:pPr>
        <w:spacing w:line="360" w:lineRule="auto"/>
        <w:ind w:left="502"/>
        <w:contextualSpacing/>
        <w:jc w:val="both"/>
        <w:rPr>
          <w:rFonts w:ascii="Palatino Linotype" w:eastAsia="Times New Roman" w:hAnsi="Palatino Linotype" w:cs="Palatino Linotype"/>
        </w:rPr>
      </w:pPr>
    </w:p>
    <w:p w14:paraId="7D241AA0" w14:textId="77777777" w:rsidR="00435EAB" w:rsidRPr="008C1586"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8C1586">
        <w:rPr>
          <w:rFonts w:ascii="Palatino Linotype" w:eastAsia="Times New Roman" w:hAnsi="Palatino Linotype" w:cs="Palatino Linotype"/>
          <w:lang w:val="es-MX" w:eastAsia="en-US"/>
        </w:rPr>
        <w:t xml:space="preserve">De la interpretación del criterio antes citado, se advierte que cuando el particular impugnó la respuesta del </w:t>
      </w:r>
      <w:r w:rsidRPr="008C1586">
        <w:rPr>
          <w:rFonts w:ascii="Palatino Linotype" w:eastAsia="Times New Roman" w:hAnsi="Palatino Linotype" w:cs="Palatino Linotype"/>
          <w:b/>
          <w:lang w:val="es-MX" w:eastAsia="en-US"/>
        </w:rPr>
        <w:t>SUJETO OBLIGADO</w:t>
      </w:r>
      <w:r w:rsidRPr="008C1586">
        <w:rPr>
          <w:rFonts w:ascii="Palatino Linotype" w:eastAsia="Times New Roman" w:hAnsi="Palatino Linotype" w:cs="Palatino Linotype"/>
          <w:lang w:val="es-MX" w:eastAsia="en-US"/>
        </w:rPr>
        <w:t xml:space="preserve">, no expresó razón o motivo de inconformidad en contra de todos los rubros solicitados, por tanto estos deben declararse atendidos, pues se entiende que </w:t>
      </w:r>
      <w:r w:rsidRPr="008C1586">
        <w:rPr>
          <w:rFonts w:ascii="Palatino Linotype" w:eastAsia="Times New Roman" w:hAnsi="Palatino Linotype" w:cs="Palatino Linotype"/>
          <w:b/>
          <w:lang w:val="es-MX" w:eastAsia="en-US"/>
        </w:rPr>
        <w:t>EL RECURRENTE</w:t>
      </w:r>
      <w:r w:rsidRPr="008C1586">
        <w:rPr>
          <w:rFonts w:ascii="Palatino Linotype" w:eastAsia="Times New Roman" w:hAnsi="Palatino Linotype" w:cs="Palatino Linotype"/>
          <w:lang w:val="es-MX" w:eastAsia="en-US"/>
        </w:rPr>
        <w:t xml:space="preserve"> está conforme con la respuesta proporcionada por </w:t>
      </w:r>
      <w:r w:rsidRPr="008C1586">
        <w:rPr>
          <w:rFonts w:ascii="Palatino Linotype" w:eastAsia="Times New Roman" w:hAnsi="Palatino Linotype" w:cs="Palatino Linotype"/>
          <w:b/>
          <w:lang w:val="es-MX" w:eastAsia="en-US"/>
        </w:rPr>
        <w:t>EL SUJETO OBLIGADO,</w:t>
      </w:r>
      <w:r w:rsidRPr="008C1586">
        <w:rPr>
          <w:rFonts w:ascii="Palatino Linotype" w:eastAsia="Times New Roman" w:hAnsi="Palatino Linotype" w:cs="Palatino Linotype"/>
          <w:lang w:val="es-MX" w:eastAsia="en-US"/>
        </w:rPr>
        <w:t xml:space="preserve"> al no contravenir la misma. </w:t>
      </w:r>
    </w:p>
    <w:p w14:paraId="6D1E5DB7" w14:textId="77777777" w:rsidR="00435EAB" w:rsidRPr="008C1586" w:rsidRDefault="00435EAB" w:rsidP="00435EAB">
      <w:pPr>
        <w:spacing w:after="160" w:line="360" w:lineRule="auto"/>
        <w:ind w:right="49"/>
        <w:contextualSpacing/>
        <w:jc w:val="both"/>
        <w:rPr>
          <w:rFonts w:ascii="Palatino Linotype" w:eastAsia="Times New Roman" w:hAnsi="Palatino Linotype" w:cs="Palatino Linotype"/>
          <w:lang w:val="es-MX" w:eastAsia="en-US"/>
        </w:rPr>
      </w:pPr>
    </w:p>
    <w:p w14:paraId="40FE1D68" w14:textId="77777777" w:rsidR="00435EAB" w:rsidRPr="008C1586" w:rsidRDefault="00435EAB" w:rsidP="00435EAB">
      <w:pPr>
        <w:numPr>
          <w:ilvl w:val="0"/>
          <w:numId w:val="1"/>
        </w:numPr>
        <w:spacing w:line="360" w:lineRule="auto"/>
        <w:ind w:left="0" w:right="49" w:firstLine="0"/>
        <w:contextualSpacing/>
        <w:jc w:val="both"/>
        <w:rPr>
          <w:rFonts w:ascii="Palatino Linotype" w:eastAsia="Times New Roman" w:hAnsi="Palatino Linotype" w:cs="Palatino Linotype"/>
          <w:lang w:val="es-MX" w:eastAsia="en-US"/>
        </w:rPr>
      </w:pPr>
      <w:r w:rsidRPr="008C1586">
        <w:rPr>
          <w:rFonts w:ascii="Palatino Linotype" w:eastAsia="Times New Roman" w:hAnsi="Palatino Linotype" w:cs="Palatino Linotype"/>
          <w:lang w:val="es-MX" w:eastAsia="en-US"/>
        </w:rPr>
        <w:t>Atento a ello, es importante traer a contexto la Tesis Jurisprudencial Número 3ª./J.7/91, Publicada en el Semanario Judicial de la Federación y su Gaceta bajo el número de registro 174,177, que establece lo siguiente:</w:t>
      </w:r>
    </w:p>
    <w:p w14:paraId="6FBAF638" w14:textId="77777777" w:rsidR="00435EAB" w:rsidRPr="008C1586" w:rsidRDefault="00435EAB" w:rsidP="00435EAB">
      <w:pPr>
        <w:tabs>
          <w:tab w:val="left" w:pos="7937"/>
          <w:tab w:val="left" w:pos="8222"/>
        </w:tabs>
        <w:spacing w:line="360" w:lineRule="auto"/>
        <w:ind w:left="502" w:right="901"/>
        <w:contextualSpacing/>
        <w:jc w:val="both"/>
        <w:rPr>
          <w:rFonts w:ascii="Palatino Linotype" w:eastAsia="Times New Roman" w:hAnsi="Palatino Linotype" w:cs="Palatino Linotype"/>
          <w:b/>
          <w:i/>
        </w:rPr>
      </w:pPr>
    </w:p>
    <w:p w14:paraId="64A492E9" w14:textId="2CB5BDC7" w:rsidR="00FE2702" w:rsidRPr="008C1586" w:rsidRDefault="00435EAB" w:rsidP="00435EAB">
      <w:pPr>
        <w:tabs>
          <w:tab w:val="left" w:pos="7937"/>
          <w:tab w:val="left" w:pos="8222"/>
        </w:tabs>
        <w:spacing w:line="360" w:lineRule="auto"/>
        <w:ind w:left="502" w:right="901"/>
        <w:contextualSpacing/>
        <w:jc w:val="both"/>
        <w:rPr>
          <w:rFonts w:ascii="Palatino Linotype" w:eastAsia="Times New Roman" w:hAnsi="Palatino Linotype" w:cs="Palatino Linotype"/>
          <w:i/>
        </w:rPr>
      </w:pPr>
      <w:r w:rsidRPr="008C1586">
        <w:rPr>
          <w:rFonts w:ascii="Palatino Linotype" w:eastAsia="Times New Roman" w:hAnsi="Palatino Linotype" w:cs="Palatino Linotype"/>
          <w:b/>
          <w:i/>
        </w:rPr>
        <w:t xml:space="preserve">“REVISIÓN EN AMPARO. LOS RESOLUTIVOS NO COMBATIDOS DEBEN DECLARARSE FIRMES. </w:t>
      </w:r>
      <w:r w:rsidRPr="008C1586">
        <w:rPr>
          <w:rFonts w:ascii="Palatino Linotype" w:eastAsia="Times New Roman" w:hAnsi="Palatino Linotype" w:cs="Palatino Linotype"/>
          <w:i/>
        </w:rPr>
        <w:t xml:space="preserve">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w:t>
      </w:r>
      <w:r w:rsidRPr="008C1586">
        <w:rPr>
          <w:rFonts w:ascii="Palatino Linotype" w:eastAsia="Times New Roman" w:hAnsi="Palatino Linotype" w:cs="Palatino Linotype"/>
          <w:i/>
        </w:rPr>
        <w:lastRenderedPageBreak/>
        <w:t>firmeza debe reflejarse en la parte considerativa y en los resolutivos debe confirmarse la sentencia recurrida en la parte correspondiente.”</w:t>
      </w:r>
    </w:p>
    <w:p w14:paraId="162A162E" w14:textId="77777777" w:rsidR="00435EAB" w:rsidRPr="008C1586" w:rsidRDefault="00435EAB" w:rsidP="00435EAB">
      <w:pPr>
        <w:spacing w:line="360" w:lineRule="auto"/>
        <w:contextualSpacing/>
        <w:jc w:val="both"/>
        <w:rPr>
          <w:rFonts w:ascii="Palatino Linotype" w:eastAsia="Times New Roman" w:hAnsi="Palatino Linotype" w:cs="Arial"/>
          <w:lang w:val="es-ES"/>
        </w:rPr>
      </w:pPr>
    </w:p>
    <w:p w14:paraId="0CADFD78" w14:textId="59C5F327" w:rsidR="002A5304" w:rsidRPr="008C1586" w:rsidRDefault="002A5304" w:rsidP="00435EAB">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Precisado lo</w:t>
      </w:r>
      <w:r w:rsidR="00435EAB" w:rsidRPr="008C1586">
        <w:rPr>
          <w:rFonts w:ascii="Palatino Linotype" w:eastAsia="Times New Roman" w:hAnsi="Palatino Linotype" w:cs="Arial"/>
          <w:lang w:val="es-ES"/>
        </w:rPr>
        <w:t xml:space="preserve"> anterior, </w:t>
      </w:r>
      <w:r w:rsidRPr="008C1586">
        <w:rPr>
          <w:rFonts w:ascii="Palatino Linotype" w:eastAsia="Times New Roman" w:hAnsi="Palatino Linotype" w:cs="Arial"/>
          <w:lang w:val="es-ES"/>
        </w:rPr>
        <w:t xml:space="preserve">se </w:t>
      </w:r>
      <w:r w:rsidR="006A5F34" w:rsidRPr="008C1586">
        <w:rPr>
          <w:rFonts w:ascii="Palatino Linotype" w:eastAsia="Times New Roman" w:hAnsi="Palatino Linotype" w:cs="Arial"/>
          <w:lang w:val="es-ES"/>
        </w:rPr>
        <w:t xml:space="preserve">advierte </w:t>
      </w:r>
      <w:r w:rsidRPr="008C1586">
        <w:rPr>
          <w:rFonts w:ascii="Palatino Linotype" w:eastAsia="Times New Roman" w:hAnsi="Palatino Linotype" w:cs="Arial"/>
          <w:lang w:val="es-ES"/>
        </w:rPr>
        <w:t xml:space="preserve">que el </w:t>
      </w:r>
      <w:r w:rsidRPr="008C1586">
        <w:rPr>
          <w:rFonts w:ascii="Palatino Linotype" w:eastAsia="Times New Roman" w:hAnsi="Palatino Linotype" w:cs="Arial"/>
          <w:b/>
          <w:lang w:val="es-ES"/>
        </w:rPr>
        <w:t>SUJETO</w:t>
      </w:r>
      <w:r w:rsidR="008370A7" w:rsidRPr="008C1586">
        <w:rPr>
          <w:rFonts w:ascii="Palatino Linotype" w:eastAsia="Times New Roman" w:hAnsi="Palatino Linotype" w:cs="Arial"/>
          <w:b/>
          <w:lang w:val="es-ES"/>
        </w:rPr>
        <w:t xml:space="preserve"> </w:t>
      </w:r>
      <w:r w:rsidRPr="008C1586">
        <w:rPr>
          <w:rFonts w:ascii="Palatino Linotype" w:eastAsia="Times New Roman" w:hAnsi="Palatino Linotype" w:cs="Arial"/>
          <w:b/>
          <w:lang w:val="es-ES"/>
        </w:rPr>
        <w:t xml:space="preserve">OBLIGADO, </w:t>
      </w:r>
      <w:r w:rsidRPr="008C1586">
        <w:rPr>
          <w:rFonts w:ascii="Palatino Linotype" w:eastAsia="Times New Roman" w:hAnsi="Palatino Linotype" w:cs="Arial"/>
          <w:lang w:val="es-ES"/>
        </w:rPr>
        <w:t>acepta que genera, posee y/o administra la información,</w:t>
      </w:r>
      <w:r w:rsidR="008370A7" w:rsidRPr="008C1586">
        <w:rPr>
          <w:rFonts w:ascii="Palatino Linotype" w:eastAsia="Times New Roman" w:hAnsi="Palatino Linotype" w:cs="Arial"/>
          <w:lang w:val="es-ES"/>
        </w:rPr>
        <w:t xml:space="preserve"> por lo que se considera innecesario que se realice el restudio respecto de la fuente obligacional que tiene e </w:t>
      </w:r>
      <w:r w:rsidR="008370A7" w:rsidRPr="008C1586">
        <w:rPr>
          <w:rFonts w:ascii="Palatino Linotype" w:eastAsia="Times New Roman" w:hAnsi="Palatino Linotype" w:cs="Arial"/>
          <w:b/>
          <w:lang w:val="es-ES"/>
        </w:rPr>
        <w:t xml:space="preserve">SUJETO OBLIGADO </w:t>
      </w:r>
      <w:r w:rsidR="008370A7" w:rsidRPr="008C1586">
        <w:rPr>
          <w:rFonts w:ascii="Palatino Linotype" w:eastAsia="Times New Roman" w:hAnsi="Palatino Linotype" w:cs="Arial"/>
          <w:lang w:val="es-ES"/>
        </w:rPr>
        <w:t>para dar respuesta a la solicitud de información</w:t>
      </w:r>
      <w:r w:rsidR="006A5F34" w:rsidRPr="008C1586">
        <w:rPr>
          <w:rFonts w:ascii="Palatino Linotype" w:eastAsia="Times New Roman" w:hAnsi="Palatino Linotype" w:cs="Arial"/>
          <w:lang w:val="es-ES"/>
        </w:rPr>
        <w:t xml:space="preserve"> en virtud de que puso a disposición del </w:t>
      </w:r>
      <w:r w:rsidR="006A5F34" w:rsidRPr="008C1586">
        <w:rPr>
          <w:rFonts w:ascii="Palatino Linotype" w:eastAsia="Times New Roman" w:hAnsi="Palatino Linotype" w:cs="Arial"/>
          <w:b/>
          <w:lang w:val="es-ES"/>
        </w:rPr>
        <w:t xml:space="preserve">RECURRENTE </w:t>
      </w:r>
      <w:r w:rsidR="006A5F34" w:rsidRPr="008C1586">
        <w:rPr>
          <w:rFonts w:ascii="Palatino Linotype" w:eastAsia="Times New Roman" w:hAnsi="Palatino Linotype" w:cs="Arial"/>
          <w:lang w:val="es-ES"/>
        </w:rPr>
        <w:t>la información solicitada.</w:t>
      </w:r>
    </w:p>
    <w:p w14:paraId="18138F33" w14:textId="77777777" w:rsidR="00E62021" w:rsidRPr="008C1586" w:rsidRDefault="00E62021" w:rsidP="00E62021">
      <w:pPr>
        <w:spacing w:line="360" w:lineRule="auto"/>
        <w:ind w:right="49"/>
        <w:contextualSpacing/>
        <w:jc w:val="both"/>
        <w:rPr>
          <w:rFonts w:ascii="Palatino Linotype" w:eastAsia="Times New Roman" w:hAnsi="Palatino Linotype" w:cs="Arial"/>
          <w:lang w:val="es-ES"/>
        </w:rPr>
      </w:pPr>
    </w:p>
    <w:p w14:paraId="5B26BB17" w14:textId="77777777" w:rsidR="00DC0538" w:rsidRPr="008C1586" w:rsidRDefault="00E62021" w:rsidP="0085306B">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 xml:space="preserve">Toda vez que le fueron remitidos los avances financieros mensuales por centro de costo y objeto de gasto, que corresponden aquellos reportes o informes que detallan el progreso en la ejecución del presupuesto asignado a una institución o entidad, desglosado por centros de costo (unidades o áreas responsables) y objetos de gasto (rubros específicos de gasto). </w:t>
      </w:r>
    </w:p>
    <w:p w14:paraId="0CD35B67" w14:textId="77777777" w:rsidR="00DC0538" w:rsidRPr="008C1586" w:rsidRDefault="00DC0538" w:rsidP="00DC0538">
      <w:pPr>
        <w:pStyle w:val="Prrafodelista"/>
        <w:rPr>
          <w:rFonts w:ascii="Palatino Linotype" w:eastAsia="Times New Roman" w:hAnsi="Palatino Linotype" w:cs="Arial"/>
          <w:lang w:val="es-ES"/>
        </w:rPr>
      </w:pPr>
    </w:p>
    <w:p w14:paraId="58DB24FE" w14:textId="2E77D91D" w:rsidR="00E62021" w:rsidRPr="008C1586" w:rsidRDefault="00DC0538" w:rsidP="002D22ED">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 xml:space="preserve">Luego entonces, al ser estos informes </w:t>
      </w:r>
      <w:r w:rsidR="00E62021" w:rsidRPr="008C1586">
        <w:rPr>
          <w:rFonts w:ascii="Palatino Linotype" w:eastAsia="Times New Roman" w:hAnsi="Palatino Linotype" w:cs="Arial"/>
          <w:lang w:val="es-ES"/>
        </w:rPr>
        <w:t>herramientas para la administración financiera y la rendición de cuentas, ya que permiten monitorear cómo se están utilizando los recursos en función de las partidas presupuestarias</w:t>
      </w:r>
      <w:r w:rsidRPr="008C1586">
        <w:rPr>
          <w:rFonts w:ascii="Palatino Linotype" w:eastAsia="Times New Roman" w:hAnsi="Palatino Linotype" w:cs="Arial"/>
          <w:lang w:val="es-ES"/>
        </w:rPr>
        <w:t xml:space="preserve"> aprobadas, se colige que ciertamente colman la pretensión del hoy </w:t>
      </w:r>
      <w:r w:rsidRPr="008C1586">
        <w:rPr>
          <w:rFonts w:ascii="Palatino Linotype" w:eastAsia="Times New Roman" w:hAnsi="Palatino Linotype" w:cs="Arial"/>
          <w:b/>
          <w:lang w:val="es-ES"/>
        </w:rPr>
        <w:t xml:space="preserve">RECURRENTE </w:t>
      </w:r>
      <w:r w:rsidRPr="008C1586">
        <w:rPr>
          <w:rFonts w:ascii="Palatino Linotype" w:eastAsia="Times New Roman" w:hAnsi="Palatino Linotype" w:cs="Arial"/>
          <w:lang w:val="es-ES"/>
        </w:rPr>
        <w:t>pues de ellos se desprende la e</w:t>
      </w:r>
      <w:r w:rsidR="00E62021" w:rsidRPr="008C1586">
        <w:rPr>
          <w:rFonts w:ascii="Palatino Linotype" w:eastAsia="Times New Roman" w:hAnsi="Palatino Linotype" w:cs="Arial"/>
          <w:lang w:val="es-ES"/>
        </w:rPr>
        <w:t>xplicación detallada</w:t>
      </w:r>
      <w:r w:rsidRPr="008C1586">
        <w:rPr>
          <w:rFonts w:ascii="Palatino Linotype" w:eastAsia="Times New Roman" w:hAnsi="Palatino Linotype" w:cs="Arial"/>
          <w:lang w:val="es-ES"/>
        </w:rPr>
        <w:t xml:space="preserve"> de lo siguiente.</w:t>
      </w:r>
    </w:p>
    <w:p w14:paraId="5CCCB745" w14:textId="77777777" w:rsidR="00DC0538" w:rsidRPr="008C1586" w:rsidRDefault="00DC0538" w:rsidP="00DC0538">
      <w:pPr>
        <w:pStyle w:val="Prrafodelista"/>
        <w:rPr>
          <w:rFonts w:ascii="Palatino Linotype" w:eastAsia="Times New Roman" w:hAnsi="Palatino Linotype" w:cs="Arial"/>
          <w:lang w:val="es-ES"/>
        </w:rPr>
      </w:pPr>
    </w:p>
    <w:p w14:paraId="541467AC" w14:textId="0E018B7D" w:rsidR="00E62021" w:rsidRPr="008C1586" w:rsidRDefault="00DC0538" w:rsidP="00DC0538">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Avances financieros mensuales, que s</w:t>
      </w:r>
      <w:r w:rsidR="00E62021" w:rsidRPr="008C1586">
        <w:rPr>
          <w:rFonts w:ascii="Palatino Linotype" w:eastAsia="Times New Roman" w:hAnsi="Palatino Linotype" w:cs="Arial"/>
          <w:lang w:val="es-ES"/>
        </w:rPr>
        <w:t>e refiere al seguimiento mensual del gasto realizado en comparac</w:t>
      </w:r>
      <w:r w:rsidRPr="008C1586">
        <w:rPr>
          <w:rFonts w:ascii="Palatino Linotype" w:eastAsia="Times New Roman" w:hAnsi="Palatino Linotype" w:cs="Arial"/>
          <w:lang w:val="es-ES"/>
        </w:rPr>
        <w:t>ión con el presupuesto asignado, e</w:t>
      </w:r>
      <w:r w:rsidR="00E62021" w:rsidRPr="008C1586">
        <w:rPr>
          <w:rFonts w:ascii="Palatino Linotype" w:eastAsia="Times New Roman" w:hAnsi="Palatino Linotype" w:cs="Arial"/>
          <w:lang w:val="es-ES"/>
        </w:rPr>
        <w:t>stos avances permiten conocer cuánto se ha ejecutado (gastado) y cuánto queda por ejecutar en cada período.</w:t>
      </w:r>
    </w:p>
    <w:p w14:paraId="2DDA0E9F" w14:textId="77777777" w:rsidR="00E62021" w:rsidRPr="008C1586" w:rsidRDefault="00E62021" w:rsidP="00E62021">
      <w:pPr>
        <w:spacing w:line="360" w:lineRule="auto"/>
        <w:ind w:right="49"/>
        <w:contextualSpacing/>
        <w:jc w:val="both"/>
        <w:rPr>
          <w:rFonts w:ascii="Palatino Linotype" w:eastAsia="Times New Roman" w:hAnsi="Palatino Linotype" w:cs="Arial"/>
          <w:lang w:val="es-ES"/>
        </w:rPr>
      </w:pPr>
    </w:p>
    <w:p w14:paraId="7D019A25" w14:textId="3BFCA083" w:rsidR="00E62021" w:rsidRPr="008C1586" w:rsidRDefault="00DC0538" w:rsidP="00DC0538">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 xml:space="preserve">Centro de costo,  que corresponde a </w:t>
      </w:r>
      <w:r w:rsidR="00E62021" w:rsidRPr="008C1586">
        <w:rPr>
          <w:rFonts w:ascii="Palatino Linotype" w:eastAsia="Times New Roman" w:hAnsi="Palatino Linotype" w:cs="Arial"/>
          <w:lang w:val="es-ES"/>
        </w:rPr>
        <w:t>una unidad, departamento o área específica dentro de</w:t>
      </w:r>
      <w:r w:rsidRPr="008C1586">
        <w:rPr>
          <w:rFonts w:ascii="Palatino Linotype" w:eastAsia="Times New Roman" w:hAnsi="Palatino Linotype" w:cs="Arial"/>
          <w:lang w:val="es-ES"/>
        </w:rPr>
        <w:t xml:space="preserve"> la Comisión</w:t>
      </w:r>
      <w:r w:rsidR="00E62021" w:rsidRPr="008C1586">
        <w:rPr>
          <w:rFonts w:ascii="Palatino Linotype" w:eastAsia="Times New Roman" w:hAnsi="Palatino Linotype" w:cs="Arial"/>
          <w:lang w:val="es-ES"/>
        </w:rPr>
        <w:t xml:space="preserve"> que tiene asignado un presupuesto para realizar sus actividades.</w:t>
      </w:r>
      <w:r w:rsidRPr="008C1586">
        <w:rPr>
          <w:rFonts w:ascii="Palatino Linotype" w:eastAsia="Times New Roman" w:hAnsi="Palatino Linotype" w:cs="Arial"/>
          <w:lang w:val="es-ES"/>
        </w:rPr>
        <w:t xml:space="preserve"> </w:t>
      </w:r>
    </w:p>
    <w:p w14:paraId="44BF4FF5" w14:textId="77777777" w:rsidR="00DC0538" w:rsidRPr="008C1586" w:rsidRDefault="00DC0538" w:rsidP="00DC0538">
      <w:pPr>
        <w:pStyle w:val="Prrafodelista"/>
        <w:rPr>
          <w:rFonts w:ascii="Palatino Linotype" w:eastAsia="Times New Roman" w:hAnsi="Palatino Linotype" w:cs="Arial"/>
          <w:lang w:val="es-ES"/>
        </w:rPr>
      </w:pPr>
    </w:p>
    <w:p w14:paraId="15EB694F" w14:textId="3CC302C4" w:rsidR="00E62021" w:rsidRPr="008C1586" w:rsidRDefault="00DC0538" w:rsidP="00DC0538">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 xml:space="preserve">Objeto de gasto,  que </w:t>
      </w:r>
      <w:r w:rsidR="00E62021" w:rsidRPr="008C1586">
        <w:rPr>
          <w:rFonts w:ascii="Palatino Linotype" w:eastAsia="Times New Roman" w:hAnsi="Palatino Linotype" w:cs="Arial"/>
          <w:lang w:val="es-ES"/>
        </w:rPr>
        <w:t>se refiere a la clasificación específica del gasto según su naturaleza o destino.</w:t>
      </w:r>
      <w:r w:rsidRPr="008C1586">
        <w:rPr>
          <w:rFonts w:ascii="Palatino Linotype" w:eastAsia="Times New Roman" w:hAnsi="Palatino Linotype" w:cs="Arial"/>
          <w:lang w:val="es-ES"/>
        </w:rPr>
        <w:t xml:space="preserve"> </w:t>
      </w:r>
    </w:p>
    <w:p w14:paraId="0333C1C3" w14:textId="77777777" w:rsidR="00E62021" w:rsidRPr="008C1586" w:rsidRDefault="00E62021" w:rsidP="00E62021">
      <w:pPr>
        <w:spacing w:line="360" w:lineRule="auto"/>
        <w:ind w:right="49"/>
        <w:contextualSpacing/>
        <w:jc w:val="both"/>
        <w:rPr>
          <w:rFonts w:ascii="Palatino Linotype" w:eastAsia="Times New Roman" w:hAnsi="Palatino Linotype" w:cs="Arial"/>
          <w:lang w:val="es-ES"/>
        </w:rPr>
      </w:pPr>
    </w:p>
    <w:p w14:paraId="679801D5" w14:textId="77777777" w:rsidR="00DC0538" w:rsidRPr="008C1586" w:rsidRDefault="00E62021" w:rsidP="00DC0538">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Servicio</w:t>
      </w:r>
      <w:r w:rsidR="00DC0538" w:rsidRPr="008C1586">
        <w:rPr>
          <w:rFonts w:ascii="Palatino Linotype" w:eastAsia="Times New Roman" w:hAnsi="Palatino Linotype" w:cs="Arial"/>
          <w:lang w:val="es-ES"/>
        </w:rPr>
        <w:t>s personales (pago de salarios), materiales y suministros, s</w:t>
      </w:r>
      <w:r w:rsidRPr="008C1586">
        <w:rPr>
          <w:rFonts w:ascii="Palatino Linotype" w:eastAsia="Times New Roman" w:hAnsi="Palatino Linotype" w:cs="Arial"/>
          <w:lang w:val="es-ES"/>
        </w:rPr>
        <w:t xml:space="preserve">ervicios </w:t>
      </w:r>
      <w:r w:rsidR="00DC0538" w:rsidRPr="008C1586">
        <w:rPr>
          <w:rFonts w:ascii="Palatino Linotype" w:eastAsia="Times New Roman" w:hAnsi="Palatino Linotype" w:cs="Arial"/>
          <w:lang w:val="es-ES"/>
        </w:rPr>
        <w:t xml:space="preserve">generales (luz, agua, internet), bienes muebles e inmuebles, inversiones en infraestructura, </w:t>
      </w:r>
    </w:p>
    <w:p w14:paraId="6FBD7838" w14:textId="77777777" w:rsidR="00DC0538" w:rsidRPr="008C1586" w:rsidRDefault="00DC0538" w:rsidP="00DC0538">
      <w:pPr>
        <w:pStyle w:val="Prrafodelista"/>
        <w:rPr>
          <w:rFonts w:ascii="Palatino Linotype" w:eastAsia="Times New Roman" w:hAnsi="Palatino Linotype" w:cs="Arial"/>
          <w:lang w:val="es-ES"/>
        </w:rPr>
      </w:pPr>
    </w:p>
    <w:p w14:paraId="71E0D214" w14:textId="119DB135" w:rsidR="00E62021" w:rsidRPr="008C1586" w:rsidRDefault="00DC0538" w:rsidP="00DC0538">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Así las cosas se tiene que lo entregado si colma lo solicitado pues</w:t>
      </w:r>
      <w:r w:rsidR="00E62021" w:rsidRPr="008C1586">
        <w:rPr>
          <w:rFonts w:ascii="Palatino Linotype" w:eastAsia="Times New Roman" w:hAnsi="Palatino Linotype" w:cs="Arial"/>
          <w:lang w:val="es-ES"/>
        </w:rPr>
        <w:t xml:space="preserve"> </w:t>
      </w:r>
      <w:r w:rsidRPr="008C1586">
        <w:rPr>
          <w:rFonts w:ascii="Palatino Linotype" w:eastAsia="Times New Roman" w:hAnsi="Palatino Linotype" w:cs="Arial"/>
          <w:lang w:val="es-ES"/>
        </w:rPr>
        <w:t>p</w:t>
      </w:r>
      <w:r w:rsidR="00E62021" w:rsidRPr="008C1586">
        <w:rPr>
          <w:rFonts w:ascii="Palatino Linotype" w:eastAsia="Times New Roman" w:hAnsi="Palatino Linotype" w:cs="Arial"/>
          <w:lang w:val="es-ES"/>
        </w:rPr>
        <w:t>ermite verificar que los recursos se estén utilizando de acuer</w:t>
      </w:r>
      <w:r w:rsidRPr="008C1586">
        <w:rPr>
          <w:rFonts w:ascii="Palatino Linotype" w:eastAsia="Times New Roman" w:hAnsi="Palatino Linotype" w:cs="Arial"/>
          <w:lang w:val="es-ES"/>
        </w:rPr>
        <w:t>do con lo planeado y autorizado.</w:t>
      </w:r>
    </w:p>
    <w:p w14:paraId="387D3092" w14:textId="77777777" w:rsidR="00CF47F3" w:rsidRPr="008C1586" w:rsidRDefault="00CF47F3" w:rsidP="00CF47F3">
      <w:pPr>
        <w:spacing w:line="360" w:lineRule="auto"/>
        <w:ind w:right="49"/>
        <w:contextualSpacing/>
        <w:jc w:val="both"/>
        <w:rPr>
          <w:rFonts w:ascii="Palatino Linotype" w:eastAsia="Times New Roman" w:hAnsi="Palatino Linotype" w:cs="Arial"/>
          <w:lang w:val="es-ES"/>
        </w:rPr>
      </w:pPr>
    </w:p>
    <w:p w14:paraId="09846E03" w14:textId="42BF717A" w:rsidR="00CF47F3" w:rsidRPr="008C1586" w:rsidRDefault="00CF47F3" w:rsidP="00CF47F3">
      <w:pPr>
        <w:numPr>
          <w:ilvl w:val="0"/>
          <w:numId w:val="1"/>
        </w:numPr>
        <w:spacing w:line="360" w:lineRule="auto"/>
        <w:ind w:left="0" w:right="49"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Ahora bien, por lo que hace a los motivos de inconformidad, se colige que los mimos resultan improcedentes en atención al artículo 12 de la Ley de Transparencia y Acceso a la Información Pública del Estado de México y Municipios, que a la letra refiere lo siguiente:</w:t>
      </w:r>
    </w:p>
    <w:p w14:paraId="65BCBE9B" w14:textId="77777777" w:rsidR="00677AAB" w:rsidRPr="008C1586" w:rsidRDefault="00677AAB" w:rsidP="00CF47F3">
      <w:pPr>
        <w:rPr>
          <w:rFonts w:ascii="Palatino Linotype" w:eastAsia="Times New Roman" w:hAnsi="Palatino Linotype" w:cs="Arial"/>
          <w:lang w:val="es-ES"/>
        </w:rPr>
      </w:pPr>
    </w:p>
    <w:p w14:paraId="6A743085" w14:textId="77777777" w:rsidR="00CF47F3" w:rsidRPr="008C1586" w:rsidRDefault="00CF47F3" w:rsidP="00CF47F3">
      <w:pPr>
        <w:ind w:left="851" w:right="1041"/>
        <w:jc w:val="both"/>
        <w:rPr>
          <w:rFonts w:ascii="Palatino Linotype" w:hAnsi="Palatino Linotype" w:cs="Arial"/>
          <w:i/>
          <w:iCs/>
        </w:rPr>
      </w:pPr>
      <w:r w:rsidRPr="008C1586">
        <w:rPr>
          <w:rFonts w:ascii="Palatino Linotype" w:hAnsi="Palatino Linotype" w:cs="Arial"/>
          <w:b/>
          <w:i/>
          <w:iCs/>
        </w:rPr>
        <w:t>Artículo 12.</w:t>
      </w:r>
      <w:r w:rsidRPr="008C1586">
        <w:rPr>
          <w:rFonts w:ascii="Palatino Linotype" w:hAnsi="Palatino Linotype" w:cs="Arial"/>
          <w:i/>
          <w:iCs/>
        </w:rPr>
        <w:t xml:space="preserve"> Quienes generen, recopilen, administren, manejen, procesen, archiven o conserven información pública serán responsables de la misma en los términos de las disposiciones jurídicas aplicables. Los sujetos obligados sólo proporcionarán la información pública que se les requiera y que obre en sus archivos </w:t>
      </w:r>
      <w:r w:rsidRPr="008C1586">
        <w:rPr>
          <w:rFonts w:ascii="Palatino Linotype" w:hAnsi="Palatino Linotype" w:cs="Arial"/>
          <w:i/>
          <w:iCs/>
          <w:u w:val="single"/>
        </w:rPr>
        <w:t>y en el estado en que ésta se encuentre</w:t>
      </w:r>
      <w:r w:rsidRPr="008C1586">
        <w:rPr>
          <w:rFonts w:ascii="Palatino Linotype" w:hAnsi="Palatino Linotype" w:cs="Arial"/>
          <w:i/>
          <w:iCs/>
        </w:rPr>
        <w:t xml:space="preserve">. </w:t>
      </w:r>
    </w:p>
    <w:p w14:paraId="01D936C0" w14:textId="77777777" w:rsidR="00CF47F3" w:rsidRPr="008C1586" w:rsidRDefault="00CF47F3" w:rsidP="00CF47F3">
      <w:pPr>
        <w:ind w:left="851" w:right="1041"/>
        <w:jc w:val="both"/>
        <w:rPr>
          <w:rFonts w:ascii="Palatino Linotype" w:hAnsi="Palatino Linotype" w:cs="Arial"/>
          <w:i/>
          <w:iCs/>
        </w:rPr>
      </w:pPr>
    </w:p>
    <w:p w14:paraId="6E12010A" w14:textId="06764246" w:rsidR="00CF47F3" w:rsidRPr="008C1586" w:rsidRDefault="00CF47F3" w:rsidP="00CF47F3">
      <w:pPr>
        <w:ind w:left="851" w:right="1041"/>
        <w:jc w:val="both"/>
        <w:rPr>
          <w:rFonts w:ascii="Palatino Linotype" w:hAnsi="Palatino Linotype" w:cs="Arial"/>
          <w:i/>
          <w:iCs/>
        </w:rPr>
      </w:pPr>
      <w:r w:rsidRPr="008C1586">
        <w:rPr>
          <w:rFonts w:ascii="Palatino Linotype" w:hAnsi="Palatino Linotype" w:cs="Arial"/>
          <w:i/>
          <w:iCs/>
        </w:rPr>
        <w:lastRenderedPageBreak/>
        <w:t xml:space="preserve">La obligación de proporcionar información no comprende el procesamiento de la misma, </w:t>
      </w:r>
      <w:r w:rsidRPr="008C1586">
        <w:rPr>
          <w:rFonts w:ascii="Palatino Linotype" w:hAnsi="Palatino Linotype" w:cs="Arial"/>
          <w:i/>
          <w:iCs/>
          <w:u w:val="single"/>
        </w:rPr>
        <w:t>ni el presentarla conforme al interés del solicitante;</w:t>
      </w:r>
      <w:r w:rsidRPr="008C1586">
        <w:rPr>
          <w:rFonts w:ascii="Palatino Linotype" w:hAnsi="Palatino Linotype" w:cs="Arial"/>
          <w:i/>
          <w:iCs/>
        </w:rPr>
        <w:t xml:space="preserve"> no estarán obligados a generarla, resumirla, efectuar cálculos o practicar investigaciones.</w:t>
      </w:r>
    </w:p>
    <w:p w14:paraId="43BECB27" w14:textId="77777777" w:rsidR="00CF47F3" w:rsidRPr="008C1586" w:rsidRDefault="00CF47F3" w:rsidP="00BC5F48">
      <w:pPr>
        <w:spacing w:line="360" w:lineRule="auto"/>
        <w:contextualSpacing/>
        <w:jc w:val="both"/>
        <w:rPr>
          <w:rFonts w:ascii="Palatino Linotype" w:eastAsia="MS Mincho" w:hAnsi="Palatino Linotype" w:cs="Times New Roman"/>
        </w:rPr>
      </w:pPr>
    </w:p>
    <w:p w14:paraId="1910E830" w14:textId="7F43D5DD" w:rsidR="006A5F34" w:rsidRPr="008C1586" w:rsidRDefault="006A5F34"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8C1586">
        <w:rPr>
          <w:rFonts w:ascii="Palatino Linotype" w:eastAsia="Times New Roman" w:hAnsi="Palatino Linotype" w:cs="Arial"/>
          <w:color w:val="000000"/>
        </w:rPr>
        <w:t xml:space="preserve">Es así que, de acuerdo a lo que se observa dentro de las constancias que integran el recurso que nos ocupa que el </w:t>
      </w:r>
      <w:r w:rsidRPr="008C1586">
        <w:rPr>
          <w:rFonts w:ascii="Palatino Linotype" w:eastAsia="Times New Roman" w:hAnsi="Palatino Linotype" w:cs="Arial"/>
          <w:b/>
          <w:color w:val="000000"/>
        </w:rPr>
        <w:t xml:space="preserve">SUJETO OBLIGADO, </w:t>
      </w:r>
      <w:r w:rsidRPr="008C1586">
        <w:rPr>
          <w:rFonts w:ascii="Palatino Linotype" w:hAnsi="Palatino Linotype"/>
        </w:rPr>
        <w:t xml:space="preserve">fue enfático en referir que la información se remitió en el estado que se encuentra, es así que , si bien es cierto, el </w:t>
      </w:r>
      <w:r w:rsidRPr="008C1586">
        <w:rPr>
          <w:rFonts w:ascii="Palatino Linotype" w:hAnsi="Palatino Linotype"/>
          <w:b/>
        </w:rPr>
        <w:t xml:space="preserve">RECURRENTE, </w:t>
      </w:r>
      <w:r w:rsidRPr="008C1586">
        <w:rPr>
          <w:rFonts w:ascii="Palatino Linotype" w:hAnsi="Palatino Linotype"/>
        </w:rPr>
        <w:t>refirió que no solicito el procesamiento de la información, no se inconformo por el contenido de la información, lo que permite inferir que la información proporcionada es la solicitada, sin embargo,  no se encuentra de acuerdo por cómo se le remitió la misma.</w:t>
      </w:r>
    </w:p>
    <w:p w14:paraId="4BFEDF18" w14:textId="77777777" w:rsidR="006A5F34" w:rsidRPr="008C1586" w:rsidRDefault="006A5F34" w:rsidP="006A5F34">
      <w:pPr>
        <w:spacing w:line="360" w:lineRule="auto"/>
        <w:contextualSpacing/>
        <w:jc w:val="both"/>
        <w:rPr>
          <w:rFonts w:ascii="Palatino Linotype" w:eastAsia="Times New Roman" w:hAnsi="Palatino Linotype" w:cs="Arial"/>
          <w:color w:val="000000"/>
        </w:rPr>
      </w:pPr>
    </w:p>
    <w:p w14:paraId="36083DE7" w14:textId="56922349" w:rsidR="006A5F34" w:rsidRPr="008C1586" w:rsidRDefault="006A5F34" w:rsidP="006A5F34">
      <w:pPr>
        <w:numPr>
          <w:ilvl w:val="0"/>
          <w:numId w:val="1"/>
        </w:numPr>
        <w:spacing w:line="360" w:lineRule="auto"/>
        <w:ind w:left="0" w:firstLine="0"/>
        <w:contextualSpacing/>
        <w:jc w:val="both"/>
        <w:rPr>
          <w:rFonts w:ascii="Palatino Linotype" w:hAnsi="Palatino Linotype" w:cs="Arial"/>
          <w:i/>
          <w:lang w:eastAsia="es-MX"/>
        </w:rPr>
      </w:pPr>
      <w:r w:rsidRPr="008C1586">
        <w:rPr>
          <w:rFonts w:ascii="Palatino Linotype" w:hAnsi="Palatino Linotype"/>
          <w:color w:val="000000" w:themeColor="text1"/>
        </w:rPr>
        <w:t xml:space="preserve">En ese tenor, resulta necesario señalar </w:t>
      </w:r>
      <w:r w:rsidRPr="008C1586">
        <w:rPr>
          <w:rFonts w:ascii="Palatino Linotype" w:hAnsi="Palatino Linotype"/>
          <w:color w:val="000000" w:themeColor="text1"/>
          <w:u w:val="single"/>
        </w:rPr>
        <w:t xml:space="preserve">que los sujetos obligados tampoco </w:t>
      </w:r>
      <w:r w:rsidRPr="008C1586">
        <w:rPr>
          <w:rFonts w:ascii="Palatino Linotype" w:hAnsi="Palatino Linotype" w:cs="Arial"/>
          <w:color w:val="000000" w:themeColor="text1"/>
        </w:rPr>
        <w:t>se</w:t>
      </w:r>
      <w:r w:rsidRPr="008C1586">
        <w:rPr>
          <w:rFonts w:ascii="Palatino Linotype" w:hAnsi="Palatino Linotype"/>
          <w:color w:val="000000" w:themeColor="text1"/>
          <w:u w:val="single"/>
        </w:rPr>
        <w:t xml:space="preserve"> encuentran compelidos a generar documentos </w:t>
      </w:r>
      <w:r w:rsidRPr="008C1586">
        <w:rPr>
          <w:rFonts w:ascii="Palatino Linotype" w:hAnsi="Palatino Linotype"/>
          <w:i/>
          <w:color w:val="000000" w:themeColor="text1"/>
          <w:u w:val="single"/>
        </w:rPr>
        <w:t>Ad hoc</w:t>
      </w:r>
      <w:r w:rsidRPr="008C1586">
        <w:rPr>
          <w:rFonts w:ascii="Palatino Linotype" w:hAnsi="Palatino Linotype"/>
          <w:color w:val="000000" w:themeColor="text1"/>
        </w:rPr>
        <w:t>, pues se reitera que el derecho de acceso a la información, es un derecho que versa sobre documentos que los sujetos obligados, generen, posean o administren,</w:t>
      </w:r>
      <w:r w:rsidRPr="008C1586">
        <w:rPr>
          <w:rFonts w:ascii="Palatino Linotype" w:hAnsi="Palatino Linotype"/>
          <w:b/>
          <w:color w:val="000000" w:themeColor="text1"/>
        </w:rPr>
        <w:t xml:space="preserve"> </w:t>
      </w:r>
      <w:r w:rsidRPr="008C1586">
        <w:rPr>
          <w:rFonts w:ascii="Palatino Linotype" w:hAnsi="Palatino Linotype"/>
          <w:b/>
          <w:color w:val="000000" w:themeColor="text1"/>
          <w:u w:val="single"/>
        </w:rPr>
        <w:t>previo a la interposición de la solicitud de información,</w:t>
      </w:r>
      <w:r w:rsidRPr="008C1586">
        <w:rPr>
          <w:rFonts w:ascii="Palatino Linotype" w:hAnsi="Palatino Linotype"/>
          <w:b/>
          <w:color w:val="000000" w:themeColor="text1"/>
        </w:rPr>
        <w:t xml:space="preserve"> </w:t>
      </w:r>
      <w:r w:rsidRPr="008C1586">
        <w:rPr>
          <w:rFonts w:ascii="Palatino Linotype" w:hAnsi="Palatino Linotype"/>
          <w:b/>
          <w:color w:val="000000" w:themeColor="text1"/>
          <w:u w:val="single"/>
        </w:rPr>
        <w:t>no así a generar nuevos documentos con la finalidad de satisfacer las pretensiones particulares de los solicitantes</w:t>
      </w:r>
      <w:r w:rsidRPr="008C1586">
        <w:rPr>
          <w:rFonts w:ascii="Palatino Linotype" w:hAnsi="Palatino Linotype"/>
          <w:color w:val="000000" w:themeColor="text1"/>
        </w:rPr>
        <w:t xml:space="preserve">, </w:t>
      </w:r>
      <w:r w:rsidRPr="008C1586">
        <w:rPr>
          <w:rFonts w:ascii="Palatino Linotype" w:eastAsia="MS Mincho" w:hAnsi="Palatino Linotype" w:cs="Arial"/>
        </w:rPr>
        <w:t>c</w:t>
      </w:r>
      <w:r w:rsidRPr="008C1586">
        <w:rPr>
          <w:rFonts w:ascii="Palatino Linotype" w:hAnsi="Palatino Linotype" w:cs="Arial"/>
        </w:rPr>
        <w:t xml:space="preserve">omo apoyo a lo anterior, es aplicable por analogía el </w:t>
      </w:r>
      <w:r w:rsidRPr="008C1586">
        <w:rPr>
          <w:rFonts w:ascii="Palatino Linotype" w:hAnsi="Palatino Linotype" w:cs="Arial"/>
          <w:b/>
        </w:rPr>
        <w:t>Criterio 03/17</w:t>
      </w:r>
      <w:r w:rsidRPr="008C1586">
        <w:rPr>
          <w:rFonts w:ascii="Palatino Linotype" w:hAnsi="Palatino Linotype" w:cs="Arial"/>
        </w:rPr>
        <w:t>, emitido por el Pleno del Instituto Nacional de Transparencia, Acceso a la Información y Protección de Datos Personales (INAI)</w:t>
      </w:r>
      <w:r w:rsidRPr="008C1586">
        <w:rPr>
          <w:rFonts w:ascii="Palatino Linotype" w:hAnsi="Palatino Linotype" w:cs="Arial"/>
          <w:bCs/>
        </w:rPr>
        <w:t>, que a la letra dice:</w:t>
      </w:r>
    </w:p>
    <w:p w14:paraId="753B87CE" w14:textId="77777777" w:rsidR="006A5F34" w:rsidRPr="008C1586" w:rsidRDefault="006A5F34" w:rsidP="006A5F34">
      <w:pPr>
        <w:pStyle w:val="Prrafodelista"/>
        <w:spacing w:line="360" w:lineRule="auto"/>
        <w:rPr>
          <w:rFonts w:ascii="Palatino Linotype" w:hAnsi="Palatino Linotype" w:cs="Arial"/>
          <w:i/>
          <w:lang w:eastAsia="es-MX"/>
        </w:rPr>
      </w:pPr>
    </w:p>
    <w:p w14:paraId="07D5CF38" w14:textId="77777777" w:rsidR="006A5F34" w:rsidRPr="008C1586" w:rsidRDefault="006A5F34" w:rsidP="006A5F34">
      <w:pPr>
        <w:pStyle w:val="Prrafodelista"/>
        <w:ind w:left="567" w:right="618"/>
        <w:jc w:val="both"/>
        <w:rPr>
          <w:rFonts w:ascii="Palatino Linotype" w:hAnsi="Palatino Linotype" w:cs="Arial"/>
          <w:bCs/>
          <w:i/>
          <w:sz w:val="22"/>
        </w:rPr>
      </w:pPr>
      <w:r w:rsidRPr="008C1586">
        <w:rPr>
          <w:rFonts w:ascii="Palatino Linotype" w:hAnsi="Palatino Linotype" w:cs="Arial"/>
          <w:b/>
          <w:bCs/>
          <w:i/>
          <w:sz w:val="22"/>
        </w:rPr>
        <w:t xml:space="preserve">“No existe obligación de elaborar documentos ad hoc para atender las solicitudes de acceso a la información. </w:t>
      </w:r>
      <w:r w:rsidRPr="008C1586">
        <w:rPr>
          <w:rFonts w:ascii="Palatino Linotype" w:hAnsi="Palatino Linotype" w:cs="Arial"/>
          <w:bCs/>
          <w:i/>
          <w:sz w:val="22"/>
        </w:rPr>
        <w:t xml:space="preserve">Los artículos 129 de la Ley General de Transparencia y Acceso a la Información Pública y 130, párrafo cuarto, de la Ley Federal de Transparencia y Acceso a la Información Pública, señalan que los sujetos obligados </w:t>
      </w:r>
      <w:r w:rsidRPr="008C1586">
        <w:rPr>
          <w:rFonts w:ascii="Palatino Linotype" w:hAnsi="Palatino Linotype" w:cs="Arial"/>
          <w:bCs/>
          <w:i/>
          <w:sz w:val="22"/>
        </w:rPr>
        <w:lastRenderedPageBreak/>
        <w:t>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6D3EB0C8" w14:textId="5A8EEC61" w:rsidR="006A5F34" w:rsidRPr="008C1586" w:rsidRDefault="006A5F34" w:rsidP="006A5F34">
      <w:pPr>
        <w:spacing w:line="360" w:lineRule="auto"/>
        <w:contextualSpacing/>
        <w:jc w:val="both"/>
        <w:rPr>
          <w:rFonts w:ascii="Palatino Linotype" w:eastAsia="Times New Roman" w:hAnsi="Palatino Linotype" w:cs="Arial"/>
          <w:color w:val="000000"/>
        </w:rPr>
      </w:pPr>
    </w:p>
    <w:p w14:paraId="1342722E" w14:textId="4348DA86" w:rsidR="00B278F0" w:rsidRPr="008C1586" w:rsidRDefault="00B278F0"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8C1586">
        <w:rPr>
          <w:rFonts w:ascii="Palatino Linotype" w:eastAsia="Times New Roman" w:hAnsi="Palatino Linotype" w:cs="Arial"/>
          <w:color w:val="000000"/>
        </w:rPr>
        <w:t xml:space="preserve">Es así, que este Órgano Resolutor, considera que con la información proporcionada por el </w:t>
      </w:r>
      <w:r w:rsidRPr="008C1586">
        <w:rPr>
          <w:rFonts w:ascii="Palatino Linotype" w:eastAsia="Times New Roman" w:hAnsi="Palatino Linotype" w:cs="Arial"/>
          <w:b/>
          <w:color w:val="000000"/>
        </w:rPr>
        <w:t xml:space="preserve">SUJETO OBLIGADO, </w:t>
      </w:r>
      <w:r w:rsidRPr="008C1586">
        <w:rPr>
          <w:rFonts w:ascii="Palatino Linotype" w:eastAsia="Times New Roman" w:hAnsi="Palatino Linotype" w:cs="Arial"/>
          <w:color w:val="000000"/>
        </w:rPr>
        <w:t xml:space="preserve">el derecho de acceso a la información que le asiste al ahora </w:t>
      </w:r>
      <w:r w:rsidRPr="008C1586">
        <w:rPr>
          <w:rFonts w:ascii="Palatino Linotype" w:eastAsia="Times New Roman" w:hAnsi="Palatino Linotype" w:cs="Arial"/>
          <w:b/>
          <w:color w:val="000000"/>
        </w:rPr>
        <w:t xml:space="preserve">RECURRENTE, </w:t>
      </w:r>
      <w:r w:rsidRPr="008C1586">
        <w:rPr>
          <w:rFonts w:ascii="Palatino Linotype" w:eastAsia="Times New Roman" w:hAnsi="Palatino Linotype" w:cs="Arial"/>
          <w:color w:val="000000"/>
        </w:rPr>
        <w:t>resulta colmado en su totalidad.</w:t>
      </w:r>
    </w:p>
    <w:p w14:paraId="34C80603" w14:textId="77777777" w:rsidR="00B278F0" w:rsidRPr="008C1586" w:rsidRDefault="00B278F0" w:rsidP="00B278F0">
      <w:pPr>
        <w:spacing w:line="360" w:lineRule="auto"/>
        <w:contextualSpacing/>
        <w:jc w:val="both"/>
        <w:rPr>
          <w:rFonts w:ascii="Palatino Linotype" w:eastAsia="Times New Roman" w:hAnsi="Palatino Linotype" w:cs="Arial"/>
          <w:color w:val="000000"/>
        </w:rPr>
      </w:pPr>
    </w:p>
    <w:p w14:paraId="7F40E675" w14:textId="37C2B2EC" w:rsidR="00BC5F48" w:rsidRPr="008C1586" w:rsidRDefault="006A5F34"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8C1586">
        <w:rPr>
          <w:rFonts w:ascii="Palatino Linotype" w:eastAsia="MS Mincho" w:hAnsi="Palatino Linotype" w:cs="Times New Roman"/>
        </w:rPr>
        <w:t>Asimismo, es</w:t>
      </w:r>
      <w:r w:rsidR="00BC5F48" w:rsidRPr="008C1586">
        <w:rPr>
          <w:rFonts w:ascii="Palatino Linotype" w:eastAsia="MS Mincho" w:hAnsi="Palatino Linotype" w:cs="Times New Roman"/>
        </w:rPr>
        <w:t xml:space="preserve"> necesario señalar que el derecho de acceso a la información pública es un </w:t>
      </w:r>
      <w:r w:rsidR="00BC5F48" w:rsidRPr="008C1586">
        <w:rPr>
          <w:rFonts w:ascii="Palatino Linotype" w:eastAsia="Times New Roman" w:hAnsi="Palatino Linotype" w:cs="Arial"/>
          <w:color w:val="000000"/>
          <w:lang w:eastAsia="es-MX"/>
        </w:rPr>
        <w:t>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el</w:t>
      </w:r>
      <w:r w:rsidR="00BC5F48" w:rsidRPr="008C1586">
        <w:rPr>
          <w:rFonts w:ascii="Palatino Linotype" w:eastAsia="Times New Roman" w:hAnsi="Palatino Linotype" w:cs="Arial"/>
          <w:color w:val="000000"/>
        </w:rPr>
        <w:t xml:space="preserve"> </w:t>
      </w:r>
      <w:r w:rsidR="00BC5F48" w:rsidRPr="008C1586">
        <w:rPr>
          <w:rFonts w:ascii="Palatino Linotype" w:eastAsia="Times New Roman" w:hAnsi="Palatino Linotype" w:cs="Arial"/>
          <w:b/>
          <w:color w:val="000000"/>
        </w:rPr>
        <w:t>Sujeto Obligado</w:t>
      </w:r>
      <w:r w:rsidR="00BC5F48" w:rsidRPr="008C1586">
        <w:rPr>
          <w:rFonts w:ascii="Palatino Linotype" w:eastAsia="Times New Roman" w:hAnsi="Palatino Linotype" w:cs="Arial"/>
          <w:color w:val="000000"/>
        </w:rPr>
        <w:t xml:space="preserve"> debe ser cuidadoso del debido cumplimiento de las obligaciones constitucionales que se le imponen, en consecuencia, a todas las autoridades, en el ámbito de su competencia, según lo dispone el tercer párrafo del artículo primero de la </w:t>
      </w:r>
      <w:r w:rsidR="00BC5F48" w:rsidRPr="008C1586">
        <w:rPr>
          <w:rFonts w:ascii="Palatino Linotype" w:eastAsia="Times New Roman" w:hAnsi="Palatino Linotype" w:cs="Arial"/>
          <w:b/>
          <w:color w:val="000000"/>
        </w:rPr>
        <w:t xml:space="preserve">Constitución Política de los Estados Unidos Mexicanos </w:t>
      </w:r>
      <w:r w:rsidR="00BC5F48" w:rsidRPr="008C1586">
        <w:rPr>
          <w:rFonts w:ascii="Palatino Linotype" w:eastAsia="Times New Roman" w:hAnsi="Palatino Linotype" w:cs="Arial"/>
          <w:color w:val="000000"/>
        </w:rPr>
        <w:t xml:space="preserve">al señalar la obligación de “promover, </w:t>
      </w:r>
      <w:r w:rsidR="00BC5F48" w:rsidRPr="008C1586">
        <w:rPr>
          <w:rFonts w:ascii="Palatino Linotype" w:eastAsia="Times New Roman" w:hAnsi="Palatino Linotype" w:cs="Arial"/>
          <w:b/>
          <w:color w:val="000000"/>
        </w:rPr>
        <w:t>respetar</w:t>
      </w:r>
      <w:r w:rsidR="00BC5F48" w:rsidRPr="008C1586">
        <w:rPr>
          <w:rFonts w:ascii="Palatino Linotype" w:eastAsia="Times New Roman" w:hAnsi="Palatino Linotype" w:cs="Arial"/>
          <w:color w:val="000000"/>
        </w:rPr>
        <w:t xml:space="preserve">, </w:t>
      </w:r>
      <w:r w:rsidR="00BC5F48" w:rsidRPr="008C1586">
        <w:rPr>
          <w:rFonts w:ascii="Palatino Linotype" w:eastAsia="Times New Roman" w:hAnsi="Palatino Linotype" w:cs="Arial"/>
          <w:b/>
          <w:color w:val="000000"/>
        </w:rPr>
        <w:t>proteger</w:t>
      </w:r>
      <w:r w:rsidR="00BC5F48" w:rsidRPr="008C1586">
        <w:rPr>
          <w:rFonts w:ascii="Palatino Linotype" w:eastAsia="Times New Roman" w:hAnsi="Palatino Linotype" w:cs="Arial"/>
          <w:color w:val="000000"/>
        </w:rPr>
        <w:t xml:space="preserve"> y </w:t>
      </w:r>
      <w:r w:rsidR="00BC5F48" w:rsidRPr="008C1586">
        <w:rPr>
          <w:rFonts w:ascii="Palatino Linotype" w:eastAsia="Times New Roman" w:hAnsi="Palatino Linotype" w:cs="Arial"/>
          <w:b/>
          <w:color w:val="000000"/>
        </w:rPr>
        <w:t>garantizar</w:t>
      </w:r>
      <w:r w:rsidR="00BC5F48" w:rsidRPr="008C1586">
        <w:rPr>
          <w:rFonts w:ascii="Palatino Linotype" w:eastAsia="Times New Roman" w:hAnsi="Palatino Linotype" w:cs="Arial"/>
          <w:color w:val="000000"/>
        </w:rPr>
        <w:t xml:space="preserve"> los derechos humanos”, entre los cuales se encuentra dicho derecho.</w:t>
      </w:r>
    </w:p>
    <w:p w14:paraId="77D60E9C" w14:textId="77777777" w:rsidR="00BC5F48" w:rsidRPr="008C1586" w:rsidRDefault="00BC5F48" w:rsidP="00BC5F48">
      <w:pPr>
        <w:spacing w:line="360" w:lineRule="auto"/>
        <w:contextualSpacing/>
        <w:jc w:val="both"/>
        <w:rPr>
          <w:rFonts w:ascii="Palatino Linotype" w:eastAsia="Times New Roman" w:hAnsi="Palatino Linotype" w:cs="Arial"/>
          <w:color w:val="000000"/>
        </w:rPr>
      </w:pPr>
    </w:p>
    <w:p w14:paraId="69FB7D77" w14:textId="77777777" w:rsidR="00BC5F48" w:rsidRPr="008C1586" w:rsidRDefault="00BC5F48" w:rsidP="0017524F">
      <w:pPr>
        <w:numPr>
          <w:ilvl w:val="0"/>
          <w:numId w:val="1"/>
        </w:numPr>
        <w:spacing w:line="360" w:lineRule="auto"/>
        <w:ind w:left="0" w:firstLine="0"/>
        <w:contextualSpacing/>
        <w:jc w:val="both"/>
        <w:rPr>
          <w:rFonts w:ascii="Palatino Linotype" w:eastAsia="Times New Roman" w:hAnsi="Palatino Linotype" w:cs="Arial"/>
          <w:color w:val="000000"/>
        </w:rPr>
      </w:pPr>
      <w:r w:rsidRPr="008C1586">
        <w:rPr>
          <w:rFonts w:ascii="Palatino Linotype" w:eastAsia="MS Mincho" w:hAnsi="Palatino Linotype" w:cs="Times New Roman"/>
        </w:rPr>
        <w:t>El acceso a la información pública es el derecho humano a través del cual se puede</w:t>
      </w:r>
      <w:r w:rsidRPr="008C1586">
        <w:rPr>
          <w:rFonts w:ascii="Palatino Linotype" w:eastAsia="Times New Roman" w:hAnsi="Palatino Linotype" w:cs="Arial"/>
          <w:color w:val="000000"/>
        </w:rPr>
        <w:t xml:space="preserve"> solicitar aquellos documentos que generen, administren o posean las autoridades en ejercicio de sus respectivas atribuciones y competencia. Este Órgano </w:t>
      </w:r>
      <w:r w:rsidRPr="008C1586">
        <w:rPr>
          <w:rFonts w:ascii="Palatino Linotype" w:eastAsia="Times New Roman" w:hAnsi="Palatino Linotype" w:cs="Arial"/>
          <w:color w:val="000000"/>
        </w:rPr>
        <w:lastRenderedPageBreak/>
        <w:t>Garante en aras de promover y garantizar la debida tutela del derecho humano de acceso a la información pública, destaca la obligación del Estado, a través de sus diversas autoridades, de preservar sus documentos en archivos administrativos y actualizados, supuesto indispensable para hacerlos del conocimiento de los particulares que requieren conocer la información contenida en estos.</w:t>
      </w:r>
    </w:p>
    <w:p w14:paraId="700935BD" w14:textId="77777777" w:rsidR="00BC5F48" w:rsidRPr="008C1586" w:rsidRDefault="00BC5F48" w:rsidP="00BC5F48">
      <w:pPr>
        <w:spacing w:line="360" w:lineRule="auto"/>
        <w:contextualSpacing/>
        <w:jc w:val="both"/>
        <w:rPr>
          <w:rFonts w:ascii="Palatino Linotype" w:eastAsia="MS Mincho" w:hAnsi="Palatino Linotype" w:cs="Times New Roman"/>
        </w:rPr>
      </w:pPr>
    </w:p>
    <w:p w14:paraId="2C5F8900" w14:textId="77777777" w:rsidR="00BC5F48" w:rsidRPr="008C1586" w:rsidRDefault="00BC5F48" w:rsidP="0017524F">
      <w:pPr>
        <w:numPr>
          <w:ilvl w:val="0"/>
          <w:numId w:val="1"/>
        </w:numPr>
        <w:spacing w:line="360" w:lineRule="auto"/>
        <w:ind w:left="0" w:firstLine="0"/>
        <w:contextualSpacing/>
        <w:jc w:val="both"/>
        <w:rPr>
          <w:rFonts w:ascii="Palatino Linotype" w:eastAsia="MS Mincho" w:hAnsi="Palatino Linotype" w:cs="Times New Roman"/>
        </w:rPr>
      </w:pPr>
      <w:r w:rsidRPr="008C1586">
        <w:rPr>
          <w:rFonts w:ascii="Palatino Linotype" w:eastAsia="MS Mincho" w:hAnsi="Palatino Linotype" w:cs="Times New Roman"/>
        </w:rPr>
        <w:t xml:space="preserve">De acuerdo a la Ley en la materia en términos generales, establece que como uno de los objetivos con el que cuenta es el de garantizar a toda persona el derecho de acceso a la información pública, mediante los procedimientos establecidos de forma sencilla, expeditos, oportunos y gratuitos, y con ello contribuir a la mejora de procedimientos y mecanismos que permitan trasparentar la gestión pública y mejora la toma decisiones, a través de la difusión de la información que obra en poder de los </w:t>
      </w:r>
      <w:r w:rsidRPr="008C1586">
        <w:rPr>
          <w:rFonts w:ascii="Palatino Linotype" w:eastAsia="MS Mincho" w:hAnsi="Palatino Linotype" w:cs="Times New Roman"/>
          <w:b/>
        </w:rPr>
        <w:t>Sujeto Obligado</w:t>
      </w:r>
      <w:r w:rsidRPr="008C1586">
        <w:rPr>
          <w:rFonts w:ascii="Palatino Linotype" w:eastAsia="MS Mincho" w:hAnsi="Palatino Linotype" w:cs="Times New Roman"/>
        </w:rPr>
        <w:t>s.</w:t>
      </w:r>
    </w:p>
    <w:p w14:paraId="681789DB" w14:textId="77777777" w:rsidR="00BC5F48" w:rsidRPr="008C1586" w:rsidRDefault="00BC5F48" w:rsidP="00BC5F48">
      <w:pPr>
        <w:spacing w:line="360" w:lineRule="auto"/>
        <w:contextualSpacing/>
        <w:jc w:val="both"/>
        <w:rPr>
          <w:rFonts w:ascii="Palatino Linotype" w:eastAsia="MS Mincho" w:hAnsi="Palatino Linotype" w:cs="Times New Roman"/>
        </w:rPr>
      </w:pPr>
    </w:p>
    <w:p w14:paraId="6A1093FC" w14:textId="77777777" w:rsidR="00BC5F48" w:rsidRPr="008C1586" w:rsidRDefault="00BC5F48" w:rsidP="0017524F">
      <w:pPr>
        <w:numPr>
          <w:ilvl w:val="0"/>
          <w:numId w:val="1"/>
        </w:numPr>
        <w:spacing w:line="360" w:lineRule="auto"/>
        <w:ind w:left="0" w:firstLine="0"/>
        <w:contextualSpacing/>
        <w:jc w:val="both"/>
        <w:rPr>
          <w:rFonts w:ascii="Palatino Linotype" w:eastAsia="Times New Roman" w:hAnsi="Palatino Linotype" w:cs="Arial"/>
          <w:lang w:val="es-ES"/>
        </w:rPr>
      </w:pPr>
      <w:r w:rsidRPr="008C1586">
        <w:rPr>
          <w:rFonts w:ascii="Palatino Linotype" w:eastAsia="Times New Roman" w:hAnsi="Palatino Linotype" w:cs="Arial"/>
          <w:lang w:val="es-ES"/>
        </w:rPr>
        <w:t>En virtud de ello, en cuanto al derecho humano de acceso a la información pública la información en posesión de las autoridades municipales es pública. Aunado a ello como ha quedado señalado los Organismos Públicos Descentralizados de los Municipios, son considerados Sujetos Obligados para efectos de transparentar y permitir el acceso a la información pública que posean, y están obligados a documentar todo acto que derive del ejercicio de sus facultades, competencias o funciones. En ese sentido, debe privilegiarse en todo momento el principio de máxima publicidad.</w:t>
      </w:r>
    </w:p>
    <w:p w14:paraId="4D71A36A" w14:textId="77777777" w:rsidR="006A5F34" w:rsidRPr="008C1586" w:rsidRDefault="006A5F34" w:rsidP="006A5F34">
      <w:pPr>
        <w:spacing w:line="360" w:lineRule="auto"/>
        <w:ind w:right="900"/>
        <w:contextualSpacing/>
        <w:jc w:val="both"/>
        <w:rPr>
          <w:rFonts w:ascii="Palatino Linotype" w:eastAsia="Times New Roman" w:hAnsi="Palatino Linotype" w:cs="Times New Roman"/>
          <w:lang w:val="es-ES"/>
        </w:rPr>
      </w:pPr>
    </w:p>
    <w:p w14:paraId="1B96E929" w14:textId="3F131CC6" w:rsidR="006A5F34" w:rsidRPr="008C1586" w:rsidRDefault="006A5F34" w:rsidP="006A5F34">
      <w:pPr>
        <w:numPr>
          <w:ilvl w:val="0"/>
          <w:numId w:val="1"/>
        </w:numPr>
        <w:spacing w:line="360" w:lineRule="auto"/>
        <w:ind w:left="0" w:firstLine="0"/>
        <w:contextualSpacing/>
        <w:jc w:val="both"/>
        <w:rPr>
          <w:rFonts w:ascii="Palatino Linotype" w:hAnsi="Palatino Linotype"/>
          <w:color w:val="000000" w:themeColor="text1"/>
        </w:rPr>
      </w:pPr>
      <w:r w:rsidRPr="008C1586">
        <w:rPr>
          <w:rFonts w:ascii="Palatino Linotype" w:hAnsi="Palatino Linotype"/>
          <w:color w:val="000000" w:themeColor="text1"/>
        </w:rPr>
        <w:lastRenderedPageBreak/>
        <w:t>En consecuencia de lo anterior, se colige que resultan</w:t>
      </w:r>
      <w:r w:rsidRPr="008C1586">
        <w:rPr>
          <w:rFonts w:ascii="Palatino Linotype" w:hAnsi="Palatino Linotype"/>
          <w:b/>
          <w:color w:val="000000" w:themeColor="text1"/>
        </w:rPr>
        <w:t xml:space="preserve"> infundadas</w:t>
      </w:r>
      <w:r w:rsidRPr="008C1586">
        <w:rPr>
          <w:rFonts w:ascii="Palatino Linotype" w:hAnsi="Palatino Linotype"/>
          <w:color w:val="000000" w:themeColor="text1"/>
        </w:rPr>
        <w:t xml:space="preserve"> </w:t>
      </w:r>
      <w:r w:rsidRPr="008C1586">
        <w:rPr>
          <w:rFonts w:ascii="Palatino Linotype" w:hAnsi="Palatino Linotype" w:cs="Arial"/>
        </w:rPr>
        <w:t>las</w:t>
      </w:r>
      <w:r w:rsidRPr="008C1586">
        <w:rPr>
          <w:rFonts w:ascii="Palatino Linotype" w:hAnsi="Palatino Linotype"/>
          <w:color w:val="000000" w:themeColor="text1"/>
        </w:rPr>
        <w:t xml:space="preserve"> razones o </w:t>
      </w:r>
      <w:r w:rsidRPr="008C1586">
        <w:rPr>
          <w:rFonts w:ascii="Palatino Linotype" w:hAnsi="Palatino Linotype" w:cs="Arial"/>
        </w:rPr>
        <w:t>motivos</w:t>
      </w:r>
      <w:r w:rsidRPr="008C1586">
        <w:rPr>
          <w:rFonts w:ascii="Palatino Linotype" w:hAnsi="Palatino Linotype"/>
          <w:color w:val="000000" w:themeColor="text1"/>
        </w:rPr>
        <w:t xml:space="preserve"> de inconformidad hechos valer por </w:t>
      </w:r>
      <w:r w:rsidRPr="008C1586">
        <w:rPr>
          <w:rFonts w:ascii="Palatino Linotype" w:hAnsi="Palatino Linotype"/>
          <w:b/>
          <w:color w:val="000000" w:themeColor="text1"/>
        </w:rPr>
        <w:t>EL RECURRENTE</w:t>
      </w:r>
      <w:r w:rsidRPr="008C1586">
        <w:rPr>
          <w:rFonts w:ascii="Palatino Linotype" w:hAnsi="Palatino Linotype"/>
          <w:color w:val="000000" w:themeColor="text1"/>
        </w:rPr>
        <w:t xml:space="preserve"> en el recursos de revisión, por </w:t>
      </w:r>
      <w:r w:rsidRPr="008C1586">
        <w:rPr>
          <w:rFonts w:ascii="Palatino Linotype" w:hAnsi="Palatino Linotype" w:cs="Arial"/>
        </w:rPr>
        <w:t>ello,</w:t>
      </w:r>
      <w:r w:rsidRPr="008C1586">
        <w:rPr>
          <w:rFonts w:ascii="Palatino Linotype" w:hAnsi="Palatino Linotype"/>
          <w:color w:val="000000" w:themeColor="text1"/>
        </w:rPr>
        <w:t xml:space="preserve"> con fundamento en el artículo 186, fracción II, de la Ley de Transparencia y </w:t>
      </w:r>
      <w:r w:rsidRPr="008C1586">
        <w:rPr>
          <w:rFonts w:ascii="Palatino Linotype" w:hAnsi="Palatino Linotype"/>
        </w:rPr>
        <w:t>Acceso</w:t>
      </w:r>
      <w:r w:rsidRPr="008C1586">
        <w:rPr>
          <w:rFonts w:ascii="Palatino Linotype" w:hAnsi="Palatino Linotype"/>
          <w:color w:val="000000" w:themeColor="text1"/>
        </w:rPr>
        <w:t xml:space="preserve"> a la </w:t>
      </w:r>
      <w:r w:rsidRPr="008C1586">
        <w:rPr>
          <w:rFonts w:ascii="Palatino Linotype" w:hAnsi="Palatino Linotype" w:cs="Arial"/>
        </w:rPr>
        <w:t>Información</w:t>
      </w:r>
      <w:r w:rsidRPr="008C1586">
        <w:rPr>
          <w:rFonts w:ascii="Palatino Linotype" w:hAnsi="Palatino Linotype"/>
          <w:color w:val="000000" w:themeColor="text1"/>
        </w:rPr>
        <w:t xml:space="preserve"> Pública del Estado de México y Municipios, se </w:t>
      </w:r>
      <w:r w:rsidRPr="008C1586">
        <w:rPr>
          <w:rFonts w:ascii="Palatino Linotype" w:hAnsi="Palatino Linotype" w:cs="Arial"/>
          <w:b/>
          <w:color w:val="000000" w:themeColor="text1"/>
        </w:rPr>
        <w:t>CONFIRMA</w:t>
      </w:r>
      <w:r w:rsidRPr="008C1586">
        <w:rPr>
          <w:rFonts w:ascii="Palatino Linotype" w:hAnsi="Palatino Linotype"/>
          <w:color w:val="000000" w:themeColor="text1"/>
        </w:rPr>
        <w:t xml:space="preserve"> la respuesta a las solicitud de información pública</w:t>
      </w:r>
      <w:r w:rsidRPr="008C1586">
        <w:rPr>
          <w:rFonts w:ascii="Palatino Linotype" w:hAnsi="Palatino Linotype"/>
          <w:b/>
          <w:bCs/>
          <w:color w:val="000000" w:themeColor="text1"/>
        </w:rPr>
        <w:t xml:space="preserve"> </w:t>
      </w:r>
      <w:r w:rsidRPr="008C1586">
        <w:rPr>
          <w:rFonts w:ascii="Palatino Linotype" w:hAnsi="Palatino Linotype" w:cs="Arial"/>
          <w:b/>
          <w:bCs/>
          <w:color w:val="000000" w:themeColor="text1"/>
        </w:rPr>
        <w:t> 00194/CAEM/IP/2024</w:t>
      </w:r>
      <w:r w:rsidRPr="008C1586">
        <w:rPr>
          <w:rFonts w:ascii="Palatino Linotype" w:hAnsi="Palatino Linotype" w:cs="Arial"/>
          <w:b/>
          <w:color w:val="000000" w:themeColor="text1"/>
        </w:rPr>
        <w:t>,</w:t>
      </w:r>
      <w:r w:rsidRPr="008C1586">
        <w:rPr>
          <w:rFonts w:ascii="Palatino Linotype" w:hAnsi="Palatino Linotype"/>
          <w:color w:val="000000" w:themeColor="text1"/>
        </w:rPr>
        <w:t xml:space="preserve"> que ha sido materia del presente fallo.</w:t>
      </w:r>
    </w:p>
    <w:p w14:paraId="077B8099" w14:textId="77777777" w:rsidR="006A5F34" w:rsidRPr="008C1586" w:rsidRDefault="006A5F34" w:rsidP="006A5F34">
      <w:pPr>
        <w:spacing w:line="360" w:lineRule="auto"/>
        <w:contextualSpacing/>
        <w:jc w:val="both"/>
        <w:rPr>
          <w:rFonts w:ascii="Palatino Linotype" w:hAnsi="Palatino Linotype"/>
          <w:color w:val="000000" w:themeColor="text1"/>
        </w:rPr>
      </w:pPr>
    </w:p>
    <w:p w14:paraId="280111A0" w14:textId="77777777" w:rsidR="006A5F34" w:rsidRPr="008C1586" w:rsidRDefault="006A5F34" w:rsidP="006A5F34">
      <w:pPr>
        <w:numPr>
          <w:ilvl w:val="0"/>
          <w:numId w:val="1"/>
        </w:numPr>
        <w:spacing w:line="360" w:lineRule="auto"/>
        <w:ind w:left="0" w:firstLine="0"/>
        <w:contextualSpacing/>
        <w:jc w:val="both"/>
        <w:rPr>
          <w:rFonts w:ascii="Palatino Linotype" w:hAnsi="Palatino Linotype"/>
          <w:color w:val="000000" w:themeColor="text1"/>
        </w:rPr>
      </w:pPr>
      <w:r w:rsidRPr="008C1586">
        <w:rPr>
          <w:rFonts w:ascii="Palatino Linotype" w:hAnsi="Palatino Linotype" w:cs="Arial"/>
          <w:color w:val="000000" w:themeColor="text1"/>
          <w:lang w:eastAsia="es-MX"/>
        </w:rPr>
        <w:t xml:space="preserve">Por lo anteriormente expuesto y fundado, este </w:t>
      </w:r>
      <w:r w:rsidRPr="008C1586">
        <w:rPr>
          <w:rFonts w:ascii="Palatino Linotype" w:hAnsi="Palatino Linotype" w:cs="Arial"/>
          <w:b/>
          <w:bCs/>
          <w:color w:val="000000" w:themeColor="text1"/>
          <w:lang w:eastAsia="es-MX"/>
        </w:rPr>
        <w:t>ÓRGANO GARANTE</w:t>
      </w:r>
      <w:r w:rsidRPr="008C1586">
        <w:rPr>
          <w:rFonts w:ascii="Palatino Linotype" w:hAnsi="Palatino Linotype" w:cs="Arial"/>
          <w:color w:val="000000" w:themeColor="text1"/>
          <w:lang w:eastAsia="es-MX"/>
        </w:rPr>
        <w:t xml:space="preserve"> emite los siguientes:</w:t>
      </w:r>
      <w:bookmarkStart w:id="152" w:name="_Toc504500693"/>
      <w:bookmarkStart w:id="153" w:name="_Toc534742545"/>
      <w:bookmarkStart w:id="154" w:name="_Toc2248738"/>
      <w:bookmarkStart w:id="155" w:name="_Toc34819440"/>
      <w:bookmarkStart w:id="156" w:name="_Toc51259595"/>
      <w:bookmarkStart w:id="157" w:name="_Toc83128595"/>
    </w:p>
    <w:p w14:paraId="4C0DE8C3" w14:textId="77777777" w:rsidR="006A5F34" w:rsidRPr="008C1586" w:rsidRDefault="006A5F34" w:rsidP="006A5F34">
      <w:pPr>
        <w:pStyle w:val="Prrafodelista"/>
        <w:tabs>
          <w:tab w:val="left" w:pos="426"/>
        </w:tabs>
        <w:spacing w:line="360" w:lineRule="auto"/>
        <w:ind w:left="0" w:right="51"/>
        <w:jc w:val="both"/>
        <w:rPr>
          <w:rFonts w:ascii="Palatino Linotype" w:hAnsi="Palatino Linotype"/>
          <w:color w:val="000000" w:themeColor="text1"/>
        </w:rPr>
      </w:pPr>
    </w:p>
    <w:p w14:paraId="4CA75F2D" w14:textId="77777777" w:rsidR="006A5F34" w:rsidRPr="008C1586" w:rsidRDefault="006A5F34" w:rsidP="006A5F34">
      <w:pPr>
        <w:pStyle w:val="Ttulo1"/>
        <w:spacing w:before="0" w:line="360" w:lineRule="auto"/>
        <w:jc w:val="center"/>
        <w:rPr>
          <w:rFonts w:ascii="Palatino Linotype" w:eastAsia="Calibri" w:hAnsi="Palatino Linotype"/>
          <w:b/>
          <w:color w:val="000000" w:themeColor="text1"/>
          <w:sz w:val="24"/>
          <w:szCs w:val="24"/>
          <w:lang w:val="es-ES"/>
        </w:rPr>
      </w:pPr>
      <w:r w:rsidRPr="008C1586">
        <w:rPr>
          <w:rFonts w:ascii="Palatino Linotype" w:eastAsia="Calibri" w:hAnsi="Palatino Linotype"/>
          <w:b/>
          <w:color w:val="000000" w:themeColor="text1"/>
          <w:sz w:val="24"/>
          <w:szCs w:val="24"/>
          <w:lang w:val="es-ES"/>
        </w:rPr>
        <w:t>R E S O L U T I V O S</w:t>
      </w:r>
      <w:bookmarkEnd w:id="152"/>
      <w:bookmarkEnd w:id="153"/>
      <w:bookmarkEnd w:id="154"/>
      <w:bookmarkEnd w:id="155"/>
      <w:bookmarkEnd w:id="156"/>
      <w:bookmarkEnd w:id="157"/>
    </w:p>
    <w:p w14:paraId="4BFB0F1F" w14:textId="77777777" w:rsidR="006A5F34" w:rsidRPr="008C1586" w:rsidRDefault="006A5F34" w:rsidP="006A5F34">
      <w:pPr>
        <w:spacing w:line="360" w:lineRule="auto"/>
        <w:rPr>
          <w:rFonts w:ascii="Palatino Linotype" w:hAnsi="Palatino Linotype"/>
          <w:lang w:val="es-ES"/>
        </w:rPr>
      </w:pPr>
    </w:p>
    <w:p w14:paraId="798006ED" w14:textId="7B85301C" w:rsidR="006A5F34" w:rsidRPr="008C1586" w:rsidRDefault="006A5F34" w:rsidP="006A5F34">
      <w:pPr>
        <w:tabs>
          <w:tab w:val="left" w:pos="8080"/>
        </w:tabs>
        <w:spacing w:line="360" w:lineRule="auto"/>
        <w:ind w:right="49"/>
        <w:jc w:val="both"/>
        <w:rPr>
          <w:rFonts w:ascii="Palatino Linotype" w:eastAsia="Times New Roman" w:hAnsi="Palatino Linotype" w:cs="Arial"/>
          <w:bCs/>
        </w:rPr>
      </w:pPr>
      <w:bookmarkStart w:id="158" w:name="_Toc503891610"/>
      <w:bookmarkStart w:id="159" w:name="_Toc453696503"/>
      <w:bookmarkStart w:id="160" w:name="_Toc454301156"/>
      <w:bookmarkStart w:id="161" w:name="_Toc462653938"/>
      <w:bookmarkStart w:id="162" w:name="_Toc477891769"/>
      <w:bookmarkStart w:id="163" w:name="_Toc477891859"/>
      <w:bookmarkStart w:id="164" w:name="_Toc481576260"/>
      <w:bookmarkStart w:id="165" w:name="_Toc492590392"/>
      <w:bookmarkStart w:id="166" w:name="_Toc511647758"/>
      <w:bookmarkStart w:id="167" w:name="_Toc511647819"/>
      <w:r w:rsidRPr="008C1586">
        <w:rPr>
          <w:rFonts w:ascii="Palatino Linotype" w:eastAsia="Times New Roman" w:hAnsi="Palatino Linotype" w:cs="Arial"/>
          <w:b/>
          <w:bCs/>
        </w:rPr>
        <w:t>PRIMERO</w:t>
      </w:r>
      <w:r w:rsidRPr="008C1586">
        <w:rPr>
          <w:rFonts w:ascii="Palatino Linotype" w:eastAsia="Times New Roman" w:hAnsi="Palatino Linotype" w:cs="Arial"/>
        </w:rPr>
        <w:t xml:space="preserve">. Resultan infundadas las </w:t>
      </w:r>
      <w:r w:rsidRPr="008C1586">
        <w:rPr>
          <w:rFonts w:ascii="Palatino Linotype" w:eastAsia="Times New Roman" w:hAnsi="Palatino Linotype" w:cs="Arial"/>
          <w:lang w:val="es-ES"/>
        </w:rPr>
        <w:t xml:space="preserve">razones o motivos de inconformidad hechos valer en el recurso de revisión </w:t>
      </w:r>
      <w:r w:rsidR="00B278F0" w:rsidRPr="008C1586">
        <w:rPr>
          <w:rFonts w:ascii="Palatino Linotype" w:eastAsia="Times New Roman" w:hAnsi="Palatino Linotype" w:cs="Arial"/>
          <w:b/>
          <w:bCs/>
        </w:rPr>
        <w:t>02398/INFOEM/IP/RR/2024</w:t>
      </w:r>
      <w:r w:rsidRPr="008C1586">
        <w:rPr>
          <w:rFonts w:ascii="Palatino Linotype" w:eastAsia="Times New Roman" w:hAnsi="Palatino Linotype" w:cs="Arial"/>
          <w:bCs/>
        </w:rPr>
        <w:t xml:space="preserve">, en términos del Considerando </w:t>
      </w:r>
      <w:r w:rsidRPr="008C1586">
        <w:rPr>
          <w:rFonts w:ascii="Palatino Linotype" w:eastAsia="Times New Roman" w:hAnsi="Palatino Linotype" w:cs="Arial"/>
          <w:b/>
          <w:bCs/>
        </w:rPr>
        <w:t>CUARTO</w:t>
      </w:r>
      <w:r w:rsidRPr="008C1586">
        <w:rPr>
          <w:rFonts w:ascii="Palatino Linotype" w:eastAsia="Times New Roman" w:hAnsi="Palatino Linotype" w:cs="Arial"/>
          <w:bCs/>
        </w:rPr>
        <w:t xml:space="preserve"> de la presente resolución.</w:t>
      </w:r>
    </w:p>
    <w:p w14:paraId="3F96BD2A" w14:textId="77777777" w:rsidR="006A5F34" w:rsidRPr="008C1586" w:rsidRDefault="006A5F34" w:rsidP="006A5F34">
      <w:pPr>
        <w:tabs>
          <w:tab w:val="left" w:pos="8080"/>
        </w:tabs>
        <w:spacing w:line="360" w:lineRule="auto"/>
        <w:ind w:right="49"/>
        <w:jc w:val="both"/>
        <w:rPr>
          <w:rFonts w:ascii="Palatino Linotype" w:eastAsia="Times New Roman" w:hAnsi="Palatino Linotype" w:cs="Arial"/>
          <w:bCs/>
        </w:rPr>
      </w:pPr>
    </w:p>
    <w:p w14:paraId="14E3D2E5" w14:textId="17B3C5F2" w:rsidR="006A5F34" w:rsidRPr="008C1586" w:rsidRDefault="006A5F34" w:rsidP="006A5F34">
      <w:pPr>
        <w:tabs>
          <w:tab w:val="left" w:pos="8080"/>
        </w:tabs>
        <w:spacing w:line="360" w:lineRule="auto"/>
        <w:ind w:right="49"/>
        <w:jc w:val="both"/>
        <w:rPr>
          <w:rFonts w:ascii="Palatino Linotype" w:eastAsia="Times New Roman" w:hAnsi="Palatino Linotype" w:cs="Arial"/>
          <w:b/>
          <w:bCs/>
        </w:rPr>
      </w:pPr>
      <w:r w:rsidRPr="008C1586">
        <w:rPr>
          <w:rFonts w:ascii="Palatino Linotype" w:eastAsia="Times New Roman" w:hAnsi="Palatino Linotype" w:cs="Arial"/>
          <w:b/>
        </w:rPr>
        <w:t>SEGUNDO</w:t>
      </w:r>
      <w:r w:rsidRPr="008C1586">
        <w:rPr>
          <w:rFonts w:ascii="Palatino Linotype" w:eastAsia="Times New Roman" w:hAnsi="Palatino Linotype" w:cs="Arial"/>
        </w:rPr>
        <w:t xml:space="preserve">. </w:t>
      </w:r>
      <w:r w:rsidRPr="008C1586">
        <w:rPr>
          <w:rFonts w:ascii="Palatino Linotype" w:eastAsia="Times New Roman" w:hAnsi="Palatino Linotype" w:cs="Arial"/>
          <w:lang w:val="es-ES"/>
        </w:rPr>
        <w:t xml:space="preserve">Se </w:t>
      </w:r>
      <w:r w:rsidRPr="008C1586">
        <w:rPr>
          <w:rFonts w:ascii="Palatino Linotype" w:eastAsia="Times New Roman" w:hAnsi="Palatino Linotype" w:cs="Arial"/>
          <w:b/>
          <w:lang w:val="es-ES"/>
        </w:rPr>
        <w:t>CONFIRMA</w:t>
      </w:r>
      <w:r w:rsidR="00B278F0" w:rsidRPr="008C1586">
        <w:rPr>
          <w:rFonts w:ascii="Palatino Linotype" w:eastAsia="Times New Roman" w:hAnsi="Palatino Linotype" w:cs="Arial"/>
          <w:lang w:val="es-ES"/>
        </w:rPr>
        <w:t xml:space="preserve"> la respuesta emitida por la</w:t>
      </w:r>
      <w:r w:rsidRPr="008C1586">
        <w:rPr>
          <w:rFonts w:ascii="Palatino Linotype" w:eastAsia="Times New Roman" w:hAnsi="Palatino Linotype" w:cs="Arial"/>
          <w:lang w:val="es-ES"/>
        </w:rPr>
        <w:t xml:space="preserve"> </w:t>
      </w:r>
      <w:r w:rsidR="00B278F0" w:rsidRPr="008C1586">
        <w:rPr>
          <w:rFonts w:ascii="Palatino Linotype" w:eastAsia="Times New Roman" w:hAnsi="Palatino Linotype" w:cs="Arial"/>
          <w:b/>
          <w:bCs/>
        </w:rPr>
        <w:t>Comisión del Agua del Estado de México</w:t>
      </w:r>
      <w:r w:rsidRPr="008C1586">
        <w:rPr>
          <w:rFonts w:ascii="Palatino Linotype" w:eastAsia="Times New Roman" w:hAnsi="Palatino Linotype" w:cs="Arial"/>
          <w:b/>
          <w:lang w:val="es-ES"/>
        </w:rPr>
        <w:t xml:space="preserve">, </w:t>
      </w:r>
      <w:r w:rsidRPr="008C1586">
        <w:rPr>
          <w:rFonts w:ascii="Palatino Linotype" w:eastAsia="Times New Roman" w:hAnsi="Palatino Linotype" w:cs="Arial"/>
          <w:lang w:val="es-ES"/>
        </w:rPr>
        <w:t xml:space="preserve">en la solicitud de información </w:t>
      </w:r>
      <w:r w:rsidRPr="008C1586">
        <w:rPr>
          <w:rFonts w:ascii="Palatino Linotype" w:eastAsia="Times New Roman" w:hAnsi="Palatino Linotype" w:cs="Arial"/>
          <w:b/>
          <w:bCs/>
        </w:rPr>
        <w:t> </w:t>
      </w:r>
      <w:r w:rsidR="00B278F0" w:rsidRPr="008C1586">
        <w:rPr>
          <w:rFonts w:ascii="Palatino Linotype" w:eastAsia="Times New Roman" w:hAnsi="Palatino Linotype" w:cs="Arial"/>
          <w:b/>
          <w:bCs/>
        </w:rPr>
        <w:t>00194/CAEM/IP/2024</w:t>
      </w:r>
      <w:r w:rsidRPr="008C1586">
        <w:rPr>
          <w:rFonts w:ascii="Palatino Linotype" w:eastAsia="Times New Roman" w:hAnsi="Palatino Linotype" w:cs="Arial"/>
          <w:b/>
          <w:bCs/>
        </w:rPr>
        <w:t>.</w:t>
      </w:r>
    </w:p>
    <w:p w14:paraId="031E5E7B" w14:textId="77777777" w:rsidR="006A5F34" w:rsidRPr="008C1586" w:rsidRDefault="006A5F34" w:rsidP="006A5F34">
      <w:pPr>
        <w:tabs>
          <w:tab w:val="left" w:pos="8080"/>
        </w:tabs>
        <w:spacing w:line="360" w:lineRule="auto"/>
        <w:ind w:right="49"/>
        <w:jc w:val="both"/>
        <w:rPr>
          <w:rFonts w:ascii="Palatino Linotype" w:eastAsia="Times New Roman" w:hAnsi="Palatino Linotype" w:cs="Arial"/>
          <w:b/>
          <w:bCs/>
        </w:rPr>
      </w:pPr>
    </w:p>
    <w:p w14:paraId="3F1B4C81"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rPr>
      </w:pPr>
      <w:bookmarkStart w:id="168" w:name="_Toc461648590"/>
      <w:bookmarkStart w:id="169" w:name="_Toc461648682"/>
      <w:bookmarkStart w:id="170" w:name="_Toc462228049"/>
      <w:bookmarkStart w:id="171" w:name="_Toc462228129"/>
      <w:bookmarkStart w:id="172" w:name="_Toc496099789"/>
      <w:bookmarkStart w:id="173" w:name="_Toc496100166"/>
      <w:bookmarkStart w:id="174" w:name="_Toc499756977"/>
      <w:bookmarkStart w:id="175" w:name="_Toc499757020"/>
      <w:bookmarkStart w:id="176" w:name="_Toc504377974"/>
      <w:bookmarkEnd w:id="158"/>
      <w:bookmarkEnd w:id="159"/>
      <w:bookmarkEnd w:id="160"/>
      <w:bookmarkEnd w:id="161"/>
      <w:bookmarkEnd w:id="162"/>
      <w:bookmarkEnd w:id="163"/>
      <w:bookmarkEnd w:id="164"/>
      <w:bookmarkEnd w:id="165"/>
      <w:bookmarkEnd w:id="166"/>
      <w:bookmarkEnd w:id="167"/>
      <w:r w:rsidRPr="008C1586">
        <w:rPr>
          <w:rFonts w:ascii="Palatino Linotype" w:eastAsia="Times New Roman" w:hAnsi="Palatino Linotype" w:cs="Times New Roman"/>
          <w:b/>
        </w:rPr>
        <w:t>TERCERO.</w:t>
      </w:r>
      <w:bookmarkEnd w:id="168"/>
      <w:bookmarkEnd w:id="169"/>
      <w:bookmarkEnd w:id="170"/>
      <w:bookmarkEnd w:id="171"/>
      <w:bookmarkEnd w:id="172"/>
      <w:bookmarkEnd w:id="173"/>
      <w:bookmarkEnd w:id="174"/>
      <w:bookmarkEnd w:id="175"/>
      <w:bookmarkEnd w:id="176"/>
      <w:r w:rsidRPr="008C1586">
        <w:rPr>
          <w:rFonts w:ascii="Palatino Linotype" w:eastAsia="Times New Roman" w:hAnsi="Palatino Linotype" w:cs="Times New Roman"/>
        </w:rPr>
        <w:t xml:space="preserve"> Notifíquese al Titular de la Unidad de Transparencia del</w:t>
      </w:r>
      <w:r w:rsidRPr="008C1586">
        <w:rPr>
          <w:rFonts w:ascii="Palatino Linotype" w:eastAsia="Times New Roman" w:hAnsi="Palatino Linotype" w:cs="Times New Roman"/>
          <w:b/>
        </w:rPr>
        <w:t xml:space="preserve"> SUJETO OBLIGADO</w:t>
      </w:r>
      <w:r w:rsidRPr="008C1586">
        <w:rPr>
          <w:rFonts w:ascii="Palatino Linotype" w:eastAsia="Times New Roman" w:hAnsi="Palatino Linotype" w:cs="Times New Roman"/>
        </w:rPr>
        <w:t xml:space="preserve"> vía SAIMEX, para su conocimiento.</w:t>
      </w:r>
    </w:p>
    <w:p w14:paraId="1552D712"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rPr>
      </w:pPr>
    </w:p>
    <w:p w14:paraId="26118EBB"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rPr>
      </w:pPr>
      <w:r w:rsidRPr="008C1586">
        <w:rPr>
          <w:rFonts w:ascii="Palatino Linotype" w:eastAsia="Times New Roman" w:hAnsi="Palatino Linotype" w:cs="Times New Roman"/>
          <w:b/>
        </w:rPr>
        <w:t>CUARTO.</w:t>
      </w:r>
      <w:r w:rsidRPr="008C1586">
        <w:rPr>
          <w:rFonts w:ascii="Palatino Linotype" w:eastAsia="Times New Roman" w:hAnsi="Palatino Linotype" w:cs="Times New Roman"/>
        </w:rPr>
        <w:t xml:space="preserve"> Notifíquese a </w:t>
      </w:r>
      <w:r w:rsidRPr="008C1586">
        <w:rPr>
          <w:rFonts w:ascii="Palatino Linotype" w:eastAsia="Times New Roman" w:hAnsi="Palatino Linotype" w:cs="Times New Roman"/>
          <w:b/>
        </w:rPr>
        <w:t>EL RECURRENTE</w:t>
      </w:r>
      <w:r w:rsidRPr="008C1586">
        <w:rPr>
          <w:rFonts w:ascii="Palatino Linotype" w:eastAsia="Times New Roman" w:hAnsi="Palatino Linotype" w:cs="Times New Roman"/>
        </w:rPr>
        <w:t xml:space="preserve"> la presente resolución vía SAIMEX.</w:t>
      </w:r>
    </w:p>
    <w:p w14:paraId="0A9D5076"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rPr>
      </w:pPr>
    </w:p>
    <w:p w14:paraId="50247F01"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rPr>
      </w:pPr>
      <w:r w:rsidRPr="008C1586">
        <w:rPr>
          <w:rFonts w:ascii="Palatino Linotype" w:eastAsia="Times New Roman" w:hAnsi="Palatino Linotype" w:cs="Times New Roman"/>
          <w:b/>
        </w:rPr>
        <w:lastRenderedPageBreak/>
        <w:t>QUINTO.</w:t>
      </w:r>
      <w:r w:rsidRPr="008C1586">
        <w:rPr>
          <w:rFonts w:ascii="Palatino Linotype" w:eastAsia="Times New Roman" w:hAnsi="Palatino Linotype" w:cs="Times New Roman"/>
        </w:rPr>
        <w:t xml:space="preserve"> Se hace del conocimiento de </w:t>
      </w:r>
      <w:r w:rsidRPr="008C1586">
        <w:rPr>
          <w:rFonts w:ascii="Palatino Linotype" w:eastAsia="Times New Roman" w:hAnsi="Palatino Linotype" w:cs="Times New Roman"/>
          <w:b/>
        </w:rPr>
        <w:t>EL RECURRENTE</w:t>
      </w:r>
      <w:r w:rsidRPr="008C1586">
        <w:rPr>
          <w:rFonts w:ascii="Palatino Linotype" w:eastAsia="Times New Roman" w:hAnsi="Palatino Linotype" w:cs="Times New Roman"/>
        </w:rPr>
        <w:t xml:space="preserve"> que, de conformidad con lo establecido en el artículo 196 de la Ley de Transparencia y Acceso a la Información Pública del Estado de México y Municipios, en caso de que considere que la resolución le cause algún perjuicio podrá impugnarla </w:t>
      </w:r>
      <w:r w:rsidRPr="008C1586">
        <w:rPr>
          <w:rFonts w:ascii="Palatino Linotype" w:eastAsia="Times New Roman" w:hAnsi="Palatino Linotype" w:cs="Times New Roman"/>
          <w:bCs/>
        </w:rPr>
        <w:t>vía juicio de amparo</w:t>
      </w:r>
      <w:r w:rsidRPr="008C1586">
        <w:rPr>
          <w:rFonts w:ascii="Palatino Linotype" w:eastAsia="Times New Roman" w:hAnsi="Palatino Linotype" w:cs="Times New Roman"/>
        </w:rPr>
        <w:t> en los términos de las leyes aplicables.</w:t>
      </w:r>
    </w:p>
    <w:p w14:paraId="232935C9" w14:textId="77777777" w:rsidR="006A5F34" w:rsidRPr="008C1586" w:rsidRDefault="006A5F34" w:rsidP="006A5F34">
      <w:pPr>
        <w:shd w:val="clear" w:color="auto" w:fill="FFFFFF"/>
        <w:spacing w:line="360" w:lineRule="auto"/>
        <w:jc w:val="both"/>
        <w:rPr>
          <w:rFonts w:ascii="Palatino Linotype" w:eastAsia="Times New Roman" w:hAnsi="Palatino Linotype" w:cs="Times New Roman"/>
          <w:lang w:val="es-ES" w:eastAsia="es-MX"/>
        </w:rPr>
      </w:pPr>
    </w:p>
    <w:p w14:paraId="2BB6175E" w14:textId="77777777" w:rsidR="004E0CA9" w:rsidRPr="003C7186" w:rsidRDefault="004E0CA9" w:rsidP="004E0CA9">
      <w:pPr>
        <w:spacing w:line="360" w:lineRule="auto"/>
        <w:ind w:right="-93" w:firstLine="1"/>
        <w:jc w:val="both"/>
        <w:rPr>
          <w:rFonts w:ascii="Palatino Linotype" w:hAnsi="Palatino Linotype"/>
        </w:rPr>
      </w:pPr>
      <w:r w:rsidRPr="008C15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14:paraId="03AB4812" w14:textId="77777777" w:rsidR="004E0CA9" w:rsidRPr="00902BA4" w:rsidRDefault="004E0CA9" w:rsidP="004E0CA9">
      <w:pPr>
        <w:widowControl w:val="0"/>
        <w:autoSpaceDE w:val="0"/>
        <w:autoSpaceDN w:val="0"/>
        <w:adjustRightInd w:val="0"/>
        <w:spacing w:after="200" w:line="276" w:lineRule="auto"/>
        <w:ind w:left="-142" w:right="-234"/>
        <w:rPr>
          <w:rFonts w:ascii="Calibri" w:hAnsi="Calibri" w:cs="Calibri"/>
        </w:rPr>
      </w:pPr>
    </w:p>
    <w:p w14:paraId="5CF899A1" w14:textId="77777777" w:rsidR="004E0CA9" w:rsidRDefault="004E0CA9" w:rsidP="004E0CA9">
      <w:pPr>
        <w:spacing w:before="240" w:after="240" w:line="360" w:lineRule="auto"/>
        <w:ind w:firstLine="1"/>
        <w:jc w:val="both"/>
        <w:rPr>
          <w:rFonts w:ascii="Palatino Linotype" w:hAnsi="Palatino Linotype"/>
        </w:rPr>
      </w:pPr>
      <w:bookmarkStart w:id="177" w:name="_Hlk96506827"/>
    </w:p>
    <w:bookmarkEnd w:id="177"/>
    <w:p w14:paraId="5E951112" w14:textId="77777777" w:rsidR="00070D11" w:rsidRDefault="00070D11" w:rsidP="006A5F34">
      <w:pPr>
        <w:rPr>
          <w:rFonts w:ascii="Palatino Linotype" w:eastAsia="Times New Roman" w:hAnsi="Palatino Linotype" w:cs="Arial"/>
          <w:lang w:val="es-ES"/>
        </w:rPr>
      </w:pPr>
    </w:p>
    <w:p w14:paraId="072A437B" w14:textId="77777777" w:rsidR="008C1586" w:rsidRDefault="008C1586" w:rsidP="006A5F34">
      <w:pPr>
        <w:rPr>
          <w:rFonts w:ascii="Palatino Linotype" w:eastAsia="Times New Roman" w:hAnsi="Palatino Linotype" w:cs="Arial"/>
          <w:lang w:val="es-ES"/>
        </w:rPr>
      </w:pPr>
    </w:p>
    <w:p w14:paraId="7B6B7B7B" w14:textId="77777777" w:rsidR="008C1586" w:rsidRDefault="008C1586" w:rsidP="006A5F34">
      <w:pPr>
        <w:rPr>
          <w:rFonts w:ascii="Palatino Linotype" w:eastAsia="Times New Roman" w:hAnsi="Palatino Linotype" w:cs="Arial"/>
          <w:lang w:val="es-ES"/>
        </w:rPr>
      </w:pPr>
    </w:p>
    <w:p w14:paraId="656D078E" w14:textId="77777777" w:rsidR="008C1586" w:rsidRDefault="008C1586" w:rsidP="006A5F34">
      <w:pPr>
        <w:rPr>
          <w:rFonts w:ascii="Palatino Linotype" w:eastAsia="Times New Roman" w:hAnsi="Palatino Linotype" w:cs="Arial"/>
          <w:lang w:val="es-ES"/>
        </w:rPr>
      </w:pPr>
    </w:p>
    <w:p w14:paraId="22C7C5C1" w14:textId="77777777" w:rsidR="008C1586" w:rsidRDefault="008C1586" w:rsidP="006A5F34">
      <w:pPr>
        <w:rPr>
          <w:rFonts w:ascii="Palatino Linotype" w:eastAsia="Times New Roman" w:hAnsi="Palatino Linotype" w:cs="Arial"/>
          <w:lang w:val="es-ES"/>
        </w:rPr>
      </w:pPr>
    </w:p>
    <w:p w14:paraId="64FA378E" w14:textId="77777777" w:rsidR="008C1586" w:rsidRDefault="008C1586" w:rsidP="006A5F34">
      <w:pPr>
        <w:rPr>
          <w:rFonts w:ascii="Palatino Linotype" w:eastAsia="Times New Roman" w:hAnsi="Palatino Linotype" w:cs="Arial"/>
          <w:lang w:val="es-ES"/>
        </w:rPr>
      </w:pPr>
    </w:p>
    <w:p w14:paraId="6E32367F" w14:textId="77777777" w:rsidR="008C1586" w:rsidRDefault="008C1586" w:rsidP="006A5F34">
      <w:pPr>
        <w:rPr>
          <w:rFonts w:ascii="Palatino Linotype" w:eastAsia="Times New Roman" w:hAnsi="Palatino Linotype" w:cs="Arial"/>
          <w:lang w:val="es-ES"/>
        </w:rPr>
      </w:pPr>
    </w:p>
    <w:p w14:paraId="1761A644" w14:textId="77777777" w:rsidR="008C1586" w:rsidRDefault="008C1586" w:rsidP="006A5F34">
      <w:pPr>
        <w:rPr>
          <w:rFonts w:ascii="Palatino Linotype" w:eastAsia="Times New Roman" w:hAnsi="Palatino Linotype" w:cs="Arial"/>
          <w:lang w:val="es-ES"/>
        </w:rPr>
      </w:pPr>
    </w:p>
    <w:p w14:paraId="1834498F" w14:textId="77777777" w:rsidR="008C1586" w:rsidRDefault="008C1586" w:rsidP="006A5F34">
      <w:pPr>
        <w:rPr>
          <w:rFonts w:ascii="Palatino Linotype" w:eastAsia="Times New Roman" w:hAnsi="Palatino Linotype" w:cs="Arial"/>
          <w:lang w:val="es-ES"/>
        </w:rPr>
      </w:pPr>
    </w:p>
    <w:p w14:paraId="28F6B809" w14:textId="77777777" w:rsidR="008C1586" w:rsidRDefault="008C1586" w:rsidP="006A5F34">
      <w:pPr>
        <w:rPr>
          <w:rFonts w:ascii="Palatino Linotype" w:eastAsia="Times New Roman" w:hAnsi="Palatino Linotype" w:cs="Arial"/>
          <w:lang w:val="es-ES"/>
        </w:rPr>
      </w:pPr>
    </w:p>
    <w:p w14:paraId="1BFEF6E1" w14:textId="77777777" w:rsidR="008C1586" w:rsidRDefault="008C1586" w:rsidP="006A5F34">
      <w:pPr>
        <w:rPr>
          <w:rFonts w:ascii="Palatino Linotype" w:eastAsia="Times New Roman" w:hAnsi="Palatino Linotype" w:cs="Arial"/>
          <w:lang w:val="es-ES"/>
        </w:rPr>
      </w:pPr>
    </w:p>
    <w:p w14:paraId="1F51E5C4" w14:textId="77777777" w:rsidR="008C1586" w:rsidRDefault="008C1586" w:rsidP="006A5F34">
      <w:pPr>
        <w:rPr>
          <w:rFonts w:ascii="Palatino Linotype" w:eastAsia="Times New Roman" w:hAnsi="Palatino Linotype" w:cs="Arial"/>
          <w:lang w:val="es-ES"/>
        </w:rPr>
      </w:pPr>
    </w:p>
    <w:p w14:paraId="23E84362" w14:textId="77777777" w:rsidR="008C1586" w:rsidRPr="006A5F34" w:rsidRDefault="008C1586" w:rsidP="006A5F34">
      <w:pPr>
        <w:rPr>
          <w:rFonts w:ascii="Palatino Linotype" w:eastAsia="Times New Roman" w:hAnsi="Palatino Linotype" w:cs="Arial"/>
          <w:lang w:val="es-ES"/>
        </w:rPr>
      </w:pPr>
    </w:p>
    <w:sectPr w:rsidR="008C1586" w:rsidRPr="006A5F34" w:rsidSect="00537651">
      <w:headerReference w:type="even" r:id="rId10"/>
      <w:headerReference w:type="default" r:id="rId11"/>
      <w:footerReference w:type="default" r:id="rId12"/>
      <w:headerReference w:type="first" r:id="rId13"/>
      <w:footerReference w:type="first" r:id="rId14"/>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B4759" w14:textId="77777777" w:rsidR="00727C2A" w:rsidRDefault="00727C2A" w:rsidP="00942616">
      <w:r>
        <w:separator/>
      </w:r>
    </w:p>
  </w:endnote>
  <w:endnote w:type="continuationSeparator" w:id="0">
    <w:p w14:paraId="30CB3413" w14:textId="77777777" w:rsidR="00727C2A" w:rsidRDefault="00727C2A"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6A5F34" w:rsidRPr="002D6DD8" w:rsidRDefault="006A5F3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73B4">
              <w:rPr>
                <w:rFonts w:ascii="Palatino Linotype" w:hAnsi="Palatino Linotype"/>
                <w:bCs/>
                <w:noProof/>
                <w:sz w:val="20"/>
              </w:rPr>
              <w:t>27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A73B4">
              <w:rPr>
                <w:rFonts w:ascii="Palatino Linotype" w:hAnsi="Palatino Linotype"/>
                <w:bCs/>
                <w:noProof/>
                <w:sz w:val="20"/>
              </w:rPr>
              <w:t>28</w:t>
            </w:r>
            <w:r>
              <w:rPr>
                <w:rFonts w:ascii="Palatino Linotype" w:hAnsi="Palatino Linotype"/>
                <w:bCs/>
                <w:noProof/>
                <w:sz w:val="20"/>
              </w:rPr>
              <w:fldChar w:fldCharType="end"/>
            </w:r>
          </w:p>
        </w:sdtContent>
      </w:sdt>
    </w:sdtContent>
  </w:sdt>
  <w:p w14:paraId="4B3C5062" w14:textId="77777777" w:rsidR="006A5F34" w:rsidRDefault="006A5F3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6A5F34" w:rsidRPr="000B69FA" w:rsidRDefault="006A5F34"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AA73B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AA73B4">
      <w:rPr>
        <w:rFonts w:ascii="Palatino Linotype" w:hAnsi="Palatino Linotype"/>
        <w:bCs/>
        <w:noProof/>
        <w:sz w:val="20"/>
      </w:rPr>
      <w:t>28</w:t>
    </w:r>
    <w:r>
      <w:rPr>
        <w:rFonts w:ascii="Palatino Linotype" w:hAnsi="Palatino Linotype"/>
        <w:bCs/>
        <w:noProof/>
        <w:sz w:val="20"/>
      </w:rPr>
      <w:fldChar w:fldCharType="end"/>
    </w:r>
  </w:p>
  <w:p w14:paraId="5FDB238B" w14:textId="77777777" w:rsidR="006A5F34" w:rsidRDefault="006A5F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670FE" w14:textId="77777777" w:rsidR="00727C2A" w:rsidRDefault="00727C2A" w:rsidP="00942616">
      <w:r>
        <w:separator/>
      </w:r>
    </w:p>
  </w:footnote>
  <w:footnote w:type="continuationSeparator" w:id="0">
    <w:p w14:paraId="09152FDE" w14:textId="77777777" w:rsidR="00727C2A" w:rsidRDefault="00727C2A" w:rsidP="0094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6A5F34" w:rsidRDefault="00727C2A">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6A5F34" w14:paraId="6291E73B" w14:textId="77777777" w:rsidTr="00B5153D">
      <w:trPr>
        <w:trHeight w:val="227"/>
      </w:trPr>
      <w:tc>
        <w:tcPr>
          <w:tcW w:w="2976" w:type="dxa"/>
          <w:vAlign w:val="center"/>
          <w:hideMark/>
        </w:tcPr>
        <w:p w14:paraId="785910C1" w14:textId="77777777" w:rsidR="006A5F34" w:rsidRPr="00674A46" w:rsidRDefault="006A5F34"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6990D8D0" w:rsidR="006A5F34" w:rsidRPr="009304C1" w:rsidRDefault="006A5F34"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02398/INFOEM/IP/RR/2024</w:t>
          </w:r>
        </w:p>
      </w:tc>
    </w:tr>
    <w:tr w:rsidR="006A5F34" w14:paraId="0495579F" w14:textId="77777777" w:rsidTr="00B5153D">
      <w:trPr>
        <w:trHeight w:val="242"/>
      </w:trPr>
      <w:tc>
        <w:tcPr>
          <w:tcW w:w="2976" w:type="dxa"/>
          <w:vAlign w:val="center"/>
          <w:hideMark/>
        </w:tcPr>
        <w:p w14:paraId="1260BD52" w14:textId="77777777" w:rsidR="006A5F34" w:rsidRPr="00674A46" w:rsidRDefault="006A5F34"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678AFBAC" w:rsidR="006A5F34" w:rsidRPr="009304C1" w:rsidRDefault="006A5F34" w:rsidP="009F045A">
          <w:pPr>
            <w:pStyle w:val="Encabezado"/>
            <w:jc w:val="both"/>
            <w:rPr>
              <w:rFonts w:ascii="Palatino Linotype" w:hAnsi="Palatino Linotype"/>
              <w:b/>
              <w:bCs/>
              <w:color w:val="000000"/>
              <w:sz w:val="22"/>
              <w:szCs w:val="22"/>
              <w:highlight w:val="green"/>
            </w:rPr>
          </w:pPr>
          <w:r w:rsidRPr="00466784">
            <w:rPr>
              <w:rFonts w:ascii="Palatino Linotype" w:hAnsi="Palatino Linotype"/>
              <w:b/>
              <w:bCs/>
              <w:color w:val="000000"/>
              <w:sz w:val="22"/>
              <w:szCs w:val="22"/>
            </w:rPr>
            <w:t>Comisión del Agua del Estado de México</w:t>
          </w:r>
        </w:p>
      </w:tc>
    </w:tr>
    <w:tr w:rsidR="006A5F34" w14:paraId="094D4B8E" w14:textId="77777777" w:rsidTr="00B5153D">
      <w:trPr>
        <w:trHeight w:val="342"/>
      </w:trPr>
      <w:tc>
        <w:tcPr>
          <w:tcW w:w="2976" w:type="dxa"/>
          <w:vAlign w:val="center"/>
          <w:hideMark/>
        </w:tcPr>
        <w:p w14:paraId="704F2262" w14:textId="77777777" w:rsidR="006A5F34" w:rsidRPr="00674A46" w:rsidRDefault="006A5F34"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6A5F34" w:rsidRPr="00485ED8" w:rsidRDefault="006A5F34"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6A5F34" w:rsidRPr="00AE046A" w:rsidRDefault="00727C2A"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6A5F34" w14:paraId="109D31C7" w14:textId="77777777" w:rsidTr="00B5153D">
      <w:trPr>
        <w:trHeight w:val="227"/>
      </w:trPr>
      <w:tc>
        <w:tcPr>
          <w:tcW w:w="2977" w:type="dxa"/>
          <w:vAlign w:val="center"/>
          <w:hideMark/>
        </w:tcPr>
        <w:p w14:paraId="52EDE096" w14:textId="77777777" w:rsidR="006A5F34" w:rsidRPr="00674A46" w:rsidRDefault="006A5F34"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595B971C" w:rsidR="006A5F34" w:rsidRPr="00361600" w:rsidRDefault="006A5F34" w:rsidP="00B5153D">
          <w:pPr>
            <w:pStyle w:val="Encabezado"/>
            <w:rPr>
              <w:rFonts w:ascii="Palatino Linotype" w:hAnsi="Palatino Linotype"/>
              <w:b/>
              <w:sz w:val="22"/>
              <w:szCs w:val="22"/>
              <w:highlight w:val="green"/>
            </w:rPr>
          </w:pPr>
          <w:r w:rsidRPr="00466784">
            <w:rPr>
              <w:rFonts w:ascii="Palatino Linotype" w:hAnsi="Palatino Linotype" w:cs="Arial"/>
              <w:b/>
              <w:bCs/>
              <w:sz w:val="22"/>
              <w:szCs w:val="22"/>
              <w:lang w:eastAsia="es-MX"/>
            </w:rPr>
            <w:t>02398/INFOEM/IP/RR/2024</w:t>
          </w:r>
        </w:p>
      </w:tc>
    </w:tr>
    <w:tr w:rsidR="006A5F34" w14:paraId="0AB7C776" w14:textId="77777777" w:rsidTr="00B5153D">
      <w:trPr>
        <w:trHeight w:val="242"/>
      </w:trPr>
      <w:tc>
        <w:tcPr>
          <w:tcW w:w="2977" w:type="dxa"/>
          <w:vAlign w:val="center"/>
          <w:hideMark/>
        </w:tcPr>
        <w:p w14:paraId="798B5FF4" w14:textId="77777777" w:rsidR="006A5F34" w:rsidRPr="00466784" w:rsidRDefault="006A5F34" w:rsidP="00B5153D">
          <w:pPr>
            <w:jc w:val="right"/>
            <w:rPr>
              <w:rFonts w:ascii="Palatino Linotype" w:hAnsi="Palatino Linotype"/>
              <w:b/>
              <w:sz w:val="22"/>
              <w:szCs w:val="22"/>
            </w:rPr>
          </w:pPr>
          <w:r w:rsidRPr="00466784">
            <w:rPr>
              <w:rFonts w:ascii="Palatino Linotype" w:hAnsi="Palatino Linotype"/>
              <w:b/>
              <w:sz w:val="22"/>
              <w:szCs w:val="22"/>
            </w:rPr>
            <w:t>Recurrente:</w:t>
          </w:r>
        </w:p>
      </w:tc>
      <w:tc>
        <w:tcPr>
          <w:tcW w:w="3684" w:type="dxa"/>
        </w:tcPr>
        <w:p w14:paraId="72ED0A79" w14:textId="113C1976" w:rsidR="006A5F34" w:rsidRPr="00466784" w:rsidRDefault="00AA73B4" w:rsidP="00466784">
          <w:pPr>
            <w:pStyle w:val="Encabezado"/>
            <w:tabs>
              <w:tab w:val="left" w:pos="521"/>
            </w:tabs>
            <w:rPr>
              <w:rFonts w:ascii="Palatino Linotype" w:hAnsi="Palatino Linotype"/>
              <w:b/>
              <w:sz w:val="22"/>
              <w:szCs w:val="22"/>
            </w:rPr>
          </w:pPr>
          <w:r>
            <w:rPr>
              <w:rFonts w:ascii="Palatino Linotype" w:hAnsi="Palatino Linotype"/>
              <w:b/>
              <w:bCs/>
              <w:sz w:val="22"/>
              <w:szCs w:val="22"/>
            </w:rPr>
            <w:t>XXX XXXX XXXXX</w:t>
          </w:r>
        </w:p>
      </w:tc>
    </w:tr>
    <w:tr w:rsidR="006A5F34" w14:paraId="36334B37" w14:textId="77777777" w:rsidTr="00B5153D">
      <w:trPr>
        <w:trHeight w:val="342"/>
      </w:trPr>
      <w:tc>
        <w:tcPr>
          <w:tcW w:w="2977" w:type="dxa"/>
          <w:vAlign w:val="center"/>
        </w:tcPr>
        <w:p w14:paraId="476BA4F3" w14:textId="77777777" w:rsidR="006A5F34" w:rsidRPr="00674A46" w:rsidRDefault="006A5F34"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619ECE34" w:rsidR="006A5F34" w:rsidRPr="00361600" w:rsidRDefault="006A5F34" w:rsidP="003441EF">
          <w:pPr>
            <w:pStyle w:val="Encabezado"/>
            <w:jc w:val="both"/>
            <w:rPr>
              <w:rFonts w:ascii="Palatino Linotype" w:hAnsi="Palatino Linotype"/>
              <w:b/>
              <w:sz w:val="22"/>
              <w:szCs w:val="22"/>
              <w:highlight w:val="green"/>
            </w:rPr>
          </w:pPr>
          <w:r w:rsidRPr="00466784">
            <w:rPr>
              <w:rFonts w:ascii="Palatino Linotype" w:hAnsi="Palatino Linotype"/>
              <w:b/>
              <w:bCs/>
              <w:color w:val="000000"/>
              <w:sz w:val="22"/>
              <w:szCs w:val="22"/>
            </w:rPr>
            <w:t>Comisión del Agua del Estado de México</w:t>
          </w:r>
        </w:p>
      </w:tc>
    </w:tr>
    <w:tr w:rsidR="006A5F34" w14:paraId="0C6AC9F5" w14:textId="77777777" w:rsidTr="00B5153D">
      <w:trPr>
        <w:trHeight w:val="342"/>
      </w:trPr>
      <w:tc>
        <w:tcPr>
          <w:tcW w:w="2977" w:type="dxa"/>
          <w:vAlign w:val="center"/>
        </w:tcPr>
        <w:p w14:paraId="68D9479B" w14:textId="77777777" w:rsidR="006A5F34" w:rsidRPr="00674A46" w:rsidRDefault="006A5F34"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6A5F34" w:rsidRPr="00674A46" w:rsidRDefault="006A5F34"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6A5F34" w:rsidRPr="00C222C0" w:rsidRDefault="00727C2A">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516D14"/>
    <w:multiLevelType w:val="multilevel"/>
    <w:tmpl w:val="E8A0E2E0"/>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4B1612"/>
    <w:multiLevelType w:val="hybridMultilevel"/>
    <w:tmpl w:val="D1F67A54"/>
    <w:lvl w:ilvl="0" w:tplc="83561B8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160E48"/>
    <w:multiLevelType w:val="multilevel"/>
    <w:tmpl w:val="2EBE7B72"/>
    <w:lvl w:ilvl="0">
      <w:start w:val="1"/>
      <w:numFmt w:val="upperRoman"/>
      <w:pStyle w:val="Listaconvietas2"/>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20313560"/>
    <w:multiLevelType w:val="hybridMultilevel"/>
    <w:tmpl w:val="9EB860F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230C67"/>
    <w:multiLevelType w:val="hybridMultilevel"/>
    <w:tmpl w:val="E4B0E4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CD940A5"/>
    <w:multiLevelType w:val="hybridMultilevel"/>
    <w:tmpl w:val="92765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F5010F"/>
    <w:multiLevelType w:val="hybridMultilevel"/>
    <w:tmpl w:val="2772C958"/>
    <w:lvl w:ilvl="0" w:tplc="19DEDDB0">
      <w:start w:val="9000"/>
      <w:numFmt w:val="bullet"/>
      <w:lvlText w:val="-"/>
      <w:lvlJc w:val="left"/>
      <w:pPr>
        <w:ind w:left="720" w:hanging="360"/>
      </w:pPr>
      <w:rPr>
        <w:rFonts w:ascii="Palatino Linotype" w:eastAsia="Calibri" w:hAnsi="Palatino Linotype" w:cs="Times New Roman"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4317490"/>
    <w:multiLevelType w:val="hybridMultilevel"/>
    <w:tmpl w:val="FF2005B2"/>
    <w:lvl w:ilvl="0" w:tplc="E1C02436">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C44332"/>
    <w:multiLevelType w:val="hybridMultilevel"/>
    <w:tmpl w:val="0B7E485A"/>
    <w:lvl w:ilvl="0" w:tplc="080A0001">
      <w:start w:val="1"/>
      <w:numFmt w:val="bullet"/>
      <w:lvlText w:val=""/>
      <w:lvlJc w:val="left"/>
      <w:pPr>
        <w:ind w:left="1498" w:hanging="360"/>
      </w:pPr>
      <w:rPr>
        <w:rFonts w:ascii="Symbol" w:hAnsi="Symbol" w:hint="default"/>
      </w:rPr>
    </w:lvl>
    <w:lvl w:ilvl="1" w:tplc="080A0003" w:tentative="1">
      <w:start w:val="1"/>
      <w:numFmt w:val="bullet"/>
      <w:lvlText w:val="o"/>
      <w:lvlJc w:val="left"/>
      <w:pPr>
        <w:ind w:left="2218" w:hanging="360"/>
      </w:pPr>
      <w:rPr>
        <w:rFonts w:ascii="Courier New" w:hAnsi="Courier New" w:cs="Courier New" w:hint="default"/>
      </w:rPr>
    </w:lvl>
    <w:lvl w:ilvl="2" w:tplc="080A0005" w:tentative="1">
      <w:start w:val="1"/>
      <w:numFmt w:val="bullet"/>
      <w:lvlText w:val=""/>
      <w:lvlJc w:val="left"/>
      <w:pPr>
        <w:ind w:left="2938" w:hanging="360"/>
      </w:pPr>
      <w:rPr>
        <w:rFonts w:ascii="Wingdings" w:hAnsi="Wingdings" w:hint="default"/>
      </w:rPr>
    </w:lvl>
    <w:lvl w:ilvl="3" w:tplc="080A0001" w:tentative="1">
      <w:start w:val="1"/>
      <w:numFmt w:val="bullet"/>
      <w:lvlText w:val=""/>
      <w:lvlJc w:val="left"/>
      <w:pPr>
        <w:ind w:left="3658" w:hanging="360"/>
      </w:pPr>
      <w:rPr>
        <w:rFonts w:ascii="Symbol" w:hAnsi="Symbol" w:hint="default"/>
      </w:rPr>
    </w:lvl>
    <w:lvl w:ilvl="4" w:tplc="080A0003" w:tentative="1">
      <w:start w:val="1"/>
      <w:numFmt w:val="bullet"/>
      <w:lvlText w:val="o"/>
      <w:lvlJc w:val="left"/>
      <w:pPr>
        <w:ind w:left="4378" w:hanging="360"/>
      </w:pPr>
      <w:rPr>
        <w:rFonts w:ascii="Courier New" w:hAnsi="Courier New" w:cs="Courier New" w:hint="default"/>
      </w:rPr>
    </w:lvl>
    <w:lvl w:ilvl="5" w:tplc="080A0005" w:tentative="1">
      <w:start w:val="1"/>
      <w:numFmt w:val="bullet"/>
      <w:lvlText w:val=""/>
      <w:lvlJc w:val="left"/>
      <w:pPr>
        <w:ind w:left="5098" w:hanging="360"/>
      </w:pPr>
      <w:rPr>
        <w:rFonts w:ascii="Wingdings" w:hAnsi="Wingdings" w:hint="default"/>
      </w:rPr>
    </w:lvl>
    <w:lvl w:ilvl="6" w:tplc="080A0001" w:tentative="1">
      <w:start w:val="1"/>
      <w:numFmt w:val="bullet"/>
      <w:lvlText w:val=""/>
      <w:lvlJc w:val="left"/>
      <w:pPr>
        <w:ind w:left="5818" w:hanging="360"/>
      </w:pPr>
      <w:rPr>
        <w:rFonts w:ascii="Symbol" w:hAnsi="Symbol" w:hint="default"/>
      </w:rPr>
    </w:lvl>
    <w:lvl w:ilvl="7" w:tplc="080A0003" w:tentative="1">
      <w:start w:val="1"/>
      <w:numFmt w:val="bullet"/>
      <w:lvlText w:val="o"/>
      <w:lvlJc w:val="left"/>
      <w:pPr>
        <w:ind w:left="6538" w:hanging="360"/>
      </w:pPr>
      <w:rPr>
        <w:rFonts w:ascii="Courier New" w:hAnsi="Courier New" w:cs="Courier New" w:hint="default"/>
      </w:rPr>
    </w:lvl>
    <w:lvl w:ilvl="8" w:tplc="080A0005" w:tentative="1">
      <w:start w:val="1"/>
      <w:numFmt w:val="bullet"/>
      <w:lvlText w:val=""/>
      <w:lvlJc w:val="left"/>
      <w:pPr>
        <w:ind w:left="7258" w:hanging="360"/>
      </w:pPr>
      <w:rPr>
        <w:rFonts w:ascii="Wingdings" w:hAnsi="Wingdings" w:hint="default"/>
      </w:rPr>
    </w:lvl>
  </w:abstractNum>
  <w:abstractNum w:abstractNumId="18" w15:restartNumberingAfterBreak="0">
    <w:nsid w:val="42377886"/>
    <w:multiLevelType w:val="multilevel"/>
    <w:tmpl w:val="EDF0BA16"/>
    <w:lvl w:ilvl="0">
      <w:start w:val="1"/>
      <w:numFmt w:val="decimal"/>
      <w:lvlText w:val="%1."/>
      <w:lvlJc w:val="left"/>
      <w:pPr>
        <w:ind w:left="4613" w:hanging="360"/>
      </w:pPr>
      <w:rPr>
        <w:rFonts w:ascii="Palatino Linotype" w:eastAsia="Palatino Linotype" w:hAnsi="Palatino Linotype" w:cs="Palatino Linotype"/>
        <w:b/>
        <w:i w:val="0"/>
        <w:color w:val="000000"/>
        <w:sz w:val="24"/>
        <w:szCs w:val="24"/>
      </w:rPr>
    </w:lvl>
    <w:lvl w:ilvl="1">
      <w:start w:val="1"/>
      <w:numFmt w:val="upperRoman"/>
      <w:lvlText w:val="%2."/>
      <w:lvlJc w:val="left"/>
      <w:pPr>
        <w:ind w:left="1800" w:hanging="720"/>
      </w:pPr>
      <w:rPr>
        <w:rFonts w:ascii="Palatino Linotype" w:eastAsia="Palatino Linotype" w:hAnsi="Palatino Linotype" w:cs="Palatino Linotype"/>
        <w:b/>
        <w:color w:val="000000"/>
      </w:rPr>
    </w:lvl>
    <w:lvl w:ilvl="2">
      <w:start w:val="4"/>
      <w:numFmt w:val="lowerRoman"/>
      <w:lvlText w:val="%3."/>
      <w:lvlJc w:val="right"/>
      <w:pPr>
        <w:ind w:left="2160" w:hanging="180"/>
      </w:pPr>
    </w:lvl>
    <w:lvl w:ilvl="3">
      <w:start w:val="1"/>
      <w:numFmt w:val="lowerLetter"/>
      <w:lvlText w:val="%4)"/>
      <w:lvlJc w:val="left"/>
      <w:pPr>
        <w:ind w:left="2880" w:hanging="360"/>
      </w:pPr>
    </w:lvl>
    <w:lvl w:ilvl="4">
      <w:start w:val="104"/>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5504C79"/>
    <w:multiLevelType w:val="hybridMultilevel"/>
    <w:tmpl w:val="7BB44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643FAE"/>
    <w:multiLevelType w:val="hybridMultilevel"/>
    <w:tmpl w:val="831C3452"/>
    <w:lvl w:ilvl="0" w:tplc="13064E3A">
      <w:start w:val="1"/>
      <w:numFmt w:val="upperRoman"/>
      <w:lvlText w:val="%1."/>
      <w:lvlJc w:val="left"/>
      <w:pPr>
        <w:ind w:left="1559" w:hanging="708"/>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9120E9F"/>
    <w:multiLevelType w:val="hybridMultilevel"/>
    <w:tmpl w:val="4A668C16"/>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23" w15:restartNumberingAfterBreak="0">
    <w:nsid w:val="4F7E6490"/>
    <w:multiLevelType w:val="hybridMultilevel"/>
    <w:tmpl w:val="39107E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0631A67"/>
    <w:multiLevelType w:val="hybridMultilevel"/>
    <w:tmpl w:val="D5E2CE8E"/>
    <w:lvl w:ilvl="0" w:tplc="2F0EA296">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19A3C11"/>
    <w:multiLevelType w:val="hybridMultilevel"/>
    <w:tmpl w:val="191E1BC6"/>
    <w:lvl w:ilvl="0" w:tplc="F2A2EEAA">
      <w:start w:val="13"/>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322C66"/>
    <w:multiLevelType w:val="hybridMultilevel"/>
    <w:tmpl w:val="6C964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E572F6"/>
    <w:multiLevelType w:val="hybridMultilevel"/>
    <w:tmpl w:val="F60606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62F1B34"/>
    <w:multiLevelType w:val="hybridMultilevel"/>
    <w:tmpl w:val="929C1298"/>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29" w15:restartNumberingAfterBreak="0">
    <w:nsid w:val="59E44707"/>
    <w:multiLevelType w:val="hybridMultilevel"/>
    <w:tmpl w:val="4F549E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A787B5D"/>
    <w:multiLevelType w:val="hybridMultilevel"/>
    <w:tmpl w:val="EA461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235C9B"/>
    <w:multiLevelType w:val="multilevel"/>
    <w:tmpl w:val="D900881A"/>
    <w:lvl w:ilvl="0">
      <w:start w:val="1"/>
      <w:numFmt w:val="upp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5" w15:restartNumberingAfterBreak="0">
    <w:nsid w:val="6A173F5B"/>
    <w:multiLevelType w:val="multilevel"/>
    <w:tmpl w:val="8278BE2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6"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1E457D"/>
    <w:multiLevelType w:val="multilevel"/>
    <w:tmpl w:val="04C661B6"/>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9" w15:restartNumberingAfterBreak="0">
    <w:nsid w:val="7BAF3DB4"/>
    <w:multiLevelType w:val="hybridMultilevel"/>
    <w:tmpl w:val="328EC860"/>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40" w15:restartNumberingAfterBreak="0">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6"/>
  </w:num>
  <w:num w:numId="2">
    <w:abstractNumId w:val="39"/>
  </w:num>
  <w:num w:numId="3">
    <w:abstractNumId w:val="40"/>
  </w:num>
  <w:num w:numId="4">
    <w:abstractNumId w:val="2"/>
  </w:num>
  <w:num w:numId="5">
    <w:abstractNumId w:val="1"/>
  </w:num>
  <w:num w:numId="6">
    <w:abstractNumId w:val="28"/>
  </w:num>
  <w:num w:numId="7">
    <w:abstractNumId w:val="10"/>
  </w:num>
  <w:num w:numId="8">
    <w:abstractNumId w:val="8"/>
  </w:num>
  <w:num w:numId="9">
    <w:abstractNumId w:val="14"/>
  </w:num>
  <w:num w:numId="10">
    <w:abstractNumId w:val="0"/>
  </w:num>
  <w:num w:numId="11">
    <w:abstractNumId w:val="38"/>
  </w:num>
  <w:num w:numId="12">
    <w:abstractNumId w:val="5"/>
  </w:num>
  <w:num w:numId="13">
    <w:abstractNumId w:val="19"/>
  </w:num>
  <w:num w:numId="14">
    <w:abstractNumId w:val="11"/>
  </w:num>
  <w:num w:numId="15">
    <w:abstractNumId w:val="32"/>
  </w:num>
  <w:num w:numId="16">
    <w:abstractNumId w:val="31"/>
  </w:num>
  <w:num w:numId="17">
    <w:abstractNumId w:val="3"/>
  </w:num>
  <w:num w:numId="18">
    <w:abstractNumId w:val="12"/>
  </w:num>
  <w:num w:numId="19">
    <w:abstractNumId w:val="6"/>
  </w:num>
  <w:num w:numId="20">
    <w:abstractNumId w:val="33"/>
  </w:num>
  <w:num w:numId="21">
    <w:abstractNumId w:val="36"/>
  </w:num>
  <w:num w:numId="22">
    <w:abstractNumId w:val="13"/>
  </w:num>
  <w:num w:numId="23">
    <w:abstractNumId w:val="24"/>
  </w:num>
  <w:num w:numId="24">
    <w:abstractNumId w:val="27"/>
  </w:num>
  <w:num w:numId="25">
    <w:abstractNumId w:val="7"/>
  </w:num>
  <w:num w:numId="26">
    <w:abstractNumId w:val="18"/>
  </w:num>
  <w:num w:numId="27">
    <w:abstractNumId w:val="17"/>
  </w:num>
  <w:num w:numId="28">
    <w:abstractNumId w:val="22"/>
  </w:num>
  <w:num w:numId="29">
    <w:abstractNumId w:val="21"/>
  </w:num>
  <w:num w:numId="30">
    <w:abstractNumId w:val="29"/>
  </w:num>
  <w:num w:numId="31">
    <w:abstractNumId w:val="9"/>
  </w:num>
  <w:num w:numId="32">
    <w:abstractNumId w:val="37"/>
  </w:num>
  <w:num w:numId="33">
    <w:abstractNumId w:val="30"/>
  </w:num>
  <w:num w:numId="34">
    <w:abstractNumId w:val="15"/>
  </w:num>
  <w:num w:numId="35">
    <w:abstractNumId w:val="34"/>
  </w:num>
  <w:num w:numId="36">
    <w:abstractNumId w:val="35"/>
  </w:num>
  <w:num w:numId="37">
    <w:abstractNumId w:val="4"/>
  </w:num>
  <w:num w:numId="38">
    <w:abstractNumId w:val="20"/>
  </w:num>
  <w:num w:numId="39">
    <w:abstractNumId w:val="23"/>
  </w:num>
  <w:num w:numId="40">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33D9B"/>
    <w:rsid w:val="00041429"/>
    <w:rsid w:val="00052F1C"/>
    <w:rsid w:val="00064325"/>
    <w:rsid w:val="00070D11"/>
    <w:rsid w:val="000A27B5"/>
    <w:rsid w:val="000D6692"/>
    <w:rsid w:val="000F78C3"/>
    <w:rsid w:val="00113410"/>
    <w:rsid w:val="00115664"/>
    <w:rsid w:val="00133699"/>
    <w:rsid w:val="00161537"/>
    <w:rsid w:val="0017524F"/>
    <w:rsid w:val="00175E79"/>
    <w:rsid w:val="00177927"/>
    <w:rsid w:val="0018393D"/>
    <w:rsid w:val="001B24AC"/>
    <w:rsid w:val="001C5E09"/>
    <w:rsid w:val="001E7732"/>
    <w:rsid w:val="001F3DF0"/>
    <w:rsid w:val="00222293"/>
    <w:rsid w:val="00264692"/>
    <w:rsid w:val="00270BB6"/>
    <w:rsid w:val="002765D6"/>
    <w:rsid w:val="00276B47"/>
    <w:rsid w:val="002847CD"/>
    <w:rsid w:val="00292ACC"/>
    <w:rsid w:val="002943FC"/>
    <w:rsid w:val="002A1DCF"/>
    <w:rsid w:val="002A5304"/>
    <w:rsid w:val="002B540C"/>
    <w:rsid w:val="002C42D7"/>
    <w:rsid w:val="003348B8"/>
    <w:rsid w:val="003441EF"/>
    <w:rsid w:val="00361600"/>
    <w:rsid w:val="003D26D9"/>
    <w:rsid w:val="003D46E3"/>
    <w:rsid w:val="003E76A0"/>
    <w:rsid w:val="004003A7"/>
    <w:rsid w:val="00407F38"/>
    <w:rsid w:val="00414DAB"/>
    <w:rsid w:val="004278C7"/>
    <w:rsid w:val="00432766"/>
    <w:rsid w:val="00435EAB"/>
    <w:rsid w:val="00437A3C"/>
    <w:rsid w:val="00452B1F"/>
    <w:rsid w:val="00466784"/>
    <w:rsid w:val="00470EDD"/>
    <w:rsid w:val="004968BD"/>
    <w:rsid w:val="004A091A"/>
    <w:rsid w:val="004B07FE"/>
    <w:rsid w:val="004B65C0"/>
    <w:rsid w:val="004C0173"/>
    <w:rsid w:val="004C67A5"/>
    <w:rsid w:val="004D1B9C"/>
    <w:rsid w:val="004D3CDC"/>
    <w:rsid w:val="004E0CA9"/>
    <w:rsid w:val="004F003E"/>
    <w:rsid w:val="00516C55"/>
    <w:rsid w:val="00522F39"/>
    <w:rsid w:val="00525313"/>
    <w:rsid w:val="00537651"/>
    <w:rsid w:val="00546CFB"/>
    <w:rsid w:val="00591927"/>
    <w:rsid w:val="005D63E1"/>
    <w:rsid w:val="005F0257"/>
    <w:rsid w:val="00626E5B"/>
    <w:rsid w:val="00653D29"/>
    <w:rsid w:val="006603F1"/>
    <w:rsid w:val="0067244C"/>
    <w:rsid w:val="00677AAB"/>
    <w:rsid w:val="006A5F34"/>
    <w:rsid w:val="006C5DB2"/>
    <w:rsid w:val="006D0B08"/>
    <w:rsid w:val="006E76C7"/>
    <w:rsid w:val="00722086"/>
    <w:rsid w:val="00727550"/>
    <w:rsid w:val="00727C2A"/>
    <w:rsid w:val="0074082A"/>
    <w:rsid w:val="007505E5"/>
    <w:rsid w:val="007563F2"/>
    <w:rsid w:val="00763DAB"/>
    <w:rsid w:val="00790E1F"/>
    <w:rsid w:val="007A7B97"/>
    <w:rsid w:val="007B21AE"/>
    <w:rsid w:val="007C0931"/>
    <w:rsid w:val="007C50BE"/>
    <w:rsid w:val="007D0B3A"/>
    <w:rsid w:val="007E0F24"/>
    <w:rsid w:val="008370A7"/>
    <w:rsid w:val="0084030D"/>
    <w:rsid w:val="00844CA2"/>
    <w:rsid w:val="00852DB7"/>
    <w:rsid w:val="00887A17"/>
    <w:rsid w:val="008A7701"/>
    <w:rsid w:val="008B0565"/>
    <w:rsid w:val="008B1D6C"/>
    <w:rsid w:val="008B1EDF"/>
    <w:rsid w:val="008C1586"/>
    <w:rsid w:val="008E52E6"/>
    <w:rsid w:val="00923E55"/>
    <w:rsid w:val="00930271"/>
    <w:rsid w:val="009304C1"/>
    <w:rsid w:val="009330EC"/>
    <w:rsid w:val="00942616"/>
    <w:rsid w:val="00942E8F"/>
    <w:rsid w:val="0096402B"/>
    <w:rsid w:val="00967F83"/>
    <w:rsid w:val="009706E9"/>
    <w:rsid w:val="009A0416"/>
    <w:rsid w:val="009D2E60"/>
    <w:rsid w:val="009D742C"/>
    <w:rsid w:val="009E6CAC"/>
    <w:rsid w:val="009F045A"/>
    <w:rsid w:val="00A23C77"/>
    <w:rsid w:val="00A6168B"/>
    <w:rsid w:val="00A727B4"/>
    <w:rsid w:val="00A81EAE"/>
    <w:rsid w:val="00AA73B4"/>
    <w:rsid w:val="00AD44A3"/>
    <w:rsid w:val="00AF6678"/>
    <w:rsid w:val="00B00043"/>
    <w:rsid w:val="00B278F0"/>
    <w:rsid w:val="00B31DF0"/>
    <w:rsid w:val="00B5153D"/>
    <w:rsid w:val="00B71AE1"/>
    <w:rsid w:val="00B96015"/>
    <w:rsid w:val="00BC1A99"/>
    <w:rsid w:val="00BC5F48"/>
    <w:rsid w:val="00C16196"/>
    <w:rsid w:val="00C33C4A"/>
    <w:rsid w:val="00C45417"/>
    <w:rsid w:val="00C461ED"/>
    <w:rsid w:val="00C474DA"/>
    <w:rsid w:val="00C479BF"/>
    <w:rsid w:val="00C9358F"/>
    <w:rsid w:val="00CA3460"/>
    <w:rsid w:val="00CB3AAC"/>
    <w:rsid w:val="00CC56ED"/>
    <w:rsid w:val="00CD40B6"/>
    <w:rsid w:val="00CF384A"/>
    <w:rsid w:val="00CF47F3"/>
    <w:rsid w:val="00CF6FE8"/>
    <w:rsid w:val="00D00D74"/>
    <w:rsid w:val="00D018BE"/>
    <w:rsid w:val="00D02172"/>
    <w:rsid w:val="00D04A36"/>
    <w:rsid w:val="00D23459"/>
    <w:rsid w:val="00D277A7"/>
    <w:rsid w:val="00D45631"/>
    <w:rsid w:val="00D7279B"/>
    <w:rsid w:val="00D806CA"/>
    <w:rsid w:val="00D97091"/>
    <w:rsid w:val="00DB6A95"/>
    <w:rsid w:val="00DC0538"/>
    <w:rsid w:val="00E06F7D"/>
    <w:rsid w:val="00E3211F"/>
    <w:rsid w:val="00E62021"/>
    <w:rsid w:val="00E620F7"/>
    <w:rsid w:val="00E626A4"/>
    <w:rsid w:val="00E82518"/>
    <w:rsid w:val="00E91E53"/>
    <w:rsid w:val="00E975E8"/>
    <w:rsid w:val="00E9762F"/>
    <w:rsid w:val="00EE5D31"/>
    <w:rsid w:val="00EF3202"/>
    <w:rsid w:val="00F01855"/>
    <w:rsid w:val="00F3329F"/>
    <w:rsid w:val="00F4028D"/>
    <w:rsid w:val="00F626F3"/>
    <w:rsid w:val="00F66E32"/>
    <w:rsid w:val="00F80334"/>
    <w:rsid w:val="00F85628"/>
    <w:rsid w:val="00FB2B34"/>
    <w:rsid w:val="00FB532A"/>
    <w:rsid w:val="00FC662C"/>
    <w:rsid w:val="00FE2702"/>
    <w:rsid w:val="00FE53C6"/>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616"/>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iPriority w:val="99"/>
    <w:unhideWhenUsed/>
    <w:qFormat/>
    <w:rsid w:val="009706E9"/>
    <w:pPr>
      <w:numPr>
        <w:numId w:val="25"/>
      </w:numPr>
      <w:contextualSpacing/>
    </w:pPr>
    <w:rPr>
      <w:rFonts w:ascii="Times New Roman" w:eastAsia="Times New Roman" w:hAnsi="Times New Roman" w:cs="Times New Roman"/>
      <w:sz w:val="20"/>
      <w:szCs w:val="20"/>
    </w:rPr>
  </w:style>
  <w:style w:type="paragraph" w:customStyle="1" w:styleId="Citas">
    <w:name w:val="Citas"/>
    <w:basedOn w:val="Normal"/>
    <w:qFormat/>
    <w:rsid w:val="00FE53C6"/>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customStyle="1" w:styleId="Fundamentos">
    <w:name w:val="Fundamentos"/>
    <w:basedOn w:val="Normal"/>
    <w:qFormat/>
    <w:rsid w:val="00B00043"/>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lang w:eastAsia="es-MX"/>
    </w:rPr>
  </w:style>
  <w:style w:type="paragraph" w:styleId="Textodeglobo">
    <w:name w:val="Balloon Text"/>
    <w:basedOn w:val="Normal"/>
    <w:link w:val="TextodegloboCar"/>
    <w:uiPriority w:val="99"/>
    <w:semiHidden/>
    <w:unhideWhenUsed/>
    <w:rsid w:val="008370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70A7"/>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8447">
      <w:bodyDiv w:val="1"/>
      <w:marLeft w:val="0"/>
      <w:marRight w:val="0"/>
      <w:marTop w:val="0"/>
      <w:marBottom w:val="0"/>
      <w:divBdr>
        <w:top w:val="none" w:sz="0" w:space="0" w:color="auto"/>
        <w:left w:val="none" w:sz="0" w:space="0" w:color="auto"/>
        <w:bottom w:val="none" w:sz="0" w:space="0" w:color="auto"/>
        <w:right w:val="none" w:sz="0" w:space="0" w:color="auto"/>
      </w:divBdr>
    </w:div>
    <w:div w:id="967397408">
      <w:bodyDiv w:val="1"/>
      <w:marLeft w:val="0"/>
      <w:marRight w:val="0"/>
      <w:marTop w:val="0"/>
      <w:marBottom w:val="0"/>
      <w:divBdr>
        <w:top w:val="none" w:sz="0" w:space="0" w:color="auto"/>
        <w:left w:val="none" w:sz="0" w:space="0" w:color="auto"/>
        <w:bottom w:val="none" w:sz="0" w:space="0" w:color="auto"/>
        <w:right w:val="none" w:sz="0" w:space="0" w:color="auto"/>
      </w:divBdr>
    </w:div>
    <w:div w:id="1013190921">
      <w:bodyDiv w:val="1"/>
      <w:marLeft w:val="0"/>
      <w:marRight w:val="0"/>
      <w:marTop w:val="0"/>
      <w:marBottom w:val="0"/>
      <w:divBdr>
        <w:top w:val="none" w:sz="0" w:space="0" w:color="auto"/>
        <w:left w:val="none" w:sz="0" w:space="0" w:color="auto"/>
        <w:bottom w:val="none" w:sz="0" w:space="0" w:color="auto"/>
        <w:right w:val="none" w:sz="0" w:space="0" w:color="auto"/>
      </w:divBdr>
    </w:div>
    <w:div w:id="1316954293">
      <w:bodyDiv w:val="1"/>
      <w:marLeft w:val="0"/>
      <w:marRight w:val="0"/>
      <w:marTop w:val="0"/>
      <w:marBottom w:val="0"/>
      <w:divBdr>
        <w:top w:val="none" w:sz="0" w:space="0" w:color="auto"/>
        <w:left w:val="none" w:sz="0" w:space="0" w:color="auto"/>
        <w:bottom w:val="none" w:sz="0" w:space="0" w:color="auto"/>
        <w:right w:val="none" w:sz="0" w:space="0" w:color="auto"/>
      </w:divBdr>
      <w:divsChild>
        <w:div w:id="1491555082">
          <w:marLeft w:val="0"/>
          <w:marRight w:val="0"/>
          <w:marTop w:val="0"/>
          <w:marBottom w:val="0"/>
          <w:divBdr>
            <w:top w:val="none" w:sz="0" w:space="0" w:color="auto"/>
            <w:left w:val="none" w:sz="0" w:space="0" w:color="auto"/>
            <w:bottom w:val="none" w:sz="0" w:space="0" w:color="auto"/>
            <w:right w:val="none" w:sz="0" w:space="0" w:color="auto"/>
          </w:divBdr>
        </w:div>
      </w:divsChild>
    </w:div>
    <w:div w:id="1689868924">
      <w:bodyDiv w:val="1"/>
      <w:marLeft w:val="0"/>
      <w:marRight w:val="0"/>
      <w:marTop w:val="0"/>
      <w:marBottom w:val="0"/>
      <w:divBdr>
        <w:top w:val="none" w:sz="0" w:space="0" w:color="auto"/>
        <w:left w:val="none" w:sz="0" w:space="0" w:color="auto"/>
        <w:bottom w:val="none" w:sz="0" w:space="0" w:color="auto"/>
        <w:right w:val="none" w:sz="0" w:space="0" w:color="auto"/>
      </w:divBdr>
    </w:div>
    <w:div w:id="2095319124">
      <w:bodyDiv w:val="1"/>
      <w:marLeft w:val="0"/>
      <w:marRight w:val="0"/>
      <w:marTop w:val="0"/>
      <w:marBottom w:val="0"/>
      <w:divBdr>
        <w:top w:val="none" w:sz="0" w:space="0" w:color="auto"/>
        <w:left w:val="none" w:sz="0" w:space="0" w:color="auto"/>
        <w:bottom w:val="none" w:sz="0" w:space="0" w:color="auto"/>
        <w:right w:val="none" w:sz="0" w:space="0" w:color="auto"/>
      </w:divBdr>
    </w:div>
    <w:div w:id="213556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aimex.org.mx/saimex/solicitud/downloadAttach/2272073.pag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42A05-4CBE-43E9-A021-74D1FFC4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Pages>
  <Words>5218</Words>
  <Characters>28704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INFOEM403</cp:lastModifiedBy>
  <cp:revision>7</cp:revision>
  <cp:lastPrinted>2025-02-20T16:12:00Z</cp:lastPrinted>
  <dcterms:created xsi:type="dcterms:W3CDTF">2025-02-18T01:47:00Z</dcterms:created>
  <dcterms:modified xsi:type="dcterms:W3CDTF">2025-03-26T20:20:00Z</dcterms:modified>
</cp:coreProperties>
</file>