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6F1F9"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00341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003419">
        <w:rPr>
          <w:rFonts w:ascii="Palatino Linotype" w:eastAsia="Palatino Linotype" w:hAnsi="Palatino Linotype" w:cs="Palatino Linotype"/>
          <w:b/>
          <w:sz w:val="22"/>
          <w:szCs w:val="22"/>
        </w:rPr>
        <w:t>dos de abril de dos mil veinticinco</w:t>
      </w:r>
      <w:r w:rsidRPr="00003419">
        <w:rPr>
          <w:rFonts w:ascii="Palatino Linotype" w:eastAsia="Palatino Linotype" w:hAnsi="Palatino Linotype" w:cs="Palatino Linotype"/>
          <w:sz w:val="22"/>
          <w:szCs w:val="22"/>
        </w:rPr>
        <w:t xml:space="preserve">. </w:t>
      </w:r>
    </w:p>
    <w:p w14:paraId="461DBEA4" w14:textId="77777777" w:rsidR="009B2285" w:rsidRPr="00003419" w:rsidRDefault="00772DEA">
      <w:pPr>
        <w:spacing w:before="240" w:after="240" w:line="360" w:lineRule="auto"/>
        <w:jc w:val="both"/>
        <w:rPr>
          <w:rFonts w:ascii="Palatino Linotype" w:eastAsia="Palatino Linotype" w:hAnsi="Palatino Linotype" w:cs="Palatino Linotype"/>
          <w:sz w:val="20"/>
          <w:szCs w:val="20"/>
        </w:rPr>
      </w:pPr>
      <w:r w:rsidRPr="00003419">
        <w:rPr>
          <w:rFonts w:ascii="Palatino Linotype" w:eastAsia="Palatino Linotype" w:hAnsi="Palatino Linotype" w:cs="Palatino Linotype"/>
          <w:b/>
          <w:sz w:val="22"/>
          <w:szCs w:val="22"/>
        </w:rPr>
        <w:t>Visto</w:t>
      </w:r>
      <w:r w:rsidRPr="00003419">
        <w:rPr>
          <w:rFonts w:ascii="Palatino Linotype" w:eastAsia="Palatino Linotype" w:hAnsi="Palatino Linotype" w:cs="Palatino Linotype"/>
          <w:sz w:val="22"/>
          <w:szCs w:val="22"/>
        </w:rPr>
        <w:t xml:space="preserve"> el expediente formado con motivo del recurso de revisión </w:t>
      </w:r>
      <w:r w:rsidRPr="00003419">
        <w:rPr>
          <w:rFonts w:ascii="Palatino Linotype" w:eastAsia="Palatino Linotype" w:hAnsi="Palatino Linotype" w:cs="Palatino Linotype"/>
          <w:b/>
          <w:color w:val="000000"/>
          <w:sz w:val="22"/>
          <w:szCs w:val="22"/>
        </w:rPr>
        <w:t>01694/INFOEM/IP/RR/2025</w:t>
      </w:r>
      <w:r w:rsidRPr="00003419">
        <w:rPr>
          <w:rFonts w:ascii="Palatino Linotype" w:eastAsia="Palatino Linotype" w:hAnsi="Palatino Linotype" w:cs="Palatino Linotype"/>
          <w:color w:val="000000"/>
          <w:sz w:val="22"/>
          <w:szCs w:val="22"/>
        </w:rPr>
        <w:t>,</w:t>
      </w:r>
      <w:r w:rsidRPr="00003419">
        <w:rPr>
          <w:rFonts w:ascii="Palatino Linotype" w:eastAsia="Palatino Linotype" w:hAnsi="Palatino Linotype" w:cs="Palatino Linotype"/>
          <w:color w:val="FF0000"/>
          <w:sz w:val="22"/>
          <w:szCs w:val="22"/>
        </w:rPr>
        <w:t xml:space="preserve"> </w:t>
      </w:r>
      <w:r w:rsidRPr="00003419">
        <w:rPr>
          <w:rFonts w:ascii="Palatino Linotype" w:eastAsia="Palatino Linotype" w:hAnsi="Palatino Linotype" w:cs="Palatino Linotype"/>
          <w:sz w:val="22"/>
          <w:szCs w:val="22"/>
        </w:rPr>
        <w:t>interpuesto por</w:t>
      </w:r>
      <w:r w:rsidRPr="00003419">
        <w:rPr>
          <w:rFonts w:ascii="Palatino Linotype" w:eastAsia="Palatino Linotype" w:hAnsi="Palatino Linotype" w:cs="Palatino Linotype"/>
          <w:b/>
          <w:sz w:val="22"/>
          <w:szCs w:val="22"/>
        </w:rPr>
        <w:t xml:space="preserve"> un particular de manera anónima,</w:t>
      </w:r>
      <w:r w:rsidRPr="00003419">
        <w:rPr>
          <w:rFonts w:ascii="Palatino Linotype" w:eastAsia="Palatino Linotype" w:hAnsi="Palatino Linotype" w:cs="Palatino Linotype"/>
          <w:sz w:val="22"/>
          <w:szCs w:val="22"/>
        </w:rPr>
        <w:t xml:space="preserve"> en lo sucesivo</w:t>
      </w:r>
      <w:r w:rsidRPr="00003419">
        <w:rPr>
          <w:rFonts w:ascii="Palatino Linotype" w:eastAsia="Palatino Linotype" w:hAnsi="Palatino Linotype" w:cs="Palatino Linotype"/>
          <w:b/>
          <w:sz w:val="22"/>
          <w:szCs w:val="22"/>
        </w:rPr>
        <w:t xml:space="preserve"> la parte</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sz w:val="22"/>
          <w:szCs w:val="22"/>
        </w:rPr>
        <w:t>Recurrente,</w:t>
      </w:r>
      <w:r w:rsidRPr="00003419">
        <w:rPr>
          <w:rFonts w:ascii="Palatino Linotype" w:eastAsia="Palatino Linotype" w:hAnsi="Palatino Linotype" w:cs="Palatino Linotype"/>
          <w:sz w:val="22"/>
          <w:szCs w:val="22"/>
        </w:rPr>
        <w:t xml:space="preserve"> en contra de la respuesta a su solicitud por parte del </w:t>
      </w:r>
      <w:r w:rsidRPr="00003419">
        <w:rPr>
          <w:rFonts w:ascii="Palatino Linotype" w:eastAsia="Palatino Linotype" w:hAnsi="Palatino Linotype" w:cs="Palatino Linotype"/>
          <w:b/>
          <w:sz w:val="22"/>
          <w:szCs w:val="22"/>
        </w:rPr>
        <w:t xml:space="preserve">Ayuntamiento de Toluca, </w:t>
      </w:r>
      <w:r w:rsidRPr="00003419">
        <w:rPr>
          <w:rFonts w:ascii="Palatino Linotype" w:eastAsia="Palatino Linotype" w:hAnsi="Palatino Linotype" w:cs="Palatino Linotype"/>
          <w:sz w:val="22"/>
          <w:szCs w:val="22"/>
        </w:rPr>
        <w:t xml:space="preserve">en lo sucesivo el </w:t>
      </w:r>
      <w:r w:rsidRPr="00003419">
        <w:rPr>
          <w:rFonts w:ascii="Palatino Linotype" w:eastAsia="Palatino Linotype" w:hAnsi="Palatino Linotype" w:cs="Palatino Linotype"/>
          <w:b/>
          <w:sz w:val="22"/>
          <w:szCs w:val="22"/>
        </w:rPr>
        <w:t xml:space="preserve">Sujeto Obligado, </w:t>
      </w:r>
      <w:r w:rsidRPr="00003419">
        <w:rPr>
          <w:rFonts w:ascii="Palatino Linotype" w:eastAsia="Palatino Linotype" w:hAnsi="Palatino Linotype" w:cs="Palatino Linotype"/>
          <w:sz w:val="22"/>
          <w:szCs w:val="22"/>
        </w:rPr>
        <w:t xml:space="preserve">se procede a dictar la presente resolución con base en los siguientes: </w:t>
      </w:r>
    </w:p>
    <w:p w14:paraId="7E27639B" w14:textId="77777777" w:rsidR="009B2285" w:rsidRPr="00003419" w:rsidRDefault="00772DEA">
      <w:pPr>
        <w:spacing w:before="240" w:after="240" w:line="360" w:lineRule="auto"/>
        <w:jc w:val="center"/>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I. A N T E C E D E N T E S</w:t>
      </w:r>
    </w:p>
    <w:p w14:paraId="48251CD5" w14:textId="77777777" w:rsidR="009B2285" w:rsidRPr="00003419" w:rsidRDefault="00772DEA">
      <w:pPr>
        <w:spacing w:before="240" w:after="240" w:line="360" w:lineRule="auto"/>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 xml:space="preserve">1. Solicitud de acceso a la información. </w:t>
      </w:r>
      <w:r w:rsidRPr="00003419">
        <w:rPr>
          <w:rFonts w:ascii="Palatino Linotype" w:eastAsia="Palatino Linotype" w:hAnsi="Palatino Linotype" w:cs="Palatino Linotype"/>
          <w:sz w:val="22"/>
          <w:szCs w:val="22"/>
        </w:rPr>
        <w:t xml:space="preserve">De las constancias que obran en el expediente electrónico, se advierte que la persona solicitante presentó su solicitud el </w:t>
      </w:r>
      <w:r w:rsidRPr="00003419">
        <w:rPr>
          <w:rFonts w:ascii="Palatino Linotype" w:eastAsia="Palatino Linotype" w:hAnsi="Palatino Linotype" w:cs="Palatino Linotype"/>
          <w:b/>
          <w:sz w:val="22"/>
          <w:szCs w:val="22"/>
        </w:rPr>
        <w:t>diecinueve de enero del dos mil veinticinco</w:t>
      </w:r>
      <w:r w:rsidRPr="00003419">
        <w:rPr>
          <w:rFonts w:ascii="Palatino Linotype" w:eastAsia="Palatino Linotype" w:hAnsi="Palatino Linotype" w:cs="Palatino Linotype"/>
          <w:sz w:val="22"/>
          <w:szCs w:val="22"/>
        </w:rPr>
        <w:t xml:space="preserve">, sin embargo, al ser un día inhábil, de conformidad con el Calendario Oficial en materia de Transparencia, Acceso a la Información Pública y Protección de Datos Personales del Estado de México y Municipios, esta se tuvo por presentada al día hábil siguiente que es el </w:t>
      </w:r>
      <w:r w:rsidRPr="00003419">
        <w:rPr>
          <w:rFonts w:ascii="Palatino Linotype" w:eastAsia="Palatino Linotype" w:hAnsi="Palatino Linotype" w:cs="Palatino Linotype"/>
          <w:b/>
          <w:sz w:val="22"/>
          <w:szCs w:val="22"/>
        </w:rPr>
        <w:t>veinte de enero de dos mil veinticinco</w:t>
      </w:r>
      <w:r w:rsidRPr="00003419">
        <w:rPr>
          <w:rFonts w:ascii="Palatino Linotype" w:eastAsia="Palatino Linotype" w:hAnsi="Palatino Linotype" w:cs="Palatino Linotype"/>
          <w:sz w:val="22"/>
          <w:szCs w:val="22"/>
        </w:rPr>
        <w:t xml:space="preserve">, a través del Sistema de Acceso a la Información Mexiquense, en lo subsecuente el </w:t>
      </w:r>
      <w:r w:rsidRPr="00003419">
        <w:rPr>
          <w:rFonts w:ascii="Palatino Linotype" w:eastAsia="Palatino Linotype" w:hAnsi="Palatino Linotype" w:cs="Palatino Linotype"/>
          <w:b/>
          <w:sz w:val="22"/>
          <w:szCs w:val="22"/>
        </w:rPr>
        <w:t>SAIMEX,</w:t>
      </w:r>
      <w:r w:rsidRPr="00003419">
        <w:rPr>
          <w:rFonts w:ascii="Palatino Linotype" w:eastAsia="Palatino Linotype" w:hAnsi="Palatino Linotype" w:cs="Palatino Linotype"/>
          <w:sz w:val="22"/>
          <w:szCs w:val="22"/>
        </w:rPr>
        <w:t xml:space="preserve"> ante el </w:t>
      </w:r>
      <w:r w:rsidRPr="00003419">
        <w:rPr>
          <w:rFonts w:ascii="Palatino Linotype" w:eastAsia="Palatino Linotype" w:hAnsi="Palatino Linotype" w:cs="Palatino Linotype"/>
          <w:b/>
          <w:sz w:val="22"/>
          <w:szCs w:val="22"/>
        </w:rPr>
        <w:t>Sujeto Obligado</w:t>
      </w:r>
      <w:r w:rsidRPr="00003419">
        <w:rPr>
          <w:rFonts w:ascii="Palatino Linotype" w:eastAsia="Palatino Linotype" w:hAnsi="Palatino Linotype" w:cs="Palatino Linotype"/>
          <w:sz w:val="22"/>
          <w:szCs w:val="22"/>
        </w:rPr>
        <w:t xml:space="preserve">, la solicitud de acceso a la información pública, a la que se le asignó el número </w:t>
      </w:r>
      <w:r w:rsidRPr="00003419">
        <w:rPr>
          <w:rFonts w:ascii="Palatino Linotype" w:eastAsia="Palatino Linotype" w:hAnsi="Palatino Linotype" w:cs="Palatino Linotype"/>
          <w:b/>
          <w:sz w:val="22"/>
          <w:szCs w:val="22"/>
        </w:rPr>
        <w:t>00381/TOLUCA/IP/2025</w:t>
      </w:r>
      <w:r w:rsidRPr="00003419">
        <w:rPr>
          <w:rFonts w:ascii="Palatino Linotype" w:eastAsia="Palatino Linotype" w:hAnsi="Palatino Linotype" w:cs="Palatino Linotype"/>
          <w:sz w:val="22"/>
          <w:szCs w:val="22"/>
        </w:rPr>
        <w:t xml:space="preserve">, mediante la cual requirió la información siguiente: </w:t>
      </w:r>
    </w:p>
    <w:p w14:paraId="52CFE408" w14:textId="77777777" w:rsidR="009B2285" w:rsidRPr="00003419" w:rsidRDefault="00772DEA">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003419">
        <w:rPr>
          <w:rFonts w:ascii="Palatino Linotype" w:eastAsia="Palatino Linotype" w:hAnsi="Palatino Linotype" w:cs="Palatino Linotype"/>
          <w:i/>
          <w:sz w:val="22"/>
          <w:szCs w:val="22"/>
        </w:rPr>
        <w:t xml:space="preserve"> “El nombre de los vecinos qué participan en las jornadas de Toluca ponte guapa el sueldo qué se les dará pro hacer el trabajo que es del presidente y el Ayuntamiento en que colonia </w:t>
      </w:r>
      <w:proofErr w:type="spellStart"/>
      <w:r w:rsidRPr="00003419">
        <w:rPr>
          <w:rFonts w:ascii="Palatino Linotype" w:eastAsia="Palatino Linotype" w:hAnsi="Palatino Linotype" w:cs="Palatino Linotype"/>
          <w:i/>
          <w:sz w:val="22"/>
          <w:szCs w:val="22"/>
        </w:rPr>
        <w:t>esta</w:t>
      </w:r>
      <w:proofErr w:type="spellEnd"/>
      <w:r w:rsidRPr="00003419">
        <w:rPr>
          <w:rFonts w:ascii="Palatino Linotype" w:eastAsia="Palatino Linotype" w:hAnsi="Palatino Linotype" w:cs="Palatino Linotype"/>
          <w:i/>
          <w:sz w:val="22"/>
          <w:szCs w:val="22"/>
        </w:rPr>
        <w:t xml:space="preserve"> el programa y las rutas de los camiones de basura con las facturas de los camiones y contrato de arrendamientos” (Sic) </w:t>
      </w:r>
    </w:p>
    <w:p w14:paraId="0C6BD9C8" w14:textId="77777777" w:rsidR="009B2285" w:rsidRPr="00003419" w:rsidRDefault="00772DEA">
      <w:pPr>
        <w:spacing w:before="240" w:after="240" w:line="360" w:lineRule="auto"/>
        <w:ind w:right="49"/>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Modalidad de Entrega:</w:t>
      </w:r>
      <w:r w:rsidRPr="00003419">
        <w:rPr>
          <w:rFonts w:ascii="Palatino Linotype" w:eastAsia="Palatino Linotype" w:hAnsi="Palatino Linotype" w:cs="Palatino Linotype"/>
          <w:sz w:val="22"/>
          <w:szCs w:val="22"/>
        </w:rPr>
        <w:t xml:space="preserve"> a través </w:t>
      </w:r>
      <w:r w:rsidRPr="00003419">
        <w:rPr>
          <w:rFonts w:ascii="Palatino Linotype" w:eastAsia="Palatino Linotype" w:hAnsi="Palatino Linotype" w:cs="Palatino Linotype"/>
          <w:b/>
          <w:sz w:val="22"/>
          <w:szCs w:val="22"/>
        </w:rPr>
        <w:t>del SAIMEX.</w:t>
      </w:r>
    </w:p>
    <w:p w14:paraId="208E7D17" w14:textId="77777777" w:rsidR="009B2285" w:rsidRPr="00003419" w:rsidRDefault="00772DEA">
      <w:pPr>
        <w:spacing w:before="240" w:after="240" w:line="360" w:lineRule="auto"/>
        <w:jc w:val="both"/>
        <w:rPr>
          <w:rFonts w:ascii="Palatino Linotype" w:eastAsia="Palatino Linotype" w:hAnsi="Palatino Linotype" w:cs="Palatino Linotype"/>
          <w:b/>
          <w:sz w:val="22"/>
          <w:szCs w:val="22"/>
        </w:rPr>
      </w:pPr>
      <w:bookmarkStart w:id="2" w:name="_heading=h.3dy6vkm" w:colFirst="0" w:colLast="0"/>
      <w:bookmarkEnd w:id="2"/>
      <w:r w:rsidRPr="00003419">
        <w:rPr>
          <w:rFonts w:ascii="Palatino Linotype" w:eastAsia="Palatino Linotype" w:hAnsi="Palatino Linotype" w:cs="Palatino Linotype"/>
          <w:b/>
          <w:sz w:val="22"/>
          <w:szCs w:val="22"/>
        </w:rPr>
        <w:lastRenderedPageBreak/>
        <w:t xml:space="preserve">2. Respuesta. </w:t>
      </w:r>
      <w:r w:rsidRPr="00003419">
        <w:rPr>
          <w:rFonts w:ascii="Palatino Linotype" w:eastAsia="Palatino Linotype" w:hAnsi="Palatino Linotype" w:cs="Palatino Linotype"/>
          <w:sz w:val="22"/>
          <w:szCs w:val="22"/>
        </w:rPr>
        <w:t xml:space="preserve">El </w:t>
      </w:r>
      <w:r w:rsidRPr="00003419">
        <w:rPr>
          <w:rFonts w:ascii="Palatino Linotype" w:eastAsia="Palatino Linotype" w:hAnsi="Palatino Linotype" w:cs="Palatino Linotype"/>
          <w:b/>
          <w:sz w:val="22"/>
          <w:szCs w:val="22"/>
        </w:rPr>
        <w:t>once de febrero de dos mil veinticinco</w:t>
      </w:r>
      <w:r w:rsidRPr="00003419">
        <w:rPr>
          <w:rFonts w:ascii="Palatino Linotype" w:eastAsia="Palatino Linotype" w:hAnsi="Palatino Linotype" w:cs="Palatino Linotype"/>
          <w:sz w:val="22"/>
          <w:szCs w:val="22"/>
        </w:rPr>
        <w:t xml:space="preserve">, el </w:t>
      </w:r>
      <w:r w:rsidRPr="00003419">
        <w:rPr>
          <w:rFonts w:ascii="Palatino Linotype" w:eastAsia="Palatino Linotype" w:hAnsi="Palatino Linotype" w:cs="Palatino Linotype"/>
          <w:b/>
          <w:sz w:val="22"/>
          <w:szCs w:val="22"/>
        </w:rPr>
        <w:t xml:space="preserve">Sujeto Obligado </w:t>
      </w:r>
      <w:r w:rsidRPr="00003419">
        <w:rPr>
          <w:rFonts w:ascii="Palatino Linotype" w:eastAsia="Palatino Linotype" w:hAnsi="Palatino Linotype" w:cs="Palatino Linotype"/>
          <w:sz w:val="22"/>
          <w:szCs w:val="22"/>
        </w:rPr>
        <w:t xml:space="preserve">notificó la respuesta a la solicitud de acceso a la información a través de SAIMEX, sustancialmente en los términos siguientes:   </w:t>
      </w:r>
    </w:p>
    <w:p w14:paraId="15618E03" w14:textId="77777777" w:rsidR="009B2285" w:rsidRPr="00003419" w:rsidRDefault="00772DEA">
      <w:pPr>
        <w:spacing w:before="240" w:after="240"/>
        <w:ind w:left="567" w:right="902"/>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91B479" w14:textId="77777777" w:rsidR="009B2285" w:rsidRPr="00003419" w:rsidRDefault="00772DEA">
      <w:pPr>
        <w:spacing w:before="240" w:after="240"/>
        <w:ind w:left="567" w:right="902"/>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En atención a la solicitud con folio 0381/TOLUCA/IP/2025, me permito adjuntar al presente la respuesta correspondiente. Sin más por el momento, reciba un saludo.</w:t>
      </w:r>
    </w:p>
    <w:p w14:paraId="22C56651" w14:textId="77777777" w:rsidR="009B2285" w:rsidRPr="00003419" w:rsidRDefault="00772DEA">
      <w:pPr>
        <w:spacing w:before="240" w:after="240"/>
        <w:ind w:left="567" w:right="902"/>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ATENTAMENTE</w:t>
      </w:r>
    </w:p>
    <w:p w14:paraId="09F2FB89" w14:textId="77777777" w:rsidR="009B2285" w:rsidRPr="00003419" w:rsidRDefault="00772DEA">
      <w:pPr>
        <w:spacing w:before="240" w:after="240"/>
        <w:ind w:left="567" w:right="902"/>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Dr. Nahum Miguel Mendoza Morales” (Sic)</w:t>
      </w:r>
    </w:p>
    <w:p w14:paraId="49A85C88" w14:textId="77777777" w:rsidR="009B2285" w:rsidRPr="00003419" w:rsidRDefault="00772DEA">
      <w:pPr>
        <w:spacing w:before="240" w:after="240"/>
        <w:ind w:left="567" w:right="902"/>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Archivos adjuntos:</w:t>
      </w:r>
    </w:p>
    <w:p w14:paraId="5AF2BC39" w14:textId="77777777" w:rsidR="009B2285" w:rsidRPr="00003419" w:rsidRDefault="00772DEA">
      <w:pPr>
        <w:spacing w:before="240" w:after="240" w:line="360" w:lineRule="auto"/>
        <w:ind w:left="567" w:right="902"/>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 xml:space="preserve">“RESPUESTA 381. 2025. </w:t>
      </w:r>
      <w:proofErr w:type="spellStart"/>
      <w:r w:rsidRPr="00003419">
        <w:rPr>
          <w:rFonts w:ascii="Palatino Linotype" w:eastAsia="Palatino Linotype" w:hAnsi="Palatino Linotype" w:cs="Palatino Linotype"/>
          <w:b/>
          <w:i/>
          <w:sz w:val="22"/>
          <w:szCs w:val="22"/>
        </w:rPr>
        <w:t>pdf</w:t>
      </w:r>
      <w:proofErr w:type="spellEnd"/>
      <w:r w:rsidRPr="00003419">
        <w:rPr>
          <w:rFonts w:ascii="Palatino Linotype" w:eastAsia="Palatino Linotype" w:hAnsi="Palatino Linotype" w:cs="Palatino Linotype"/>
          <w:b/>
          <w:i/>
          <w:sz w:val="22"/>
          <w:szCs w:val="22"/>
        </w:rPr>
        <w:t xml:space="preserve">”: </w:t>
      </w:r>
      <w:r w:rsidRPr="00003419">
        <w:rPr>
          <w:rFonts w:ascii="Palatino Linotype" w:eastAsia="Palatino Linotype" w:hAnsi="Palatino Linotype" w:cs="Palatino Linotype"/>
          <w:sz w:val="22"/>
          <w:szCs w:val="22"/>
        </w:rPr>
        <w:t xml:space="preserve">Documento que se compone de cuatro fojas, suscrito por la persona titular de la Unidad de Transparencia, en el cual remite los </w:t>
      </w:r>
      <w:proofErr w:type="gramStart"/>
      <w:r w:rsidRPr="00003419">
        <w:rPr>
          <w:rFonts w:ascii="Palatino Linotype" w:eastAsia="Palatino Linotype" w:hAnsi="Palatino Linotype" w:cs="Palatino Linotype"/>
          <w:sz w:val="22"/>
          <w:szCs w:val="22"/>
        </w:rPr>
        <w:t>siguiente pronunciamientos</w:t>
      </w:r>
      <w:proofErr w:type="gramEnd"/>
      <w:r w:rsidRPr="00003419">
        <w:rPr>
          <w:rFonts w:ascii="Palatino Linotype" w:eastAsia="Palatino Linotype" w:hAnsi="Palatino Linotype" w:cs="Palatino Linotype"/>
          <w:sz w:val="22"/>
          <w:szCs w:val="22"/>
        </w:rPr>
        <w:t>:</w:t>
      </w:r>
    </w:p>
    <w:p w14:paraId="2D2BC959" w14:textId="77777777" w:rsidR="009B2285" w:rsidRPr="00003419" w:rsidRDefault="00772DEA">
      <w:pPr>
        <w:numPr>
          <w:ilvl w:val="0"/>
          <w:numId w:val="4"/>
        </w:numPr>
        <w:pBdr>
          <w:top w:val="nil"/>
          <w:left w:val="nil"/>
          <w:bottom w:val="nil"/>
          <w:right w:val="nil"/>
          <w:between w:val="nil"/>
        </w:pBdr>
        <w:spacing w:before="240" w:line="360" w:lineRule="auto"/>
        <w:ind w:right="902"/>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Que, la </w:t>
      </w:r>
      <w:r w:rsidRPr="00003419">
        <w:rPr>
          <w:rFonts w:ascii="Palatino Linotype" w:eastAsia="Palatino Linotype" w:hAnsi="Palatino Linotype" w:cs="Palatino Linotype"/>
          <w:b/>
          <w:color w:val="000000"/>
          <w:sz w:val="22"/>
          <w:szCs w:val="22"/>
        </w:rPr>
        <w:t>Dirección General de Administración</w:t>
      </w:r>
      <w:r w:rsidRPr="00003419">
        <w:rPr>
          <w:rFonts w:ascii="Palatino Linotype" w:eastAsia="Palatino Linotype" w:hAnsi="Palatino Linotype" w:cs="Palatino Linotype"/>
          <w:color w:val="000000"/>
          <w:sz w:val="22"/>
          <w:szCs w:val="22"/>
        </w:rPr>
        <w:t>, informó que después de haber realizado una búsqueda exhaustiva en los archivos de dicha Dirección y sus áreas, no se localizó la información solicitada.</w:t>
      </w:r>
    </w:p>
    <w:p w14:paraId="03D831BA" w14:textId="77777777" w:rsidR="009B2285" w:rsidRPr="00003419" w:rsidRDefault="009B2285">
      <w:pPr>
        <w:pBdr>
          <w:top w:val="nil"/>
          <w:left w:val="nil"/>
          <w:bottom w:val="nil"/>
          <w:right w:val="nil"/>
          <w:between w:val="nil"/>
        </w:pBdr>
        <w:spacing w:line="360" w:lineRule="auto"/>
        <w:ind w:left="927" w:right="902"/>
        <w:jc w:val="both"/>
        <w:rPr>
          <w:rFonts w:ascii="Palatino Linotype" w:eastAsia="Palatino Linotype" w:hAnsi="Palatino Linotype" w:cs="Palatino Linotype"/>
          <w:color w:val="000000"/>
          <w:sz w:val="22"/>
          <w:szCs w:val="22"/>
        </w:rPr>
      </w:pPr>
    </w:p>
    <w:p w14:paraId="17F8709C" w14:textId="77777777" w:rsidR="009B2285" w:rsidRPr="00003419" w:rsidRDefault="00772DEA">
      <w:pPr>
        <w:numPr>
          <w:ilvl w:val="0"/>
          <w:numId w:val="4"/>
        </w:numPr>
        <w:pBdr>
          <w:top w:val="nil"/>
          <w:left w:val="nil"/>
          <w:bottom w:val="nil"/>
          <w:right w:val="nil"/>
          <w:between w:val="nil"/>
        </w:pBdr>
        <w:spacing w:line="360" w:lineRule="auto"/>
        <w:ind w:right="902"/>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Que, la </w:t>
      </w:r>
      <w:r w:rsidRPr="00003419">
        <w:rPr>
          <w:rFonts w:ascii="Palatino Linotype" w:eastAsia="Palatino Linotype" w:hAnsi="Palatino Linotype" w:cs="Palatino Linotype"/>
          <w:b/>
          <w:color w:val="000000"/>
          <w:sz w:val="22"/>
          <w:szCs w:val="22"/>
        </w:rPr>
        <w:t>Tesorería Municipal</w:t>
      </w:r>
      <w:r w:rsidRPr="00003419">
        <w:rPr>
          <w:rFonts w:ascii="Palatino Linotype" w:eastAsia="Palatino Linotype" w:hAnsi="Palatino Linotype" w:cs="Palatino Linotype"/>
          <w:color w:val="000000"/>
          <w:sz w:val="22"/>
          <w:szCs w:val="22"/>
        </w:rPr>
        <w:t>, informó que esta unidad administrativa no cuenta con la información solicitada, debido a que no forma parte de sus atribuciones, por lo que se deberá de reconducir la solicitud al área correspondiente.</w:t>
      </w:r>
    </w:p>
    <w:p w14:paraId="3104C174" w14:textId="77777777" w:rsidR="009B2285" w:rsidRPr="00003419" w:rsidRDefault="009B2285">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1E7E3C22" w14:textId="77777777" w:rsidR="009B2285" w:rsidRPr="00003419" w:rsidRDefault="00772DEA">
      <w:pPr>
        <w:pBdr>
          <w:top w:val="nil"/>
          <w:left w:val="nil"/>
          <w:bottom w:val="nil"/>
          <w:right w:val="nil"/>
          <w:between w:val="nil"/>
        </w:pBdr>
        <w:spacing w:line="360" w:lineRule="auto"/>
        <w:ind w:left="927" w:right="902"/>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lastRenderedPageBreak/>
        <w:t>Asimismo, por cuanto hace a la información solicitada referente al ejercicio fiscal 2025, se hace del conocimiento que dicha información se encuentra en proceso de integración.</w:t>
      </w:r>
    </w:p>
    <w:p w14:paraId="6BD5B8A5" w14:textId="77777777" w:rsidR="009B2285" w:rsidRPr="00003419" w:rsidRDefault="009B2285">
      <w:pPr>
        <w:pBdr>
          <w:top w:val="nil"/>
          <w:left w:val="nil"/>
          <w:bottom w:val="nil"/>
          <w:right w:val="nil"/>
          <w:between w:val="nil"/>
        </w:pBdr>
        <w:spacing w:line="360" w:lineRule="auto"/>
        <w:ind w:left="927" w:right="902"/>
        <w:jc w:val="both"/>
        <w:rPr>
          <w:rFonts w:ascii="Palatino Linotype" w:eastAsia="Palatino Linotype" w:hAnsi="Palatino Linotype" w:cs="Palatino Linotype"/>
          <w:color w:val="000000"/>
          <w:sz w:val="22"/>
          <w:szCs w:val="22"/>
        </w:rPr>
      </w:pPr>
    </w:p>
    <w:p w14:paraId="0119790C" w14:textId="77777777" w:rsidR="009B2285" w:rsidRPr="00003419" w:rsidRDefault="00772DEA">
      <w:pPr>
        <w:numPr>
          <w:ilvl w:val="0"/>
          <w:numId w:val="4"/>
        </w:numPr>
        <w:pBdr>
          <w:top w:val="nil"/>
          <w:left w:val="nil"/>
          <w:bottom w:val="nil"/>
          <w:right w:val="nil"/>
          <w:between w:val="nil"/>
        </w:pBdr>
        <w:spacing w:line="360" w:lineRule="auto"/>
        <w:ind w:right="902"/>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Que, la </w:t>
      </w:r>
      <w:r w:rsidRPr="00003419">
        <w:rPr>
          <w:rFonts w:ascii="Palatino Linotype" w:eastAsia="Palatino Linotype" w:hAnsi="Palatino Linotype" w:cs="Palatino Linotype"/>
          <w:b/>
          <w:color w:val="000000"/>
          <w:sz w:val="22"/>
          <w:szCs w:val="22"/>
        </w:rPr>
        <w:t>Dirección General de Bienestar Social</w:t>
      </w:r>
      <w:r w:rsidRPr="00003419">
        <w:rPr>
          <w:rFonts w:ascii="Palatino Linotype" w:eastAsia="Palatino Linotype" w:hAnsi="Palatino Linotype" w:cs="Palatino Linotype"/>
          <w:color w:val="000000"/>
          <w:sz w:val="22"/>
          <w:szCs w:val="22"/>
        </w:rPr>
        <w:t xml:space="preserve">, informó que en lo referente a </w:t>
      </w:r>
      <w:r w:rsidRPr="00003419">
        <w:rPr>
          <w:rFonts w:ascii="Palatino Linotype" w:eastAsia="Palatino Linotype" w:hAnsi="Palatino Linotype" w:cs="Palatino Linotype"/>
          <w:b/>
          <w:i/>
          <w:color w:val="000000"/>
          <w:sz w:val="22"/>
          <w:szCs w:val="22"/>
        </w:rPr>
        <w:t>“El nombre de vecinos que participan en las Jornadas de Toluca ponte guapa el sueldo que se les dará por hacer el trabajo que es del presidente”</w:t>
      </w:r>
      <w:r w:rsidRPr="00003419">
        <w:rPr>
          <w:rFonts w:ascii="Palatino Linotype" w:eastAsia="Palatino Linotype" w:hAnsi="Palatino Linotype" w:cs="Palatino Linotype"/>
          <w:color w:val="000000"/>
          <w:sz w:val="22"/>
          <w:szCs w:val="22"/>
        </w:rPr>
        <w:t xml:space="preserve"> El programa referido aún no ha iniciado, sin embargo, será ejecutado por los servidores públicos del Ayuntamiento de manera voluntaria y fuera del horario laboral, en caso de que los vecinos decidan participar, lo harán de igual manera, voluntariamente.</w:t>
      </w:r>
    </w:p>
    <w:p w14:paraId="49457270" w14:textId="77777777" w:rsidR="009B2285" w:rsidRPr="00003419" w:rsidRDefault="009B2285">
      <w:pPr>
        <w:pBdr>
          <w:top w:val="nil"/>
          <w:left w:val="nil"/>
          <w:bottom w:val="nil"/>
          <w:right w:val="nil"/>
          <w:between w:val="nil"/>
        </w:pBdr>
        <w:spacing w:line="360" w:lineRule="auto"/>
        <w:ind w:left="927" w:right="902"/>
        <w:jc w:val="both"/>
        <w:rPr>
          <w:rFonts w:ascii="Palatino Linotype" w:eastAsia="Palatino Linotype" w:hAnsi="Palatino Linotype" w:cs="Palatino Linotype"/>
          <w:color w:val="000000"/>
          <w:sz w:val="22"/>
          <w:szCs w:val="22"/>
        </w:rPr>
      </w:pPr>
    </w:p>
    <w:p w14:paraId="08440B8F" w14:textId="77777777" w:rsidR="009B2285" w:rsidRPr="00003419" w:rsidRDefault="00772DEA">
      <w:pPr>
        <w:pBdr>
          <w:top w:val="nil"/>
          <w:left w:val="nil"/>
          <w:bottom w:val="nil"/>
          <w:right w:val="nil"/>
          <w:between w:val="nil"/>
        </w:pBdr>
        <w:spacing w:line="360" w:lineRule="auto"/>
        <w:ind w:left="927" w:right="902"/>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Ahora bien, en cuanto a “</w:t>
      </w:r>
      <w:r w:rsidRPr="00003419">
        <w:rPr>
          <w:rFonts w:ascii="Palatino Linotype" w:eastAsia="Palatino Linotype" w:hAnsi="Palatino Linotype" w:cs="Palatino Linotype"/>
          <w:b/>
          <w:i/>
          <w:color w:val="000000"/>
          <w:sz w:val="22"/>
          <w:szCs w:val="22"/>
        </w:rPr>
        <w:t>en que colonia se han implementado las jornadas de ponte guapa Toluca</w:t>
      </w:r>
      <w:r w:rsidRPr="00003419">
        <w:rPr>
          <w:rFonts w:ascii="Palatino Linotype" w:eastAsia="Palatino Linotype" w:hAnsi="Palatino Linotype" w:cs="Palatino Linotype"/>
          <w:color w:val="000000"/>
          <w:sz w:val="22"/>
          <w:szCs w:val="22"/>
        </w:rPr>
        <w:t>” se hace del conocimiento de la o el solicitante, que se tiene programado realizar trabajo comunitario en la totalidad de delegaciones del municipio de Toluca.</w:t>
      </w:r>
    </w:p>
    <w:p w14:paraId="357C15DC" w14:textId="77777777" w:rsidR="009B2285" w:rsidRPr="00003419" w:rsidRDefault="009B2285">
      <w:pPr>
        <w:pBdr>
          <w:top w:val="nil"/>
          <w:left w:val="nil"/>
          <w:bottom w:val="nil"/>
          <w:right w:val="nil"/>
          <w:between w:val="nil"/>
        </w:pBdr>
        <w:spacing w:line="360" w:lineRule="auto"/>
        <w:ind w:left="927" w:right="902"/>
        <w:jc w:val="both"/>
        <w:rPr>
          <w:rFonts w:ascii="Palatino Linotype" w:eastAsia="Palatino Linotype" w:hAnsi="Palatino Linotype" w:cs="Palatino Linotype"/>
          <w:color w:val="000000"/>
          <w:sz w:val="22"/>
          <w:szCs w:val="22"/>
        </w:rPr>
      </w:pPr>
    </w:p>
    <w:p w14:paraId="745F7980" w14:textId="77777777" w:rsidR="009B2285" w:rsidRPr="00003419" w:rsidRDefault="00772DEA">
      <w:pPr>
        <w:pBdr>
          <w:top w:val="nil"/>
          <w:left w:val="nil"/>
          <w:bottom w:val="nil"/>
          <w:right w:val="nil"/>
          <w:between w:val="nil"/>
        </w:pBdr>
        <w:spacing w:line="360" w:lineRule="auto"/>
        <w:ind w:left="927" w:right="902"/>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Por </w:t>
      </w:r>
      <w:proofErr w:type="gramStart"/>
      <w:r w:rsidRPr="00003419">
        <w:rPr>
          <w:rFonts w:ascii="Palatino Linotype" w:eastAsia="Palatino Linotype" w:hAnsi="Palatino Linotype" w:cs="Palatino Linotype"/>
          <w:color w:val="000000"/>
          <w:sz w:val="22"/>
          <w:szCs w:val="22"/>
        </w:rPr>
        <w:t>último</w:t>
      </w:r>
      <w:proofErr w:type="gramEnd"/>
      <w:r w:rsidRPr="00003419">
        <w:rPr>
          <w:rFonts w:ascii="Palatino Linotype" w:eastAsia="Palatino Linotype" w:hAnsi="Palatino Linotype" w:cs="Palatino Linotype"/>
          <w:color w:val="000000"/>
          <w:sz w:val="22"/>
          <w:szCs w:val="22"/>
        </w:rPr>
        <w:t xml:space="preserve"> en lo que concierne a “las rutas de los camiones de basura con las facturas de los camiones y contrato de arrendamientos”, se hace del conocimiento de la o el solicitante, que lo solicitado no es competencia de esta unidad administrativa.</w:t>
      </w:r>
    </w:p>
    <w:p w14:paraId="0DC528E0" w14:textId="77777777" w:rsidR="009B2285" w:rsidRPr="00003419" w:rsidRDefault="009B2285">
      <w:pPr>
        <w:pBdr>
          <w:top w:val="nil"/>
          <w:left w:val="nil"/>
          <w:bottom w:val="nil"/>
          <w:right w:val="nil"/>
          <w:between w:val="nil"/>
        </w:pBdr>
        <w:spacing w:line="360" w:lineRule="auto"/>
        <w:ind w:left="927" w:right="902"/>
        <w:jc w:val="both"/>
        <w:rPr>
          <w:rFonts w:ascii="Palatino Linotype" w:eastAsia="Palatino Linotype" w:hAnsi="Palatino Linotype" w:cs="Palatino Linotype"/>
          <w:color w:val="000000"/>
          <w:sz w:val="22"/>
          <w:szCs w:val="22"/>
        </w:rPr>
      </w:pPr>
    </w:p>
    <w:p w14:paraId="5FBDD923" w14:textId="77777777" w:rsidR="009B2285" w:rsidRPr="00003419" w:rsidRDefault="00772DEA">
      <w:pPr>
        <w:pBdr>
          <w:top w:val="nil"/>
          <w:left w:val="nil"/>
          <w:bottom w:val="nil"/>
          <w:right w:val="nil"/>
          <w:between w:val="nil"/>
        </w:pBdr>
        <w:spacing w:after="240" w:line="360" w:lineRule="auto"/>
        <w:ind w:left="927" w:right="902"/>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-Que, la </w:t>
      </w:r>
      <w:r w:rsidRPr="00003419">
        <w:rPr>
          <w:rFonts w:ascii="Palatino Linotype" w:eastAsia="Palatino Linotype" w:hAnsi="Palatino Linotype" w:cs="Palatino Linotype"/>
          <w:b/>
          <w:color w:val="000000"/>
          <w:sz w:val="22"/>
          <w:szCs w:val="22"/>
        </w:rPr>
        <w:t xml:space="preserve">Dirección General de Servicios Públicos, </w:t>
      </w:r>
      <w:r w:rsidRPr="00003419">
        <w:rPr>
          <w:rFonts w:ascii="Palatino Linotype" w:eastAsia="Palatino Linotype" w:hAnsi="Palatino Linotype" w:cs="Palatino Linotype"/>
          <w:color w:val="000000"/>
          <w:sz w:val="22"/>
          <w:szCs w:val="22"/>
        </w:rPr>
        <w:t>informó que después de realizar una búsqueda exhaustiva y razonable en los archivos que se encuentran bajo resguardo de la dirección, se informa que no es posible remitir la información solicitada toda vez que dicha Dirección General no es quien la genera o maneje.</w:t>
      </w:r>
    </w:p>
    <w:p w14:paraId="114003A9" w14:textId="77777777" w:rsidR="009B2285" w:rsidRPr="00003419" w:rsidRDefault="00772DEA">
      <w:pPr>
        <w:spacing w:before="240" w:after="240" w:line="360" w:lineRule="auto"/>
        <w:ind w:right="49"/>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lastRenderedPageBreak/>
        <w:t xml:space="preserve">3. Interposición del recurso de revisión. </w:t>
      </w:r>
      <w:r w:rsidRPr="00003419">
        <w:rPr>
          <w:rFonts w:ascii="Palatino Linotype" w:eastAsia="Palatino Linotype" w:hAnsi="Palatino Linotype" w:cs="Palatino Linotype"/>
          <w:sz w:val="22"/>
          <w:szCs w:val="22"/>
        </w:rPr>
        <w:t xml:space="preserve">Inconforme con los términos de la respuesta emitida por parte del </w:t>
      </w:r>
      <w:r w:rsidRPr="00003419">
        <w:rPr>
          <w:rFonts w:ascii="Palatino Linotype" w:eastAsia="Palatino Linotype" w:hAnsi="Palatino Linotype" w:cs="Palatino Linotype"/>
          <w:b/>
          <w:sz w:val="22"/>
          <w:szCs w:val="22"/>
        </w:rPr>
        <w:t>Sujeto Obligado</w:t>
      </w:r>
      <w:r w:rsidRPr="00003419">
        <w:rPr>
          <w:rFonts w:ascii="Palatino Linotype" w:eastAsia="Palatino Linotype" w:hAnsi="Palatino Linotype" w:cs="Palatino Linotype"/>
          <w:sz w:val="22"/>
          <w:szCs w:val="22"/>
        </w:rPr>
        <w:t>, el</w:t>
      </w:r>
      <w:r w:rsidRPr="00003419">
        <w:rPr>
          <w:rFonts w:ascii="Palatino Linotype" w:eastAsia="Palatino Linotype" w:hAnsi="Palatino Linotype" w:cs="Palatino Linotype"/>
          <w:b/>
          <w:sz w:val="22"/>
          <w:szCs w:val="22"/>
        </w:rPr>
        <w:t xml:space="preserve"> diecinueve de febrero de dos mil veinticinco,</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sz w:val="22"/>
          <w:szCs w:val="22"/>
        </w:rPr>
        <w:t>la parte</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sz w:val="22"/>
          <w:szCs w:val="22"/>
        </w:rPr>
        <w:t>Recurrente</w:t>
      </w:r>
      <w:r w:rsidRPr="00003419">
        <w:rPr>
          <w:rFonts w:ascii="Palatino Linotype" w:eastAsia="Palatino Linotype" w:hAnsi="Palatino Linotype" w:cs="Palatino Linotype"/>
          <w:sz w:val="22"/>
          <w:szCs w:val="22"/>
        </w:rPr>
        <w:t xml:space="preserve"> interpuso el recurso de revisión a través de </w:t>
      </w:r>
      <w:r w:rsidRPr="00003419">
        <w:rPr>
          <w:rFonts w:ascii="Palatino Linotype" w:eastAsia="Palatino Linotype" w:hAnsi="Palatino Linotype" w:cs="Palatino Linotype"/>
          <w:b/>
          <w:sz w:val="22"/>
          <w:szCs w:val="22"/>
        </w:rPr>
        <w:t xml:space="preserve">SAIMEX, </w:t>
      </w:r>
      <w:r w:rsidRPr="00003419">
        <w:rPr>
          <w:rFonts w:ascii="Palatino Linotype" w:eastAsia="Palatino Linotype" w:hAnsi="Palatino Linotype" w:cs="Palatino Linotype"/>
          <w:sz w:val="22"/>
          <w:szCs w:val="22"/>
        </w:rPr>
        <w:t>en donde se manifestó de la siguiente manera:</w:t>
      </w:r>
    </w:p>
    <w:p w14:paraId="5FD92C1B" w14:textId="77777777" w:rsidR="009B2285" w:rsidRPr="00003419" w:rsidRDefault="00772DEA">
      <w:pPr>
        <w:tabs>
          <w:tab w:val="left" w:pos="2745"/>
        </w:tabs>
        <w:spacing w:before="240" w:after="240"/>
        <w:ind w:left="567" w:right="900"/>
        <w:jc w:val="both"/>
        <w:rPr>
          <w:rFonts w:ascii="Palatino Linotype" w:eastAsia="Palatino Linotype" w:hAnsi="Palatino Linotype" w:cs="Palatino Linotype"/>
          <w:b/>
        </w:rPr>
      </w:pPr>
      <w:r w:rsidRPr="00003419">
        <w:rPr>
          <w:rFonts w:ascii="Palatino Linotype" w:eastAsia="Palatino Linotype" w:hAnsi="Palatino Linotype" w:cs="Palatino Linotype"/>
          <w:b/>
          <w:sz w:val="22"/>
          <w:szCs w:val="22"/>
        </w:rPr>
        <w:t xml:space="preserve">a) Acto impugnado: </w:t>
      </w:r>
      <w:r w:rsidRPr="00003419">
        <w:rPr>
          <w:rFonts w:ascii="Palatino Linotype" w:eastAsia="Palatino Linotype" w:hAnsi="Palatino Linotype" w:cs="Palatino Linotype"/>
          <w:i/>
          <w:sz w:val="22"/>
          <w:szCs w:val="22"/>
        </w:rPr>
        <w:t xml:space="preserve">“No </w:t>
      </w:r>
      <w:proofErr w:type="spellStart"/>
      <w:r w:rsidRPr="00003419">
        <w:rPr>
          <w:rFonts w:ascii="Palatino Linotype" w:eastAsia="Palatino Linotype" w:hAnsi="Palatino Linotype" w:cs="Palatino Linotype"/>
          <w:i/>
          <w:sz w:val="22"/>
          <w:szCs w:val="22"/>
        </w:rPr>
        <w:t>esta</w:t>
      </w:r>
      <w:proofErr w:type="spellEnd"/>
      <w:r w:rsidRPr="00003419">
        <w:rPr>
          <w:rFonts w:ascii="Palatino Linotype" w:eastAsia="Palatino Linotype" w:hAnsi="Palatino Linotype" w:cs="Palatino Linotype"/>
          <w:i/>
          <w:sz w:val="22"/>
          <w:szCs w:val="22"/>
        </w:rPr>
        <w:t xml:space="preserve"> completo la información” (Sic)</w:t>
      </w:r>
    </w:p>
    <w:p w14:paraId="297DED1D" w14:textId="77777777" w:rsidR="009B2285" w:rsidRPr="00003419" w:rsidRDefault="00772DEA">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003419">
        <w:rPr>
          <w:rFonts w:ascii="Palatino Linotype" w:eastAsia="Palatino Linotype" w:hAnsi="Palatino Linotype" w:cs="Palatino Linotype"/>
          <w:b/>
          <w:sz w:val="22"/>
          <w:szCs w:val="22"/>
        </w:rPr>
        <w:t>b) Razones o motivos de inconformidad</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i/>
          <w:sz w:val="22"/>
          <w:szCs w:val="22"/>
        </w:rPr>
        <w:t>“Información incompleta” (Sic)</w:t>
      </w:r>
    </w:p>
    <w:p w14:paraId="5EFE3B30" w14:textId="77777777" w:rsidR="009B2285" w:rsidRPr="00003419" w:rsidRDefault="00772DEA">
      <w:pPr>
        <w:spacing w:before="240" w:after="240" w:line="360" w:lineRule="auto"/>
        <w:ind w:right="51"/>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sz w:val="22"/>
          <w:szCs w:val="22"/>
        </w:rPr>
        <w:t xml:space="preserve">4. Turno. </w:t>
      </w:r>
      <w:r w:rsidRPr="0000341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03419">
        <w:rPr>
          <w:rFonts w:ascii="Palatino Linotype" w:eastAsia="Palatino Linotype" w:hAnsi="Palatino Linotype" w:cs="Palatino Linotype"/>
          <w:b/>
          <w:sz w:val="22"/>
          <w:szCs w:val="22"/>
        </w:rPr>
        <w:t xml:space="preserve">Guadalupe Ramírez Peña, </w:t>
      </w:r>
      <w:r w:rsidRPr="00003419">
        <w:rPr>
          <w:rFonts w:ascii="Palatino Linotype" w:eastAsia="Palatino Linotype" w:hAnsi="Palatino Linotype" w:cs="Palatino Linotype"/>
          <w:sz w:val="22"/>
          <w:szCs w:val="22"/>
        </w:rPr>
        <w:t xml:space="preserve">a efecto de que analizara sobre su admisión o su </w:t>
      </w:r>
      <w:proofErr w:type="spellStart"/>
      <w:r w:rsidRPr="00003419">
        <w:rPr>
          <w:rFonts w:ascii="Palatino Linotype" w:eastAsia="Palatino Linotype" w:hAnsi="Palatino Linotype" w:cs="Palatino Linotype"/>
          <w:sz w:val="22"/>
          <w:szCs w:val="22"/>
        </w:rPr>
        <w:t>desechamiento</w:t>
      </w:r>
      <w:proofErr w:type="spellEnd"/>
      <w:r w:rsidRPr="00003419">
        <w:rPr>
          <w:rFonts w:ascii="Palatino Linotype" w:eastAsia="Palatino Linotype" w:hAnsi="Palatino Linotype" w:cs="Palatino Linotype"/>
          <w:sz w:val="22"/>
          <w:szCs w:val="22"/>
        </w:rPr>
        <w:t>.</w:t>
      </w:r>
    </w:p>
    <w:p w14:paraId="5A318F7B"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sz w:val="22"/>
          <w:szCs w:val="22"/>
        </w:rPr>
        <w:t>5. Admisión del Recurso de revisión.</w:t>
      </w:r>
      <w:r w:rsidRPr="00003419">
        <w:rPr>
          <w:rFonts w:ascii="Palatino Linotype" w:eastAsia="Palatino Linotype" w:hAnsi="Palatino Linotype" w:cs="Palatino Linotype"/>
          <w:sz w:val="22"/>
          <w:szCs w:val="22"/>
        </w:rPr>
        <w:t xml:space="preserve"> El </w:t>
      </w:r>
      <w:r w:rsidRPr="00003419">
        <w:rPr>
          <w:rFonts w:ascii="Palatino Linotype" w:eastAsia="Palatino Linotype" w:hAnsi="Palatino Linotype" w:cs="Palatino Linotype"/>
          <w:b/>
          <w:sz w:val="22"/>
          <w:szCs w:val="22"/>
        </w:rPr>
        <w:t xml:space="preserve">veinticuatro de febrero de dos mil veinticinco, </w:t>
      </w:r>
      <w:r w:rsidRPr="00003419">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w:t>
      </w:r>
      <w:r w:rsidRPr="00003419">
        <w:rPr>
          <w:rFonts w:ascii="Palatino Linotype" w:eastAsia="Palatino Linotype" w:hAnsi="Palatino Linotype" w:cs="Palatino Linotype"/>
          <w:b/>
          <w:sz w:val="22"/>
          <w:szCs w:val="22"/>
        </w:rPr>
        <w:t>la parte Recurrente</w:t>
      </w:r>
      <w:r w:rsidRPr="00003419">
        <w:rPr>
          <w:rFonts w:ascii="Palatino Linotype" w:eastAsia="Palatino Linotype" w:hAnsi="Palatino Linotype" w:cs="Palatino Linotype"/>
          <w:sz w:val="22"/>
          <w:szCs w:val="22"/>
        </w:rPr>
        <w:t xml:space="preserve"> manifestaran lo que a su derecho resultara conveniente, ofrecieran pruebas, formularan alegatos y el </w:t>
      </w:r>
      <w:r w:rsidRPr="00003419">
        <w:rPr>
          <w:rFonts w:ascii="Palatino Linotype" w:eastAsia="Palatino Linotype" w:hAnsi="Palatino Linotype" w:cs="Palatino Linotype"/>
          <w:b/>
          <w:sz w:val="22"/>
          <w:szCs w:val="22"/>
        </w:rPr>
        <w:t xml:space="preserve">Sujeto Obligado </w:t>
      </w:r>
      <w:r w:rsidRPr="00003419">
        <w:rPr>
          <w:rFonts w:ascii="Palatino Linotype" w:eastAsia="Palatino Linotype" w:hAnsi="Palatino Linotype" w:cs="Palatino Linotype"/>
          <w:sz w:val="22"/>
          <w:szCs w:val="22"/>
        </w:rPr>
        <w:t>presentara su informe justificado.</w:t>
      </w:r>
    </w:p>
    <w:p w14:paraId="3A5A42DE" w14:textId="77777777" w:rsidR="009B2285" w:rsidRPr="00003419" w:rsidRDefault="00772DE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bookmarkStart w:id="4" w:name="_heading=h.2s8eyo1" w:colFirst="0" w:colLast="0"/>
      <w:bookmarkEnd w:id="4"/>
      <w:r w:rsidRPr="00003419">
        <w:rPr>
          <w:rFonts w:ascii="Palatino Linotype" w:eastAsia="Palatino Linotype" w:hAnsi="Palatino Linotype" w:cs="Palatino Linotype"/>
          <w:b/>
          <w:sz w:val="22"/>
          <w:szCs w:val="22"/>
        </w:rPr>
        <w:t>6. Manifestaciones e Informe Justificado</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color w:val="000000"/>
          <w:sz w:val="22"/>
          <w:szCs w:val="22"/>
        </w:rPr>
        <w:t xml:space="preserve">De las constancias que integran el expediente en que se actúa se advierte </w:t>
      </w:r>
      <w:proofErr w:type="gramStart"/>
      <w:r w:rsidRPr="00003419">
        <w:rPr>
          <w:rFonts w:ascii="Palatino Linotype" w:eastAsia="Palatino Linotype" w:hAnsi="Palatino Linotype" w:cs="Palatino Linotype"/>
          <w:color w:val="000000"/>
          <w:sz w:val="22"/>
          <w:szCs w:val="22"/>
        </w:rPr>
        <w:t>que</w:t>
      </w:r>
      <w:proofErr w:type="gramEnd"/>
      <w:r w:rsidRPr="00003419">
        <w:rPr>
          <w:rFonts w:ascii="Palatino Linotype" w:eastAsia="Palatino Linotype" w:hAnsi="Palatino Linotype" w:cs="Palatino Linotype"/>
          <w:color w:val="000000"/>
          <w:sz w:val="22"/>
          <w:szCs w:val="22"/>
        </w:rPr>
        <w:t xml:space="preserve"> durante el periodo de manifestaciones e informe justificado, que el </w:t>
      </w:r>
      <w:r w:rsidRPr="00003419">
        <w:rPr>
          <w:rFonts w:ascii="Palatino Linotype" w:eastAsia="Palatino Linotype" w:hAnsi="Palatino Linotype" w:cs="Palatino Linotype"/>
          <w:b/>
          <w:color w:val="000000"/>
          <w:sz w:val="22"/>
          <w:szCs w:val="22"/>
        </w:rPr>
        <w:t>seis de marzo de dos mil veinticinco</w:t>
      </w:r>
      <w:r w:rsidRPr="00003419">
        <w:rPr>
          <w:rFonts w:ascii="Palatino Linotype" w:eastAsia="Palatino Linotype" w:hAnsi="Palatino Linotype" w:cs="Palatino Linotype"/>
          <w:color w:val="000000"/>
          <w:sz w:val="22"/>
          <w:szCs w:val="22"/>
        </w:rPr>
        <w:t xml:space="preserve">, el </w:t>
      </w:r>
      <w:r w:rsidRPr="00003419">
        <w:rPr>
          <w:rFonts w:ascii="Palatino Linotype" w:eastAsia="Palatino Linotype" w:hAnsi="Palatino Linotype" w:cs="Palatino Linotype"/>
          <w:b/>
          <w:color w:val="000000"/>
          <w:sz w:val="22"/>
          <w:szCs w:val="22"/>
        </w:rPr>
        <w:t>Sujeto Obligado</w:t>
      </w:r>
      <w:r w:rsidRPr="00003419">
        <w:rPr>
          <w:rFonts w:ascii="Palatino Linotype" w:eastAsia="Palatino Linotype" w:hAnsi="Palatino Linotype" w:cs="Palatino Linotype"/>
          <w:color w:val="000000"/>
          <w:sz w:val="22"/>
          <w:szCs w:val="22"/>
        </w:rPr>
        <w:t xml:space="preserve"> remitió su informe justificado mediante los archivos electrónicos denominados “</w:t>
      </w:r>
      <w:r w:rsidRPr="00003419">
        <w:rPr>
          <w:rFonts w:ascii="Palatino Linotype" w:eastAsia="Palatino Linotype" w:hAnsi="Palatino Linotype" w:cs="Palatino Linotype"/>
          <w:b/>
          <w:i/>
          <w:color w:val="000000"/>
          <w:sz w:val="22"/>
          <w:szCs w:val="22"/>
        </w:rPr>
        <w:t xml:space="preserve">RR-1694-2025.pdf” e “Informe Justificado 1694.pdf”, </w:t>
      </w:r>
      <w:r w:rsidRPr="00003419">
        <w:rPr>
          <w:rFonts w:ascii="Palatino Linotype" w:eastAsia="Palatino Linotype" w:hAnsi="Palatino Linotype" w:cs="Palatino Linotype"/>
          <w:color w:val="000000"/>
          <w:sz w:val="22"/>
          <w:szCs w:val="22"/>
        </w:rPr>
        <w:t xml:space="preserve">con los cuales ratificó los términos de su respuesta. </w:t>
      </w:r>
    </w:p>
    <w:p w14:paraId="33C408AE" w14:textId="77777777" w:rsidR="009B2285" w:rsidRPr="00003419" w:rsidRDefault="009B2285">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028DC060" w14:textId="77777777" w:rsidR="009B2285" w:rsidRPr="00003419" w:rsidRDefault="00772DE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color w:val="000000"/>
          <w:sz w:val="22"/>
          <w:szCs w:val="22"/>
        </w:rPr>
      </w:pPr>
      <w:r w:rsidRPr="00003419">
        <w:rPr>
          <w:rFonts w:ascii="Palatino Linotype" w:eastAsia="Palatino Linotype" w:hAnsi="Palatino Linotype" w:cs="Palatino Linotype"/>
          <w:color w:val="000000"/>
          <w:sz w:val="22"/>
          <w:szCs w:val="22"/>
        </w:rPr>
        <w:lastRenderedPageBreak/>
        <w:t xml:space="preserve">Una vez analizadas estas documentales, se determinó ponerlas a disposición de </w:t>
      </w:r>
      <w:r w:rsidRPr="00003419">
        <w:rPr>
          <w:rFonts w:ascii="Palatino Linotype" w:eastAsia="Palatino Linotype" w:hAnsi="Palatino Linotype" w:cs="Palatino Linotype"/>
          <w:b/>
          <w:color w:val="000000"/>
          <w:sz w:val="22"/>
          <w:szCs w:val="22"/>
        </w:rPr>
        <w:t>la parte Recurrente</w:t>
      </w:r>
      <w:r w:rsidRPr="00003419">
        <w:rPr>
          <w:rFonts w:ascii="Palatino Linotype" w:eastAsia="Palatino Linotype" w:hAnsi="Palatino Linotype" w:cs="Palatino Linotype"/>
          <w:color w:val="000000"/>
          <w:sz w:val="22"/>
          <w:szCs w:val="22"/>
        </w:rPr>
        <w:t xml:space="preserve">, mediante acuerdo signado por la Comisionada Ponente el </w:t>
      </w:r>
      <w:r w:rsidRPr="00003419">
        <w:rPr>
          <w:rFonts w:ascii="Palatino Linotype" w:eastAsia="Palatino Linotype" w:hAnsi="Palatino Linotype" w:cs="Palatino Linotype"/>
          <w:b/>
          <w:color w:val="000000"/>
          <w:sz w:val="22"/>
          <w:szCs w:val="22"/>
        </w:rPr>
        <w:t>veinticuatro de marzo de dos mil veinticinco</w:t>
      </w:r>
      <w:r w:rsidRPr="00003419">
        <w:rPr>
          <w:rFonts w:ascii="Palatino Linotype" w:eastAsia="Palatino Linotype" w:hAnsi="Palatino Linotype" w:cs="Palatino Linotype"/>
          <w:color w:val="000000"/>
          <w:sz w:val="22"/>
          <w:szCs w:val="22"/>
        </w:rPr>
        <w:t>, teniendo así que la persona solicitante fue omisa en pronunciarse,</w:t>
      </w:r>
      <w:r w:rsidRPr="00003419">
        <w:rPr>
          <w:rFonts w:ascii="Palatino Linotype" w:eastAsia="Palatino Linotype" w:hAnsi="Palatino Linotype" w:cs="Palatino Linotype"/>
          <w:b/>
          <w:color w:val="000000"/>
          <w:sz w:val="22"/>
          <w:szCs w:val="22"/>
        </w:rPr>
        <w:t xml:space="preserve"> </w:t>
      </w:r>
      <w:r w:rsidRPr="00003419">
        <w:rPr>
          <w:rFonts w:ascii="Palatino Linotype" w:eastAsia="Palatino Linotype" w:hAnsi="Palatino Linotype" w:cs="Palatino Linotype"/>
          <w:color w:val="000000"/>
          <w:sz w:val="22"/>
          <w:szCs w:val="22"/>
        </w:rPr>
        <w:t>por lo que se tiene por precluido su derecho para tal efecto.</w:t>
      </w:r>
      <w:r w:rsidRPr="00003419">
        <w:rPr>
          <w:rFonts w:ascii="Palatino Linotype" w:eastAsia="Palatino Linotype" w:hAnsi="Palatino Linotype" w:cs="Palatino Linotype"/>
          <w:b/>
          <w:color w:val="000000"/>
          <w:sz w:val="22"/>
          <w:szCs w:val="22"/>
        </w:rPr>
        <w:t xml:space="preserve"> </w:t>
      </w:r>
    </w:p>
    <w:p w14:paraId="1319C917" w14:textId="77777777" w:rsidR="009B2285" w:rsidRPr="00003419" w:rsidRDefault="009B2285">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color w:val="000000"/>
          <w:sz w:val="22"/>
          <w:szCs w:val="22"/>
        </w:rPr>
      </w:pPr>
    </w:p>
    <w:p w14:paraId="5F444342" w14:textId="77777777" w:rsidR="009B2285" w:rsidRPr="00003419" w:rsidRDefault="00772DE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noProof/>
          <w:color w:val="000000"/>
          <w:sz w:val="22"/>
          <w:szCs w:val="22"/>
        </w:rPr>
        <w:drawing>
          <wp:inline distT="0" distB="0" distL="0" distR="0" wp14:anchorId="59466BDF" wp14:editId="7DA53588">
            <wp:extent cx="5612130" cy="2164715"/>
            <wp:effectExtent l="0" t="0" r="0" b="0"/>
            <wp:docPr id="1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2164715"/>
                    </a:xfrm>
                    <a:prstGeom prst="rect">
                      <a:avLst/>
                    </a:prstGeom>
                    <a:ln/>
                  </pic:spPr>
                </pic:pic>
              </a:graphicData>
            </a:graphic>
          </wp:inline>
        </w:drawing>
      </w:r>
    </w:p>
    <w:p w14:paraId="58D52BE4" w14:textId="77777777" w:rsidR="009B2285" w:rsidRPr="00003419" w:rsidRDefault="00772DEA">
      <w:pPr>
        <w:spacing w:after="240" w:line="360" w:lineRule="auto"/>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 xml:space="preserve">7. Cierre de instrucción. </w:t>
      </w:r>
      <w:r w:rsidRPr="00003419">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003419">
        <w:rPr>
          <w:rFonts w:ascii="Palatino Linotype" w:eastAsia="Palatino Linotype" w:hAnsi="Palatino Linotype" w:cs="Palatino Linotype"/>
          <w:b/>
          <w:sz w:val="22"/>
          <w:szCs w:val="22"/>
        </w:rPr>
        <w:t>veintiocho de marzo de dos mil veinticinco,</w:t>
      </w:r>
      <w:r w:rsidRPr="00003419">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0501BFC5"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F26984C" w14:textId="77777777" w:rsidR="009B2285" w:rsidRPr="00003419" w:rsidRDefault="00772DEA">
      <w:pPr>
        <w:widowControl w:val="0"/>
        <w:spacing w:before="240" w:after="240" w:line="360" w:lineRule="auto"/>
        <w:jc w:val="center"/>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II. C O N S I D E R A N D O S</w:t>
      </w:r>
    </w:p>
    <w:p w14:paraId="76AD6A22"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sz w:val="22"/>
          <w:szCs w:val="22"/>
        </w:rPr>
        <w:t>Primero. Competencia.</w:t>
      </w:r>
      <w:r w:rsidRPr="0000341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w:t>
      </w:r>
      <w:r w:rsidRPr="00003419">
        <w:rPr>
          <w:rFonts w:ascii="Palatino Linotype" w:eastAsia="Palatino Linotype" w:hAnsi="Palatino Linotype" w:cs="Palatino Linotype"/>
          <w:b/>
          <w:sz w:val="22"/>
          <w:szCs w:val="22"/>
        </w:rPr>
        <w:t>la parte Recurrente</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sz w:val="22"/>
          <w:szCs w:val="22"/>
        </w:rPr>
        <w:lastRenderedPageBreak/>
        <w:t>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5CD81F9"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003419">
        <w:rPr>
          <w:rFonts w:ascii="Palatino Linotype" w:eastAsia="Palatino Linotype" w:hAnsi="Palatino Linotype" w:cs="Palatino Linotype"/>
          <w:b/>
          <w:sz w:val="22"/>
          <w:szCs w:val="22"/>
        </w:rPr>
        <w:t>Segundo. Oportunidad y Procedibilidad del Recurso de Revisión</w:t>
      </w:r>
      <w:r w:rsidRPr="00003419">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80035C0"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003419">
        <w:rPr>
          <w:rFonts w:ascii="Palatino Linotype" w:eastAsia="Palatino Linotype" w:hAnsi="Palatino Linotype" w:cs="Palatino Linotype"/>
          <w:b/>
          <w:sz w:val="22"/>
          <w:szCs w:val="22"/>
        </w:rPr>
        <w:t xml:space="preserve">Sujeto Obligado </w:t>
      </w:r>
      <w:r w:rsidRPr="00003419">
        <w:rPr>
          <w:rFonts w:ascii="Palatino Linotype" w:eastAsia="Palatino Linotype" w:hAnsi="Palatino Linotype" w:cs="Palatino Linotype"/>
          <w:sz w:val="22"/>
          <w:szCs w:val="22"/>
        </w:rPr>
        <w:t xml:space="preserve">otorgó respuesta a la solicitud de información el </w:t>
      </w:r>
      <w:r w:rsidRPr="00003419">
        <w:rPr>
          <w:rFonts w:ascii="Palatino Linotype" w:eastAsia="Palatino Linotype" w:hAnsi="Palatino Linotype" w:cs="Palatino Linotype"/>
          <w:b/>
          <w:sz w:val="22"/>
          <w:szCs w:val="22"/>
        </w:rPr>
        <w:t>once</w:t>
      </w:r>
      <w:r w:rsidRPr="00003419">
        <w:rPr>
          <w:rFonts w:ascii="Palatino Linotype" w:eastAsia="Palatino Linotype" w:hAnsi="Palatino Linotype" w:cs="Palatino Linotype"/>
          <w:b/>
          <w:color w:val="000000"/>
          <w:sz w:val="22"/>
          <w:szCs w:val="22"/>
        </w:rPr>
        <w:t xml:space="preserve"> de </w:t>
      </w:r>
      <w:r w:rsidRPr="00003419">
        <w:rPr>
          <w:rFonts w:ascii="Palatino Linotype" w:eastAsia="Palatino Linotype" w:hAnsi="Palatino Linotype" w:cs="Palatino Linotype"/>
          <w:b/>
          <w:sz w:val="22"/>
          <w:szCs w:val="22"/>
        </w:rPr>
        <w:t>febrero</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sz w:val="22"/>
          <w:szCs w:val="22"/>
        </w:rPr>
        <w:t xml:space="preserve">de dos mil veinticinco, </w:t>
      </w:r>
      <w:r w:rsidRPr="00003419">
        <w:rPr>
          <w:rFonts w:ascii="Palatino Linotype" w:eastAsia="Palatino Linotype" w:hAnsi="Palatino Linotype" w:cs="Palatino Linotype"/>
          <w:sz w:val="22"/>
          <w:szCs w:val="22"/>
        </w:rPr>
        <w:t xml:space="preserve">mientras que el recurso de revisión interpuesto por </w:t>
      </w:r>
      <w:r w:rsidRPr="00003419">
        <w:rPr>
          <w:rFonts w:ascii="Palatino Linotype" w:eastAsia="Palatino Linotype" w:hAnsi="Palatino Linotype" w:cs="Palatino Linotype"/>
          <w:b/>
          <w:sz w:val="22"/>
          <w:szCs w:val="22"/>
        </w:rPr>
        <w:t>la parte</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sz w:val="22"/>
          <w:szCs w:val="22"/>
        </w:rPr>
        <w:t>Recurrente</w:t>
      </w:r>
      <w:r w:rsidRPr="00003419">
        <w:rPr>
          <w:rFonts w:ascii="Palatino Linotype" w:eastAsia="Palatino Linotype" w:hAnsi="Palatino Linotype" w:cs="Palatino Linotype"/>
          <w:sz w:val="22"/>
          <w:szCs w:val="22"/>
        </w:rPr>
        <w:t xml:space="preserve">, se tuvo por presentado el día </w:t>
      </w:r>
      <w:r w:rsidRPr="00003419">
        <w:rPr>
          <w:rFonts w:ascii="Palatino Linotype" w:eastAsia="Palatino Linotype" w:hAnsi="Palatino Linotype" w:cs="Palatino Linotype"/>
          <w:b/>
          <w:color w:val="000000"/>
          <w:sz w:val="22"/>
          <w:szCs w:val="22"/>
        </w:rPr>
        <w:t>diecinueve de febrero</w:t>
      </w:r>
      <w:r w:rsidRPr="00003419">
        <w:rPr>
          <w:rFonts w:ascii="Palatino Linotype" w:eastAsia="Palatino Linotype" w:hAnsi="Palatino Linotype" w:cs="Palatino Linotype"/>
          <w:color w:val="000000"/>
          <w:sz w:val="22"/>
          <w:szCs w:val="22"/>
        </w:rPr>
        <w:t xml:space="preserve"> </w:t>
      </w:r>
      <w:r w:rsidRPr="00003419">
        <w:rPr>
          <w:rFonts w:ascii="Palatino Linotype" w:eastAsia="Palatino Linotype" w:hAnsi="Palatino Linotype" w:cs="Palatino Linotype"/>
          <w:b/>
          <w:sz w:val="22"/>
          <w:szCs w:val="22"/>
        </w:rPr>
        <w:t xml:space="preserve">de dos mil veinticinco, </w:t>
      </w:r>
      <w:r w:rsidRPr="00003419">
        <w:rPr>
          <w:rFonts w:ascii="Palatino Linotype" w:eastAsia="Palatino Linotype" w:hAnsi="Palatino Linotype" w:cs="Palatino Linotype"/>
          <w:sz w:val="22"/>
          <w:szCs w:val="22"/>
        </w:rPr>
        <w:t xml:space="preserve">esto es, el </w:t>
      </w:r>
      <w:r w:rsidRPr="00003419">
        <w:rPr>
          <w:rFonts w:ascii="Palatino Linotype" w:eastAsia="Palatino Linotype" w:hAnsi="Palatino Linotype" w:cs="Palatino Linotype"/>
          <w:b/>
          <w:sz w:val="22"/>
          <w:szCs w:val="22"/>
        </w:rPr>
        <w:t>sexto</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color w:val="000000"/>
          <w:sz w:val="22"/>
          <w:szCs w:val="22"/>
        </w:rPr>
        <w:t xml:space="preserve">día hábil </w:t>
      </w:r>
      <w:r w:rsidRPr="00003419">
        <w:rPr>
          <w:rFonts w:ascii="Palatino Linotype" w:eastAsia="Palatino Linotype" w:hAnsi="Palatino Linotype" w:cs="Palatino Linotype"/>
          <w:b/>
          <w:sz w:val="22"/>
          <w:szCs w:val="22"/>
        </w:rPr>
        <w:t>en el que tuvo conocimiento de la respuesta impugnada.</w:t>
      </w:r>
      <w:r w:rsidRPr="00003419">
        <w:rPr>
          <w:rFonts w:ascii="Palatino Linotype" w:eastAsia="Palatino Linotype" w:hAnsi="Palatino Linotype" w:cs="Palatino Linotype"/>
          <w:sz w:val="22"/>
          <w:szCs w:val="22"/>
        </w:rPr>
        <w:t xml:space="preserve"> </w:t>
      </w:r>
    </w:p>
    <w:p w14:paraId="6B1AF02C" w14:textId="77777777" w:rsidR="009B2285" w:rsidRPr="00003419" w:rsidRDefault="00772DEA">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003419">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37CB7A2"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003419">
        <w:rPr>
          <w:rFonts w:ascii="Palatino Linotype" w:eastAsia="Palatino Linotype" w:hAnsi="Palatino Linotype" w:cs="Palatino Linotype"/>
          <w:b/>
          <w:sz w:val="22"/>
          <w:szCs w:val="22"/>
        </w:rPr>
        <w:t>la parte</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sz w:val="22"/>
          <w:szCs w:val="22"/>
        </w:rPr>
        <w:t>Recurrente</w:t>
      </w:r>
      <w:r w:rsidRPr="00003419">
        <w:rPr>
          <w:rFonts w:ascii="Palatino Linotype" w:eastAsia="Palatino Linotype" w:hAnsi="Palatino Linotype" w:cs="Palatino Linotype"/>
          <w:sz w:val="22"/>
          <w:szCs w:val="22"/>
        </w:rPr>
        <w:t xml:space="preserve"> no proporcionó nombre o seudónimo con el </w:t>
      </w:r>
      <w:r w:rsidRPr="00003419">
        <w:rPr>
          <w:rFonts w:ascii="Palatino Linotype" w:eastAsia="Palatino Linotype" w:hAnsi="Palatino Linotype" w:cs="Palatino Linotype"/>
          <w:sz w:val="22"/>
          <w:szCs w:val="22"/>
        </w:rPr>
        <w:lastRenderedPageBreak/>
        <w:t>que desea que se le identifique</w:t>
      </w:r>
      <w:r w:rsidRPr="00003419">
        <w:rPr>
          <w:rFonts w:ascii="Palatino Linotype" w:eastAsia="Palatino Linotype" w:hAnsi="Palatino Linotype" w:cs="Palatino Linotype"/>
          <w:b/>
          <w:sz w:val="22"/>
          <w:szCs w:val="22"/>
        </w:rPr>
        <w:t>,</w:t>
      </w:r>
      <w:r w:rsidRPr="00003419">
        <w:rPr>
          <w:rFonts w:ascii="Palatino Linotype" w:eastAsia="Palatino Linotype" w:hAnsi="Palatino Linotype" w:cs="Palatino Linotype"/>
          <w:sz w:val="22"/>
          <w:szCs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29D67D7" w14:textId="77777777" w:rsidR="009B2285" w:rsidRPr="00003419" w:rsidRDefault="00772DEA">
      <w:pPr>
        <w:spacing w:before="240" w:after="240" w:line="276" w:lineRule="auto"/>
        <w:ind w:left="851" w:right="902"/>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w:t>
      </w:r>
      <w:r w:rsidRPr="00003419">
        <w:rPr>
          <w:rFonts w:ascii="Palatino Linotype" w:eastAsia="Palatino Linotype" w:hAnsi="Palatino Linotype" w:cs="Palatino Linotype"/>
          <w:b/>
          <w:i/>
          <w:sz w:val="22"/>
          <w:szCs w:val="22"/>
        </w:rPr>
        <w:t xml:space="preserve">Las solicitudes </w:t>
      </w:r>
      <w:r w:rsidRPr="00003419">
        <w:rPr>
          <w:rFonts w:ascii="Palatino Linotype" w:eastAsia="Palatino Linotype" w:hAnsi="Palatino Linotype" w:cs="Palatino Linotype"/>
          <w:i/>
          <w:sz w:val="22"/>
          <w:szCs w:val="22"/>
        </w:rPr>
        <w:t xml:space="preserve">anónimas, con </w:t>
      </w:r>
      <w:r w:rsidRPr="00003419">
        <w:rPr>
          <w:rFonts w:ascii="Palatino Linotype" w:eastAsia="Palatino Linotype" w:hAnsi="Palatino Linotype" w:cs="Palatino Linotype"/>
          <w:b/>
          <w:i/>
          <w:sz w:val="22"/>
          <w:szCs w:val="22"/>
        </w:rPr>
        <w:t>nombre incompleto o seudónimo</w:t>
      </w:r>
      <w:r w:rsidRPr="00003419">
        <w:rPr>
          <w:rFonts w:ascii="Palatino Linotype" w:eastAsia="Palatino Linotype" w:hAnsi="Palatino Linotype" w:cs="Palatino Linotype"/>
          <w:i/>
          <w:sz w:val="22"/>
          <w:szCs w:val="22"/>
        </w:rPr>
        <w:t xml:space="preserve"> </w:t>
      </w:r>
      <w:r w:rsidRPr="00003419">
        <w:rPr>
          <w:rFonts w:ascii="Palatino Linotype" w:eastAsia="Palatino Linotype" w:hAnsi="Palatino Linotype" w:cs="Palatino Linotype"/>
          <w:b/>
          <w:i/>
          <w:sz w:val="22"/>
          <w:szCs w:val="22"/>
        </w:rPr>
        <w:t>serán procedentes para su trámite por parte del sujeto obligado ante quien se presente</w:t>
      </w:r>
      <w:r w:rsidRPr="00003419">
        <w:rPr>
          <w:rFonts w:ascii="Palatino Linotype" w:eastAsia="Palatino Linotype" w:hAnsi="Palatino Linotype" w:cs="Palatino Linotype"/>
          <w:i/>
          <w:sz w:val="22"/>
          <w:szCs w:val="22"/>
        </w:rPr>
        <w:t>. No podrá requerirse información adicional con motivo del nombre proporcionado por el solicitante."(Énfasis añadido)</w:t>
      </w:r>
    </w:p>
    <w:p w14:paraId="4BA58077" w14:textId="77777777" w:rsidR="009B2285" w:rsidRPr="00003419" w:rsidRDefault="00772DEA">
      <w:pPr>
        <w:spacing w:before="240" w:after="240" w:line="360" w:lineRule="auto"/>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sz w:val="22"/>
          <w:szCs w:val="22"/>
        </w:rPr>
        <w:t xml:space="preserve">Finalmente, se advierte que resulta procedente la interposición del recurso, según lo manifestado por </w:t>
      </w:r>
      <w:r w:rsidRPr="00003419">
        <w:rPr>
          <w:rFonts w:ascii="Palatino Linotype" w:eastAsia="Palatino Linotype" w:hAnsi="Palatino Linotype" w:cs="Palatino Linotype"/>
          <w:b/>
          <w:sz w:val="22"/>
          <w:szCs w:val="22"/>
        </w:rPr>
        <w:t>la parte</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sz w:val="22"/>
          <w:szCs w:val="22"/>
        </w:rPr>
        <w:t>Recurrente</w:t>
      </w:r>
      <w:r w:rsidRPr="00003419">
        <w:rPr>
          <w:rFonts w:ascii="Palatino Linotype" w:eastAsia="Palatino Linotype" w:hAnsi="Palatino Linotype" w:cs="Palatino Linotype"/>
          <w:sz w:val="22"/>
          <w:szCs w:val="22"/>
        </w:rPr>
        <w:t xml:space="preserve"> en sus motivos de inconformidad, de acuerdo </w:t>
      </w:r>
      <w:r w:rsidRPr="00003419">
        <w:rPr>
          <w:rFonts w:ascii="Palatino Linotype" w:eastAsia="Palatino Linotype" w:hAnsi="Palatino Linotype" w:cs="Palatino Linotype"/>
          <w:color w:val="000000"/>
          <w:sz w:val="22"/>
          <w:szCs w:val="22"/>
        </w:rPr>
        <w:t>al artículo 179, fracción V del ordenamiento legal citado, que a la letra dice: </w:t>
      </w:r>
    </w:p>
    <w:p w14:paraId="273E3B82" w14:textId="77777777" w:rsidR="009B2285" w:rsidRPr="00003419" w:rsidRDefault="00772DEA">
      <w:pPr>
        <w:spacing w:before="120" w:after="120"/>
        <w:ind w:left="567" w:right="902"/>
        <w:jc w:val="both"/>
        <w:rPr>
          <w:rFonts w:ascii="Palatino Linotype" w:eastAsia="Palatino Linotype" w:hAnsi="Palatino Linotype" w:cs="Palatino Linotype"/>
          <w:i/>
          <w:color w:val="000000"/>
          <w:sz w:val="22"/>
          <w:szCs w:val="22"/>
        </w:rPr>
      </w:pPr>
      <w:r w:rsidRPr="00003419">
        <w:rPr>
          <w:rFonts w:ascii="Palatino Linotype" w:eastAsia="Palatino Linotype" w:hAnsi="Palatino Linotype" w:cs="Palatino Linotype"/>
          <w:i/>
          <w:color w:val="000000"/>
          <w:sz w:val="22"/>
          <w:szCs w:val="22"/>
        </w:rPr>
        <w:t>“</w:t>
      </w:r>
      <w:r w:rsidRPr="00003419">
        <w:rPr>
          <w:rFonts w:ascii="Palatino Linotype" w:eastAsia="Palatino Linotype" w:hAnsi="Palatino Linotype" w:cs="Palatino Linotype"/>
          <w:b/>
          <w:i/>
          <w:color w:val="000000"/>
          <w:sz w:val="22"/>
          <w:szCs w:val="22"/>
        </w:rPr>
        <w:t>Artículo 179.</w:t>
      </w:r>
      <w:r w:rsidRPr="00003419">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197DC1BF" w14:textId="77777777" w:rsidR="009B2285" w:rsidRPr="00003419" w:rsidRDefault="00772DEA">
      <w:pPr>
        <w:spacing w:before="120" w:after="120"/>
        <w:ind w:left="567" w:right="902"/>
        <w:jc w:val="both"/>
        <w:rPr>
          <w:rFonts w:ascii="Palatino Linotype" w:eastAsia="Palatino Linotype" w:hAnsi="Palatino Linotype" w:cs="Palatino Linotype"/>
          <w:i/>
          <w:color w:val="000000"/>
          <w:sz w:val="22"/>
          <w:szCs w:val="22"/>
        </w:rPr>
      </w:pPr>
      <w:r w:rsidRPr="00003419">
        <w:rPr>
          <w:rFonts w:ascii="Palatino Linotype" w:eastAsia="Palatino Linotype" w:hAnsi="Palatino Linotype" w:cs="Palatino Linotype"/>
          <w:i/>
          <w:color w:val="000000"/>
          <w:sz w:val="22"/>
          <w:szCs w:val="22"/>
        </w:rPr>
        <w:t>…</w:t>
      </w:r>
    </w:p>
    <w:p w14:paraId="087E75DC" w14:textId="77777777" w:rsidR="009B2285" w:rsidRPr="00003419" w:rsidRDefault="00772DEA">
      <w:pPr>
        <w:spacing w:before="120" w:after="120"/>
        <w:ind w:left="567"/>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b/>
          <w:i/>
          <w:color w:val="000000"/>
          <w:sz w:val="22"/>
          <w:szCs w:val="22"/>
        </w:rPr>
        <w:t>V. La entrega de información incompleta</w:t>
      </w:r>
      <w:r w:rsidRPr="00003419">
        <w:rPr>
          <w:rFonts w:ascii="Palatino Linotype" w:eastAsia="Palatino Linotype" w:hAnsi="Palatino Linotype" w:cs="Palatino Linotype"/>
          <w:i/>
          <w:color w:val="000000"/>
          <w:sz w:val="22"/>
          <w:szCs w:val="22"/>
        </w:rPr>
        <w:t>;</w:t>
      </w:r>
      <w:r w:rsidRPr="00003419">
        <w:rPr>
          <w:rFonts w:ascii="Palatino Linotype" w:eastAsia="Palatino Linotype" w:hAnsi="Palatino Linotype" w:cs="Palatino Linotype"/>
          <w:b/>
          <w:i/>
          <w:sz w:val="22"/>
          <w:szCs w:val="22"/>
        </w:rPr>
        <w:t xml:space="preserve">” </w:t>
      </w:r>
      <w:r w:rsidRPr="00003419">
        <w:rPr>
          <w:rFonts w:ascii="Palatino Linotype" w:eastAsia="Palatino Linotype" w:hAnsi="Palatino Linotype" w:cs="Palatino Linotype"/>
          <w:i/>
          <w:sz w:val="22"/>
          <w:szCs w:val="22"/>
        </w:rPr>
        <w:t>(Énfasis añadido)</w:t>
      </w:r>
    </w:p>
    <w:p w14:paraId="767C389C" w14:textId="77777777" w:rsidR="009B2285" w:rsidRPr="00003419" w:rsidRDefault="00772DEA">
      <w:pPr>
        <w:spacing w:before="240" w:after="240" w:line="360" w:lineRule="auto"/>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 xml:space="preserve">Tercero. Materia de la revisión. </w:t>
      </w:r>
      <w:r w:rsidRPr="00003419">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003419">
        <w:rPr>
          <w:rFonts w:ascii="Palatino Linotype" w:eastAsia="Palatino Linotype" w:hAnsi="Palatino Linotype" w:cs="Palatino Linotype"/>
          <w:b/>
          <w:sz w:val="22"/>
          <w:szCs w:val="22"/>
        </w:rPr>
        <w:t xml:space="preserve">verificar si la respuesta e informe justificado otorgados por el Sujeto Obligado son adecuados y suficientes para satisfacer el derecho de acceso a la información pública </w:t>
      </w:r>
      <w:r w:rsidRPr="00003419">
        <w:rPr>
          <w:rFonts w:ascii="Palatino Linotype" w:eastAsia="Palatino Linotype" w:hAnsi="Palatino Linotype" w:cs="Palatino Linotype"/>
          <w:sz w:val="22"/>
          <w:szCs w:val="22"/>
        </w:rPr>
        <w:t xml:space="preserve">de </w:t>
      </w:r>
      <w:r w:rsidRPr="00003419">
        <w:rPr>
          <w:rFonts w:ascii="Palatino Linotype" w:eastAsia="Palatino Linotype" w:hAnsi="Palatino Linotype" w:cs="Palatino Linotype"/>
          <w:b/>
          <w:sz w:val="22"/>
          <w:szCs w:val="22"/>
        </w:rPr>
        <w:t>la parte</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sz w:val="22"/>
          <w:szCs w:val="22"/>
        </w:rPr>
        <w:t>Recurrente</w:t>
      </w:r>
      <w:r w:rsidRPr="00003419">
        <w:rPr>
          <w:rFonts w:ascii="Palatino Linotype" w:eastAsia="Palatino Linotype" w:hAnsi="Palatino Linotype" w:cs="Palatino Linotype"/>
          <w:sz w:val="22"/>
          <w:szCs w:val="22"/>
        </w:rPr>
        <w:t>, o en su defecto, en caso de ser procedente, ordenar la entrega de información.</w:t>
      </w:r>
    </w:p>
    <w:p w14:paraId="1694A1A6" w14:textId="77777777" w:rsidR="009B2285" w:rsidRPr="00003419" w:rsidRDefault="00772DEA">
      <w:pPr>
        <w:pBdr>
          <w:top w:val="nil"/>
          <w:left w:val="nil"/>
          <w:bottom w:val="nil"/>
          <w:right w:val="nil"/>
          <w:between w:val="nil"/>
        </w:pBdr>
        <w:spacing w:before="240" w:after="240" w:line="360" w:lineRule="auto"/>
        <w:jc w:val="both"/>
        <w:rPr>
          <w:color w:val="000000"/>
          <w:sz w:val="22"/>
          <w:szCs w:val="22"/>
        </w:rPr>
      </w:pPr>
      <w:bookmarkStart w:id="7" w:name="_heading=h.2et92p0" w:colFirst="0" w:colLast="0"/>
      <w:bookmarkEnd w:id="7"/>
      <w:r w:rsidRPr="00003419">
        <w:rPr>
          <w:rFonts w:ascii="Palatino Linotype" w:eastAsia="Palatino Linotype" w:hAnsi="Palatino Linotype" w:cs="Palatino Linotype"/>
          <w:b/>
          <w:sz w:val="22"/>
          <w:szCs w:val="22"/>
        </w:rPr>
        <w:t>Cuarto. Estudio del asunto</w:t>
      </w:r>
      <w:r w:rsidRPr="00003419">
        <w:rPr>
          <w:rFonts w:ascii="Palatino Linotype" w:eastAsia="Palatino Linotype" w:hAnsi="Palatino Linotype" w:cs="Palatino Linotype"/>
          <w:b/>
          <w:color w:val="000000"/>
          <w:sz w:val="22"/>
          <w:szCs w:val="22"/>
        </w:rPr>
        <w:t xml:space="preserve"> </w:t>
      </w:r>
      <w:r w:rsidRPr="00003419">
        <w:rPr>
          <w:rFonts w:ascii="Palatino Linotype" w:eastAsia="Palatino Linotype" w:hAnsi="Palatino Linotype" w:cs="Palatino Linotype"/>
          <w:color w:val="000000"/>
          <w:sz w:val="22"/>
          <w:szCs w:val="22"/>
        </w:rPr>
        <w:t xml:space="preserve">Antes de entrar al análisis de los pronunciamientos del </w:t>
      </w:r>
      <w:r w:rsidRPr="00003419">
        <w:rPr>
          <w:rFonts w:ascii="Palatino Linotype" w:eastAsia="Palatino Linotype" w:hAnsi="Palatino Linotype" w:cs="Palatino Linotype"/>
          <w:b/>
          <w:color w:val="000000"/>
          <w:sz w:val="22"/>
          <w:szCs w:val="22"/>
        </w:rPr>
        <w:t>Sujeto Obligado</w:t>
      </w:r>
      <w:r w:rsidRPr="00003419">
        <w:rPr>
          <w:rFonts w:ascii="Palatino Linotype" w:eastAsia="Palatino Linotype" w:hAnsi="Palatino Linotype" w:cs="Palatino Linotype"/>
          <w:color w:val="000000"/>
          <w:sz w:val="22"/>
          <w:szCs w:val="22"/>
        </w:rPr>
        <w:t xml:space="preserve"> en la respuesta proporcionada, es necesario mencionar que el derecho de acceso a la información está consagrado en instrumentos internacionales de los cuales el Estado </w:t>
      </w:r>
      <w:r w:rsidRPr="00003419">
        <w:rPr>
          <w:rFonts w:ascii="Palatino Linotype" w:eastAsia="Palatino Linotype" w:hAnsi="Palatino Linotype" w:cs="Palatino Linotype"/>
          <w:color w:val="000000"/>
          <w:sz w:val="22"/>
          <w:szCs w:val="22"/>
        </w:rPr>
        <w:lastRenderedPageBreak/>
        <w:t>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F0A2336" w14:textId="77777777" w:rsidR="009B2285" w:rsidRPr="00003419" w:rsidRDefault="00772DEA">
      <w:pPr>
        <w:pBdr>
          <w:top w:val="nil"/>
          <w:left w:val="nil"/>
          <w:bottom w:val="nil"/>
          <w:right w:val="nil"/>
          <w:between w:val="nil"/>
        </w:pBdr>
        <w:spacing w:before="240" w:after="240"/>
        <w:ind w:left="851" w:right="850"/>
        <w:jc w:val="both"/>
        <w:rPr>
          <w:color w:val="000000"/>
        </w:rPr>
      </w:pPr>
      <w:r w:rsidRPr="00003419">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003419">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22F5BA84" w14:textId="77777777" w:rsidR="009B2285" w:rsidRPr="00003419" w:rsidRDefault="00772DEA">
      <w:pPr>
        <w:pBdr>
          <w:top w:val="nil"/>
          <w:left w:val="nil"/>
          <w:bottom w:val="nil"/>
          <w:right w:val="nil"/>
          <w:between w:val="nil"/>
        </w:pBdr>
        <w:spacing w:before="240" w:after="240"/>
        <w:ind w:left="851" w:right="850"/>
        <w:jc w:val="both"/>
        <w:rPr>
          <w:color w:val="000000"/>
        </w:rPr>
      </w:pPr>
      <w:r w:rsidRPr="00003419">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48012302" w14:textId="77777777" w:rsidR="009B2285" w:rsidRPr="00003419" w:rsidRDefault="00772DEA">
      <w:pPr>
        <w:pBdr>
          <w:top w:val="nil"/>
          <w:left w:val="nil"/>
          <w:bottom w:val="nil"/>
          <w:right w:val="nil"/>
          <w:between w:val="nil"/>
        </w:pBdr>
        <w:spacing w:before="240" w:after="240"/>
        <w:ind w:left="851" w:right="850"/>
        <w:jc w:val="both"/>
        <w:rPr>
          <w:color w:val="000000"/>
        </w:rPr>
      </w:pPr>
      <w:r w:rsidRPr="00003419">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03419">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6EA8E162" w14:textId="77777777" w:rsidR="009B2285" w:rsidRPr="00003419" w:rsidRDefault="00772DEA">
      <w:pPr>
        <w:pBdr>
          <w:top w:val="nil"/>
          <w:left w:val="nil"/>
          <w:bottom w:val="nil"/>
          <w:right w:val="nil"/>
          <w:between w:val="nil"/>
        </w:pBdr>
        <w:spacing w:before="240" w:after="240"/>
        <w:ind w:left="851" w:right="850"/>
        <w:jc w:val="both"/>
        <w:rPr>
          <w:color w:val="000000"/>
        </w:rPr>
      </w:pPr>
      <w:r w:rsidRPr="00003419">
        <w:rPr>
          <w:rFonts w:ascii="Palatino Linotype" w:eastAsia="Palatino Linotype" w:hAnsi="Palatino Linotype" w:cs="Palatino Linotype"/>
          <w:i/>
          <w:color w:val="000000"/>
          <w:sz w:val="22"/>
          <w:szCs w:val="22"/>
        </w:rPr>
        <w:t>[…]</w:t>
      </w:r>
    </w:p>
    <w:p w14:paraId="5FDB6EC0" w14:textId="77777777" w:rsidR="009B2285" w:rsidRPr="00003419" w:rsidRDefault="00772DEA">
      <w:pPr>
        <w:pBdr>
          <w:top w:val="nil"/>
          <w:left w:val="nil"/>
          <w:bottom w:val="nil"/>
          <w:right w:val="nil"/>
          <w:between w:val="nil"/>
        </w:pBdr>
        <w:spacing w:before="240" w:after="240"/>
        <w:ind w:left="851" w:right="901"/>
        <w:jc w:val="both"/>
        <w:rPr>
          <w:color w:val="000000"/>
        </w:rPr>
      </w:pPr>
      <w:r w:rsidRPr="00003419">
        <w:rPr>
          <w:rFonts w:ascii="Palatino Linotype" w:eastAsia="Palatino Linotype" w:hAnsi="Palatino Linotype" w:cs="Palatino Linotype"/>
          <w:b/>
          <w:i/>
          <w:color w:val="000000"/>
          <w:sz w:val="22"/>
          <w:szCs w:val="22"/>
        </w:rPr>
        <w:t>“Artículo 6o.</w:t>
      </w:r>
    </w:p>
    <w:p w14:paraId="0034A939" w14:textId="77777777" w:rsidR="009B2285" w:rsidRPr="00003419" w:rsidRDefault="00772DEA">
      <w:pPr>
        <w:pBdr>
          <w:top w:val="nil"/>
          <w:left w:val="nil"/>
          <w:bottom w:val="nil"/>
          <w:right w:val="nil"/>
          <w:between w:val="nil"/>
        </w:pBdr>
        <w:spacing w:before="240" w:after="240"/>
        <w:ind w:left="851" w:right="901"/>
        <w:jc w:val="both"/>
        <w:rPr>
          <w:color w:val="000000"/>
        </w:rPr>
      </w:pPr>
      <w:r w:rsidRPr="00003419">
        <w:rPr>
          <w:rFonts w:ascii="Palatino Linotype" w:eastAsia="Palatino Linotype" w:hAnsi="Palatino Linotype" w:cs="Palatino Linotype"/>
          <w:i/>
          <w:color w:val="000000"/>
          <w:sz w:val="22"/>
          <w:szCs w:val="22"/>
        </w:rPr>
        <w:t>[...]</w:t>
      </w:r>
    </w:p>
    <w:p w14:paraId="7F4CB1A4" w14:textId="77777777" w:rsidR="009B2285" w:rsidRPr="00003419" w:rsidRDefault="00772DEA">
      <w:pPr>
        <w:pBdr>
          <w:top w:val="nil"/>
          <w:left w:val="nil"/>
          <w:bottom w:val="nil"/>
          <w:right w:val="nil"/>
          <w:between w:val="nil"/>
        </w:pBdr>
        <w:spacing w:before="240" w:after="240"/>
        <w:ind w:left="851" w:right="851"/>
        <w:jc w:val="both"/>
        <w:rPr>
          <w:rFonts w:ascii="Palatino Linotype" w:eastAsia="Palatino Linotype" w:hAnsi="Palatino Linotype" w:cs="Palatino Linotype"/>
          <w:i/>
          <w:color w:val="000000"/>
          <w:sz w:val="22"/>
          <w:szCs w:val="22"/>
        </w:rPr>
      </w:pPr>
      <w:r w:rsidRPr="00003419">
        <w:rPr>
          <w:rFonts w:ascii="Palatino Linotype" w:eastAsia="Palatino Linotype" w:hAnsi="Palatino Linotype" w:cs="Palatino Linotype"/>
          <w:b/>
          <w:i/>
          <w:color w:val="000000"/>
          <w:sz w:val="22"/>
          <w:szCs w:val="22"/>
        </w:rPr>
        <w:t xml:space="preserve">A. Para el ejercicio del derecho de acceso a la información, la Federación y </w:t>
      </w:r>
      <w:r w:rsidRPr="00003419">
        <w:rPr>
          <w:rFonts w:ascii="Palatino Linotype" w:eastAsia="Palatino Linotype" w:hAnsi="Palatino Linotype" w:cs="Palatino Linotype"/>
          <w:b/>
          <w:i/>
          <w:color w:val="000000"/>
          <w:sz w:val="22"/>
          <w:szCs w:val="22"/>
          <w:u w:val="single"/>
        </w:rPr>
        <w:t>las entidades federativas</w:t>
      </w:r>
      <w:r w:rsidRPr="00003419">
        <w:rPr>
          <w:rFonts w:ascii="Palatino Linotype" w:eastAsia="Palatino Linotype" w:hAnsi="Palatino Linotype" w:cs="Palatino Linotype"/>
          <w:b/>
          <w:i/>
          <w:color w:val="000000"/>
          <w:sz w:val="22"/>
          <w:szCs w:val="22"/>
        </w:rPr>
        <w:t>,</w:t>
      </w:r>
      <w:r w:rsidRPr="00003419">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3C47DACA" w14:textId="77777777" w:rsidR="009B2285" w:rsidRPr="00003419" w:rsidRDefault="00772DEA">
      <w:pPr>
        <w:pBdr>
          <w:top w:val="nil"/>
          <w:left w:val="nil"/>
          <w:bottom w:val="nil"/>
          <w:right w:val="nil"/>
          <w:between w:val="nil"/>
        </w:pBdr>
        <w:spacing w:before="240" w:after="240"/>
        <w:ind w:left="851" w:right="851"/>
        <w:jc w:val="both"/>
        <w:rPr>
          <w:rFonts w:ascii="Palatino Linotype" w:eastAsia="Palatino Linotype" w:hAnsi="Palatino Linotype" w:cs="Palatino Linotype"/>
          <w:i/>
          <w:color w:val="000000"/>
          <w:sz w:val="22"/>
          <w:szCs w:val="22"/>
        </w:rPr>
      </w:pPr>
      <w:r w:rsidRPr="00003419">
        <w:rPr>
          <w:rFonts w:ascii="Palatino Linotype" w:eastAsia="Palatino Linotype" w:hAnsi="Palatino Linotype" w:cs="Palatino Linotype"/>
          <w:i/>
          <w:color w:val="000000"/>
          <w:sz w:val="22"/>
          <w:szCs w:val="22"/>
        </w:rPr>
        <w:t> </w:t>
      </w:r>
      <w:r w:rsidRPr="00003419">
        <w:rPr>
          <w:rFonts w:ascii="Palatino Linotype" w:eastAsia="Palatino Linotype" w:hAnsi="Palatino Linotype" w:cs="Palatino Linotype"/>
          <w:b/>
          <w:i/>
          <w:color w:val="000000"/>
          <w:sz w:val="22"/>
          <w:szCs w:val="22"/>
        </w:rPr>
        <w:t xml:space="preserve">I. </w:t>
      </w:r>
      <w:r w:rsidRPr="00003419">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003419">
        <w:rPr>
          <w:rFonts w:ascii="Palatino Linotype" w:eastAsia="Palatino Linotype" w:hAnsi="Palatino Linotype" w:cs="Palatino Linotype"/>
          <w:i/>
          <w:color w:val="000000"/>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03419">
        <w:rPr>
          <w:rFonts w:ascii="Palatino Linotype" w:eastAsia="Palatino Linotype" w:hAnsi="Palatino Linotype" w:cs="Palatino Linotype"/>
          <w:b/>
          <w:i/>
          <w:color w:val="000000"/>
          <w:sz w:val="22"/>
          <w:szCs w:val="22"/>
        </w:rPr>
        <w:t xml:space="preserve">es pública y </w:t>
      </w:r>
      <w:r w:rsidRPr="00003419">
        <w:rPr>
          <w:rFonts w:ascii="Palatino Linotype" w:eastAsia="Palatino Linotype" w:hAnsi="Palatino Linotype" w:cs="Palatino Linotype"/>
          <w:b/>
          <w:i/>
          <w:color w:val="000000"/>
          <w:sz w:val="22"/>
          <w:szCs w:val="22"/>
        </w:rPr>
        <w:lastRenderedPageBreak/>
        <w:t>sólo podrá ser reservada temporalmente por razones de interés público y seguridad nacional,</w:t>
      </w:r>
      <w:r w:rsidRPr="00003419">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BA14323" w14:textId="77777777" w:rsidR="009B2285" w:rsidRPr="00003419" w:rsidRDefault="00772DEA">
      <w:pPr>
        <w:pBdr>
          <w:top w:val="nil"/>
          <w:left w:val="nil"/>
          <w:bottom w:val="nil"/>
          <w:right w:val="nil"/>
          <w:between w:val="nil"/>
        </w:pBdr>
        <w:spacing w:before="240" w:after="240"/>
        <w:ind w:left="851" w:right="851"/>
        <w:jc w:val="both"/>
        <w:rPr>
          <w:rFonts w:ascii="Palatino Linotype" w:eastAsia="Palatino Linotype" w:hAnsi="Palatino Linotype" w:cs="Palatino Linotype"/>
          <w:b/>
          <w:i/>
          <w:color w:val="000000"/>
          <w:sz w:val="22"/>
          <w:szCs w:val="22"/>
        </w:rPr>
      </w:pPr>
      <w:r w:rsidRPr="00003419">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649961B1" w14:textId="77777777" w:rsidR="009B2285" w:rsidRPr="00003419" w:rsidRDefault="00772DEA">
      <w:pPr>
        <w:pBdr>
          <w:top w:val="nil"/>
          <w:left w:val="nil"/>
          <w:bottom w:val="nil"/>
          <w:right w:val="nil"/>
          <w:between w:val="nil"/>
        </w:pBdr>
        <w:spacing w:before="240" w:after="240"/>
        <w:ind w:left="851" w:right="851"/>
        <w:jc w:val="both"/>
        <w:rPr>
          <w:rFonts w:ascii="Palatino Linotype" w:eastAsia="Palatino Linotype" w:hAnsi="Palatino Linotype" w:cs="Palatino Linotype"/>
          <w:i/>
          <w:color w:val="000000"/>
          <w:sz w:val="22"/>
          <w:szCs w:val="22"/>
        </w:rPr>
      </w:pPr>
      <w:r w:rsidRPr="00003419">
        <w:rPr>
          <w:rFonts w:ascii="Palatino Linotype" w:eastAsia="Palatino Linotype" w:hAnsi="Palatino Linotype" w:cs="Palatino Linotype"/>
          <w:i/>
          <w:color w:val="000000"/>
          <w:sz w:val="22"/>
          <w:szCs w:val="22"/>
        </w:rPr>
        <w:t> </w:t>
      </w:r>
      <w:r w:rsidRPr="00003419">
        <w:rPr>
          <w:rFonts w:ascii="Palatino Linotype" w:eastAsia="Palatino Linotype" w:hAnsi="Palatino Linotype" w:cs="Palatino Linotype"/>
          <w:b/>
          <w:i/>
          <w:color w:val="000000"/>
          <w:sz w:val="22"/>
          <w:szCs w:val="22"/>
        </w:rPr>
        <w:t xml:space="preserve">III. </w:t>
      </w:r>
      <w:r w:rsidRPr="00003419">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003419">
        <w:rPr>
          <w:rFonts w:ascii="Palatino Linotype" w:eastAsia="Palatino Linotype" w:hAnsi="Palatino Linotype" w:cs="Palatino Linotype"/>
          <w:i/>
          <w:color w:val="000000"/>
          <w:sz w:val="22"/>
          <w:szCs w:val="22"/>
        </w:rPr>
        <w:t xml:space="preserve"> a sus datos personales o a la rectificación de éstos.</w:t>
      </w:r>
    </w:p>
    <w:p w14:paraId="6B45A42E" w14:textId="77777777" w:rsidR="009B2285" w:rsidRPr="00003419" w:rsidRDefault="00772DEA">
      <w:pPr>
        <w:pBdr>
          <w:top w:val="nil"/>
          <w:left w:val="nil"/>
          <w:bottom w:val="nil"/>
          <w:right w:val="nil"/>
          <w:between w:val="nil"/>
        </w:pBdr>
        <w:spacing w:before="240" w:after="240"/>
        <w:ind w:left="851" w:right="851"/>
        <w:jc w:val="both"/>
        <w:rPr>
          <w:color w:val="000000"/>
        </w:rPr>
      </w:pPr>
      <w:r w:rsidRPr="00003419">
        <w:rPr>
          <w:rFonts w:ascii="Palatino Linotype" w:eastAsia="Palatino Linotype" w:hAnsi="Palatino Linotype" w:cs="Palatino Linotype"/>
          <w:b/>
          <w:i/>
          <w:color w:val="000000"/>
          <w:sz w:val="22"/>
          <w:szCs w:val="22"/>
        </w:rPr>
        <w:t>…</w:t>
      </w:r>
    </w:p>
    <w:p w14:paraId="69B87397" w14:textId="77777777" w:rsidR="009B2285" w:rsidRPr="00003419" w:rsidRDefault="00772DEA">
      <w:pPr>
        <w:pBdr>
          <w:top w:val="nil"/>
          <w:left w:val="nil"/>
          <w:bottom w:val="nil"/>
          <w:right w:val="nil"/>
          <w:between w:val="nil"/>
        </w:pBdr>
        <w:spacing w:before="240" w:after="240"/>
        <w:ind w:left="851" w:right="851"/>
        <w:jc w:val="both"/>
        <w:rPr>
          <w:rFonts w:ascii="Palatino Linotype" w:eastAsia="Palatino Linotype" w:hAnsi="Palatino Linotype" w:cs="Palatino Linotype"/>
          <w:i/>
          <w:color w:val="000000"/>
          <w:sz w:val="22"/>
          <w:szCs w:val="22"/>
        </w:rPr>
      </w:pPr>
      <w:r w:rsidRPr="00003419">
        <w:rPr>
          <w:rFonts w:ascii="Palatino Linotype" w:eastAsia="Palatino Linotype" w:hAnsi="Palatino Linotype" w:cs="Palatino Linotype"/>
          <w:b/>
          <w:i/>
          <w:color w:val="000000"/>
          <w:sz w:val="22"/>
          <w:szCs w:val="22"/>
        </w:rPr>
        <w:t>IV.</w:t>
      </w:r>
      <w:r w:rsidRPr="00003419">
        <w:rPr>
          <w:rFonts w:ascii="Palatino Linotype" w:eastAsia="Palatino Linotype" w:hAnsi="Palatino Linotype" w:cs="Palatino Linotype"/>
          <w:i/>
          <w:color w:val="000000"/>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643763DC" w14:textId="77777777" w:rsidR="009B2285" w:rsidRPr="00003419" w:rsidRDefault="00772DEA">
      <w:pPr>
        <w:pBdr>
          <w:top w:val="nil"/>
          <w:left w:val="nil"/>
          <w:bottom w:val="nil"/>
          <w:right w:val="nil"/>
          <w:between w:val="nil"/>
        </w:pBdr>
        <w:spacing w:before="240" w:after="240"/>
        <w:ind w:left="851" w:right="851"/>
        <w:jc w:val="both"/>
        <w:rPr>
          <w:color w:val="000000"/>
        </w:rPr>
      </w:pPr>
      <w:r w:rsidRPr="00003419">
        <w:rPr>
          <w:rFonts w:ascii="Palatino Linotype" w:eastAsia="Palatino Linotype" w:hAnsi="Palatino Linotype" w:cs="Palatino Linotype"/>
          <w:b/>
          <w:i/>
          <w:color w:val="000000"/>
          <w:sz w:val="22"/>
          <w:szCs w:val="22"/>
        </w:rPr>
        <w:t xml:space="preserve">V. </w:t>
      </w:r>
      <w:r w:rsidRPr="00003419">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BFEE05D" w14:textId="77777777" w:rsidR="009B2285" w:rsidRPr="00003419" w:rsidRDefault="00772DEA">
      <w:pPr>
        <w:pBdr>
          <w:top w:val="nil"/>
          <w:left w:val="nil"/>
          <w:bottom w:val="nil"/>
          <w:right w:val="nil"/>
          <w:between w:val="nil"/>
        </w:pBdr>
        <w:spacing w:before="240" w:after="240"/>
        <w:ind w:left="851" w:right="851"/>
        <w:jc w:val="both"/>
        <w:rPr>
          <w:color w:val="000000"/>
        </w:rPr>
      </w:pPr>
      <w:r w:rsidRPr="00003419">
        <w:rPr>
          <w:rFonts w:ascii="Palatino Linotype" w:eastAsia="Palatino Linotype" w:hAnsi="Palatino Linotype" w:cs="Palatino Linotype"/>
          <w:i/>
          <w:color w:val="000000"/>
          <w:sz w:val="22"/>
          <w:szCs w:val="22"/>
        </w:rPr>
        <w:t> </w:t>
      </w:r>
      <w:r w:rsidRPr="00003419">
        <w:rPr>
          <w:rFonts w:ascii="Palatino Linotype" w:eastAsia="Palatino Linotype" w:hAnsi="Palatino Linotype" w:cs="Palatino Linotype"/>
          <w:b/>
          <w:i/>
          <w:color w:val="000000"/>
          <w:sz w:val="22"/>
          <w:szCs w:val="22"/>
        </w:rPr>
        <w:t xml:space="preserve">VI. </w:t>
      </w:r>
      <w:r w:rsidRPr="00003419">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3BF229C6" w14:textId="77777777" w:rsidR="009B2285" w:rsidRPr="00003419" w:rsidRDefault="00772DEA">
      <w:pPr>
        <w:pBdr>
          <w:top w:val="nil"/>
          <w:left w:val="nil"/>
          <w:bottom w:val="nil"/>
          <w:right w:val="nil"/>
          <w:between w:val="nil"/>
        </w:pBdr>
        <w:spacing w:before="240" w:after="240"/>
        <w:ind w:left="851" w:right="851"/>
        <w:jc w:val="both"/>
        <w:rPr>
          <w:color w:val="000000"/>
        </w:rPr>
      </w:pPr>
      <w:r w:rsidRPr="00003419">
        <w:rPr>
          <w:rFonts w:ascii="Palatino Linotype" w:eastAsia="Palatino Linotype" w:hAnsi="Palatino Linotype" w:cs="Palatino Linotype"/>
          <w:i/>
          <w:color w:val="000000"/>
          <w:sz w:val="22"/>
          <w:szCs w:val="22"/>
        </w:rPr>
        <w:t> </w:t>
      </w:r>
      <w:r w:rsidRPr="00003419">
        <w:rPr>
          <w:rFonts w:ascii="Palatino Linotype" w:eastAsia="Palatino Linotype" w:hAnsi="Palatino Linotype" w:cs="Palatino Linotype"/>
          <w:b/>
          <w:i/>
          <w:color w:val="000000"/>
          <w:sz w:val="22"/>
          <w:szCs w:val="22"/>
        </w:rPr>
        <w:t xml:space="preserve">VII. </w:t>
      </w:r>
      <w:r w:rsidRPr="00003419">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5439708A" w14:textId="77777777" w:rsidR="009B2285" w:rsidRPr="00003419" w:rsidRDefault="00772DEA">
      <w:pPr>
        <w:pBdr>
          <w:top w:val="nil"/>
          <w:left w:val="nil"/>
          <w:bottom w:val="nil"/>
          <w:right w:val="nil"/>
          <w:between w:val="nil"/>
        </w:pBdr>
        <w:spacing w:before="240" w:after="240" w:line="360" w:lineRule="auto"/>
        <w:jc w:val="both"/>
        <w:rPr>
          <w:color w:val="000000"/>
          <w:sz w:val="22"/>
          <w:szCs w:val="22"/>
        </w:rPr>
      </w:pPr>
      <w:r w:rsidRPr="00003419">
        <w:rPr>
          <w:rFonts w:ascii="Palatino Linotype" w:eastAsia="Palatino Linotype" w:hAnsi="Palatino Linotype" w:cs="Palatino Linotype"/>
          <w:color w:val="000000"/>
          <w:sz w:val="22"/>
          <w:szCs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w:t>
      </w:r>
      <w:r w:rsidRPr="00003419">
        <w:rPr>
          <w:rFonts w:ascii="Palatino Linotype" w:eastAsia="Palatino Linotype" w:hAnsi="Palatino Linotype" w:cs="Palatino Linotype"/>
          <w:color w:val="000000"/>
          <w:sz w:val="22"/>
          <w:szCs w:val="22"/>
        </w:rPr>
        <w:lastRenderedPageBreak/>
        <w:t>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A9F2F48" w14:textId="77777777" w:rsidR="009B2285" w:rsidRPr="00003419" w:rsidRDefault="00772DEA">
      <w:pPr>
        <w:pBdr>
          <w:top w:val="nil"/>
          <w:left w:val="nil"/>
          <w:bottom w:val="nil"/>
          <w:right w:val="nil"/>
          <w:between w:val="nil"/>
        </w:pBdr>
        <w:spacing w:before="240" w:after="240"/>
        <w:ind w:left="709" w:right="760"/>
        <w:jc w:val="both"/>
        <w:rPr>
          <w:color w:val="000000"/>
        </w:rPr>
      </w:pPr>
      <w:r w:rsidRPr="00003419">
        <w:rPr>
          <w:rFonts w:ascii="Palatino Linotype" w:eastAsia="Palatino Linotype" w:hAnsi="Palatino Linotype" w:cs="Palatino Linotype"/>
          <w:i/>
          <w:color w:val="000000"/>
          <w:sz w:val="22"/>
          <w:szCs w:val="22"/>
        </w:rPr>
        <w:t>“</w:t>
      </w:r>
      <w:r w:rsidRPr="00003419">
        <w:rPr>
          <w:rFonts w:ascii="Palatino Linotype" w:eastAsia="Palatino Linotype" w:hAnsi="Palatino Linotype" w:cs="Palatino Linotype"/>
          <w:b/>
          <w:i/>
          <w:color w:val="000000"/>
          <w:sz w:val="22"/>
          <w:szCs w:val="22"/>
        </w:rPr>
        <w:t>Artículo 4</w:t>
      </w:r>
      <w:r w:rsidRPr="00003419">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7E5AC22" w14:textId="77777777" w:rsidR="009B2285" w:rsidRPr="00003419" w:rsidRDefault="00772DEA">
      <w:pPr>
        <w:pBdr>
          <w:top w:val="nil"/>
          <w:left w:val="nil"/>
          <w:bottom w:val="nil"/>
          <w:right w:val="nil"/>
          <w:between w:val="nil"/>
        </w:pBdr>
        <w:spacing w:before="240" w:after="240"/>
        <w:ind w:left="709" w:right="760"/>
        <w:jc w:val="both"/>
        <w:rPr>
          <w:color w:val="000000"/>
        </w:rPr>
      </w:pPr>
      <w:r w:rsidRPr="00003419">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1095910" w14:textId="77777777" w:rsidR="009B2285" w:rsidRPr="00003419" w:rsidRDefault="00772DEA">
      <w:pPr>
        <w:pBdr>
          <w:top w:val="nil"/>
          <w:left w:val="nil"/>
          <w:bottom w:val="nil"/>
          <w:right w:val="nil"/>
          <w:between w:val="nil"/>
        </w:pBdr>
        <w:spacing w:before="240" w:after="240"/>
        <w:ind w:left="709" w:right="760"/>
        <w:jc w:val="both"/>
        <w:rPr>
          <w:color w:val="000000"/>
        </w:rPr>
      </w:pPr>
      <w:r w:rsidRPr="00003419">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2EAA83F2" w14:textId="77777777" w:rsidR="009B2285" w:rsidRPr="00003419" w:rsidRDefault="00772DEA">
      <w:pPr>
        <w:pBdr>
          <w:top w:val="nil"/>
          <w:left w:val="nil"/>
          <w:bottom w:val="nil"/>
          <w:right w:val="nil"/>
          <w:between w:val="nil"/>
        </w:pBdr>
        <w:spacing w:before="240" w:after="240" w:line="360" w:lineRule="auto"/>
        <w:jc w:val="both"/>
        <w:rPr>
          <w:color w:val="000000"/>
          <w:sz w:val="22"/>
          <w:szCs w:val="22"/>
        </w:rPr>
      </w:pPr>
      <w:r w:rsidRPr="00003419">
        <w:rPr>
          <w:rFonts w:ascii="Palatino Linotype" w:eastAsia="Palatino Linotype" w:hAnsi="Palatino Linotype" w:cs="Palatino Linotype"/>
          <w:color w:val="000000"/>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E94992E" w14:textId="77777777" w:rsidR="009B2285" w:rsidRPr="00003419" w:rsidRDefault="00772DEA">
      <w:pPr>
        <w:pBdr>
          <w:top w:val="nil"/>
          <w:left w:val="nil"/>
          <w:bottom w:val="nil"/>
          <w:right w:val="nil"/>
          <w:between w:val="nil"/>
        </w:pBdr>
        <w:spacing w:before="240" w:after="240"/>
        <w:ind w:left="567" w:right="758"/>
        <w:jc w:val="both"/>
        <w:rPr>
          <w:color w:val="000000"/>
        </w:rPr>
      </w:pPr>
      <w:r w:rsidRPr="00003419">
        <w:rPr>
          <w:rFonts w:ascii="Palatino Linotype" w:eastAsia="Palatino Linotype" w:hAnsi="Palatino Linotype" w:cs="Palatino Linotype"/>
          <w:i/>
          <w:color w:val="000000"/>
          <w:sz w:val="22"/>
          <w:szCs w:val="22"/>
        </w:rPr>
        <w:t>“</w:t>
      </w:r>
      <w:r w:rsidRPr="00003419">
        <w:rPr>
          <w:rFonts w:ascii="Palatino Linotype" w:eastAsia="Palatino Linotype" w:hAnsi="Palatino Linotype" w:cs="Palatino Linotype"/>
          <w:b/>
          <w:i/>
          <w:color w:val="000000"/>
          <w:sz w:val="22"/>
          <w:szCs w:val="22"/>
        </w:rPr>
        <w:t>Artículo 12</w:t>
      </w:r>
      <w:r w:rsidRPr="00003419">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05C55162" w14:textId="77777777" w:rsidR="009B2285" w:rsidRPr="00003419" w:rsidRDefault="00772DEA">
      <w:pPr>
        <w:pBdr>
          <w:top w:val="nil"/>
          <w:left w:val="nil"/>
          <w:bottom w:val="nil"/>
          <w:right w:val="nil"/>
          <w:between w:val="nil"/>
        </w:pBdr>
        <w:spacing w:before="240" w:after="240"/>
        <w:ind w:left="567" w:right="758"/>
        <w:jc w:val="both"/>
        <w:rPr>
          <w:color w:val="000000"/>
        </w:rPr>
      </w:pPr>
      <w:r w:rsidRPr="00003419">
        <w:rPr>
          <w:rFonts w:ascii="Palatino Linotype" w:eastAsia="Palatino Linotype" w:hAnsi="Palatino Linotype" w:cs="Palatino Linotype"/>
          <w:i/>
          <w:color w:val="000000"/>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DCFBDA4" w14:textId="77777777" w:rsidR="009B2285" w:rsidRPr="00003419" w:rsidRDefault="00772DEA">
      <w:pPr>
        <w:pBdr>
          <w:top w:val="nil"/>
          <w:left w:val="nil"/>
          <w:bottom w:val="nil"/>
          <w:right w:val="nil"/>
          <w:between w:val="nil"/>
        </w:pBdr>
        <w:spacing w:before="240" w:after="240" w:line="360" w:lineRule="auto"/>
        <w:jc w:val="both"/>
        <w:rPr>
          <w:color w:val="000000"/>
          <w:sz w:val="22"/>
          <w:szCs w:val="22"/>
        </w:rPr>
      </w:pPr>
      <w:r w:rsidRPr="00003419">
        <w:rPr>
          <w:rFonts w:ascii="Palatino Linotype" w:eastAsia="Palatino Linotype" w:hAnsi="Palatino Linotype" w:cs="Palatino Linotype"/>
          <w:color w:val="000000"/>
          <w:sz w:val="22"/>
          <w:szCs w:val="22"/>
        </w:rPr>
        <w:t>Es decir, que el derecho de acceso a la información pública se satisface en aquellos casos en que se entregue documento en que conste la información requerida, toda vez que, los Sujetos Obligados</w:t>
      </w:r>
      <w:r w:rsidRPr="00003419">
        <w:rPr>
          <w:rFonts w:ascii="Palatino Linotype" w:eastAsia="Palatino Linotype" w:hAnsi="Palatino Linotype" w:cs="Palatino Linotype"/>
          <w:b/>
          <w:color w:val="000000"/>
          <w:sz w:val="22"/>
          <w:szCs w:val="22"/>
        </w:rPr>
        <w:t xml:space="preserve"> </w:t>
      </w:r>
      <w:r w:rsidRPr="00003419">
        <w:rPr>
          <w:rFonts w:ascii="Palatino Linotype" w:eastAsia="Palatino Linotype" w:hAnsi="Palatino Linotype" w:cs="Palatino Linotype"/>
          <w:color w:val="000000"/>
          <w:sz w:val="22"/>
          <w:szCs w:val="22"/>
        </w:rPr>
        <w:t xml:space="preserve">no tienen el deber de generar, poseer o administrar la información pública con el grado de detalle solicitado; esto es, que no tienen el deber de generar un documento </w:t>
      </w:r>
      <w:r w:rsidRPr="00003419">
        <w:rPr>
          <w:rFonts w:ascii="Palatino Linotype" w:eastAsia="Palatino Linotype" w:hAnsi="Palatino Linotype" w:cs="Palatino Linotype"/>
          <w:i/>
          <w:color w:val="000000"/>
          <w:sz w:val="22"/>
          <w:szCs w:val="22"/>
        </w:rPr>
        <w:t>ad hoc</w:t>
      </w:r>
      <w:r w:rsidRPr="00003419">
        <w:rPr>
          <w:rFonts w:ascii="Palatino Linotype" w:eastAsia="Palatino Linotype" w:hAnsi="Palatino Linotype" w:cs="Palatino Linotype"/>
          <w:color w:val="000000"/>
          <w:sz w:val="22"/>
          <w:szCs w:val="22"/>
        </w:rPr>
        <w:t>, para satisfacer el derecho de acceso a la información pública, como así lo establece el criterio 03/17 emitido por el entonces Instituto Nacional de Transparencia, Acceso a la Información Pública y Protección de Datos Personales, el cual señala lo siguiente:</w:t>
      </w:r>
    </w:p>
    <w:p w14:paraId="25AB40C1" w14:textId="77777777" w:rsidR="009B2285" w:rsidRPr="00003419" w:rsidRDefault="00772DEA">
      <w:pPr>
        <w:pBdr>
          <w:top w:val="nil"/>
          <w:left w:val="nil"/>
          <w:bottom w:val="nil"/>
          <w:right w:val="nil"/>
          <w:between w:val="nil"/>
        </w:pBdr>
        <w:spacing w:before="240" w:after="240"/>
        <w:ind w:left="567" w:right="900"/>
        <w:jc w:val="both"/>
        <w:rPr>
          <w:color w:val="000000"/>
        </w:rPr>
      </w:pPr>
      <w:r w:rsidRPr="00003419">
        <w:rPr>
          <w:rFonts w:ascii="Palatino Linotype" w:eastAsia="Palatino Linotype" w:hAnsi="Palatino Linotype" w:cs="Palatino Linotype"/>
          <w:b/>
          <w:i/>
          <w:color w:val="000000"/>
          <w:sz w:val="22"/>
          <w:szCs w:val="22"/>
        </w:rPr>
        <w:t>03/17</w:t>
      </w:r>
    </w:p>
    <w:p w14:paraId="35DFEF7A" w14:textId="77777777" w:rsidR="009B2285" w:rsidRPr="00003419" w:rsidRDefault="00772DEA">
      <w:pPr>
        <w:pBdr>
          <w:top w:val="nil"/>
          <w:left w:val="nil"/>
          <w:bottom w:val="nil"/>
          <w:right w:val="nil"/>
          <w:between w:val="nil"/>
        </w:pBdr>
        <w:spacing w:before="240" w:after="240"/>
        <w:ind w:left="567" w:right="900"/>
        <w:jc w:val="both"/>
        <w:rPr>
          <w:color w:val="000000"/>
        </w:rPr>
      </w:pPr>
      <w:r w:rsidRPr="00003419">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14:paraId="6AF2DA1C" w14:textId="77777777" w:rsidR="009B2285" w:rsidRPr="00003419" w:rsidRDefault="00772DEA">
      <w:pPr>
        <w:pBdr>
          <w:top w:val="nil"/>
          <w:left w:val="nil"/>
          <w:bottom w:val="nil"/>
          <w:right w:val="nil"/>
          <w:between w:val="nil"/>
        </w:pBdr>
        <w:spacing w:before="240" w:after="240"/>
        <w:ind w:left="567" w:right="900"/>
        <w:jc w:val="both"/>
        <w:rPr>
          <w:color w:val="000000"/>
        </w:rPr>
      </w:pPr>
      <w:r w:rsidRPr="00003419">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1A64642" w14:textId="77777777" w:rsidR="009B2285" w:rsidRPr="00003419" w:rsidRDefault="00772DEA">
      <w:pPr>
        <w:pBdr>
          <w:top w:val="nil"/>
          <w:left w:val="nil"/>
          <w:bottom w:val="nil"/>
          <w:right w:val="nil"/>
          <w:between w:val="nil"/>
        </w:pBdr>
        <w:spacing w:before="240" w:after="240" w:line="360" w:lineRule="auto"/>
        <w:jc w:val="both"/>
        <w:rPr>
          <w:color w:val="000000"/>
          <w:sz w:val="22"/>
          <w:szCs w:val="22"/>
        </w:rPr>
      </w:pPr>
      <w:r w:rsidRPr="00003419">
        <w:rPr>
          <w:rFonts w:ascii="Palatino Linotype" w:eastAsia="Palatino Linotype" w:hAnsi="Palatino Linotype" w:cs="Palatino Linotype"/>
          <w:color w:val="000000"/>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2E1FC9C" w14:textId="77777777" w:rsidR="009B2285" w:rsidRPr="00003419" w:rsidRDefault="00772DEA">
      <w:pPr>
        <w:pBdr>
          <w:top w:val="nil"/>
          <w:left w:val="nil"/>
          <w:bottom w:val="nil"/>
          <w:right w:val="nil"/>
          <w:between w:val="nil"/>
        </w:pBdr>
        <w:spacing w:before="240" w:after="240" w:line="360" w:lineRule="auto"/>
        <w:ind w:right="49"/>
        <w:jc w:val="both"/>
        <w:rPr>
          <w:color w:val="000000"/>
          <w:sz w:val="22"/>
          <w:szCs w:val="22"/>
        </w:rPr>
      </w:pPr>
      <w:r w:rsidRPr="00003419">
        <w:rPr>
          <w:rFonts w:ascii="Palatino Linotype" w:eastAsia="Palatino Linotype" w:hAnsi="Palatino Linotype" w:cs="Palatino Linotype"/>
          <w:color w:val="000000"/>
          <w:sz w:val="22"/>
          <w:szCs w:val="22"/>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2A4D414" w14:textId="77777777" w:rsidR="009B2285" w:rsidRPr="00003419" w:rsidRDefault="00772DE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868B551" w14:textId="77777777" w:rsidR="009B2285" w:rsidRPr="00003419" w:rsidRDefault="00772DEA">
      <w:pPr>
        <w:pBdr>
          <w:top w:val="nil"/>
          <w:left w:val="nil"/>
          <w:bottom w:val="nil"/>
          <w:right w:val="nil"/>
          <w:between w:val="nil"/>
        </w:pBdr>
        <w:spacing w:before="240" w:after="240"/>
        <w:ind w:left="567" w:right="567"/>
        <w:jc w:val="both"/>
        <w:rPr>
          <w:color w:val="000000"/>
        </w:rPr>
      </w:pPr>
      <w:r w:rsidRPr="00003419">
        <w:rPr>
          <w:rFonts w:ascii="Palatino Linotype" w:eastAsia="Palatino Linotype" w:hAnsi="Palatino Linotype" w:cs="Palatino Linotype"/>
          <w:i/>
          <w:color w:val="000000"/>
          <w:sz w:val="22"/>
          <w:szCs w:val="22"/>
        </w:rPr>
        <w:t>“</w:t>
      </w:r>
      <w:r w:rsidRPr="00003419">
        <w:rPr>
          <w:rFonts w:ascii="Palatino Linotype" w:eastAsia="Palatino Linotype" w:hAnsi="Palatino Linotype" w:cs="Palatino Linotype"/>
          <w:b/>
          <w:i/>
          <w:color w:val="000000"/>
          <w:sz w:val="22"/>
          <w:szCs w:val="22"/>
        </w:rPr>
        <w:t xml:space="preserve">Artículo 3. </w:t>
      </w:r>
      <w:r w:rsidRPr="00003419">
        <w:rPr>
          <w:rFonts w:ascii="Palatino Linotype" w:eastAsia="Palatino Linotype" w:hAnsi="Palatino Linotype" w:cs="Palatino Linotype"/>
          <w:i/>
          <w:color w:val="000000"/>
          <w:sz w:val="22"/>
          <w:szCs w:val="22"/>
        </w:rPr>
        <w:t>Para los efectos de la presente Ley se entenderá por:</w:t>
      </w:r>
    </w:p>
    <w:p w14:paraId="4400CB27" w14:textId="77777777" w:rsidR="009B2285" w:rsidRPr="00003419" w:rsidRDefault="00772DEA">
      <w:pPr>
        <w:pBdr>
          <w:top w:val="nil"/>
          <w:left w:val="nil"/>
          <w:bottom w:val="nil"/>
          <w:right w:val="nil"/>
          <w:between w:val="nil"/>
        </w:pBdr>
        <w:spacing w:before="240" w:after="240"/>
        <w:ind w:left="567" w:right="567"/>
        <w:jc w:val="both"/>
        <w:rPr>
          <w:color w:val="000000"/>
        </w:rPr>
      </w:pPr>
      <w:r w:rsidRPr="00003419">
        <w:rPr>
          <w:rFonts w:ascii="Palatino Linotype" w:eastAsia="Palatino Linotype" w:hAnsi="Palatino Linotype" w:cs="Palatino Linotype"/>
          <w:i/>
          <w:color w:val="000000"/>
          <w:sz w:val="22"/>
          <w:szCs w:val="22"/>
        </w:rPr>
        <w:t>…</w:t>
      </w:r>
    </w:p>
    <w:p w14:paraId="6D7E7221" w14:textId="77777777" w:rsidR="009B2285" w:rsidRPr="00003419" w:rsidRDefault="00772DEA">
      <w:pPr>
        <w:pBdr>
          <w:top w:val="nil"/>
          <w:left w:val="nil"/>
          <w:bottom w:val="nil"/>
          <w:right w:val="nil"/>
          <w:between w:val="nil"/>
        </w:pBdr>
        <w:spacing w:before="240" w:after="240"/>
        <w:ind w:left="567" w:right="567"/>
        <w:jc w:val="both"/>
        <w:rPr>
          <w:color w:val="000000"/>
        </w:rPr>
      </w:pPr>
      <w:r w:rsidRPr="00003419">
        <w:rPr>
          <w:rFonts w:ascii="Palatino Linotype" w:eastAsia="Palatino Linotype" w:hAnsi="Palatino Linotype" w:cs="Palatino Linotype"/>
          <w:b/>
          <w:i/>
          <w:color w:val="000000"/>
          <w:sz w:val="22"/>
          <w:szCs w:val="22"/>
        </w:rPr>
        <w:t>XI. Documento:</w:t>
      </w:r>
      <w:r w:rsidRPr="00003419">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03419">
        <w:rPr>
          <w:rFonts w:ascii="Palatino Linotype" w:eastAsia="Palatino Linotype" w:hAnsi="Palatino Linotype" w:cs="Palatino Linotype"/>
          <w:b/>
          <w:i/>
          <w:color w:val="000000"/>
          <w:sz w:val="22"/>
          <w:szCs w:val="22"/>
        </w:rPr>
        <w:t>…</w:t>
      </w:r>
      <w:r w:rsidRPr="00003419">
        <w:rPr>
          <w:rFonts w:ascii="Palatino Linotype" w:eastAsia="Palatino Linotype" w:hAnsi="Palatino Linotype" w:cs="Palatino Linotype"/>
          <w:i/>
          <w:color w:val="000000"/>
          <w:sz w:val="22"/>
          <w:szCs w:val="22"/>
        </w:rPr>
        <w:t>”</w:t>
      </w:r>
    </w:p>
    <w:p w14:paraId="26ED4976" w14:textId="77777777" w:rsidR="009B2285" w:rsidRPr="00003419" w:rsidRDefault="00772DEA">
      <w:pPr>
        <w:pBdr>
          <w:top w:val="nil"/>
          <w:left w:val="nil"/>
          <w:bottom w:val="nil"/>
          <w:right w:val="nil"/>
          <w:between w:val="nil"/>
        </w:pBdr>
        <w:spacing w:before="240" w:after="240" w:line="360" w:lineRule="auto"/>
        <w:jc w:val="both"/>
        <w:rPr>
          <w:color w:val="000000"/>
          <w:sz w:val="22"/>
          <w:szCs w:val="22"/>
        </w:rPr>
      </w:pPr>
      <w:r w:rsidRPr="00003419">
        <w:rPr>
          <w:rFonts w:ascii="Palatino Linotype" w:eastAsia="Palatino Linotype" w:hAnsi="Palatino Linotype" w:cs="Palatino Linotype"/>
          <w:color w:val="000000"/>
          <w:sz w:val="22"/>
          <w:szCs w:val="22"/>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w:t>
      </w:r>
      <w:r w:rsidRPr="00003419">
        <w:rPr>
          <w:rFonts w:ascii="Palatino Linotype" w:eastAsia="Palatino Linotype" w:hAnsi="Palatino Linotype" w:cs="Palatino Linotype"/>
          <w:color w:val="000000"/>
          <w:sz w:val="22"/>
          <w:szCs w:val="22"/>
        </w:rPr>
        <w:lastRenderedPageBreak/>
        <w:t>del Estado Libre y Soberano de México “Gaceta del Gobierno”, el diecinueve de octubre de dos mil once, cuyo rubro y texto refieren lo siguiente:</w:t>
      </w:r>
    </w:p>
    <w:p w14:paraId="7827F5E0" w14:textId="77777777" w:rsidR="009B2285" w:rsidRPr="00003419" w:rsidRDefault="00772DEA">
      <w:pPr>
        <w:pBdr>
          <w:top w:val="nil"/>
          <w:left w:val="nil"/>
          <w:bottom w:val="nil"/>
          <w:right w:val="nil"/>
          <w:between w:val="nil"/>
        </w:pBdr>
        <w:spacing w:before="240" w:after="240"/>
        <w:ind w:left="567" w:right="567"/>
        <w:jc w:val="both"/>
        <w:rPr>
          <w:color w:val="000000"/>
        </w:rPr>
      </w:pPr>
      <w:r w:rsidRPr="00003419">
        <w:rPr>
          <w:rFonts w:ascii="Palatino Linotype" w:eastAsia="Palatino Linotype" w:hAnsi="Palatino Linotype" w:cs="Palatino Linotype"/>
          <w:b/>
          <w:color w:val="000000"/>
          <w:sz w:val="22"/>
          <w:szCs w:val="22"/>
        </w:rPr>
        <w:t>“</w:t>
      </w:r>
      <w:r w:rsidRPr="00003419">
        <w:rPr>
          <w:rFonts w:ascii="Palatino Linotype" w:eastAsia="Palatino Linotype" w:hAnsi="Palatino Linotype" w:cs="Palatino Linotype"/>
          <w:b/>
          <w:i/>
          <w:color w:val="000000"/>
          <w:sz w:val="22"/>
          <w:szCs w:val="22"/>
        </w:rPr>
        <w:t>CRITERIO 0002-11</w:t>
      </w:r>
    </w:p>
    <w:p w14:paraId="3010938D" w14:textId="77777777" w:rsidR="009B2285" w:rsidRPr="00003419" w:rsidRDefault="00772DEA">
      <w:pPr>
        <w:pBdr>
          <w:top w:val="nil"/>
          <w:left w:val="nil"/>
          <w:bottom w:val="nil"/>
          <w:right w:val="nil"/>
          <w:between w:val="nil"/>
        </w:pBdr>
        <w:spacing w:before="240" w:after="240"/>
        <w:ind w:left="567" w:right="567"/>
        <w:jc w:val="both"/>
        <w:rPr>
          <w:color w:val="000000"/>
        </w:rPr>
      </w:pPr>
      <w:r w:rsidRPr="00003419">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003419">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F967C3" w14:textId="77777777" w:rsidR="009B2285" w:rsidRPr="00003419" w:rsidRDefault="00772DEA">
      <w:pPr>
        <w:pBdr>
          <w:top w:val="nil"/>
          <w:left w:val="nil"/>
          <w:bottom w:val="nil"/>
          <w:right w:val="nil"/>
          <w:between w:val="nil"/>
        </w:pBdr>
        <w:spacing w:before="240" w:after="240"/>
        <w:ind w:left="567" w:right="567"/>
        <w:jc w:val="both"/>
        <w:rPr>
          <w:color w:val="000000"/>
        </w:rPr>
      </w:pPr>
      <w:r w:rsidRPr="00003419">
        <w:rPr>
          <w:rFonts w:ascii="Palatino Linotype" w:eastAsia="Palatino Linotype" w:hAnsi="Palatino Linotype" w:cs="Palatino Linotype"/>
          <w:i/>
          <w:color w:val="000000"/>
          <w:sz w:val="22"/>
          <w:szCs w:val="22"/>
        </w:rPr>
        <w:t xml:space="preserve">En </w:t>
      </w:r>
      <w:proofErr w:type="gramStart"/>
      <w:r w:rsidRPr="00003419">
        <w:rPr>
          <w:rFonts w:ascii="Palatino Linotype" w:eastAsia="Palatino Linotype" w:hAnsi="Palatino Linotype" w:cs="Palatino Linotype"/>
          <w:i/>
          <w:color w:val="000000"/>
          <w:sz w:val="22"/>
          <w:szCs w:val="22"/>
        </w:rPr>
        <w:t>consecuencia</w:t>
      </w:r>
      <w:proofErr w:type="gramEnd"/>
      <w:r w:rsidRPr="00003419">
        <w:rPr>
          <w:rFonts w:ascii="Palatino Linotype" w:eastAsia="Palatino Linotype" w:hAnsi="Palatino Linotype" w:cs="Palatino Linotype"/>
          <w:i/>
          <w:color w:val="000000"/>
          <w:sz w:val="22"/>
          <w:szCs w:val="22"/>
        </w:rPr>
        <w:t xml:space="preserve"> el acceso a la información se refiere a que se cumplan cualquiera de los siguientes tres supuestos:</w:t>
      </w:r>
    </w:p>
    <w:p w14:paraId="290E47A8" w14:textId="77777777" w:rsidR="009B2285" w:rsidRPr="00003419" w:rsidRDefault="00772DEA">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003419">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003419">
        <w:rPr>
          <w:rFonts w:ascii="Palatino Linotype" w:eastAsia="Palatino Linotype" w:hAnsi="Palatino Linotype" w:cs="Palatino Linotype"/>
          <w:i/>
          <w:color w:val="000000"/>
          <w:sz w:val="22"/>
          <w:szCs w:val="22"/>
        </w:rPr>
        <w:t>que</w:t>
      </w:r>
      <w:proofErr w:type="gramEnd"/>
      <w:r w:rsidRPr="00003419">
        <w:rPr>
          <w:rFonts w:ascii="Palatino Linotype" w:eastAsia="Palatino Linotype" w:hAnsi="Palatino Linotype" w:cs="Palatino Linotype"/>
          <w:i/>
          <w:color w:val="000000"/>
          <w:sz w:val="22"/>
          <w:szCs w:val="22"/>
        </w:rPr>
        <w:t xml:space="preserve"> en ejercicio de las atribuciones conferidas, sea generada por los Sujetos Obligados;</w:t>
      </w:r>
    </w:p>
    <w:p w14:paraId="23DFCB21" w14:textId="77777777" w:rsidR="009B2285" w:rsidRPr="00003419" w:rsidRDefault="00772DEA">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003419">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003419">
        <w:rPr>
          <w:rFonts w:ascii="Palatino Linotype" w:eastAsia="Palatino Linotype" w:hAnsi="Palatino Linotype" w:cs="Palatino Linotype"/>
          <w:i/>
          <w:color w:val="000000"/>
          <w:sz w:val="22"/>
          <w:szCs w:val="22"/>
        </w:rPr>
        <w:t>que</w:t>
      </w:r>
      <w:proofErr w:type="gramEnd"/>
      <w:r w:rsidRPr="00003419">
        <w:rPr>
          <w:rFonts w:ascii="Palatino Linotype" w:eastAsia="Palatino Linotype" w:hAnsi="Palatino Linotype" w:cs="Palatino Linotype"/>
          <w:i/>
          <w:color w:val="000000"/>
          <w:sz w:val="22"/>
          <w:szCs w:val="22"/>
        </w:rPr>
        <w:t xml:space="preserve"> en ejercicio de las atribuciones conferidas, sea administrada por los Sujetos Obligados, y</w:t>
      </w:r>
    </w:p>
    <w:p w14:paraId="5B807552" w14:textId="77777777" w:rsidR="009B2285" w:rsidRPr="00003419" w:rsidRDefault="00772DEA">
      <w:pPr>
        <w:pBdr>
          <w:top w:val="nil"/>
          <w:left w:val="nil"/>
          <w:bottom w:val="nil"/>
          <w:right w:val="nil"/>
          <w:between w:val="nil"/>
        </w:pBdr>
        <w:spacing w:before="240" w:after="240"/>
        <w:ind w:left="567" w:right="567" w:hanging="284"/>
        <w:jc w:val="both"/>
        <w:rPr>
          <w:color w:val="000000"/>
        </w:rPr>
      </w:pPr>
      <w:r w:rsidRPr="00003419">
        <w:rPr>
          <w:rFonts w:ascii="Palatino Linotype" w:eastAsia="Palatino Linotype" w:hAnsi="Palatino Linotype" w:cs="Palatino Linotype"/>
          <w:i/>
          <w:color w:val="000000"/>
          <w:sz w:val="22"/>
          <w:szCs w:val="22"/>
        </w:rPr>
        <w:t xml:space="preserve">3. </w:t>
      </w:r>
      <w:r w:rsidRPr="00003419">
        <w:rPr>
          <w:rFonts w:ascii="Palatino Linotype" w:eastAsia="Palatino Linotype" w:hAnsi="Palatino Linotype" w:cs="Palatino Linotype"/>
          <w:b/>
          <w:i/>
          <w:color w:val="000000"/>
          <w:sz w:val="22"/>
          <w:szCs w:val="22"/>
        </w:rPr>
        <w:t xml:space="preserve">Que se trate de información registrada en cualquier soporte documental, </w:t>
      </w:r>
      <w:proofErr w:type="gramStart"/>
      <w:r w:rsidRPr="00003419">
        <w:rPr>
          <w:rFonts w:ascii="Palatino Linotype" w:eastAsia="Palatino Linotype" w:hAnsi="Palatino Linotype" w:cs="Palatino Linotype"/>
          <w:b/>
          <w:i/>
          <w:color w:val="000000"/>
          <w:sz w:val="22"/>
          <w:szCs w:val="22"/>
        </w:rPr>
        <w:t>que</w:t>
      </w:r>
      <w:proofErr w:type="gramEnd"/>
      <w:r w:rsidRPr="00003419">
        <w:rPr>
          <w:rFonts w:ascii="Palatino Linotype" w:eastAsia="Palatino Linotype" w:hAnsi="Palatino Linotype" w:cs="Palatino Linotype"/>
          <w:b/>
          <w:i/>
          <w:color w:val="000000"/>
          <w:sz w:val="22"/>
          <w:szCs w:val="22"/>
        </w:rPr>
        <w:t xml:space="preserve"> en ejercicio de las atribuciones conferidas, se encuentre en posesión de los Sujetos Obligados.” </w:t>
      </w:r>
      <w:r w:rsidRPr="00003419">
        <w:rPr>
          <w:rFonts w:ascii="Palatino Linotype" w:eastAsia="Palatino Linotype" w:hAnsi="Palatino Linotype" w:cs="Palatino Linotype"/>
          <w:i/>
          <w:color w:val="000000"/>
          <w:sz w:val="22"/>
          <w:szCs w:val="22"/>
        </w:rPr>
        <w:t>(Énfasis añadido)</w:t>
      </w:r>
    </w:p>
    <w:p w14:paraId="6A21BDCD" w14:textId="77777777" w:rsidR="009B2285" w:rsidRPr="00003419" w:rsidRDefault="00772DE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De ahí que el </w:t>
      </w:r>
      <w:r w:rsidRPr="00003419">
        <w:rPr>
          <w:rFonts w:ascii="Palatino Linotype" w:eastAsia="Palatino Linotype" w:hAnsi="Palatino Linotype" w:cs="Palatino Linotype"/>
          <w:b/>
          <w:color w:val="000000"/>
          <w:sz w:val="22"/>
          <w:szCs w:val="22"/>
        </w:rPr>
        <w:t>Sujeto Obligado</w:t>
      </w:r>
      <w:r w:rsidRPr="00003419">
        <w:rPr>
          <w:rFonts w:ascii="Palatino Linotype" w:eastAsia="Palatino Linotype" w:hAnsi="Palatino Linotype" w:cs="Palatino Linotype"/>
          <w:color w:val="000000"/>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B7B5AB5" w14:textId="77777777" w:rsidR="009B2285" w:rsidRPr="00003419" w:rsidRDefault="00772DE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lastRenderedPageBreak/>
        <w:t xml:space="preserve">Ahora bien, para profundizar en el estudio del presente asunto, es conveniente recordar </w:t>
      </w:r>
      <w:proofErr w:type="gramStart"/>
      <w:r w:rsidRPr="00003419">
        <w:rPr>
          <w:rFonts w:ascii="Palatino Linotype" w:eastAsia="Palatino Linotype" w:hAnsi="Palatino Linotype" w:cs="Palatino Linotype"/>
          <w:color w:val="000000"/>
          <w:sz w:val="22"/>
          <w:szCs w:val="22"/>
        </w:rPr>
        <w:t>que</w:t>
      </w:r>
      <w:proofErr w:type="gramEnd"/>
      <w:r w:rsidRPr="00003419">
        <w:rPr>
          <w:rFonts w:ascii="Palatino Linotype" w:eastAsia="Palatino Linotype" w:hAnsi="Palatino Linotype" w:cs="Palatino Linotype"/>
          <w:color w:val="000000"/>
          <w:sz w:val="22"/>
          <w:szCs w:val="22"/>
        </w:rPr>
        <w:t xml:space="preserve"> de un análisis a la solicitud de información, se advierte que la parte solicitante requirió al </w:t>
      </w:r>
      <w:r w:rsidRPr="00003419">
        <w:rPr>
          <w:rFonts w:ascii="Palatino Linotype" w:eastAsia="Palatino Linotype" w:hAnsi="Palatino Linotype" w:cs="Palatino Linotype"/>
          <w:b/>
          <w:color w:val="000000"/>
          <w:sz w:val="22"/>
          <w:szCs w:val="22"/>
        </w:rPr>
        <w:t>Sujeto Obligado</w:t>
      </w:r>
      <w:r w:rsidRPr="00003419">
        <w:rPr>
          <w:rFonts w:ascii="Palatino Linotype" w:eastAsia="Palatino Linotype" w:hAnsi="Palatino Linotype" w:cs="Palatino Linotype"/>
          <w:color w:val="000000"/>
          <w:sz w:val="22"/>
          <w:szCs w:val="22"/>
        </w:rPr>
        <w:t>, le proporcionara lo siguiente:</w:t>
      </w:r>
    </w:p>
    <w:p w14:paraId="3653A78C" w14:textId="77777777" w:rsidR="009B2285" w:rsidRPr="00003419" w:rsidRDefault="00772DEA">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color w:val="000000"/>
          <w:sz w:val="22"/>
          <w:szCs w:val="22"/>
        </w:rPr>
      </w:pPr>
      <w:r w:rsidRPr="00003419">
        <w:rPr>
          <w:rFonts w:ascii="Palatino Linotype" w:eastAsia="Palatino Linotype" w:hAnsi="Palatino Linotype" w:cs="Palatino Linotype"/>
          <w:b/>
          <w:color w:val="000000"/>
          <w:sz w:val="22"/>
          <w:szCs w:val="22"/>
        </w:rPr>
        <w:t>1. El nombre de los vecinos qué participan en las jornadas de Toluca ponte guapa.</w:t>
      </w:r>
    </w:p>
    <w:p w14:paraId="424F7EE0" w14:textId="77777777" w:rsidR="009B2285" w:rsidRPr="00003419" w:rsidRDefault="00772DEA">
      <w:pPr>
        <w:pBdr>
          <w:top w:val="nil"/>
          <w:left w:val="nil"/>
          <w:bottom w:val="nil"/>
          <w:right w:val="nil"/>
          <w:between w:val="nil"/>
        </w:pBdr>
        <w:spacing w:before="240" w:after="240" w:line="360" w:lineRule="auto"/>
        <w:ind w:left="567" w:right="1041"/>
        <w:jc w:val="both"/>
        <w:rPr>
          <w:rFonts w:ascii="Palatino Linotype" w:eastAsia="Palatino Linotype" w:hAnsi="Palatino Linotype" w:cs="Palatino Linotype"/>
          <w:b/>
          <w:color w:val="000000"/>
          <w:sz w:val="22"/>
          <w:szCs w:val="22"/>
        </w:rPr>
      </w:pPr>
      <w:r w:rsidRPr="00003419">
        <w:rPr>
          <w:rFonts w:ascii="Palatino Linotype" w:eastAsia="Palatino Linotype" w:hAnsi="Palatino Linotype" w:cs="Palatino Linotype"/>
          <w:b/>
          <w:color w:val="000000"/>
          <w:sz w:val="22"/>
          <w:szCs w:val="22"/>
        </w:rPr>
        <w:t xml:space="preserve"> 2. El sueldo qué se les dará </w:t>
      </w:r>
    </w:p>
    <w:p w14:paraId="7EC3291E" w14:textId="77777777" w:rsidR="009B2285" w:rsidRPr="00003419" w:rsidRDefault="00772DEA">
      <w:pPr>
        <w:pBdr>
          <w:top w:val="nil"/>
          <w:left w:val="nil"/>
          <w:bottom w:val="nil"/>
          <w:right w:val="nil"/>
          <w:between w:val="nil"/>
        </w:pBdr>
        <w:spacing w:before="240" w:after="240" w:line="360" w:lineRule="auto"/>
        <w:ind w:left="567" w:right="1041"/>
        <w:jc w:val="both"/>
        <w:rPr>
          <w:rFonts w:ascii="Palatino Linotype" w:eastAsia="Palatino Linotype" w:hAnsi="Palatino Linotype" w:cs="Palatino Linotype"/>
          <w:b/>
          <w:color w:val="000000"/>
          <w:sz w:val="22"/>
          <w:szCs w:val="22"/>
        </w:rPr>
      </w:pPr>
      <w:r w:rsidRPr="00003419">
        <w:rPr>
          <w:rFonts w:ascii="Palatino Linotype" w:eastAsia="Palatino Linotype" w:hAnsi="Palatino Linotype" w:cs="Palatino Linotype"/>
          <w:b/>
          <w:color w:val="000000"/>
          <w:sz w:val="22"/>
          <w:szCs w:val="22"/>
        </w:rPr>
        <w:t xml:space="preserve">3. En que colonia </w:t>
      </w:r>
      <w:proofErr w:type="spellStart"/>
      <w:r w:rsidRPr="00003419">
        <w:rPr>
          <w:rFonts w:ascii="Palatino Linotype" w:eastAsia="Palatino Linotype" w:hAnsi="Palatino Linotype" w:cs="Palatino Linotype"/>
          <w:b/>
          <w:color w:val="000000"/>
          <w:sz w:val="22"/>
          <w:szCs w:val="22"/>
        </w:rPr>
        <w:t>esta</w:t>
      </w:r>
      <w:proofErr w:type="spellEnd"/>
      <w:r w:rsidRPr="00003419">
        <w:rPr>
          <w:rFonts w:ascii="Palatino Linotype" w:eastAsia="Palatino Linotype" w:hAnsi="Palatino Linotype" w:cs="Palatino Linotype"/>
          <w:b/>
          <w:color w:val="000000"/>
          <w:sz w:val="22"/>
          <w:szCs w:val="22"/>
        </w:rPr>
        <w:t xml:space="preserve"> el programa </w:t>
      </w:r>
    </w:p>
    <w:p w14:paraId="200D6A9F" w14:textId="77777777" w:rsidR="009B2285" w:rsidRPr="00003419" w:rsidRDefault="00772DEA">
      <w:pPr>
        <w:pBdr>
          <w:top w:val="nil"/>
          <w:left w:val="nil"/>
          <w:bottom w:val="nil"/>
          <w:right w:val="nil"/>
          <w:between w:val="nil"/>
        </w:pBdr>
        <w:spacing w:before="240" w:after="240" w:line="360" w:lineRule="auto"/>
        <w:ind w:left="567" w:right="1041"/>
        <w:jc w:val="both"/>
        <w:rPr>
          <w:rFonts w:ascii="Palatino Linotype" w:eastAsia="Palatino Linotype" w:hAnsi="Palatino Linotype" w:cs="Palatino Linotype"/>
          <w:b/>
          <w:color w:val="000000"/>
          <w:sz w:val="22"/>
          <w:szCs w:val="22"/>
        </w:rPr>
      </w:pPr>
      <w:r w:rsidRPr="00003419">
        <w:rPr>
          <w:rFonts w:ascii="Palatino Linotype" w:eastAsia="Palatino Linotype" w:hAnsi="Palatino Linotype" w:cs="Palatino Linotype"/>
          <w:b/>
          <w:color w:val="000000"/>
          <w:sz w:val="22"/>
          <w:szCs w:val="22"/>
        </w:rPr>
        <w:t xml:space="preserve">4. Las rutas de los camiones de basura </w:t>
      </w:r>
    </w:p>
    <w:p w14:paraId="3DC02004" w14:textId="77777777" w:rsidR="009B2285" w:rsidRPr="00003419" w:rsidRDefault="00772DEA">
      <w:pPr>
        <w:pBdr>
          <w:top w:val="nil"/>
          <w:left w:val="nil"/>
          <w:bottom w:val="nil"/>
          <w:right w:val="nil"/>
          <w:between w:val="nil"/>
        </w:pBdr>
        <w:spacing w:before="240" w:after="240" w:line="360" w:lineRule="auto"/>
        <w:ind w:left="567" w:right="1041"/>
        <w:jc w:val="both"/>
        <w:rPr>
          <w:rFonts w:ascii="Palatino Linotype" w:eastAsia="Palatino Linotype" w:hAnsi="Palatino Linotype" w:cs="Palatino Linotype"/>
          <w:b/>
          <w:color w:val="000000"/>
          <w:sz w:val="22"/>
          <w:szCs w:val="22"/>
        </w:rPr>
      </w:pPr>
      <w:r w:rsidRPr="00003419">
        <w:rPr>
          <w:rFonts w:ascii="Palatino Linotype" w:eastAsia="Palatino Linotype" w:hAnsi="Palatino Linotype" w:cs="Palatino Linotype"/>
          <w:b/>
          <w:color w:val="000000"/>
          <w:sz w:val="22"/>
          <w:szCs w:val="22"/>
        </w:rPr>
        <w:t xml:space="preserve">5. Las facturas de los camiones </w:t>
      </w:r>
    </w:p>
    <w:p w14:paraId="0E991385" w14:textId="77777777" w:rsidR="009B2285" w:rsidRPr="00003419" w:rsidRDefault="00772DEA">
      <w:pPr>
        <w:pBdr>
          <w:top w:val="nil"/>
          <w:left w:val="nil"/>
          <w:bottom w:val="nil"/>
          <w:right w:val="nil"/>
          <w:between w:val="nil"/>
        </w:pBdr>
        <w:spacing w:before="240" w:after="240" w:line="360" w:lineRule="auto"/>
        <w:ind w:left="567" w:right="1041"/>
        <w:jc w:val="both"/>
        <w:rPr>
          <w:rFonts w:ascii="Palatino Linotype" w:eastAsia="Palatino Linotype" w:hAnsi="Palatino Linotype" w:cs="Palatino Linotype"/>
          <w:b/>
          <w:color w:val="000000"/>
          <w:sz w:val="22"/>
          <w:szCs w:val="22"/>
        </w:rPr>
      </w:pPr>
      <w:r w:rsidRPr="00003419">
        <w:rPr>
          <w:rFonts w:ascii="Palatino Linotype" w:eastAsia="Palatino Linotype" w:hAnsi="Palatino Linotype" w:cs="Palatino Linotype"/>
          <w:b/>
          <w:color w:val="000000"/>
          <w:sz w:val="22"/>
          <w:szCs w:val="22"/>
        </w:rPr>
        <w:t>6. Contrato de arrendamientos</w:t>
      </w:r>
    </w:p>
    <w:p w14:paraId="218E9588"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En respuesta a estos requerimientos de información, el</w:t>
      </w:r>
      <w:r w:rsidRPr="00003419">
        <w:rPr>
          <w:rFonts w:ascii="Palatino Linotype" w:eastAsia="Palatino Linotype" w:hAnsi="Palatino Linotype" w:cs="Palatino Linotype"/>
          <w:b/>
          <w:sz w:val="22"/>
          <w:szCs w:val="22"/>
        </w:rPr>
        <w:t xml:space="preserve"> Sujeto Obligado </w:t>
      </w:r>
      <w:r w:rsidRPr="00003419">
        <w:rPr>
          <w:rFonts w:ascii="Palatino Linotype" w:eastAsia="Palatino Linotype" w:hAnsi="Palatino Linotype" w:cs="Palatino Linotype"/>
          <w:sz w:val="22"/>
          <w:szCs w:val="22"/>
        </w:rPr>
        <w:t>se pronunció por conducto de diversas unidades administrativas en el siguiente sentido:</w:t>
      </w:r>
    </w:p>
    <w:p w14:paraId="760B4F6E"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w:t>
      </w:r>
      <w:r w:rsidRPr="00003419">
        <w:rPr>
          <w:rFonts w:ascii="Palatino Linotype" w:eastAsia="Palatino Linotype" w:hAnsi="Palatino Linotype" w:cs="Palatino Linotype"/>
          <w:b/>
          <w:sz w:val="22"/>
          <w:szCs w:val="22"/>
        </w:rPr>
        <w:t>Dirección General de Administración</w:t>
      </w:r>
      <w:r w:rsidRPr="00003419">
        <w:rPr>
          <w:rFonts w:ascii="Palatino Linotype" w:eastAsia="Palatino Linotype" w:hAnsi="Palatino Linotype" w:cs="Palatino Linotype"/>
          <w:sz w:val="22"/>
          <w:szCs w:val="22"/>
        </w:rPr>
        <w:t>: informó que después de haber realizado una búsqueda exhaustiva en los archivos de dicha Dirección y sus áreas, no se localizó la información solicitada.</w:t>
      </w:r>
    </w:p>
    <w:p w14:paraId="2AF324AD"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w:t>
      </w:r>
      <w:r w:rsidRPr="00003419">
        <w:rPr>
          <w:rFonts w:ascii="Palatino Linotype" w:eastAsia="Palatino Linotype" w:hAnsi="Palatino Linotype" w:cs="Palatino Linotype"/>
          <w:b/>
          <w:sz w:val="22"/>
          <w:szCs w:val="22"/>
        </w:rPr>
        <w:t>Tesorería Municipal</w:t>
      </w:r>
      <w:r w:rsidRPr="00003419">
        <w:rPr>
          <w:rFonts w:ascii="Palatino Linotype" w:eastAsia="Palatino Linotype" w:hAnsi="Palatino Linotype" w:cs="Palatino Linotype"/>
          <w:sz w:val="22"/>
          <w:szCs w:val="22"/>
        </w:rPr>
        <w:t>: informó que esta unidad administrativa no cuenta con la información solicitada, debido a que no forma parte de sus atribuciones, por lo que se deberá de reconducir la solicitud al área correspondiente.</w:t>
      </w:r>
    </w:p>
    <w:p w14:paraId="4CD2C21C"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Asimismo, por cuanto hace a la información solicitada referente al ejercicio fiscal 2025, se hace del conocimiento que dicha información se encuentra en proceso de integración.</w:t>
      </w:r>
    </w:p>
    <w:p w14:paraId="4C6D8E07"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lastRenderedPageBreak/>
        <w:t>-</w:t>
      </w:r>
      <w:r w:rsidRPr="00003419">
        <w:rPr>
          <w:rFonts w:ascii="Palatino Linotype" w:eastAsia="Palatino Linotype" w:hAnsi="Palatino Linotype" w:cs="Palatino Linotype"/>
          <w:b/>
          <w:sz w:val="22"/>
          <w:szCs w:val="22"/>
        </w:rPr>
        <w:t>Dirección General de Bienestar Social</w:t>
      </w:r>
      <w:r w:rsidRPr="00003419">
        <w:rPr>
          <w:rFonts w:ascii="Palatino Linotype" w:eastAsia="Palatino Linotype" w:hAnsi="Palatino Linotype" w:cs="Palatino Linotype"/>
          <w:sz w:val="22"/>
          <w:szCs w:val="22"/>
        </w:rPr>
        <w:t xml:space="preserve">: informó que en lo referente a </w:t>
      </w:r>
      <w:r w:rsidRPr="00003419">
        <w:rPr>
          <w:rFonts w:ascii="Palatino Linotype" w:eastAsia="Palatino Linotype" w:hAnsi="Palatino Linotype" w:cs="Palatino Linotype"/>
          <w:b/>
          <w:i/>
          <w:sz w:val="22"/>
          <w:szCs w:val="22"/>
        </w:rPr>
        <w:t>“El nombre de vecinos que participan en las Jornadas de Toluca ponte guapa el sueldo que se les dará por hacer el trabajo que es del presidente”</w:t>
      </w:r>
      <w:r w:rsidRPr="00003419">
        <w:rPr>
          <w:rFonts w:ascii="Palatino Linotype" w:eastAsia="Palatino Linotype" w:hAnsi="Palatino Linotype" w:cs="Palatino Linotype"/>
          <w:sz w:val="22"/>
          <w:szCs w:val="22"/>
        </w:rPr>
        <w:t xml:space="preserve"> El programa referido aún no ha iniciado, sin embargo, será ejecutado por los servidores públicos del Ayuntamiento de manera voluntaria y fuera del horario laboral, en caso de que los vecinos decidan participar, lo harán de igual manera, voluntariamente.</w:t>
      </w:r>
    </w:p>
    <w:p w14:paraId="21EE84ED"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Ahora bien, en cuanto a “</w:t>
      </w:r>
      <w:r w:rsidRPr="00003419">
        <w:rPr>
          <w:rFonts w:ascii="Palatino Linotype" w:eastAsia="Palatino Linotype" w:hAnsi="Palatino Linotype" w:cs="Palatino Linotype"/>
          <w:b/>
          <w:i/>
          <w:sz w:val="22"/>
          <w:szCs w:val="22"/>
        </w:rPr>
        <w:t>en que colonia se han implementado las jornadas de ponte guapa Toluca</w:t>
      </w:r>
      <w:r w:rsidRPr="00003419">
        <w:rPr>
          <w:rFonts w:ascii="Palatino Linotype" w:eastAsia="Palatino Linotype" w:hAnsi="Palatino Linotype" w:cs="Palatino Linotype"/>
          <w:sz w:val="22"/>
          <w:szCs w:val="22"/>
        </w:rPr>
        <w:t>” se hace del conocimiento de la o el solicitante, que se tiene programado realizar trabajo comunitario en la totalidad de delegaciones del municipio de Toluca.</w:t>
      </w:r>
    </w:p>
    <w:p w14:paraId="566E3E87"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Por </w:t>
      </w:r>
      <w:proofErr w:type="gramStart"/>
      <w:r w:rsidRPr="00003419">
        <w:rPr>
          <w:rFonts w:ascii="Palatino Linotype" w:eastAsia="Palatino Linotype" w:hAnsi="Palatino Linotype" w:cs="Palatino Linotype"/>
          <w:sz w:val="22"/>
          <w:szCs w:val="22"/>
        </w:rPr>
        <w:t>último</w:t>
      </w:r>
      <w:proofErr w:type="gramEnd"/>
      <w:r w:rsidRPr="00003419">
        <w:rPr>
          <w:rFonts w:ascii="Palatino Linotype" w:eastAsia="Palatino Linotype" w:hAnsi="Palatino Linotype" w:cs="Palatino Linotype"/>
          <w:sz w:val="22"/>
          <w:szCs w:val="22"/>
        </w:rPr>
        <w:t xml:space="preserve"> en lo que concierne a “</w:t>
      </w:r>
      <w:r w:rsidRPr="00003419">
        <w:rPr>
          <w:rFonts w:ascii="Palatino Linotype" w:eastAsia="Palatino Linotype" w:hAnsi="Palatino Linotype" w:cs="Palatino Linotype"/>
          <w:b/>
          <w:i/>
          <w:sz w:val="22"/>
          <w:szCs w:val="22"/>
        </w:rPr>
        <w:t>las rutas de los camiones de basura con las facturas de los camiones y contrato de arrendamientos</w:t>
      </w:r>
      <w:r w:rsidRPr="00003419">
        <w:rPr>
          <w:rFonts w:ascii="Palatino Linotype" w:eastAsia="Palatino Linotype" w:hAnsi="Palatino Linotype" w:cs="Palatino Linotype"/>
          <w:sz w:val="22"/>
          <w:szCs w:val="22"/>
        </w:rPr>
        <w:t>”, se hace del conocimiento de la o el solicitante, que lo solicitado no es competencia de esta unidad administrativa.</w:t>
      </w:r>
    </w:p>
    <w:p w14:paraId="5E61B75A"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w:t>
      </w:r>
      <w:r w:rsidRPr="00003419">
        <w:rPr>
          <w:rFonts w:ascii="Palatino Linotype" w:eastAsia="Palatino Linotype" w:hAnsi="Palatino Linotype" w:cs="Palatino Linotype"/>
          <w:b/>
          <w:sz w:val="22"/>
          <w:szCs w:val="22"/>
        </w:rPr>
        <w:t>Dirección General de Servicios Públicos</w:t>
      </w:r>
      <w:r w:rsidRPr="00003419">
        <w:rPr>
          <w:rFonts w:ascii="Palatino Linotype" w:eastAsia="Palatino Linotype" w:hAnsi="Palatino Linotype" w:cs="Palatino Linotype"/>
          <w:sz w:val="22"/>
          <w:szCs w:val="22"/>
        </w:rPr>
        <w:t>: informó que después de realizar una búsqueda exhaustiva y razonable en los archivos que se encuentran bajo resguardo de la dirección, se informa que no es posible remitir la información solicitada toda vez que dicha Dirección General no es quien la genera o maneje.</w:t>
      </w:r>
    </w:p>
    <w:p w14:paraId="65C3F0A1"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En esta tesitura, una vez conocida la respuesta emitida por el </w:t>
      </w:r>
      <w:r w:rsidRPr="00003419">
        <w:rPr>
          <w:rFonts w:ascii="Palatino Linotype" w:eastAsia="Palatino Linotype" w:hAnsi="Palatino Linotype" w:cs="Palatino Linotype"/>
          <w:b/>
          <w:sz w:val="22"/>
          <w:szCs w:val="22"/>
        </w:rPr>
        <w:t>Sujeto Obligado</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sz w:val="22"/>
          <w:szCs w:val="22"/>
        </w:rPr>
        <w:t>la parte Recurrente</w:t>
      </w:r>
      <w:r w:rsidRPr="00003419">
        <w:rPr>
          <w:rFonts w:ascii="Palatino Linotype" w:eastAsia="Palatino Linotype" w:hAnsi="Palatino Linotype" w:cs="Palatino Linotype"/>
          <w:sz w:val="22"/>
          <w:szCs w:val="22"/>
        </w:rPr>
        <w:t>, al no estar conforme con los términos de la misma, interpuso el recurso de revisión que nos ocupa, inconformándose medularmente por la entrega de información incompleta.</w:t>
      </w:r>
    </w:p>
    <w:p w14:paraId="28F330C6" w14:textId="77777777" w:rsidR="009B2285" w:rsidRPr="00003419" w:rsidRDefault="00772DE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Así las cosas, durante la etapa de manifestaciones e informe justificado, se tiene que el </w:t>
      </w:r>
      <w:r w:rsidRPr="00003419">
        <w:rPr>
          <w:rFonts w:ascii="Palatino Linotype" w:eastAsia="Palatino Linotype" w:hAnsi="Palatino Linotype" w:cs="Palatino Linotype"/>
          <w:b/>
          <w:color w:val="000000"/>
          <w:sz w:val="22"/>
          <w:szCs w:val="22"/>
        </w:rPr>
        <w:t>Sujeto Obligado</w:t>
      </w:r>
      <w:r w:rsidRPr="00003419">
        <w:rPr>
          <w:rFonts w:ascii="Palatino Linotype" w:eastAsia="Palatino Linotype" w:hAnsi="Palatino Linotype" w:cs="Palatino Linotype"/>
          <w:color w:val="000000"/>
          <w:sz w:val="22"/>
          <w:szCs w:val="22"/>
        </w:rPr>
        <w:t xml:space="preserve"> ratificó los términos de la respuesta inicial, mientras que </w:t>
      </w:r>
      <w:r w:rsidRPr="00003419">
        <w:rPr>
          <w:rFonts w:ascii="Palatino Linotype" w:eastAsia="Palatino Linotype" w:hAnsi="Palatino Linotype" w:cs="Palatino Linotype"/>
          <w:b/>
          <w:color w:val="000000"/>
          <w:sz w:val="22"/>
          <w:szCs w:val="22"/>
        </w:rPr>
        <w:t xml:space="preserve">la parte Recurrente </w:t>
      </w:r>
      <w:r w:rsidRPr="00003419">
        <w:rPr>
          <w:rFonts w:ascii="Palatino Linotype" w:eastAsia="Palatino Linotype" w:hAnsi="Palatino Linotype" w:cs="Palatino Linotype"/>
          <w:color w:val="000000"/>
          <w:sz w:val="22"/>
          <w:szCs w:val="22"/>
        </w:rPr>
        <w:t xml:space="preserve">fue omisa en proporcionar sus manifestaciones, por lo que se tiene por </w:t>
      </w:r>
      <w:r w:rsidRPr="00003419">
        <w:rPr>
          <w:rFonts w:ascii="Palatino Linotype" w:eastAsia="Palatino Linotype" w:hAnsi="Palatino Linotype" w:cs="Palatino Linotype"/>
          <w:color w:val="000000"/>
          <w:sz w:val="22"/>
          <w:szCs w:val="22"/>
        </w:rPr>
        <w:lastRenderedPageBreak/>
        <w:t xml:space="preserve">precluido su derecho para tal efecto </w:t>
      </w:r>
      <w:r w:rsidRPr="00003419">
        <w:rPr>
          <w:rFonts w:ascii="Palatino Linotype" w:eastAsia="Palatino Linotype" w:hAnsi="Palatino Linotype" w:cs="Palatino Linotype"/>
          <w:sz w:val="22"/>
          <w:szCs w:val="22"/>
        </w:rPr>
        <w:t>y se procede en este acto a emitir la resolución que corresponda conforme a derecho.</w:t>
      </w:r>
    </w:p>
    <w:p w14:paraId="14A2DF12"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Una vez expuestas estas consideraciones, resulta necesario subdividir el presente estudio para un mejor entendimiento, para ello tendremos los siguientes apartados:</w:t>
      </w:r>
    </w:p>
    <w:p w14:paraId="47545F6D" w14:textId="77777777" w:rsidR="009B2285" w:rsidRPr="00003419" w:rsidRDefault="00772DEA">
      <w:pPr>
        <w:numPr>
          <w:ilvl w:val="0"/>
          <w:numId w:val="2"/>
        </w:numPr>
        <w:pBdr>
          <w:top w:val="nil"/>
          <w:left w:val="nil"/>
          <w:bottom w:val="nil"/>
          <w:right w:val="nil"/>
          <w:between w:val="nil"/>
        </w:pBdr>
        <w:spacing w:before="240" w:line="360" w:lineRule="auto"/>
        <w:ind w:left="567" w:hanging="141"/>
        <w:jc w:val="both"/>
        <w:rPr>
          <w:rFonts w:ascii="Palatino Linotype" w:eastAsia="Palatino Linotype" w:hAnsi="Palatino Linotype" w:cs="Palatino Linotype"/>
          <w:b/>
          <w:color w:val="000000"/>
          <w:sz w:val="22"/>
          <w:szCs w:val="22"/>
        </w:rPr>
      </w:pPr>
      <w:r w:rsidRPr="00003419">
        <w:rPr>
          <w:rFonts w:ascii="Palatino Linotype" w:eastAsia="Palatino Linotype" w:hAnsi="Palatino Linotype" w:cs="Palatino Linotype"/>
          <w:b/>
          <w:color w:val="000000"/>
          <w:sz w:val="22"/>
          <w:szCs w:val="22"/>
        </w:rPr>
        <w:t>Del programa “Toluca se pone guapa”</w:t>
      </w:r>
    </w:p>
    <w:p w14:paraId="0ADDA0AF" w14:textId="77777777" w:rsidR="009B2285" w:rsidRPr="00003419" w:rsidRDefault="00772DEA">
      <w:pPr>
        <w:numPr>
          <w:ilvl w:val="0"/>
          <w:numId w:val="2"/>
        </w:numPr>
        <w:pBdr>
          <w:top w:val="nil"/>
          <w:left w:val="nil"/>
          <w:bottom w:val="nil"/>
          <w:right w:val="nil"/>
          <w:between w:val="nil"/>
        </w:pBdr>
        <w:spacing w:line="360" w:lineRule="auto"/>
        <w:ind w:left="567" w:hanging="141"/>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b/>
          <w:color w:val="000000"/>
          <w:sz w:val="22"/>
          <w:szCs w:val="22"/>
        </w:rPr>
        <w:t>De lo concerniente a los camiones y rutas de recolección de basura</w:t>
      </w:r>
    </w:p>
    <w:p w14:paraId="736A0302" w14:textId="77777777" w:rsidR="009B2285" w:rsidRPr="00003419" w:rsidRDefault="009B2285">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sz w:val="22"/>
          <w:szCs w:val="22"/>
        </w:rPr>
      </w:pPr>
    </w:p>
    <w:p w14:paraId="45024EB9" w14:textId="77777777" w:rsidR="009B2285" w:rsidRPr="00003419" w:rsidRDefault="00772DEA">
      <w:pPr>
        <w:numPr>
          <w:ilvl w:val="0"/>
          <w:numId w:val="3"/>
        </w:numPr>
        <w:pBdr>
          <w:top w:val="nil"/>
          <w:left w:val="nil"/>
          <w:bottom w:val="nil"/>
          <w:right w:val="nil"/>
          <w:between w:val="nil"/>
        </w:pBdr>
        <w:spacing w:after="240" w:line="360" w:lineRule="auto"/>
        <w:ind w:left="0" w:hanging="284"/>
        <w:jc w:val="both"/>
        <w:rPr>
          <w:rFonts w:ascii="Palatino Linotype" w:eastAsia="Palatino Linotype" w:hAnsi="Palatino Linotype" w:cs="Palatino Linotype"/>
          <w:b/>
          <w:color w:val="000000"/>
          <w:sz w:val="22"/>
          <w:szCs w:val="22"/>
        </w:rPr>
      </w:pPr>
      <w:r w:rsidRPr="00003419">
        <w:rPr>
          <w:rFonts w:ascii="Palatino Linotype" w:eastAsia="Palatino Linotype" w:hAnsi="Palatino Linotype" w:cs="Palatino Linotype"/>
          <w:b/>
          <w:color w:val="000000"/>
          <w:sz w:val="22"/>
          <w:szCs w:val="22"/>
        </w:rPr>
        <w:t>Del programa “Toluca se pone guapa”:</w:t>
      </w:r>
    </w:p>
    <w:p w14:paraId="0492F7BC"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En primera instancia debe resaltarse que el presente apartado comprenderá los siguientes puntos:</w:t>
      </w:r>
    </w:p>
    <w:p w14:paraId="1536A9B0" w14:textId="77777777" w:rsidR="009B2285" w:rsidRPr="00003419" w:rsidRDefault="00772DEA">
      <w:pPr>
        <w:spacing w:before="240" w:after="240" w:line="360" w:lineRule="auto"/>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1. El nombre de los vecinos qué participan en las jornadas de Toluca ponte guapa.</w:t>
      </w:r>
    </w:p>
    <w:p w14:paraId="6D1875DD" w14:textId="77777777" w:rsidR="009B2285" w:rsidRPr="00003419" w:rsidRDefault="00772DEA">
      <w:pPr>
        <w:spacing w:before="240" w:after="240" w:line="360" w:lineRule="auto"/>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 xml:space="preserve"> 2. El sueldo qué se les dará </w:t>
      </w:r>
    </w:p>
    <w:p w14:paraId="5E6E9093" w14:textId="77777777" w:rsidR="009B2285" w:rsidRPr="00003419" w:rsidRDefault="00772DEA">
      <w:pPr>
        <w:spacing w:before="240" w:after="240" w:line="360" w:lineRule="auto"/>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 xml:space="preserve">3. En que colonia está el programa </w:t>
      </w:r>
    </w:p>
    <w:p w14:paraId="52AD49D1"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En lo tocante a este punto, debemos señalar que si bien se localizó una nota periodística que expresa que </w:t>
      </w:r>
      <w:r w:rsidRPr="00003419">
        <w:rPr>
          <w:rFonts w:ascii="Palatino Linotype" w:eastAsia="Palatino Linotype" w:hAnsi="Palatino Linotype" w:cs="Palatino Linotype"/>
          <w:b/>
          <w:sz w:val="22"/>
          <w:szCs w:val="22"/>
        </w:rPr>
        <w:t>el programa “Toluca se pone guapa” inició desde el 02 de enero de 2025</w:t>
      </w:r>
      <w:r w:rsidRPr="00003419">
        <w:rPr>
          <w:rFonts w:ascii="Palatino Linotype" w:eastAsia="Palatino Linotype" w:hAnsi="Palatino Linotype" w:cs="Palatino Linotype"/>
          <w:sz w:val="22"/>
          <w:szCs w:val="22"/>
        </w:rPr>
        <w:t>, para</w:t>
      </w:r>
      <w:r w:rsidRPr="00003419">
        <w:rPr>
          <w:rFonts w:ascii="Palatino Linotype" w:eastAsia="Palatino Linotype" w:hAnsi="Palatino Linotype" w:cs="Palatino Linotype"/>
          <w:b/>
          <w:sz w:val="22"/>
          <w:szCs w:val="22"/>
        </w:rPr>
        <w:t xml:space="preserve"> </w:t>
      </w:r>
      <w:r w:rsidRPr="00003419">
        <w:rPr>
          <w:rFonts w:ascii="Palatino Linotype" w:eastAsia="Palatino Linotype" w:hAnsi="Palatino Linotype" w:cs="Palatino Linotype"/>
          <w:sz w:val="22"/>
          <w:szCs w:val="22"/>
        </w:rPr>
        <w:t>mejor proveer del presente análisis, se inserta a continuación dicho indicio:</w:t>
      </w:r>
    </w:p>
    <w:p w14:paraId="5CF5BEC6" w14:textId="77777777" w:rsidR="009B2285" w:rsidRPr="00003419" w:rsidRDefault="00772DEA">
      <w:pPr>
        <w:spacing w:before="240" w:after="240" w:line="276" w:lineRule="auto"/>
        <w:ind w:left="567" w:right="900"/>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b/>
          <w:i/>
          <w:sz w:val="22"/>
          <w:szCs w:val="22"/>
        </w:rPr>
        <w:t>“La ciudad arranca el año con programa Toluca se pone guapa</w:t>
      </w:r>
    </w:p>
    <w:p w14:paraId="5AA4A8B1" w14:textId="77777777" w:rsidR="009B2285" w:rsidRPr="00003419" w:rsidRDefault="00772DEA">
      <w:pPr>
        <w:spacing w:before="240" w:after="240" w:line="276" w:lineRule="auto"/>
        <w:ind w:left="567" w:right="900"/>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Localizable en la liga electrónica </w:t>
      </w:r>
      <w:hyperlink r:id="rId9">
        <w:r w:rsidRPr="00003419">
          <w:rPr>
            <w:rFonts w:ascii="Palatino Linotype" w:eastAsia="Palatino Linotype" w:hAnsi="Palatino Linotype" w:cs="Palatino Linotype"/>
            <w:color w:val="0000FF"/>
            <w:sz w:val="22"/>
            <w:szCs w:val="22"/>
            <w:u w:val="single"/>
          </w:rPr>
          <w:t>https://www.comunicacionxxi.com.mx/blogs/post/arranca-el-agno-programa-toluca-se-pone-guapa</w:t>
        </w:r>
      </w:hyperlink>
      <w:r w:rsidRPr="00003419">
        <w:rPr>
          <w:rFonts w:ascii="Palatino Linotype" w:eastAsia="Palatino Linotype" w:hAnsi="Palatino Linotype" w:cs="Palatino Linotype"/>
          <w:sz w:val="22"/>
          <w:szCs w:val="22"/>
        </w:rPr>
        <w:t xml:space="preserve"> </w:t>
      </w:r>
    </w:p>
    <w:p w14:paraId="79E86451"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Estrategia integral que marca un antes y un después en la gestión pública</w:t>
      </w:r>
    </w:p>
    <w:p w14:paraId="635D6558" w14:textId="77777777" w:rsidR="009B2285" w:rsidRPr="00003419" w:rsidRDefault="00772DEA">
      <w:pPr>
        <w:spacing w:before="240" w:after="240" w:line="276" w:lineRule="auto"/>
        <w:ind w:left="567" w:right="900"/>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i/>
          <w:sz w:val="22"/>
          <w:szCs w:val="22"/>
        </w:rPr>
        <w:t xml:space="preserve">* </w:t>
      </w:r>
      <w:r w:rsidRPr="00003419">
        <w:rPr>
          <w:rFonts w:ascii="Palatino Linotype" w:eastAsia="Palatino Linotype" w:hAnsi="Palatino Linotype" w:cs="Palatino Linotype"/>
          <w:b/>
          <w:i/>
          <w:sz w:val="22"/>
          <w:szCs w:val="22"/>
        </w:rPr>
        <w:t>Actuarán brigadas multidisciplinarias en colonias, avenidas y barrios</w:t>
      </w:r>
    </w:p>
    <w:p w14:paraId="1105CCCB"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lastRenderedPageBreak/>
        <w:t xml:space="preserve">Toluca, Méx. - Con el firme propósito de transformar la ciudad y elevar la calidad de vida de sus familias, el presidente municipal, Ricardo Moreno Bastida, puso en marcha el programa "Toluca se pone guapa". </w:t>
      </w:r>
    </w:p>
    <w:p w14:paraId="268E49D6"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t>En el primer día de trabajo en campo, esta ambiciosa estrategia integral marca un antes y un después en la gestión pública, que apuesta por la unión entre gobierno, dependencias y ciudadanía</w:t>
      </w:r>
      <w:r w:rsidRPr="00003419">
        <w:rPr>
          <w:rFonts w:ascii="Palatino Linotype" w:eastAsia="Palatino Linotype" w:hAnsi="Palatino Linotype" w:cs="Palatino Linotype"/>
          <w:i/>
          <w:sz w:val="22"/>
          <w:szCs w:val="22"/>
        </w:rPr>
        <w:t xml:space="preserve"> para recuperar la funcionalidad de la capital, destacó el primer edil. </w:t>
      </w:r>
    </w:p>
    <w:p w14:paraId="3BB35229"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Cada acción está orientada a optimizar los servicios públicos y fortalecer el tejido social, para demostrar que el progreso es posible cuando se trabaja de manera conjunta y decidida.</w:t>
      </w:r>
    </w:p>
    <w:p w14:paraId="6963CA4E"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El Programa rompe con la dinámica tradicional de trabajos aislados, al implementar brigadas multidisciplinarias que actúan de manera sistémica en colonias, avenidas y barrios.</w:t>
      </w:r>
    </w:p>
    <w:p w14:paraId="34550341"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En la avenida Alpinismo comenzó el progreso que beneficiará a más de 30 mil habitantes de las delegaciones de San Buenaventura, </w:t>
      </w:r>
      <w:proofErr w:type="spellStart"/>
      <w:r w:rsidRPr="00003419">
        <w:rPr>
          <w:rFonts w:ascii="Palatino Linotype" w:eastAsia="Palatino Linotype" w:hAnsi="Palatino Linotype" w:cs="Palatino Linotype"/>
          <w:i/>
          <w:sz w:val="22"/>
          <w:szCs w:val="22"/>
        </w:rPr>
        <w:t>Cacalomacán</w:t>
      </w:r>
      <w:proofErr w:type="spellEnd"/>
      <w:r w:rsidRPr="00003419">
        <w:rPr>
          <w:rFonts w:ascii="Palatino Linotype" w:eastAsia="Palatino Linotype" w:hAnsi="Palatino Linotype" w:cs="Palatino Linotype"/>
          <w:i/>
          <w:sz w:val="22"/>
          <w:szCs w:val="22"/>
        </w:rPr>
        <w:t xml:space="preserve"> y San Antonio Buenavista.</w:t>
      </w:r>
    </w:p>
    <w:p w14:paraId="3C6AA430"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Las labores se realizarán en dos mil 99 metros en el que transita un vehicular de más de dos mil automóviles diarios.</w:t>
      </w:r>
    </w:p>
    <w:p w14:paraId="62299B87"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El </w:t>
      </w:r>
      <w:proofErr w:type="gramStart"/>
      <w:r w:rsidRPr="00003419">
        <w:rPr>
          <w:rFonts w:ascii="Palatino Linotype" w:eastAsia="Palatino Linotype" w:hAnsi="Palatino Linotype" w:cs="Palatino Linotype"/>
          <w:i/>
          <w:sz w:val="22"/>
          <w:szCs w:val="22"/>
        </w:rPr>
        <w:t>Director General</w:t>
      </w:r>
      <w:proofErr w:type="gramEnd"/>
      <w:r w:rsidRPr="00003419">
        <w:rPr>
          <w:rFonts w:ascii="Palatino Linotype" w:eastAsia="Palatino Linotype" w:hAnsi="Palatino Linotype" w:cs="Palatino Linotype"/>
          <w:i/>
          <w:sz w:val="22"/>
          <w:szCs w:val="22"/>
        </w:rPr>
        <w:t xml:space="preserve"> de Obras Públicas, Maximino Bueno Gutiérrez, informó sobre las acciones de rehabilitación y mantenimiento que incluyen mapeo, bacheo, limpieza de camellones, reparación de luminarias, balizamiento y la colocación de una carpeta asfáltica para mejorar la durabilidad del área de rodamiento.</w:t>
      </w:r>
    </w:p>
    <w:p w14:paraId="71407EEE"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Posteriormente, el alcalde se trasladó a la avenida Independencia esquina </w:t>
      </w:r>
      <w:proofErr w:type="spellStart"/>
      <w:r w:rsidRPr="00003419">
        <w:rPr>
          <w:rFonts w:ascii="Palatino Linotype" w:eastAsia="Palatino Linotype" w:hAnsi="Palatino Linotype" w:cs="Palatino Linotype"/>
          <w:i/>
          <w:sz w:val="22"/>
          <w:szCs w:val="22"/>
        </w:rPr>
        <w:t>Xinantécatl</w:t>
      </w:r>
      <w:proofErr w:type="spellEnd"/>
      <w:r w:rsidRPr="00003419">
        <w:rPr>
          <w:rFonts w:ascii="Palatino Linotype" w:eastAsia="Palatino Linotype" w:hAnsi="Palatino Linotype" w:cs="Palatino Linotype"/>
          <w:i/>
          <w:sz w:val="22"/>
          <w:szCs w:val="22"/>
        </w:rPr>
        <w:t xml:space="preserve"> delegación Santiago Tlacotepec para dar inicio a los trabajos de bacheo superficial y profundo en avenida de conectividad y movilidad para las delegaciones de San Juan Tilapa, Capultitlán y Tlacotepec, lo que favorecerá más del 70% de los habitantes de la zona sur del municipio. </w:t>
      </w:r>
    </w:p>
    <w:p w14:paraId="52525816"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lastRenderedPageBreak/>
        <w:t>Como parte del esfuerzo por construir una ciudad más resiliente y segura, especialmente para niñas y mujeres, se llevará a cabo la reparación de luminarias en este punto.</w:t>
      </w:r>
    </w:p>
    <w:p w14:paraId="3C0A25ED"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Moreno Bastida cerró una intensa gira de trabajo en la delegación San Mateo Oxtotitlán, con la supervisión del </w:t>
      </w:r>
      <w:proofErr w:type="spellStart"/>
      <w:r w:rsidRPr="00003419">
        <w:rPr>
          <w:rFonts w:ascii="Palatino Linotype" w:eastAsia="Palatino Linotype" w:hAnsi="Palatino Linotype" w:cs="Palatino Linotype"/>
          <w:i/>
          <w:sz w:val="22"/>
          <w:szCs w:val="22"/>
        </w:rPr>
        <w:t>reencarpetamiento</w:t>
      </w:r>
      <w:proofErr w:type="spellEnd"/>
      <w:r w:rsidRPr="00003419">
        <w:rPr>
          <w:rFonts w:ascii="Palatino Linotype" w:eastAsia="Palatino Linotype" w:hAnsi="Palatino Linotype" w:cs="Palatino Linotype"/>
          <w:i/>
          <w:sz w:val="22"/>
          <w:szCs w:val="22"/>
        </w:rPr>
        <w:t xml:space="preserve"> de un tramo de la calle Agustín Melgar y el inicio de la atención integral a la vía Filiberto Navas, acceso principal al Parque Sierra Morelos.</w:t>
      </w:r>
    </w:p>
    <w:p w14:paraId="6C5DB815"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En donde en presencia de vecinos y autoridades auxiliares y municipales, el primer edil convocó a la ciudadanía a sumarse a este esfuerzo colectivo que busca posicionar a Toluca como </w:t>
      </w:r>
      <w:proofErr w:type="gramStart"/>
      <w:r w:rsidRPr="00003419">
        <w:rPr>
          <w:rFonts w:ascii="Palatino Linotype" w:eastAsia="Palatino Linotype" w:hAnsi="Palatino Linotype" w:cs="Palatino Linotype"/>
          <w:i/>
          <w:sz w:val="22"/>
          <w:szCs w:val="22"/>
        </w:rPr>
        <w:t>la  Capital</w:t>
      </w:r>
      <w:proofErr w:type="gramEnd"/>
      <w:r w:rsidRPr="00003419">
        <w:rPr>
          <w:rFonts w:ascii="Palatino Linotype" w:eastAsia="Palatino Linotype" w:hAnsi="Palatino Linotype" w:cs="Palatino Linotype"/>
          <w:i/>
          <w:sz w:val="22"/>
          <w:szCs w:val="22"/>
        </w:rPr>
        <w:t xml:space="preserve"> de Oportunidades y Progreso que sus habitantes merecen.”</w:t>
      </w:r>
    </w:p>
    <w:p w14:paraId="626BE64D"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No menos cierto es que de la lectura a la solicitud, se advierte que el particular requiere en estricto sentido, información respecto de la jornada en la que los vecinos participaron en conjunto con el gobierno, la cual tuvo verificativo, el </w:t>
      </w:r>
      <w:r w:rsidRPr="00003419">
        <w:rPr>
          <w:rFonts w:ascii="Palatino Linotype" w:eastAsia="Palatino Linotype" w:hAnsi="Palatino Linotype" w:cs="Palatino Linotype"/>
          <w:b/>
          <w:sz w:val="22"/>
          <w:szCs w:val="22"/>
        </w:rPr>
        <w:t>25 de enero de 2025, es decir, en una fecha posterior a la presentación de la solicitud</w:t>
      </w:r>
      <w:r w:rsidRPr="00003419">
        <w:rPr>
          <w:rFonts w:ascii="Palatino Linotype" w:eastAsia="Palatino Linotype" w:hAnsi="Palatino Linotype" w:cs="Palatino Linotype"/>
          <w:sz w:val="22"/>
          <w:szCs w:val="22"/>
        </w:rPr>
        <w:t xml:space="preserve">, para mejor proveer del presente análisis, se trae a colación la siguiente impresión de pantalla obtenida del perfil de Facebook del </w:t>
      </w:r>
      <w:proofErr w:type="gramStart"/>
      <w:r w:rsidRPr="00003419">
        <w:rPr>
          <w:rFonts w:ascii="Palatino Linotype" w:eastAsia="Palatino Linotype" w:hAnsi="Palatino Linotype" w:cs="Palatino Linotype"/>
          <w:sz w:val="22"/>
          <w:szCs w:val="22"/>
        </w:rPr>
        <w:t>Presidente</w:t>
      </w:r>
      <w:proofErr w:type="gramEnd"/>
      <w:r w:rsidRPr="00003419">
        <w:rPr>
          <w:rFonts w:ascii="Palatino Linotype" w:eastAsia="Palatino Linotype" w:hAnsi="Palatino Linotype" w:cs="Palatino Linotype"/>
          <w:sz w:val="22"/>
          <w:szCs w:val="22"/>
        </w:rPr>
        <w:t xml:space="preserve"> Municipal:</w:t>
      </w:r>
    </w:p>
    <w:p w14:paraId="606F0EBB" w14:textId="77777777" w:rsidR="009B2285" w:rsidRPr="00003419" w:rsidRDefault="00772DEA">
      <w:pPr>
        <w:spacing w:before="240" w:after="240" w:line="360" w:lineRule="auto"/>
        <w:jc w:val="center"/>
        <w:rPr>
          <w:rFonts w:ascii="Palatino Linotype" w:eastAsia="Palatino Linotype" w:hAnsi="Palatino Linotype" w:cs="Palatino Linotype"/>
          <w:sz w:val="22"/>
          <w:szCs w:val="22"/>
        </w:rPr>
      </w:pPr>
      <w:r w:rsidRPr="00003419">
        <w:rPr>
          <w:rFonts w:ascii="Palatino Linotype" w:eastAsia="Palatino Linotype" w:hAnsi="Palatino Linotype" w:cs="Palatino Linotype"/>
          <w:noProof/>
          <w:sz w:val="22"/>
          <w:szCs w:val="22"/>
        </w:rPr>
        <w:lastRenderedPageBreak/>
        <w:drawing>
          <wp:inline distT="0" distB="0" distL="0" distR="0" wp14:anchorId="46039559" wp14:editId="12854363">
            <wp:extent cx="3993217" cy="4667338"/>
            <wp:effectExtent l="0" t="0" r="0" b="0"/>
            <wp:docPr id="1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993217" cy="4667338"/>
                    </a:xfrm>
                    <a:prstGeom prst="rect">
                      <a:avLst/>
                    </a:prstGeom>
                    <a:ln/>
                  </pic:spPr>
                </pic:pic>
              </a:graphicData>
            </a:graphic>
          </wp:inline>
        </w:drawing>
      </w:r>
    </w:p>
    <w:p w14:paraId="1F951851"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Así como también en la siguiente liga electrónica: </w:t>
      </w:r>
    </w:p>
    <w:p w14:paraId="35D2A2FC" w14:textId="77777777" w:rsidR="009B2285" w:rsidRPr="00003419" w:rsidRDefault="00772DEA">
      <w:pPr>
        <w:spacing w:before="240" w:after="240" w:line="276" w:lineRule="auto"/>
        <w:ind w:left="567" w:right="900"/>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i/>
          <w:sz w:val="22"/>
          <w:szCs w:val="22"/>
        </w:rPr>
        <w:t>Se unen más de mil 900 personas para Poner Guapa a Toluca</w:t>
      </w:r>
    </w:p>
    <w:p w14:paraId="6CC362EE"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27 de enero de 2025</w:t>
      </w:r>
    </w:p>
    <w:p w14:paraId="1EB725F2" w14:textId="77777777" w:rsidR="009B2285" w:rsidRPr="00003419" w:rsidRDefault="000269AC">
      <w:pPr>
        <w:spacing w:before="240" w:after="240" w:line="276" w:lineRule="auto"/>
        <w:ind w:left="567" w:right="900"/>
        <w:jc w:val="both"/>
        <w:rPr>
          <w:rFonts w:ascii="Palatino Linotype" w:eastAsia="Palatino Linotype" w:hAnsi="Palatino Linotype" w:cs="Palatino Linotype"/>
          <w:sz w:val="22"/>
          <w:szCs w:val="22"/>
        </w:rPr>
      </w:pPr>
      <w:hyperlink r:id="rId11">
        <w:r w:rsidR="00772DEA" w:rsidRPr="00003419">
          <w:rPr>
            <w:rFonts w:ascii="Palatino Linotype" w:eastAsia="Palatino Linotype" w:hAnsi="Palatino Linotype" w:cs="Palatino Linotype"/>
            <w:color w:val="0000FF"/>
            <w:sz w:val="22"/>
            <w:szCs w:val="22"/>
            <w:u w:val="single"/>
          </w:rPr>
          <w:t>https://asisucede.com.mx/se-unen-mas-de-mil-900-personas-para-poner-guapa-a-toluca/</w:t>
        </w:r>
      </w:hyperlink>
      <w:r w:rsidR="00772DEA" w:rsidRPr="00003419">
        <w:rPr>
          <w:rFonts w:ascii="Palatino Linotype" w:eastAsia="Palatino Linotype" w:hAnsi="Palatino Linotype" w:cs="Palatino Linotype"/>
          <w:sz w:val="22"/>
          <w:szCs w:val="22"/>
        </w:rPr>
        <w:t xml:space="preserve"> </w:t>
      </w:r>
    </w:p>
    <w:p w14:paraId="73377486"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La capital vivió una jornada de trabajo y compromiso ciudadano con el subprograma Yo pongo guapa a Toluca, que en esta ocasión abarcó 26 delegaciones atendidas de manera simultánea. </w:t>
      </w:r>
    </w:p>
    <w:p w14:paraId="317E410D"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lastRenderedPageBreak/>
        <w:t xml:space="preserve">De forma simultánea se limpiaron 26 delegaciones </w:t>
      </w:r>
    </w:p>
    <w:p w14:paraId="539259AD"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La actividad, que convocó a servidores públicos, familias, autoridades auxiliares y liderazgos, logró reunir a más de mil 900 participantes en una muestra de unidad y el ánimo de querer transformar la ciudad.  </w:t>
      </w:r>
    </w:p>
    <w:p w14:paraId="30872667"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Una de las intervenciones más destacadas tuvo lugar en el perímetro del bordo San Jerónimo, un espacio al que llegan aves migratorias como pelícanos y ahora luce limpio, listo para estos visitantes. </w:t>
      </w:r>
    </w:p>
    <w:p w14:paraId="4BD90E1E"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A esta tarea se sumaron voluntarios de la Cruz Roja, la Escuela de Pentatlón Osos Grises y colaboradores de FEMSA, personal de FAAPAUAEM y la Facultad de Medicina quienes aportaron su esfuerzo para recuperar espacios públicos. </w:t>
      </w:r>
    </w:p>
    <w:p w14:paraId="60FF606D"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Entre las labores realizadas se limpiaron y balizaron 3.1 kilómetros de guarniciones, mientras que en calles se barrió y recolectó basura en un tramo de 6.2 kilómetros.</w:t>
      </w:r>
    </w:p>
    <w:p w14:paraId="40231309"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Las acciones incluyeron el mantenimiento de áreas verdes, canchas deportivas, parques públicos y plazas delegacionales, además de la pintura de guarniciones, desazolve de rejillas pluviales y el retiro de cableado obsoleto.”  </w:t>
      </w:r>
    </w:p>
    <w:p w14:paraId="1C9E0727"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Por consiguiente, con los indicios previamente insertados, podemos concluir que si bien la fecha de la solicitud, ya se encontraba activo el programa “Toluca se pone guapa”, no menos cierto es que la jornada comunitaria en la que participaron vecinos y el Ayuntamiento de Toluca se dio de manera posterior a la solicitud, por lo que ante esta circunstancia estaríamos ante hechos notorios, los cuales encuentran sustento conforme a </w:t>
      </w:r>
      <w:r w:rsidRPr="00003419">
        <w:rPr>
          <w:rFonts w:ascii="Palatino Linotype" w:eastAsia="Palatino Linotype" w:hAnsi="Palatino Linotype" w:cs="Palatino Linotype"/>
          <w:color w:val="000000"/>
          <w:sz w:val="22"/>
          <w:szCs w:val="22"/>
        </w:rPr>
        <w:t>las siguientes tesis jurisprudenciales</w:t>
      </w:r>
      <w:r w:rsidRPr="00003419">
        <w:rPr>
          <w:rFonts w:ascii="Palatino Linotype" w:eastAsia="Palatino Linotype" w:hAnsi="Palatino Linotype" w:cs="Palatino Linotype"/>
          <w:sz w:val="22"/>
          <w:szCs w:val="22"/>
        </w:rPr>
        <w:t>:</w:t>
      </w:r>
    </w:p>
    <w:p w14:paraId="7585368F" w14:textId="77777777" w:rsidR="009B2285" w:rsidRPr="00003419" w:rsidRDefault="009B2285">
      <w:pPr>
        <w:spacing w:line="360" w:lineRule="auto"/>
        <w:jc w:val="both"/>
        <w:rPr>
          <w:rFonts w:ascii="Palatino Linotype" w:eastAsia="Palatino Linotype" w:hAnsi="Palatino Linotype" w:cs="Palatino Linotype"/>
          <w:sz w:val="22"/>
          <w:szCs w:val="22"/>
        </w:rPr>
      </w:pPr>
    </w:p>
    <w:p w14:paraId="128B1286" w14:textId="77777777" w:rsidR="009B2285" w:rsidRPr="00003419" w:rsidRDefault="00772DEA">
      <w:pPr>
        <w:ind w:left="567" w:right="616"/>
        <w:jc w:val="center"/>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b/>
          <w:i/>
          <w:sz w:val="22"/>
          <w:szCs w:val="22"/>
        </w:rPr>
        <w:t xml:space="preserve"> “HECHOS NOTORIOS. CONCEPTOS GENERAL Y JURÍDICO</w:t>
      </w:r>
    </w:p>
    <w:p w14:paraId="7C525AD8" w14:textId="77777777" w:rsidR="009B2285" w:rsidRPr="00003419" w:rsidRDefault="00772DEA">
      <w:pPr>
        <w:ind w:left="567" w:right="616"/>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t xml:space="preserve">Conforme al artículo </w:t>
      </w:r>
      <w:hyperlink r:id="rId12">
        <w:r w:rsidRPr="00003419">
          <w:rPr>
            <w:rFonts w:ascii="Palatino Linotype" w:eastAsia="Palatino Linotype" w:hAnsi="Palatino Linotype" w:cs="Palatino Linotype"/>
            <w:b/>
            <w:i/>
            <w:sz w:val="22"/>
            <w:szCs w:val="22"/>
          </w:rPr>
          <w:t>88 del Código Federal de Procedimientos Civiles</w:t>
        </w:r>
      </w:hyperlink>
      <w:r w:rsidRPr="00003419">
        <w:rPr>
          <w:rFonts w:ascii="Palatino Linotype" w:eastAsia="Palatino Linotype" w:hAnsi="Palatino Linotype" w:cs="Palatino Linotype"/>
          <w:b/>
          <w:i/>
          <w:sz w:val="22"/>
          <w:szCs w:val="22"/>
        </w:rPr>
        <w:t xml:space="preserve"> los tribunales pueden invocar hechos </w:t>
      </w:r>
      <w:proofErr w:type="gramStart"/>
      <w:r w:rsidRPr="00003419">
        <w:rPr>
          <w:rFonts w:ascii="Palatino Linotype" w:eastAsia="Palatino Linotype" w:hAnsi="Palatino Linotype" w:cs="Palatino Linotype"/>
          <w:b/>
          <w:i/>
          <w:sz w:val="22"/>
          <w:szCs w:val="22"/>
        </w:rPr>
        <w:t>notorios</w:t>
      </w:r>
      <w:proofErr w:type="gramEnd"/>
      <w:r w:rsidRPr="00003419">
        <w:rPr>
          <w:rFonts w:ascii="Palatino Linotype" w:eastAsia="Palatino Linotype" w:hAnsi="Palatino Linotype" w:cs="Palatino Linotype"/>
          <w:b/>
          <w:i/>
          <w:sz w:val="22"/>
          <w:szCs w:val="22"/>
        </w:rPr>
        <w:t xml:space="preserve"> aunque no hayan sido alegados ni probados por las partes.</w:t>
      </w:r>
      <w:r w:rsidRPr="00003419">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003419">
        <w:rPr>
          <w:rFonts w:ascii="Palatino Linotype" w:eastAsia="Palatino Linotype" w:hAnsi="Palatino Linotype" w:cs="Palatino Linotype"/>
          <w:b/>
          <w:i/>
          <w:sz w:val="22"/>
          <w:szCs w:val="22"/>
        </w:rPr>
        <w:t xml:space="preserve">, a las vicisitudes de la vida pública actual o a circunstancias comúnmente conocidas en un determinado </w:t>
      </w:r>
      <w:r w:rsidRPr="00003419">
        <w:rPr>
          <w:rFonts w:ascii="Palatino Linotype" w:eastAsia="Palatino Linotype" w:hAnsi="Palatino Linotype" w:cs="Palatino Linotype"/>
          <w:b/>
          <w:i/>
          <w:sz w:val="22"/>
          <w:szCs w:val="22"/>
        </w:rPr>
        <w:lastRenderedPageBreak/>
        <w:t>lugar</w:t>
      </w:r>
      <w:r w:rsidRPr="00003419">
        <w:rPr>
          <w:rFonts w:ascii="Palatino Linotype" w:eastAsia="Palatino Linotype" w:hAnsi="Palatino Linotype" w:cs="Palatino Linotype"/>
          <w:i/>
          <w:sz w:val="22"/>
          <w:szCs w:val="22"/>
        </w:rPr>
        <w:t xml:space="preserve">, </w:t>
      </w:r>
      <w:r w:rsidRPr="00003419">
        <w:rPr>
          <w:rFonts w:ascii="Palatino Linotype" w:eastAsia="Palatino Linotype" w:hAnsi="Palatino Linotype" w:cs="Palatino Linotype"/>
          <w:b/>
          <w:i/>
          <w:sz w:val="22"/>
          <w:szCs w:val="22"/>
        </w:rPr>
        <w:t>de modo que toda persona de ese medio esté en condiciones de saberlo</w:t>
      </w:r>
      <w:r w:rsidRPr="00003419">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7E740B33" w14:textId="77777777" w:rsidR="009B2285" w:rsidRPr="00003419" w:rsidRDefault="009B2285">
      <w:pPr>
        <w:ind w:left="567" w:right="616"/>
        <w:rPr>
          <w:rFonts w:ascii="Palatino Linotype" w:eastAsia="Palatino Linotype" w:hAnsi="Palatino Linotype" w:cs="Palatino Linotype"/>
          <w:i/>
          <w:sz w:val="22"/>
          <w:szCs w:val="22"/>
        </w:rPr>
      </w:pPr>
    </w:p>
    <w:p w14:paraId="44DE91BF" w14:textId="77777777" w:rsidR="009B2285" w:rsidRPr="00003419" w:rsidRDefault="00772DEA">
      <w:pPr>
        <w:ind w:left="567" w:right="616"/>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298A2DB8" w14:textId="77777777" w:rsidR="009B2285" w:rsidRPr="00003419" w:rsidRDefault="00772DEA">
      <w:pPr>
        <w:ind w:left="567" w:right="616"/>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3508C3D0" w14:textId="77777777" w:rsidR="009B2285" w:rsidRPr="00003419" w:rsidRDefault="00772DEA">
      <w:pPr>
        <w:ind w:left="567" w:right="616"/>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2C4CBF7B" w14:textId="77777777" w:rsidR="009B2285" w:rsidRPr="00003419" w:rsidRDefault="009B2285">
      <w:pPr>
        <w:ind w:left="567" w:right="616"/>
        <w:jc w:val="both"/>
        <w:rPr>
          <w:rFonts w:ascii="Palatino Linotype" w:eastAsia="Palatino Linotype" w:hAnsi="Palatino Linotype" w:cs="Palatino Linotype"/>
          <w:i/>
          <w:sz w:val="22"/>
          <w:szCs w:val="22"/>
        </w:rPr>
      </w:pPr>
    </w:p>
    <w:p w14:paraId="175A9F03" w14:textId="77777777" w:rsidR="009B2285" w:rsidRPr="00003419" w:rsidRDefault="00772DEA">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color w:val="000000"/>
          <w:sz w:val="22"/>
          <w:szCs w:val="22"/>
        </w:rPr>
      </w:pPr>
      <w:r w:rsidRPr="00003419">
        <w:rPr>
          <w:rFonts w:ascii="Palatino Linotype" w:eastAsia="Palatino Linotype" w:hAnsi="Palatino Linotype" w:cs="Palatino Linotype"/>
          <w:b/>
          <w:i/>
          <w:color w:val="000000"/>
          <w:sz w:val="22"/>
          <w:szCs w:val="22"/>
        </w:rPr>
        <w:t>PÁGINAS WEB O ELECTRÓNICAS. SU CONTENIDO ES UN HECHO NOTORIO Y SUSCEPTIBLE DE SER VALORADO EN UNA DECISIÓN JUDICIAL.</w:t>
      </w:r>
      <w:r w:rsidRPr="00003419">
        <w:rPr>
          <w:color w:val="000000"/>
          <w:sz w:val="22"/>
          <w:szCs w:val="22"/>
        </w:rPr>
        <w:t xml:space="preserve"> </w:t>
      </w:r>
      <w:r w:rsidRPr="00003419">
        <w:rPr>
          <w:rFonts w:ascii="Palatino Linotype" w:eastAsia="Palatino Linotype" w:hAnsi="Palatino Linotype" w:cs="Palatino Linotype"/>
          <w:i/>
          <w:color w:val="000000"/>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003419">
        <w:rPr>
          <w:rFonts w:ascii="Palatino Linotype" w:eastAsia="Palatino Linotype" w:hAnsi="Palatino Linotype" w:cs="Palatino Linotype"/>
          <w:i/>
          <w:color w:val="000000"/>
          <w:sz w:val="22"/>
          <w:szCs w:val="22"/>
        </w:rPr>
        <w:t>Mardygras</w:t>
      </w:r>
      <w:proofErr w:type="spellEnd"/>
      <w:r w:rsidRPr="00003419">
        <w:rPr>
          <w:rFonts w:ascii="Palatino Linotype" w:eastAsia="Palatino Linotype" w:hAnsi="Palatino Linotype" w:cs="Palatino Linotype"/>
          <w:i/>
          <w:color w:val="000000"/>
          <w:sz w:val="22"/>
          <w:szCs w:val="22"/>
        </w:rPr>
        <w:t xml:space="preserve">, S.A. de C.V. 7 de diciembre de 2012. Unanimidad de votos. Ponente: Neófito López Ramos. Secretaria: Ana Lilia Osorno Arroyo. HECHO NOTORIO. LO CONSTITUYEN LOS DATOS QUE APARECEN EN LAS PÁGINAS </w:t>
      </w:r>
      <w:r w:rsidRPr="00003419">
        <w:rPr>
          <w:rFonts w:ascii="Palatino Linotype" w:eastAsia="Palatino Linotype" w:hAnsi="Palatino Linotype" w:cs="Palatino Linotype"/>
          <w:i/>
          <w:color w:val="000000"/>
          <w:sz w:val="22"/>
          <w:szCs w:val="22"/>
        </w:rPr>
        <w:lastRenderedPageBreak/>
        <w:t xml:space="preserve">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w:t>
      </w:r>
      <w:proofErr w:type="gramStart"/>
      <w:r w:rsidRPr="00003419">
        <w:rPr>
          <w:rFonts w:ascii="Palatino Linotype" w:eastAsia="Palatino Linotype" w:hAnsi="Palatino Linotype" w:cs="Palatino Linotype"/>
          <w:i/>
          <w:color w:val="000000"/>
          <w:sz w:val="22"/>
          <w:szCs w:val="22"/>
        </w:rPr>
        <w:t>Enero</w:t>
      </w:r>
      <w:proofErr w:type="gramEnd"/>
      <w:r w:rsidRPr="00003419">
        <w:rPr>
          <w:rFonts w:ascii="Palatino Linotype" w:eastAsia="Palatino Linotype" w:hAnsi="Palatino Linotype" w:cs="Palatino Linotype"/>
          <w:i/>
          <w:color w:val="000000"/>
          <w:sz w:val="22"/>
          <w:szCs w:val="22"/>
        </w:rPr>
        <w:t xml:space="preserve"> de 2009 </w:t>
      </w:r>
      <w:proofErr w:type="spellStart"/>
      <w:r w:rsidRPr="00003419">
        <w:rPr>
          <w:rFonts w:ascii="Palatino Linotype" w:eastAsia="Palatino Linotype" w:hAnsi="Palatino Linotype" w:cs="Palatino Linotype"/>
          <w:i/>
          <w:color w:val="000000"/>
          <w:sz w:val="22"/>
          <w:szCs w:val="22"/>
        </w:rPr>
        <w:t>Pag.</w:t>
      </w:r>
      <w:proofErr w:type="spellEnd"/>
      <w:r w:rsidRPr="00003419">
        <w:rPr>
          <w:rFonts w:ascii="Palatino Linotype" w:eastAsia="Palatino Linotype" w:hAnsi="Palatino Linotype" w:cs="Palatino Linotype"/>
          <w:i/>
          <w:color w:val="000000"/>
          <w:sz w:val="22"/>
          <w:szCs w:val="22"/>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0A92FAF4" w14:textId="77777777" w:rsidR="009B2285" w:rsidRPr="00003419" w:rsidRDefault="00772DEA">
      <w:pPr>
        <w:spacing w:before="240" w:after="240" w:line="360" w:lineRule="auto"/>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sz w:val="22"/>
          <w:szCs w:val="22"/>
        </w:rPr>
        <w:t xml:space="preserve">Establecido lo anterior, procedemos al análisis de la respuesta proporcionada, para tal efecto, debemos recordar que en el presente asunto, se pronunció la entonces </w:t>
      </w:r>
      <w:r w:rsidRPr="00003419">
        <w:rPr>
          <w:rFonts w:ascii="Palatino Linotype" w:eastAsia="Palatino Linotype" w:hAnsi="Palatino Linotype" w:cs="Palatino Linotype"/>
          <w:b/>
          <w:sz w:val="22"/>
          <w:szCs w:val="22"/>
        </w:rPr>
        <w:t>Dirección General de Desarrollo Social, actualmente</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sz w:val="22"/>
          <w:szCs w:val="22"/>
        </w:rPr>
        <w:t>Dirección General de Bienestar Social</w:t>
      </w:r>
      <w:r w:rsidRPr="00003419">
        <w:rPr>
          <w:rFonts w:ascii="Palatino Linotype" w:eastAsia="Palatino Linotype" w:hAnsi="Palatino Linotype" w:cs="Palatino Linotype"/>
          <w:sz w:val="22"/>
          <w:szCs w:val="22"/>
        </w:rPr>
        <w:t xml:space="preserve">, la cual manifestó que en lo referente a </w:t>
      </w:r>
      <w:r w:rsidRPr="00003419">
        <w:rPr>
          <w:rFonts w:ascii="Palatino Linotype" w:eastAsia="Palatino Linotype" w:hAnsi="Palatino Linotype" w:cs="Palatino Linotype"/>
          <w:b/>
          <w:i/>
          <w:sz w:val="22"/>
          <w:szCs w:val="22"/>
        </w:rPr>
        <w:t xml:space="preserve">“El nombre de vecinos que participan en las Jornadas de </w:t>
      </w:r>
      <w:r w:rsidRPr="00003419">
        <w:rPr>
          <w:rFonts w:ascii="Palatino Linotype" w:eastAsia="Palatino Linotype" w:hAnsi="Palatino Linotype" w:cs="Palatino Linotype"/>
          <w:b/>
          <w:i/>
          <w:sz w:val="22"/>
          <w:szCs w:val="22"/>
        </w:rPr>
        <w:lastRenderedPageBreak/>
        <w:t>Toluca ponte guapa el sueldo que se les dará…”</w:t>
      </w:r>
      <w:r w:rsidRPr="00003419">
        <w:rPr>
          <w:rFonts w:ascii="Palatino Linotype" w:eastAsia="Palatino Linotype" w:hAnsi="Palatino Linotype" w:cs="Palatino Linotype"/>
          <w:sz w:val="22"/>
          <w:szCs w:val="22"/>
        </w:rPr>
        <w:t>, el programa referido aún no ha iniciado, sin embargo, será ejecutado por los servidores públicos del Ayuntamiento de manera voluntaria y fuera del horario laboral, en caso de que los vecinos decidan participar, lo harán de igual manera, voluntariamente.</w:t>
      </w:r>
    </w:p>
    <w:p w14:paraId="43B21358"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Asimismo, por cuanto hace a lo relativo </w:t>
      </w:r>
      <w:proofErr w:type="gramStart"/>
      <w:r w:rsidRPr="00003419">
        <w:rPr>
          <w:rFonts w:ascii="Palatino Linotype" w:eastAsia="Palatino Linotype" w:hAnsi="Palatino Linotype" w:cs="Palatino Linotype"/>
          <w:sz w:val="22"/>
          <w:szCs w:val="22"/>
        </w:rPr>
        <w:t xml:space="preserve">a  </w:t>
      </w:r>
      <w:r w:rsidRPr="00003419">
        <w:rPr>
          <w:rFonts w:ascii="Palatino Linotype" w:eastAsia="Palatino Linotype" w:hAnsi="Palatino Linotype" w:cs="Palatino Linotype"/>
          <w:b/>
          <w:i/>
          <w:sz w:val="22"/>
          <w:szCs w:val="22"/>
        </w:rPr>
        <w:t>“</w:t>
      </w:r>
      <w:proofErr w:type="gramEnd"/>
      <w:r w:rsidRPr="00003419">
        <w:rPr>
          <w:rFonts w:ascii="Palatino Linotype" w:eastAsia="Palatino Linotype" w:hAnsi="Palatino Linotype" w:cs="Palatino Linotype"/>
          <w:b/>
          <w:i/>
          <w:sz w:val="22"/>
          <w:szCs w:val="22"/>
        </w:rPr>
        <w:t>en que colonia se han implementado las jornadas de ponte guapa Toluca”</w:t>
      </w:r>
      <w:r w:rsidRPr="00003419">
        <w:rPr>
          <w:rFonts w:ascii="Palatino Linotype" w:eastAsia="Palatino Linotype" w:hAnsi="Palatino Linotype" w:cs="Palatino Linotype"/>
          <w:sz w:val="22"/>
          <w:szCs w:val="22"/>
        </w:rPr>
        <w:t xml:space="preserve"> se hace del conocimiento de la o el solicitante, que se tiene programado realizar trabajo comunitario en la totalidad de delegaciones del municipio de Toluca.</w:t>
      </w:r>
    </w:p>
    <w:p w14:paraId="219CF35C" w14:textId="77777777" w:rsidR="009B2285" w:rsidRPr="00003419" w:rsidRDefault="00772DE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De un análisis a este pronunciamiento, abordamos a la conclusión de que si a la fecha de la solicitud, el </w:t>
      </w:r>
      <w:r w:rsidRPr="00003419">
        <w:rPr>
          <w:rFonts w:ascii="Palatino Linotype" w:eastAsia="Palatino Linotype" w:hAnsi="Palatino Linotype" w:cs="Palatino Linotype"/>
          <w:b/>
          <w:color w:val="000000"/>
          <w:sz w:val="22"/>
          <w:szCs w:val="22"/>
        </w:rPr>
        <w:t>Sujeto Obligado</w:t>
      </w:r>
      <w:r w:rsidRPr="00003419">
        <w:rPr>
          <w:rFonts w:ascii="Palatino Linotype" w:eastAsia="Palatino Linotype" w:hAnsi="Palatino Linotype" w:cs="Palatino Linotype"/>
          <w:color w:val="000000"/>
          <w:sz w:val="22"/>
          <w:szCs w:val="22"/>
        </w:rPr>
        <w:t xml:space="preserve"> no proporcionó información alguna es porque la jornada comunitaria entre particulares y servidores públicos aún no se llevaba a cabo, por lo tanto, resulta materialmente imposible ordenar la entrega de información, que, se insiste, a la fecha de la solicitud no se había generado; sin embrago, este Organismo Garante no quiere dejar de mencionar que ya se le indicó al particular que las personas que lleguen a participar en estas jornadas, lo harán de manera voluntaria, por lo que se infiere que no contarán con un sueldo, asimismo, manifiesta que se están contemplando a todas las delegaciones del municipio sin embargo, para el caso de que desee conocer las colonias a mayor grado de detalle, se dejan a salvo sus derechos para efecto de que presente las solicitudes que estime convenientes para efecto de obtener la información que sea de su interés, por consiguiente, no procede ordenar la entrega de información alguna, pues, se reitera que el </w:t>
      </w:r>
      <w:r w:rsidRPr="00003419">
        <w:rPr>
          <w:rFonts w:ascii="Palatino Linotype" w:eastAsia="Palatino Linotype" w:hAnsi="Palatino Linotype" w:cs="Palatino Linotype"/>
          <w:b/>
          <w:color w:val="000000"/>
          <w:sz w:val="22"/>
          <w:szCs w:val="22"/>
        </w:rPr>
        <w:t>Sujeto Obligado</w:t>
      </w:r>
      <w:r w:rsidRPr="00003419">
        <w:rPr>
          <w:rFonts w:ascii="Palatino Linotype" w:eastAsia="Palatino Linotype" w:hAnsi="Palatino Linotype" w:cs="Palatino Linotype"/>
          <w:color w:val="000000"/>
          <w:sz w:val="22"/>
          <w:szCs w:val="22"/>
        </w:rPr>
        <w:t xml:space="preserve"> ya refirió que a la fecha de la solicitud no se ha materializado el acto generador de la información, es decir, la jornada comunitaria del programa “Yo pongo guapa a Toluca”.</w:t>
      </w:r>
    </w:p>
    <w:p w14:paraId="1D30C27A" w14:textId="77777777" w:rsidR="009B2285" w:rsidRPr="00003419" w:rsidRDefault="00772DEA">
      <w:pPr>
        <w:spacing w:before="240" w:after="240" w:line="360" w:lineRule="auto"/>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B) De lo concerniente a los camiones y rutas de recolección de basura</w:t>
      </w:r>
    </w:p>
    <w:p w14:paraId="72A182AE"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Para el mejor análisis de este apartado, procederemos a subdividirlo en dos aspectos:</w:t>
      </w:r>
    </w:p>
    <w:p w14:paraId="391F4E8A" w14:textId="77777777" w:rsidR="009B2285" w:rsidRPr="00003419" w:rsidRDefault="00772DEA">
      <w:pPr>
        <w:spacing w:before="240" w:after="240" w:line="360" w:lineRule="auto"/>
        <w:ind w:left="567"/>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lastRenderedPageBreak/>
        <w:t>B.1 Las rutas de los camiones de basura</w:t>
      </w:r>
    </w:p>
    <w:p w14:paraId="0114CB65" w14:textId="77777777" w:rsidR="009B2285" w:rsidRPr="00003419" w:rsidRDefault="00772DEA">
      <w:pPr>
        <w:spacing w:before="240" w:after="240" w:line="360" w:lineRule="auto"/>
        <w:ind w:left="567"/>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B.2</w:t>
      </w:r>
      <w:r w:rsidRPr="00003419">
        <w:rPr>
          <w:b/>
        </w:rPr>
        <w:t xml:space="preserve"> </w:t>
      </w:r>
      <w:r w:rsidRPr="00003419">
        <w:rPr>
          <w:rFonts w:ascii="Palatino Linotype" w:eastAsia="Palatino Linotype" w:hAnsi="Palatino Linotype" w:cs="Palatino Linotype"/>
          <w:b/>
          <w:sz w:val="22"/>
          <w:szCs w:val="22"/>
        </w:rPr>
        <w:t>Las facturas y Contrato de camiones de basura</w:t>
      </w:r>
    </w:p>
    <w:p w14:paraId="15CB8B34" w14:textId="77777777" w:rsidR="009B2285" w:rsidRPr="00003419" w:rsidRDefault="00772DEA">
      <w:pPr>
        <w:spacing w:before="240" w:after="240" w:line="360" w:lineRule="auto"/>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B.1 Las rutas de los camiones de basura</w:t>
      </w:r>
    </w:p>
    <w:p w14:paraId="3CA8157F"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En lo tocante a este punto, tenemos que se pronunció desde la respuesta, la </w:t>
      </w:r>
      <w:r w:rsidRPr="00003419">
        <w:rPr>
          <w:rFonts w:ascii="Palatino Linotype" w:eastAsia="Palatino Linotype" w:hAnsi="Palatino Linotype" w:cs="Palatino Linotype"/>
          <w:b/>
          <w:sz w:val="22"/>
          <w:szCs w:val="22"/>
        </w:rPr>
        <w:t xml:space="preserve">Dirección General de Servicios Públicos, </w:t>
      </w:r>
      <w:r w:rsidRPr="00003419">
        <w:rPr>
          <w:rFonts w:ascii="Palatino Linotype" w:eastAsia="Palatino Linotype" w:hAnsi="Palatino Linotype" w:cs="Palatino Linotype"/>
          <w:sz w:val="22"/>
          <w:szCs w:val="22"/>
        </w:rPr>
        <w:t>la cual</w:t>
      </w:r>
      <w:r w:rsidRPr="00003419">
        <w:rPr>
          <w:rFonts w:ascii="Palatino Linotype" w:eastAsia="Palatino Linotype" w:hAnsi="Palatino Linotype" w:cs="Palatino Linotype"/>
          <w:b/>
          <w:sz w:val="22"/>
          <w:szCs w:val="22"/>
        </w:rPr>
        <w:t xml:space="preserve"> </w:t>
      </w:r>
      <w:r w:rsidRPr="00003419">
        <w:rPr>
          <w:rFonts w:ascii="Palatino Linotype" w:eastAsia="Palatino Linotype" w:hAnsi="Palatino Linotype" w:cs="Palatino Linotype"/>
          <w:sz w:val="22"/>
          <w:szCs w:val="22"/>
        </w:rPr>
        <w:t>informó que después de realizar una búsqueda exhaustiva y razonable en los archivos que se encuentran bajo resguardo de la dirección, se informa que no es posible remitir la información solicitada toda vez que dicha Dirección General no es quien la genera o maneje.</w:t>
      </w:r>
    </w:p>
    <w:p w14:paraId="174D72AF"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No </w:t>
      </w:r>
      <w:proofErr w:type="gramStart"/>
      <w:r w:rsidRPr="00003419">
        <w:rPr>
          <w:rFonts w:ascii="Palatino Linotype" w:eastAsia="Palatino Linotype" w:hAnsi="Palatino Linotype" w:cs="Palatino Linotype"/>
          <w:sz w:val="22"/>
          <w:szCs w:val="22"/>
        </w:rPr>
        <w:t>obstante</w:t>
      </w:r>
      <w:proofErr w:type="gramEnd"/>
      <w:r w:rsidRPr="00003419">
        <w:rPr>
          <w:rFonts w:ascii="Palatino Linotype" w:eastAsia="Palatino Linotype" w:hAnsi="Palatino Linotype" w:cs="Palatino Linotype"/>
          <w:sz w:val="22"/>
          <w:szCs w:val="22"/>
        </w:rPr>
        <w:t xml:space="preserve"> lo anterior, de conformidad con el artículo 115 de la Constitución Política de los Estados Unidos Mexicanos, fracción III, los Municipios tendrán a su cargo las funciones y servicios públicos siguientes:</w:t>
      </w:r>
    </w:p>
    <w:p w14:paraId="11354E96"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a) Agua potable, drenaje, alcantarillado, tratamiento y disposición de sus aguas residuales;</w:t>
      </w:r>
    </w:p>
    <w:p w14:paraId="45148E02"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b) Alumbrado público.</w:t>
      </w:r>
    </w:p>
    <w:p w14:paraId="4098C170" w14:textId="77777777" w:rsidR="009B2285" w:rsidRPr="00003419" w:rsidRDefault="00772DEA">
      <w:pPr>
        <w:spacing w:before="240" w:after="240" w:line="360" w:lineRule="auto"/>
        <w:ind w:right="49"/>
        <w:jc w:val="both"/>
        <w:rPr>
          <w:rFonts w:ascii="Palatino Linotype" w:eastAsia="Palatino Linotype" w:hAnsi="Palatino Linotype" w:cs="Palatino Linotype"/>
          <w:b/>
          <w:sz w:val="22"/>
          <w:szCs w:val="22"/>
          <w:u w:val="single"/>
        </w:rPr>
      </w:pPr>
      <w:r w:rsidRPr="00003419">
        <w:rPr>
          <w:rFonts w:ascii="Palatino Linotype" w:eastAsia="Palatino Linotype" w:hAnsi="Palatino Linotype" w:cs="Palatino Linotype"/>
          <w:b/>
          <w:sz w:val="22"/>
          <w:szCs w:val="22"/>
          <w:u w:val="single"/>
        </w:rPr>
        <w:t>c) Limpia, recolección, traslado, tratamiento y disposición final de residuos;</w:t>
      </w:r>
    </w:p>
    <w:p w14:paraId="3F41AFF1"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d) Mercados y centrales de abasto.</w:t>
      </w:r>
    </w:p>
    <w:p w14:paraId="56078A9D"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e) Panteones.</w:t>
      </w:r>
    </w:p>
    <w:p w14:paraId="7A5D8F9C"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f) Rastro.</w:t>
      </w:r>
    </w:p>
    <w:p w14:paraId="725B470F"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g) Calles, parques y jardines y su equipamiento;</w:t>
      </w:r>
    </w:p>
    <w:p w14:paraId="32C2002A"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h) Seguridad pública, en los términos del artículo 21 de esta Constitución, policía preventiva municipal y tránsito; y</w:t>
      </w:r>
    </w:p>
    <w:p w14:paraId="578D0C85"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lastRenderedPageBreak/>
        <w:t>i) Los demás que las Legislaturas locales determinen según las condiciones territoriales y socio-económicas de los Municipios, así como su capacidad administrativa y financiera.</w:t>
      </w:r>
    </w:p>
    <w:p w14:paraId="59262C2C"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En este tenor, es dable afirmar </w:t>
      </w:r>
      <w:proofErr w:type="gramStart"/>
      <w:r w:rsidRPr="00003419">
        <w:rPr>
          <w:rFonts w:ascii="Palatino Linotype" w:eastAsia="Palatino Linotype" w:hAnsi="Palatino Linotype" w:cs="Palatino Linotype"/>
          <w:sz w:val="22"/>
          <w:szCs w:val="22"/>
        </w:rPr>
        <w:t>que</w:t>
      </w:r>
      <w:proofErr w:type="gramEnd"/>
      <w:r w:rsidRPr="00003419">
        <w:rPr>
          <w:rFonts w:ascii="Palatino Linotype" w:eastAsia="Palatino Linotype" w:hAnsi="Palatino Linotype" w:cs="Palatino Linotype"/>
          <w:sz w:val="22"/>
          <w:szCs w:val="22"/>
        </w:rPr>
        <w:t xml:space="preserve"> conforme a lo establecido por nuestro texto constitucional, los municipios cuentan con la función de la prestación de servicios públicos, de los cuales, destaca el servicio de recolección de residuos sólidos.</w:t>
      </w:r>
    </w:p>
    <w:p w14:paraId="2879765E"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Aunado a lo </w:t>
      </w:r>
      <w:proofErr w:type="gramStart"/>
      <w:r w:rsidRPr="00003419">
        <w:rPr>
          <w:rFonts w:ascii="Palatino Linotype" w:eastAsia="Palatino Linotype" w:hAnsi="Palatino Linotype" w:cs="Palatino Linotype"/>
          <w:sz w:val="22"/>
          <w:szCs w:val="22"/>
        </w:rPr>
        <w:t>anterior,  el</w:t>
      </w:r>
      <w:proofErr w:type="gramEnd"/>
      <w:r w:rsidRPr="00003419">
        <w:rPr>
          <w:rFonts w:ascii="Palatino Linotype" w:eastAsia="Palatino Linotype" w:hAnsi="Palatino Linotype" w:cs="Palatino Linotype"/>
          <w:sz w:val="22"/>
          <w:szCs w:val="22"/>
        </w:rPr>
        <w:t xml:space="preserve"> Código Reglamentario del Ayuntamiento de Toluca, la Dirección General de Servicios Públicos cuenta con las siguientes atribuciones:</w:t>
      </w:r>
    </w:p>
    <w:p w14:paraId="56BEBA94"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“Artículo 3.52. La o el titular de la Dirección General de Servicios Públicos tendrá las siguientes atribuciones:</w:t>
      </w:r>
    </w:p>
    <w:p w14:paraId="6E08B613"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I. Dirigir, coordinar, administrar y planear la prestación de los servicios públicos cuidando que la prestación de estos tenga el menor impacto negativo para el medio ambiente;</w:t>
      </w:r>
    </w:p>
    <w:p w14:paraId="5F3DEFD6"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w:t>
      </w:r>
    </w:p>
    <w:p w14:paraId="6626C52C" w14:textId="77777777" w:rsidR="009B2285" w:rsidRPr="00003419" w:rsidRDefault="00772DEA">
      <w:pPr>
        <w:spacing w:before="240" w:after="240" w:line="276" w:lineRule="auto"/>
        <w:ind w:left="567" w:right="900"/>
        <w:jc w:val="both"/>
        <w:rPr>
          <w:rFonts w:ascii="Palatino Linotype" w:eastAsia="Palatino Linotype" w:hAnsi="Palatino Linotype" w:cs="Palatino Linotype"/>
          <w:b/>
          <w:i/>
          <w:sz w:val="22"/>
          <w:szCs w:val="22"/>
          <w:u w:val="single"/>
        </w:rPr>
      </w:pPr>
      <w:r w:rsidRPr="00003419">
        <w:rPr>
          <w:rFonts w:ascii="Palatino Linotype" w:eastAsia="Palatino Linotype" w:hAnsi="Palatino Linotype" w:cs="Palatino Linotype"/>
          <w:b/>
          <w:i/>
          <w:sz w:val="22"/>
          <w:szCs w:val="22"/>
          <w:u w:val="single"/>
        </w:rPr>
        <w:t>XVI. Coordinar los servicios de limpia, recolección, transporte, transferencia y disposición final de residuos sólidos;</w:t>
      </w:r>
    </w:p>
    <w:p w14:paraId="7867206B" w14:textId="77777777" w:rsidR="009B2285" w:rsidRPr="00003419" w:rsidRDefault="00772DEA">
      <w:pPr>
        <w:spacing w:before="240" w:after="240" w:line="276" w:lineRule="auto"/>
        <w:ind w:left="567" w:right="900"/>
        <w:jc w:val="both"/>
        <w:rPr>
          <w:rFonts w:ascii="Palatino Linotype" w:eastAsia="Palatino Linotype" w:hAnsi="Palatino Linotype" w:cs="Palatino Linotype"/>
          <w:b/>
          <w:i/>
          <w:sz w:val="22"/>
          <w:szCs w:val="22"/>
          <w:u w:val="single"/>
        </w:rPr>
      </w:pPr>
      <w:r w:rsidRPr="00003419">
        <w:rPr>
          <w:rFonts w:ascii="Palatino Linotype" w:eastAsia="Palatino Linotype" w:hAnsi="Palatino Linotype" w:cs="Palatino Linotype"/>
          <w:b/>
          <w:i/>
          <w:sz w:val="22"/>
          <w:szCs w:val="22"/>
          <w:u w:val="single"/>
        </w:rPr>
        <w:t>XVII. Coordinar el transporte y depósito de residuos sólidos urbanos y de manejo especial a los sitios de disposición final que establezca el Ayuntamiento; promoviendo su reutilización</w:t>
      </w:r>
      <w:r w:rsidRPr="00003419">
        <w:rPr>
          <w:rFonts w:ascii="Palatino Linotype" w:eastAsia="Palatino Linotype" w:hAnsi="Palatino Linotype" w:cs="Palatino Linotype"/>
          <w:b/>
          <w:i/>
          <w:sz w:val="22"/>
          <w:szCs w:val="22"/>
        </w:rPr>
        <w:t xml:space="preserve">;” </w:t>
      </w:r>
      <w:r w:rsidRPr="00003419">
        <w:rPr>
          <w:rFonts w:ascii="Palatino Linotype" w:eastAsia="Palatino Linotype" w:hAnsi="Palatino Linotype" w:cs="Palatino Linotype"/>
          <w:i/>
          <w:sz w:val="22"/>
          <w:szCs w:val="22"/>
        </w:rPr>
        <w:t>(Énfasis añadido)</w:t>
      </w:r>
    </w:p>
    <w:p w14:paraId="2753973E"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De tal suerte </w:t>
      </w:r>
      <w:proofErr w:type="gramStart"/>
      <w:r w:rsidRPr="00003419">
        <w:rPr>
          <w:rFonts w:ascii="Palatino Linotype" w:eastAsia="Palatino Linotype" w:hAnsi="Palatino Linotype" w:cs="Palatino Linotype"/>
          <w:sz w:val="22"/>
          <w:szCs w:val="22"/>
        </w:rPr>
        <w:t>que</w:t>
      </w:r>
      <w:proofErr w:type="gramEnd"/>
      <w:r w:rsidRPr="00003419">
        <w:rPr>
          <w:rFonts w:ascii="Palatino Linotype" w:eastAsia="Palatino Linotype" w:hAnsi="Palatino Linotype" w:cs="Palatino Linotype"/>
          <w:sz w:val="22"/>
          <w:szCs w:val="22"/>
        </w:rPr>
        <w:t xml:space="preserve"> del precepto legal previamente citado, se aprecia que dicha Dirección cuenta con la atribución de coordinar los servicios de limpia, recolección, transporte, transferencia y disposición final de residuos sólidos, por lo que no es posible validar la respuesta del </w:t>
      </w:r>
      <w:r w:rsidRPr="00003419">
        <w:rPr>
          <w:rFonts w:ascii="Palatino Linotype" w:eastAsia="Palatino Linotype" w:hAnsi="Palatino Linotype" w:cs="Palatino Linotype"/>
          <w:b/>
          <w:sz w:val="22"/>
          <w:szCs w:val="22"/>
        </w:rPr>
        <w:t>Sujeto Obligado</w:t>
      </w:r>
      <w:r w:rsidRPr="00003419">
        <w:rPr>
          <w:rFonts w:ascii="Palatino Linotype" w:eastAsia="Palatino Linotype" w:hAnsi="Palatino Linotype" w:cs="Palatino Linotype"/>
          <w:sz w:val="22"/>
          <w:szCs w:val="22"/>
        </w:rPr>
        <w:t>.</w:t>
      </w:r>
    </w:p>
    <w:p w14:paraId="4CDDEE6E"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Cabe resaltar que este Instituto visualizó un portal de la Dirección General de Servicios Públicos, del Ayuntamiento de Toluca, en el cual, se refiere que este lleva a cabo la </w:t>
      </w:r>
      <w:r w:rsidRPr="00003419">
        <w:rPr>
          <w:rFonts w:ascii="Palatino Linotype" w:eastAsia="Palatino Linotype" w:hAnsi="Palatino Linotype" w:cs="Palatino Linotype"/>
          <w:sz w:val="22"/>
          <w:szCs w:val="22"/>
        </w:rPr>
        <w:lastRenderedPageBreak/>
        <w:t>recolección de los residuos, tan es así que incluso, hace referencia a la manera de separación de los residuos para su entrega al personal de los camiones recolectores, se inserta la siguiente impresión de pantalla para mejor proveer del presente asunto:</w:t>
      </w:r>
    </w:p>
    <w:p w14:paraId="7910C1AE" w14:textId="77777777" w:rsidR="009B2285" w:rsidRPr="00003419" w:rsidRDefault="00772DEA">
      <w:pPr>
        <w:spacing w:before="240" w:after="240" w:line="360" w:lineRule="auto"/>
        <w:rPr>
          <w:rFonts w:ascii="Palatino Linotype" w:eastAsia="Palatino Linotype" w:hAnsi="Palatino Linotype" w:cs="Palatino Linotype"/>
          <w:sz w:val="22"/>
          <w:szCs w:val="22"/>
        </w:rPr>
      </w:pPr>
      <w:r w:rsidRPr="00003419">
        <w:rPr>
          <w:rFonts w:ascii="Palatino Linotype" w:eastAsia="Palatino Linotype" w:hAnsi="Palatino Linotype" w:cs="Palatino Linotype"/>
          <w:noProof/>
          <w:sz w:val="22"/>
          <w:szCs w:val="22"/>
        </w:rPr>
        <w:drawing>
          <wp:inline distT="0" distB="0" distL="0" distR="0" wp14:anchorId="1D76EE74" wp14:editId="76A6A889">
            <wp:extent cx="5612130" cy="4610735"/>
            <wp:effectExtent l="0" t="0" r="0" b="0"/>
            <wp:docPr id="1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4610735"/>
                    </a:xfrm>
                    <a:prstGeom prst="rect">
                      <a:avLst/>
                    </a:prstGeom>
                    <a:ln/>
                  </pic:spPr>
                </pic:pic>
              </a:graphicData>
            </a:graphic>
          </wp:inline>
        </w:drawing>
      </w:r>
    </w:p>
    <w:p w14:paraId="12E33A9B"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Asimismo, este Organismo Garante no quiere dejar de mencionar que en la respuesta a la solicitud </w:t>
      </w:r>
      <w:r w:rsidRPr="00003419">
        <w:rPr>
          <w:rFonts w:ascii="Palatino Linotype" w:eastAsia="Palatino Linotype" w:hAnsi="Palatino Linotype" w:cs="Palatino Linotype"/>
          <w:b/>
          <w:sz w:val="22"/>
          <w:szCs w:val="22"/>
        </w:rPr>
        <w:t>01462/TOLUCA/IP/2024</w:t>
      </w:r>
      <w:r w:rsidRPr="00003419">
        <w:rPr>
          <w:rFonts w:ascii="Palatino Linotype" w:eastAsia="Palatino Linotype" w:hAnsi="Palatino Linotype" w:cs="Palatino Linotype"/>
          <w:sz w:val="22"/>
          <w:szCs w:val="22"/>
        </w:rPr>
        <w:t xml:space="preserve">, sobre la cual recayó el recurso de revisión </w:t>
      </w:r>
      <w:r w:rsidRPr="00003419">
        <w:rPr>
          <w:rFonts w:ascii="Palatino Linotype" w:eastAsia="Palatino Linotype" w:hAnsi="Palatino Linotype" w:cs="Palatino Linotype"/>
          <w:b/>
          <w:sz w:val="22"/>
          <w:szCs w:val="22"/>
        </w:rPr>
        <w:t xml:space="preserve">04343/INFOEM/IP/RR/2024, </w:t>
      </w:r>
      <w:r w:rsidRPr="00003419">
        <w:rPr>
          <w:rFonts w:ascii="Palatino Linotype" w:eastAsia="Palatino Linotype" w:hAnsi="Palatino Linotype" w:cs="Palatino Linotype"/>
          <w:sz w:val="22"/>
          <w:szCs w:val="22"/>
        </w:rPr>
        <w:t xml:space="preserve">el </w:t>
      </w:r>
      <w:r w:rsidRPr="00003419">
        <w:rPr>
          <w:rFonts w:ascii="Palatino Linotype" w:eastAsia="Palatino Linotype" w:hAnsi="Palatino Linotype" w:cs="Palatino Linotype"/>
          <w:b/>
          <w:sz w:val="22"/>
          <w:szCs w:val="22"/>
        </w:rPr>
        <w:t>Sujeto Obligado</w:t>
      </w:r>
      <w:r w:rsidRPr="00003419">
        <w:rPr>
          <w:rFonts w:ascii="Palatino Linotype" w:eastAsia="Palatino Linotype" w:hAnsi="Palatino Linotype" w:cs="Palatino Linotype"/>
          <w:sz w:val="22"/>
          <w:szCs w:val="22"/>
        </w:rPr>
        <w:t xml:space="preserve"> proporcionó a un particular, las rutas de los camiones recolectores de basura, por lo tanto, se insiste que no resulta procedente validar esta parte de la respuesta y, por consiguiente, para satisfacer este punto de la solicitud, es </w:t>
      </w:r>
      <w:r w:rsidRPr="00003419">
        <w:rPr>
          <w:rFonts w:ascii="Palatino Linotype" w:eastAsia="Palatino Linotype" w:hAnsi="Palatino Linotype" w:cs="Palatino Linotype"/>
          <w:sz w:val="22"/>
          <w:szCs w:val="22"/>
        </w:rPr>
        <w:lastRenderedPageBreak/>
        <w:t xml:space="preserve">pertinente ordenar la entrega del </w:t>
      </w:r>
      <w:r w:rsidRPr="00003419">
        <w:rPr>
          <w:rFonts w:ascii="Palatino Linotype" w:eastAsia="Palatino Linotype" w:hAnsi="Palatino Linotype" w:cs="Palatino Linotype"/>
          <w:b/>
          <w:sz w:val="22"/>
          <w:szCs w:val="22"/>
        </w:rPr>
        <w:t>documento donde consten o se adviertan las rutas de los camiones de basura, vigentes al veinte de enero de dos mil veinticinco</w:t>
      </w:r>
      <w:r w:rsidRPr="00003419">
        <w:rPr>
          <w:rFonts w:ascii="Palatino Linotype" w:eastAsia="Palatino Linotype" w:hAnsi="Palatino Linotype" w:cs="Palatino Linotype"/>
          <w:sz w:val="22"/>
          <w:szCs w:val="22"/>
        </w:rPr>
        <w:t>.</w:t>
      </w:r>
    </w:p>
    <w:p w14:paraId="324C12AB" w14:textId="77777777" w:rsidR="009B2285" w:rsidRPr="00003419" w:rsidRDefault="00772DEA">
      <w:pPr>
        <w:spacing w:before="240" w:after="240" w:line="360" w:lineRule="auto"/>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B.2</w:t>
      </w:r>
      <w:r w:rsidRPr="00003419">
        <w:rPr>
          <w:b/>
        </w:rPr>
        <w:t xml:space="preserve"> </w:t>
      </w:r>
      <w:r w:rsidRPr="00003419">
        <w:rPr>
          <w:rFonts w:ascii="Palatino Linotype" w:eastAsia="Palatino Linotype" w:hAnsi="Palatino Linotype" w:cs="Palatino Linotype"/>
          <w:b/>
          <w:sz w:val="22"/>
          <w:szCs w:val="22"/>
        </w:rPr>
        <w:t>Las facturas y Contrato de camiones de basura</w:t>
      </w:r>
    </w:p>
    <w:p w14:paraId="2B74F31A"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En lo tocante a este apartado, tenemos que en una aproximación inicial a la respuesta observamos que se pronunciaron la </w:t>
      </w:r>
      <w:r w:rsidRPr="00003419">
        <w:rPr>
          <w:rFonts w:ascii="Palatino Linotype" w:eastAsia="Palatino Linotype" w:hAnsi="Palatino Linotype" w:cs="Palatino Linotype"/>
          <w:b/>
          <w:sz w:val="22"/>
          <w:szCs w:val="22"/>
        </w:rPr>
        <w:t>Dirección General de Administración y Tesorería Municipal</w:t>
      </w:r>
      <w:r w:rsidRPr="00003419">
        <w:rPr>
          <w:rFonts w:ascii="Palatino Linotype" w:eastAsia="Palatino Linotype" w:hAnsi="Palatino Linotype" w:cs="Palatino Linotype"/>
          <w:sz w:val="22"/>
          <w:szCs w:val="22"/>
        </w:rPr>
        <w:t>, de la siguiente manera:</w:t>
      </w:r>
    </w:p>
    <w:p w14:paraId="409F0323" w14:textId="77777777" w:rsidR="009B2285" w:rsidRPr="00003419" w:rsidRDefault="00772DEA">
      <w:pPr>
        <w:numPr>
          <w:ilvl w:val="0"/>
          <w:numId w:val="4"/>
        </w:numPr>
        <w:pBdr>
          <w:top w:val="nil"/>
          <w:left w:val="nil"/>
          <w:bottom w:val="nil"/>
          <w:right w:val="nil"/>
          <w:between w:val="nil"/>
        </w:pBdr>
        <w:spacing w:before="240" w:line="360" w:lineRule="auto"/>
        <w:ind w:left="567" w:right="902" w:hanging="283"/>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Que, la </w:t>
      </w:r>
      <w:r w:rsidRPr="00003419">
        <w:rPr>
          <w:rFonts w:ascii="Palatino Linotype" w:eastAsia="Palatino Linotype" w:hAnsi="Palatino Linotype" w:cs="Palatino Linotype"/>
          <w:b/>
          <w:color w:val="000000"/>
          <w:sz w:val="22"/>
          <w:szCs w:val="22"/>
        </w:rPr>
        <w:t>Dirección General de Administración</w:t>
      </w:r>
      <w:r w:rsidRPr="00003419">
        <w:rPr>
          <w:rFonts w:ascii="Palatino Linotype" w:eastAsia="Palatino Linotype" w:hAnsi="Palatino Linotype" w:cs="Palatino Linotype"/>
          <w:color w:val="000000"/>
          <w:sz w:val="22"/>
          <w:szCs w:val="22"/>
        </w:rPr>
        <w:t>, informó que después de haber realizado una búsqueda exhaustiva en los archivos de dicha Dirección y sus áreas, no se localizó la información solicitada.</w:t>
      </w:r>
    </w:p>
    <w:p w14:paraId="2F4835A0" w14:textId="77777777" w:rsidR="009B2285" w:rsidRPr="00003419" w:rsidRDefault="009B2285">
      <w:pPr>
        <w:pBdr>
          <w:top w:val="nil"/>
          <w:left w:val="nil"/>
          <w:bottom w:val="nil"/>
          <w:right w:val="nil"/>
          <w:between w:val="nil"/>
        </w:pBdr>
        <w:spacing w:line="360" w:lineRule="auto"/>
        <w:ind w:left="567" w:right="902" w:hanging="283"/>
        <w:jc w:val="both"/>
        <w:rPr>
          <w:rFonts w:ascii="Palatino Linotype" w:eastAsia="Palatino Linotype" w:hAnsi="Palatino Linotype" w:cs="Palatino Linotype"/>
          <w:color w:val="000000"/>
          <w:sz w:val="22"/>
          <w:szCs w:val="22"/>
        </w:rPr>
      </w:pPr>
    </w:p>
    <w:p w14:paraId="003E01C9" w14:textId="77777777" w:rsidR="009B2285" w:rsidRPr="00003419" w:rsidRDefault="00772DEA">
      <w:pPr>
        <w:numPr>
          <w:ilvl w:val="0"/>
          <w:numId w:val="4"/>
        </w:numPr>
        <w:pBdr>
          <w:top w:val="nil"/>
          <w:left w:val="nil"/>
          <w:bottom w:val="nil"/>
          <w:right w:val="nil"/>
          <w:between w:val="nil"/>
        </w:pBdr>
        <w:spacing w:after="240" w:line="360" w:lineRule="auto"/>
        <w:ind w:left="567" w:right="902" w:hanging="283"/>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Que, la </w:t>
      </w:r>
      <w:r w:rsidRPr="00003419">
        <w:rPr>
          <w:rFonts w:ascii="Palatino Linotype" w:eastAsia="Palatino Linotype" w:hAnsi="Palatino Linotype" w:cs="Palatino Linotype"/>
          <w:b/>
          <w:color w:val="000000"/>
          <w:sz w:val="22"/>
          <w:szCs w:val="22"/>
        </w:rPr>
        <w:t>Tesorería Municipal</w:t>
      </w:r>
      <w:r w:rsidRPr="00003419">
        <w:rPr>
          <w:rFonts w:ascii="Palatino Linotype" w:eastAsia="Palatino Linotype" w:hAnsi="Palatino Linotype" w:cs="Palatino Linotype"/>
          <w:color w:val="000000"/>
          <w:sz w:val="22"/>
          <w:szCs w:val="22"/>
        </w:rPr>
        <w:t>, informó que esta unidad administrativa no cuenta con la información solicitada, debido a que no forma parte de sus atribuciones, por lo que se deberá de reconducir la solicitud al área correspondiente.</w:t>
      </w:r>
    </w:p>
    <w:p w14:paraId="65D73A82" w14:textId="77777777" w:rsidR="009B2285" w:rsidRPr="00003419" w:rsidRDefault="00772DEA">
      <w:pPr>
        <w:spacing w:before="240" w:after="240" w:line="360" w:lineRule="auto"/>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sz w:val="22"/>
          <w:szCs w:val="22"/>
        </w:rPr>
        <w:t xml:space="preserve">Sin embargo, no debemos perder de vista </w:t>
      </w:r>
      <w:proofErr w:type="gramStart"/>
      <w:r w:rsidRPr="00003419">
        <w:rPr>
          <w:rFonts w:ascii="Palatino Linotype" w:eastAsia="Palatino Linotype" w:hAnsi="Palatino Linotype" w:cs="Palatino Linotype"/>
          <w:sz w:val="22"/>
          <w:szCs w:val="22"/>
        </w:rPr>
        <w:t>que</w:t>
      </w:r>
      <w:proofErr w:type="gramEnd"/>
      <w:r w:rsidRPr="00003419">
        <w:rPr>
          <w:rFonts w:ascii="Palatino Linotype" w:eastAsia="Palatino Linotype" w:hAnsi="Palatino Linotype" w:cs="Palatino Linotype"/>
          <w:sz w:val="22"/>
          <w:szCs w:val="22"/>
        </w:rPr>
        <w:t xml:space="preserve"> de conformidad con el Código Reglamentario del Ayuntamiento de Toluca y Ley Orgánica Municipal, las áreas en cuestión, cuentan con las siguientes atribuciones:</w:t>
      </w:r>
    </w:p>
    <w:p w14:paraId="0CEC79CD" w14:textId="77777777" w:rsidR="009B2285" w:rsidRPr="00003419" w:rsidRDefault="00772DEA">
      <w:pPr>
        <w:spacing w:before="240" w:after="240" w:line="360" w:lineRule="auto"/>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Código Reglamentario del Ayuntamiento de Toluca:</w:t>
      </w:r>
    </w:p>
    <w:p w14:paraId="670976E6"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“Artículo 3.40. La o el titular de la </w:t>
      </w:r>
      <w:r w:rsidRPr="00003419">
        <w:rPr>
          <w:rFonts w:ascii="Palatino Linotype" w:eastAsia="Palatino Linotype" w:hAnsi="Palatino Linotype" w:cs="Palatino Linotype"/>
          <w:b/>
          <w:i/>
          <w:sz w:val="22"/>
          <w:szCs w:val="22"/>
        </w:rPr>
        <w:t>Dirección General de Administración</w:t>
      </w:r>
      <w:r w:rsidRPr="00003419">
        <w:rPr>
          <w:rFonts w:ascii="Palatino Linotype" w:eastAsia="Palatino Linotype" w:hAnsi="Palatino Linotype" w:cs="Palatino Linotype"/>
          <w:i/>
          <w:sz w:val="22"/>
          <w:szCs w:val="22"/>
        </w:rPr>
        <w:t>, tiene las siguientes atribuciones:</w:t>
      </w:r>
    </w:p>
    <w:p w14:paraId="7123560E"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w:t>
      </w:r>
    </w:p>
    <w:p w14:paraId="73A944A1"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u w:val="single"/>
        </w:rPr>
        <w:t xml:space="preserve">VII. Intervenir, vigilar y dar el seguimiento correspondiente a todos los procedimientos de adquisición, arrendamiento de inmuebles, contratación </w:t>
      </w:r>
      <w:r w:rsidRPr="00003419">
        <w:rPr>
          <w:rFonts w:ascii="Palatino Linotype" w:eastAsia="Palatino Linotype" w:hAnsi="Palatino Linotype" w:cs="Palatino Linotype"/>
          <w:b/>
          <w:i/>
          <w:sz w:val="22"/>
          <w:szCs w:val="22"/>
          <w:u w:val="single"/>
        </w:rPr>
        <w:lastRenderedPageBreak/>
        <w:t>de servicios, enajenación y subasta de bienes, conforme a los lineamientos establecidos en la normatividad correspondiente</w:t>
      </w:r>
      <w:r w:rsidRPr="00003419">
        <w:rPr>
          <w:rFonts w:ascii="Palatino Linotype" w:eastAsia="Palatino Linotype" w:hAnsi="Palatino Linotype" w:cs="Palatino Linotype"/>
          <w:i/>
          <w:sz w:val="22"/>
          <w:szCs w:val="22"/>
        </w:rPr>
        <w:t>;</w:t>
      </w:r>
    </w:p>
    <w:p w14:paraId="3FBAC3E8"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(Énfasis añadido)</w:t>
      </w:r>
    </w:p>
    <w:p w14:paraId="7AFA7903" w14:textId="77777777" w:rsidR="009B2285" w:rsidRPr="00003419" w:rsidRDefault="00772DEA">
      <w:pPr>
        <w:spacing w:before="240" w:after="240" w:line="276" w:lineRule="auto"/>
        <w:ind w:right="900"/>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Ley Orgánica Municipal:</w:t>
      </w:r>
    </w:p>
    <w:p w14:paraId="76017135"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“Artículo 95.- Son atribuciones del tesorero municipal:</w:t>
      </w:r>
    </w:p>
    <w:p w14:paraId="3060E7AE" w14:textId="77777777" w:rsidR="009B2285" w:rsidRPr="00003419" w:rsidRDefault="00772DEA">
      <w:pPr>
        <w:spacing w:before="240" w:after="240" w:line="276" w:lineRule="auto"/>
        <w:ind w:left="567" w:right="900"/>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b/>
          <w:i/>
          <w:sz w:val="22"/>
          <w:szCs w:val="22"/>
        </w:rPr>
        <w:t>I. Administrar la hacienda pública municipal, de conformidad con las disposiciones legales aplicables;</w:t>
      </w:r>
    </w:p>
    <w:p w14:paraId="10A4C792"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w:t>
      </w:r>
    </w:p>
    <w:p w14:paraId="1C88D8D9" w14:textId="77777777" w:rsidR="009B2285" w:rsidRPr="00003419" w:rsidRDefault="00772DEA">
      <w:pPr>
        <w:spacing w:before="240" w:after="240" w:line="276" w:lineRule="auto"/>
        <w:ind w:left="567" w:right="900"/>
        <w:jc w:val="both"/>
        <w:rPr>
          <w:rFonts w:ascii="Palatino Linotype" w:eastAsia="Palatino Linotype" w:hAnsi="Palatino Linotype" w:cs="Palatino Linotype"/>
          <w:b/>
          <w:i/>
          <w:sz w:val="22"/>
          <w:szCs w:val="22"/>
          <w:u w:val="single"/>
        </w:rPr>
      </w:pPr>
      <w:r w:rsidRPr="00003419">
        <w:rPr>
          <w:rFonts w:ascii="Palatino Linotype" w:eastAsia="Palatino Linotype" w:hAnsi="Palatino Linotype" w:cs="Palatino Linotype"/>
          <w:b/>
          <w:i/>
          <w:sz w:val="22"/>
          <w:szCs w:val="22"/>
          <w:u w:val="single"/>
        </w:rPr>
        <w:t xml:space="preserve">IV. Llevar los registros contables, financieros y administrativos de los ingresos, egresos, e inventarios;” </w:t>
      </w:r>
      <w:r w:rsidRPr="00003419">
        <w:rPr>
          <w:rFonts w:ascii="Palatino Linotype" w:eastAsia="Palatino Linotype" w:hAnsi="Palatino Linotype" w:cs="Palatino Linotype"/>
          <w:i/>
          <w:sz w:val="22"/>
          <w:szCs w:val="22"/>
        </w:rPr>
        <w:t>(Énfasis añadido)</w:t>
      </w:r>
    </w:p>
    <w:p w14:paraId="48F3C822"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De los preceptos previamente citados, se advierte que las áreas de la Dirección General de Administración y  Tesorería Municipal, cuentan con las atribuciones de realizar erogaciones, dar seguimiento a los procedimientos de adquisición, por consiguiente se determina que estas áreas si cuentan con las atribuciones para contar con la información solicitada, por lo tanto, es dable afirmar que si se turnó el requerimiento de información a las unidades administrativas competentes y estas se pronunciaron desde la respuesta, es dable afirmar que en el presente asunto</w:t>
      </w:r>
      <w:r w:rsidRPr="00003419">
        <w:rPr>
          <w:rFonts w:ascii="Palatino Linotype" w:eastAsia="Palatino Linotype" w:hAnsi="Palatino Linotype" w:cs="Palatino Linotype"/>
          <w:color w:val="222222"/>
          <w:sz w:val="22"/>
          <w:szCs w:val="22"/>
        </w:rPr>
        <w:t xml:space="preserve"> obra un pronunciamiento de la unidad administrativa competente, por lo que se determina que el </w:t>
      </w:r>
      <w:r w:rsidRPr="00003419">
        <w:rPr>
          <w:rFonts w:ascii="Palatino Linotype" w:eastAsia="Palatino Linotype" w:hAnsi="Palatino Linotype" w:cs="Palatino Linotype"/>
          <w:b/>
          <w:color w:val="222222"/>
          <w:sz w:val="22"/>
          <w:szCs w:val="22"/>
        </w:rPr>
        <w:t>Sujeto Obligado</w:t>
      </w:r>
      <w:r w:rsidRPr="00003419">
        <w:rPr>
          <w:rFonts w:ascii="Palatino Linotype" w:eastAsia="Palatino Linotype" w:hAnsi="Palatino Linotype" w:cs="Palatino Linotype"/>
          <w:color w:val="222222"/>
          <w:sz w:val="22"/>
          <w:szCs w:val="22"/>
        </w:rPr>
        <w:t xml:space="preserve"> siguió </w:t>
      </w:r>
      <w:r w:rsidRPr="00003419">
        <w:rPr>
          <w:rFonts w:ascii="Palatino Linotype" w:eastAsia="Palatino Linotype" w:hAnsi="Palatino Linotype" w:cs="Palatino Linotype"/>
          <w:color w:val="000000"/>
          <w:sz w:val="22"/>
          <w:szCs w:val="22"/>
        </w:rPr>
        <w:t>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4B51AF3F" w14:textId="77777777" w:rsidR="009B2285" w:rsidRPr="00003419" w:rsidRDefault="00772DEA">
      <w:pPr>
        <w:pBdr>
          <w:top w:val="nil"/>
          <w:left w:val="nil"/>
          <w:bottom w:val="nil"/>
          <w:right w:val="nil"/>
          <w:between w:val="nil"/>
        </w:pBdr>
        <w:ind w:left="864" w:right="864"/>
        <w:jc w:val="both"/>
        <w:rPr>
          <w:color w:val="000000"/>
        </w:rPr>
      </w:pPr>
      <w:r w:rsidRPr="00003419">
        <w:rPr>
          <w:rFonts w:ascii="Palatino Linotype" w:eastAsia="Palatino Linotype" w:hAnsi="Palatino Linotype" w:cs="Palatino Linotype"/>
          <w:i/>
          <w:color w:val="000000"/>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w:t>
      </w:r>
      <w:r w:rsidRPr="00003419">
        <w:rPr>
          <w:rFonts w:ascii="Palatino Linotype" w:eastAsia="Palatino Linotype" w:hAnsi="Palatino Linotype" w:cs="Palatino Linotype"/>
          <w:i/>
          <w:color w:val="000000"/>
          <w:sz w:val="22"/>
          <w:szCs w:val="22"/>
        </w:rPr>
        <w:lastRenderedPageBreak/>
        <w:t>aportar en primera instancia el fundamento y motivación de la clasificación de la información. </w:t>
      </w:r>
    </w:p>
    <w:p w14:paraId="17BCD723" w14:textId="77777777" w:rsidR="009B2285" w:rsidRPr="00003419" w:rsidRDefault="009B2285"/>
    <w:p w14:paraId="4296059F" w14:textId="77777777" w:rsidR="009B2285" w:rsidRPr="00003419" w:rsidRDefault="00772DEA">
      <w:pPr>
        <w:pBdr>
          <w:top w:val="nil"/>
          <w:left w:val="nil"/>
          <w:bottom w:val="nil"/>
          <w:right w:val="nil"/>
          <w:between w:val="nil"/>
        </w:pBdr>
        <w:shd w:val="clear" w:color="auto" w:fill="FFFFFF"/>
        <w:spacing w:line="360" w:lineRule="auto"/>
        <w:jc w:val="both"/>
        <w:rPr>
          <w:color w:val="000000"/>
          <w:sz w:val="22"/>
          <w:szCs w:val="22"/>
        </w:rPr>
      </w:pPr>
      <w:r w:rsidRPr="00003419">
        <w:rPr>
          <w:rFonts w:ascii="Palatino Linotype" w:eastAsia="Palatino Linotype" w:hAnsi="Palatino Linotype" w:cs="Palatino Linotype"/>
          <w:color w:val="000000"/>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10628F8A" w14:textId="77777777" w:rsidR="009B2285" w:rsidRPr="00003419" w:rsidRDefault="009B2285"/>
    <w:p w14:paraId="30294E64" w14:textId="77777777" w:rsidR="009B2285" w:rsidRPr="00003419" w:rsidRDefault="00772DEA">
      <w:pPr>
        <w:pBdr>
          <w:top w:val="nil"/>
          <w:left w:val="nil"/>
          <w:bottom w:val="nil"/>
          <w:right w:val="nil"/>
          <w:between w:val="nil"/>
        </w:pBdr>
        <w:ind w:left="864" w:right="864"/>
        <w:jc w:val="both"/>
        <w:rPr>
          <w:color w:val="000000"/>
        </w:rPr>
      </w:pPr>
      <w:r w:rsidRPr="00003419">
        <w:rPr>
          <w:rFonts w:ascii="Palatino Linotype" w:eastAsia="Palatino Linotype" w:hAnsi="Palatino Linotype" w:cs="Palatino Linotype"/>
          <w:i/>
          <w:color w:val="000000"/>
          <w:sz w:val="22"/>
          <w:szCs w:val="22"/>
        </w:rPr>
        <w:t xml:space="preserve">“Artículo 162. Las unidades de transparencia deberán garantizar que las solicitudes </w:t>
      </w:r>
      <w:r w:rsidRPr="00003419">
        <w:rPr>
          <w:rFonts w:ascii="Palatino Linotype" w:eastAsia="Palatino Linotype" w:hAnsi="Palatino Linotype" w:cs="Palatino Linotype"/>
          <w:b/>
          <w:i/>
          <w:color w:val="000000"/>
          <w:sz w:val="22"/>
          <w:szCs w:val="22"/>
        </w:rPr>
        <w:t xml:space="preserve">se turnen a todas las Áreas competentes </w:t>
      </w:r>
      <w:r w:rsidRPr="00003419">
        <w:rPr>
          <w:rFonts w:ascii="Palatino Linotype" w:eastAsia="Palatino Linotype" w:hAnsi="Palatino Linotype" w:cs="Palatino Linotype"/>
          <w:i/>
          <w:color w:val="000000"/>
          <w:sz w:val="22"/>
          <w:szCs w:val="22"/>
        </w:rPr>
        <w:t>que cuenten con la información o deban tenerla de acuerdo a sus facultades, competencias y funciones, con el objeto de que realicen una búsqueda exhaustiva y razonable de la información solicitada.”</w:t>
      </w:r>
    </w:p>
    <w:p w14:paraId="3BB12114"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No </w:t>
      </w:r>
      <w:proofErr w:type="gramStart"/>
      <w:r w:rsidRPr="00003419">
        <w:rPr>
          <w:rFonts w:ascii="Palatino Linotype" w:eastAsia="Palatino Linotype" w:hAnsi="Palatino Linotype" w:cs="Palatino Linotype"/>
          <w:sz w:val="22"/>
          <w:szCs w:val="22"/>
        </w:rPr>
        <w:t>obstante</w:t>
      </w:r>
      <w:proofErr w:type="gramEnd"/>
      <w:r w:rsidRPr="00003419">
        <w:rPr>
          <w:rFonts w:ascii="Palatino Linotype" w:eastAsia="Palatino Linotype" w:hAnsi="Palatino Linotype" w:cs="Palatino Linotype"/>
          <w:sz w:val="22"/>
          <w:szCs w:val="22"/>
        </w:rPr>
        <w:t xml:space="preserve"> lo anterior, no es posible validar esta parte de la respuesta del </w:t>
      </w:r>
      <w:r w:rsidRPr="00003419">
        <w:rPr>
          <w:rFonts w:ascii="Palatino Linotype" w:eastAsia="Palatino Linotype" w:hAnsi="Palatino Linotype" w:cs="Palatino Linotype"/>
          <w:b/>
          <w:sz w:val="22"/>
          <w:szCs w:val="22"/>
        </w:rPr>
        <w:t>Sujeto Obligado,</w:t>
      </w:r>
      <w:r w:rsidRPr="00003419">
        <w:rPr>
          <w:rFonts w:ascii="Palatino Linotype" w:eastAsia="Palatino Linotype" w:hAnsi="Palatino Linotype" w:cs="Palatino Linotype"/>
          <w:sz w:val="22"/>
          <w:szCs w:val="22"/>
        </w:rPr>
        <w:t xml:space="preserve"> en virtud de que este Instituto localizó un indicio el 02 de enero de 2025, en el perfil de Facebook del Presidente Municipal del Ayuntamiento de Toluca quien realizó una publicación en la que anuncia la modernización de la gestión de servicios públicos y la recolección de residuos:</w:t>
      </w:r>
    </w:p>
    <w:p w14:paraId="154ED270" w14:textId="77777777" w:rsidR="009B2285" w:rsidRPr="00003419" w:rsidRDefault="00772DEA">
      <w:pPr>
        <w:spacing w:before="240" w:after="240" w:line="360" w:lineRule="auto"/>
        <w:jc w:val="center"/>
        <w:rPr>
          <w:rFonts w:ascii="Palatino Linotype" w:eastAsia="Palatino Linotype" w:hAnsi="Palatino Linotype" w:cs="Palatino Linotype"/>
          <w:sz w:val="22"/>
          <w:szCs w:val="22"/>
        </w:rPr>
      </w:pPr>
      <w:r w:rsidRPr="00003419">
        <w:rPr>
          <w:rFonts w:ascii="Palatino Linotype" w:eastAsia="Palatino Linotype" w:hAnsi="Palatino Linotype" w:cs="Palatino Linotype"/>
          <w:noProof/>
          <w:sz w:val="22"/>
          <w:szCs w:val="22"/>
        </w:rPr>
        <w:lastRenderedPageBreak/>
        <w:drawing>
          <wp:inline distT="0" distB="0" distL="0" distR="0" wp14:anchorId="729C8C26" wp14:editId="7AB97BB9">
            <wp:extent cx="3864097" cy="4603691"/>
            <wp:effectExtent l="0" t="0" r="0" b="0"/>
            <wp:docPr id="1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3864097" cy="4603691"/>
                    </a:xfrm>
                    <a:prstGeom prst="rect">
                      <a:avLst/>
                    </a:prstGeom>
                    <a:ln/>
                  </pic:spPr>
                </pic:pic>
              </a:graphicData>
            </a:graphic>
          </wp:inline>
        </w:drawing>
      </w:r>
    </w:p>
    <w:p w14:paraId="0BEBC1D2"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Asimismo, este Instituto localizó la siguiente nota periodística publicada el 02 de enero de 2025:</w:t>
      </w:r>
    </w:p>
    <w:p w14:paraId="6E77526E" w14:textId="77777777" w:rsidR="009B2285" w:rsidRPr="00003419" w:rsidRDefault="00772DEA">
      <w:pPr>
        <w:spacing w:before="240" w:after="240" w:line="276" w:lineRule="auto"/>
        <w:ind w:left="567" w:right="900"/>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i/>
          <w:sz w:val="22"/>
          <w:szCs w:val="22"/>
        </w:rPr>
        <w:t>“</w:t>
      </w:r>
      <w:r w:rsidRPr="00003419">
        <w:rPr>
          <w:rFonts w:ascii="Palatino Linotype" w:eastAsia="Palatino Linotype" w:hAnsi="Palatino Linotype" w:cs="Palatino Linotype"/>
          <w:b/>
          <w:i/>
          <w:sz w:val="22"/>
          <w:szCs w:val="22"/>
        </w:rPr>
        <w:t>Pese a incertidumbre social, recolección de basura continúa en Toluca</w:t>
      </w:r>
    </w:p>
    <w:p w14:paraId="72A22830" w14:textId="77777777" w:rsidR="009B2285" w:rsidRPr="00003419" w:rsidRDefault="00772DEA">
      <w:pPr>
        <w:spacing w:before="240" w:after="240" w:line="276" w:lineRule="auto"/>
        <w:ind w:left="567" w:right="900"/>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sz w:val="22"/>
          <w:szCs w:val="22"/>
        </w:rPr>
        <w:t xml:space="preserve">Localizable en la liga electrónica: </w:t>
      </w:r>
      <w:hyperlink r:id="rId15">
        <w:r w:rsidRPr="00003419">
          <w:rPr>
            <w:rFonts w:ascii="Palatino Linotype" w:eastAsia="Palatino Linotype" w:hAnsi="Palatino Linotype" w:cs="Palatino Linotype"/>
            <w:color w:val="0000FF"/>
            <w:sz w:val="22"/>
            <w:szCs w:val="22"/>
            <w:u w:val="single"/>
          </w:rPr>
          <w:t>https://lajornadaestadodemexico.com/pese-a-incertidumbre-social-recoleccion-de-basura-continua-en-toluca/</w:t>
        </w:r>
      </w:hyperlink>
      <w:r w:rsidRPr="00003419">
        <w:rPr>
          <w:rFonts w:ascii="Palatino Linotype" w:eastAsia="Palatino Linotype" w:hAnsi="Palatino Linotype" w:cs="Palatino Linotype"/>
          <w:sz w:val="22"/>
          <w:szCs w:val="22"/>
        </w:rPr>
        <w:t xml:space="preserve"> </w:t>
      </w:r>
    </w:p>
    <w:p w14:paraId="51ECBEBC"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Había preocupación por la posible suspensión de los servicios públicos como la recolección de basura, como ocurrió hace tres años</w:t>
      </w:r>
    </w:p>
    <w:p w14:paraId="025E1189"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Enero 2, 2025</w:t>
      </w:r>
    </w:p>
    <w:p w14:paraId="6DD36313"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lastRenderedPageBreak/>
        <w:t>Frente al cambio de administración en Toluca la sociedad manifestó preocupación por la posible suspensión de los servicios públicos como la recolección de basura, como ocurrió hace tres años; sin embargo, las actividades continúan de forma normal en las diferentes delegaciones de la capital mexiquense.</w:t>
      </w:r>
    </w:p>
    <w:p w14:paraId="618CB37C"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La empresa que estaba contratada por el gobierno anterior concluyó sus funciones el 31 de diciembre, por lo que la nueva administración puso en marcha la operación de 40 unidades a </w:t>
      </w:r>
      <w:r w:rsidRPr="00003419">
        <w:rPr>
          <w:rFonts w:ascii="Palatino Linotype" w:eastAsia="Palatino Linotype" w:hAnsi="Palatino Linotype" w:cs="Palatino Linotype"/>
          <w:b/>
          <w:i/>
          <w:sz w:val="22"/>
          <w:szCs w:val="22"/>
          <w:u w:val="single"/>
        </w:rPr>
        <w:t xml:space="preserve">través de </w:t>
      </w:r>
      <w:proofErr w:type="gramStart"/>
      <w:r w:rsidRPr="00003419">
        <w:rPr>
          <w:rFonts w:ascii="Palatino Linotype" w:eastAsia="Palatino Linotype" w:hAnsi="Palatino Linotype" w:cs="Palatino Linotype"/>
          <w:b/>
          <w:i/>
          <w:sz w:val="22"/>
          <w:szCs w:val="22"/>
          <w:u w:val="single"/>
        </w:rPr>
        <w:t>una contrato</w:t>
      </w:r>
      <w:proofErr w:type="gramEnd"/>
      <w:r w:rsidRPr="00003419">
        <w:rPr>
          <w:rFonts w:ascii="Palatino Linotype" w:eastAsia="Palatino Linotype" w:hAnsi="Palatino Linotype" w:cs="Palatino Linotype"/>
          <w:b/>
          <w:i/>
          <w:sz w:val="22"/>
          <w:szCs w:val="22"/>
          <w:u w:val="single"/>
        </w:rPr>
        <w:t xml:space="preserve"> de emergencia.</w:t>
      </w:r>
    </w:p>
    <w:p w14:paraId="6DCE75E2" w14:textId="77777777" w:rsidR="009B2285" w:rsidRPr="00003419" w:rsidRDefault="00772DEA">
      <w:pPr>
        <w:spacing w:before="240" w:after="240" w:line="276" w:lineRule="auto"/>
        <w:ind w:left="567" w:right="900"/>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b/>
          <w:i/>
          <w:sz w:val="22"/>
          <w:szCs w:val="22"/>
        </w:rPr>
        <w:t>Prestarán el servicio de emergencia por cuatro meses</w:t>
      </w:r>
    </w:p>
    <w:p w14:paraId="248D5724"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El contrato está diseñado para que presten servicio por cuatro meses, posteriormente se licitará todo el sistema de recolección de basura y disposición final de los recursos sólidos, lo cual se hará de forma transparente.”</w:t>
      </w:r>
    </w:p>
    <w:p w14:paraId="5D54B341" w14:textId="77777777" w:rsidR="009B2285" w:rsidRPr="00003419" w:rsidRDefault="00772DEA">
      <w:pPr>
        <w:spacing w:before="240" w:after="240" w:line="360" w:lineRule="auto"/>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sz w:val="22"/>
          <w:szCs w:val="22"/>
        </w:rPr>
        <w:t xml:space="preserve">De tal suerte </w:t>
      </w:r>
      <w:proofErr w:type="gramStart"/>
      <w:r w:rsidRPr="00003419">
        <w:rPr>
          <w:rFonts w:ascii="Palatino Linotype" w:eastAsia="Palatino Linotype" w:hAnsi="Palatino Linotype" w:cs="Palatino Linotype"/>
          <w:sz w:val="22"/>
          <w:szCs w:val="22"/>
        </w:rPr>
        <w:t>que</w:t>
      </w:r>
      <w:proofErr w:type="gramEnd"/>
      <w:r w:rsidRPr="00003419">
        <w:rPr>
          <w:rFonts w:ascii="Palatino Linotype" w:eastAsia="Palatino Linotype" w:hAnsi="Palatino Linotype" w:cs="Palatino Linotype"/>
          <w:sz w:val="22"/>
          <w:szCs w:val="22"/>
        </w:rPr>
        <w:t xml:space="preserve"> ante estas citas, abordamos a la conclusión de que se actualizan los hechos notorios, toda vez que como lo señalan las tesis jurisprudenciales previamente insertadas, el </w:t>
      </w:r>
      <w:r w:rsidRPr="00003419">
        <w:rPr>
          <w:rFonts w:ascii="Palatino Linotype" w:eastAsia="Palatino Linotype" w:hAnsi="Palatino Linotype" w:cs="Palatino Linotype"/>
          <w:b/>
          <w:sz w:val="22"/>
          <w:szCs w:val="22"/>
        </w:rPr>
        <w:t>Sujeto Obligado</w:t>
      </w:r>
      <w:r w:rsidRPr="00003419">
        <w:rPr>
          <w:rFonts w:ascii="Palatino Linotype" w:eastAsia="Palatino Linotype" w:hAnsi="Palatino Linotype" w:cs="Palatino Linotype"/>
          <w:sz w:val="22"/>
          <w:szCs w:val="22"/>
        </w:rPr>
        <w:t xml:space="preserve"> de manera previa a la solicitud llevó a cabo la modernización de su servicio de recolección de basura, por lo tanto, queda demostrado que el </w:t>
      </w:r>
      <w:r w:rsidRPr="00003419">
        <w:rPr>
          <w:rFonts w:ascii="Palatino Linotype" w:eastAsia="Palatino Linotype" w:hAnsi="Palatino Linotype" w:cs="Palatino Linotype"/>
          <w:b/>
          <w:sz w:val="22"/>
          <w:szCs w:val="22"/>
        </w:rPr>
        <w:t xml:space="preserve">Sujeto Obligado </w:t>
      </w:r>
      <w:r w:rsidRPr="00003419">
        <w:rPr>
          <w:rFonts w:ascii="Palatino Linotype" w:eastAsia="Palatino Linotype" w:hAnsi="Palatino Linotype" w:cs="Palatino Linotype"/>
          <w:sz w:val="22"/>
          <w:szCs w:val="22"/>
        </w:rPr>
        <w:t xml:space="preserve">es susceptible de contar con la información solicitada respecto al contrato </w:t>
      </w:r>
      <w:r w:rsidRPr="00003419">
        <w:rPr>
          <w:rFonts w:ascii="Palatino Linotype" w:eastAsia="Palatino Linotype" w:hAnsi="Palatino Linotype" w:cs="Palatino Linotype"/>
          <w:color w:val="000000"/>
          <w:sz w:val="22"/>
          <w:szCs w:val="22"/>
        </w:rPr>
        <w:t xml:space="preserve">vigente y factura correspondiente </w:t>
      </w:r>
    </w:p>
    <w:p w14:paraId="156DA0C7" w14:textId="77777777" w:rsidR="009B2285" w:rsidRPr="00003419" w:rsidRDefault="00772DEA">
      <w:pPr>
        <w:spacing w:before="240" w:after="240" w:line="360" w:lineRule="auto"/>
        <w:jc w:val="both"/>
        <w:rPr>
          <w:rFonts w:ascii="Palatino Linotype" w:eastAsia="Palatino Linotype" w:hAnsi="Palatino Linotype" w:cs="Palatino Linotype"/>
          <w:b/>
          <w:color w:val="000000"/>
          <w:sz w:val="22"/>
          <w:szCs w:val="22"/>
        </w:rPr>
      </w:pPr>
      <w:r w:rsidRPr="00003419">
        <w:rPr>
          <w:rFonts w:ascii="Palatino Linotype" w:eastAsia="Palatino Linotype" w:hAnsi="Palatino Linotype" w:cs="Palatino Linotype"/>
          <w:color w:val="000000"/>
          <w:sz w:val="22"/>
          <w:szCs w:val="22"/>
        </w:rPr>
        <w:t xml:space="preserve">Bajo otro orden de ideas, respecto al </w:t>
      </w:r>
      <w:r w:rsidRPr="00003419">
        <w:rPr>
          <w:rFonts w:ascii="Palatino Linotype" w:eastAsia="Palatino Linotype" w:hAnsi="Palatino Linotype" w:cs="Palatino Linotype"/>
          <w:b/>
          <w:color w:val="000000"/>
          <w:sz w:val="22"/>
          <w:szCs w:val="22"/>
        </w:rPr>
        <w:t>contrato de arrendamiento</w:t>
      </w:r>
      <w:r w:rsidRPr="00003419">
        <w:rPr>
          <w:rFonts w:ascii="Palatino Linotype" w:eastAsia="Palatino Linotype" w:hAnsi="Palatino Linotype" w:cs="Palatino Linotype"/>
          <w:color w:val="000000"/>
          <w:sz w:val="22"/>
          <w:szCs w:val="22"/>
        </w:rPr>
        <w:t>, se tiene que este</w:t>
      </w:r>
      <w:r w:rsidRPr="00003419">
        <w:rPr>
          <w:rFonts w:ascii="Palatino Linotype" w:eastAsia="Palatino Linotype" w:hAnsi="Palatino Linotype" w:cs="Palatino Linotype"/>
          <w:b/>
          <w:color w:val="000000"/>
          <w:sz w:val="22"/>
          <w:szCs w:val="22"/>
        </w:rPr>
        <w:t xml:space="preserve"> </w:t>
      </w:r>
      <w:r w:rsidRPr="00003419">
        <w:rPr>
          <w:rFonts w:ascii="Palatino Linotype" w:eastAsia="Palatino Linotype" w:hAnsi="Palatino Linotype" w:cs="Palatino Linotype"/>
          <w:color w:val="000000"/>
          <w:sz w:val="22"/>
          <w:szCs w:val="22"/>
        </w:rPr>
        <w:t xml:space="preserve">puede obrar en </w:t>
      </w:r>
      <w:r w:rsidRPr="00003419">
        <w:rPr>
          <w:rFonts w:ascii="Palatino Linotype" w:eastAsia="Palatino Linotype" w:hAnsi="Palatino Linotype" w:cs="Palatino Linotype"/>
          <w:sz w:val="22"/>
          <w:szCs w:val="22"/>
        </w:rPr>
        <w:t xml:space="preserve">la información relativa a los procesos de licitación y contratación que regula  la Ley de la  Contratación Pública del Estado de México y Municipios, el cual tiene por objeto observar los actos relativos a la planeación, programación, presupuestación, ejecución y control de la adquisición, enajenación y </w:t>
      </w:r>
      <w:r w:rsidRPr="00003419">
        <w:rPr>
          <w:rFonts w:ascii="Palatino Linotype" w:eastAsia="Palatino Linotype" w:hAnsi="Palatino Linotype" w:cs="Palatino Linotype"/>
          <w:b/>
          <w:sz w:val="22"/>
          <w:szCs w:val="22"/>
          <w:u w:val="single"/>
        </w:rPr>
        <w:t>arrendamiento de bienes</w:t>
      </w:r>
      <w:r w:rsidRPr="00003419">
        <w:rPr>
          <w:rFonts w:ascii="Palatino Linotype" w:eastAsia="Palatino Linotype" w:hAnsi="Palatino Linotype" w:cs="Palatino Linotype"/>
          <w:sz w:val="22"/>
          <w:szCs w:val="22"/>
        </w:rPr>
        <w:t xml:space="preserve">, y la contratación de servicios de cualquier naturaleza, </w:t>
      </w:r>
      <w:r w:rsidRPr="00003419">
        <w:rPr>
          <w:rFonts w:ascii="Palatino Linotype" w:eastAsia="Palatino Linotype" w:hAnsi="Palatino Linotype" w:cs="Palatino Linotype"/>
          <w:b/>
          <w:sz w:val="22"/>
          <w:szCs w:val="22"/>
          <w:u w:val="single"/>
        </w:rPr>
        <w:t>que realicen los Ayuntamientos del Estado</w:t>
      </w:r>
      <w:r w:rsidRPr="00003419">
        <w:rPr>
          <w:rFonts w:ascii="Palatino Linotype" w:eastAsia="Palatino Linotype" w:hAnsi="Palatino Linotype" w:cs="Palatino Linotype"/>
          <w:sz w:val="22"/>
          <w:szCs w:val="22"/>
        </w:rPr>
        <w:t xml:space="preserve">; los cuales se adjudicarán a través de </w:t>
      </w:r>
      <w:r w:rsidRPr="00003419">
        <w:rPr>
          <w:rFonts w:ascii="Palatino Linotype" w:eastAsia="Palatino Linotype" w:hAnsi="Palatino Linotype" w:cs="Palatino Linotype"/>
          <w:b/>
          <w:sz w:val="22"/>
          <w:szCs w:val="22"/>
          <w:u w:val="single"/>
        </w:rPr>
        <w:t>licitaciones públicas</w:t>
      </w:r>
      <w:r w:rsidRPr="00003419">
        <w:rPr>
          <w:rFonts w:ascii="Palatino Linotype" w:eastAsia="Palatino Linotype" w:hAnsi="Palatino Linotype" w:cs="Palatino Linotype"/>
          <w:sz w:val="22"/>
          <w:szCs w:val="22"/>
        </w:rPr>
        <w:t>, invitación restringida o adjudicación directa, mediante convocatoria pública, tal y como lo establecen los artículos 4, 26 y 27 de dicha Ley, los cuales son del tenor siguiente:</w:t>
      </w:r>
    </w:p>
    <w:p w14:paraId="29BDB5CE"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lastRenderedPageBreak/>
        <w:t>“</w:t>
      </w:r>
      <w:r w:rsidRPr="00003419">
        <w:rPr>
          <w:rFonts w:ascii="Palatino Linotype" w:eastAsia="Palatino Linotype" w:hAnsi="Palatino Linotype" w:cs="Palatino Linotype"/>
          <w:b/>
          <w:i/>
          <w:sz w:val="22"/>
          <w:szCs w:val="22"/>
        </w:rPr>
        <w:t>Artículo 4.-</w:t>
      </w:r>
      <w:r w:rsidRPr="00003419">
        <w:rPr>
          <w:rFonts w:ascii="Palatino Linotype" w:eastAsia="Palatino Linotype" w:hAnsi="Palatino Linotype" w:cs="Palatino Linotype"/>
          <w:i/>
          <w:sz w:val="22"/>
          <w:szCs w:val="22"/>
        </w:rPr>
        <w:t xml:space="preserve"> Para los efectos de esta Ley, en las adquisiciones, enajenaciones, arrendamientos y servicios, quedan comprendidos: </w:t>
      </w:r>
    </w:p>
    <w:p w14:paraId="6DF46C8F"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I. La adquisición de bienes muebles. </w:t>
      </w:r>
    </w:p>
    <w:p w14:paraId="54F5AA27"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II. La adquisición de bienes inmuebles, a través de compraventa. </w:t>
      </w:r>
    </w:p>
    <w:p w14:paraId="6F8D6BEA"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III. La enajenación de bienes muebles e inmuebles. </w:t>
      </w:r>
    </w:p>
    <w:p w14:paraId="1F71D05E"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u w:val="single"/>
        </w:rPr>
        <w:t>IV. El arrendamiento de bienes muebles</w:t>
      </w:r>
      <w:r w:rsidRPr="00003419">
        <w:rPr>
          <w:rFonts w:ascii="Palatino Linotype" w:eastAsia="Palatino Linotype" w:hAnsi="Palatino Linotype" w:cs="Palatino Linotype"/>
          <w:i/>
          <w:sz w:val="22"/>
          <w:szCs w:val="22"/>
        </w:rPr>
        <w:t xml:space="preserve"> e inmuebles. </w:t>
      </w:r>
    </w:p>
    <w:p w14:paraId="6C537066"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V. La contratación de los servicios, relacionados con bienes muebles que se encuentran incorporados o adheridos a bienes inmuebles, cuya instalación o mantenimiento no implique modificación al bien inmueble. </w:t>
      </w:r>
    </w:p>
    <w:p w14:paraId="580BF97B"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VI. La contratación de los servicios de reconstrucción y mantenimiento de bienes muebles. </w:t>
      </w:r>
    </w:p>
    <w:p w14:paraId="5E6ECA69"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VII. La contratación de los servicios de maquila, seguros y transportación, así como de los de limpieza y vigilancia de bienes inmuebles</w:t>
      </w:r>
    </w:p>
    <w:p w14:paraId="5B57F91B"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58FC6E47" w14:textId="77777777" w:rsidR="009B2285" w:rsidRPr="00003419" w:rsidRDefault="00772DEA">
      <w:pPr>
        <w:ind w:left="567" w:right="567"/>
        <w:jc w:val="both"/>
        <w:rPr>
          <w:rFonts w:ascii="Palatino Linotype" w:eastAsia="Palatino Linotype" w:hAnsi="Palatino Linotype" w:cs="Palatino Linotype"/>
          <w:b/>
          <w:i/>
          <w:sz w:val="22"/>
          <w:szCs w:val="22"/>
          <w:u w:val="single"/>
        </w:rPr>
      </w:pPr>
      <w:r w:rsidRPr="00003419">
        <w:rPr>
          <w:rFonts w:ascii="Palatino Linotype" w:eastAsia="Palatino Linotype" w:hAnsi="Palatino Linotype" w:cs="Palatino Linotype"/>
          <w:b/>
          <w:i/>
          <w:sz w:val="22"/>
          <w:szCs w:val="22"/>
          <w:u w:val="single"/>
        </w:rPr>
        <w:t>En general, otros actos que impliquen la contratación de servicios de cualquier naturaleza.</w:t>
      </w:r>
    </w:p>
    <w:p w14:paraId="671F8217" w14:textId="77777777" w:rsidR="009B2285" w:rsidRPr="00003419" w:rsidRDefault="00772DEA">
      <w:pPr>
        <w:ind w:left="567" w:right="567"/>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b/>
          <w:i/>
          <w:sz w:val="22"/>
          <w:szCs w:val="22"/>
        </w:rPr>
        <w:t>Artículo 26.- Las adquisiciones, arrendamientos y servicios se adjudicarán a través de licitaciones públicas, mediante convocatoria pública.</w:t>
      </w:r>
    </w:p>
    <w:p w14:paraId="3ECEA690" w14:textId="77777777" w:rsidR="009B2285" w:rsidRPr="00003419" w:rsidRDefault="009B2285">
      <w:pPr>
        <w:ind w:left="567" w:right="567"/>
        <w:jc w:val="both"/>
        <w:rPr>
          <w:rFonts w:ascii="Palatino Linotype" w:eastAsia="Palatino Linotype" w:hAnsi="Palatino Linotype" w:cs="Palatino Linotype"/>
          <w:b/>
          <w:i/>
          <w:sz w:val="22"/>
          <w:szCs w:val="22"/>
        </w:rPr>
      </w:pPr>
    </w:p>
    <w:p w14:paraId="18D8C5F8" w14:textId="77777777" w:rsidR="009B2285" w:rsidRPr="00003419" w:rsidRDefault="00772DEA">
      <w:pPr>
        <w:ind w:left="567" w:right="567"/>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b/>
          <w:i/>
          <w:sz w:val="22"/>
          <w:szCs w:val="22"/>
        </w:rPr>
        <w:t xml:space="preserve">Artículo 27.- </w:t>
      </w:r>
      <w:r w:rsidRPr="00003419">
        <w:rPr>
          <w:rFonts w:ascii="Palatino Linotype" w:eastAsia="Palatino Linotype" w:hAnsi="Palatino Linotype" w:cs="Palatino Linotype"/>
          <w:i/>
          <w:sz w:val="22"/>
          <w:szCs w:val="22"/>
        </w:rPr>
        <w:t xml:space="preserve">La Secretaría, las entidades, los tribunales administrativos y </w:t>
      </w:r>
      <w:r w:rsidRPr="00003419">
        <w:rPr>
          <w:rFonts w:ascii="Palatino Linotype" w:eastAsia="Palatino Linotype" w:hAnsi="Palatino Linotype" w:cs="Palatino Linotype"/>
          <w:b/>
          <w:i/>
          <w:sz w:val="22"/>
          <w:szCs w:val="22"/>
        </w:rPr>
        <w:t xml:space="preserve">los ayuntamientos podrán adjudicar adquisiciones, arrendamientos y servicios, mediante las excepciones al procedimiento de licitación que a continuación se señalan: </w:t>
      </w:r>
    </w:p>
    <w:p w14:paraId="4F2F84E6" w14:textId="77777777" w:rsidR="009B2285" w:rsidRPr="00003419" w:rsidRDefault="00772DEA">
      <w:pPr>
        <w:ind w:left="567" w:right="567"/>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b/>
          <w:i/>
          <w:sz w:val="22"/>
          <w:szCs w:val="22"/>
        </w:rPr>
        <w:t xml:space="preserve">I. Invitación restringida. </w:t>
      </w:r>
    </w:p>
    <w:p w14:paraId="6D0A422B" w14:textId="77777777" w:rsidR="009B2285" w:rsidRPr="00003419" w:rsidRDefault="00772DEA">
      <w:pPr>
        <w:ind w:left="567" w:right="567"/>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b/>
          <w:i/>
          <w:sz w:val="22"/>
          <w:szCs w:val="22"/>
        </w:rPr>
        <w:t>II. Adjudicación directa.”</w:t>
      </w:r>
    </w:p>
    <w:p w14:paraId="3D996AED" w14:textId="77777777" w:rsidR="009B2285" w:rsidRPr="00003419" w:rsidRDefault="00772DEA">
      <w:pPr>
        <w:ind w:left="567" w:right="567"/>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(Énfasis añadido) </w:t>
      </w:r>
    </w:p>
    <w:p w14:paraId="41A7D0F4" w14:textId="77777777" w:rsidR="009B2285" w:rsidRPr="00003419" w:rsidRDefault="009B2285">
      <w:pPr>
        <w:ind w:left="567" w:right="567"/>
        <w:jc w:val="both"/>
        <w:rPr>
          <w:rFonts w:ascii="Palatino Linotype" w:eastAsia="Palatino Linotype" w:hAnsi="Palatino Linotype" w:cs="Palatino Linotype"/>
          <w:sz w:val="22"/>
          <w:szCs w:val="22"/>
        </w:rPr>
      </w:pPr>
    </w:p>
    <w:p w14:paraId="5E07E5B9"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7004D62D" w14:textId="77777777" w:rsidR="009B2285" w:rsidRPr="00003419" w:rsidRDefault="009B2285">
      <w:pPr>
        <w:spacing w:line="360" w:lineRule="auto"/>
        <w:jc w:val="both"/>
        <w:rPr>
          <w:rFonts w:ascii="Palatino Linotype" w:eastAsia="Palatino Linotype" w:hAnsi="Palatino Linotype" w:cs="Palatino Linotype"/>
          <w:sz w:val="22"/>
          <w:szCs w:val="22"/>
        </w:rPr>
      </w:pPr>
    </w:p>
    <w:p w14:paraId="049972BD"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Asimismo, el artículo 33, del mismo ordenamiento legal, puntualmente señala el contenido que deberá tener la convocatoria para la celebración de las licitaciones públicas y por su </w:t>
      </w:r>
      <w:r w:rsidRPr="00003419">
        <w:rPr>
          <w:rFonts w:ascii="Palatino Linotype" w:eastAsia="Palatino Linotype" w:hAnsi="Palatino Linotype" w:cs="Palatino Linotype"/>
          <w:sz w:val="22"/>
          <w:szCs w:val="22"/>
        </w:rPr>
        <w:lastRenderedPageBreak/>
        <w:t xml:space="preserve">parte, el consecutivo 34 señala que las bases de la licitación pública tendrán un costo de recuperación y contendrán los requisitos que se establezcan en el reglamento de dicha Ley. </w:t>
      </w:r>
    </w:p>
    <w:p w14:paraId="0DD36FD7" w14:textId="77777777" w:rsidR="009B2285" w:rsidRPr="00003419" w:rsidRDefault="009B2285">
      <w:pPr>
        <w:spacing w:line="360" w:lineRule="auto"/>
        <w:jc w:val="both"/>
        <w:rPr>
          <w:rFonts w:ascii="Palatino Linotype" w:eastAsia="Palatino Linotype" w:hAnsi="Palatino Linotype" w:cs="Palatino Linotype"/>
          <w:sz w:val="22"/>
          <w:szCs w:val="22"/>
        </w:rPr>
      </w:pPr>
    </w:p>
    <w:p w14:paraId="037640E8"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Por lo que, en las licitaciones se debe seguir el procedimiento marcado en el artículo 35 del precitado ordenamiento, que literalmente establece:</w:t>
      </w:r>
    </w:p>
    <w:p w14:paraId="6AA4C7CA" w14:textId="77777777" w:rsidR="009B2285" w:rsidRPr="00003419" w:rsidRDefault="009B2285">
      <w:pPr>
        <w:jc w:val="both"/>
        <w:rPr>
          <w:rFonts w:ascii="Palatino Linotype" w:eastAsia="Palatino Linotype" w:hAnsi="Palatino Linotype" w:cs="Palatino Linotype"/>
          <w:sz w:val="22"/>
          <w:szCs w:val="22"/>
        </w:rPr>
      </w:pPr>
    </w:p>
    <w:p w14:paraId="4E918379"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t>“Artículo 35</w:t>
      </w:r>
      <w:r w:rsidRPr="00003419">
        <w:rPr>
          <w:rFonts w:ascii="Palatino Linotype" w:eastAsia="Palatino Linotype" w:hAnsi="Palatino Linotype" w:cs="Palatino Linotype"/>
          <w:i/>
          <w:sz w:val="22"/>
          <w:szCs w:val="22"/>
        </w:rPr>
        <w:t>.- En los procedimientos de licitación pública se observará lo siguiente:</w:t>
      </w:r>
    </w:p>
    <w:p w14:paraId="3F6D92CC"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I. El acto de presentación y apertura de propuestas se llevará a cabo por el servidor público que designe la convocante, conforme al procedimiento que se establezca en el reglamento de esta Ley.</w:t>
      </w:r>
    </w:p>
    <w:p w14:paraId="69A56DC7"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II. El comité de adquisiciones y servicios evaluará y analizará las propuestas técnicas y económicas presentadas por los licitantes en el ámbito de las respectivas competencias de sus integrantes, y emitirá el dictamen de adjudicación.</w:t>
      </w:r>
    </w:p>
    <w:p w14:paraId="0A716B0D"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3C247996"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IV. Las convocantes podrán modificar los plazos y términos establecidos en la convocatoria o en las bases de licitación, hasta cinco días hábiles anteriores a la fecha de la celebración del acto de presentación y apertura de propuestas.</w:t>
      </w:r>
    </w:p>
    <w:p w14:paraId="5E593B3E"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V. Las modificaciones no podrán limitar el número de licitantes, sustituir o variar sustancialmente los bienes o servicios convocados originalmente, ni adicionar otros distintos.</w:t>
      </w:r>
    </w:p>
    <w:p w14:paraId="2042ABDE"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VI. Las modificaciones a la convocatoria o a las bases se harán del conocimiento de los interesados hasta tres días hábiles antes de la fecha señalada para el acto de presentación y apertura de propuestas.</w:t>
      </w:r>
    </w:p>
    <w:p w14:paraId="38C81E2B"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VII. Se emitirá el fallo dentro de los 15 días hábiles siguientes a la publicación de la convocatoria.</w:t>
      </w:r>
    </w:p>
    <w:p w14:paraId="703A2C23"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VIII. Los licitantes se podrán registrar hasta el día y la hora fijados para el acto de presentación y apertura de propuestas.</w:t>
      </w:r>
      <w:r w:rsidRPr="00003419">
        <w:rPr>
          <w:rFonts w:ascii="Palatino Linotype" w:eastAsia="Palatino Linotype" w:hAnsi="Palatino Linotype" w:cs="Palatino Linotype"/>
          <w:b/>
          <w:i/>
          <w:sz w:val="22"/>
          <w:szCs w:val="22"/>
        </w:rPr>
        <w:t>”</w:t>
      </w:r>
    </w:p>
    <w:p w14:paraId="02BC36BA" w14:textId="77777777" w:rsidR="009B2285" w:rsidRPr="00003419" w:rsidRDefault="00772DEA">
      <w:pPr>
        <w:ind w:left="567" w:right="567"/>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 (Énfasis añadido)</w:t>
      </w:r>
    </w:p>
    <w:p w14:paraId="098C225D" w14:textId="77777777" w:rsidR="009B2285" w:rsidRPr="00003419" w:rsidRDefault="009B2285">
      <w:pPr>
        <w:ind w:left="851" w:right="902"/>
        <w:jc w:val="both"/>
        <w:rPr>
          <w:rFonts w:ascii="Palatino Linotype" w:eastAsia="Palatino Linotype" w:hAnsi="Palatino Linotype" w:cs="Palatino Linotype"/>
          <w:sz w:val="22"/>
          <w:szCs w:val="22"/>
        </w:rPr>
      </w:pPr>
    </w:p>
    <w:p w14:paraId="600F0461"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Del precepto legal, se desprende </w:t>
      </w:r>
      <w:proofErr w:type="gramStart"/>
      <w:r w:rsidRPr="00003419">
        <w:rPr>
          <w:rFonts w:ascii="Palatino Linotype" w:eastAsia="Palatino Linotype" w:hAnsi="Palatino Linotype" w:cs="Palatino Linotype"/>
          <w:sz w:val="22"/>
          <w:szCs w:val="22"/>
        </w:rPr>
        <w:t>que</w:t>
      </w:r>
      <w:proofErr w:type="gramEnd"/>
      <w:r w:rsidRPr="00003419">
        <w:rPr>
          <w:rFonts w:ascii="Palatino Linotype" w:eastAsia="Palatino Linotype" w:hAnsi="Palatino Linotype" w:cs="Palatino Linotype"/>
          <w:sz w:val="22"/>
          <w:szCs w:val="22"/>
        </w:rPr>
        <w:t xml:space="preserve"> al Comité de Adquisiciones y Servicios, le corresponde evaluar y analizar las propuestas técnicas y económicas presentadas por los licitantes en el ámbito de las respectivas competencias de sus integrantes, debiendo emitir para ello un </w:t>
      </w:r>
      <w:r w:rsidRPr="00003419">
        <w:rPr>
          <w:rFonts w:ascii="Palatino Linotype" w:eastAsia="Palatino Linotype" w:hAnsi="Palatino Linotype" w:cs="Palatino Linotype"/>
          <w:sz w:val="22"/>
          <w:szCs w:val="22"/>
        </w:rPr>
        <w:lastRenderedPageBreak/>
        <w:t>dictamen de adjudicación y conforme a dicho dictamen se deberá emitir el fallo dentro de los quince días hábiles siguientes a la publicación de la convocatoria.</w:t>
      </w:r>
    </w:p>
    <w:p w14:paraId="3B27EFB8" w14:textId="77777777" w:rsidR="009B2285" w:rsidRPr="00003419" w:rsidRDefault="009B2285">
      <w:pPr>
        <w:spacing w:line="360" w:lineRule="auto"/>
        <w:jc w:val="both"/>
        <w:rPr>
          <w:rFonts w:ascii="Palatino Linotype" w:eastAsia="Palatino Linotype" w:hAnsi="Palatino Linotype" w:cs="Palatino Linotype"/>
          <w:sz w:val="22"/>
          <w:szCs w:val="22"/>
        </w:rPr>
      </w:pPr>
    </w:p>
    <w:p w14:paraId="06244562"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3886646B" w14:textId="77777777" w:rsidR="009B2285" w:rsidRPr="00003419" w:rsidRDefault="009B2285">
      <w:pPr>
        <w:spacing w:line="360" w:lineRule="auto"/>
        <w:jc w:val="both"/>
        <w:rPr>
          <w:rFonts w:ascii="Palatino Linotype" w:eastAsia="Palatino Linotype" w:hAnsi="Palatino Linotype" w:cs="Palatino Linotype"/>
          <w:sz w:val="22"/>
          <w:szCs w:val="22"/>
        </w:rPr>
      </w:pPr>
    </w:p>
    <w:p w14:paraId="16C72FF8"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7288016D" w14:textId="77777777" w:rsidR="009B2285" w:rsidRPr="00003419" w:rsidRDefault="009B2285">
      <w:pPr>
        <w:spacing w:line="360" w:lineRule="auto"/>
        <w:jc w:val="both"/>
        <w:rPr>
          <w:rFonts w:ascii="Palatino Linotype" w:eastAsia="Palatino Linotype" w:hAnsi="Palatino Linotype" w:cs="Palatino Linotype"/>
          <w:sz w:val="22"/>
          <w:szCs w:val="22"/>
        </w:rPr>
      </w:pPr>
    </w:p>
    <w:p w14:paraId="66ABA59C"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t>“Artículo 46.-</w:t>
      </w:r>
      <w:r w:rsidRPr="00003419">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 (Sic)</w:t>
      </w:r>
    </w:p>
    <w:p w14:paraId="61FD4AFB"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Por ello, el Reglamento de la Ley en comento, en su artículo 90, indica cuales lo son los supuestos que deberán observarse para llevar a cabo dicho procedimiento:</w:t>
      </w:r>
    </w:p>
    <w:p w14:paraId="4D325BF2" w14:textId="77777777" w:rsidR="009B2285" w:rsidRPr="00003419" w:rsidRDefault="009B2285">
      <w:pPr>
        <w:ind w:left="567" w:right="567"/>
        <w:jc w:val="both"/>
        <w:rPr>
          <w:rFonts w:ascii="Palatino Linotype" w:eastAsia="Palatino Linotype" w:hAnsi="Palatino Linotype" w:cs="Palatino Linotype"/>
          <w:b/>
          <w:i/>
          <w:sz w:val="22"/>
          <w:szCs w:val="22"/>
        </w:rPr>
      </w:pPr>
    </w:p>
    <w:p w14:paraId="1FFE27CF"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t>Artículo 90.-</w:t>
      </w:r>
      <w:r w:rsidRPr="00003419">
        <w:rPr>
          <w:rFonts w:ascii="Palatino Linotype" w:eastAsia="Palatino Linotype" w:hAnsi="Palatino Linotype" w:cs="Palatino Linotype"/>
          <w:i/>
          <w:sz w:val="22"/>
          <w:szCs w:val="22"/>
        </w:rPr>
        <w:t xml:space="preserve"> En el procedimiento de invitación restringida se deberá observar lo siguiente:</w:t>
      </w:r>
    </w:p>
    <w:p w14:paraId="744A0251" w14:textId="77777777" w:rsidR="009B2285" w:rsidRPr="00003419" w:rsidRDefault="009B2285">
      <w:pPr>
        <w:ind w:left="567" w:right="567"/>
        <w:jc w:val="both"/>
        <w:rPr>
          <w:rFonts w:ascii="Palatino Linotype" w:eastAsia="Palatino Linotype" w:hAnsi="Palatino Linotype" w:cs="Palatino Linotype"/>
          <w:i/>
          <w:sz w:val="22"/>
          <w:szCs w:val="22"/>
        </w:rPr>
      </w:pPr>
    </w:p>
    <w:p w14:paraId="5647E0A0"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I. Se invitará a un mínimo de tres personas seleccionadas de entre las que se encuentren inscritas en el catálogo de proveedores y de prestadores de servicios.</w:t>
      </w:r>
    </w:p>
    <w:p w14:paraId="1E813610"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Se podrá invitar a personas que no se encuentren inscritas, cuando en el giro correspondiente del catálogo de proveedores y prestadores de servicios no exista el registro mínimo de personas requeridas para tal modalidad;</w:t>
      </w:r>
    </w:p>
    <w:p w14:paraId="5E03D8C8"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II. Las bases de la invitación restringida indicarán los aspectos de la adquisición o contratación; y</w:t>
      </w:r>
    </w:p>
    <w:p w14:paraId="54A049BF" w14:textId="77777777" w:rsidR="009B2285" w:rsidRPr="00003419" w:rsidRDefault="00772DEA">
      <w:pPr>
        <w:ind w:left="567" w:right="567"/>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i/>
          <w:sz w:val="22"/>
          <w:szCs w:val="22"/>
        </w:rPr>
        <w:t>III. Serán aplicables, en lo conducente, las disposiciones de la licitación pública.</w:t>
      </w:r>
      <w:r w:rsidRPr="00003419">
        <w:rPr>
          <w:rFonts w:ascii="Palatino Linotype" w:eastAsia="Palatino Linotype" w:hAnsi="Palatino Linotype" w:cs="Palatino Linotype"/>
          <w:b/>
          <w:i/>
          <w:sz w:val="22"/>
          <w:szCs w:val="22"/>
        </w:rPr>
        <w:t>”</w:t>
      </w:r>
    </w:p>
    <w:p w14:paraId="2439FD1B" w14:textId="77777777" w:rsidR="009B2285" w:rsidRPr="00003419" w:rsidRDefault="009B2285">
      <w:pPr>
        <w:ind w:left="709" w:right="760"/>
        <w:jc w:val="both"/>
        <w:rPr>
          <w:rFonts w:ascii="Palatino Linotype" w:eastAsia="Palatino Linotype" w:hAnsi="Palatino Linotype" w:cs="Palatino Linotype"/>
          <w:i/>
          <w:sz w:val="22"/>
          <w:szCs w:val="22"/>
        </w:rPr>
      </w:pPr>
    </w:p>
    <w:p w14:paraId="5FAFAAAE"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En conclusión, referente a este punto cuando los procedimientos de adquisición o prestación de servicios materia de la Ley en cita, se hubieran llevado a cabo mediante invitación </w:t>
      </w:r>
      <w:r w:rsidRPr="00003419">
        <w:rPr>
          <w:rFonts w:ascii="Palatino Linotype" w:eastAsia="Palatino Linotype" w:hAnsi="Palatino Linotype" w:cs="Palatino Linotype"/>
          <w:sz w:val="22"/>
          <w:szCs w:val="22"/>
        </w:rPr>
        <w:lastRenderedPageBreak/>
        <w:t>restringida, por cada procedimiento se debe contar con las bases, dictámenes, fallos y en su caso, fianzas, de haber sido esta la garantía exhibida.</w:t>
      </w:r>
    </w:p>
    <w:p w14:paraId="7133C60D" w14:textId="77777777" w:rsidR="009B2285" w:rsidRPr="00003419" w:rsidRDefault="009B2285">
      <w:pPr>
        <w:spacing w:line="360" w:lineRule="auto"/>
        <w:jc w:val="both"/>
        <w:rPr>
          <w:rFonts w:ascii="Palatino Linotype" w:eastAsia="Palatino Linotype" w:hAnsi="Palatino Linotype" w:cs="Palatino Linotype"/>
          <w:sz w:val="22"/>
          <w:szCs w:val="22"/>
        </w:rPr>
      </w:pPr>
    </w:p>
    <w:p w14:paraId="6A41CFB0"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Por último, y en cuanto hace a la adjudicación directa, el artículo 48 de la Ley de la Contratación Pública del Estado de México y Municipios y 91 del Reglamento de dicha Ley, indican en qué supuestos puede llevarse a cabo este procedimiento.</w:t>
      </w:r>
    </w:p>
    <w:p w14:paraId="79C99396" w14:textId="77777777" w:rsidR="009B2285" w:rsidRPr="00003419" w:rsidRDefault="009B2285">
      <w:pPr>
        <w:spacing w:line="360" w:lineRule="auto"/>
        <w:jc w:val="both"/>
        <w:rPr>
          <w:rFonts w:ascii="Palatino Linotype" w:eastAsia="Palatino Linotype" w:hAnsi="Palatino Linotype" w:cs="Palatino Linotype"/>
          <w:sz w:val="22"/>
          <w:szCs w:val="22"/>
        </w:rPr>
      </w:pPr>
    </w:p>
    <w:p w14:paraId="452FDCF9"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583D237B" w14:textId="77777777" w:rsidR="009B2285" w:rsidRPr="00003419" w:rsidRDefault="009B2285">
      <w:pPr>
        <w:spacing w:line="360" w:lineRule="auto"/>
        <w:jc w:val="both"/>
        <w:rPr>
          <w:rFonts w:ascii="Palatino Linotype" w:eastAsia="Palatino Linotype" w:hAnsi="Palatino Linotype" w:cs="Palatino Linotype"/>
          <w:sz w:val="22"/>
          <w:szCs w:val="22"/>
        </w:rPr>
      </w:pPr>
    </w:p>
    <w:p w14:paraId="3C871C85"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Además, el artículo 94 del referido Reglamento, detalla el procedimiento que se llevará a cabo en la adjudicación directa, de la siguiente manera: </w:t>
      </w:r>
    </w:p>
    <w:p w14:paraId="265DF74E" w14:textId="77777777" w:rsidR="009B2285" w:rsidRPr="00003419" w:rsidRDefault="009B2285">
      <w:pPr>
        <w:jc w:val="both"/>
        <w:rPr>
          <w:rFonts w:ascii="Palatino Linotype" w:eastAsia="Palatino Linotype" w:hAnsi="Palatino Linotype" w:cs="Palatino Linotype"/>
          <w:sz w:val="22"/>
          <w:szCs w:val="22"/>
        </w:rPr>
      </w:pPr>
    </w:p>
    <w:p w14:paraId="7DE52EC5" w14:textId="77777777" w:rsidR="009B2285" w:rsidRPr="00003419" w:rsidRDefault="00772DEA">
      <w:pPr>
        <w:ind w:left="567" w:right="567"/>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b/>
          <w:i/>
          <w:sz w:val="22"/>
          <w:szCs w:val="22"/>
        </w:rPr>
        <w:t xml:space="preserve">“Artículo 94.- </w:t>
      </w:r>
      <w:r w:rsidRPr="00003419">
        <w:rPr>
          <w:rFonts w:ascii="Palatino Linotype" w:eastAsia="Palatino Linotype" w:hAnsi="Palatino Linotype" w:cs="Palatino Linotype"/>
          <w:i/>
          <w:sz w:val="22"/>
          <w:szCs w:val="22"/>
        </w:rPr>
        <w:t>En el procedimiento de adjudicación directa se observará lo siguiente:</w:t>
      </w:r>
      <w:r w:rsidRPr="00003419">
        <w:rPr>
          <w:rFonts w:ascii="Palatino Linotype" w:eastAsia="Palatino Linotype" w:hAnsi="Palatino Linotype" w:cs="Palatino Linotype"/>
          <w:b/>
          <w:i/>
          <w:sz w:val="22"/>
          <w:szCs w:val="22"/>
        </w:rPr>
        <w:t xml:space="preserve"> </w:t>
      </w:r>
    </w:p>
    <w:p w14:paraId="5C4027B0"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t>I.</w:t>
      </w:r>
      <w:r w:rsidRPr="00003419">
        <w:rPr>
          <w:rFonts w:ascii="Palatino Linotype" w:eastAsia="Palatino Linotype" w:hAnsi="Palatino Linotype" w:cs="Palatino Linotype"/>
          <w:i/>
          <w:sz w:val="22"/>
          <w:szCs w:val="22"/>
        </w:rPr>
        <w:t xml:space="preserve"> Las adquisiciones de bienes y la contratación de servicios, se </w:t>
      </w:r>
      <w:proofErr w:type="gramStart"/>
      <w:r w:rsidRPr="00003419">
        <w:rPr>
          <w:rFonts w:ascii="Palatino Linotype" w:eastAsia="Palatino Linotype" w:hAnsi="Palatino Linotype" w:cs="Palatino Linotype"/>
          <w:i/>
          <w:sz w:val="22"/>
          <w:szCs w:val="22"/>
        </w:rPr>
        <w:t>efectuaran</w:t>
      </w:r>
      <w:proofErr w:type="gramEnd"/>
      <w:r w:rsidRPr="00003419">
        <w:rPr>
          <w:rFonts w:ascii="Palatino Linotype" w:eastAsia="Palatino Linotype" w:hAnsi="Palatino Linotype" w:cs="Palatino Linotype"/>
          <w:i/>
          <w:sz w:val="22"/>
          <w:szCs w:val="22"/>
        </w:rPr>
        <w:t xml:space="preserve">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243F68F9"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t>II.</w:t>
      </w:r>
      <w:r w:rsidRPr="00003419">
        <w:rPr>
          <w:rFonts w:ascii="Palatino Linotype" w:eastAsia="Palatino Linotype" w:hAnsi="Palatino Linotype" w:cs="Palatino Linotype"/>
          <w:i/>
          <w:sz w:val="22"/>
          <w:szCs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2FAAF0B9"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t>III.</w:t>
      </w:r>
      <w:r w:rsidRPr="00003419">
        <w:rPr>
          <w:rFonts w:ascii="Palatino Linotype" w:eastAsia="Palatino Linotype" w:hAnsi="Palatino Linotype" w:cs="Palatino Linotype"/>
          <w:i/>
          <w:sz w:val="22"/>
          <w:szCs w:val="22"/>
        </w:rPr>
        <w:t xml:space="preserve"> La solicitud de participación contendrá, como mínimo, la descripción y cantidad de los bienes o servicios requeridos, lugar, plazo de entrega o duración del servicio y forma de pago;</w:t>
      </w:r>
    </w:p>
    <w:p w14:paraId="4BE1C1FF"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t>IV.</w:t>
      </w:r>
      <w:r w:rsidRPr="00003419">
        <w:rPr>
          <w:rFonts w:ascii="Palatino Linotype" w:eastAsia="Palatino Linotype" w:hAnsi="Palatino Linotype" w:cs="Palatino Linotype"/>
          <w:i/>
          <w:sz w:val="22"/>
          <w:szCs w:val="22"/>
        </w:rPr>
        <w:t xml:space="preserve"> La solicitud de participación deberá señalar el día, hora y lugar en que tendrá verificativo el acto de presentación y apertura de ofertas;</w:t>
      </w:r>
    </w:p>
    <w:p w14:paraId="2EDC36D8"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t>V.</w:t>
      </w:r>
      <w:r w:rsidRPr="00003419">
        <w:rPr>
          <w:rFonts w:ascii="Palatino Linotype" w:eastAsia="Palatino Linotype" w:hAnsi="Palatino Linotype" w:cs="Palatino Linotype"/>
          <w:i/>
          <w:sz w:val="22"/>
          <w:szCs w:val="22"/>
        </w:rPr>
        <w:t xml:space="preserve"> Atendiendo a la naturaleza de los bienes o servicios, la convocante podrá optar entre celebrar o no junta de aclaraciones, en términos de lo dispuesto por este Reglamento;</w:t>
      </w:r>
    </w:p>
    <w:p w14:paraId="5130C2D3"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lastRenderedPageBreak/>
        <w:t>VI.</w:t>
      </w:r>
      <w:r w:rsidRPr="00003419">
        <w:rPr>
          <w:rFonts w:ascii="Palatino Linotype" w:eastAsia="Palatino Linotype" w:hAnsi="Palatino Linotype" w:cs="Palatino Linotype"/>
          <w:i/>
          <w:sz w:val="22"/>
          <w:szCs w:val="22"/>
        </w:rPr>
        <w:t xml:space="preserve"> El servidor público designado por la convocante será el responsable de llevar a cabo el acto de presentación y apertura de propuestas;</w:t>
      </w:r>
    </w:p>
    <w:p w14:paraId="56AF07FF"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t>VII.</w:t>
      </w:r>
      <w:r w:rsidRPr="00003419">
        <w:rPr>
          <w:rFonts w:ascii="Palatino Linotype" w:eastAsia="Palatino Linotype" w:hAnsi="Palatino Linotype" w:cs="Palatino Linotype"/>
          <w:i/>
          <w:sz w:val="22"/>
          <w:szCs w:val="22"/>
        </w:rPr>
        <w:t xml:space="preserve"> Se observarán, en lo conducente, las disposiciones relativas a la contraoferta; y</w:t>
      </w:r>
    </w:p>
    <w:p w14:paraId="13D29855"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t>VIII.</w:t>
      </w:r>
      <w:r w:rsidRPr="00003419">
        <w:rPr>
          <w:rFonts w:ascii="Palatino Linotype" w:eastAsia="Palatino Linotype" w:hAnsi="Palatino Linotype" w:cs="Palatino Linotype"/>
          <w:i/>
          <w:sz w:val="22"/>
          <w:szCs w:val="22"/>
        </w:rPr>
        <w:t xml:space="preserve"> El comité será responsable de emitir el dictamen de adjudicación que servirá de base para el fallo de adjudicación; correspondiendo a la convocante emitir dicho fallo, quien lo hará del conocimiento de los licitantes.</w:t>
      </w:r>
      <w:r w:rsidRPr="00003419">
        <w:rPr>
          <w:rFonts w:ascii="Palatino Linotype" w:eastAsia="Palatino Linotype" w:hAnsi="Palatino Linotype" w:cs="Palatino Linotype"/>
          <w:b/>
          <w:i/>
          <w:sz w:val="22"/>
          <w:szCs w:val="22"/>
        </w:rPr>
        <w:t>”</w:t>
      </w:r>
      <w:r w:rsidRPr="00003419">
        <w:rPr>
          <w:rFonts w:ascii="Palatino Linotype" w:eastAsia="Palatino Linotype" w:hAnsi="Palatino Linotype" w:cs="Palatino Linotype"/>
          <w:i/>
          <w:sz w:val="22"/>
          <w:szCs w:val="22"/>
        </w:rPr>
        <w:t xml:space="preserve"> </w:t>
      </w:r>
    </w:p>
    <w:p w14:paraId="112AAE6D" w14:textId="77777777" w:rsidR="009B2285" w:rsidRPr="00003419" w:rsidRDefault="00772DEA">
      <w:pPr>
        <w:ind w:left="567" w:right="567"/>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(Énfasis añadido)</w:t>
      </w:r>
    </w:p>
    <w:p w14:paraId="2D725242" w14:textId="77777777" w:rsidR="009B2285" w:rsidRPr="00003419" w:rsidRDefault="009B2285">
      <w:pPr>
        <w:ind w:left="851" w:right="851"/>
        <w:jc w:val="both"/>
        <w:rPr>
          <w:rFonts w:ascii="Palatino Linotype" w:eastAsia="Palatino Linotype" w:hAnsi="Palatino Linotype" w:cs="Palatino Linotype"/>
          <w:i/>
          <w:sz w:val="22"/>
          <w:szCs w:val="22"/>
        </w:rPr>
      </w:pPr>
    </w:p>
    <w:p w14:paraId="15CA6C78"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En este sentido, debe decirse que los </w:t>
      </w:r>
      <w:r w:rsidRPr="00003419">
        <w:rPr>
          <w:rFonts w:ascii="Palatino Linotype" w:eastAsia="Palatino Linotype" w:hAnsi="Palatino Linotype" w:cs="Palatino Linotype"/>
          <w:b/>
          <w:sz w:val="22"/>
          <w:szCs w:val="22"/>
          <w:u w:val="single"/>
        </w:rPr>
        <w:t>expedientes de las adquisiciones, arrendamientos, enajenaciones y servicios</w:t>
      </w:r>
      <w:r w:rsidRPr="00003419">
        <w:rPr>
          <w:rFonts w:ascii="Palatino Linotype" w:eastAsia="Palatino Linotype" w:hAnsi="Palatino Linotype" w:cs="Palatino Linotype"/>
          <w:sz w:val="22"/>
          <w:szCs w:val="22"/>
        </w:rPr>
        <w:t xml:space="preserve">,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003419">
        <w:rPr>
          <w:rFonts w:ascii="Palatino Linotype" w:eastAsia="Palatino Linotype" w:hAnsi="Palatino Linotype" w:cs="Palatino Linotype"/>
          <w:color w:val="000000"/>
          <w:sz w:val="22"/>
          <w:szCs w:val="22"/>
        </w:rPr>
        <w:t xml:space="preserve">el </w:t>
      </w:r>
      <w:r w:rsidRPr="00003419">
        <w:rPr>
          <w:rFonts w:ascii="Palatino Linotype" w:eastAsia="Palatino Linotype" w:hAnsi="Palatino Linotype" w:cs="Palatino Linotype"/>
          <w:sz w:val="22"/>
          <w:szCs w:val="22"/>
        </w:rPr>
        <w:t>artículo 92 de la de la Ley de Transparencia y Acceso a la Información Pública del Estado de México y Municipios, en su fracción XXIX, dispone lo siguiente:</w:t>
      </w:r>
    </w:p>
    <w:p w14:paraId="11AFFDCE" w14:textId="77777777" w:rsidR="009B2285" w:rsidRPr="00003419" w:rsidRDefault="009B2285">
      <w:pPr>
        <w:jc w:val="both"/>
        <w:rPr>
          <w:rFonts w:ascii="Palatino Linotype" w:eastAsia="Palatino Linotype" w:hAnsi="Palatino Linotype" w:cs="Palatino Linotype"/>
          <w:sz w:val="22"/>
          <w:szCs w:val="22"/>
        </w:rPr>
      </w:pPr>
    </w:p>
    <w:p w14:paraId="27A882E2"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“Artículo 92. </w:t>
      </w:r>
      <w:r w:rsidRPr="00003419">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6B1D0AD"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i/>
          <w:sz w:val="22"/>
          <w:szCs w:val="22"/>
        </w:rPr>
        <w:t>(…)</w:t>
      </w:r>
    </w:p>
    <w:p w14:paraId="6E9F35A4" w14:textId="77777777" w:rsidR="009B2285" w:rsidRPr="00003419" w:rsidRDefault="009B2285">
      <w:pPr>
        <w:ind w:left="567" w:right="567"/>
        <w:jc w:val="both"/>
        <w:rPr>
          <w:rFonts w:ascii="Palatino Linotype" w:eastAsia="Palatino Linotype" w:hAnsi="Palatino Linotype" w:cs="Palatino Linotype"/>
          <w:b/>
          <w:i/>
          <w:sz w:val="22"/>
          <w:szCs w:val="22"/>
        </w:rPr>
      </w:pPr>
    </w:p>
    <w:p w14:paraId="6CD9C8A4"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XXIX. </w:t>
      </w:r>
      <w:r w:rsidRPr="00003419">
        <w:rPr>
          <w:rFonts w:ascii="Palatino Linotype" w:eastAsia="Palatino Linotype" w:hAnsi="Palatino Linotype" w:cs="Palatino Linotype"/>
          <w:i/>
          <w:sz w:val="22"/>
          <w:szCs w:val="22"/>
        </w:rPr>
        <w:t>La información sobre los procesos y resultados sobre procedimientos de adjudicación directa, invitación restringida y licitación de cualquier naturaleza, </w:t>
      </w:r>
      <w:r w:rsidRPr="00003419">
        <w:rPr>
          <w:rFonts w:ascii="Palatino Linotype" w:eastAsia="Palatino Linotype" w:hAnsi="Palatino Linotype" w:cs="Palatino Linotype"/>
          <w:b/>
          <w:i/>
          <w:sz w:val="22"/>
          <w:szCs w:val="22"/>
          <w:u w:val="single"/>
        </w:rPr>
        <w:t>incluyendo la versión pública del expediente respectivo y de los contratos</w:t>
      </w:r>
      <w:r w:rsidRPr="00003419">
        <w:rPr>
          <w:rFonts w:ascii="Palatino Linotype" w:eastAsia="Palatino Linotype" w:hAnsi="Palatino Linotype" w:cs="Palatino Linotype"/>
          <w:i/>
          <w:sz w:val="22"/>
          <w:szCs w:val="22"/>
        </w:rPr>
        <w:t> celebrados, que deberán contener, por los menos, lo siguiente:</w:t>
      </w:r>
    </w:p>
    <w:p w14:paraId="79F3235A"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a) </w:t>
      </w:r>
      <w:r w:rsidRPr="00003419">
        <w:rPr>
          <w:rFonts w:ascii="Palatino Linotype" w:eastAsia="Palatino Linotype" w:hAnsi="Palatino Linotype" w:cs="Palatino Linotype"/>
          <w:i/>
          <w:sz w:val="22"/>
          <w:szCs w:val="22"/>
        </w:rPr>
        <w:t>De licitaciones públicas o procedimientos de invitación restringida:</w:t>
      </w:r>
    </w:p>
    <w:p w14:paraId="7FA0238F"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1)</w:t>
      </w:r>
      <w:r w:rsidRPr="00003419">
        <w:rPr>
          <w:rFonts w:ascii="Palatino Linotype" w:eastAsia="Palatino Linotype" w:hAnsi="Palatino Linotype" w:cs="Palatino Linotype"/>
          <w:i/>
          <w:sz w:val="22"/>
          <w:szCs w:val="22"/>
        </w:rPr>
        <w:t> La convocatoria o invitación emitida, así como los fundamentos legales aplicados para llevarla a cabo;</w:t>
      </w:r>
    </w:p>
    <w:p w14:paraId="3D812C7F"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2) </w:t>
      </w:r>
      <w:r w:rsidRPr="00003419">
        <w:rPr>
          <w:rFonts w:ascii="Palatino Linotype" w:eastAsia="Palatino Linotype" w:hAnsi="Palatino Linotype" w:cs="Palatino Linotype"/>
          <w:i/>
          <w:sz w:val="22"/>
          <w:szCs w:val="22"/>
        </w:rPr>
        <w:t>Los nombres de los participantes o invitados;</w:t>
      </w:r>
    </w:p>
    <w:p w14:paraId="1F94CE3E"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u w:val="single"/>
        </w:rPr>
        <w:t>3) El nombre del ganador</w:t>
      </w:r>
      <w:r w:rsidRPr="00003419">
        <w:rPr>
          <w:rFonts w:ascii="Palatino Linotype" w:eastAsia="Palatino Linotype" w:hAnsi="Palatino Linotype" w:cs="Palatino Linotype"/>
          <w:i/>
          <w:sz w:val="22"/>
          <w:szCs w:val="22"/>
        </w:rPr>
        <w:t xml:space="preserve"> y las razones que lo justifican;</w:t>
      </w:r>
    </w:p>
    <w:p w14:paraId="2AB8ECA7"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4) </w:t>
      </w:r>
      <w:r w:rsidRPr="00003419">
        <w:rPr>
          <w:rFonts w:ascii="Palatino Linotype" w:eastAsia="Palatino Linotype" w:hAnsi="Palatino Linotype" w:cs="Palatino Linotype"/>
          <w:i/>
          <w:sz w:val="22"/>
          <w:szCs w:val="22"/>
        </w:rPr>
        <w:t>El área solicitante y la responsable de su ejecución;</w:t>
      </w:r>
    </w:p>
    <w:p w14:paraId="135B8B20"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5) </w:t>
      </w:r>
      <w:r w:rsidRPr="00003419">
        <w:rPr>
          <w:rFonts w:ascii="Palatino Linotype" w:eastAsia="Palatino Linotype" w:hAnsi="Palatino Linotype" w:cs="Palatino Linotype"/>
          <w:i/>
          <w:sz w:val="22"/>
          <w:szCs w:val="22"/>
        </w:rPr>
        <w:t>Las convocatorias e invitaciones emitidas;</w:t>
      </w:r>
    </w:p>
    <w:p w14:paraId="39F516E7"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6)</w:t>
      </w:r>
      <w:r w:rsidRPr="00003419">
        <w:rPr>
          <w:rFonts w:ascii="Palatino Linotype" w:eastAsia="Palatino Linotype" w:hAnsi="Palatino Linotype" w:cs="Palatino Linotype"/>
          <w:i/>
          <w:sz w:val="22"/>
          <w:szCs w:val="22"/>
        </w:rPr>
        <w:t> Los dictámenes y fallo de adjudicación;</w:t>
      </w:r>
    </w:p>
    <w:p w14:paraId="0A7C7250"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u w:val="single"/>
        </w:rPr>
        <w:lastRenderedPageBreak/>
        <w:t xml:space="preserve">7) El contrato </w:t>
      </w:r>
      <w:r w:rsidRPr="00003419">
        <w:rPr>
          <w:rFonts w:ascii="Palatino Linotype" w:eastAsia="Palatino Linotype" w:hAnsi="Palatino Linotype" w:cs="Palatino Linotype"/>
          <w:i/>
          <w:sz w:val="22"/>
          <w:szCs w:val="22"/>
          <w:u w:val="single"/>
        </w:rPr>
        <w:t>y, en su caso, sus anexos</w:t>
      </w:r>
      <w:r w:rsidRPr="00003419">
        <w:rPr>
          <w:rFonts w:ascii="Palatino Linotype" w:eastAsia="Palatino Linotype" w:hAnsi="Palatino Linotype" w:cs="Palatino Linotype"/>
          <w:i/>
          <w:sz w:val="22"/>
          <w:szCs w:val="22"/>
        </w:rPr>
        <w:t>;</w:t>
      </w:r>
    </w:p>
    <w:p w14:paraId="633A2B18"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8) </w:t>
      </w:r>
      <w:r w:rsidRPr="00003419">
        <w:rPr>
          <w:rFonts w:ascii="Palatino Linotype" w:eastAsia="Palatino Linotype" w:hAnsi="Palatino Linotype" w:cs="Palatino Linotype"/>
          <w:i/>
          <w:sz w:val="22"/>
          <w:szCs w:val="22"/>
        </w:rPr>
        <w:t>Los mecanismos de vigilancia y supervisión, incluyendo en su caso, los estudios de impacto urbano y ambiental, según corresponda;</w:t>
      </w:r>
    </w:p>
    <w:p w14:paraId="49943539"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9) </w:t>
      </w:r>
      <w:r w:rsidRPr="00003419">
        <w:rPr>
          <w:rFonts w:ascii="Palatino Linotype" w:eastAsia="Palatino Linotype" w:hAnsi="Palatino Linotype" w:cs="Palatino Linotype"/>
          <w:i/>
          <w:sz w:val="22"/>
          <w:szCs w:val="22"/>
        </w:rPr>
        <w:t>La partida presupuestal, de conformidad con el clasificador por objeto del gasto, en el caso de ser aplicable;</w:t>
      </w:r>
    </w:p>
    <w:p w14:paraId="55CAAF10"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 xml:space="preserve">10) Origen de los recursos especificando si son federales, estatales o municipales, </w:t>
      </w:r>
      <w:r w:rsidRPr="00003419">
        <w:rPr>
          <w:rFonts w:ascii="Palatino Linotype" w:eastAsia="Palatino Linotype" w:hAnsi="Palatino Linotype" w:cs="Palatino Linotype"/>
          <w:i/>
          <w:sz w:val="22"/>
          <w:szCs w:val="22"/>
        </w:rPr>
        <w:t>así como el tipo de fondo de participación o aportación respectiva;</w:t>
      </w:r>
    </w:p>
    <w:p w14:paraId="5BAACD1B"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11) </w:t>
      </w:r>
      <w:r w:rsidRPr="00003419">
        <w:rPr>
          <w:rFonts w:ascii="Palatino Linotype" w:eastAsia="Palatino Linotype" w:hAnsi="Palatino Linotype" w:cs="Palatino Linotype"/>
          <w:i/>
          <w:sz w:val="22"/>
          <w:szCs w:val="22"/>
        </w:rPr>
        <w:t>Los convenios modificatorios que, en su caso, sean firmados, precisando el objeto y la fecha de celebración;</w:t>
      </w:r>
    </w:p>
    <w:p w14:paraId="428B6BE9"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12) </w:t>
      </w:r>
      <w:r w:rsidRPr="00003419">
        <w:rPr>
          <w:rFonts w:ascii="Palatino Linotype" w:eastAsia="Palatino Linotype" w:hAnsi="Palatino Linotype" w:cs="Palatino Linotype"/>
          <w:i/>
          <w:sz w:val="22"/>
          <w:szCs w:val="22"/>
        </w:rPr>
        <w:t>Los informes de avance físico y financiero sobre las obras o servicios contratados;</w:t>
      </w:r>
    </w:p>
    <w:p w14:paraId="79B7A115"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13) </w:t>
      </w:r>
      <w:r w:rsidRPr="00003419">
        <w:rPr>
          <w:rFonts w:ascii="Palatino Linotype" w:eastAsia="Palatino Linotype" w:hAnsi="Palatino Linotype" w:cs="Palatino Linotype"/>
          <w:i/>
          <w:sz w:val="22"/>
          <w:szCs w:val="22"/>
        </w:rPr>
        <w:t>El convenio de terminación; y</w:t>
      </w:r>
    </w:p>
    <w:p w14:paraId="14ABA1DC"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14) </w:t>
      </w:r>
      <w:r w:rsidRPr="00003419">
        <w:rPr>
          <w:rFonts w:ascii="Palatino Linotype" w:eastAsia="Palatino Linotype" w:hAnsi="Palatino Linotype" w:cs="Palatino Linotype"/>
          <w:i/>
          <w:sz w:val="22"/>
          <w:szCs w:val="22"/>
        </w:rPr>
        <w:t>El finiquito.</w:t>
      </w:r>
    </w:p>
    <w:p w14:paraId="176D38E2"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b) </w:t>
      </w:r>
      <w:r w:rsidRPr="00003419">
        <w:rPr>
          <w:rFonts w:ascii="Palatino Linotype" w:eastAsia="Palatino Linotype" w:hAnsi="Palatino Linotype" w:cs="Palatino Linotype"/>
          <w:i/>
          <w:sz w:val="22"/>
          <w:szCs w:val="22"/>
        </w:rPr>
        <w:t>De las adjudicaciones directas:</w:t>
      </w:r>
    </w:p>
    <w:p w14:paraId="542C0646"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1) </w:t>
      </w:r>
      <w:r w:rsidRPr="00003419">
        <w:rPr>
          <w:rFonts w:ascii="Palatino Linotype" w:eastAsia="Palatino Linotype" w:hAnsi="Palatino Linotype" w:cs="Palatino Linotype"/>
          <w:i/>
          <w:sz w:val="22"/>
          <w:szCs w:val="22"/>
        </w:rPr>
        <w:t>La propuesta enviada por el participante;</w:t>
      </w:r>
    </w:p>
    <w:p w14:paraId="37F992E8"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2) </w:t>
      </w:r>
      <w:r w:rsidRPr="00003419">
        <w:rPr>
          <w:rFonts w:ascii="Palatino Linotype" w:eastAsia="Palatino Linotype" w:hAnsi="Palatino Linotype" w:cs="Palatino Linotype"/>
          <w:i/>
          <w:sz w:val="22"/>
          <w:szCs w:val="22"/>
        </w:rPr>
        <w:t>Los motivos y fundamentos legales aplicados para llevarla a cabo;</w:t>
      </w:r>
    </w:p>
    <w:p w14:paraId="7C85A233"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3) </w:t>
      </w:r>
      <w:r w:rsidRPr="00003419">
        <w:rPr>
          <w:rFonts w:ascii="Palatino Linotype" w:eastAsia="Palatino Linotype" w:hAnsi="Palatino Linotype" w:cs="Palatino Linotype"/>
          <w:i/>
          <w:sz w:val="22"/>
          <w:szCs w:val="22"/>
        </w:rPr>
        <w:t>La autorización del ejercicio de la opción;</w:t>
      </w:r>
    </w:p>
    <w:p w14:paraId="2DAC6927"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4)</w:t>
      </w:r>
      <w:r w:rsidRPr="00003419">
        <w:rPr>
          <w:rFonts w:ascii="Palatino Linotype" w:eastAsia="Palatino Linotype" w:hAnsi="Palatino Linotype" w:cs="Palatino Linotype"/>
          <w:i/>
          <w:sz w:val="22"/>
          <w:szCs w:val="22"/>
        </w:rPr>
        <w:t> En su caso, las cotizaciones consideradas, especificando los nombres de los proveedores y sus montos;</w:t>
      </w:r>
    </w:p>
    <w:p w14:paraId="4A4AC2ED"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5) </w:t>
      </w:r>
      <w:r w:rsidRPr="00003419">
        <w:rPr>
          <w:rFonts w:ascii="Palatino Linotype" w:eastAsia="Palatino Linotype" w:hAnsi="Palatino Linotype" w:cs="Palatino Linotype"/>
          <w:i/>
          <w:sz w:val="22"/>
          <w:szCs w:val="22"/>
        </w:rPr>
        <w:t>El nombre de la persona física o jurídica colectiva adjudicada;</w:t>
      </w:r>
    </w:p>
    <w:p w14:paraId="3124DC0F"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6) </w:t>
      </w:r>
      <w:r w:rsidRPr="00003419">
        <w:rPr>
          <w:rFonts w:ascii="Palatino Linotype" w:eastAsia="Palatino Linotype" w:hAnsi="Palatino Linotype" w:cs="Palatino Linotype"/>
          <w:i/>
          <w:sz w:val="22"/>
          <w:szCs w:val="22"/>
        </w:rPr>
        <w:t>La unidad administrativa solicitante y la responsable de su ejecución;</w:t>
      </w:r>
    </w:p>
    <w:p w14:paraId="6E1AFCBE"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7)</w:t>
      </w:r>
      <w:r w:rsidRPr="00003419">
        <w:rPr>
          <w:rFonts w:ascii="Palatino Linotype" w:eastAsia="Palatino Linotype" w:hAnsi="Palatino Linotype" w:cs="Palatino Linotype"/>
          <w:i/>
          <w:sz w:val="22"/>
          <w:szCs w:val="22"/>
        </w:rPr>
        <w:t> El número, fecha, el monto del contrato y el plazo de entrega o de ejecución de los servicios u obra;</w:t>
      </w:r>
    </w:p>
    <w:p w14:paraId="1C5F084D"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8) </w:t>
      </w:r>
      <w:r w:rsidRPr="00003419">
        <w:rPr>
          <w:rFonts w:ascii="Palatino Linotype" w:eastAsia="Palatino Linotype" w:hAnsi="Palatino Linotype" w:cs="Palatino Linotype"/>
          <w:i/>
          <w:sz w:val="22"/>
          <w:szCs w:val="22"/>
        </w:rPr>
        <w:t>Los mecanismos de vigilancia y supervisión, incluyendo, en su caso, los estudios de impacto urbano y ambiental, según corresponda;</w:t>
      </w:r>
    </w:p>
    <w:p w14:paraId="04CE2E72"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9) </w:t>
      </w:r>
      <w:r w:rsidRPr="00003419">
        <w:rPr>
          <w:rFonts w:ascii="Palatino Linotype" w:eastAsia="Palatino Linotype" w:hAnsi="Palatino Linotype" w:cs="Palatino Linotype"/>
          <w:i/>
          <w:sz w:val="22"/>
          <w:szCs w:val="22"/>
        </w:rPr>
        <w:t>Los informes de avance sobre las obras o servicios contratados;</w:t>
      </w:r>
    </w:p>
    <w:p w14:paraId="74D86EED" w14:textId="77777777" w:rsidR="009B2285" w:rsidRPr="00003419" w:rsidRDefault="00772DEA">
      <w:pPr>
        <w:ind w:left="567" w:right="56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i/>
          <w:sz w:val="22"/>
          <w:szCs w:val="22"/>
        </w:rPr>
        <w:t>10) </w:t>
      </w:r>
      <w:r w:rsidRPr="00003419">
        <w:rPr>
          <w:rFonts w:ascii="Palatino Linotype" w:eastAsia="Palatino Linotype" w:hAnsi="Palatino Linotype" w:cs="Palatino Linotype"/>
          <w:i/>
          <w:sz w:val="22"/>
          <w:szCs w:val="22"/>
        </w:rPr>
        <w:t>El convenio de terminación; y</w:t>
      </w:r>
    </w:p>
    <w:p w14:paraId="2E247E0C" w14:textId="77777777" w:rsidR="009B2285" w:rsidRPr="00003419" w:rsidRDefault="00772DEA">
      <w:pPr>
        <w:ind w:left="567" w:right="567"/>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b/>
          <w:i/>
          <w:sz w:val="22"/>
          <w:szCs w:val="22"/>
        </w:rPr>
        <w:t>11) </w:t>
      </w:r>
      <w:r w:rsidRPr="00003419">
        <w:rPr>
          <w:rFonts w:ascii="Palatino Linotype" w:eastAsia="Palatino Linotype" w:hAnsi="Palatino Linotype" w:cs="Palatino Linotype"/>
          <w:i/>
          <w:sz w:val="22"/>
          <w:szCs w:val="22"/>
        </w:rPr>
        <w:t>El finiquito.</w:t>
      </w:r>
      <w:r w:rsidRPr="00003419">
        <w:rPr>
          <w:rFonts w:ascii="Palatino Linotype" w:eastAsia="Palatino Linotype" w:hAnsi="Palatino Linotype" w:cs="Palatino Linotype"/>
          <w:b/>
          <w:i/>
          <w:sz w:val="22"/>
          <w:szCs w:val="22"/>
        </w:rPr>
        <w:t>”</w:t>
      </w:r>
    </w:p>
    <w:p w14:paraId="49046741" w14:textId="77777777" w:rsidR="009B2285" w:rsidRPr="00003419" w:rsidRDefault="009B2285">
      <w:pPr>
        <w:ind w:left="851" w:right="850"/>
        <w:jc w:val="both"/>
        <w:rPr>
          <w:rFonts w:ascii="Palatino Linotype" w:eastAsia="Palatino Linotype" w:hAnsi="Palatino Linotype" w:cs="Palatino Linotype"/>
          <w:sz w:val="22"/>
          <w:szCs w:val="22"/>
        </w:rPr>
      </w:pPr>
    </w:p>
    <w:p w14:paraId="48F9FABC" w14:textId="77777777" w:rsidR="009B2285" w:rsidRPr="00003419" w:rsidRDefault="009B2285">
      <w:pPr>
        <w:ind w:left="851" w:right="850"/>
        <w:jc w:val="both"/>
        <w:rPr>
          <w:rFonts w:ascii="Palatino Linotype" w:eastAsia="Palatino Linotype" w:hAnsi="Palatino Linotype" w:cs="Palatino Linotype"/>
          <w:sz w:val="22"/>
          <w:szCs w:val="22"/>
        </w:rPr>
      </w:pPr>
    </w:p>
    <w:p w14:paraId="3914DB22"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proveedores y sus montos, así como el origen de los recursos.</w:t>
      </w:r>
    </w:p>
    <w:p w14:paraId="70278336"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lastRenderedPageBreak/>
        <w:t xml:space="preserve">Es de precisar que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solicitud, en lo concerniente a la fracción concerniente a </w:t>
      </w:r>
      <w:r w:rsidRPr="00003419">
        <w:rPr>
          <w:rFonts w:ascii="Palatino Linotype" w:eastAsia="Palatino Linotype" w:hAnsi="Palatino Linotype" w:cs="Palatino Linotype"/>
          <w:b/>
          <w:i/>
          <w:sz w:val="22"/>
          <w:szCs w:val="22"/>
        </w:rPr>
        <w:t xml:space="preserve">XXVIII. La información sobre los resultados sobre procedimientos de adjudicación directa, invitación restringida y licitación de cualquier naturaleza, incluyendo la Versión Pública del Expediente respectivo y de los contratos celebrados, </w:t>
      </w:r>
      <w:r w:rsidRPr="00003419">
        <w:rPr>
          <w:rFonts w:ascii="Palatino Linotype" w:eastAsia="Palatino Linotype" w:hAnsi="Palatino Linotype" w:cs="Palatino Linotype"/>
          <w:sz w:val="22"/>
          <w:szCs w:val="22"/>
        </w:rPr>
        <w:t xml:space="preserve">deberá publicarse la siguiente información: </w:t>
      </w:r>
    </w:p>
    <w:p w14:paraId="36E1A2FB" w14:textId="77777777" w:rsidR="009B2285" w:rsidRPr="00003419" w:rsidRDefault="009B2285">
      <w:pPr>
        <w:spacing w:line="360" w:lineRule="auto"/>
        <w:jc w:val="both"/>
        <w:rPr>
          <w:rFonts w:ascii="Palatino Linotype" w:eastAsia="Palatino Linotype" w:hAnsi="Palatino Linotype" w:cs="Palatino Linotype"/>
          <w:sz w:val="22"/>
          <w:szCs w:val="22"/>
        </w:rPr>
      </w:pPr>
    </w:p>
    <w:p w14:paraId="09365479" w14:textId="77777777" w:rsidR="009B2285" w:rsidRPr="00003419" w:rsidRDefault="00772DEA">
      <w:pPr>
        <w:spacing w:line="360" w:lineRule="auto"/>
        <w:jc w:val="center"/>
        <w:rPr>
          <w:rFonts w:ascii="Palatino Linotype" w:eastAsia="Palatino Linotype" w:hAnsi="Palatino Linotype" w:cs="Palatino Linotype"/>
          <w:sz w:val="22"/>
          <w:szCs w:val="22"/>
        </w:rPr>
      </w:pPr>
      <w:r w:rsidRPr="00003419">
        <w:rPr>
          <w:rFonts w:ascii="Palatino Linotype" w:eastAsia="Palatino Linotype" w:hAnsi="Palatino Linotype" w:cs="Palatino Linotype"/>
          <w:noProof/>
          <w:sz w:val="22"/>
          <w:szCs w:val="22"/>
        </w:rPr>
        <w:drawing>
          <wp:inline distT="0" distB="0" distL="0" distR="0" wp14:anchorId="38CC5408" wp14:editId="11C07912">
            <wp:extent cx="4565783" cy="1098411"/>
            <wp:effectExtent l="0" t="0" r="0" b="0"/>
            <wp:docPr id="1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565783" cy="1098411"/>
                    </a:xfrm>
                    <a:prstGeom prst="rect">
                      <a:avLst/>
                    </a:prstGeom>
                    <a:ln/>
                  </pic:spPr>
                </pic:pic>
              </a:graphicData>
            </a:graphic>
          </wp:inline>
        </w:drawing>
      </w:r>
    </w:p>
    <w:p w14:paraId="04535EE8" w14:textId="77777777" w:rsidR="009B2285" w:rsidRPr="00003419" w:rsidRDefault="00772DEA">
      <w:pPr>
        <w:spacing w:line="360" w:lineRule="auto"/>
        <w:jc w:val="center"/>
        <w:rPr>
          <w:rFonts w:ascii="Palatino Linotype" w:eastAsia="Palatino Linotype" w:hAnsi="Palatino Linotype" w:cs="Palatino Linotype"/>
          <w:sz w:val="22"/>
          <w:szCs w:val="22"/>
        </w:rPr>
      </w:pPr>
      <w:r w:rsidRPr="00003419">
        <w:rPr>
          <w:rFonts w:ascii="Palatino Linotype" w:eastAsia="Palatino Linotype" w:hAnsi="Palatino Linotype" w:cs="Palatino Linotype"/>
          <w:noProof/>
          <w:sz w:val="22"/>
          <w:szCs w:val="22"/>
        </w:rPr>
        <w:drawing>
          <wp:inline distT="0" distB="0" distL="0" distR="0" wp14:anchorId="1FF169EE" wp14:editId="0B798065">
            <wp:extent cx="4464571" cy="2113125"/>
            <wp:effectExtent l="0" t="0" r="0" b="0"/>
            <wp:docPr id="1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464571" cy="2113125"/>
                    </a:xfrm>
                    <a:prstGeom prst="rect">
                      <a:avLst/>
                    </a:prstGeom>
                    <a:ln/>
                  </pic:spPr>
                </pic:pic>
              </a:graphicData>
            </a:graphic>
          </wp:inline>
        </w:drawing>
      </w:r>
    </w:p>
    <w:p w14:paraId="0D6C9F8F" w14:textId="77777777" w:rsidR="009B2285" w:rsidRPr="00003419" w:rsidRDefault="00772DEA">
      <w:pPr>
        <w:spacing w:line="360" w:lineRule="auto"/>
        <w:jc w:val="center"/>
        <w:rPr>
          <w:rFonts w:ascii="Palatino Linotype" w:eastAsia="Palatino Linotype" w:hAnsi="Palatino Linotype" w:cs="Palatino Linotype"/>
          <w:sz w:val="22"/>
          <w:szCs w:val="22"/>
        </w:rPr>
      </w:pPr>
      <w:r w:rsidRPr="00003419">
        <w:rPr>
          <w:rFonts w:ascii="Palatino Linotype" w:eastAsia="Palatino Linotype" w:hAnsi="Palatino Linotype" w:cs="Palatino Linotype"/>
          <w:noProof/>
          <w:sz w:val="22"/>
          <w:szCs w:val="22"/>
        </w:rPr>
        <w:lastRenderedPageBreak/>
        <w:drawing>
          <wp:inline distT="0" distB="0" distL="0" distR="0" wp14:anchorId="4F3F4741" wp14:editId="499D7B07">
            <wp:extent cx="5222509" cy="4254589"/>
            <wp:effectExtent l="0" t="0" r="0" b="0"/>
            <wp:docPr id="1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222509" cy="4254589"/>
                    </a:xfrm>
                    <a:prstGeom prst="rect">
                      <a:avLst/>
                    </a:prstGeom>
                    <a:ln/>
                  </pic:spPr>
                </pic:pic>
              </a:graphicData>
            </a:graphic>
          </wp:inline>
        </w:drawing>
      </w:r>
    </w:p>
    <w:p w14:paraId="1B31EA0C"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noProof/>
          <w:sz w:val="22"/>
          <w:szCs w:val="22"/>
        </w:rPr>
        <w:drawing>
          <wp:inline distT="0" distB="0" distL="0" distR="0" wp14:anchorId="3985A365" wp14:editId="56DA2A17">
            <wp:extent cx="5612130" cy="3252470"/>
            <wp:effectExtent l="0" t="0" r="0" b="0"/>
            <wp:docPr id="1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612130" cy="3252470"/>
                    </a:xfrm>
                    <a:prstGeom prst="rect">
                      <a:avLst/>
                    </a:prstGeom>
                    <a:ln/>
                  </pic:spPr>
                </pic:pic>
              </a:graphicData>
            </a:graphic>
          </wp:inline>
        </w:drawing>
      </w:r>
    </w:p>
    <w:p w14:paraId="64EC9191" w14:textId="77777777" w:rsidR="009B2285" w:rsidRPr="00003419" w:rsidRDefault="00772DEA">
      <w:pPr>
        <w:spacing w:line="360" w:lineRule="auto"/>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sz w:val="22"/>
          <w:szCs w:val="22"/>
        </w:rPr>
        <w:lastRenderedPageBreak/>
        <w:t xml:space="preserve">En consecuencia, resulta pertinente ordenar al </w:t>
      </w:r>
      <w:r w:rsidRPr="00003419">
        <w:rPr>
          <w:rFonts w:ascii="Palatino Linotype" w:eastAsia="Palatino Linotype" w:hAnsi="Palatino Linotype" w:cs="Palatino Linotype"/>
          <w:b/>
          <w:sz w:val="22"/>
          <w:szCs w:val="22"/>
        </w:rPr>
        <w:t>Sujeto Obligado</w:t>
      </w:r>
      <w:r w:rsidRPr="00003419">
        <w:rPr>
          <w:rFonts w:ascii="Palatino Linotype" w:eastAsia="Palatino Linotype" w:hAnsi="Palatino Linotype" w:cs="Palatino Linotype"/>
          <w:sz w:val="22"/>
          <w:szCs w:val="22"/>
        </w:rPr>
        <w:t xml:space="preserve">, la entrega del </w:t>
      </w:r>
      <w:r w:rsidRPr="00003419">
        <w:rPr>
          <w:rFonts w:ascii="Palatino Linotype" w:eastAsia="Palatino Linotype" w:hAnsi="Palatino Linotype" w:cs="Palatino Linotype"/>
          <w:b/>
          <w:sz w:val="22"/>
          <w:szCs w:val="22"/>
        </w:rPr>
        <w:t>contrato relativo al arrendamiento de camiones de basura vigente al 20 de enero de 2025.</w:t>
      </w:r>
    </w:p>
    <w:p w14:paraId="62996541" w14:textId="77777777" w:rsidR="009B2285" w:rsidRPr="00003419" w:rsidRDefault="009B2285">
      <w:pPr>
        <w:spacing w:line="360" w:lineRule="auto"/>
        <w:jc w:val="both"/>
        <w:rPr>
          <w:rFonts w:ascii="Palatino Linotype" w:eastAsia="Palatino Linotype" w:hAnsi="Palatino Linotype" w:cs="Palatino Linotype"/>
          <w:sz w:val="22"/>
          <w:szCs w:val="22"/>
        </w:rPr>
      </w:pPr>
    </w:p>
    <w:p w14:paraId="31CE58F0"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Finalmente, por cuanto hace a </w:t>
      </w:r>
      <w:r w:rsidRPr="00003419">
        <w:rPr>
          <w:rFonts w:ascii="Palatino Linotype" w:eastAsia="Palatino Linotype" w:hAnsi="Palatino Linotype" w:cs="Palatino Linotype"/>
          <w:b/>
          <w:sz w:val="22"/>
          <w:szCs w:val="22"/>
        </w:rPr>
        <w:t>las facturas de los camiones</w:t>
      </w:r>
      <w:r w:rsidRPr="00003419">
        <w:rPr>
          <w:rFonts w:ascii="Palatino Linotype" w:eastAsia="Palatino Linotype" w:hAnsi="Palatino Linotype" w:cs="Palatino Linotype"/>
          <w:sz w:val="22"/>
          <w:szCs w:val="22"/>
        </w:rPr>
        <w:t>, debemos recordar que obra un pronunciamiento de la Tesorería Municipal, la cual informó que por cuanto hace a la información solicitada referente al ejercicio fiscal 2025, se hace del conocimiento que dicha información se encuentra en proceso de integración.</w:t>
      </w:r>
    </w:p>
    <w:p w14:paraId="5436BF5C" w14:textId="77777777" w:rsidR="009B2285" w:rsidRPr="00003419" w:rsidRDefault="009B2285">
      <w:pPr>
        <w:spacing w:line="360" w:lineRule="auto"/>
        <w:jc w:val="both"/>
        <w:rPr>
          <w:rFonts w:ascii="Palatino Linotype" w:eastAsia="Palatino Linotype" w:hAnsi="Palatino Linotype" w:cs="Palatino Linotype"/>
          <w:sz w:val="22"/>
          <w:szCs w:val="22"/>
        </w:rPr>
      </w:pPr>
    </w:p>
    <w:p w14:paraId="535813E6"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No obstante lo anterior, debemos recordar que si bien refiere que la información se encuentra en integración, no pasa desapercibido para este Organismo Garante que la información requerida versa sobre aquella que conforme a los indicios previamente insertados ya fue generada, toda vez que se insiste, el 02 de enero de 2025 se señala que ya se llevó a cabo la celebración de un contrato, por lo tanto, cabe la posibilidad de que ya se haya ejecutado el pago a la fecha de la solicitud; en tal virtud, procede que se efectúe una búsqueda exhaustiva y razonable para efecto de localizar esta factura.</w:t>
      </w:r>
    </w:p>
    <w:p w14:paraId="75003279"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color w:val="000000"/>
          <w:sz w:val="22"/>
          <w:szCs w:val="22"/>
        </w:rPr>
        <w:t xml:space="preserve">Establecido lo anterior, es necesario referir </w:t>
      </w:r>
      <w:proofErr w:type="gramStart"/>
      <w:r w:rsidRPr="00003419">
        <w:rPr>
          <w:rFonts w:ascii="Palatino Linotype" w:eastAsia="Palatino Linotype" w:hAnsi="Palatino Linotype" w:cs="Palatino Linotype"/>
          <w:color w:val="000000"/>
          <w:sz w:val="22"/>
          <w:szCs w:val="22"/>
        </w:rPr>
        <w:t>que</w:t>
      </w:r>
      <w:proofErr w:type="gramEnd"/>
      <w:r w:rsidRPr="00003419">
        <w:rPr>
          <w:rFonts w:ascii="Palatino Linotype" w:eastAsia="Palatino Linotype" w:hAnsi="Palatino Linotype" w:cs="Palatino Linotype"/>
          <w:color w:val="000000"/>
          <w:sz w:val="22"/>
          <w:szCs w:val="22"/>
        </w:rPr>
        <w:t xml:space="preserve"> respecto a la naturaleza de la información, es decir, las facturas, </w:t>
      </w:r>
      <w:r w:rsidRPr="00003419">
        <w:rPr>
          <w:rFonts w:ascii="Palatino Linotype" w:eastAsia="Palatino Linotype" w:hAnsi="Palatino Linotype" w:cs="Palatino Linotype"/>
          <w:sz w:val="22"/>
          <w:szCs w:val="22"/>
        </w:rPr>
        <w:t xml:space="preserve">el cual define como </w:t>
      </w:r>
      <w:r w:rsidRPr="00003419">
        <w:rPr>
          <w:rFonts w:ascii="Palatino Linotype" w:eastAsia="Palatino Linotype" w:hAnsi="Palatino Linotype" w:cs="Palatino Linotype"/>
          <w:i/>
          <w:sz w:val="22"/>
          <w:szCs w:val="22"/>
        </w:rPr>
        <w:t>“factura” al</w:t>
      </w:r>
      <w:r w:rsidRPr="00003419">
        <w:rPr>
          <w:rFonts w:ascii="Palatino Linotype" w:eastAsia="Palatino Linotype" w:hAnsi="Palatino Linotype" w:cs="Palatino Linotype"/>
          <w:b/>
          <w:i/>
          <w:sz w:val="22"/>
          <w:szCs w:val="22"/>
        </w:rPr>
        <w:t xml:space="preserve"> documento fiscal que emite la persona física o moral para comprobar la venta o adquisición de un bien y/o servicio.</w:t>
      </w:r>
    </w:p>
    <w:p w14:paraId="239D3695" w14:textId="77777777" w:rsidR="009B2285" w:rsidRPr="00003419" w:rsidRDefault="00772DEA">
      <w:pPr>
        <w:spacing w:line="360" w:lineRule="auto"/>
        <w:ind w:right="-7"/>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En ese sentido, es de señalar que cuando las facturas amparan las erogaciones que se realizan con erario público tienen naturaleza pública, pues constituyen un medio idóneo de evidencia del gasto realizado con recursos públicos. </w:t>
      </w:r>
    </w:p>
    <w:p w14:paraId="6143B7E3" w14:textId="77777777" w:rsidR="009B2285" w:rsidRPr="00003419" w:rsidRDefault="009B2285">
      <w:pPr>
        <w:spacing w:line="360" w:lineRule="auto"/>
        <w:ind w:right="-7"/>
        <w:jc w:val="both"/>
        <w:rPr>
          <w:rFonts w:ascii="Palatino Linotype" w:eastAsia="Palatino Linotype" w:hAnsi="Palatino Linotype" w:cs="Palatino Linotype"/>
          <w:sz w:val="22"/>
          <w:szCs w:val="22"/>
        </w:rPr>
      </w:pPr>
    </w:p>
    <w:p w14:paraId="7DF25D6C" w14:textId="77777777" w:rsidR="009B2285" w:rsidRPr="00003419" w:rsidRDefault="00772DEA">
      <w:pPr>
        <w:spacing w:line="360" w:lineRule="auto"/>
        <w:jc w:val="both"/>
        <w:rPr>
          <w:color w:val="000000"/>
          <w:sz w:val="22"/>
          <w:szCs w:val="22"/>
        </w:rPr>
      </w:pPr>
      <w:r w:rsidRPr="00003419">
        <w:rPr>
          <w:rFonts w:ascii="Palatino Linotype" w:eastAsia="Palatino Linotype" w:hAnsi="Palatino Linotype" w:cs="Palatino Linotype"/>
          <w:sz w:val="22"/>
          <w:szCs w:val="22"/>
        </w:rPr>
        <w:t xml:space="preserve">En tal contexto, </w:t>
      </w:r>
      <w:r w:rsidRPr="00003419">
        <w:rPr>
          <w:rFonts w:ascii="Palatino Linotype" w:eastAsia="Palatino Linotype" w:hAnsi="Palatino Linotype" w:cs="Palatino Linotype"/>
          <w:color w:val="000000"/>
          <w:sz w:val="22"/>
          <w:szCs w:val="22"/>
        </w:rPr>
        <w:t>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55F6EFE5" w14:textId="77777777" w:rsidR="009B2285" w:rsidRPr="00003419" w:rsidRDefault="00772DEA">
      <w:pPr>
        <w:pBdr>
          <w:top w:val="nil"/>
          <w:left w:val="nil"/>
          <w:bottom w:val="nil"/>
          <w:right w:val="nil"/>
          <w:between w:val="nil"/>
        </w:pBdr>
        <w:spacing w:before="120" w:after="120" w:line="276" w:lineRule="auto"/>
        <w:ind w:left="860" w:right="860"/>
        <w:jc w:val="both"/>
        <w:rPr>
          <w:color w:val="000000"/>
        </w:rPr>
      </w:pPr>
      <w:r w:rsidRPr="00003419">
        <w:rPr>
          <w:rFonts w:ascii="Palatino Linotype" w:eastAsia="Palatino Linotype" w:hAnsi="Palatino Linotype" w:cs="Palatino Linotype"/>
          <w:i/>
          <w:color w:val="000000"/>
          <w:sz w:val="22"/>
          <w:szCs w:val="22"/>
        </w:rPr>
        <w:lastRenderedPageBreak/>
        <w:t>“</w:t>
      </w:r>
      <w:r w:rsidRPr="00003419">
        <w:rPr>
          <w:rFonts w:ascii="Palatino Linotype" w:eastAsia="Palatino Linotype" w:hAnsi="Palatino Linotype" w:cs="Palatino Linotype"/>
          <w:b/>
          <w:i/>
          <w:color w:val="000000"/>
          <w:sz w:val="22"/>
          <w:szCs w:val="22"/>
        </w:rPr>
        <w:t>Artículo 342.</w:t>
      </w:r>
      <w:proofErr w:type="gramStart"/>
      <w:r w:rsidRPr="00003419">
        <w:rPr>
          <w:rFonts w:ascii="Palatino Linotype" w:eastAsia="Palatino Linotype" w:hAnsi="Palatino Linotype" w:cs="Palatino Linotype"/>
          <w:b/>
          <w:i/>
          <w:color w:val="000000"/>
          <w:sz w:val="22"/>
          <w:szCs w:val="22"/>
        </w:rPr>
        <w:t>-</w:t>
      </w:r>
      <w:r w:rsidRPr="00003419">
        <w:rPr>
          <w:rFonts w:ascii="Palatino Linotype" w:eastAsia="Palatino Linotype" w:hAnsi="Palatino Linotype" w:cs="Palatino Linotype"/>
          <w:i/>
          <w:color w:val="000000"/>
          <w:sz w:val="22"/>
          <w:szCs w:val="22"/>
        </w:rPr>
        <w:t xml:space="preserve">  El</w:t>
      </w:r>
      <w:proofErr w:type="gramEnd"/>
      <w:r w:rsidRPr="00003419">
        <w:rPr>
          <w:rFonts w:ascii="Palatino Linotype" w:eastAsia="Palatino Linotype" w:hAnsi="Palatino Linotype" w:cs="Palatino Linotype"/>
          <w:i/>
          <w:color w:val="000000"/>
          <w:sz w:val="22"/>
          <w:szCs w:val="22"/>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7D5E012D" w14:textId="77777777" w:rsidR="009B2285" w:rsidRPr="00003419" w:rsidRDefault="00772DEA">
      <w:pPr>
        <w:pBdr>
          <w:top w:val="nil"/>
          <w:left w:val="nil"/>
          <w:bottom w:val="nil"/>
          <w:right w:val="nil"/>
          <w:between w:val="nil"/>
        </w:pBdr>
        <w:spacing w:before="120" w:after="120" w:line="276" w:lineRule="auto"/>
        <w:ind w:left="860" w:right="860"/>
        <w:jc w:val="both"/>
        <w:rPr>
          <w:color w:val="000000"/>
        </w:rPr>
      </w:pPr>
      <w:r w:rsidRPr="00003419">
        <w:rPr>
          <w:rFonts w:ascii="Palatino Linotype" w:eastAsia="Palatino Linotype" w:hAnsi="Palatino Linotype" w:cs="Palatino Linotype"/>
          <w:i/>
          <w:color w:val="000000"/>
          <w:sz w:val="22"/>
          <w:szCs w:val="22"/>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1A600526" w14:textId="77777777" w:rsidR="009B2285" w:rsidRPr="00003419" w:rsidRDefault="00772DEA">
      <w:pPr>
        <w:pBdr>
          <w:top w:val="nil"/>
          <w:left w:val="nil"/>
          <w:bottom w:val="nil"/>
          <w:right w:val="nil"/>
          <w:between w:val="nil"/>
        </w:pBdr>
        <w:spacing w:before="120" w:after="120" w:line="276" w:lineRule="auto"/>
        <w:ind w:left="860" w:right="860"/>
        <w:jc w:val="both"/>
        <w:rPr>
          <w:color w:val="000000"/>
        </w:rPr>
      </w:pPr>
      <w:r w:rsidRPr="00003419">
        <w:rPr>
          <w:rFonts w:ascii="Palatino Linotype" w:eastAsia="Palatino Linotype" w:hAnsi="Palatino Linotype" w:cs="Palatino Linotype"/>
          <w:b/>
          <w:i/>
          <w:color w:val="000000"/>
          <w:sz w:val="22"/>
          <w:szCs w:val="22"/>
        </w:rPr>
        <w:t>Artículo 343.-</w:t>
      </w:r>
      <w:r w:rsidRPr="00003419">
        <w:rPr>
          <w:rFonts w:ascii="Palatino Linotype" w:eastAsia="Palatino Linotype" w:hAnsi="Palatino Linotype" w:cs="Palatino Linotype"/>
          <w:i/>
          <w:color w:val="000000"/>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70B2488F" w14:textId="77777777" w:rsidR="009B2285" w:rsidRPr="00003419" w:rsidRDefault="00772DEA">
      <w:pPr>
        <w:pBdr>
          <w:top w:val="nil"/>
          <w:left w:val="nil"/>
          <w:bottom w:val="nil"/>
          <w:right w:val="nil"/>
          <w:between w:val="nil"/>
        </w:pBdr>
        <w:spacing w:before="120" w:after="120" w:line="276" w:lineRule="auto"/>
        <w:ind w:left="860" w:right="860"/>
        <w:jc w:val="both"/>
        <w:rPr>
          <w:color w:val="000000"/>
        </w:rPr>
      </w:pPr>
      <w:r w:rsidRPr="00003419">
        <w:rPr>
          <w:rFonts w:ascii="Palatino Linotype" w:eastAsia="Palatino Linotype" w:hAnsi="Palatino Linotype" w:cs="Palatino Linotype"/>
          <w:i/>
          <w:color w:val="000000"/>
          <w:sz w:val="22"/>
          <w:szCs w:val="22"/>
        </w:rPr>
        <w:t>El sistema de contabilidad sobre base acumulativa total, se sustentará en las normas emitidas por el Consejo Nacional de Armonización Contable.</w:t>
      </w:r>
    </w:p>
    <w:p w14:paraId="02969A47" w14:textId="77777777" w:rsidR="009B2285" w:rsidRPr="00003419" w:rsidRDefault="00772DEA">
      <w:pPr>
        <w:pBdr>
          <w:top w:val="nil"/>
          <w:left w:val="nil"/>
          <w:bottom w:val="nil"/>
          <w:right w:val="nil"/>
          <w:between w:val="nil"/>
        </w:pBdr>
        <w:spacing w:before="120" w:after="120" w:line="276" w:lineRule="auto"/>
        <w:ind w:left="860" w:right="860"/>
        <w:jc w:val="both"/>
        <w:rPr>
          <w:color w:val="000000"/>
        </w:rPr>
      </w:pPr>
      <w:r w:rsidRPr="00003419">
        <w:rPr>
          <w:rFonts w:ascii="Palatino Linotype" w:eastAsia="Palatino Linotype" w:hAnsi="Palatino Linotype" w:cs="Palatino Linotype"/>
          <w:b/>
          <w:i/>
          <w:color w:val="000000"/>
          <w:sz w:val="22"/>
          <w:szCs w:val="22"/>
        </w:rPr>
        <w:t xml:space="preserve">Artículo 344.- Los Entes Públicos, a través de cualquiera de sus unidades administrativas, de acuerdo con su naturaleza jurídica y según corresponda, </w:t>
      </w:r>
      <w:r w:rsidRPr="00003419">
        <w:rPr>
          <w:rFonts w:ascii="Palatino Linotype" w:eastAsia="Palatino Linotype" w:hAnsi="Palatino Linotype" w:cs="Palatino Linotype"/>
          <w:b/>
          <w:i/>
          <w:color w:val="000000"/>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003419">
        <w:rPr>
          <w:rFonts w:ascii="Palatino Linotype" w:eastAsia="Palatino Linotype" w:hAnsi="Palatino Linotype" w:cs="Palatino Linotype"/>
          <w:b/>
          <w:i/>
          <w:color w:val="000000"/>
          <w:sz w:val="22"/>
          <w:szCs w:val="22"/>
        </w:rPr>
        <w:t>.</w:t>
      </w:r>
    </w:p>
    <w:p w14:paraId="66A940E0" w14:textId="77777777" w:rsidR="009B2285" w:rsidRPr="00003419" w:rsidRDefault="00772DEA">
      <w:pPr>
        <w:pBdr>
          <w:top w:val="nil"/>
          <w:left w:val="nil"/>
          <w:bottom w:val="nil"/>
          <w:right w:val="nil"/>
          <w:between w:val="nil"/>
        </w:pBdr>
        <w:spacing w:before="120" w:after="120" w:line="276" w:lineRule="auto"/>
        <w:ind w:left="860" w:right="860"/>
        <w:jc w:val="both"/>
        <w:rPr>
          <w:color w:val="000000"/>
        </w:rPr>
      </w:pPr>
      <w:r w:rsidRPr="00003419">
        <w:rPr>
          <w:rFonts w:ascii="Palatino Linotype" w:eastAsia="Palatino Linotype" w:hAnsi="Palatino Linotype" w:cs="Palatino Linotype"/>
          <w:b/>
          <w:i/>
          <w:color w:val="000000"/>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003419">
        <w:rPr>
          <w:rFonts w:ascii="Palatino Linotype" w:eastAsia="Palatino Linotype" w:hAnsi="Palatino Linotype" w:cs="Palatino Linotype"/>
          <w:i/>
          <w:color w:val="000000"/>
          <w:sz w:val="22"/>
          <w:szCs w:val="22"/>
        </w:rPr>
        <w:t>según corresponda, así como de los órganos internos de control, por un término de cinco años, contados a partir del ejercicio presupuestal siguiente al que corresponda,</w:t>
      </w:r>
      <w:r w:rsidRPr="00003419">
        <w:rPr>
          <w:rFonts w:ascii="Palatino Linotype" w:eastAsia="Palatino Linotype" w:hAnsi="Palatino Linotype" w:cs="Palatino Linotype"/>
          <w:b/>
          <w:i/>
          <w:color w:val="000000"/>
          <w:sz w:val="22"/>
          <w:szCs w:val="22"/>
        </w:rPr>
        <w:t xml:space="preserve"> en el caso de los Municipios, dicha obligación corresponderá a la Tesorería.</w:t>
      </w:r>
    </w:p>
    <w:p w14:paraId="062ABC3B" w14:textId="77777777" w:rsidR="009B2285" w:rsidRPr="00003419" w:rsidRDefault="00772DEA">
      <w:pPr>
        <w:pBdr>
          <w:top w:val="nil"/>
          <w:left w:val="nil"/>
          <w:bottom w:val="nil"/>
          <w:right w:val="nil"/>
          <w:between w:val="nil"/>
        </w:pBdr>
        <w:spacing w:before="120" w:after="120" w:line="276" w:lineRule="auto"/>
        <w:ind w:left="860" w:right="860"/>
        <w:jc w:val="both"/>
        <w:rPr>
          <w:color w:val="000000"/>
        </w:rPr>
      </w:pPr>
      <w:r w:rsidRPr="00003419">
        <w:rPr>
          <w:rFonts w:ascii="Palatino Linotype" w:eastAsia="Palatino Linotype" w:hAnsi="Palatino Linotype" w:cs="Palatino Linotype"/>
          <w:i/>
          <w:color w:val="000000"/>
          <w:sz w:val="22"/>
          <w:szCs w:val="22"/>
        </w:rPr>
        <w:t>Tratándose de documentos de carácter histórico, se estará a lo dispuesto por la legislación de la materia.</w:t>
      </w:r>
    </w:p>
    <w:p w14:paraId="3083C84D" w14:textId="77777777" w:rsidR="009B2285" w:rsidRPr="00003419" w:rsidRDefault="00772DEA">
      <w:pPr>
        <w:pBdr>
          <w:top w:val="nil"/>
          <w:left w:val="nil"/>
          <w:bottom w:val="nil"/>
          <w:right w:val="nil"/>
          <w:between w:val="nil"/>
        </w:pBdr>
        <w:spacing w:before="120" w:after="120" w:line="276" w:lineRule="auto"/>
        <w:ind w:left="860" w:right="860"/>
        <w:jc w:val="both"/>
        <w:rPr>
          <w:color w:val="000000"/>
        </w:rPr>
      </w:pPr>
      <w:r w:rsidRPr="00003419">
        <w:rPr>
          <w:rFonts w:ascii="Palatino Linotype" w:eastAsia="Palatino Linotype" w:hAnsi="Palatino Linotype" w:cs="Palatino Linotype"/>
          <w:i/>
          <w:color w:val="000000"/>
          <w:sz w:val="22"/>
          <w:szCs w:val="22"/>
        </w:rPr>
        <w:lastRenderedPageBreak/>
        <w:t>…</w:t>
      </w:r>
    </w:p>
    <w:p w14:paraId="4AA7F389" w14:textId="77777777" w:rsidR="009B2285" w:rsidRPr="00003419" w:rsidRDefault="00772DEA">
      <w:pPr>
        <w:pBdr>
          <w:top w:val="nil"/>
          <w:left w:val="nil"/>
          <w:bottom w:val="nil"/>
          <w:right w:val="nil"/>
          <w:between w:val="nil"/>
        </w:pBdr>
        <w:spacing w:before="120" w:after="120" w:line="276" w:lineRule="auto"/>
        <w:ind w:left="860" w:right="860"/>
        <w:jc w:val="both"/>
        <w:rPr>
          <w:color w:val="000000"/>
        </w:rPr>
      </w:pPr>
      <w:r w:rsidRPr="00003419">
        <w:rPr>
          <w:rFonts w:ascii="Palatino Linotype" w:eastAsia="Palatino Linotype" w:hAnsi="Palatino Linotype" w:cs="Palatino Linotype"/>
          <w:b/>
          <w:i/>
          <w:color w:val="000000"/>
          <w:sz w:val="22"/>
          <w:szCs w:val="22"/>
        </w:rPr>
        <w:t>Artículo 345.-</w:t>
      </w:r>
      <w:r w:rsidRPr="00003419">
        <w:rPr>
          <w:rFonts w:ascii="Palatino Linotype" w:eastAsia="Palatino Linotype" w:hAnsi="Palatino Linotype" w:cs="Palatino Linotype"/>
          <w:i/>
          <w:color w:val="000000"/>
          <w:sz w:val="22"/>
          <w:szCs w:val="22"/>
        </w:rPr>
        <w:t xml:space="preserve"> </w:t>
      </w:r>
      <w:r w:rsidRPr="00003419">
        <w:rPr>
          <w:rFonts w:ascii="Palatino Linotype" w:eastAsia="Palatino Linotype" w:hAnsi="Palatino Linotype" w:cs="Palatino Linotype"/>
          <w:b/>
          <w:i/>
          <w:color w:val="000000"/>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003419">
        <w:rPr>
          <w:rFonts w:ascii="Palatino Linotype" w:eastAsia="Palatino Linotype" w:hAnsi="Palatino Linotype" w:cs="Palatino Linotype"/>
          <w:i/>
          <w:color w:val="000000"/>
          <w:sz w:val="22"/>
          <w:szCs w:val="22"/>
        </w:rPr>
        <w:t>registro contable.</w:t>
      </w:r>
    </w:p>
    <w:p w14:paraId="2836A623" w14:textId="77777777" w:rsidR="009B2285" w:rsidRPr="00003419" w:rsidRDefault="00772DEA">
      <w:pPr>
        <w:pBdr>
          <w:top w:val="nil"/>
          <w:left w:val="nil"/>
          <w:bottom w:val="nil"/>
          <w:right w:val="nil"/>
          <w:between w:val="nil"/>
        </w:pBdr>
        <w:spacing w:before="120" w:after="120" w:line="276" w:lineRule="auto"/>
        <w:ind w:left="860" w:right="860"/>
        <w:jc w:val="both"/>
        <w:rPr>
          <w:color w:val="000000"/>
        </w:rPr>
      </w:pPr>
      <w:r w:rsidRPr="00003419">
        <w:rPr>
          <w:rFonts w:ascii="Palatino Linotype" w:eastAsia="Palatino Linotype" w:hAnsi="Palatino Linotype" w:cs="Palatino Linotype"/>
          <w:i/>
          <w:color w:val="000000"/>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53905E9C" w14:textId="77777777" w:rsidR="009B2285" w:rsidRPr="00003419" w:rsidRDefault="00772DEA">
      <w:pPr>
        <w:pBdr>
          <w:top w:val="nil"/>
          <w:left w:val="nil"/>
          <w:bottom w:val="nil"/>
          <w:right w:val="nil"/>
          <w:between w:val="nil"/>
        </w:pBdr>
        <w:spacing w:before="120" w:after="120" w:line="276" w:lineRule="auto"/>
        <w:ind w:left="860" w:right="860"/>
        <w:jc w:val="both"/>
        <w:rPr>
          <w:color w:val="000000"/>
        </w:rPr>
      </w:pPr>
      <w:r w:rsidRPr="00003419">
        <w:rPr>
          <w:rFonts w:ascii="Palatino Linotype" w:eastAsia="Palatino Linotype" w:hAnsi="Palatino Linotype" w:cs="Palatino Linotype"/>
          <w:i/>
          <w:color w:val="000000"/>
          <w:sz w:val="22"/>
          <w:szCs w:val="22"/>
        </w:rPr>
        <w:t>El plazo señalado en este artículo empezará a contar a partir de la publicación en el Periódico Oficial, del decreto correspondiente</w:t>
      </w:r>
      <w:r w:rsidRPr="00003419">
        <w:rPr>
          <w:rFonts w:ascii="Palatino Linotype" w:eastAsia="Palatino Linotype" w:hAnsi="Palatino Linotype" w:cs="Palatino Linotype"/>
          <w:b/>
          <w:i/>
          <w:color w:val="000000"/>
          <w:sz w:val="22"/>
          <w:szCs w:val="22"/>
        </w:rPr>
        <w:t xml:space="preserve"> </w:t>
      </w:r>
      <w:r w:rsidRPr="00003419">
        <w:rPr>
          <w:rFonts w:ascii="Palatino Linotype" w:eastAsia="Palatino Linotype" w:hAnsi="Palatino Linotype" w:cs="Palatino Linotype"/>
          <w:i/>
          <w:color w:val="000000"/>
          <w:sz w:val="22"/>
          <w:szCs w:val="22"/>
        </w:rPr>
        <w:t>“(Sic)</w:t>
      </w:r>
    </w:p>
    <w:p w14:paraId="648A74F7" w14:textId="77777777" w:rsidR="009B2285" w:rsidRPr="00003419" w:rsidRDefault="00772DEA">
      <w:pPr>
        <w:pBdr>
          <w:top w:val="nil"/>
          <w:left w:val="nil"/>
          <w:bottom w:val="nil"/>
          <w:right w:val="nil"/>
          <w:between w:val="nil"/>
        </w:pBdr>
        <w:spacing w:before="120" w:after="120"/>
        <w:ind w:left="860" w:right="860"/>
        <w:jc w:val="both"/>
        <w:rPr>
          <w:color w:val="000000"/>
        </w:rPr>
      </w:pPr>
      <w:r w:rsidRPr="00003419">
        <w:rPr>
          <w:rFonts w:ascii="Palatino Linotype" w:eastAsia="Palatino Linotype" w:hAnsi="Palatino Linotype" w:cs="Palatino Linotype"/>
          <w:i/>
          <w:color w:val="000000"/>
          <w:sz w:val="22"/>
          <w:szCs w:val="22"/>
        </w:rPr>
        <w:t>(Énfasis añadido)</w:t>
      </w:r>
    </w:p>
    <w:p w14:paraId="2EB60FF5" w14:textId="77777777" w:rsidR="009B2285" w:rsidRPr="00003419" w:rsidRDefault="00772DE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198EF6E2"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w:t>
      </w:r>
      <w:r w:rsidRPr="00003419">
        <w:rPr>
          <w:rFonts w:ascii="Palatino Linotype" w:eastAsia="Palatino Linotype" w:hAnsi="Palatino Linotype" w:cs="Palatino Linotype"/>
          <w:sz w:val="22"/>
          <w:szCs w:val="22"/>
        </w:rPr>
        <w:lastRenderedPageBreak/>
        <w:t xml:space="preserve">Funcionarios Fiscales del Instituto para el Desarrollo Técnico de las Haciendas Públicas (INDETEC) señalan las siguientes definiciones de las palabras registro contable y registro presupuestario: </w:t>
      </w:r>
    </w:p>
    <w:p w14:paraId="1CA1FD84" w14:textId="77777777" w:rsidR="009B2285" w:rsidRPr="00003419" w:rsidRDefault="00772DEA">
      <w:pPr>
        <w:ind w:left="851" w:right="851"/>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b/>
          <w:i/>
          <w:sz w:val="22"/>
          <w:szCs w:val="22"/>
        </w:rPr>
        <w:t xml:space="preserve">“REGISTRO CONTABLE </w:t>
      </w:r>
    </w:p>
    <w:p w14:paraId="0D877A63" w14:textId="77777777" w:rsidR="009B2285" w:rsidRPr="00003419" w:rsidRDefault="00772DEA">
      <w:pPr>
        <w:ind w:left="851" w:right="851"/>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Asiento que se realiza en los libros de contabilidad de las actividades relacionadas con el ingreso y egresos de un ente económico.” </w:t>
      </w:r>
    </w:p>
    <w:p w14:paraId="216EDBBE" w14:textId="77777777" w:rsidR="009B2285" w:rsidRPr="00003419" w:rsidRDefault="009B2285">
      <w:pPr>
        <w:ind w:left="851" w:right="851"/>
        <w:jc w:val="both"/>
        <w:rPr>
          <w:rFonts w:ascii="Palatino Linotype" w:eastAsia="Palatino Linotype" w:hAnsi="Palatino Linotype" w:cs="Palatino Linotype"/>
          <w:b/>
          <w:i/>
          <w:sz w:val="22"/>
          <w:szCs w:val="22"/>
        </w:rPr>
      </w:pPr>
    </w:p>
    <w:p w14:paraId="34F0CF35" w14:textId="77777777" w:rsidR="009B2285" w:rsidRPr="00003419" w:rsidRDefault="00772DEA">
      <w:pPr>
        <w:ind w:left="851" w:right="851"/>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b/>
          <w:i/>
          <w:sz w:val="22"/>
          <w:szCs w:val="22"/>
        </w:rPr>
        <w:t>“REGISTRO PRESUPUESTARIO</w:t>
      </w:r>
    </w:p>
    <w:p w14:paraId="1549ED29" w14:textId="77777777" w:rsidR="009B2285" w:rsidRPr="00003419" w:rsidRDefault="00772DEA">
      <w:pPr>
        <w:ind w:left="851" w:right="851"/>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Asiento contable de las erogaciones realizadas por las dependencias y entidades con relación a la asignación, modificación y ejercicio de los recursos presupuestarios que se les hayan autorizado.” </w:t>
      </w:r>
    </w:p>
    <w:p w14:paraId="501C0D9E" w14:textId="77777777" w:rsidR="009B2285" w:rsidRPr="00003419" w:rsidRDefault="009B2285">
      <w:pPr>
        <w:ind w:left="851" w:right="851"/>
        <w:jc w:val="both"/>
        <w:rPr>
          <w:rFonts w:ascii="Palatino Linotype" w:eastAsia="Palatino Linotype" w:hAnsi="Palatino Linotype" w:cs="Palatino Linotype"/>
          <w:i/>
          <w:sz w:val="22"/>
          <w:szCs w:val="22"/>
        </w:rPr>
      </w:pPr>
    </w:p>
    <w:p w14:paraId="5F434A6D" w14:textId="77777777" w:rsidR="009B2285" w:rsidRPr="00003419" w:rsidRDefault="00772DEA">
      <w:pPr>
        <w:spacing w:before="240" w:after="240" w:line="360" w:lineRule="auto"/>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Por otra parte, se establece que el sistema de contabilidad sobre base acumulativa total se sustentará en los principios de contabilidad gubernamental.</w:t>
      </w:r>
    </w:p>
    <w:p w14:paraId="338B243F"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Correlativo a lo anterior, es preciso referir una definición de </w:t>
      </w:r>
      <w:r w:rsidRPr="00003419">
        <w:rPr>
          <w:rFonts w:ascii="Palatino Linotype" w:eastAsia="Palatino Linotype" w:hAnsi="Palatino Linotype" w:cs="Palatino Linotype"/>
          <w:i/>
          <w:sz w:val="22"/>
          <w:szCs w:val="22"/>
        </w:rPr>
        <w:t>póliza contable</w:t>
      </w:r>
      <w:r w:rsidRPr="00003419">
        <w:rPr>
          <w:rFonts w:ascii="Palatino Linotype" w:eastAsia="Palatino Linotype" w:hAnsi="Palatino Linotype" w:cs="Palatino Linotype"/>
          <w:sz w:val="22"/>
          <w:szCs w:val="22"/>
        </w:rPr>
        <w:t xml:space="preserve">, la cual, primeramente, no está definida en el Código Financiero del Estado de México y Municipios; no obstante, los ya mencionados Glosarios la definen como: </w:t>
      </w:r>
    </w:p>
    <w:p w14:paraId="7BFA46E5" w14:textId="77777777" w:rsidR="009B2285" w:rsidRPr="00003419" w:rsidRDefault="00772DEA">
      <w:pPr>
        <w:ind w:left="851" w:right="851"/>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i/>
          <w:sz w:val="22"/>
          <w:szCs w:val="22"/>
        </w:rPr>
        <w:t>“</w:t>
      </w:r>
      <w:r w:rsidRPr="00003419">
        <w:rPr>
          <w:rFonts w:ascii="Palatino Linotype" w:eastAsia="Palatino Linotype" w:hAnsi="Palatino Linotype" w:cs="Palatino Linotype"/>
          <w:b/>
          <w:i/>
          <w:sz w:val="22"/>
          <w:szCs w:val="22"/>
        </w:rPr>
        <w:t>PÓLIZA CONTABLE</w:t>
      </w:r>
    </w:p>
    <w:p w14:paraId="4B7EC05E" w14:textId="77777777" w:rsidR="009B2285" w:rsidRPr="00003419" w:rsidRDefault="00772DEA">
      <w:pPr>
        <w:ind w:left="851" w:right="851"/>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Documento en el cual se asientan en forma individual todas y cada una de las operaciones desarrolladas por una institución, así como la información necesaria para la identificación de dichas operaciones.” </w:t>
      </w:r>
    </w:p>
    <w:p w14:paraId="58A6B5AE" w14:textId="77777777" w:rsidR="009B2285" w:rsidRPr="00003419" w:rsidRDefault="009B2285">
      <w:pPr>
        <w:ind w:left="851" w:right="851"/>
        <w:jc w:val="both"/>
        <w:rPr>
          <w:rFonts w:ascii="Palatino Linotype" w:eastAsia="Palatino Linotype" w:hAnsi="Palatino Linotype" w:cs="Palatino Linotype"/>
          <w:i/>
          <w:sz w:val="22"/>
          <w:szCs w:val="22"/>
        </w:rPr>
      </w:pPr>
    </w:p>
    <w:p w14:paraId="0E94C4C2"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Así, se advierte que la </w:t>
      </w:r>
      <w:r w:rsidRPr="00003419">
        <w:rPr>
          <w:rFonts w:ascii="Palatino Linotype" w:eastAsia="Palatino Linotype" w:hAnsi="Palatino Linotype" w:cs="Palatino Linotype"/>
          <w:i/>
          <w:sz w:val="22"/>
          <w:szCs w:val="22"/>
        </w:rPr>
        <w:t>póliza contable</w:t>
      </w:r>
      <w:r w:rsidRPr="00003419">
        <w:rPr>
          <w:rFonts w:ascii="Palatino Linotype" w:eastAsia="Palatino Linotype" w:hAnsi="Palatino Linotype" w:cs="Palatino Linotype"/>
          <w:sz w:val="22"/>
          <w:szCs w:val="22"/>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7C4CF335"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llamadas </w:t>
      </w:r>
      <w:r w:rsidRPr="00003419">
        <w:rPr>
          <w:rFonts w:ascii="Palatino Linotype" w:eastAsia="Palatino Linotype" w:hAnsi="Palatino Linotype" w:cs="Palatino Linotype"/>
          <w:i/>
          <w:sz w:val="22"/>
          <w:szCs w:val="22"/>
        </w:rPr>
        <w:t>pólizas de egresos</w:t>
      </w:r>
      <w:r w:rsidRPr="00003419">
        <w:rPr>
          <w:rFonts w:ascii="Palatino Linotype" w:eastAsia="Palatino Linotype" w:hAnsi="Palatino Linotype" w:cs="Palatino Linotype"/>
          <w:sz w:val="22"/>
          <w:szCs w:val="22"/>
        </w:rPr>
        <w:t xml:space="preserve">, son aquellas en </w:t>
      </w:r>
      <w:r w:rsidRPr="00003419">
        <w:rPr>
          <w:rFonts w:ascii="Palatino Linotype" w:eastAsia="Palatino Linotype" w:hAnsi="Palatino Linotype" w:cs="Palatino Linotype"/>
          <w:sz w:val="22"/>
          <w:szCs w:val="22"/>
        </w:rPr>
        <w:lastRenderedPageBreak/>
        <w:t xml:space="preserve">las cuales se anotan diariamente las operaciones que representan gastos, es decir, salidas de dinero para el </w:t>
      </w:r>
      <w:r w:rsidRPr="00003419">
        <w:rPr>
          <w:rFonts w:ascii="Palatino Linotype" w:eastAsia="Palatino Linotype" w:hAnsi="Palatino Linotype" w:cs="Palatino Linotype"/>
          <w:b/>
          <w:sz w:val="22"/>
          <w:szCs w:val="22"/>
        </w:rPr>
        <w:t>Sujeto Obligado</w:t>
      </w:r>
      <w:r w:rsidRPr="00003419">
        <w:rPr>
          <w:rFonts w:ascii="Palatino Linotype" w:eastAsia="Palatino Linotype" w:hAnsi="Palatino Linotype" w:cs="Palatino Linotype"/>
          <w:sz w:val="22"/>
          <w:szCs w:val="22"/>
        </w:rPr>
        <w:t xml:space="preserve">, las </w:t>
      </w:r>
      <w:proofErr w:type="gramStart"/>
      <w:r w:rsidRPr="00003419">
        <w:rPr>
          <w:rFonts w:ascii="Palatino Linotype" w:eastAsia="Palatino Linotype" w:hAnsi="Palatino Linotype" w:cs="Palatino Linotype"/>
          <w:sz w:val="22"/>
          <w:szCs w:val="22"/>
        </w:rPr>
        <w:t>que</w:t>
      </w:r>
      <w:proofErr w:type="gramEnd"/>
      <w:r w:rsidRPr="00003419">
        <w:rPr>
          <w:rFonts w:ascii="Palatino Linotype" w:eastAsia="Palatino Linotype" w:hAnsi="Palatino Linotype" w:cs="Palatino Linotype"/>
          <w:sz w:val="22"/>
          <w:szCs w:val="22"/>
        </w:rPr>
        <w:t xml:space="preserve"> además, deben encontrarse acompañadas de las documentales que sirven de soporte de dicho movimiento. </w:t>
      </w:r>
    </w:p>
    <w:p w14:paraId="2F1B22F4" w14:textId="77777777" w:rsidR="009B2285" w:rsidRPr="00003419" w:rsidRDefault="00772DEA">
      <w:pPr>
        <w:spacing w:before="240" w:after="240" w:line="360" w:lineRule="auto"/>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Asimismo, los Lineamientos para la integración y entrega del Informe Trimestral Municipal 2024, vigentes a la fecha de la solicitud, </w:t>
      </w:r>
      <w:r w:rsidRPr="00003419">
        <w:rPr>
          <w:rFonts w:ascii="Palatino Linotype" w:eastAsia="Palatino Linotype" w:hAnsi="Palatino Linotype" w:cs="Palatino Linotype"/>
          <w:sz w:val="22"/>
          <w:szCs w:val="22"/>
        </w:rPr>
        <w:t xml:space="preserve">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sidRPr="00003419">
        <w:rPr>
          <w:rFonts w:ascii="Palatino Linotype" w:eastAsia="Palatino Linotype" w:hAnsi="Palatino Linotype" w:cs="Palatino Linotype"/>
          <w:b/>
          <w:i/>
          <w:sz w:val="22"/>
          <w:szCs w:val="22"/>
        </w:rPr>
        <w:t>pólizas de egresos</w:t>
      </w:r>
      <w:r w:rsidRPr="00003419">
        <w:rPr>
          <w:rFonts w:ascii="Palatino Linotype" w:eastAsia="Palatino Linotype" w:hAnsi="Palatino Linotype" w:cs="Palatino Linotype"/>
          <w:i/>
          <w:sz w:val="22"/>
          <w:szCs w:val="22"/>
        </w:rPr>
        <w:t xml:space="preserve">, </w:t>
      </w:r>
      <w:r w:rsidRPr="00003419">
        <w:rPr>
          <w:rFonts w:ascii="Palatino Linotype" w:eastAsia="Palatino Linotype" w:hAnsi="Palatino Linotype" w:cs="Palatino Linotype"/>
          <w:sz w:val="22"/>
          <w:szCs w:val="22"/>
        </w:rPr>
        <w:t xml:space="preserve">de tal manera que, dichos formatos que </w:t>
      </w:r>
      <w:r w:rsidRPr="00003419">
        <w:rPr>
          <w:rFonts w:ascii="Palatino Linotype" w:eastAsia="Palatino Linotype" w:hAnsi="Palatino Linotype" w:cs="Palatino Linotype"/>
          <w:b/>
          <w:sz w:val="22"/>
          <w:szCs w:val="22"/>
        </w:rPr>
        <w:t>se generan de manera mensual</w:t>
      </w:r>
      <w:r w:rsidRPr="00003419">
        <w:rPr>
          <w:rFonts w:ascii="Palatino Linotype" w:eastAsia="Palatino Linotype" w:hAnsi="Palatino Linotype" w:cs="Palatino Linotype"/>
          <w:sz w:val="22"/>
          <w:szCs w:val="22"/>
        </w:rPr>
        <w:t xml:space="preserve">, constituyen un soporte documental con el cual de manera enunciativa más no limitativa, el </w:t>
      </w:r>
      <w:r w:rsidRPr="00003419">
        <w:rPr>
          <w:rFonts w:ascii="Palatino Linotype" w:eastAsia="Palatino Linotype" w:hAnsi="Palatino Linotype" w:cs="Palatino Linotype"/>
          <w:b/>
          <w:sz w:val="22"/>
          <w:szCs w:val="22"/>
        </w:rPr>
        <w:t xml:space="preserve">Sujeto Obligado </w:t>
      </w:r>
      <w:r w:rsidRPr="00003419">
        <w:rPr>
          <w:rFonts w:ascii="Palatino Linotype" w:eastAsia="Palatino Linotype" w:hAnsi="Palatino Linotype" w:cs="Palatino Linotype"/>
          <w:sz w:val="22"/>
          <w:szCs w:val="22"/>
        </w:rPr>
        <w:t xml:space="preserve">pudiera atender los requerimientos de información, para una mayor referencia se inserta la captura de pantalla del formato correspondiente: </w:t>
      </w:r>
    </w:p>
    <w:p w14:paraId="3F18B74B" w14:textId="77777777" w:rsidR="009B2285" w:rsidRPr="00003419" w:rsidRDefault="00772DEA">
      <w:pPr>
        <w:spacing w:before="240" w:after="240" w:line="360" w:lineRule="auto"/>
        <w:jc w:val="center"/>
        <w:rPr>
          <w:rFonts w:ascii="Palatino Linotype" w:eastAsia="Palatino Linotype" w:hAnsi="Palatino Linotype" w:cs="Palatino Linotype"/>
          <w:color w:val="000000"/>
        </w:rPr>
      </w:pPr>
      <w:r w:rsidRPr="00003419">
        <w:rPr>
          <w:rFonts w:ascii="Palatino Linotype" w:eastAsia="Palatino Linotype" w:hAnsi="Palatino Linotype" w:cs="Palatino Linotype"/>
          <w:noProof/>
          <w:color w:val="000000"/>
        </w:rPr>
        <w:drawing>
          <wp:inline distT="0" distB="0" distL="0" distR="0" wp14:anchorId="0A8D8A60" wp14:editId="73024C6E">
            <wp:extent cx="4772691" cy="1047896"/>
            <wp:effectExtent l="0" t="0" r="0" b="0"/>
            <wp:docPr id="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772691" cy="1047896"/>
                    </a:xfrm>
                    <a:prstGeom prst="rect">
                      <a:avLst/>
                    </a:prstGeom>
                    <a:ln/>
                  </pic:spPr>
                </pic:pic>
              </a:graphicData>
            </a:graphic>
          </wp:inline>
        </w:drawing>
      </w:r>
    </w:p>
    <w:p w14:paraId="323C8B1E" w14:textId="77777777" w:rsidR="009B2285" w:rsidRPr="00003419" w:rsidRDefault="00772DEA">
      <w:pPr>
        <w:spacing w:before="240" w:after="240" w:line="360" w:lineRule="auto"/>
        <w:jc w:val="center"/>
        <w:rPr>
          <w:rFonts w:ascii="Palatino Linotype" w:eastAsia="Palatino Linotype" w:hAnsi="Palatino Linotype" w:cs="Palatino Linotype"/>
          <w:color w:val="000000"/>
        </w:rPr>
      </w:pPr>
      <w:r w:rsidRPr="00003419">
        <w:rPr>
          <w:rFonts w:ascii="Palatino Linotype" w:eastAsia="Palatino Linotype" w:hAnsi="Palatino Linotype" w:cs="Palatino Linotype"/>
          <w:noProof/>
          <w:color w:val="000000"/>
        </w:rPr>
        <w:drawing>
          <wp:inline distT="0" distB="0" distL="0" distR="0" wp14:anchorId="3A3B03B5" wp14:editId="050A1864">
            <wp:extent cx="5612130" cy="1805305"/>
            <wp:effectExtent l="0" t="0" r="0" b="0"/>
            <wp:docPr id="1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612130" cy="1805305"/>
                    </a:xfrm>
                    <a:prstGeom prst="rect">
                      <a:avLst/>
                    </a:prstGeom>
                    <a:ln/>
                  </pic:spPr>
                </pic:pic>
              </a:graphicData>
            </a:graphic>
          </wp:inline>
        </w:drawing>
      </w:r>
      <w:r w:rsidRPr="00003419">
        <w:rPr>
          <w:noProof/>
        </w:rPr>
        <mc:AlternateContent>
          <mc:Choice Requires="wpg">
            <w:drawing>
              <wp:anchor distT="0" distB="0" distL="114300" distR="114300" simplePos="0" relativeHeight="251658240" behindDoc="0" locked="0" layoutInCell="1" hidden="0" allowOverlap="1" wp14:anchorId="6F565B70" wp14:editId="5EFED0D8">
                <wp:simplePos x="0" y="0"/>
                <wp:positionH relativeFrom="column">
                  <wp:posOffset>736600</wp:posOffset>
                </wp:positionH>
                <wp:positionV relativeFrom="paragraph">
                  <wp:posOffset>546100</wp:posOffset>
                </wp:positionV>
                <wp:extent cx="4878705" cy="228600"/>
                <wp:effectExtent l="0" t="0" r="0" b="0"/>
                <wp:wrapNone/>
                <wp:docPr id="122" name="Rectángulo 122"/>
                <wp:cNvGraphicFramePr/>
                <a:graphic xmlns:a="http://schemas.openxmlformats.org/drawingml/2006/main">
                  <a:graphicData uri="http://schemas.microsoft.com/office/word/2010/wordprocessingShape">
                    <wps:wsp>
                      <wps:cNvSpPr/>
                      <wps:spPr>
                        <a:xfrm>
                          <a:off x="2935223" y="3694275"/>
                          <a:ext cx="4821555" cy="171450"/>
                        </a:xfrm>
                        <a:prstGeom prst="rect">
                          <a:avLst/>
                        </a:prstGeom>
                        <a:noFill/>
                        <a:ln w="28575" cap="flat" cmpd="sng">
                          <a:solidFill>
                            <a:srgbClr val="C00000"/>
                          </a:solidFill>
                          <a:prstDash val="solid"/>
                          <a:round/>
                          <a:headEnd type="none" w="sm" len="sm"/>
                          <a:tailEnd type="none" w="sm" len="sm"/>
                        </a:ln>
                      </wps:spPr>
                      <wps:txbx>
                        <w:txbxContent>
                          <w:p w14:paraId="66160FC8" w14:textId="77777777" w:rsidR="009B2285" w:rsidRDefault="009B228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736600</wp:posOffset>
                </wp:positionH>
                <wp:positionV relativeFrom="paragraph">
                  <wp:posOffset>546100</wp:posOffset>
                </wp:positionV>
                <wp:extent cx="4878705" cy="228600"/>
                <wp:effectExtent b="0" l="0" r="0" t="0"/>
                <wp:wrapNone/>
                <wp:docPr id="122"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4878705" cy="228600"/>
                        </a:xfrm>
                        <a:prstGeom prst="rect"/>
                        <a:ln/>
                      </pic:spPr>
                    </pic:pic>
                  </a:graphicData>
                </a:graphic>
              </wp:anchor>
            </w:drawing>
          </mc:Fallback>
        </mc:AlternateContent>
      </w:r>
    </w:p>
    <w:p w14:paraId="57B1D3B1" w14:textId="77777777" w:rsidR="009B2285" w:rsidRPr="00003419" w:rsidRDefault="00772DEA">
      <w:pPr>
        <w:spacing w:before="240" w:after="240" w:line="360" w:lineRule="auto"/>
        <w:jc w:val="center"/>
        <w:rPr>
          <w:rFonts w:ascii="Palatino Linotype" w:eastAsia="Palatino Linotype" w:hAnsi="Palatino Linotype" w:cs="Palatino Linotype"/>
          <w:color w:val="000000"/>
        </w:rPr>
      </w:pPr>
      <w:r w:rsidRPr="00003419">
        <w:rPr>
          <w:rFonts w:ascii="Palatino Linotype" w:eastAsia="Palatino Linotype" w:hAnsi="Palatino Linotype" w:cs="Palatino Linotype"/>
          <w:noProof/>
          <w:color w:val="000000"/>
        </w:rPr>
        <w:lastRenderedPageBreak/>
        <w:drawing>
          <wp:inline distT="0" distB="0" distL="0" distR="0" wp14:anchorId="709EE3BB" wp14:editId="1A93610A">
            <wp:extent cx="5347250" cy="5499717"/>
            <wp:effectExtent l="0" t="0" r="0" b="0"/>
            <wp:docPr id="1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347250" cy="5499717"/>
                    </a:xfrm>
                    <a:prstGeom prst="rect">
                      <a:avLst/>
                    </a:prstGeom>
                    <a:ln/>
                  </pic:spPr>
                </pic:pic>
              </a:graphicData>
            </a:graphic>
          </wp:inline>
        </w:drawing>
      </w:r>
    </w:p>
    <w:p w14:paraId="5C130650" w14:textId="77777777" w:rsidR="009B2285" w:rsidRPr="00003419" w:rsidRDefault="00772DEA">
      <w:pPr>
        <w:spacing w:before="240" w:after="240" w:line="360" w:lineRule="auto"/>
        <w:rPr>
          <w:rFonts w:ascii="Palatino Linotype" w:eastAsia="Palatino Linotype" w:hAnsi="Palatino Linotype" w:cs="Palatino Linotype"/>
          <w:color w:val="000000"/>
        </w:rPr>
      </w:pPr>
      <w:r w:rsidRPr="00003419">
        <w:rPr>
          <w:rFonts w:ascii="Palatino Linotype" w:eastAsia="Palatino Linotype" w:hAnsi="Palatino Linotype" w:cs="Palatino Linotype"/>
          <w:noProof/>
          <w:color w:val="000000"/>
        </w:rPr>
        <w:drawing>
          <wp:inline distT="0" distB="0" distL="0" distR="0" wp14:anchorId="22FE89E3" wp14:editId="19FC875C">
            <wp:extent cx="5612130" cy="1245870"/>
            <wp:effectExtent l="0" t="0" r="0" b="0"/>
            <wp:docPr id="1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612130" cy="1245870"/>
                    </a:xfrm>
                    <a:prstGeom prst="rect">
                      <a:avLst/>
                    </a:prstGeom>
                    <a:ln/>
                  </pic:spPr>
                </pic:pic>
              </a:graphicData>
            </a:graphic>
          </wp:inline>
        </w:drawing>
      </w:r>
    </w:p>
    <w:p w14:paraId="60E6232C" w14:textId="77777777" w:rsidR="009B2285" w:rsidRPr="00003419" w:rsidRDefault="00772DEA">
      <w:pPr>
        <w:spacing w:before="240" w:after="240" w:line="360" w:lineRule="auto"/>
        <w:jc w:val="both"/>
        <w:rPr>
          <w:rFonts w:ascii="Palatino Linotype" w:eastAsia="Palatino Linotype" w:hAnsi="Palatino Linotype" w:cs="Palatino Linotype"/>
          <w:color w:val="000000"/>
        </w:rPr>
      </w:pPr>
      <w:r w:rsidRPr="00003419">
        <w:rPr>
          <w:rFonts w:ascii="Palatino Linotype" w:eastAsia="Palatino Linotype" w:hAnsi="Palatino Linotype" w:cs="Palatino Linotype"/>
          <w:noProof/>
          <w:color w:val="000000"/>
        </w:rPr>
        <w:lastRenderedPageBreak/>
        <w:drawing>
          <wp:inline distT="0" distB="0" distL="0" distR="0" wp14:anchorId="07E18940" wp14:editId="725B11E5">
            <wp:extent cx="5612130" cy="5125720"/>
            <wp:effectExtent l="0" t="0" r="0" b="0"/>
            <wp:docPr id="1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612130" cy="5125720"/>
                    </a:xfrm>
                    <a:prstGeom prst="rect">
                      <a:avLst/>
                    </a:prstGeom>
                    <a:ln/>
                  </pic:spPr>
                </pic:pic>
              </a:graphicData>
            </a:graphic>
          </wp:inline>
        </w:drawing>
      </w:r>
    </w:p>
    <w:p w14:paraId="77E02F57" w14:textId="77777777" w:rsidR="009B2285" w:rsidRPr="00003419" w:rsidRDefault="00772DEA">
      <w:pPr>
        <w:spacing w:before="240" w:after="240" w:line="360" w:lineRule="auto"/>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Aunado a lo anterior, los citados Lineamientos especifican que las imágenes contenidas deben ser indexadas de manera que se permita su vinculación con la información financiera, de tal forma que al consultar la citada información financiera se pueda visualizar el soporte documental que justifique los registros contables. </w:t>
      </w:r>
    </w:p>
    <w:p w14:paraId="6E850D12" w14:textId="77777777" w:rsidR="009B2285" w:rsidRPr="00003419" w:rsidRDefault="00772DE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Por lo anteriormente analizado, se determina </w:t>
      </w:r>
      <w:proofErr w:type="gramStart"/>
      <w:r w:rsidRPr="00003419">
        <w:rPr>
          <w:rFonts w:ascii="Palatino Linotype" w:eastAsia="Palatino Linotype" w:hAnsi="Palatino Linotype" w:cs="Palatino Linotype"/>
          <w:color w:val="000000"/>
          <w:sz w:val="22"/>
          <w:szCs w:val="22"/>
        </w:rPr>
        <w:t>que</w:t>
      </w:r>
      <w:proofErr w:type="gramEnd"/>
      <w:r w:rsidRPr="00003419">
        <w:rPr>
          <w:rFonts w:ascii="Palatino Linotype" w:eastAsia="Palatino Linotype" w:hAnsi="Palatino Linotype" w:cs="Palatino Linotype"/>
          <w:color w:val="000000"/>
          <w:sz w:val="22"/>
          <w:szCs w:val="22"/>
        </w:rPr>
        <w:t xml:space="preserve"> si bien es cierto, el </w:t>
      </w:r>
      <w:r w:rsidRPr="00003419">
        <w:rPr>
          <w:rFonts w:ascii="Palatino Linotype" w:eastAsia="Palatino Linotype" w:hAnsi="Palatino Linotype" w:cs="Palatino Linotype"/>
          <w:b/>
          <w:color w:val="000000"/>
          <w:sz w:val="22"/>
          <w:szCs w:val="22"/>
        </w:rPr>
        <w:t>Sujeto Obligado</w:t>
      </w:r>
      <w:r w:rsidRPr="00003419">
        <w:rPr>
          <w:rFonts w:ascii="Palatino Linotype" w:eastAsia="Palatino Linotype" w:hAnsi="Palatino Linotype" w:cs="Palatino Linotype"/>
          <w:color w:val="000000"/>
          <w:sz w:val="22"/>
          <w:szCs w:val="22"/>
        </w:rPr>
        <w:t xml:space="preserve"> realizó un turno correcto de la solicitud de información, no menos cierto es que no se puede validar su pronunciamiento, en razón de que se insiste, a la fecha obra un indicio de la </w:t>
      </w:r>
      <w:r w:rsidRPr="00003419">
        <w:rPr>
          <w:rFonts w:ascii="Palatino Linotype" w:eastAsia="Palatino Linotype" w:hAnsi="Palatino Linotype" w:cs="Palatino Linotype"/>
          <w:color w:val="000000"/>
          <w:sz w:val="22"/>
          <w:szCs w:val="22"/>
        </w:rPr>
        <w:lastRenderedPageBreak/>
        <w:t>celebración del contrato, por lo que cabe la posibilidad de que también a esa fecha ya se hubiere efectuado el pago, por lo que resulta procedente ordenar su entrega.</w:t>
      </w:r>
    </w:p>
    <w:p w14:paraId="01535E1C" w14:textId="77777777" w:rsidR="009B2285" w:rsidRPr="00003419" w:rsidRDefault="00772DEA">
      <w:pPr>
        <w:spacing w:before="240" w:after="240" w:line="360" w:lineRule="auto"/>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No obstante, para el caso de que la factura, no obre en los archivos del </w:t>
      </w:r>
      <w:r w:rsidRPr="00003419">
        <w:rPr>
          <w:rFonts w:ascii="Palatino Linotype" w:eastAsia="Palatino Linotype" w:hAnsi="Palatino Linotype" w:cs="Palatino Linotype"/>
          <w:b/>
          <w:color w:val="000000"/>
          <w:sz w:val="22"/>
          <w:szCs w:val="22"/>
        </w:rPr>
        <w:t>Sujeto Obligado</w:t>
      </w:r>
      <w:r w:rsidRPr="00003419">
        <w:rPr>
          <w:rFonts w:ascii="Palatino Linotype" w:eastAsia="Palatino Linotype" w:hAnsi="Palatino Linotype" w:cs="Palatino Linotype"/>
          <w:color w:val="000000"/>
          <w:sz w:val="22"/>
          <w:szCs w:val="22"/>
        </w:rPr>
        <w:t>, en virtud de que a la fecha de la solicitud no se hubiere realizado el pago, bastará con que así se haga del conocimiento de la persona solicitante para tener por satisfecho del derecho de acceso, de conformidad con lo previsto en el artículo 19, párrafo segundo de la Ley de Transparencia y Acceso a la Información Pública del Estado de México y Municipios, a saber:</w:t>
      </w:r>
    </w:p>
    <w:p w14:paraId="764E014E"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color w:val="000000"/>
          <w:sz w:val="22"/>
          <w:szCs w:val="22"/>
        </w:rPr>
      </w:pPr>
      <w:r w:rsidRPr="00003419">
        <w:rPr>
          <w:rFonts w:ascii="Palatino Linotype" w:eastAsia="Palatino Linotype" w:hAnsi="Palatino Linotype" w:cs="Palatino Linotype"/>
          <w:i/>
          <w:color w:val="000000"/>
          <w:sz w:val="22"/>
          <w:szCs w:val="22"/>
        </w:rPr>
        <w:t>“Artículo 19…</w:t>
      </w:r>
    </w:p>
    <w:p w14:paraId="299502D4" w14:textId="77777777" w:rsidR="009B2285" w:rsidRPr="00003419" w:rsidRDefault="00772DEA">
      <w:pPr>
        <w:spacing w:before="240" w:after="240" w:line="276" w:lineRule="auto"/>
        <w:ind w:left="567" w:right="900"/>
        <w:jc w:val="both"/>
        <w:rPr>
          <w:rFonts w:ascii="Palatino Linotype" w:eastAsia="Palatino Linotype" w:hAnsi="Palatino Linotype" w:cs="Palatino Linotype"/>
          <w:i/>
          <w:color w:val="000000"/>
          <w:sz w:val="22"/>
          <w:szCs w:val="22"/>
        </w:rPr>
      </w:pPr>
      <w:r w:rsidRPr="00003419">
        <w:rPr>
          <w:rFonts w:ascii="Palatino Linotype" w:eastAsia="Palatino Linotype" w:hAnsi="Palatino Linotype" w:cs="Palatino Linotype"/>
          <w:i/>
          <w:color w:val="000000"/>
          <w:sz w:val="22"/>
          <w:szCs w:val="22"/>
        </w:rPr>
        <w:t>En los casos en que ciertas facultades, competencias o funciones no se hayan ejercido, se debe motivar la respuesta en función de las causas que motiven tal circunstancia.”</w:t>
      </w:r>
    </w:p>
    <w:p w14:paraId="549A36D6" w14:textId="77777777" w:rsidR="009B2285" w:rsidRPr="00003419" w:rsidRDefault="00772DEA">
      <w:pPr>
        <w:spacing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En mérito de todo lo expuesto, es que se determina que los agravios resultan </w:t>
      </w:r>
      <w:r w:rsidRPr="00003419">
        <w:rPr>
          <w:rFonts w:ascii="Palatino Linotype" w:eastAsia="Palatino Linotype" w:hAnsi="Palatino Linotype" w:cs="Palatino Linotype"/>
          <w:b/>
          <w:sz w:val="22"/>
          <w:szCs w:val="22"/>
        </w:rPr>
        <w:t>FUNDADOS</w:t>
      </w:r>
      <w:r w:rsidRPr="00003419">
        <w:rPr>
          <w:rFonts w:ascii="Palatino Linotype" w:eastAsia="Palatino Linotype" w:hAnsi="Palatino Linotype" w:cs="Palatino Linotype"/>
          <w:sz w:val="22"/>
          <w:szCs w:val="22"/>
        </w:rPr>
        <w:t xml:space="preserve"> y es por ello que este Organismo Garante </w:t>
      </w:r>
      <w:r w:rsidRPr="00003419">
        <w:rPr>
          <w:rFonts w:ascii="Palatino Linotype" w:eastAsia="Palatino Linotype" w:hAnsi="Palatino Linotype" w:cs="Palatino Linotype"/>
          <w:color w:val="000000"/>
          <w:sz w:val="22"/>
          <w:szCs w:val="22"/>
        </w:rPr>
        <w:t xml:space="preserve">determina </w:t>
      </w:r>
      <w:r w:rsidRPr="00003419">
        <w:rPr>
          <w:rFonts w:ascii="Palatino Linotype" w:eastAsia="Palatino Linotype" w:hAnsi="Palatino Linotype" w:cs="Palatino Linotype"/>
          <w:b/>
          <w:color w:val="000000"/>
          <w:sz w:val="22"/>
          <w:szCs w:val="22"/>
        </w:rPr>
        <w:t xml:space="preserve">MODIFICAR </w:t>
      </w:r>
      <w:r w:rsidRPr="00003419">
        <w:rPr>
          <w:rFonts w:ascii="Palatino Linotype" w:eastAsia="Palatino Linotype" w:hAnsi="Palatino Linotype" w:cs="Palatino Linotype"/>
          <w:color w:val="000000"/>
          <w:sz w:val="22"/>
          <w:szCs w:val="22"/>
        </w:rPr>
        <w:t>la respuesta</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color w:val="000000"/>
          <w:sz w:val="22"/>
          <w:szCs w:val="22"/>
        </w:rPr>
        <w:t xml:space="preserve">del recurso de revisión </w:t>
      </w:r>
      <w:r w:rsidRPr="00003419">
        <w:rPr>
          <w:rFonts w:ascii="Palatino Linotype" w:eastAsia="Palatino Linotype" w:hAnsi="Palatino Linotype" w:cs="Palatino Linotype"/>
          <w:b/>
          <w:color w:val="000000"/>
          <w:sz w:val="22"/>
          <w:szCs w:val="22"/>
        </w:rPr>
        <w:t>01694/INFOEM/IP/RR/2025</w:t>
      </w:r>
      <w:r w:rsidRPr="00003419">
        <w:rPr>
          <w:rFonts w:ascii="Palatino Linotype" w:eastAsia="Palatino Linotype" w:hAnsi="Palatino Linotype" w:cs="Palatino Linotype"/>
          <w:color w:val="000000"/>
          <w:sz w:val="22"/>
          <w:szCs w:val="22"/>
        </w:rPr>
        <w:t>, para ordenar la entrega de los documentos donde conste o se advierta lo siguiente:</w:t>
      </w:r>
    </w:p>
    <w:p w14:paraId="3B3695F2" w14:textId="77777777" w:rsidR="009B2285" w:rsidRPr="00003419" w:rsidRDefault="00772DEA">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color w:val="000000"/>
          <w:sz w:val="22"/>
          <w:szCs w:val="22"/>
        </w:rPr>
      </w:pPr>
      <w:r w:rsidRPr="00003419">
        <w:rPr>
          <w:rFonts w:ascii="Palatino Linotype" w:eastAsia="Palatino Linotype" w:hAnsi="Palatino Linotype" w:cs="Palatino Linotype"/>
          <w:b/>
          <w:i/>
          <w:color w:val="000000"/>
          <w:sz w:val="22"/>
          <w:szCs w:val="22"/>
        </w:rPr>
        <w:t>1. Las rutas de recolección de basura, vigentes al 20 de enero de 2025.</w:t>
      </w:r>
    </w:p>
    <w:p w14:paraId="38233576" w14:textId="77777777" w:rsidR="009B2285" w:rsidRPr="00003419" w:rsidRDefault="00772DEA">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color w:val="000000"/>
          <w:sz w:val="22"/>
          <w:szCs w:val="22"/>
        </w:rPr>
      </w:pPr>
      <w:r w:rsidRPr="00003419">
        <w:rPr>
          <w:rFonts w:ascii="Palatino Linotype" w:eastAsia="Palatino Linotype" w:hAnsi="Palatino Linotype" w:cs="Palatino Linotype"/>
          <w:b/>
          <w:i/>
          <w:color w:val="000000"/>
          <w:sz w:val="22"/>
          <w:szCs w:val="22"/>
        </w:rPr>
        <w:t>2</w:t>
      </w:r>
      <w:r w:rsidRPr="00003419">
        <w:rPr>
          <w:rFonts w:ascii="Palatino Linotype" w:eastAsia="Palatino Linotype" w:hAnsi="Palatino Linotype" w:cs="Palatino Linotype"/>
          <w:i/>
          <w:color w:val="000000"/>
          <w:sz w:val="22"/>
          <w:szCs w:val="22"/>
        </w:rPr>
        <w:t xml:space="preserve">. </w:t>
      </w:r>
      <w:r w:rsidRPr="00003419">
        <w:rPr>
          <w:rFonts w:ascii="Palatino Linotype" w:eastAsia="Palatino Linotype" w:hAnsi="Palatino Linotype" w:cs="Palatino Linotype"/>
          <w:b/>
          <w:i/>
          <w:color w:val="000000"/>
          <w:sz w:val="22"/>
          <w:szCs w:val="22"/>
        </w:rPr>
        <w:t>Contrato relativo al arrendamiento de camiones de basura vigente al 20 de enero de 2025 y las facturas correspondientes, generadas del 01 al 20 de enero de 2025.</w:t>
      </w:r>
    </w:p>
    <w:p w14:paraId="39C6D3D2" w14:textId="77777777" w:rsidR="009B2285" w:rsidRPr="00003419" w:rsidRDefault="00772DEA">
      <w:pPr>
        <w:pBdr>
          <w:top w:val="nil"/>
          <w:left w:val="nil"/>
          <w:bottom w:val="nil"/>
          <w:right w:val="nil"/>
          <w:between w:val="nil"/>
        </w:pBdr>
        <w:spacing w:after="240" w:line="360" w:lineRule="auto"/>
        <w:ind w:right="49"/>
        <w:jc w:val="both"/>
        <w:rPr>
          <w:rFonts w:ascii="Palatino Linotype" w:eastAsia="Palatino Linotype" w:hAnsi="Palatino Linotype" w:cs="Palatino Linotype"/>
          <w:b/>
          <w:i/>
          <w:color w:val="000000"/>
          <w:sz w:val="22"/>
          <w:szCs w:val="22"/>
        </w:rPr>
      </w:pPr>
      <w:r w:rsidRPr="00003419">
        <w:rPr>
          <w:rFonts w:ascii="Palatino Linotype" w:eastAsia="Palatino Linotype" w:hAnsi="Palatino Linotype" w:cs="Palatino Linotype"/>
          <w:b/>
          <w:color w:val="000000"/>
          <w:sz w:val="22"/>
          <w:szCs w:val="22"/>
        </w:rPr>
        <w:t xml:space="preserve">Quinto. Versión Pública. </w:t>
      </w:r>
      <w:r w:rsidRPr="00003419">
        <w:rPr>
          <w:rFonts w:ascii="Palatino Linotype" w:eastAsia="Palatino Linotype" w:hAnsi="Palatino Linotype" w:cs="Palatino Linotype"/>
          <w:color w:val="000000"/>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003419">
        <w:rPr>
          <w:rFonts w:ascii="Palatino Linotype" w:eastAsia="Palatino Linotype" w:hAnsi="Palatino Linotype" w:cs="Palatino Linotype"/>
          <w:b/>
          <w:color w:val="000000"/>
          <w:sz w:val="22"/>
          <w:szCs w:val="22"/>
        </w:rPr>
        <w:t>Sujeto Obligado</w:t>
      </w:r>
      <w:r w:rsidRPr="00003419">
        <w:rPr>
          <w:rFonts w:ascii="Palatino Linotype" w:eastAsia="Palatino Linotype" w:hAnsi="Palatino Linotype" w:cs="Palatino Linotype"/>
          <w:color w:val="000000"/>
          <w:sz w:val="22"/>
          <w:szCs w:val="22"/>
        </w:rPr>
        <w:t xml:space="preserve"> tendrá que hacer la elaboración de una versión pública de los documentos que vaya entregar para dar cumplimiento a esta resolución, a fin de satisfacer el derecho de acceso a </w:t>
      </w:r>
      <w:r w:rsidRPr="00003419">
        <w:rPr>
          <w:rFonts w:ascii="Palatino Linotype" w:eastAsia="Palatino Linotype" w:hAnsi="Palatino Linotype" w:cs="Palatino Linotype"/>
          <w:color w:val="000000"/>
          <w:sz w:val="22"/>
          <w:szCs w:val="22"/>
        </w:rPr>
        <w:lastRenderedPageBreak/>
        <w:t xml:space="preserve">la información pública de </w:t>
      </w:r>
      <w:r w:rsidRPr="00003419">
        <w:rPr>
          <w:rFonts w:ascii="Palatino Linotype" w:eastAsia="Palatino Linotype" w:hAnsi="Palatino Linotype" w:cs="Palatino Linotype"/>
          <w:b/>
          <w:color w:val="000000"/>
          <w:sz w:val="22"/>
          <w:szCs w:val="22"/>
        </w:rPr>
        <w:t>la parte</w:t>
      </w:r>
      <w:r w:rsidRPr="00003419">
        <w:rPr>
          <w:rFonts w:ascii="Palatino Linotype" w:eastAsia="Palatino Linotype" w:hAnsi="Palatino Linotype" w:cs="Palatino Linotype"/>
          <w:color w:val="000000"/>
          <w:sz w:val="22"/>
          <w:szCs w:val="22"/>
        </w:rPr>
        <w:t xml:space="preserve"> </w:t>
      </w:r>
      <w:r w:rsidRPr="00003419">
        <w:rPr>
          <w:rFonts w:ascii="Palatino Linotype" w:eastAsia="Palatino Linotype" w:hAnsi="Palatino Linotype" w:cs="Palatino Linotype"/>
          <w:b/>
          <w:color w:val="000000"/>
          <w:sz w:val="22"/>
          <w:szCs w:val="22"/>
        </w:rPr>
        <w:t>Recurrente</w:t>
      </w:r>
      <w:r w:rsidRPr="00003419">
        <w:rPr>
          <w:rFonts w:ascii="Palatino Linotype" w:eastAsia="Palatino Linotype" w:hAnsi="Palatino Linotype" w:cs="Palatino Linotype"/>
          <w:color w:val="000000"/>
          <w:sz w:val="22"/>
          <w:szCs w:val="22"/>
        </w:rPr>
        <w:t xml:space="preserve"> sin menoscabar el derecho a la protección de los datos personales de terceros.</w:t>
      </w:r>
    </w:p>
    <w:p w14:paraId="1BB904F8" w14:textId="77777777" w:rsidR="009B2285" w:rsidRPr="00003419" w:rsidRDefault="00772DEA">
      <w:pPr>
        <w:pBdr>
          <w:top w:val="nil"/>
          <w:left w:val="nil"/>
          <w:bottom w:val="nil"/>
          <w:right w:val="nil"/>
          <w:between w:val="nil"/>
        </w:pBdr>
        <w:spacing w:before="240" w:after="240" w:line="360" w:lineRule="auto"/>
        <w:ind w:right="49"/>
        <w:jc w:val="both"/>
        <w:rPr>
          <w:color w:val="000000"/>
          <w:sz w:val="22"/>
          <w:szCs w:val="22"/>
        </w:rPr>
      </w:pPr>
      <w:r w:rsidRPr="00003419">
        <w:rPr>
          <w:rFonts w:ascii="Palatino Linotype" w:eastAsia="Palatino Linotype" w:hAnsi="Palatino Linotype" w:cs="Palatino Linotype"/>
          <w:color w:val="000000"/>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2400643B" w14:textId="77777777" w:rsidR="009B2285" w:rsidRPr="00003419" w:rsidRDefault="00772DEA">
      <w:pPr>
        <w:pBdr>
          <w:top w:val="nil"/>
          <w:left w:val="nil"/>
          <w:bottom w:val="nil"/>
          <w:right w:val="nil"/>
          <w:between w:val="nil"/>
        </w:pBdr>
        <w:spacing w:line="276" w:lineRule="auto"/>
        <w:ind w:left="993" w:right="1041"/>
        <w:jc w:val="both"/>
        <w:rPr>
          <w:color w:val="000000"/>
          <w:sz w:val="22"/>
          <w:szCs w:val="22"/>
        </w:rPr>
      </w:pPr>
      <w:r w:rsidRPr="00003419">
        <w:rPr>
          <w:rFonts w:ascii="Palatino Linotype" w:eastAsia="Palatino Linotype" w:hAnsi="Palatino Linotype" w:cs="Palatino Linotype"/>
          <w:b/>
          <w:i/>
          <w:color w:val="000000"/>
          <w:sz w:val="22"/>
          <w:szCs w:val="22"/>
        </w:rPr>
        <w:t> “Artículo 3. Para los efectos de la presente Ley se entenderá por:</w:t>
      </w:r>
    </w:p>
    <w:p w14:paraId="3E11DF82" w14:textId="77777777" w:rsidR="009B2285" w:rsidRPr="00003419" w:rsidRDefault="00772DEA">
      <w:pPr>
        <w:pBdr>
          <w:top w:val="nil"/>
          <w:left w:val="nil"/>
          <w:bottom w:val="nil"/>
          <w:right w:val="nil"/>
          <w:between w:val="nil"/>
        </w:pBdr>
        <w:spacing w:line="276" w:lineRule="auto"/>
        <w:ind w:left="993" w:right="1041"/>
        <w:jc w:val="both"/>
        <w:rPr>
          <w:color w:val="000000"/>
          <w:sz w:val="22"/>
          <w:szCs w:val="22"/>
        </w:rPr>
      </w:pPr>
      <w:r w:rsidRPr="00003419">
        <w:rPr>
          <w:rFonts w:ascii="Palatino Linotype" w:eastAsia="Palatino Linotype" w:hAnsi="Palatino Linotype" w:cs="Palatino Linotype"/>
          <w:b/>
          <w:i/>
          <w:color w:val="000000"/>
          <w:sz w:val="22"/>
          <w:szCs w:val="22"/>
        </w:rPr>
        <w:t>IX. Datos personales:</w:t>
      </w:r>
      <w:r w:rsidRPr="00003419">
        <w:rPr>
          <w:rFonts w:ascii="Palatino Linotype" w:eastAsia="Palatino Linotype" w:hAnsi="Palatino Linotype" w:cs="Palatino Linotype"/>
          <w:i/>
          <w:color w:val="000000"/>
          <w:sz w:val="22"/>
          <w:szCs w:val="22"/>
        </w:rPr>
        <w:t xml:space="preserve"> </w:t>
      </w:r>
      <w:r w:rsidRPr="00003419">
        <w:rPr>
          <w:rFonts w:ascii="Palatino Linotype" w:eastAsia="Palatino Linotype" w:hAnsi="Palatino Linotype" w:cs="Palatino Linotype"/>
          <w:b/>
          <w:i/>
          <w:color w:val="000000"/>
          <w:sz w:val="22"/>
          <w:szCs w:val="22"/>
        </w:rPr>
        <w:t>La información concerniente a una persona, identificada o identificable</w:t>
      </w:r>
      <w:r w:rsidRPr="00003419">
        <w:rPr>
          <w:rFonts w:ascii="Palatino Linotype" w:eastAsia="Palatino Linotype" w:hAnsi="Palatino Linotype" w:cs="Palatino Linotype"/>
          <w:i/>
          <w:color w:val="000000"/>
          <w:sz w:val="22"/>
          <w:szCs w:val="22"/>
        </w:rPr>
        <w:t xml:space="preserve"> según lo dispuesto por la Ley de Protección de Datos Personales del Estado de México;</w:t>
      </w:r>
    </w:p>
    <w:p w14:paraId="4EB86148" w14:textId="77777777" w:rsidR="009B2285" w:rsidRPr="00003419" w:rsidRDefault="00772DEA">
      <w:pPr>
        <w:pBdr>
          <w:top w:val="nil"/>
          <w:left w:val="nil"/>
          <w:bottom w:val="nil"/>
          <w:right w:val="nil"/>
          <w:between w:val="nil"/>
        </w:pBdr>
        <w:spacing w:line="276" w:lineRule="auto"/>
        <w:ind w:left="993" w:right="1041"/>
        <w:jc w:val="both"/>
        <w:rPr>
          <w:color w:val="000000"/>
          <w:sz w:val="22"/>
          <w:szCs w:val="22"/>
        </w:rPr>
      </w:pPr>
      <w:r w:rsidRPr="00003419">
        <w:rPr>
          <w:rFonts w:ascii="Palatino Linotype" w:eastAsia="Palatino Linotype" w:hAnsi="Palatino Linotype" w:cs="Palatino Linotype"/>
          <w:b/>
          <w:i/>
          <w:color w:val="000000"/>
          <w:sz w:val="22"/>
          <w:szCs w:val="22"/>
        </w:rPr>
        <w:t>XX. Información clasificada:</w:t>
      </w:r>
      <w:r w:rsidRPr="00003419">
        <w:rPr>
          <w:rFonts w:ascii="Palatino Linotype" w:eastAsia="Palatino Linotype" w:hAnsi="Palatino Linotype" w:cs="Palatino Linotype"/>
          <w:i/>
          <w:color w:val="000000"/>
          <w:sz w:val="22"/>
          <w:szCs w:val="22"/>
        </w:rPr>
        <w:t xml:space="preserve"> Aquella considerada por la presente Ley como reservada o confidencial;</w:t>
      </w:r>
    </w:p>
    <w:p w14:paraId="1278E5F2" w14:textId="77777777" w:rsidR="009B2285" w:rsidRPr="00003419" w:rsidRDefault="00772DEA">
      <w:pPr>
        <w:pBdr>
          <w:top w:val="nil"/>
          <w:left w:val="nil"/>
          <w:bottom w:val="nil"/>
          <w:right w:val="nil"/>
          <w:between w:val="nil"/>
        </w:pBdr>
        <w:spacing w:line="276" w:lineRule="auto"/>
        <w:ind w:left="993" w:right="1041"/>
        <w:jc w:val="both"/>
        <w:rPr>
          <w:color w:val="000000"/>
          <w:sz w:val="22"/>
          <w:szCs w:val="22"/>
        </w:rPr>
      </w:pPr>
      <w:r w:rsidRPr="00003419">
        <w:rPr>
          <w:rFonts w:ascii="Palatino Linotype" w:eastAsia="Palatino Linotype" w:hAnsi="Palatino Linotype" w:cs="Palatino Linotype"/>
          <w:b/>
          <w:i/>
          <w:color w:val="000000"/>
          <w:sz w:val="22"/>
          <w:szCs w:val="22"/>
        </w:rPr>
        <w:t>XXXII. Protección de Datos Personales:</w:t>
      </w:r>
      <w:r w:rsidRPr="00003419">
        <w:rPr>
          <w:rFonts w:ascii="Palatino Linotype" w:eastAsia="Palatino Linotype" w:hAnsi="Palatino Linotype" w:cs="Palatino Linotype"/>
          <w:i/>
          <w:color w:val="000000"/>
          <w:sz w:val="22"/>
          <w:szCs w:val="22"/>
        </w:rPr>
        <w:t xml:space="preserve"> Derecho humano que tutela la privacidad de datos personales en poder de los sujetos obligados y sujetos particulares;</w:t>
      </w:r>
    </w:p>
    <w:p w14:paraId="431A1FC6" w14:textId="77777777" w:rsidR="009B2285" w:rsidRPr="00003419" w:rsidRDefault="00772DEA">
      <w:pPr>
        <w:pBdr>
          <w:top w:val="nil"/>
          <w:left w:val="nil"/>
          <w:bottom w:val="nil"/>
          <w:right w:val="nil"/>
          <w:between w:val="nil"/>
        </w:pBdr>
        <w:spacing w:line="276" w:lineRule="auto"/>
        <w:ind w:left="993" w:right="1041"/>
        <w:jc w:val="both"/>
        <w:rPr>
          <w:color w:val="000000"/>
          <w:sz w:val="22"/>
          <w:szCs w:val="22"/>
        </w:rPr>
      </w:pPr>
      <w:r w:rsidRPr="00003419">
        <w:rPr>
          <w:rFonts w:ascii="Palatino Linotype" w:eastAsia="Palatino Linotype" w:hAnsi="Palatino Linotype" w:cs="Palatino Linotype"/>
          <w:b/>
          <w:i/>
          <w:color w:val="000000"/>
          <w:sz w:val="22"/>
          <w:szCs w:val="22"/>
        </w:rPr>
        <w:t>XLV. Versión pública</w:t>
      </w:r>
      <w:r w:rsidRPr="00003419">
        <w:rPr>
          <w:rFonts w:ascii="Palatino Linotype" w:eastAsia="Palatino Linotype" w:hAnsi="Palatino Linotype" w:cs="Palatino Linotype"/>
          <w:i/>
          <w:color w:val="000000"/>
          <w:sz w:val="22"/>
          <w:szCs w:val="22"/>
        </w:rPr>
        <w:t>: Documento en el que se elimine, suprime o borra la información clasificada como reservada o confidencial para permitir su acceso.”</w:t>
      </w:r>
    </w:p>
    <w:p w14:paraId="5C41C4DF" w14:textId="77777777" w:rsidR="009B2285" w:rsidRPr="00003419" w:rsidRDefault="009B2285">
      <w:pPr>
        <w:spacing w:line="276" w:lineRule="auto"/>
        <w:jc w:val="both"/>
        <w:rPr>
          <w:sz w:val="22"/>
          <w:szCs w:val="22"/>
        </w:rPr>
      </w:pPr>
    </w:p>
    <w:p w14:paraId="622A85F6" w14:textId="77777777" w:rsidR="009B2285" w:rsidRPr="00003419" w:rsidRDefault="00772DEA">
      <w:pPr>
        <w:pBdr>
          <w:top w:val="nil"/>
          <w:left w:val="nil"/>
          <w:bottom w:val="nil"/>
          <w:right w:val="nil"/>
          <w:between w:val="nil"/>
        </w:pBdr>
        <w:spacing w:line="276" w:lineRule="auto"/>
        <w:ind w:left="993" w:right="1041"/>
        <w:jc w:val="both"/>
        <w:rPr>
          <w:color w:val="000000"/>
          <w:sz w:val="22"/>
          <w:szCs w:val="22"/>
        </w:rPr>
      </w:pPr>
      <w:r w:rsidRPr="00003419">
        <w:rPr>
          <w:rFonts w:ascii="Palatino Linotype" w:eastAsia="Palatino Linotype" w:hAnsi="Palatino Linotype" w:cs="Palatino Linotype"/>
          <w:b/>
          <w:i/>
          <w:color w:val="000000"/>
          <w:sz w:val="22"/>
          <w:szCs w:val="22"/>
        </w:rPr>
        <w:t>“Artículo 6.</w:t>
      </w:r>
      <w:r w:rsidRPr="00003419">
        <w:rPr>
          <w:rFonts w:ascii="Palatino Linotype" w:eastAsia="Palatino Linotype" w:hAnsi="Palatino Linotype" w:cs="Palatino Linotype"/>
          <w:i/>
          <w:color w:val="000000"/>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4621E3D" w14:textId="77777777" w:rsidR="009B2285" w:rsidRPr="00003419" w:rsidRDefault="009B2285">
      <w:pPr>
        <w:spacing w:line="276" w:lineRule="auto"/>
        <w:jc w:val="both"/>
        <w:rPr>
          <w:sz w:val="22"/>
          <w:szCs w:val="22"/>
        </w:rPr>
      </w:pPr>
    </w:p>
    <w:p w14:paraId="132EC4E8" w14:textId="77777777" w:rsidR="009B2285" w:rsidRPr="00003419" w:rsidRDefault="00772DEA">
      <w:pPr>
        <w:pBdr>
          <w:top w:val="nil"/>
          <w:left w:val="nil"/>
          <w:bottom w:val="nil"/>
          <w:right w:val="nil"/>
          <w:between w:val="nil"/>
        </w:pBdr>
        <w:spacing w:line="276" w:lineRule="auto"/>
        <w:ind w:left="993" w:right="1041"/>
        <w:jc w:val="both"/>
        <w:rPr>
          <w:color w:val="000000"/>
          <w:sz w:val="22"/>
          <w:szCs w:val="22"/>
        </w:rPr>
      </w:pPr>
      <w:r w:rsidRPr="00003419">
        <w:rPr>
          <w:rFonts w:ascii="Palatino Linotype" w:eastAsia="Palatino Linotype" w:hAnsi="Palatino Linotype" w:cs="Palatino Linotype"/>
          <w:b/>
          <w:i/>
          <w:color w:val="000000"/>
          <w:sz w:val="22"/>
          <w:szCs w:val="22"/>
        </w:rPr>
        <w:t>“Artículo 137.</w:t>
      </w:r>
      <w:r w:rsidRPr="00003419">
        <w:rPr>
          <w:rFonts w:ascii="Palatino Linotype" w:eastAsia="Palatino Linotype" w:hAnsi="Palatino Linotype" w:cs="Palatino Linotype"/>
          <w:i/>
          <w:color w:val="000000"/>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444BB59" w14:textId="77777777" w:rsidR="009B2285" w:rsidRPr="00003419" w:rsidRDefault="009B2285">
      <w:pPr>
        <w:spacing w:line="276" w:lineRule="auto"/>
        <w:jc w:val="both"/>
        <w:rPr>
          <w:sz w:val="22"/>
          <w:szCs w:val="22"/>
        </w:rPr>
      </w:pPr>
    </w:p>
    <w:p w14:paraId="5BD3E83F" w14:textId="77777777" w:rsidR="009B2285" w:rsidRPr="00003419" w:rsidRDefault="00772DEA">
      <w:pPr>
        <w:pBdr>
          <w:top w:val="nil"/>
          <w:left w:val="nil"/>
          <w:bottom w:val="nil"/>
          <w:right w:val="nil"/>
          <w:between w:val="nil"/>
        </w:pBdr>
        <w:spacing w:line="276" w:lineRule="auto"/>
        <w:ind w:left="993" w:right="1041"/>
        <w:jc w:val="both"/>
        <w:rPr>
          <w:color w:val="000000"/>
          <w:sz w:val="22"/>
          <w:szCs w:val="22"/>
        </w:rPr>
      </w:pPr>
      <w:r w:rsidRPr="00003419">
        <w:rPr>
          <w:rFonts w:ascii="Palatino Linotype" w:eastAsia="Palatino Linotype" w:hAnsi="Palatino Linotype" w:cs="Palatino Linotype"/>
          <w:b/>
          <w:i/>
          <w:color w:val="000000"/>
          <w:sz w:val="22"/>
          <w:szCs w:val="22"/>
        </w:rPr>
        <w:t>“Artículo 143</w:t>
      </w:r>
      <w:r w:rsidRPr="00003419">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 cuando:</w:t>
      </w:r>
    </w:p>
    <w:p w14:paraId="6B81AB73" w14:textId="77777777" w:rsidR="009B2285" w:rsidRPr="00003419" w:rsidRDefault="00772DEA">
      <w:pPr>
        <w:pBdr>
          <w:top w:val="nil"/>
          <w:left w:val="nil"/>
          <w:bottom w:val="nil"/>
          <w:right w:val="nil"/>
          <w:between w:val="nil"/>
        </w:pBdr>
        <w:spacing w:line="276" w:lineRule="auto"/>
        <w:ind w:left="993" w:right="1041"/>
        <w:jc w:val="both"/>
        <w:rPr>
          <w:color w:val="000000"/>
          <w:sz w:val="22"/>
          <w:szCs w:val="22"/>
        </w:rPr>
      </w:pPr>
      <w:r w:rsidRPr="00003419">
        <w:rPr>
          <w:rFonts w:ascii="Palatino Linotype" w:eastAsia="Palatino Linotype" w:hAnsi="Palatino Linotype" w:cs="Palatino Linotype"/>
          <w:b/>
          <w:i/>
          <w:color w:val="000000"/>
          <w:sz w:val="22"/>
          <w:szCs w:val="22"/>
        </w:rPr>
        <w:t>I.</w:t>
      </w:r>
      <w:r w:rsidRPr="00003419">
        <w:rPr>
          <w:rFonts w:ascii="Palatino Linotype" w:eastAsia="Palatino Linotype" w:hAnsi="Palatino Linotype" w:cs="Palatino Linotype"/>
          <w:i/>
          <w:color w:val="000000"/>
          <w:sz w:val="22"/>
          <w:szCs w:val="22"/>
        </w:rPr>
        <w:t xml:space="preserve"> Se refiera a la información privada y los datos personales concernientes a una persona física o jurídica colectiva identificada o identificable;</w:t>
      </w:r>
    </w:p>
    <w:p w14:paraId="689B5090" w14:textId="77777777" w:rsidR="009B2285" w:rsidRPr="00003419" w:rsidRDefault="00772DEA">
      <w:pPr>
        <w:pBdr>
          <w:top w:val="nil"/>
          <w:left w:val="nil"/>
          <w:bottom w:val="nil"/>
          <w:right w:val="nil"/>
          <w:between w:val="nil"/>
        </w:pBdr>
        <w:spacing w:line="276" w:lineRule="auto"/>
        <w:ind w:left="993" w:right="1041"/>
        <w:jc w:val="both"/>
        <w:rPr>
          <w:color w:val="000000"/>
          <w:sz w:val="22"/>
          <w:szCs w:val="22"/>
        </w:rPr>
      </w:pPr>
      <w:r w:rsidRPr="00003419">
        <w:rPr>
          <w:rFonts w:ascii="Palatino Linotype" w:eastAsia="Palatino Linotype" w:hAnsi="Palatino Linotype" w:cs="Palatino Linotype"/>
          <w:i/>
          <w:color w:val="000000"/>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96E92D5" w14:textId="77777777" w:rsidR="009B2285" w:rsidRPr="00003419" w:rsidRDefault="00772DEA">
      <w:pPr>
        <w:pBdr>
          <w:top w:val="nil"/>
          <w:left w:val="nil"/>
          <w:bottom w:val="nil"/>
          <w:right w:val="nil"/>
          <w:between w:val="nil"/>
        </w:pBdr>
        <w:spacing w:line="276" w:lineRule="auto"/>
        <w:ind w:left="993" w:right="1041"/>
        <w:jc w:val="both"/>
        <w:rPr>
          <w:color w:val="000000"/>
          <w:sz w:val="22"/>
          <w:szCs w:val="22"/>
        </w:rPr>
      </w:pPr>
      <w:r w:rsidRPr="00003419">
        <w:rPr>
          <w:rFonts w:ascii="Palatino Linotype" w:eastAsia="Palatino Linotype" w:hAnsi="Palatino Linotype" w:cs="Palatino Linotype"/>
          <w:i/>
          <w:color w:val="000000"/>
          <w:sz w:val="22"/>
          <w:szCs w:val="22"/>
        </w:rPr>
        <w:t>III. La que presenten los particulares a los sujetos obligados, de conformidad con lo dispuesto por las leyes o los tratados internacionales.” </w:t>
      </w:r>
    </w:p>
    <w:p w14:paraId="1203CC26" w14:textId="77777777" w:rsidR="009B2285" w:rsidRPr="00003419" w:rsidRDefault="009B2285">
      <w:pPr>
        <w:spacing w:line="360" w:lineRule="auto"/>
        <w:jc w:val="both"/>
        <w:rPr>
          <w:sz w:val="22"/>
          <w:szCs w:val="22"/>
        </w:rPr>
      </w:pPr>
    </w:p>
    <w:p w14:paraId="36BB8E52" w14:textId="77777777" w:rsidR="009B2285" w:rsidRPr="00003419" w:rsidRDefault="00772DEA">
      <w:pPr>
        <w:pBdr>
          <w:top w:val="nil"/>
          <w:left w:val="nil"/>
          <w:bottom w:val="nil"/>
          <w:right w:val="nil"/>
          <w:between w:val="nil"/>
        </w:pBdr>
        <w:spacing w:line="360" w:lineRule="auto"/>
        <w:ind w:right="51"/>
        <w:jc w:val="both"/>
        <w:rPr>
          <w:color w:val="000000"/>
          <w:sz w:val="22"/>
          <w:szCs w:val="22"/>
        </w:rPr>
      </w:pPr>
      <w:r w:rsidRPr="00003419">
        <w:rPr>
          <w:rFonts w:ascii="Palatino Linotype" w:eastAsia="Palatino Linotype" w:hAnsi="Palatino Linotype" w:cs="Palatino Linotype"/>
          <w:color w:val="000000"/>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003419">
        <w:rPr>
          <w:rFonts w:ascii="Palatino Linotype" w:eastAsia="Palatino Linotype" w:hAnsi="Palatino Linotype" w:cs="Palatino Linotype"/>
          <w:b/>
          <w:color w:val="000000"/>
          <w:sz w:val="22"/>
          <w:szCs w:val="22"/>
        </w:rPr>
        <w:t>Sujeto Obligado</w:t>
      </w:r>
      <w:r w:rsidRPr="00003419">
        <w:rPr>
          <w:rFonts w:ascii="Palatino Linotype" w:eastAsia="Palatino Linotype" w:hAnsi="Palatino Linotype" w:cs="Palatino Linotype"/>
          <w:color w:val="000000"/>
          <w:sz w:val="22"/>
          <w:szCs w:val="22"/>
        </w:rPr>
        <w:t xml:space="preserve"> deberá proceder a testar los datos personales que se encuentren contenidos en los documentos a entregar para satisfacer el derecho de acceso a la información pública de </w:t>
      </w:r>
      <w:r w:rsidRPr="00003419">
        <w:rPr>
          <w:rFonts w:ascii="Palatino Linotype" w:eastAsia="Palatino Linotype" w:hAnsi="Palatino Linotype" w:cs="Palatino Linotype"/>
          <w:b/>
          <w:color w:val="000000"/>
          <w:sz w:val="22"/>
          <w:szCs w:val="22"/>
        </w:rPr>
        <w:t>la parte</w:t>
      </w:r>
      <w:r w:rsidRPr="00003419">
        <w:rPr>
          <w:rFonts w:ascii="Palatino Linotype" w:eastAsia="Palatino Linotype" w:hAnsi="Palatino Linotype" w:cs="Palatino Linotype"/>
          <w:color w:val="000000"/>
          <w:sz w:val="22"/>
          <w:szCs w:val="22"/>
        </w:rPr>
        <w:t xml:space="preserve"> </w:t>
      </w:r>
      <w:r w:rsidRPr="00003419">
        <w:rPr>
          <w:rFonts w:ascii="Palatino Linotype" w:eastAsia="Palatino Linotype" w:hAnsi="Palatino Linotype" w:cs="Palatino Linotype"/>
          <w:b/>
          <w:color w:val="000000"/>
          <w:sz w:val="22"/>
          <w:szCs w:val="22"/>
        </w:rPr>
        <w:t>Recurrente</w:t>
      </w:r>
      <w:r w:rsidRPr="00003419">
        <w:rPr>
          <w:rFonts w:ascii="Palatino Linotype" w:eastAsia="Palatino Linotype" w:hAnsi="Palatino Linotype" w:cs="Palatino Linotype"/>
          <w:color w:val="000000"/>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44FA253" w14:textId="77777777" w:rsidR="009B2285" w:rsidRPr="00003419" w:rsidRDefault="009B2285">
      <w:pPr>
        <w:spacing w:line="360" w:lineRule="auto"/>
        <w:jc w:val="both"/>
        <w:rPr>
          <w:sz w:val="22"/>
          <w:szCs w:val="22"/>
        </w:rPr>
      </w:pPr>
    </w:p>
    <w:p w14:paraId="0E132F62" w14:textId="77777777" w:rsidR="009B2285" w:rsidRPr="00003419" w:rsidRDefault="00772DEA">
      <w:pPr>
        <w:pBdr>
          <w:top w:val="nil"/>
          <w:left w:val="nil"/>
          <w:bottom w:val="nil"/>
          <w:right w:val="nil"/>
          <w:between w:val="nil"/>
        </w:pBdr>
        <w:spacing w:line="360" w:lineRule="auto"/>
        <w:ind w:right="50"/>
        <w:jc w:val="both"/>
        <w:rPr>
          <w:color w:val="000000"/>
          <w:sz w:val="22"/>
          <w:szCs w:val="22"/>
        </w:rPr>
      </w:pPr>
      <w:r w:rsidRPr="00003419">
        <w:rPr>
          <w:rFonts w:ascii="Palatino Linotype" w:eastAsia="Palatino Linotype" w:hAnsi="Palatino Linotype" w:cs="Palatino Linotype"/>
          <w:color w:val="000000"/>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10D854A" w14:textId="77777777" w:rsidR="009B2285" w:rsidRPr="00003419" w:rsidRDefault="009B2285">
      <w:pPr>
        <w:spacing w:line="360" w:lineRule="auto"/>
        <w:jc w:val="both"/>
        <w:rPr>
          <w:sz w:val="22"/>
          <w:szCs w:val="22"/>
        </w:rPr>
      </w:pPr>
    </w:p>
    <w:p w14:paraId="4EBF34AF" w14:textId="77777777" w:rsidR="009B2285" w:rsidRPr="00003419" w:rsidRDefault="00772DEA">
      <w:pPr>
        <w:pBdr>
          <w:top w:val="nil"/>
          <w:left w:val="nil"/>
          <w:bottom w:val="nil"/>
          <w:right w:val="nil"/>
          <w:between w:val="nil"/>
        </w:pBdr>
        <w:spacing w:line="360" w:lineRule="auto"/>
        <w:ind w:right="51"/>
        <w:jc w:val="both"/>
        <w:rPr>
          <w:color w:val="000000"/>
          <w:sz w:val="22"/>
          <w:szCs w:val="22"/>
        </w:rPr>
      </w:pPr>
      <w:r w:rsidRPr="00003419">
        <w:rPr>
          <w:rFonts w:ascii="Palatino Linotype" w:eastAsia="Palatino Linotype" w:hAnsi="Palatino Linotype" w:cs="Palatino Linotype"/>
          <w:color w:val="000000"/>
          <w:sz w:val="22"/>
          <w:szCs w:val="22"/>
        </w:rPr>
        <w:t xml:space="preserve">Por ende, la clasificación de la información no opera con la simple supresión de datos que se haga en los documentos de que se trate o con la simple decisión que tome el Servidor Público Habilitado o el </w:t>
      </w:r>
      <w:proofErr w:type="gramStart"/>
      <w:r w:rsidRPr="00003419">
        <w:rPr>
          <w:rFonts w:ascii="Palatino Linotype" w:eastAsia="Palatino Linotype" w:hAnsi="Palatino Linotype" w:cs="Palatino Linotype"/>
          <w:color w:val="000000"/>
          <w:sz w:val="22"/>
          <w:szCs w:val="22"/>
        </w:rPr>
        <w:t>Responsable</w:t>
      </w:r>
      <w:proofErr w:type="gramEnd"/>
      <w:r w:rsidRPr="00003419">
        <w:rPr>
          <w:rFonts w:ascii="Palatino Linotype" w:eastAsia="Palatino Linotype" w:hAnsi="Palatino Linotype" w:cs="Palatino Linotype"/>
          <w:color w:val="000000"/>
          <w:sz w:val="22"/>
          <w:szCs w:val="22"/>
        </w:rPr>
        <w:t xml:space="preserve"> de la Unidad de Transparencia del </w:t>
      </w:r>
      <w:r w:rsidRPr="00003419">
        <w:rPr>
          <w:rFonts w:ascii="Palatino Linotype" w:eastAsia="Palatino Linotype" w:hAnsi="Palatino Linotype" w:cs="Palatino Linotype"/>
          <w:b/>
          <w:color w:val="000000"/>
          <w:sz w:val="22"/>
          <w:szCs w:val="22"/>
        </w:rPr>
        <w:t>Sujeto Obligado</w:t>
      </w:r>
      <w:r w:rsidRPr="00003419">
        <w:rPr>
          <w:rFonts w:ascii="Palatino Linotype" w:eastAsia="Palatino Linotype" w:hAnsi="Palatino Linotype" w:cs="Palatino Linotype"/>
          <w:color w:val="000000"/>
          <w:sz w:val="22"/>
          <w:szCs w:val="22"/>
        </w:rPr>
        <w:t>, sino que ello deberá realizarse en términos de lo que disponen los artículos 49 fracción VIII, 53, fracción X y 59, fracción V, de la Ley en consulta, cuyo sentido literal es el siguiente:</w:t>
      </w:r>
    </w:p>
    <w:p w14:paraId="1854FE62" w14:textId="77777777" w:rsidR="009B2285" w:rsidRPr="00003419" w:rsidRDefault="009B2285">
      <w:pPr>
        <w:spacing w:line="360" w:lineRule="auto"/>
        <w:jc w:val="both"/>
        <w:rPr>
          <w:sz w:val="22"/>
          <w:szCs w:val="22"/>
        </w:rPr>
      </w:pPr>
    </w:p>
    <w:p w14:paraId="0FAFC328" w14:textId="77777777" w:rsidR="009B2285" w:rsidRPr="00003419" w:rsidRDefault="00772DEA">
      <w:pPr>
        <w:pBdr>
          <w:top w:val="nil"/>
          <w:left w:val="nil"/>
          <w:bottom w:val="nil"/>
          <w:right w:val="nil"/>
          <w:between w:val="nil"/>
        </w:pBdr>
        <w:spacing w:line="276" w:lineRule="auto"/>
        <w:ind w:left="992" w:right="1043"/>
        <w:jc w:val="both"/>
        <w:rPr>
          <w:color w:val="000000"/>
          <w:sz w:val="22"/>
          <w:szCs w:val="22"/>
        </w:rPr>
      </w:pPr>
      <w:r w:rsidRPr="00003419">
        <w:rPr>
          <w:rFonts w:ascii="Palatino Linotype" w:eastAsia="Palatino Linotype" w:hAnsi="Palatino Linotype" w:cs="Palatino Linotype"/>
          <w:b/>
          <w:i/>
          <w:color w:val="000000"/>
          <w:sz w:val="22"/>
          <w:szCs w:val="22"/>
        </w:rPr>
        <w:t>“Artículo 49.</w:t>
      </w:r>
      <w:r w:rsidRPr="00003419">
        <w:rPr>
          <w:rFonts w:ascii="Palatino Linotype" w:eastAsia="Palatino Linotype" w:hAnsi="Palatino Linotype" w:cs="Palatino Linotype"/>
          <w:i/>
          <w:color w:val="000000"/>
          <w:sz w:val="22"/>
          <w:szCs w:val="22"/>
        </w:rPr>
        <w:t xml:space="preserve"> </w:t>
      </w:r>
      <w:r w:rsidRPr="00003419">
        <w:rPr>
          <w:rFonts w:ascii="Palatino Linotype" w:eastAsia="Palatino Linotype" w:hAnsi="Palatino Linotype" w:cs="Palatino Linotype"/>
          <w:b/>
          <w:i/>
          <w:color w:val="000000"/>
          <w:sz w:val="22"/>
          <w:szCs w:val="22"/>
        </w:rPr>
        <w:t>Los Comités de Transparencia</w:t>
      </w:r>
      <w:r w:rsidRPr="00003419">
        <w:rPr>
          <w:rFonts w:ascii="Palatino Linotype" w:eastAsia="Palatino Linotype" w:hAnsi="Palatino Linotype" w:cs="Palatino Linotype"/>
          <w:i/>
          <w:color w:val="000000"/>
          <w:sz w:val="22"/>
          <w:szCs w:val="22"/>
        </w:rPr>
        <w:t xml:space="preserve"> tendrán las siguientes atribuciones:</w:t>
      </w:r>
    </w:p>
    <w:p w14:paraId="64DE88EE" w14:textId="77777777" w:rsidR="009B2285" w:rsidRPr="00003419" w:rsidRDefault="00772DEA">
      <w:pPr>
        <w:pBdr>
          <w:top w:val="nil"/>
          <w:left w:val="nil"/>
          <w:bottom w:val="nil"/>
          <w:right w:val="nil"/>
          <w:between w:val="nil"/>
        </w:pBdr>
        <w:spacing w:line="276" w:lineRule="auto"/>
        <w:ind w:left="992" w:right="1043"/>
        <w:jc w:val="both"/>
        <w:rPr>
          <w:color w:val="000000"/>
          <w:sz w:val="22"/>
          <w:szCs w:val="22"/>
        </w:rPr>
      </w:pPr>
      <w:r w:rsidRPr="00003419">
        <w:rPr>
          <w:rFonts w:ascii="Palatino Linotype" w:eastAsia="Palatino Linotype" w:hAnsi="Palatino Linotype" w:cs="Palatino Linotype"/>
          <w:b/>
          <w:i/>
          <w:color w:val="000000"/>
          <w:sz w:val="22"/>
          <w:szCs w:val="22"/>
        </w:rPr>
        <w:t>VIII. Aprobar, modificar o revocar la clasificación de la información</w:t>
      </w:r>
      <w:r w:rsidRPr="00003419">
        <w:rPr>
          <w:rFonts w:ascii="Palatino Linotype" w:eastAsia="Palatino Linotype" w:hAnsi="Palatino Linotype" w:cs="Palatino Linotype"/>
          <w:i/>
          <w:color w:val="000000"/>
          <w:sz w:val="22"/>
          <w:szCs w:val="22"/>
        </w:rPr>
        <w:t>…”</w:t>
      </w:r>
    </w:p>
    <w:p w14:paraId="48380387" w14:textId="77777777" w:rsidR="009B2285" w:rsidRPr="00003419" w:rsidRDefault="00772DEA">
      <w:pPr>
        <w:pBdr>
          <w:top w:val="nil"/>
          <w:left w:val="nil"/>
          <w:bottom w:val="nil"/>
          <w:right w:val="nil"/>
          <w:between w:val="nil"/>
        </w:pBdr>
        <w:spacing w:line="276" w:lineRule="auto"/>
        <w:ind w:left="992" w:right="1043"/>
        <w:jc w:val="both"/>
        <w:rPr>
          <w:color w:val="000000"/>
          <w:sz w:val="22"/>
          <w:szCs w:val="22"/>
        </w:rPr>
      </w:pPr>
      <w:r w:rsidRPr="00003419">
        <w:rPr>
          <w:rFonts w:ascii="Palatino Linotype" w:eastAsia="Palatino Linotype" w:hAnsi="Palatino Linotype" w:cs="Palatino Linotype"/>
          <w:i/>
          <w:color w:val="000000"/>
          <w:sz w:val="22"/>
          <w:szCs w:val="22"/>
        </w:rPr>
        <w:t>“</w:t>
      </w:r>
      <w:r w:rsidRPr="00003419">
        <w:rPr>
          <w:rFonts w:ascii="Palatino Linotype" w:eastAsia="Palatino Linotype" w:hAnsi="Palatino Linotype" w:cs="Palatino Linotype"/>
          <w:b/>
          <w:i/>
          <w:color w:val="000000"/>
          <w:sz w:val="22"/>
          <w:szCs w:val="22"/>
        </w:rPr>
        <w:t>Artículo 53.</w:t>
      </w:r>
      <w:r w:rsidRPr="00003419">
        <w:rPr>
          <w:rFonts w:ascii="Palatino Linotype" w:eastAsia="Palatino Linotype" w:hAnsi="Palatino Linotype" w:cs="Palatino Linotype"/>
          <w:i/>
          <w:color w:val="000000"/>
          <w:sz w:val="22"/>
          <w:szCs w:val="22"/>
        </w:rPr>
        <w:t xml:space="preserve"> Las </w:t>
      </w:r>
      <w:r w:rsidRPr="00003419">
        <w:rPr>
          <w:rFonts w:ascii="Palatino Linotype" w:eastAsia="Palatino Linotype" w:hAnsi="Palatino Linotype" w:cs="Palatino Linotype"/>
          <w:b/>
          <w:i/>
          <w:color w:val="000000"/>
          <w:sz w:val="22"/>
          <w:szCs w:val="22"/>
        </w:rPr>
        <w:t>Unidades de Transparencia</w:t>
      </w:r>
      <w:r w:rsidRPr="00003419">
        <w:rPr>
          <w:rFonts w:ascii="Palatino Linotype" w:eastAsia="Palatino Linotype" w:hAnsi="Palatino Linotype" w:cs="Palatino Linotype"/>
          <w:i/>
          <w:color w:val="000000"/>
          <w:sz w:val="22"/>
          <w:szCs w:val="22"/>
        </w:rPr>
        <w:t xml:space="preserve"> tendrán las siguientes </w:t>
      </w:r>
      <w:r w:rsidRPr="00003419">
        <w:rPr>
          <w:rFonts w:ascii="Palatino Linotype" w:eastAsia="Palatino Linotype" w:hAnsi="Palatino Linotype" w:cs="Palatino Linotype"/>
          <w:b/>
          <w:i/>
          <w:color w:val="000000"/>
          <w:sz w:val="22"/>
          <w:szCs w:val="22"/>
        </w:rPr>
        <w:t>funciones</w:t>
      </w:r>
      <w:r w:rsidRPr="00003419">
        <w:rPr>
          <w:rFonts w:ascii="Palatino Linotype" w:eastAsia="Palatino Linotype" w:hAnsi="Palatino Linotype" w:cs="Palatino Linotype"/>
          <w:i/>
          <w:color w:val="000000"/>
          <w:sz w:val="22"/>
          <w:szCs w:val="22"/>
        </w:rPr>
        <w:t>:</w:t>
      </w:r>
    </w:p>
    <w:p w14:paraId="27EC2F8E" w14:textId="77777777" w:rsidR="009B2285" w:rsidRPr="00003419" w:rsidRDefault="00772DEA">
      <w:pPr>
        <w:pBdr>
          <w:top w:val="nil"/>
          <w:left w:val="nil"/>
          <w:bottom w:val="nil"/>
          <w:right w:val="nil"/>
          <w:between w:val="nil"/>
        </w:pBdr>
        <w:spacing w:line="276" w:lineRule="auto"/>
        <w:ind w:left="992" w:right="1043"/>
        <w:jc w:val="both"/>
        <w:rPr>
          <w:color w:val="000000"/>
          <w:sz w:val="22"/>
          <w:szCs w:val="22"/>
        </w:rPr>
      </w:pPr>
      <w:r w:rsidRPr="00003419">
        <w:rPr>
          <w:rFonts w:ascii="Palatino Linotype" w:eastAsia="Palatino Linotype" w:hAnsi="Palatino Linotype" w:cs="Palatino Linotype"/>
          <w:b/>
          <w:i/>
          <w:color w:val="000000"/>
          <w:sz w:val="22"/>
          <w:szCs w:val="22"/>
        </w:rPr>
        <w:t>X. Presentar ante el Comité, el proyecto de clasificación de información</w:t>
      </w:r>
      <w:r w:rsidRPr="00003419">
        <w:rPr>
          <w:rFonts w:ascii="Palatino Linotype" w:eastAsia="Palatino Linotype" w:hAnsi="Palatino Linotype" w:cs="Palatino Linotype"/>
          <w:i/>
          <w:color w:val="000000"/>
          <w:sz w:val="22"/>
          <w:szCs w:val="22"/>
        </w:rPr>
        <w:t>…” </w:t>
      </w:r>
    </w:p>
    <w:p w14:paraId="2AE92870" w14:textId="77777777" w:rsidR="009B2285" w:rsidRPr="00003419" w:rsidRDefault="00772DEA">
      <w:pPr>
        <w:pBdr>
          <w:top w:val="nil"/>
          <w:left w:val="nil"/>
          <w:bottom w:val="nil"/>
          <w:right w:val="nil"/>
          <w:between w:val="nil"/>
        </w:pBdr>
        <w:spacing w:line="276" w:lineRule="auto"/>
        <w:ind w:left="992" w:right="1043"/>
        <w:jc w:val="both"/>
        <w:rPr>
          <w:color w:val="000000"/>
          <w:sz w:val="22"/>
          <w:szCs w:val="22"/>
        </w:rPr>
      </w:pPr>
      <w:r w:rsidRPr="00003419">
        <w:rPr>
          <w:rFonts w:ascii="Palatino Linotype" w:eastAsia="Palatino Linotype" w:hAnsi="Palatino Linotype" w:cs="Palatino Linotype"/>
          <w:b/>
          <w:i/>
          <w:color w:val="000000"/>
          <w:sz w:val="22"/>
          <w:szCs w:val="22"/>
        </w:rPr>
        <w:t>“Artículo 59.</w:t>
      </w:r>
      <w:r w:rsidRPr="00003419">
        <w:rPr>
          <w:rFonts w:ascii="Palatino Linotype" w:eastAsia="Palatino Linotype" w:hAnsi="Palatino Linotype" w:cs="Palatino Linotype"/>
          <w:i/>
          <w:color w:val="000000"/>
          <w:sz w:val="22"/>
          <w:szCs w:val="22"/>
        </w:rPr>
        <w:t xml:space="preserve"> Los </w:t>
      </w:r>
      <w:r w:rsidRPr="00003419">
        <w:rPr>
          <w:rFonts w:ascii="Palatino Linotype" w:eastAsia="Palatino Linotype" w:hAnsi="Palatino Linotype" w:cs="Palatino Linotype"/>
          <w:b/>
          <w:i/>
          <w:color w:val="000000"/>
          <w:sz w:val="22"/>
          <w:szCs w:val="22"/>
        </w:rPr>
        <w:t>servidores públicos habilitados</w:t>
      </w:r>
      <w:r w:rsidRPr="00003419">
        <w:rPr>
          <w:rFonts w:ascii="Palatino Linotype" w:eastAsia="Palatino Linotype" w:hAnsi="Palatino Linotype" w:cs="Palatino Linotype"/>
          <w:i/>
          <w:color w:val="000000"/>
          <w:sz w:val="22"/>
          <w:szCs w:val="22"/>
        </w:rPr>
        <w:t xml:space="preserve"> tendrán las </w:t>
      </w:r>
      <w:r w:rsidRPr="00003419">
        <w:rPr>
          <w:rFonts w:ascii="Palatino Linotype" w:eastAsia="Palatino Linotype" w:hAnsi="Palatino Linotype" w:cs="Palatino Linotype"/>
          <w:b/>
          <w:i/>
          <w:color w:val="000000"/>
          <w:sz w:val="22"/>
          <w:szCs w:val="22"/>
        </w:rPr>
        <w:t>funciones</w:t>
      </w:r>
      <w:r w:rsidRPr="00003419">
        <w:rPr>
          <w:rFonts w:ascii="Palatino Linotype" w:eastAsia="Palatino Linotype" w:hAnsi="Palatino Linotype" w:cs="Palatino Linotype"/>
          <w:i/>
          <w:color w:val="000000"/>
          <w:sz w:val="22"/>
          <w:szCs w:val="22"/>
        </w:rPr>
        <w:t xml:space="preserve"> siguientes:</w:t>
      </w:r>
    </w:p>
    <w:p w14:paraId="4DC11FF6" w14:textId="77777777" w:rsidR="009B2285" w:rsidRPr="00003419" w:rsidRDefault="00772DEA">
      <w:pPr>
        <w:pBdr>
          <w:top w:val="nil"/>
          <w:left w:val="nil"/>
          <w:bottom w:val="nil"/>
          <w:right w:val="nil"/>
          <w:between w:val="nil"/>
        </w:pBdr>
        <w:spacing w:line="276" w:lineRule="auto"/>
        <w:ind w:left="992" w:right="1043"/>
        <w:jc w:val="both"/>
        <w:rPr>
          <w:color w:val="000000"/>
          <w:sz w:val="22"/>
          <w:szCs w:val="22"/>
        </w:rPr>
      </w:pPr>
      <w:r w:rsidRPr="00003419">
        <w:rPr>
          <w:rFonts w:ascii="Palatino Linotype" w:eastAsia="Palatino Linotype" w:hAnsi="Palatino Linotype" w:cs="Palatino Linotype"/>
          <w:b/>
          <w:i/>
          <w:color w:val="000000"/>
          <w:sz w:val="22"/>
          <w:szCs w:val="22"/>
        </w:rPr>
        <w:t>V. Integrar y presentar al responsable de la Unidad de Transparencia la propuesta de clasificación de información</w:t>
      </w:r>
      <w:r w:rsidRPr="00003419">
        <w:rPr>
          <w:rFonts w:ascii="Palatino Linotype" w:eastAsia="Palatino Linotype" w:hAnsi="Palatino Linotype" w:cs="Palatino Linotype"/>
          <w:i/>
          <w:color w:val="000000"/>
          <w:sz w:val="22"/>
          <w:szCs w:val="22"/>
        </w:rPr>
        <w:t>, la cual tendrá los fundamentos y argumentos en que se basa dicha propuesta…” </w:t>
      </w:r>
    </w:p>
    <w:p w14:paraId="04F400F4" w14:textId="77777777" w:rsidR="009B2285" w:rsidRPr="00003419" w:rsidRDefault="009B2285">
      <w:pPr>
        <w:spacing w:line="360" w:lineRule="auto"/>
        <w:jc w:val="both"/>
        <w:rPr>
          <w:sz w:val="22"/>
          <w:szCs w:val="22"/>
        </w:rPr>
      </w:pPr>
    </w:p>
    <w:p w14:paraId="1FD5494A" w14:textId="77777777" w:rsidR="009B2285" w:rsidRPr="00003419" w:rsidRDefault="00772DEA">
      <w:pPr>
        <w:pBdr>
          <w:top w:val="nil"/>
          <w:left w:val="nil"/>
          <w:bottom w:val="nil"/>
          <w:right w:val="nil"/>
          <w:between w:val="nil"/>
        </w:pBdr>
        <w:spacing w:line="360" w:lineRule="auto"/>
        <w:jc w:val="both"/>
        <w:rPr>
          <w:color w:val="000000"/>
          <w:sz w:val="22"/>
          <w:szCs w:val="22"/>
        </w:rPr>
      </w:pPr>
      <w:r w:rsidRPr="00003419">
        <w:rPr>
          <w:rFonts w:ascii="Palatino Linotype" w:eastAsia="Palatino Linotype" w:hAnsi="Palatino Linotype" w:cs="Palatino Linotype"/>
          <w:color w:val="000000"/>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4695BA5" w14:textId="77777777" w:rsidR="009B2285" w:rsidRPr="00003419" w:rsidRDefault="009B2285">
      <w:pPr>
        <w:spacing w:line="360" w:lineRule="auto"/>
        <w:jc w:val="both"/>
        <w:rPr>
          <w:sz w:val="22"/>
          <w:szCs w:val="22"/>
        </w:rPr>
      </w:pPr>
    </w:p>
    <w:p w14:paraId="68EDB8E2" w14:textId="77777777" w:rsidR="009B2285" w:rsidRPr="00003419" w:rsidRDefault="00772DEA">
      <w:pPr>
        <w:pBdr>
          <w:top w:val="nil"/>
          <w:left w:val="nil"/>
          <w:bottom w:val="nil"/>
          <w:right w:val="nil"/>
          <w:between w:val="nil"/>
        </w:pBdr>
        <w:spacing w:line="360" w:lineRule="auto"/>
        <w:jc w:val="both"/>
        <w:rPr>
          <w:color w:val="000000"/>
          <w:sz w:val="22"/>
          <w:szCs w:val="22"/>
        </w:rPr>
      </w:pPr>
      <w:r w:rsidRPr="00003419">
        <w:rPr>
          <w:rFonts w:ascii="Palatino Linotype" w:eastAsia="Palatino Linotype" w:hAnsi="Palatino Linotype" w:cs="Palatino Linotype"/>
          <w:color w:val="000000"/>
          <w:sz w:val="22"/>
          <w:szCs w:val="22"/>
        </w:rPr>
        <w:lastRenderedPageBreak/>
        <w:t>Para lo cual, a su vez en el caso de información de carácter confidencial, se debe atender a lo que señala el artículo 149 de la Ley de Transparencia Local vigente, que se lee como sigue:</w:t>
      </w:r>
    </w:p>
    <w:p w14:paraId="02DA9E2E" w14:textId="77777777" w:rsidR="009B2285" w:rsidRPr="00003419" w:rsidRDefault="009B2285">
      <w:pPr>
        <w:spacing w:line="276" w:lineRule="auto"/>
        <w:jc w:val="both"/>
        <w:rPr>
          <w:sz w:val="22"/>
          <w:szCs w:val="22"/>
        </w:rPr>
      </w:pPr>
    </w:p>
    <w:p w14:paraId="17F309A7" w14:textId="77777777" w:rsidR="009B2285" w:rsidRPr="00003419" w:rsidRDefault="00772DEA">
      <w:pPr>
        <w:pBdr>
          <w:top w:val="nil"/>
          <w:left w:val="nil"/>
          <w:bottom w:val="nil"/>
          <w:right w:val="nil"/>
          <w:between w:val="nil"/>
        </w:pBdr>
        <w:spacing w:after="240" w:line="276" w:lineRule="auto"/>
        <w:ind w:left="993" w:right="1041"/>
        <w:jc w:val="both"/>
        <w:rPr>
          <w:color w:val="000000"/>
          <w:sz w:val="22"/>
          <w:szCs w:val="22"/>
        </w:rPr>
      </w:pPr>
      <w:r w:rsidRPr="00003419">
        <w:rPr>
          <w:rFonts w:ascii="Palatino Linotype" w:eastAsia="Palatino Linotype" w:hAnsi="Palatino Linotype" w:cs="Palatino Linotype"/>
          <w:i/>
          <w:color w:val="000000"/>
          <w:sz w:val="22"/>
          <w:szCs w:val="22"/>
        </w:rPr>
        <w:t>“</w:t>
      </w:r>
      <w:r w:rsidRPr="00003419">
        <w:rPr>
          <w:rFonts w:ascii="Palatino Linotype" w:eastAsia="Palatino Linotype" w:hAnsi="Palatino Linotype" w:cs="Palatino Linotype"/>
          <w:b/>
          <w:i/>
          <w:color w:val="000000"/>
          <w:sz w:val="22"/>
          <w:szCs w:val="22"/>
        </w:rPr>
        <w:t>Artículo 149.</w:t>
      </w:r>
      <w:r w:rsidRPr="00003419">
        <w:rPr>
          <w:rFonts w:ascii="Palatino Linotype" w:eastAsia="Palatino Linotype" w:hAnsi="Palatino Linotype" w:cs="Palatino Linotype"/>
          <w:i/>
          <w:color w:val="000000"/>
          <w:sz w:val="22"/>
          <w:szCs w:val="22"/>
        </w:rPr>
        <w:t xml:space="preserve"> El </w:t>
      </w:r>
      <w:r w:rsidRPr="00003419">
        <w:rPr>
          <w:rFonts w:ascii="Palatino Linotype" w:eastAsia="Palatino Linotype" w:hAnsi="Palatino Linotype" w:cs="Palatino Linotype"/>
          <w:b/>
          <w:i/>
          <w:color w:val="000000"/>
          <w:sz w:val="22"/>
          <w:szCs w:val="22"/>
        </w:rPr>
        <w:t>acuerdo que clasifique la información como confidencial</w:t>
      </w:r>
      <w:r w:rsidRPr="00003419">
        <w:rPr>
          <w:rFonts w:ascii="Palatino Linotype" w:eastAsia="Palatino Linotype" w:hAnsi="Palatino Linotype" w:cs="Palatino Linotype"/>
          <w:i/>
          <w:color w:val="000000"/>
          <w:sz w:val="22"/>
          <w:szCs w:val="22"/>
        </w:rPr>
        <w:t xml:space="preserve"> deberá contener un razonamiento lógico en el que demuestre que la información se encuentra en alguna o algunas de las hipótesis previstas en la presente Ley.”</w:t>
      </w:r>
    </w:p>
    <w:p w14:paraId="61C61553" w14:textId="77777777" w:rsidR="009B2285" w:rsidRPr="00003419" w:rsidRDefault="00772DEA">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sz w:val="22"/>
          <w:szCs w:val="22"/>
        </w:rPr>
      </w:pPr>
      <w:r w:rsidRPr="00003419">
        <w:rPr>
          <w:rFonts w:ascii="Palatino Linotype" w:eastAsia="Palatino Linotype" w:hAnsi="Palatino Linotype" w:cs="Palatino Linotype"/>
          <w:color w:val="000000"/>
          <w:sz w:val="22"/>
          <w:szCs w:val="22"/>
        </w:rPr>
        <w:t xml:space="preserve">Es decir, el </w:t>
      </w:r>
      <w:r w:rsidRPr="00003419">
        <w:rPr>
          <w:rFonts w:ascii="Palatino Linotype" w:eastAsia="Palatino Linotype" w:hAnsi="Palatino Linotype" w:cs="Palatino Linotype"/>
          <w:b/>
          <w:color w:val="000000"/>
          <w:sz w:val="22"/>
          <w:szCs w:val="22"/>
        </w:rPr>
        <w:t>Sujeto Obligado</w:t>
      </w:r>
      <w:r w:rsidRPr="00003419">
        <w:rPr>
          <w:rFonts w:ascii="Palatino Linotype" w:eastAsia="Palatino Linotype" w:hAnsi="Palatino Linotype" w:cs="Palatino Linotype"/>
          <w:color w:val="000000"/>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72CF0D7"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622019DB"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La </w:t>
      </w:r>
      <w:r w:rsidRPr="00003419">
        <w:rPr>
          <w:rFonts w:ascii="Palatino Linotype" w:eastAsia="Palatino Linotype" w:hAnsi="Palatino Linotype" w:cs="Palatino Linotype"/>
          <w:b/>
          <w:sz w:val="22"/>
          <w:szCs w:val="22"/>
        </w:rPr>
        <w:t>clave de elector</w:t>
      </w:r>
      <w:r w:rsidRPr="00003419">
        <w:rPr>
          <w:rFonts w:ascii="Palatino Linotype" w:eastAsia="Palatino Linotype" w:hAnsi="Palatino Linotype" w:cs="Palatino Linotype"/>
          <w:sz w:val="22"/>
          <w:szCs w:val="22"/>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003419">
        <w:rPr>
          <w:rFonts w:ascii="Palatino Linotype" w:eastAsia="Palatino Linotype" w:hAnsi="Palatino Linotype" w:cs="Palatino Linotype"/>
          <w:sz w:val="22"/>
          <w:szCs w:val="22"/>
        </w:rPr>
        <w:lastRenderedPageBreak/>
        <w:t>homoclave</w:t>
      </w:r>
      <w:proofErr w:type="spellEnd"/>
      <w:r w:rsidRPr="00003419">
        <w:rPr>
          <w:rFonts w:ascii="Palatino Linotype" w:eastAsia="Palatino Linotype" w:hAnsi="Palatino Linotype" w:cs="Palatino Linotype"/>
          <w:sz w:val="22"/>
          <w:szCs w:val="22"/>
        </w:rPr>
        <w:t xml:space="preserve"> que distingue a su titular de cualquier otro homónimo, por lo tanto, se trata de un dato personal que debe ser protegido.</w:t>
      </w:r>
    </w:p>
    <w:p w14:paraId="048CD7C7"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El </w:t>
      </w:r>
      <w:r w:rsidRPr="00003419">
        <w:rPr>
          <w:rFonts w:ascii="Palatino Linotype" w:eastAsia="Palatino Linotype" w:hAnsi="Palatino Linotype" w:cs="Palatino Linotype"/>
          <w:b/>
          <w:sz w:val="22"/>
          <w:szCs w:val="22"/>
        </w:rPr>
        <w:t>número de OCR,</w:t>
      </w:r>
      <w:r w:rsidRPr="00003419">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003419">
        <w:rPr>
          <w:rFonts w:ascii="Palatino Linotype" w:eastAsia="Palatino Linotype" w:hAnsi="Palatino Linotype" w:cs="Palatino Linotype"/>
          <w:sz w:val="22"/>
          <w:szCs w:val="22"/>
        </w:rPr>
        <w:t>geoelectoral</w:t>
      </w:r>
      <w:proofErr w:type="spellEnd"/>
      <w:r w:rsidRPr="00003419">
        <w:rPr>
          <w:rFonts w:ascii="Palatino Linotype" w:eastAsia="Palatino Linotype" w:hAnsi="Palatino Linotype" w:cs="Palatino Linotype"/>
          <w:sz w:val="22"/>
          <w:szCs w:val="22"/>
        </w:rPr>
        <w:t xml:space="preserve"> ahí contenida, por lo que es susceptible de resguardarse.</w:t>
      </w:r>
    </w:p>
    <w:p w14:paraId="2A3EB261"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La </w:t>
      </w:r>
      <w:r w:rsidRPr="00003419">
        <w:rPr>
          <w:rFonts w:ascii="Palatino Linotype" w:eastAsia="Palatino Linotype" w:hAnsi="Palatino Linotype" w:cs="Palatino Linotype"/>
          <w:b/>
          <w:sz w:val="22"/>
          <w:szCs w:val="22"/>
        </w:rPr>
        <w:t>clave única del registro de población,</w:t>
      </w:r>
      <w:r w:rsidRPr="00003419">
        <w:rPr>
          <w:rFonts w:ascii="Palatino Linotype" w:eastAsia="Palatino Linotype" w:hAnsi="Palatino Linotype" w:cs="Palatino Linotype"/>
          <w:i/>
          <w:sz w:val="22"/>
          <w:szCs w:val="22"/>
        </w:rPr>
        <w:t xml:space="preserve"> </w:t>
      </w:r>
      <w:r w:rsidRPr="00003419">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424DF8D9" w14:textId="77777777" w:rsidR="009B2285" w:rsidRPr="00003419" w:rsidRDefault="00772DEA">
      <w:pPr>
        <w:spacing w:before="240" w:after="240" w:line="360" w:lineRule="auto"/>
        <w:ind w:right="50"/>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Por cuanto hace al </w:t>
      </w:r>
      <w:r w:rsidRPr="00003419">
        <w:rPr>
          <w:rFonts w:ascii="Palatino Linotype" w:eastAsia="Palatino Linotype" w:hAnsi="Palatino Linotype" w:cs="Palatino Linotype"/>
          <w:b/>
          <w:sz w:val="22"/>
          <w:szCs w:val="22"/>
        </w:rPr>
        <w:t xml:space="preserve">Registro Federal de Contribuyentes (RFC) </w:t>
      </w:r>
      <w:r w:rsidRPr="00003419">
        <w:rPr>
          <w:rFonts w:ascii="Palatino Linotype" w:eastAsia="Palatino Linotype" w:hAnsi="Palatino Linotype" w:cs="Palatino Linotype"/>
          <w:sz w:val="22"/>
          <w:szCs w:val="22"/>
        </w:rPr>
        <w:t>y</w:t>
      </w:r>
      <w:r w:rsidRPr="00003419">
        <w:rPr>
          <w:rFonts w:ascii="Palatino Linotype" w:eastAsia="Palatino Linotype" w:hAnsi="Palatino Linotype" w:cs="Palatino Linotype"/>
          <w:b/>
          <w:sz w:val="22"/>
          <w:szCs w:val="22"/>
        </w:rPr>
        <w:t xml:space="preserve"> el domicilio fiscal </w:t>
      </w:r>
      <w:r w:rsidRPr="00003419">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44506CDB" w14:textId="77777777" w:rsidR="009B2285" w:rsidRPr="00003419" w:rsidRDefault="00772DEA">
      <w:pPr>
        <w:spacing w:before="240" w:after="240" w:line="360" w:lineRule="auto"/>
        <w:ind w:right="50"/>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C6CE719" w14:textId="77777777" w:rsidR="009B2285" w:rsidRPr="00003419" w:rsidRDefault="00772DEA">
      <w:pPr>
        <w:spacing w:before="240" w:after="240" w:line="360" w:lineRule="auto"/>
        <w:ind w:right="50"/>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lastRenderedPageBreak/>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003419">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003419">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58EA863E"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Robustece lo anterior el criterio orientador 04/21 emitido por el entonces Instituto Nacional de Transparencia, Acceso a la Información y Protección de Datos Personales, INAI, el cual refiere:</w:t>
      </w:r>
    </w:p>
    <w:p w14:paraId="382CE266" w14:textId="77777777" w:rsidR="009B2285" w:rsidRPr="00003419" w:rsidRDefault="00772DEA">
      <w:pPr>
        <w:spacing w:before="120" w:after="120"/>
        <w:ind w:left="851" w:right="902"/>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t xml:space="preserve">“Registro Federal de Contribuyentes (RFC) de personas físicas proveedoras o contratistas. </w:t>
      </w:r>
      <w:r w:rsidRPr="00003419">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003419">
        <w:rPr>
          <w:rFonts w:ascii="Palatino Linotype" w:eastAsia="Palatino Linotype" w:hAnsi="Palatino Linotype" w:cs="Palatino Linotype"/>
          <w:i/>
          <w:sz w:val="22"/>
          <w:szCs w:val="22"/>
        </w:rPr>
        <w:t>ya que</w:t>
      </w:r>
      <w:proofErr w:type="gramEnd"/>
      <w:r w:rsidRPr="00003419">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2CF62FC8" w14:textId="77777777" w:rsidR="009B2285" w:rsidRPr="00003419" w:rsidRDefault="00772DEA">
      <w:pPr>
        <w:spacing w:before="240" w:after="240" w:line="360" w:lineRule="auto"/>
        <w:ind w:right="50"/>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Relacionado con lo anterior, el </w:t>
      </w:r>
      <w:r w:rsidRPr="00003419">
        <w:rPr>
          <w:rFonts w:ascii="Palatino Linotype" w:eastAsia="Palatino Linotype" w:hAnsi="Palatino Linotype" w:cs="Palatino Linotype"/>
          <w:b/>
          <w:sz w:val="22"/>
          <w:szCs w:val="22"/>
        </w:rPr>
        <w:t>nombre de las personas físicas</w:t>
      </w:r>
      <w:r w:rsidRPr="00003419">
        <w:rPr>
          <w:rFonts w:ascii="Palatino Linotype" w:eastAsia="Palatino Linotype" w:hAnsi="Palatino Linotype" w:cs="Palatino Linotype"/>
          <w:sz w:val="22"/>
          <w:szCs w:val="22"/>
        </w:rPr>
        <w:t xml:space="preserve"> o los </w:t>
      </w:r>
      <w:r w:rsidRPr="00003419">
        <w:rPr>
          <w:rFonts w:ascii="Palatino Linotype" w:eastAsia="Palatino Linotype" w:hAnsi="Palatino Linotype" w:cs="Palatino Linotype"/>
          <w:b/>
          <w:sz w:val="22"/>
          <w:szCs w:val="22"/>
        </w:rPr>
        <w:t>representantes legales de las personas morales</w:t>
      </w:r>
      <w:r w:rsidRPr="00003419">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7B93E57E" w14:textId="77777777" w:rsidR="009B2285" w:rsidRPr="00003419" w:rsidRDefault="00772DEA">
      <w:pPr>
        <w:spacing w:before="240" w:after="240" w:line="360" w:lineRule="auto"/>
        <w:ind w:right="50"/>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lastRenderedPageBreak/>
        <w:t>Argumentación que guarda sustento en lo estipulado por el artículo 23 de la Ley de Transparencia y Acceso a la Información Pública del Estado de México y Municipios en su penúltimo párrafo, mismo que es del tenor literal siguiente:</w:t>
      </w:r>
    </w:p>
    <w:p w14:paraId="73D80ACE" w14:textId="77777777" w:rsidR="009B2285" w:rsidRPr="00003419" w:rsidRDefault="00772DEA">
      <w:pPr>
        <w:spacing w:before="120" w:after="120"/>
        <w:ind w:left="851" w:right="902"/>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w:t>
      </w:r>
      <w:r w:rsidRPr="00003419">
        <w:rPr>
          <w:rFonts w:ascii="Palatino Linotype" w:eastAsia="Palatino Linotype" w:hAnsi="Palatino Linotype" w:cs="Palatino Linotype"/>
          <w:b/>
          <w:i/>
          <w:sz w:val="22"/>
          <w:szCs w:val="22"/>
        </w:rPr>
        <w:t>Artículo 23.</w:t>
      </w:r>
      <w:r w:rsidRPr="00003419">
        <w:rPr>
          <w:rFonts w:ascii="Palatino Linotype" w:eastAsia="Palatino Linotype" w:hAnsi="Palatino Linotype" w:cs="Palatino Linotype"/>
          <w:i/>
          <w:sz w:val="22"/>
          <w:szCs w:val="22"/>
        </w:rPr>
        <w:t xml:space="preserve"> (…)</w:t>
      </w:r>
    </w:p>
    <w:p w14:paraId="422380BD" w14:textId="77777777" w:rsidR="009B2285" w:rsidRPr="00003419" w:rsidRDefault="00772DEA">
      <w:pPr>
        <w:spacing w:before="120" w:after="120"/>
        <w:ind w:left="851" w:right="902"/>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70EAEE5" w14:textId="77777777" w:rsidR="009B2285" w:rsidRPr="00003419" w:rsidRDefault="00772DEA">
      <w:pPr>
        <w:spacing w:before="280" w:after="28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Asimismo, resulta aplicable el contenido del criterio de interpretación 01/19 emitido por el entonces Instituto Nacional de Transparencia, Acceso a la Información, y Protección de Datos Personales, INAI, que lleva por rubro y texto los siguientes</w:t>
      </w:r>
    </w:p>
    <w:p w14:paraId="39587809" w14:textId="77777777" w:rsidR="009B2285" w:rsidRPr="00003419" w:rsidRDefault="00772DEA">
      <w:pPr>
        <w:ind w:left="851"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b/>
          <w:i/>
          <w:sz w:val="22"/>
          <w:szCs w:val="22"/>
        </w:rPr>
        <w:t>“Datos de identificación del representante o apoderado legal.</w:t>
      </w:r>
      <w:r w:rsidRPr="00003419">
        <w:rPr>
          <w:rFonts w:ascii="Palatino Linotype" w:eastAsia="Palatino Linotype" w:hAnsi="Palatino Linotype" w:cs="Palatino Linotype"/>
          <w:i/>
          <w:sz w:val="22"/>
          <w:szCs w:val="22"/>
        </w:rPr>
        <w:t xml:space="preserve"> </w:t>
      </w:r>
      <w:r w:rsidRPr="00003419">
        <w:rPr>
          <w:rFonts w:ascii="Palatino Linotype" w:eastAsia="Palatino Linotype" w:hAnsi="Palatino Linotype" w:cs="Palatino Linotype"/>
          <w:b/>
          <w:i/>
          <w:sz w:val="22"/>
          <w:szCs w:val="22"/>
        </w:rPr>
        <w:t xml:space="preserve">Naturaleza jurídica. </w:t>
      </w:r>
      <w:r w:rsidRPr="00003419">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003419">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003419">
        <w:rPr>
          <w:rFonts w:ascii="Palatino Linotype" w:eastAsia="Palatino Linotype" w:hAnsi="Palatino Linotype" w:cs="Palatino Linotype"/>
          <w:i/>
          <w:sz w:val="22"/>
          <w:szCs w:val="22"/>
        </w:rPr>
        <w:t>.”</w:t>
      </w:r>
    </w:p>
    <w:p w14:paraId="1201B9E1"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 xml:space="preserve">Mientras que en el caso del </w:t>
      </w:r>
      <w:r w:rsidRPr="00003419">
        <w:rPr>
          <w:rFonts w:ascii="Palatino Linotype" w:eastAsia="Palatino Linotype" w:hAnsi="Palatino Linotype" w:cs="Palatino Linotype"/>
          <w:b/>
          <w:sz w:val="22"/>
          <w:szCs w:val="22"/>
        </w:rPr>
        <w:t>folio fiscal</w:t>
      </w:r>
      <w:r w:rsidRPr="00003419">
        <w:rPr>
          <w:rFonts w:ascii="Palatino Linotype" w:eastAsia="Palatino Linotype" w:hAnsi="Palatino Linotype" w:cs="Palatino Linotype"/>
          <w:sz w:val="22"/>
          <w:szCs w:val="22"/>
        </w:rPr>
        <w:t xml:space="preserve">, la </w:t>
      </w:r>
      <w:r w:rsidRPr="00003419">
        <w:rPr>
          <w:rFonts w:ascii="Palatino Linotype" w:eastAsia="Palatino Linotype" w:hAnsi="Palatino Linotype" w:cs="Palatino Linotype"/>
          <w:b/>
          <w:sz w:val="22"/>
          <w:szCs w:val="22"/>
        </w:rPr>
        <w:t xml:space="preserve">cadena original, </w:t>
      </w:r>
      <w:r w:rsidRPr="00003419">
        <w:rPr>
          <w:rFonts w:ascii="Palatino Linotype" w:eastAsia="Palatino Linotype" w:hAnsi="Palatino Linotype" w:cs="Palatino Linotype"/>
          <w:sz w:val="22"/>
          <w:szCs w:val="22"/>
        </w:rPr>
        <w:t>los</w:t>
      </w:r>
      <w:r w:rsidRPr="00003419">
        <w:rPr>
          <w:rFonts w:ascii="Palatino Linotype" w:eastAsia="Palatino Linotype" w:hAnsi="Palatino Linotype" w:cs="Palatino Linotype"/>
          <w:b/>
          <w:sz w:val="22"/>
          <w:szCs w:val="22"/>
        </w:rPr>
        <w:t xml:space="preserve"> códigos bidimensionales o códigos QR,</w:t>
      </w:r>
      <w:r w:rsidRPr="00003419">
        <w:rPr>
          <w:rFonts w:ascii="Palatino Linotype" w:eastAsia="Palatino Linotype" w:hAnsi="Palatino Linotype" w:cs="Palatino Linotype"/>
          <w:sz w:val="22"/>
          <w:szCs w:val="22"/>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6744A096" w14:textId="77777777" w:rsidR="009B2285" w:rsidRPr="00003419" w:rsidRDefault="00772DEA">
      <w:pPr>
        <w:pBdr>
          <w:top w:val="nil"/>
          <w:left w:val="nil"/>
          <w:bottom w:val="nil"/>
          <w:right w:val="nil"/>
          <w:between w:val="nil"/>
        </w:pBdr>
        <w:spacing w:line="360" w:lineRule="auto"/>
        <w:ind w:right="-93"/>
        <w:jc w:val="both"/>
        <w:rPr>
          <w:color w:val="000000"/>
          <w:sz w:val="22"/>
          <w:szCs w:val="22"/>
        </w:rPr>
      </w:pPr>
      <w:r w:rsidRPr="00003419">
        <w:rPr>
          <w:rFonts w:ascii="Palatino Linotype" w:eastAsia="Palatino Linotype" w:hAnsi="Palatino Linotype" w:cs="Palatino Linotype"/>
          <w:color w:val="000000"/>
          <w:sz w:val="22"/>
          <w:szCs w:val="22"/>
        </w:rPr>
        <w:lastRenderedPageBreak/>
        <w:t>En cuanto a la firma, la real Academia Española lo establece como “Rasgo o conjunto de rasgos, realizados siempre de la misma manera, que identifican a una persona y sustituyen a su nombre y apellidos para aprobar o dar autenticidad a un documento”, en ese sentido, se trata de un dato personal.</w:t>
      </w:r>
    </w:p>
    <w:p w14:paraId="4ED18F01" w14:textId="77777777" w:rsidR="009B2285" w:rsidRPr="00003419" w:rsidRDefault="009B2285">
      <w:pPr>
        <w:spacing w:line="360" w:lineRule="auto"/>
        <w:jc w:val="both"/>
        <w:rPr>
          <w:sz w:val="22"/>
          <w:szCs w:val="22"/>
        </w:rPr>
      </w:pPr>
    </w:p>
    <w:p w14:paraId="58680482" w14:textId="77777777" w:rsidR="009B2285" w:rsidRPr="00003419" w:rsidRDefault="00772DEA">
      <w:pPr>
        <w:pBdr>
          <w:top w:val="nil"/>
          <w:left w:val="nil"/>
          <w:bottom w:val="nil"/>
          <w:right w:val="nil"/>
          <w:between w:val="nil"/>
        </w:pBdr>
        <w:spacing w:line="360" w:lineRule="auto"/>
        <w:ind w:right="-93"/>
        <w:jc w:val="both"/>
        <w:rPr>
          <w:color w:val="000000"/>
          <w:sz w:val="22"/>
          <w:szCs w:val="22"/>
        </w:rPr>
      </w:pPr>
      <w:r w:rsidRPr="00003419">
        <w:rPr>
          <w:rFonts w:ascii="Palatino Linotype" w:eastAsia="Palatino Linotype" w:hAnsi="Palatino Linotype" w:cs="Palatino Linotype"/>
          <w:color w:val="000000"/>
          <w:sz w:val="22"/>
          <w:szCs w:val="22"/>
        </w:rPr>
        <w:t>Ahora bien, tratándose de servidores públicos el Criterio SO/002/2019, emitido por el entonces Instituto Nacional de Transparencia, Acceso a la Información y Protección de Datos Personales, establece lo siguiente:</w:t>
      </w:r>
    </w:p>
    <w:p w14:paraId="2981E5B1" w14:textId="77777777" w:rsidR="009B2285" w:rsidRPr="00003419" w:rsidRDefault="009B2285">
      <w:pPr>
        <w:spacing w:line="360" w:lineRule="auto"/>
        <w:jc w:val="both"/>
        <w:rPr>
          <w:sz w:val="22"/>
          <w:szCs w:val="22"/>
        </w:rPr>
      </w:pPr>
    </w:p>
    <w:p w14:paraId="77557171" w14:textId="77777777" w:rsidR="009B2285" w:rsidRPr="00003419" w:rsidRDefault="00772DEA">
      <w:pPr>
        <w:pBdr>
          <w:top w:val="nil"/>
          <w:left w:val="nil"/>
          <w:bottom w:val="nil"/>
          <w:right w:val="nil"/>
          <w:between w:val="nil"/>
        </w:pBdr>
        <w:spacing w:line="276" w:lineRule="auto"/>
        <w:ind w:left="851" w:right="822"/>
        <w:jc w:val="both"/>
        <w:rPr>
          <w:color w:val="000000"/>
          <w:sz w:val="22"/>
          <w:szCs w:val="22"/>
        </w:rPr>
      </w:pPr>
      <w:r w:rsidRPr="00003419">
        <w:rPr>
          <w:rFonts w:ascii="Palatino Linotype" w:eastAsia="Palatino Linotype" w:hAnsi="Palatino Linotype" w:cs="Palatino Linotype"/>
          <w:i/>
          <w:color w:val="000000"/>
          <w:sz w:val="22"/>
          <w:szCs w:val="22"/>
        </w:rPr>
        <w:t>“</w:t>
      </w:r>
      <w:r w:rsidRPr="00003419">
        <w:rPr>
          <w:rFonts w:ascii="Palatino Linotype" w:eastAsia="Palatino Linotype" w:hAnsi="Palatino Linotype" w:cs="Palatino Linotype"/>
          <w:b/>
          <w:i/>
          <w:color w:val="000000"/>
          <w:sz w:val="22"/>
          <w:szCs w:val="22"/>
        </w:rPr>
        <w:t>Firma y rúbrica de servidores públicos</w:t>
      </w:r>
      <w:r w:rsidRPr="00003419">
        <w:rPr>
          <w:rFonts w:ascii="Palatino Linotype" w:eastAsia="Palatino Linotype" w:hAnsi="Palatino Linotype" w:cs="Palatino Linotype"/>
          <w:i/>
          <w:color w:val="000000"/>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23EDFA75" w14:textId="77777777" w:rsidR="009B2285" w:rsidRPr="00003419" w:rsidRDefault="009B2285">
      <w:pPr>
        <w:spacing w:line="360" w:lineRule="auto"/>
        <w:jc w:val="both"/>
        <w:rPr>
          <w:sz w:val="22"/>
          <w:szCs w:val="22"/>
        </w:rPr>
      </w:pPr>
    </w:p>
    <w:p w14:paraId="7BAE1E76" w14:textId="77777777" w:rsidR="009B2285" w:rsidRPr="00003419" w:rsidRDefault="00772DEA">
      <w:pPr>
        <w:pBdr>
          <w:top w:val="nil"/>
          <w:left w:val="nil"/>
          <w:bottom w:val="nil"/>
          <w:right w:val="nil"/>
          <w:between w:val="nil"/>
        </w:pBdr>
        <w:spacing w:line="360" w:lineRule="auto"/>
        <w:ind w:right="-93"/>
        <w:jc w:val="both"/>
        <w:rPr>
          <w:color w:val="000000"/>
          <w:sz w:val="22"/>
          <w:szCs w:val="22"/>
        </w:rPr>
      </w:pPr>
      <w:r w:rsidRPr="00003419">
        <w:rPr>
          <w:rFonts w:ascii="Palatino Linotype" w:eastAsia="Palatino Linotype" w:hAnsi="Palatino Linotype" w:cs="Palatino Linotype"/>
          <w:color w:val="000000"/>
          <w:sz w:val="22"/>
          <w:szCs w:val="22"/>
        </w:rPr>
        <w:t>Como ya lo refiere el Criterio señalado, la firma es un dato personal confidencial y solo será pública para el caso de los servidores públicos en el ejercicio de sus funciones. </w:t>
      </w:r>
    </w:p>
    <w:p w14:paraId="61D38B67" w14:textId="77777777" w:rsidR="009B2285" w:rsidRPr="00003419" w:rsidRDefault="00772DEA">
      <w:pPr>
        <w:pBdr>
          <w:top w:val="nil"/>
          <w:left w:val="nil"/>
          <w:bottom w:val="nil"/>
          <w:right w:val="nil"/>
          <w:between w:val="nil"/>
        </w:pBdr>
        <w:spacing w:before="240" w:after="240" w:line="360" w:lineRule="auto"/>
        <w:ind w:right="50"/>
        <w:jc w:val="both"/>
        <w:rPr>
          <w:color w:val="000000"/>
          <w:sz w:val="22"/>
          <w:szCs w:val="22"/>
        </w:rPr>
      </w:pPr>
      <w:r w:rsidRPr="00003419">
        <w:rPr>
          <w:rFonts w:ascii="Palatino Linotype" w:eastAsia="Palatino Linotype" w:hAnsi="Palatino Linotype" w:cs="Palatino Linotype"/>
          <w:color w:val="000000"/>
          <w:sz w:val="22"/>
          <w:szCs w:val="22"/>
        </w:rPr>
        <w:t xml:space="preserve">Respecto del </w:t>
      </w:r>
      <w:r w:rsidRPr="00003419">
        <w:rPr>
          <w:rFonts w:ascii="Palatino Linotype" w:eastAsia="Palatino Linotype" w:hAnsi="Palatino Linotype" w:cs="Palatino Linotype"/>
          <w:b/>
          <w:color w:val="000000"/>
          <w:sz w:val="22"/>
          <w:szCs w:val="22"/>
        </w:rPr>
        <w:t>nombre de las personas físicas</w:t>
      </w:r>
      <w:r w:rsidRPr="00003419">
        <w:rPr>
          <w:rFonts w:ascii="Palatino Linotype" w:eastAsia="Palatino Linotype" w:hAnsi="Palatino Linotype" w:cs="Palatino Linotype"/>
          <w:color w:val="000000"/>
          <w:sz w:val="22"/>
          <w:szCs w:val="22"/>
        </w:rPr>
        <w:t xml:space="preserve"> o los </w:t>
      </w:r>
      <w:r w:rsidRPr="00003419">
        <w:rPr>
          <w:rFonts w:ascii="Palatino Linotype" w:eastAsia="Palatino Linotype" w:hAnsi="Palatino Linotype" w:cs="Palatino Linotype"/>
          <w:b/>
          <w:color w:val="000000"/>
          <w:sz w:val="22"/>
          <w:szCs w:val="22"/>
        </w:rPr>
        <w:t>representantes legales de las personas morales</w:t>
      </w:r>
      <w:r w:rsidRPr="00003419">
        <w:rPr>
          <w:rFonts w:ascii="Palatino Linotype" w:eastAsia="Palatino Linotype" w:hAnsi="Palatino Linotype" w:cs="Palatino Linotype"/>
          <w:color w:val="000000"/>
          <w:sz w:val="22"/>
          <w:szCs w:val="22"/>
        </w:rPr>
        <w:t xml:space="preserve">, </w:t>
      </w:r>
      <w:r w:rsidRPr="00003419">
        <w:rPr>
          <w:rFonts w:ascii="Palatino Linotype" w:eastAsia="Palatino Linotype" w:hAnsi="Palatino Linotype" w:cs="Palatino Linotype"/>
          <w:b/>
          <w:color w:val="000000"/>
          <w:sz w:val="22"/>
          <w:szCs w:val="22"/>
        </w:rPr>
        <w:t>en su calidad de proveedores, contratistas o prestadores de servicios, y la firma y rúbrica de estos</w:t>
      </w:r>
      <w:r w:rsidRPr="00003419">
        <w:rPr>
          <w:rFonts w:ascii="Palatino Linotype" w:eastAsia="Palatino Linotype" w:hAnsi="Palatino Linotype" w:cs="Palatino Linotype"/>
          <w:color w:val="000000"/>
          <w:sz w:val="22"/>
          <w:szCs w:val="22"/>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0B97D60C" w14:textId="77777777" w:rsidR="009B2285" w:rsidRPr="00003419" w:rsidRDefault="00772DEA">
      <w:pPr>
        <w:pBdr>
          <w:top w:val="nil"/>
          <w:left w:val="nil"/>
          <w:bottom w:val="nil"/>
          <w:right w:val="nil"/>
          <w:between w:val="nil"/>
        </w:pBdr>
        <w:spacing w:before="240" w:after="240" w:line="360" w:lineRule="auto"/>
        <w:ind w:right="50"/>
        <w:jc w:val="both"/>
        <w:rPr>
          <w:color w:val="000000"/>
          <w:sz w:val="22"/>
          <w:szCs w:val="22"/>
        </w:rPr>
      </w:pPr>
      <w:r w:rsidRPr="00003419">
        <w:rPr>
          <w:rFonts w:ascii="Palatino Linotype" w:eastAsia="Palatino Linotype" w:hAnsi="Palatino Linotype" w:cs="Palatino Linotype"/>
          <w:color w:val="000000"/>
          <w:sz w:val="22"/>
          <w:szCs w:val="22"/>
        </w:rPr>
        <w:lastRenderedPageBreak/>
        <w:t>Argumentación que guarda sustento en lo estipulado por el artículo 23 de la Ley de Transparencia y Acceso a la Información Pública del Estado de México y Municipios en su penúltimo párrafo, mismo que es del tenor literal siguiente:</w:t>
      </w:r>
    </w:p>
    <w:p w14:paraId="5AFB45DA" w14:textId="77777777" w:rsidR="009B2285" w:rsidRPr="00003419" w:rsidRDefault="00772DEA">
      <w:pPr>
        <w:pBdr>
          <w:top w:val="nil"/>
          <w:left w:val="nil"/>
          <w:bottom w:val="nil"/>
          <w:right w:val="nil"/>
          <w:between w:val="nil"/>
        </w:pBdr>
        <w:spacing w:before="120" w:after="120" w:line="276" w:lineRule="auto"/>
        <w:ind w:left="851" w:right="902"/>
        <w:jc w:val="both"/>
        <w:rPr>
          <w:color w:val="000000"/>
          <w:sz w:val="22"/>
          <w:szCs w:val="22"/>
        </w:rPr>
      </w:pPr>
      <w:r w:rsidRPr="00003419">
        <w:rPr>
          <w:rFonts w:ascii="Palatino Linotype" w:eastAsia="Palatino Linotype" w:hAnsi="Palatino Linotype" w:cs="Palatino Linotype"/>
          <w:i/>
          <w:color w:val="000000"/>
          <w:sz w:val="22"/>
          <w:szCs w:val="22"/>
        </w:rPr>
        <w:t>“</w:t>
      </w:r>
      <w:r w:rsidRPr="00003419">
        <w:rPr>
          <w:rFonts w:ascii="Palatino Linotype" w:eastAsia="Palatino Linotype" w:hAnsi="Palatino Linotype" w:cs="Palatino Linotype"/>
          <w:b/>
          <w:i/>
          <w:color w:val="000000"/>
          <w:sz w:val="22"/>
          <w:szCs w:val="22"/>
        </w:rPr>
        <w:t>Artículo 23.</w:t>
      </w:r>
      <w:r w:rsidRPr="00003419">
        <w:rPr>
          <w:rFonts w:ascii="Palatino Linotype" w:eastAsia="Palatino Linotype" w:hAnsi="Palatino Linotype" w:cs="Palatino Linotype"/>
          <w:i/>
          <w:color w:val="000000"/>
          <w:sz w:val="22"/>
          <w:szCs w:val="22"/>
        </w:rPr>
        <w:t xml:space="preserve"> (…)</w:t>
      </w:r>
    </w:p>
    <w:p w14:paraId="74B39E93" w14:textId="77777777" w:rsidR="009B2285" w:rsidRPr="00003419" w:rsidRDefault="00772DEA">
      <w:pPr>
        <w:pBdr>
          <w:top w:val="nil"/>
          <w:left w:val="nil"/>
          <w:bottom w:val="nil"/>
          <w:right w:val="nil"/>
          <w:between w:val="nil"/>
        </w:pBdr>
        <w:spacing w:before="120" w:after="120" w:line="276" w:lineRule="auto"/>
        <w:ind w:left="851" w:right="902"/>
        <w:jc w:val="both"/>
        <w:rPr>
          <w:color w:val="000000"/>
          <w:sz w:val="22"/>
          <w:szCs w:val="22"/>
        </w:rPr>
      </w:pPr>
      <w:r w:rsidRPr="00003419">
        <w:rPr>
          <w:rFonts w:ascii="Palatino Linotype" w:eastAsia="Palatino Linotype" w:hAnsi="Palatino Linotype" w:cs="Palatino Linotype"/>
          <w:i/>
          <w:color w:val="000000"/>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9D75A33" w14:textId="77777777" w:rsidR="009B2285" w:rsidRPr="00003419" w:rsidRDefault="00772DEA">
      <w:pPr>
        <w:pBdr>
          <w:top w:val="nil"/>
          <w:left w:val="nil"/>
          <w:bottom w:val="nil"/>
          <w:right w:val="nil"/>
          <w:between w:val="nil"/>
        </w:pBdr>
        <w:spacing w:before="280" w:after="280" w:line="360" w:lineRule="auto"/>
        <w:jc w:val="both"/>
        <w:rPr>
          <w:color w:val="000000"/>
          <w:sz w:val="22"/>
          <w:szCs w:val="22"/>
        </w:rPr>
      </w:pPr>
      <w:r w:rsidRPr="00003419">
        <w:rPr>
          <w:rFonts w:ascii="Palatino Linotype" w:eastAsia="Palatino Linotype" w:hAnsi="Palatino Linotype" w:cs="Palatino Linotype"/>
          <w:color w:val="000000"/>
          <w:sz w:val="22"/>
          <w:szCs w:val="22"/>
        </w:rPr>
        <w:t>Asimismo, resulta aplicable el contenido del criterio de interpretación 01/19 emitido por el entonces Instituto Nacional de Transparencia, Acceso a la Información, y Protección de Datos Personales, INAI, que lleva por rubro y texto los siguientes:</w:t>
      </w:r>
    </w:p>
    <w:p w14:paraId="45AC267A" w14:textId="77777777" w:rsidR="009B2285" w:rsidRPr="00003419" w:rsidRDefault="00772DEA">
      <w:pPr>
        <w:pBdr>
          <w:top w:val="nil"/>
          <w:left w:val="nil"/>
          <w:bottom w:val="nil"/>
          <w:right w:val="nil"/>
          <w:between w:val="nil"/>
        </w:pBdr>
        <w:spacing w:line="276" w:lineRule="auto"/>
        <w:ind w:left="851" w:right="900"/>
        <w:jc w:val="both"/>
        <w:rPr>
          <w:color w:val="000000"/>
          <w:sz w:val="22"/>
          <w:szCs w:val="22"/>
        </w:rPr>
      </w:pPr>
      <w:r w:rsidRPr="00003419">
        <w:rPr>
          <w:rFonts w:ascii="Palatino Linotype" w:eastAsia="Palatino Linotype" w:hAnsi="Palatino Linotype" w:cs="Palatino Linotype"/>
          <w:b/>
          <w:i/>
          <w:color w:val="000000"/>
          <w:sz w:val="22"/>
          <w:szCs w:val="22"/>
        </w:rPr>
        <w:t>“Datos de identificación del representante o apoderado legal.</w:t>
      </w:r>
      <w:r w:rsidRPr="00003419">
        <w:rPr>
          <w:rFonts w:ascii="Palatino Linotype" w:eastAsia="Palatino Linotype" w:hAnsi="Palatino Linotype" w:cs="Palatino Linotype"/>
          <w:i/>
          <w:color w:val="000000"/>
          <w:sz w:val="22"/>
          <w:szCs w:val="22"/>
        </w:rPr>
        <w:t xml:space="preserve"> </w:t>
      </w:r>
      <w:r w:rsidRPr="00003419">
        <w:rPr>
          <w:rFonts w:ascii="Palatino Linotype" w:eastAsia="Palatino Linotype" w:hAnsi="Palatino Linotype" w:cs="Palatino Linotype"/>
          <w:b/>
          <w:i/>
          <w:color w:val="000000"/>
          <w:sz w:val="22"/>
          <w:szCs w:val="22"/>
        </w:rPr>
        <w:t xml:space="preserve">Naturaleza jurídica. El nombre, la </w:t>
      </w:r>
      <w:r w:rsidRPr="00003419">
        <w:rPr>
          <w:rFonts w:ascii="Palatino Linotype" w:eastAsia="Palatino Linotype" w:hAnsi="Palatino Linotype" w:cs="Palatino Linotype"/>
          <w:b/>
          <w:i/>
          <w:color w:val="000000"/>
          <w:sz w:val="22"/>
          <w:szCs w:val="22"/>
          <w:u w:val="single"/>
        </w:rPr>
        <w:t>firma y la rúbrica</w:t>
      </w:r>
      <w:r w:rsidRPr="00003419">
        <w:rPr>
          <w:rFonts w:ascii="Palatino Linotype" w:eastAsia="Palatino Linotype" w:hAnsi="Palatino Linotype" w:cs="Palatino Linotype"/>
          <w:i/>
          <w:color w:val="000000"/>
          <w:sz w:val="22"/>
          <w:szCs w:val="22"/>
        </w:rPr>
        <w:t xml:space="preserve"> de una persona física, que actúe como representante o apoderado legal de un tercero que haya celebrado un acto jurídico, con algún sujeto obligado, </w:t>
      </w:r>
      <w:r w:rsidRPr="00003419">
        <w:rPr>
          <w:rFonts w:ascii="Palatino Linotype" w:eastAsia="Palatino Linotype" w:hAnsi="Palatino Linotype" w:cs="Palatino Linotype"/>
          <w:b/>
          <w:i/>
          <w:color w:val="000000"/>
          <w:sz w:val="22"/>
          <w:szCs w:val="22"/>
          <w:u w:val="single"/>
        </w:rPr>
        <w:t>es información pública</w:t>
      </w:r>
      <w:r w:rsidRPr="00003419">
        <w:rPr>
          <w:rFonts w:ascii="Palatino Linotype" w:eastAsia="Palatino Linotype" w:hAnsi="Palatino Linotype" w:cs="Palatino Linotype"/>
          <w:b/>
          <w:i/>
          <w:color w:val="000000"/>
          <w:sz w:val="22"/>
          <w:szCs w:val="22"/>
        </w:rPr>
        <w:t>, en razón de que tales datos fueron proporcionados con el objeto de expresar el consentimiento obligacional del tercero y otorgar validez a dicho instrumento jurídico</w:t>
      </w:r>
      <w:r w:rsidRPr="00003419">
        <w:rPr>
          <w:rFonts w:ascii="Palatino Linotype" w:eastAsia="Palatino Linotype" w:hAnsi="Palatino Linotype" w:cs="Palatino Linotype"/>
          <w:i/>
          <w:color w:val="000000"/>
          <w:sz w:val="22"/>
          <w:szCs w:val="22"/>
        </w:rPr>
        <w:t>.”</w:t>
      </w:r>
    </w:p>
    <w:p w14:paraId="784CE8E3" w14:textId="77777777" w:rsidR="009B2285" w:rsidRPr="00003419" w:rsidRDefault="009B2285">
      <w:pPr>
        <w:spacing w:line="360" w:lineRule="auto"/>
        <w:jc w:val="both"/>
        <w:rPr>
          <w:sz w:val="22"/>
          <w:szCs w:val="22"/>
        </w:rPr>
      </w:pPr>
    </w:p>
    <w:p w14:paraId="398F531D" w14:textId="77777777" w:rsidR="009B2285" w:rsidRPr="00003419" w:rsidRDefault="00772DEA">
      <w:pPr>
        <w:pBdr>
          <w:top w:val="nil"/>
          <w:left w:val="nil"/>
          <w:bottom w:val="nil"/>
          <w:right w:val="nil"/>
          <w:between w:val="nil"/>
        </w:pBdr>
        <w:spacing w:line="360" w:lineRule="auto"/>
        <w:jc w:val="both"/>
        <w:rPr>
          <w:color w:val="000000"/>
          <w:sz w:val="22"/>
          <w:szCs w:val="22"/>
        </w:rPr>
      </w:pPr>
      <w:r w:rsidRPr="00003419">
        <w:rPr>
          <w:rFonts w:ascii="Palatino Linotype" w:eastAsia="Palatino Linotype" w:hAnsi="Palatino Linotype" w:cs="Palatino Linotype"/>
          <w:color w:val="000000"/>
          <w:sz w:val="22"/>
          <w:szCs w:val="22"/>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4A7442BF" w14:textId="77777777" w:rsidR="009B2285" w:rsidRPr="00003419" w:rsidRDefault="009B2285">
      <w:pPr>
        <w:spacing w:line="360" w:lineRule="auto"/>
        <w:jc w:val="both"/>
        <w:rPr>
          <w:sz w:val="22"/>
          <w:szCs w:val="22"/>
        </w:rPr>
      </w:pPr>
    </w:p>
    <w:p w14:paraId="6931709A" w14:textId="77777777" w:rsidR="009B2285" w:rsidRPr="00003419" w:rsidRDefault="00772DEA">
      <w:pPr>
        <w:pBdr>
          <w:top w:val="nil"/>
          <w:left w:val="nil"/>
          <w:bottom w:val="nil"/>
          <w:right w:val="nil"/>
          <w:between w:val="nil"/>
        </w:pBdr>
        <w:spacing w:line="360" w:lineRule="auto"/>
        <w:ind w:right="51"/>
        <w:jc w:val="both"/>
        <w:rPr>
          <w:color w:val="000000"/>
          <w:sz w:val="22"/>
          <w:szCs w:val="22"/>
        </w:rPr>
      </w:pPr>
      <w:r w:rsidRPr="00003419">
        <w:rPr>
          <w:rFonts w:ascii="Palatino Linotype" w:eastAsia="Palatino Linotype" w:hAnsi="Palatino Linotype" w:cs="Palatino Linotype"/>
          <w:color w:val="000000"/>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w:t>
      </w:r>
      <w:r w:rsidRPr="00003419">
        <w:rPr>
          <w:rFonts w:ascii="Palatino Linotype" w:eastAsia="Palatino Linotype" w:hAnsi="Palatino Linotype" w:cs="Palatino Linotype"/>
          <w:color w:val="000000"/>
          <w:sz w:val="22"/>
          <w:szCs w:val="22"/>
        </w:rPr>
        <w:lastRenderedPageBreak/>
        <w:t>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8B9AE45" w14:textId="77777777" w:rsidR="009B2285" w:rsidRPr="00003419" w:rsidRDefault="009B2285">
      <w:pPr>
        <w:spacing w:line="360" w:lineRule="auto"/>
        <w:jc w:val="both"/>
        <w:rPr>
          <w:sz w:val="22"/>
          <w:szCs w:val="22"/>
        </w:rPr>
      </w:pPr>
    </w:p>
    <w:p w14:paraId="765F5D3D" w14:textId="77777777" w:rsidR="009B2285" w:rsidRPr="00003419" w:rsidRDefault="00772DEA">
      <w:pPr>
        <w:pBdr>
          <w:top w:val="nil"/>
          <w:left w:val="nil"/>
          <w:bottom w:val="nil"/>
          <w:right w:val="nil"/>
          <w:between w:val="nil"/>
        </w:pBdr>
        <w:spacing w:line="360" w:lineRule="auto"/>
        <w:ind w:right="50"/>
        <w:jc w:val="both"/>
        <w:rPr>
          <w:color w:val="000000"/>
          <w:sz w:val="22"/>
          <w:szCs w:val="22"/>
        </w:rPr>
      </w:pPr>
      <w:r w:rsidRPr="00003419">
        <w:rPr>
          <w:rFonts w:ascii="Palatino Linotype" w:eastAsia="Palatino Linotype" w:hAnsi="Palatino Linotype" w:cs="Palatino Linotype"/>
          <w:color w:val="000000"/>
          <w:sz w:val="22"/>
          <w:szCs w:val="22"/>
        </w:rPr>
        <w:t>Lo anterior encuentra sustento en el criterio 10/17 emitido por el entonces Instituto Nacional de Transparencia y Acceso a la Información Pública del Estado de México y Municipios, que a la letra dicen:</w:t>
      </w:r>
    </w:p>
    <w:p w14:paraId="4388D4A3" w14:textId="77777777" w:rsidR="009B2285" w:rsidRPr="00003419" w:rsidRDefault="009B2285">
      <w:pPr>
        <w:spacing w:line="360" w:lineRule="auto"/>
        <w:jc w:val="both"/>
        <w:rPr>
          <w:sz w:val="22"/>
          <w:szCs w:val="22"/>
        </w:rPr>
      </w:pPr>
    </w:p>
    <w:p w14:paraId="73524535" w14:textId="77777777" w:rsidR="009B2285" w:rsidRPr="00003419" w:rsidRDefault="00772DEA">
      <w:pPr>
        <w:pBdr>
          <w:top w:val="nil"/>
          <w:left w:val="nil"/>
          <w:bottom w:val="nil"/>
          <w:right w:val="nil"/>
          <w:between w:val="nil"/>
        </w:pBdr>
        <w:spacing w:line="276" w:lineRule="auto"/>
        <w:ind w:left="567" w:right="900"/>
        <w:jc w:val="both"/>
        <w:rPr>
          <w:color w:val="000000"/>
          <w:sz w:val="22"/>
          <w:szCs w:val="22"/>
        </w:rPr>
      </w:pPr>
      <w:r w:rsidRPr="00003419">
        <w:rPr>
          <w:rFonts w:ascii="Palatino Linotype" w:eastAsia="Palatino Linotype" w:hAnsi="Palatino Linotype" w:cs="Palatino Linotype"/>
          <w:b/>
          <w:i/>
          <w:color w:val="000000"/>
          <w:sz w:val="22"/>
          <w:szCs w:val="22"/>
        </w:rPr>
        <w:t>“Cuentas bancarias y/o CLABE interbancaria de personas físicas y morales privadas.</w:t>
      </w:r>
      <w:r w:rsidRPr="00003419">
        <w:rPr>
          <w:rFonts w:ascii="Palatino Linotype" w:eastAsia="Palatino Linotype" w:hAnsi="Palatino Linotype" w:cs="Palatino Linotype"/>
          <w:i/>
          <w:color w:val="000000"/>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635F3D9" w14:textId="77777777" w:rsidR="009B2285" w:rsidRPr="00003419" w:rsidRDefault="009B2285">
      <w:pPr>
        <w:spacing w:line="276" w:lineRule="auto"/>
        <w:ind w:left="567" w:right="900"/>
        <w:jc w:val="both"/>
        <w:rPr>
          <w:sz w:val="22"/>
          <w:szCs w:val="22"/>
        </w:rPr>
      </w:pPr>
    </w:p>
    <w:p w14:paraId="4ED88D65" w14:textId="77777777" w:rsidR="009B2285" w:rsidRPr="00003419" w:rsidRDefault="00772DEA">
      <w:pPr>
        <w:pBdr>
          <w:top w:val="nil"/>
          <w:left w:val="nil"/>
          <w:bottom w:val="nil"/>
          <w:right w:val="nil"/>
          <w:between w:val="nil"/>
        </w:pBdr>
        <w:spacing w:line="360" w:lineRule="auto"/>
        <w:ind w:right="50"/>
        <w:jc w:val="both"/>
        <w:rPr>
          <w:color w:val="000000"/>
          <w:sz w:val="22"/>
          <w:szCs w:val="22"/>
        </w:rPr>
      </w:pPr>
      <w:r w:rsidRPr="00003419">
        <w:rPr>
          <w:rFonts w:ascii="Palatino Linotype" w:eastAsia="Palatino Linotype" w:hAnsi="Palatino Linotype" w:cs="Palatino Linotype"/>
          <w:color w:val="000000"/>
          <w:sz w:val="22"/>
          <w:szCs w:val="22"/>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entonces Instituto Nacional de Transparencia y Acceso a la Información Pública del Estado de México y Municipios, el cual para mayor referencia se inserta a continuación:</w:t>
      </w:r>
    </w:p>
    <w:p w14:paraId="64B5330E" w14:textId="77777777" w:rsidR="009B2285" w:rsidRPr="00003419" w:rsidRDefault="009B2285">
      <w:pPr>
        <w:spacing w:line="360" w:lineRule="auto"/>
        <w:jc w:val="both"/>
        <w:rPr>
          <w:sz w:val="22"/>
          <w:szCs w:val="22"/>
        </w:rPr>
      </w:pPr>
    </w:p>
    <w:p w14:paraId="16749859" w14:textId="77777777" w:rsidR="009B2285" w:rsidRPr="00003419" w:rsidRDefault="00772DEA">
      <w:pPr>
        <w:pBdr>
          <w:top w:val="nil"/>
          <w:left w:val="nil"/>
          <w:bottom w:val="nil"/>
          <w:right w:val="nil"/>
          <w:between w:val="nil"/>
        </w:pBdr>
        <w:spacing w:line="276" w:lineRule="auto"/>
        <w:ind w:left="851" w:right="1134"/>
        <w:jc w:val="both"/>
        <w:rPr>
          <w:color w:val="000000"/>
          <w:sz w:val="22"/>
          <w:szCs w:val="22"/>
        </w:rPr>
      </w:pPr>
      <w:r w:rsidRPr="00003419">
        <w:rPr>
          <w:rFonts w:ascii="Palatino Linotype" w:eastAsia="Palatino Linotype" w:hAnsi="Palatino Linotype" w:cs="Palatino Linotype"/>
          <w:i/>
          <w:color w:val="000000"/>
          <w:sz w:val="22"/>
          <w:szCs w:val="22"/>
        </w:rPr>
        <w:t>“</w:t>
      </w:r>
      <w:r w:rsidRPr="00003419">
        <w:rPr>
          <w:rFonts w:ascii="Palatino Linotype" w:eastAsia="Palatino Linotype" w:hAnsi="Palatino Linotype" w:cs="Palatino Linotype"/>
          <w:b/>
          <w:i/>
          <w:color w:val="000000"/>
          <w:sz w:val="22"/>
          <w:szCs w:val="22"/>
        </w:rPr>
        <w:t>Cuentas bancarias y/o CLABE interbancaria de sujetos obligados que reciben y/o transfieren recursos públicos, son información pública.</w:t>
      </w:r>
      <w:r w:rsidRPr="00003419">
        <w:rPr>
          <w:rFonts w:ascii="Palatino Linotype" w:eastAsia="Palatino Linotype" w:hAnsi="Palatino Linotype" w:cs="Palatino Linotype"/>
          <w:i/>
          <w:color w:val="000000"/>
          <w:sz w:val="22"/>
          <w:szCs w:val="22"/>
        </w:rPr>
        <w:t xml:space="preserve"> La difusión de las cuentas bancarias y claves interbancarias pertenecientes a un sujeto obligado favorece la rendición de cuentas al transparentar la forma en </w:t>
      </w:r>
      <w:r w:rsidRPr="00003419">
        <w:rPr>
          <w:rFonts w:ascii="Palatino Linotype" w:eastAsia="Palatino Linotype" w:hAnsi="Palatino Linotype" w:cs="Palatino Linotype"/>
          <w:i/>
          <w:color w:val="000000"/>
          <w:sz w:val="22"/>
          <w:szCs w:val="22"/>
        </w:rPr>
        <w:lastRenderedPageBreak/>
        <w:t>que se administran los recursos públicos, razón por la cual no pueden considerarse como información clasificada. “</w:t>
      </w:r>
    </w:p>
    <w:p w14:paraId="12055644" w14:textId="77777777" w:rsidR="009B2285" w:rsidRPr="00003419" w:rsidRDefault="00772DEA">
      <w:pPr>
        <w:pBdr>
          <w:top w:val="nil"/>
          <w:left w:val="nil"/>
          <w:bottom w:val="nil"/>
          <w:right w:val="nil"/>
          <w:between w:val="nil"/>
        </w:pBdr>
        <w:spacing w:before="240" w:after="240" w:line="360" w:lineRule="auto"/>
        <w:ind w:right="50"/>
        <w:jc w:val="both"/>
        <w:rPr>
          <w:color w:val="000000"/>
          <w:sz w:val="22"/>
          <w:szCs w:val="22"/>
        </w:rPr>
      </w:pPr>
      <w:r w:rsidRPr="00003419">
        <w:rPr>
          <w:rFonts w:ascii="Palatino Linotype" w:eastAsia="Palatino Linotype" w:hAnsi="Palatino Linotype" w:cs="Palatino Linotype"/>
          <w:color w:val="000000"/>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1CB3090" w14:textId="77777777" w:rsidR="009B2285" w:rsidRPr="00003419" w:rsidRDefault="00772DEA">
      <w:pPr>
        <w:pBdr>
          <w:top w:val="nil"/>
          <w:left w:val="nil"/>
          <w:bottom w:val="nil"/>
          <w:right w:val="nil"/>
          <w:between w:val="nil"/>
        </w:pBdr>
        <w:spacing w:before="240" w:after="240" w:line="360" w:lineRule="auto"/>
        <w:ind w:right="50"/>
        <w:jc w:val="both"/>
        <w:rPr>
          <w:color w:val="000000"/>
          <w:sz w:val="22"/>
          <w:szCs w:val="22"/>
        </w:rPr>
      </w:pPr>
      <w:r w:rsidRPr="00003419">
        <w:rPr>
          <w:rFonts w:ascii="Palatino Linotype" w:eastAsia="Palatino Linotype" w:hAnsi="Palatino Linotype" w:cs="Palatino Linotype"/>
          <w:color w:val="000000"/>
          <w:sz w:val="22"/>
          <w:szCs w:val="22"/>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1B12F78E" w14:textId="77777777" w:rsidR="009B2285" w:rsidRPr="00003419" w:rsidRDefault="00772DEA">
      <w:pPr>
        <w:pBdr>
          <w:top w:val="nil"/>
          <w:left w:val="nil"/>
          <w:bottom w:val="nil"/>
          <w:right w:val="nil"/>
          <w:between w:val="nil"/>
        </w:pBdr>
        <w:spacing w:line="360" w:lineRule="auto"/>
        <w:jc w:val="both"/>
        <w:rPr>
          <w:color w:val="000000"/>
          <w:sz w:val="22"/>
          <w:szCs w:val="22"/>
        </w:rPr>
      </w:pPr>
      <w:r w:rsidRPr="00003419">
        <w:rPr>
          <w:rFonts w:ascii="Palatino Linotype" w:eastAsia="Palatino Linotype" w:hAnsi="Palatino Linotype" w:cs="Palatino Linotype"/>
          <w:color w:val="000000"/>
          <w:sz w:val="22"/>
          <w:szCs w:val="22"/>
        </w:rPr>
        <w:t xml:space="preserve">Al respecto, se destaca que la versión pública que elabore el </w:t>
      </w:r>
      <w:r w:rsidRPr="00003419">
        <w:rPr>
          <w:rFonts w:ascii="Palatino Linotype" w:eastAsia="Palatino Linotype" w:hAnsi="Palatino Linotype" w:cs="Palatino Linotype"/>
          <w:b/>
          <w:color w:val="000000"/>
          <w:sz w:val="22"/>
          <w:szCs w:val="22"/>
        </w:rPr>
        <w:t>Sujeto Obligado</w:t>
      </w:r>
      <w:r w:rsidRPr="00003419">
        <w:rPr>
          <w:rFonts w:ascii="Palatino Linotype" w:eastAsia="Palatino Linotype" w:hAnsi="Palatino Linotype" w:cs="Palatino Linotype"/>
          <w:color w:val="000000"/>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003419">
        <w:rPr>
          <w:rFonts w:ascii="Palatino Linotype" w:eastAsia="Palatino Linotype" w:hAnsi="Palatino Linotype" w:cs="Palatino Linotype"/>
          <w:b/>
          <w:color w:val="000000"/>
          <w:sz w:val="22"/>
          <w:szCs w:val="22"/>
        </w:rPr>
        <w:t>LINEAMIENTOS GENERALES EN MATERIA DE CLASIFICACIÓN Y DESCLASIFICACIÓN DE LA INFORMACIÓN, ASÍ COMO PARA LA ELABORACIÓN DE VERSIONES PÚBLICAS</w:t>
      </w:r>
      <w:r w:rsidRPr="00003419">
        <w:rPr>
          <w:rFonts w:ascii="Palatino Linotype" w:eastAsia="Palatino Linotype" w:hAnsi="Palatino Linotype" w:cs="Palatino Linotype"/>
          <w:color w:val="000000"/>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41AFC426" w14:textId="77777777" w:rsidR="009B2285" w:rsidRPr="00003419" w:rsidRDefault="009B2285">
      <w:pPr>
        <w:spacing w:line="360" w:lineRule="auto"/>
        <w:jc w:val="both"/>
        <w:rPr>
          <w:sz w:val="22"/>
          <w:szCs w:val="22"/>
        </w:rPr>
      </w:pPr>
    </w:p>
    <w:p w14:paraId="0F04BD2D"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43DA12E2"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w:t>
      </w:r>
      <w:proofErr w:type="gramStart"/>
      <w:r w:rsidRPr="00003419">
        <w:rPr>
          <w:rFonts w:ascii="Palatino Linotype" w:eastAsia="Palatino Linotype" w:hAnsi="Palatino Linotype" w:cs="Palatino Linotype"/>
          <w:b/>
          <w:i/>
          <w:color w:val="000000"/>
          <w:sz w:val="22"/>
          <w:szCs w:val="22"/>
        </w:rPr>
        <w:t>Segundo.-</w:t>
      </w:r>
      <w:proofErr w:type="gramEnd"/>
      <w:r w:rsidRPr="00003419">
        <w:rPr>
          <w:rFonts w:ascii="Palatino Linotype" w:eastAsia="Palatino Linotype" w:hAnsi="Palatino Linotype" w:cs="Palatino Linotype"/>
          <w:i/>
          <w:color w:val="000000"/>
          <w:sz w:val="22"/>
          <w:szCs w:val="22"/>
        </w:rPr>
        <w:t xml:space="preserve"> Para efectos de los presentes Lineamientos Generales, se entenderá por:</w:t>
      </w:r>
    </w:p>
    <w:p w14:paraId="20133009"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XVIII.</w:t>
      </w:r>
      <w:r w:rsidRPr="00003419">
        <w:rPr>
          <w:rFonts w:ascii="Palatino Linotype" w:eastAsia="Palatino Linotype" w:hAnsi="Palatino Linotype" w:cs="Palatino Linotype"/>
          <w:i/>
          <w:color w:val="000000"/>
          <w:sz w:val="22"/>
          <w:szCs w:val="22"/>
        </w:rPr>
        <w:t xml:space="preserve"> </w:t>
      </w:r>
      <w:r w:rsidRPr="00003419">
        <w:rPr>
          <w:rFonts w:ascii="Palatino Linotype" w:eastAsia="Palatino Linotype" w:hAnsi="Palatino Linotype" w:cs="Palatino Linotype"/>
          <w:b/>
          <w:i/>
          <w:color w:val="000000"/>
          <w:sz w:val="22"/>
          <w:szCs w:val="22"/>
        </w:rPr>
        <w:t>Versión pública:</w:t>
      </w:r>
      <w:r w:rsidRPr="00003419">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003419">
        <w:rPr>
          <w:rFonts w:ascii="Palatino Linotype" w:eastAsia="Palatino Linotype" w:hAnsi="Palatino Linotype" w:cs="Palatino Linotype"/>
          <w:b/>
          <w:i/>
          <w:color w:val="000000"/>
          <w:sz w:val="22"/>
          <w:szCs w:val="22"/>
          <w:u w:val="single"/>
        </w:rPr>
        <w:t>fundando y motivando la</w:t>
      </w:r>
      <w:r w:rsidRPr="00003419">
        <w:rPr>
          <w:rFonts w:ascii="Palatino Linotype" w:eastAsia="Palatino Linotype" w:hAnsi="Palatino Linotype" w:cs="Palatino Linotype"/>
          <w:i/>
          <w:color w:val="000000"/>
          <w:sz w:val="22"/>
          <w:szCs w:val="22"/>
        </w:rPr>
        <w:t xml:space="preserve"> reserva o </w:t>
      </w:r>
      <w:r w:rsidRPr="00003419">
        <w:rPr>
          <w:rFonts w:ascii="Palatino Linotype" w:eastAsia="Palatino Linotype" w:hAnsi="Palatino Linotype" w:cs="Palatino Linotype"/>
          <w:b/>
          <w:i/>
          <w:color w:val="000000"/>
          <w:sz w:val="22"/>
          <w:szCs w:val="22"/>
          <w:u w:val="single"/>
        </w:rPr>
        <w:t>confidencialidad</w:t>
      </w:r>
      <w:r w:rsidRPr="00003419">
        <w:rPr>
          <w:rFonts w:ascii="Palatino Linotype" w:eastAsia="Palatino Linotype" w:hAnsi="Palatino Linotype" w:cs="Palatino Linotype"/>
          <w:i/>
          <w:color w:val="000000"/>
          <w:sz w:val="22"/>
          <w:szCs w:val="22"/>
        </w:rPr>
        <w:t>, a través de la resolución que para tal efecto emita el Comité de Transparencia.</w:t>
      </w:r>
    </w:p>
    <w:p w14:paraId="1B268B22"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Cuarto.</w:t>
      </w:r>
      <w:r w:rsidRPr="00003419">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0B4643B"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1375ECD9"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Quinto.</w:t>
      </w:r>
      <w:r w:rsidRPr="00003419">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E0C0A43"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w:t>
      </w:r>
    </w:p>
    <w:p w14:paraId="1EF2867B"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Séptimo.</w:t>
      </w:r>
      <w:r w:rsidRPr="00003419">
        <w:rPr>
          <w:rFonts w:ascii="Palatino Linotype" w:eastAsia="Palatino Linotype" w:hAnsi="Palatino Linotype" w:cs="Palatino Linotype"/>
          <w:i/>
          <w:color w:val="000000"/>
          <w:sz w:val="22"/>
          <w:szCs w:val="22"/>
        </w:rPr>
        <w:t xml:space="preserve"> La clasificación de la información se llevará a cabo en el momento en que:</w:t>
      </w:r>
    </w:p>
    <w:p w14:paraId="591DE3DD"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I.</w:t>
      </w:r>
      <w:r w:rsidRPr="00003419">
        <w:rPr>
          <w:rFonts w:ascii="Palatino Linotype" w:eastAsia="Palatino Linotype" w:hAnsi="Palatino Linotype" w:cs="Palatino Linotype"/>
          <w:i/>
          <w:color w:val="000000"/>
          <w:sz w:val="22"/>
          <w:szCs w:val="22"/>
        </w:rPr>
        <w:t xml:space="preserve"> Se reciba una solicitud de acceso a la información;</w:t>
      </w:r>
    </w:p>
    <w:p w14:paraId="6ABB848D"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II.</w:t>
      </w:r>
      <w:r w:rsidRPr="00003419">
        <w:rPr>
          <w:rFonts w:ascii="Palatino Linotype" w:eastAsia="Palatino Linotype" w:hAnsi="Palatino Linotype" w:cs="Palatino Linotype"/>
          <w:i/>
          <w:color w:val="000000"/>
          <w:sz w:val="22"/>
          <w:szCs w:val="22"/>
        </w:rPr>
        <w:t xml:space="preserve"> </w:t>
      </w:r>
      <w:proofErr w:type="gramStart"/>
      <w:r w:rsidRPr="00003419">
        <w:rPr>
          <w:rFonts w:ascii="Palatino Linotype" w:eastAsia="Palatino Linotype" w:hAnsi="Palatino Linotype" w:cs="Palatino Linotype"/>
          <w:i/>
          <w:color w:val="000000"/>
          <w:sz w:val="22"/>
          <w:szCs w:val="22"/>
        </w:rPr>
        <w:t>Se  determine</w:t>
      </w:r>
      <w:proofErr w:type="gramEnd"/>
      <w:r w:rsidRPr="00003419">
        <w:rPr>
          <w:rFonts w:ascii="Palatino Linotype" w:eastAsia="Palatino Linotype" w:hAnsi="Palatino Linotype" w:cs="Palatino Linotype"/>
          <w:i/>
          <w:color w:val="000000"/>
          <w:sz w:val="22"/>
          <w:szCs w:val="22"/>
        </w:rPr>
        <w:t xml:space="preserve"> mediante resolución del Comité de Transparencia, el órgano garante </w:t>
      </w:r>
    </w:p>
    <w:p w14:paraId="36D90B4F"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competente, o en cumplimiento a una sentencia del Poder Judicial; o</w:t>
      </w:r>
    </w:p>
    <w:p w14:paraId="3F93B9BB"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III.</w:t>
      </w:r>
      <w:r w:rsidRPr="00003419">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21490138"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08C0835C"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Octavo.</w:t>
      </w:r>
      <w:r w:rsidRPr="00003419">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C7C14DF"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1F398E8C"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E1E5B09"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Noveno.</w:t>
      </w:r>
      <w:r w:rsidRPr="00003419">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D9761BA"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Décimo.</w:t>
      </w:r>
      <w:r w:rsidRPr="00003419">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38D0757"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345F8EAA"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Décimo primero.</w:t>
      </w:r>
      <w:r w:rsidRPr="00003419">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0F0E57A" w14:textId="77777777" w:rsidR="009B2285" w:rsidRPr="00003419" w:rsidRDefault="009B2285">
      <w:pPr>
        <w:spacing w:line="276" w:lineRule="auto"/>
        <w:jc w:val="both"/>
        <w:rPr>
          <w:sz w:val="22"/>
          <w:szCs w:val="22"/>
        </w:rPr>
      </w:pPr>
    </w:p>
    <w:p w14:paraId="44A04B5E"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w:t>
      </w:r>
    </w:p>
    <w:p w14:paraId="54782B04" w14:textId="77777777" w:rsidR="009B2285" w:rsidRPr="00003419" w:rsidRDefault="00772DEA">
      <w:pPr>
        <w:pBdr>
          <w:top w:val="nil"/>
          <w:left w:val="nil"/>
          <w:bottom w:val="nil"/>
          <w:right w:val="nil"/>
          <w:between w:val="nil"/>
        </w:pBdr>
        <w:spacing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CAPÍTULO VIII</w:t>
      </w:r>
    </w:p>
    <w:p w14:paraId="21171870"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lastRenderedPageBreak/>
        <w:t>DE LOS ELEMENTOS PARA LA CLASIFICACIÓN</w:t>
      </w:r>
    </w:p>
    <w:p w14:paraId="0E114E51"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Quincuagésimo</w:t>
      </w:r>
      <w:r w:rsidRPr="00003419">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48F633CB"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Quincuagésimo primero</w:t>
      </w:r>
      <w:r w:rsidRPr="00003419">
        <w:rPr>
          <w:rFonts w:ascii="Palatino Linotype" w:eastAsia="Palatino Linotype" w:hAnsi="Palatino Linotype" w:cs="Palatino Linotype"/>
          <w:i/>
          <w:color w:val="000000"/>
          <w:sz w:val="22"/>
          <w:szCs w:val="22"/>
        </w:rPr>
        <w:t>. Toda acta del Comité de Transparencia deberá contener:</w:t>
      </w:r>
    </w:p>
    <w:p w14:paraId="282DDFB2"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I. El número de sesión y fecha; </w:t>
      </w:r>
    </w:p>
    <w:p w14:paraId="02EB6731"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II. El nombre del área que solicitó la clasificación de información;</w:t>
      </w:r>
    </w:p>
    <w:p w14:paraId="1BE266C5"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III. La fundamentación legal y motivación correspondiente;</w:t>
      </w:r>
    </w:p>
    <w:p w14:paraId="578D4E3D"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IV. La resolución o resoluciones aprobadas; y</w:t>
      </w:r>
    </w:p>
    <w:p w14:paraId="62FF4D41"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V. La rúbrica o firma digital de cada integrante del Comité de Transparencia. </w:t>
      </w:r>
    </w:p>
    <w:p w14:paraId="7743A14F"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789046B6"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51F5AD6D"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II. Descripción de las partes o secciones reservadas, en caso de clasificación parcial;</w:t>
      </w:r>
    </w:p>
    <w:p w14:paraId="590B0B6F"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III. El periodo por el que mantendrá su clasificación y fecha de expiración; y</w:t>
      </w:r>
    </w:p>
    <w:p w14:paraId="17C27D30"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IV. El nombre del titular y área encargada de realizar la versión pública del documento, en su caso.</w:t>
      </w:r>
    </w:p>
    <w:p w14:paraId="1B496871"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En los casos en que se clasifique la información como reservada siempre se entregará o anexará la prueba de daño con la respuesta al solicitante. </w:t>
      </w:r>
    </w:p>
    <w:p w14:paraId="6A386DE5"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1DCE8E6"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b/>
          <w:i/>
          <w:color w:val="000000"/>
          <w:sz w:val="22"/>
          <w:szCs w:val="22"/>
        </w:rPr>
        <w:t>Quincuagésimo segundo</w:t>
      </w:r>
      <w:r w:rsidRPr="00003419">
        <w:rPr>
          <w:rFonts w:ascii="Palatino Linotype" w:eastAsia="Palatino Linotype" w:hAnsi="Palatino Linotype" w:cs="Palatino Linotype"/>
          <w:i/>
          <w:color w:val="000000"/>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w:t>
      </w:r>
      <w:r w:rsidRPr="00003419">
        <w:rPr>
          <w:rFonts w:ascii="Palatino Linotype" w:eastAsia="Palatino Linotype" w:hAnsi="Palatino Linotype" w:cs="Palatino Linotype"/>
          <w:i/>
          <w:color w:val="000000"/>
          <w:sz w:val="22"/>
          <w:szCs w:val="22"/>
        </w:rPr>
        <w:lastRenderedPageBreak/>
        <w:t>asegurar que el espacio utilizado para testar la información no podrá ser empleado para la sobreposición de contenido distinto al autorizado por el Comité.</w:t>
      </w:r>
    </w:p>
    <w:p w14:paraId="62DF78F3"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322FE15D"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14:paraId="71E57384"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0A8D7AC7" w14:textId="77777777" w:rsidR="009B2285" w:rsidRPr="00003419" w:rsidRDefault="00772DEA">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i/>
          <w:color w:val="000000"/>
          <w:sz w:val="22"/>
          <w:szCs w:val="22"/>
        </w:rPr>
      </w:pPr>
      <w:r w:rsidRPr="00003419">
        <w:rPr>
          <w:rFonts w:ascii="Palatino Linotype" w:eastAsia="Palatino Linotype" w:hAnsi="Palatino Linotype" w:cs="Palatino Linotype"/>
          <w:i/>
          <w:color w:val="000000"/>
          <w:sz w:val="22"/>
          <w:szCs w:val="22"/>
        </w:rPr>
        <w:t>III. Señalar las personas o instancias autorizadas a acceder a la información clasificada.</w:t>
      </w:r>
    </w:p>
    <w:p w14:paraId="70ABE674"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w:t>
      </w:r>
    </w:p>
    <w:p w14:paraId="0DB4D8E5"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DF17A44" w14:textId="77777777" w:rsidR="009B2285" w:rsidRPr="00003419" w:rsidRDefault="00772DEA">
      <w:pPr>
        <w:pBdr>
          <w:top w:val="nil"/>
          <w:left w:val="nil"/>
          <w:bottom w:val="nil"/>
          <w:right w:val="nil"/>
          <w:between w:val="nil"/>
        </w:pBdr>
        <w:spacing w:after="160" w:line="276" w:lineRule="auto"/>
        <w:ind w:left="709" w:right="709"/>
        <w:jc w:val="both"/>
        <w:rPr>
          <w:color w:val="000000"/>
          <w:sz w:val="22"/>
          <w:szCs w:val="22"/>
        </w:rPr>
      </w:pPr>
      <w:r w:rsidRPr="00003419">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003419">
        <w:rPr>
          <w:rFonts w:ascii="Palatino Linotype" w:eastAsia="Palatino Linotype" w:hAnsi="Palatino Linotype" w:cs="Palatino Linotype"/>
          <w:i/>
          <w:color w:val="000000"/>
          <w:sz w:val="22"/>
          <w:szCs w:val="22"/>
        </w:rPr>
        <w:t>testado</w:t>
      </w:r>
      <w:proofErr w:type="spellEnd"/>
      <w:r w:rsidRPr="00003419">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63EC81EE" w14:textId="77777777" w:rsidR="009B2285" w:rsidRPr="00003419" w:rsidRDefault="009B2285">
      <w:pPr>
        <w:spacing w:line="360" w:lineRule="auto"/>
        <w:jc w:val="both"/>
        <w:rPr>
          <w:sz w:val="22"/>
          <w:szCs w:val="22"/>
        </w:rPr>
      </w:pPr>
    </w:p>
    <w:p w14:paraId="034171CA" w14:textId="77777777" w:rsidR="009B2285" w:rsidRPr="00003419" w:rsidRDefault="00772DEA">
      <w:pPr>
        <w:pBdr>
          <w:top w:val="nil"/>
          <w:left w:val="nil"/>
          <w:bottom w:val="nil"/>
          <w:right w:val="nil"/>
          <w:between w:val="nil"/>
        </w:pBdr>
        <w:spacing w:line="360" w:lineRule="auto"/>
        <w:jc w:val="both"/>
        <w:rPr>
          <w:color w:val="000000"/>
          <w:sz w:val="22"/>
          <w:szCs w:val="22"/>
        </w:rPr>
      </w:pPr>
      <w:r w:rsidRPr="00003419">
        <w:rPr>
          <w:rFonts w:ascii="Palatino Linotype" w:eastAsia="Palatino Linotype" w:hAnsi="Palatino Linotype" w:cs="Palatino Linotype"/>
          <w:color w:val="000000"/>
          <w:sz w:val="22"/>
          <w:szCs w:val="22"/>
        </w:rPr>
        <w:t>Efectivamente, cuando se clasifica información como confidencial es importante someterlo al Comité de Transparencia, quien debe confirmar, modificar o revocar la clasificación.</w:t>
      </w:r>
    </w:p>
    <w:p w14:paraId="00B6FC32" w14:textId="77777777" w:rsidR="009B2285" w:rsidRPr="00003419" w:rsidRDefault="009B2285">
      <w:pPr>
        <w:spacing w:line="360" w:lineRule="auto"/>
        <w:jc w:val="both"/>
        <w:rPr>
          <w:sz w:val="22"/>
          <w:szCs w:val="22"/>
        </w:rPr>
      </w:pPr>
    </w:p>
    <w:p w14:paraId="06F5CB48" w14:textId="77777777" w:rsidR="009B2285" w:rsidRPr="00003419" w:rsidRDefault="00772DEA">
      <w:pPr>
        <w:pBdr>
          <w:top w:val="nil"/>
          <w:left w:val="nil"/>
          <w:bottom w:val="nil"/>
          <w:right w:val="nil"/>
          <w:between w:val="nil"/>
        </w:pBdr>
        <w:shd w:val="clear" w:color="auto" w:fill="FFFFFF"/>
        <w:spacing w:line="360" w:lineRule="auto"/>
        <w:ind w:right="51"/>
        <w:jc w:val="both"/>
        <w:rPr>
          <w:color w:val="000000"/>
          <w:sz w:val="22"/>
          <w:szCs w:val="22"/>
        </w:rPr>
      </w:pPr>
      <w:r w:rsidRPr="00003419">
        <w:rPr>
          <w:rFonts w:ascii="Palatino Linotype" w:eastAsia="Palatino Linotype" w:hAnsi="Palatino Linotype" w:cs="Palatino Linotype"/>
          <w:color w:val="000000"/>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w:t>
      </w:r>
      <w:r w:rsidRPr="00003419">
        <w:rPr>
          <w:rFonts w:ascii="Palatino Linotype" w:eastAsia="Palatino Linotype" w:hAnsi="Palatino Linotype" w:cs="Palatino Linotype"/>
          <w:color w:val="000000"/>
          <w:sz w:val="22"/>
          <w:szCs w:val="22"/>
        </w:rPr>
        <w:lastRenderedPageBreak/>
        <w:t xml:space="preserve">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003419">
        <w:rPr>
          <w:rFonts w:ascii="Palatino Linotype" w:eastAsia="Palatino Linotype" w:hAnsi="Palatino Linotype" w:cs="Palatino Linotype"/>
          <w:b/>
          <w:color w:val="000000"/>
          <w:sz w:val="22"/>
          <w:szCs w:val="22"/>
        </w:rPr>
        <w:t>la parte</w:t>
      </w:r>
      <w:r w:rsidRPr="00003419">
        <w:rPr>
          <w:rFonts w:ascii="Palatino Linotype" w:eastAsia="Palatino Linotype" w:hAnsi="Palatino Linotype" w:cs="Palatino Linotype"/>
          <w:color w:val="000000"/>
          <w:sz w:val="22"/>
          <w:szCs w:val="22"/>
        </w:rPr>
        <w:t xml:space="preserve"> </w:t>
      </w:r>
      <w:r w:rsidRPr="00003419">
        <w:rPr>
          <w:rFonts w:ascii="Palatino Linotype" w:eastAsia="Palatino Linotype" w:hAnsi="Palatino Linotype" w:cs="Palatino Linotype"/>
          <w:b/>
          <w:color w:val="000000"/>
          <w:sz w:val="22"/>
          <w:szCs w:val="22"/>
        </w:rPr>
        <w:t>Recurrente</w:t>
      </w:r>
      <w:r w:rsidRPr="00003419">
        <w:rPr>
          <w:rFonts w:ascii="Palatino Linotype" w:eastAsia="Palatino Linotype" w:hAnsi="Palatino Linotype" w:cs="Palatino Linotype"/>
          <w:color w:val="000000"/>
          <w:sz w:val="22"/>
          <w:szCs w:val="22"/>
        </w:rPr>
        <w:t>.</w:t>
      </w:r>
    </w:p>
    <w:p w14:paraId="1E844DB6" w14:textId="77777777" w:rsidR="009B2285" w:rsidRPr="00003419" w:rsidRDefault="00772DEA">
      <w:pPr>
        <w:spacing w:before="8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sz w:val="22"/>
          <w:szCs w:val="22"/>
        </w:rPr>
        <w:t>Así, con fundamento en lo prescrito en los</w:t>
      </w:r>
      <w:r w:rsidRPr="00003419">
        <w:rPr>
          <w:sz w:val="22"/>
          <w:szCs w:val="22"/>
        </w:rPr>
        <w:t xml:space="preserve"> </w:t>
      </w:r>
      <w:r w:rsidRPr="00003419">
        <w:rPr>
          <w:rFonts w:ascii="Palatino Linotype" w:eastAsia="Palatino Linotype" w:hAnsi="Palatino Linotype" w:cs="Palatino Linotype"/>
          <w:sz w:val="22"/>
          <w:szCs w:val="22"/>
        </w:rPr>
        <w:t xml:space="preserve">artículos 5 párrafos </w:t>
      </w:r>
      <w:r w:rsidRPr="00003419">
        <w:rPr>
          <w:rFonts w:ascii="Palatino Linotype" w:eastAsia="Palatino Linotype" w:hAnsi="Palatino Linotype" w:cs="Palatino Linotype"/>
          <w:color w:val="000000"/>
          <w:sz w:val="22"/>
          <w:szCs w:val="22"/>
        </w:rPr>
        <w:t xml:space="preserve">trigésimo </w:t>
      </w:r>
      <w:r w:rsidRPr="00003419">
        <w:rPr>
          <w:rFonts w:ascii="Palatino Linotype" w:eastAsia="Palatino Linotype" w:hAnsi="Palatino Linotype" w:cs="Palatino Linotype"/>
          <w:sz w:val="22"/>
          <w:szCs w:val="22"/>
        </w:rPr>
        <w:t>séptimo</w:t>
      </w:r>
      <w:r w:rsidRPr="00003419">
        <w:rPr>
          <w:rFonts w:ascii="Palatino Linotype" w:eastAsia="Palatino Linotype" w:hAnsi="Palatino Linotype" w:cs="Palatino Linotype"/>
          <w:color w:val="000000"/>
          <w:sz w:val="22"/>
          <w:szCs w:val="22"/>
        </w:rPr>
        <w:t xml:space="preserve">, trigésimo </w:t>
      </w:r>
      <w:r w:rsidRPr="00003419">
        <w:rPr>
          <w:rFonts w:ascii="Palatino Linotype" w:eastAsia="Palatino Linotype" w:hAnsi="Palatino Linotype" w:cs="Palatino Linotype"/>
          <w:sz w:val="22"/>
          <w:szCs w:val="22"/>
        </w:rPr>
        <w:t>octav</w:t>
      </w:r>
      <w:r w:rsidRPr="00003419">
        <w:rPr>
          <w:rFonts w:ascii="Palatino Linotype" w:eastAsia="Palatino Linotype" w:hAnsi="Palatino Linotype" w:cs="Palatino Linotype"/>
          <w:color w:val="000000"/>
          <w:sz w:val="22"/>
          <w:szCs w:val="22"/>
        </w:rPr>
        <w:t xml:space="preserve">o y trigésimo </w:t>
      </w:r>
      <w:r w:rsidRPr="00003419">
        <w:rPr>
          <w:rFonts w:ascii="Palatino Linotype" w:eastAsia="Palatino Linotype" w:hAnsi="Palatino Linotype" w:cs="Palatino Linotype"/>
          <w:sz w:val="22"/>
          <w:szCs w:val="22"/>
        </w:rPr>
        <w:t>noven</w:t>
      </w:r>
      <w:r w:rsidRPr="00003419">
        <w:rPr>
          <w:rFonts w:ascii="Palatino Linotype" w:eastAsia="Palatino Linotype" w:hAnsi="Palatino Linotype" w:cs="Palatino Linotype"/>
          <w:color w:val="000000"/>
          <w:sz w:val="22"/>
          <w:szCs w:val="22"/>
        </w:rPr>
        <w:t>o,</w:t>
      </w:r>
      <w:r w:rsidRPr="00003419">
        <w:rPr>
          <w:rFonts w:ascii="Palatino Linotype" w:eastAsia="Palatino Linotype" w:hAnsi="Palatino Linotype" w:cs="Palatino Linotype"/>
          <w:color w:val="FF0000"/>
          <w:sz w:val="22"/>
          <w:szCs w:val="22"/>
        </w:rPr>
        <w:t xml:space="preserve"> </w:t>
      </w:r>
      <w:r w:rsidRPr="00003419">
        <w:rPr>
          <w:rFonts w:ascii="Palatino Linotype" w:eastAsia="Palatino Linotype" w:hAnsi="Palatino Linotype" w:cs="Palatino Linotype"/>
          <w:sz w:val="22"/>
          <w:szCs w:val="22"/>
        </w:rPr>
        <w:t>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4A60D8C" w14:textId="77777777" w:rsidR="009B2285" w:rsidRPr="00003419" w:rsidRDefault="00772DEA">
      <w:pPr>
        <w:spacing w:line="259" w:lineRule="auto"/>
        <w:ind w:left="-142" w:right="49"/>
        <w:jc w:val="center"/>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R E S U E L V E:</w:t>
      </w:r>
    </w:p>
    <w:p w14:paraId="01629C63"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sz w:val="22"/>
          <w:szCs w:val="22"/>
        </w:rPr>
        <w:t xml:space="preserve">Primero. </w:t>
      </w:r>
      <w:r w:rsidRPr="00003419">
        <w:rPr>
          <w:rFonts w:ascii="Palatino Linotype" w:eastAsia="Palatino Linotype" w:hAnsi="Palatino Linotype" w:cs="Palatino Linotype"/>
          <w:sz w:val="22"/>
          <w:szCs w:val="22"/>
        </w:rPr>
        <w:t xml:space="preserve">Resultan </w:t>
      </w:r>
      <w:r w:rsidRPr="00003419">
        <w:rPr>
          <w:rFonts w:ascii="Palatino Linotype" w:eastAsia="Palatino Linotype" w:hAnsi="Palatino Linotype" w:cs="Palatino Linotype"/>
          <w:b/>
          <w:sz w:val="22"/>
          <w:szCs w:val="22"/>
        </w:rPr>
        <w:t>fundadas</w:t>
      </w:r>
      <w:r w:rsidRPr="00003419">
        <w:rPr>
          <w:rFonts w:ascii="Palatino Linotype" w:eastAsia="Palatino Linotype" w:hAnsi="Palatino Linotype" w:cs="Palatino Linotype"/>
          <w:sz w:val="22"/>
          <w:szCs w:val="22"/>
        </w:rPr>
        <w:t xml:space="preserve"> las razones o motivos de inconformidad hechos valer por </w:t>
      </w:r>
      <w:r w:rsidRPr="00003419">
        <w:rPr>
          <w:rFonts w:ascii="Palatino Linotype" w:eastAsia="Palatino Linotype" w:hAnsi="Palatino Linotype" w:cs="Palatino Linotype"/>
          <w:b/>
          <w:sz w:val="22"/>
          <w:szCs w:val="22"/>
        </w:rPr>
        <w:t>la parte Recurrente</w:t>
      </w:r>
      <w:r w:rsidRPr="00003419">
        <w:rPr>
          <w:rFonts w:ascii="Palatino Linotype" w:eastAsia="Palatino Linotype" w:hAnsi="Palatino Linotype" w:cs="Palatino Linotype"/>
          <w:sz w:val="22"/>
          <w:szCs w:val="22"/>
        </w:rPr>
        <w:t xml:space="preserve"> en el recurso de revisión </w:t>
      </w:r>
      <w:r w:rsidRPr="00003419">
        <w:rPr>
          <w:rFonts w:ascii="Palatino Linotype" w:eastAsia="Palatino Linotype" w:hAnsi="Palatino Linotype" w:cs="Palatino Linotype"/>
          <w:b/>
          <w:sz w:val="22"/>
          <w:szCs w:val="22"/>
        </w:rPr>
        <w:t>01694/INFOEM/IP/RR/2025</w:t>
      </w:r>
      <w:r w:rsidRPr="00003419">
        <w:rPr>
          <w:rFonts w:ascii="Palatino Linotype" w:eastAsia="Palatino Linotype" w:hAnsi="Palatino Linotype" w:cs="Palatino Linotype"/>
          <w:sz w:val="22"/>
          <w:szCs w:val="22"/>
        </w:rPr>
        <w:t xml:space="preserve">; por lo que, en términos del </w:t>
      </w:r>
      <w:r w:rsidRPr="00003419">
        <w:rPr>
          <w:rFonts w:ascii="Palatino Linotype" w:eastAsia="Palatino Linotype" w:hAnsi="Palatino Linotype" w:cs="Palatino Linotype"/>
          <w:b/>
          <w:sz w:val="22"/>
          <w:szCs w:val="22"/>
        </w:rPr>
        <w:t>Considerando</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sz w:val="22"/>
          <w:szCs w:val="22"/>
        </w:rPr>
        <w:t xml:space="preserve">Cuarto </w:t>
      </w:r>
      <w:r w:rsidRPr="00003419">
        <w:rPr>
          <w:rFonts w:ascii="Palatino Linotype" w:eastAsia="Palatino Linotype" w:hAnsi="Palatino Linotype" w:cs="Palatino Linotype"/>
          <w:sz w:val="22"/>
          <w:szCs w:val="22"/>
        </w:rPr>
        <w:t xml:space="preserve">de esta resolución, se </w:t>
      </w:r>
      <w:r w:rsidRPr="00003419">
        <w:rPr>
          <w:rFonts w:ascii="Palatino Linotype" w:eastAsia="Palatino Linotype" w:hAnsi="Palatino Linotype" w:cs="Palatino Linotype"/>
          <w:b/>
          <w:sz w:val="22"/>
          <w:szCs w:val="22"/>
        </w:rPr>
        <w:t xml:space="preserve">MODIFICA </w:t>
      </w:r>
      <w:r w:rsidRPr="00003419">
        <w:rPr>
          <w:rFonts w:ascii="Palatino Linotype" w:eastAsia="Palatino Linotype" w:hAnsi="Palatino Linotype" w:cs="Palatino Linotype"/>
          <w:sz w:val="22"/>
          <w:szCs w:val="22"/>
        </w:rPr>
        <w:t xml:space="preserve">la respuesta emitida por el </w:t>
      </w:r>
      <w:r w:rsidRPr="00003419">
        <w:rPr>
          <w:rFonts w:ascii="Palatino Linotype" w:eastAsia="Palatino Linotype" w:hAnsi="Palatino Linotype" w:cs="Palatino Linotype"/>
          <w:b/>
          <w:sz w:val="22"/>
          <w:szCs w:val="22"/>
        </w:rPr>
        <w:t xml:space="preserve">Sujeto Obligado. </w:t>
      </w:r>
    </w:p>
    <w:p w14:paraId="3F16445A" w14:textId="77777777" w:rsidR="009B2285" w:rsidRPr="00003419" w:rsidRDefault="00772DEA">
      <w:pPr>
        <w:spacing w:before="240" w:after="240" w:line="360" w:lineRule="auto"/>
        <w:ind w:right="49"/>
        <w:jc w:val="both"/>
        <w:rPr>
          <w:rFonts w:ascii="Palatino Linotype" w:eastAsia="Palatino Linotype" w:hAnsi="Palatino Linotype" w:cs="Palatino Linotype"/>
          <w:b/>
          <w:sz w:val="22"/>
          <w:szCs w:val="22"/>
        </w:rPr>
      </w:pPr>
      <w:r w:rsidRPr="00003419">
        <w:rPr>
          <w:rFonts w:ascii="Palatino Linotype" w:eastAsia="Palatino Linotype" w:hAnsi="Palatino Linotype" w:cs="Palatino Linotype"/>
          <w:b/>
          <w:sz w:val="22"/>
          <w:szCs w:val="22"/>
        </w:rPr>
        <w:t xml:space="preserve">Segundo. </w:t>
      </w:r>
      <w:r w:rsidRPr="00003419">
        <w:rPr>
          <w:rFonts w:ascii="Palatino Linotype" w:eastAsia="Palatino Linotype" w:hAnsi="Palatino Linotype" w:cs="Palatino Linotype"/>
          <w:sz w:val="22"/>
          <w:szCs w:val="22"/>
        </w:rPr>
        <w:t xml:space="preserve">Se </w:t>
      </w:r>
      <w:r w:rsidRPr="00003419">
        <w:rPr>
          <w:rFonts w:ascii="Palatino Linotype" w:eastAsia="Palatino Linotype" w:hAnsi="Palatino Linotype" w:cs="Palatino Linotype"/>
          <w:b/>
          <w:sz w:val="22"/>
          <w:szCs w:val="22"/>
        </w:rPr>
        <w:t xml:space="preserve">Ordena </w:t>
      </w:r>
      <w:r w:rsidRPr="00003419">
        <w:rPr>
          <w:rFonts w:ascii="Palatino Linotype" w:eastAsia="Palatino Linotype" w:hAnsi="Palatino Linotype" w:cs="Palatino Linotype"/>
          <w:sz w:val="22"/>
          <w:szCs w:val="22"/>
        </w:rPr>
        <w:t xml:space="preserve">al </w:t>
      </w:r>
      <w:r w:rsidRPr="00003419">
        <w:rPr>
          <w:rFonts w:ascii="Palatino Linotype" w:eastAsia="Palatino Linotype" w:hAnsi="Palatino Linotype" w:cs="Palatino Linotype"/>
          <w:b/>
          <w:sz w:val="22"/>
          <w:szCs w:val="22"/>
        </w:rPr>
        <w:t>Sujeto Obligado</w:t>
      </w:r>
      <w:r w:rsidRPr="00003419">
        <w:rPr>
          <w:rFonts w:ascii="Palatino Linotype" w:eastAsia="Palatino Linotype" w:hAnsi="Palatino Linotype" w:cs="Palatino Linotype"/>
          <w:sz w:val="22"/>
          <w:szCs w:val="22"/>
        </w:rPr>
        <w:t xml:space="preserve"> haga entrega, </w:t>
      </w:r>
      <w:r w:rsidRPr="00003419">
        <w:rPr>
          <w:rFonts w:ascii="Palatino Linotype" w:eastAsia="Palatino Linotype" w:hAnsi="Palatino Linotype" w:cs="Palatino Linotype"/>
          <w:b/>
          <w:sz w:val="22"/>
          <w:szCs w:val="22"/>
        </w:rPr>
        <w:t>previa búsqueda exhaustiva y razonable,</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color w:val="000000"/>
          <w:sz w:val="22"/>
          <w:szCs w:val="22"/>
        </w:rPr>
        <w:t xml:space="preserve">de ser procedente </w:t>
      </w:r>
      <w:r w:rsidRPr="00003419">
        <w:rPr>
          <w:rFonts w:ascii="Palatino Linotype" w:eastAsia="Palatino Linotype" w:hAnsi="Palatino Linotype" w:cs="Palatino Linotype"/>
          <w:b/>
          <w:sz w:val="22"/>
          <w:szCs w:val="22"/>
        </w:rPr>
        <w:t>en</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sz w:val="22"/>
          <w:szCs w:val="22"/>
        </w:rPr>
        <w:t>versión pública</w:t>
      </w:r>
      <w:r w:rsidRPr="00003419">
        <w:rPr>
          <w:rFonts w:ascii="Palatino Linotype" w:eastAsia="Palatino Linotype" w:hAnsi="Palatino Linotype" w:cs="Palatino Linotype"/>
          <w:sz w:val="22"/>
          <w:szCs w:val="22"/>
        </w:rPr>
        <w:t xml:space="preserve"> a</w:t>
      </w:r>
      <w:r w:rsidRPr="00003419">
        <w:rPr>
          <w:rFonts w:ascii="Palatino Linotype" w:eastAsia="Palatino Linotype" w:hAnsi="Palatino Linotype" w:cs="Palatino Linotype"/>
          <w:b/>
          <w:sz w:val="22"/>
          <w:szCs w:val="22"/>
        </w:rPr>
        <w:t xml:space="preserve"> la parte Recurrente,</w:t>
      </w:r>
      <w:r w:rsidRPr="00003419">
        <w:rPr>
          <w:rFonts w:ascii="Palatino Linotype" w:eastAsia="Palatino Linotype" w:hAnsi="Palatino Linotype" w:cs="Palatino Linotype"/>
          <w:sz w:val="22"/>
          <w:szCs w:val="22"/>
        </w:rPr>
        <w:t xml:space="preserve"> vía </w:t>
      </w:r>
      <w:r w:rsidRPr="00003419">
        <w:rPr>
          <w:rFonts w:ascii="Palatino Linotype" w:eastAsia="Palatino Linotype" w:hAnsi="Palatino Linotype" w:cs="Palatino Linotype"/>
          <w:b/>
          <w:sz w:val="22"/>
          <w:szCs w:val="22"/>
        </w:rPr>
        <w:t xml:space="preserve">SAIMEX, </w:t>
      </w:r>
      <w:r w:rsidRPr="00003419">
        <w:rPr>
          <w:rFonts w:ascii="Palatino Linotype" w:eastAsia="Palatino Linotype" w:hAnsi="Palatino Linotype" w:cs="Palatino Linotype"/>
          <w:sz w:val="22"/>
          <w:szCs w:val="22"/>
        </w:rPr>
        <w:t xml:space="preserve">en términos de los </w:t>
      </w:r>
      <w:r w:rsidRPr="00003419">
        <w:rPr>
          <w:rFonts w:ascii="Palatino Linotype" w:eastAsia="Palatino Linotype" w:hAnsi="Palatino Linotype" w:cs="Palatino Linotype"/>
          <w:b/>
          <w:sz w:val="22"/>
          <w:szCs w:val="22"/>
        </w:rPr>
        <w:t>Considerandos</w:t>
      </w:r>
      <w:r w:rsidRPr="00003419">
        <w:rPr>
          <w:rFonts w:ascii="Palatino Linotype" w:eastAsia="Palatino Linotype" w:hAnsi="Palatino Linotype" w:cs="Palatino Linotype"/>
          <w:sz w:val="22"/>
          <w:szCs w:val="22"/>
        </w:rPr>
        <w:t xml:space="preserve"> </w:t>
      </w:r>
      <w:r w:rsidRPr="00003419">
        <w:rPr>
          <w:rFonts w:ascii="Palatino Linotype" w:eastAsia="Palatino Linotype" w:hAnsi="Palatino Linotype" w:cs="Palatino Linotype"/>
          <w:b/>
          <w:sz w:val="22"/>
          <w:szCs w:val="22"/>
        </w:rPr>
        <w:t xml:space="preserve">Cuarto y Quinto, </w:t>
      </w:r>
      <w:r w:rsidRPr="00003419">
        <w:rPr>
          <w:rFonts w:ascii="Palatino Linotype" w:eastAsia="Palatino Linotype" w:hAnsi="Palatino Linotype" w:cs="Palatino Linotype"/>
          <w:color w:val="000000"/>
          <w:sz w:val="22"/>
          <w:szCs w:val="22"/>
        </w:rPr>
        <w:t>de los documentos donde conste o se advierta lo siguiente</w:t>
      </w:r>
      <w:r w:rsidRPr="00003419">
        <w:rPr>
          <w:rFonts w:ascii="Palatino Linotype" w:eastAsia="Palatino Linotype" w:hAnsi="Palatino Linotype" w:cs="Palatino Linotype"/>
          <w:b/>
          <w:i/>
          <w:color w:val="000000"/>
          <w:sz w:val="22"/>
          <w:szCs w:val="22"/>
        </w:rPr>
        <w:t>:</w:t>
      </w:r>
    </w:p>
    <w:p w14:paraId="544907FD" w14:textId="77777777" w:rsidR="009B2285" w:rsidRPr="00003419" w:rsidRDefault="00772DEA">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color w:val="000000"/>
          <w:sz w:val="22"/>
          <w:szCs w:val="22"/>
        </w:rPr>
      </w:pPr>
      <w:r w:rsidRPr="00003419">
        <w:rPr>
          <w:rFonts w:ascii="Palatino Linotype" w:eastAsia="Palatino Linotype" w:hAnsi="Palatino Linotype" w:cs="Palatino Linotype"/>
          <w:b/>
          <w:i/>
          <w:color w:val="000000"/>
          <w:sz w:val="22"/>
          <w:szCs w:val="22"/>
        </w:rPr>
        <w:t>1. Las rutas de recolección de basura, vigentes al 20 de enero de 2025.</w:t>
      </w:r>
    </w:p>
    <w:p w14:paraId="10C44B4E" w14:textId="77777777" w:rsidR="009B2285" w:rsidRPr="00003419" w:rsidRDefault="00772DEA">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color w:val="000000"/>
          <w:sz w:val="22"/>
          <w:szCs w:val="22"/>
        </w:rPr>
      </w:pPr>
      <w:r w:rsidRPr="00003419">
        <w:rPr>
          <w:rFonts w:ascii="Palatino Linotype" w:eastAsia="Palatino Linotype" w:hAnsi="Palatino Linotype" w:cs="Palatino Linotype"/>
          <w:b/>
          <w:i/>
          <w:color w:val="000000"/>
          <w:sz w:val="22"/>
          <w:szCs w:val="22"/>
        </w:rPr>
        <w:lastRenderedPageBreak/>
        <w:t>2</w:t>
      </w:r>
      <w:r w:rsidRPr="00003419">
        <w:rPr>
          <w:rFonts w:ascii="Palatino Linotype" w:eastAsia="Palatino Linotype" w:hAnsi="Palatino Linotype" w:cs="Palatino Linotype"/>
          <w:i/>
          <w:color w:val="000000"/>
          <w:sz w:val="22"/>
          <w:szCs w:val="22"/>
        </w:rPr>
        <w:t xml:space="preserve">. </w:t>
      </w:r>
      <w:r w:rsidRPr="00003419">
        <w:rPr>
          <w:rFonts w:ascii="Palatino Linotype" w:eastAsia="Palatino Linotype" w:hAnsi="Palatino Linotype" w:cs="Palatino Linotype"/>
          <w:b/>
          <w:i/>
          <w:color w:val="000000"/>
          <w:sz w:val="22"/>
          <w:szCs w:val="22"/>
        </w:rPr>
        <w:t>Contrato relativo al arrendamiento de camiones de basura vigente al 20 de enero de 2025 y las facturas correspondientes, generadas del 01 al 20 de enero de 2025.</w:t>
      </w:r>
    </w:p>
    <w:p w14:paraId="5589B35F" w14:textId="77777777" w:rsidR="009B2285" w:rsidRPr="00003419" w:rsidRDefault="00772DEA">
      <w:pPr>
        <w:pBdr>
          <w:top w:val="nil"/>
          <w:left w:val="nil"/>
          <w:bottom w:val="nil"/>
          <w:right w:val="nil"/>
          <w:between w:val="nil"/>
        </w:pBdr>
        <w:spacing w:before="240" w:after="120" w:line="276" w:lineRule="auto"/>
        <w:ind w:left="567" w:right="900"/>
        <w:jc w:val="both"/>
        <w:rPr>
          <w:rFonts w:ascii="Palatino Linotype" w:eastAsia="Palatino Linotype" w:hAnsi="Palatino Linotype" w:cs="Palatino Linotype"/>
          <w:i/>
          <w:sz w:val="22"/>
          <w:szCs w:val="22"/>
        </w:rPr>
      </w:pPr>
      <w:r w:rsidRPr="00003419">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003419">
        <w:rPr>
          <w:rFonts w:ascii="Palatino Linotype" w:eastAsia="Palatino Linotype" w:hAnsi="Palatino Linotype" w:cs="Palatino Linotype"/>
          <w:b/>
          <w:i/>
          <w:sz w:val="22"/>
          <w:szCs w:val="22"/>
        </w:rPr>
        <w:t>Recurrente</w:t>
      </w:r>
      <w:r w:rsidRPr="00003419">
        <w:rPr>
          <w:rFonts w:ascii="Palatino Linotype" w:eastAsia="Palatino Linotype" w:hAnsi="Palatino Linotype" w:cs="Palatino Linotype"/>
          <w:i/>
          <w:sz w:val="22"/>
          <w:szCs w:val="22"/>
        </w:rPr>
        <w:t>.</w:t>
      </w:r>
    </w:p>
    <w:p w14:paraId="1EB31AA8" w14:textId="77777777" w:rsidR="009B2285" w:rsidRPr="00003419" w:rsidRDefault="00772DEA">
      <w:pPr>
        <w:pBdr>
          <w:top w:val="nil"/>
          <w:left w:val="nil"/>
          <w:bottom w:val="nil"/>
          <w:right w:val="nil"/>
          <w:between w:val="nil"/>
        </w:pBdr>
        <w:tabs>
          <w:tab w:val="left" w:pos="993"/>
        </w:tabs>
        <w:spacing w:before="120" w:after="120"/>
        <w:ind w:left="567" w:right="900"/>
        <w:jc w:val="both"/>
        <w:rPr>
          <w:rFonts w:ascii="Palatino Linotype" w:eastAsia="Palatino Linotype" w:hAnsi="Palatino Linotype" w:cs="Palatino Linotype"/>
          <w:b/>
          <w:i/>
          <w:sz w:val="22"/>
          <w:szCs w:val="22"/>
        </w:rPr>
      </w:pPr>
      <w:r w:rsidRPr="00003419">
        <w:rPr>
          <w:rFonts w:ascii="Palatino Linotype" w:eastAsia="Palatino Linotype" w:hAnsi="Palatino Linotype" w:cs="Palatino Linotype"/>
          <w:i/>
          <w:sz w:val="22"/>
          <w:szCs w:val="22"/>
        </w:rPr>
        <w:t xml:space="preserve">Para el caso de que la información que se ordena entregar, respecto a las facturas, no obre en los archivos del </w:t>
      </w:r>
      <w:r w:rsidRPr="00003419">
        <w:rPr>
          <w:rFonts w:ascii="Palatino Linotype" w:eastAsia="Palatino Linotype" w:hAnsi="Palatino Linotype" w:cs="Palatino Linotype"/>
          <w:b/>
          <w:i/>
          <w:sz w:val="22"/>
          <w:szCs w:val="22"/>
        </w:rPr>
        <w:t>Sujeto Obligado</w:t>
      </w:r>
      <w:r w:rsidRPr="00003419">
        <w:rPr>
          <w:rFonts w:ascii="Palatino Linotype" w:eastAsia="Palatino Linotype" w:hAnsi="Palatino Linotype" w:cs="Palatino Linotype"/>
          <w:i/>
          <w:sz w:val="22"/>
          <w:szCs w:val="22"/>
        </w:rPr>
        <w:t xml:space="preserve">, toda vez que a la fecha de la solicitud no se había realizado el pago, deberá hacerlo del conocimiento de </w:t>
      </w:r>
      <w:r w:rsidRPr="00003419">
        <w:rPr>
          <w:rFonts w:ascii="Palatino Linotype" w:eastAsia="Palatino Linotype" w:hAnsi="Palatino Linotype" w:cs="Palatino Linotype"/>
          <w:b/>
          <w:i/>
          <w:sz w:val="22"/>
          <w:szCs w:val="22"/>
        </w:rPr>
        <w:t>la parte</w:t>
      </w:r>
      <w:r w:rsidRPr="00003419">
        <w:rPr>
          <w:rFonts w:ascii="Palatino Linotype" w:eastAsia="Palatino Linotype" w:hAnsi="Palatino Linotype" w:cs="Palatino Linotype"/>
          <w:i/>
          <w:sz w:val="22"/>
          <w:szCs w:val="22"/>
        </w:rPr>
        <w:t xml:space="preserve"> </w:t>
      </w:r>
      <w:r w:rsidRPr="00003419">
        <w:rPr>
          <w:rFonts w:ascii="Palatino Linotype" w:eastAsia="Palatino Linotype" w:hAnsi="Palatino Linotype" w:cs="Palatino Linotype"/>
          <w:b/>
          <w:i/>
          <w:sz w:val="22"/>
          <w:szCs w:val="22"/>
        </w:rPr>
        <w:t>Recurrente</w:t>
      </w:r>
      <w:r w:rsidRPr="00003419">
        <w:rPr>
          <w:rFonts w:ascii="Palatino Linotype" w:eastAsia="Palatino Linotype" w:hAnsi="Palatino Linotype" w:cs="Palatino Linotype"/>
          <w:i/>
          <w:sz w:val="22"/>
          <w:szCs w:val="22"/>
        </w:rPr>
        <w:t xml:space="preserve"> en términos del artículo 19, párrafo segundo, de la Ley de Transparencia y Acceso a la Información Pública del Estado de México y Municipios, para tenerse por colmado dicho requerimiento.</w:t>
      </w:r>
    </w:p>
    <w:p w14:paraId="58125C06" w14:textId="77777777" w:rsidR="009B2285" w:rsidRPr="00003419" w:rsidRDefault="00772DEA">
      <w:pPr>
        <w:spacing w:before="240" w:after="240" w:line="360" w:lineRule="auto"/>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sz w:val="22"/>
          <w:szCs w:val="22"/>
        </w:rPr>
        <w:t xml:space="preserve">Tercero.  Notifíquese vía SAIMEX, </w:t>
      </w:r>
      <w:r w:rsidRPr="00003419">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612679"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color w:val="000000"/>
          <w:sz w:val="22"/>
          <w:szCs w:val="22"/>
        </w:rPr>
        <w:t>Cuarto. Notifíquese, vía SAIMEX</w:t>
      </w:r>
      <w:r w:rsidRPr="00003419">
        <w:rPr>
          <w:rFonts w:ascii="Palatino Linotype" w:eastAsia="Palatino Linotype" w:hAnsi="Palatino Linotype" w:cs="Palatino Linotype"/>
          <w:color w:val="000000"/>
          <w:sz w:val="22"/>
          <w:szCs w:val="22"/>
        </w:rPr>
        <w:t>, al Titular de la Unidad de Transparencia que</w:t>
      </w:r>
      <w:r w:rsidRPr="00003419">
        <w:rPr>
          <w:rFonts w:ascii="Palatino Linotype" w:eastAsia="Palatino Linotype" w:hAnsi="Palatino Linotype" w:cs="Palatino Linotype"/>
          <w:b/>
          <w:color w:val="000000"/>
          <w:sz w:val="22"/>
          <w:szCs w:val="22"/>
        </w:rPr>
        <w:t xml:space="preserve"> </w:t>
      </w:r>
      <w:r w:rsidRPr="00003419">
        <w:rPr>
          <w:rFonts w:ascii="Palatino Linotype" w:eastAsia="Palatino Linotype" w:hAnsi="Palatino Linotype" w:cs="Palatino Linotype"/>
          <w:color w:val="000000"/>
          <w:sz w:val="22"/>
          <w:szCs w:val="22"/>
        </w:rPr>
        <w:t xml:space="preserve">de conformidad </w:t>
      </w:r>
      <w:r w:rsidRPr="00003419">
        <w:rPr>
          <w:rFonts w:ascii="Palatino Linotype" w:eastAsia="Palatino Linotype" w:hAnsi="Palatino Linotype" w:cs="Palatino Linotype"/>
          <w:sz w:val="22"/>
          <w:szCs w:val="22"/>
        </w:rPr>
        <w:t>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10DD70F" w14:textId="77777777" w:rsidR="009B2285" w:rsidRPr="00003419" w:rsidRDefault="00772DEA">
      <w:pPr>
        <w:spacing w:before="240" w:after="240" w:line="360" w:lineRule="auto"/>
        <w:ind w:right="49"/>
        <w:jc w:val="both"/>
        <w:rPr>
          <w:rFonts w:ascii="Palatino Linotype" w:eastAsia="Palatino Linotype" w:hAnsi="Palatino Linotype" w:cs="Palatino Linotype"/>
          <w:sz w:val="22"/>
          <w:szCs w:val="22"/>
        </w:rPr>
      </w:pPr>
      <w:r w:rsidRPr="00003419">
        <w:rPr>
          <w:rFonts w:ascii="Palatino Linotype" w:eastAsia="Palatino Linotype" w:hAnsi="Palatino Linotype" w:cs="Palatino Linotype"/>
          <w:b/>
          <w:sz w:val="22"/>
          <w:szCs w:val="22"/>
        </w:rPr>
        <w:lastRenderedPageBreak/>
        <w:t xml:space="preserve">Quinto. Notifíquese vía SAIMEX, </w:t>
      </w:r>
      <w:r w:rsidRPr="00003419">
        <w:rPr>
          <w:rFonts w:ascii="Palatino Linotype" w:eastAsia="Palatino Linotype" w:hAnsi="Palatino Linotype" w:cs="Palatino Linotype"/>
          <w:sz w:val="22"/>
          <w:szCs w:val="22"/>
        </w:rPr>
        <w:t>a</w:t>
      </w:r>
      <w:r w:rsidRPr="00003419">
        <w:rPr>
          <w:rFonts w:ascii="Palatino Linotype" w:eastAsia="Palatino Linotype" w:hAnsi="Palatino Linotype" w:cs="Palatino Linotype"/>
          <w:b/>
          <w:sz w:val="22"/>
          <w:szCs w:val="22"/>
        </w:rPr>
        <w:t xml:space="preserve"> la parte Recurrente</w:t>
      </w:r>
      <w:r w:rsidRPr="00003419">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1B0031E5" w14:textId="77777777" w:rsidR="009B2285" w:rsidRDefault="00772DEA">
      <w:pPr>
        <w:spacing w:line="360" w:lineRule="auto"/>
        <w:jc w:val="both"/>
        <w:rPr>
          <w:rFonts w:ascii="Palatino Linotype" w:eastAsia="Palatino Linotype" w:hAnsi="Palatino Linotype" w:cs="Palatino Linotype"/>
        </w:rPr>
      </w:pPr>
      <w:r w:rsidRPr="0000341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DOS DE ABRIL DE DOS MIL VEINTICINCO, ANTE EL SECRETARIO TÉCNICO DEL PLENO ALEXIS TAPIA RAMÍREZ.</w:t>
      </w:r>
      <w:r>
        <w:rPr>
          <w:rFonts w:ascii="Palatino Linotype" w:eastAsia="Palatino Linotype" w:hAnsi="Palatino Linotype" w:cs="Palatino Linotype"/>
        </w:rPr>
        <w:t xml:space="preserve"> </w:t>
      </w:r>
    </w:p>
    <w:p w14:paraId="7186D0B1" w14:textId="77777777" w:rsidR="009B2285" w:rsidRDefault="009B2285">
      <w:pPr>
        <w:rPr>
          <w:rFonts w:ascii="Palatino Linotype" w:eastAsia="Palatino Linotype" w:hAnsi="Palatino Linotype" w:cs="Palatino Linotype"/>
        </w:rPr>
      </w:pPr>
    </w:p>
    <w:p w14:paraId="5C010079" w14:textId="77777777" w:rsidR="009B2285" w:rsidRDefault="009B2285">
      <w:pPr>
        <w:rPr>
          <w:rFonts w:ascii="Palatino Linotype" w:eastAsia="Palatino Linotype" w:hAnsi="Palatino Linotype" w:cs="Palatino Linotype"/>
        </w:rPr>
      </w:pPr>
    </w:p>
    <w:p w14:paraId="2D7C0AA2" w14:textId="77777777" w:rsidR="009B2285" w:rsidRDefault="009B2285">
      <w:pPr>
        <w:spacing w:line="360" w:lineRule="auto"/>
        <w:jc w:val="both"/>
        <w:rPr>
          <w:rFonts w:ascii="Palatino Linotype" w:eastAsia="Palatino Linotype" w:hAnsi="Palatino Linotype" w:cs="Palatino Linotype"/>
        </w:rPr>
      </w:pPr>
      <w:bookmarkStart w:id="8" w:name="_heading=h.3rdcrjn" w:colFirst="0" w:colLast="0"/>
      <w:bookmarkEnd w:id="8"/>
    </w:p>
    <w:p w14:paraId="0AB0B92E" w14:textId="77777777" w:rsidR="009B2285" w:rsidRDefault="009B2285">
      <w:pPr>
        <w:spacing w:line="360" w:lineRule="auto"/>
        <w:jc w:val="both"/>
        <w:rPr>
          <w:rFonts w:ascii="Palatino Linotype" w:eastAsia="Palatino Linotype" w:hAnsi="Palatino Linotype" w:cs="Palatino Linotype"/>
        </w:rPr>
      </w:pPr>
    </w:p>
    <w:p w14:paraId="38BCC266" w14:textId="77777777" w:rsidR="009B2285" w:rsidRDefault="009B2285">
      <w:pPr>
        <w:spacing w:line="360" w:lineRule="auto"/>
        <w:jc w:val="both"/>
        <w:rPr>
          <w:rFonts w:ascii="Palatino Linotype" w:eastAsia="Palatino Linotype" w:hAnsi="Palatino Linotype" w:cs="Palatino Linotype"/>
        </w:rPr>
      </w:pPr>
    </w:p>
    <w:p w14:paraId="3C7A8EBC" w14:textId="77777777" w:rsidR="009B2285" w:rsidRDefault="009B2285">
      <w:pPr>
        <w:spacing w:line="360" w:lineRule="auto"/>
        <w:jc w:val="both"/>
        <w:rPr>
          <w:rFonts w:ascii="Palatino Linotype" w:eastAsia="Palatino Linotype" w:hAnsi="Palatino Linotype" w:cs="Palatino Linotype"/>
        </w:rPr>
      </w:pPr>
      <w:bookmarkStart w:id="9" w:name="_heading=h.1t3h5sf" w:colFirst="0" w:colLast="0"/>
      <w:bookmarkEnd w:id="9"/>
    </w:p>
    <w:p w14:paraId="44C2874E" w14:textId="77777777" w:rsidR="009B2285" w:rsidRDefault="009B2285">
      <w:pPr>
        <w:spacing w:line="360" w:lineRule="auto"/>
        <w:jc w:val="both"/>
        <w:rPr>
          <w:rFonts w:ascii="Palatino Linotype" w:eastAsia="Palatino Linotype" w:hAnsi="Palatino Linotype" w:cs="Palatino Linotype"/>
        </w:rPr>
      </w:pPr>
    </w:p>
    <w:p w14:paraId="75CDA056" w14:textId="77777777" w:rsidR="009B2285" w:rsidRDefault="009B2285">
      <w:pPr>
        <w:spacing w:line="360" w:lineRule="auto"/>
        <w:jc w:val="both"/>
        <w:rPr>
          <w:rFonts w:ascii="Palatino Linotype" w:eastAsia="Palatino Linotype" w:hAnsi="Palatino Linotype" w:cs="Palatino Linotype"/>
        </w:rPr>
      </w:pPr>
    </w:p>
    <w:p w14:paraId="6C8CFDBF" w14:textId="77777777" w:rsidR="009B2285" w:rsidRDefault="009B2285">
      <w:pPr>
        <w:spacing w:line="360" w:lineRule="auto"/>
        <w:jc w:val="both"/>
        <w:rPr>
          <w:rFonts w:ascii="Palatino Linotype" w:eastAsia="Palatino Linotype" w:hAnsi="Palatino Linotype" w:cs="Palatino Linotype"/>
        </w:rPr>
      </w:pPr>
    </w:p>
    <w:p w14:paraId="77EF87FD" w14:textId="77777777" w:rsidR="009B2285" w:rsidRDefault="009B2285">
      <w:pPr>
        <w:spacing w:line="360" w:lineRule="auto"/>
        <w:jc w:val="both"/>
        <w:rPr>
          <w:rFonts w:ascii="Palatino Linotype" w:eastAsia="Palatino Linotype" w:hAnsi="Palatino Linotype" w:cs="Palatino Linotype"/>
        </w:rPr>
      </w:pPr>
    </w:p>
    <w:p w14:paraId="3B40DBA3" w14:textId="77777777" w:rsidR="009B2285" w:rsidRDefault="009B2285">
      <w:pPr>
        <w:spacing w:line="360" w:lineRule="auto"/>
        <w:jc w:val="both"/>
        <w:rPr>
          <w:rFonts w:ascii="Palatino Linotype" w:eastAsia="Palatino Linotype" w:hAnsi="Palatino Linotype" w:cs="Palatino Linotype"/>
        </w:rPr>
      </w:pPr>
    </w:p>
    <w:p w14:paraId="4236D741" w14:textId="77777777" w:rsidR="009B2285" w:rsidRDefault="009B2285">
      <w:pPr>
        <w:spacing w:line="360" w:lineRule="auto"/>
        <w:jc w:val="both"/>
        <w:rPr>
          <w:rFonts w:ascii="Palatino Linotype" w:eastAsia="Palatino Linotype" w:hAnsi="Palatino Linotype" w:cs="Palatino Linotype"/>
        </w:rPr>
      </w:pPr>
    </w:p>
    <w:p w14:paraId="4CECA6B0" w14:textId="77777777" w:rsidR="009B2285" w:rsidRDefault="009B2285">
      <w:pPr>
        <w:spacing w:line="360" w:lineRule="auto"/>
        <w:jc w:val="both"/>
        <w:rPr>
          <w:rFonts w:ascii="Palatino Linotype" w:eastAsia="Palatino Linotype" w:hAnsi="Palatino Linotype" w:cs="Palatino Linotype"/>
        </w:rPr>
      </w:pPr>
    </w:p>
    <w:p w14:paraId="2DC3921E" w14:textId="77777777" w:rsidR="009B2285" w:rsidRDefault="009B2285">
      <w:pPr>
        <w:spacing w:line="360" w:lineRule="auto"/>
        <w:jc w:val="both"/>
        <w:rPr>
          <w:rFonts w:ascii="Palatino Linotype" w:eastAsia="Palatino Linotype" w:hAnsi="Palatino Linotype" w:cs="Palatino Linotype"/>
        </w:rPr>
      </w:pPr>
    </w:p>
    <w:p w14:paraId="42C95D1E" w14:textId="77777777" w:rsidR="009B2285" w:rsidRDefault="009B2285">
      <w:pPr>
        <w:spacing w:line="360" w:lineRule="auto"/>
        <w:jc w:val="both"/>
        <w:rPr>
          <w:rFonts w:ascii="Palatino Linotype" w:eastAsia="Palatino Linotype" w:hAnsi="Palatino Linotype" w:cs="Palatino Linotype"/>
        </w:rPr>
      </w:pPr>
    </w:p>
    <w:p w14:paraId="42062808" w14:textId="77777777" w:rsidR="009B2285" w:rsidRDefault="009B2285">
      <w:pPr>
        <w:spacing w:line="360" w:lineRule="auto"/>
        <w:jc w:val="both"/>
        <w:rPr>
          <w:rFonts w:ascii="Palatino Linotype" w:eastAsia="Palatino Linotype" w:hAnsi="Palatino Linotype" w:cs="Palatino Linotype"/>
        </w:rPr>
      </w:pPr>
    </w:p>
    <w:p w14:paraId="013A9679" w14:textId="77777777" w:rsidR="009B2285" w:rsidRDefault="009B2285">
      <w:pPr>
        <w:spacing w:line="360" w:lineRule="auto"/>
        <w:jc w:val="both"/>
        <w:rPr>
          <w:rFonts w:ascii="Palatino Linotype" w:eastAsia="Palatino Linotype" w:hAnsi="Palatino Linotype" w:cs="Palatino Linotype"/>
        </w:rPr>
      </w:pPr>
    </w:p>
    <w:p w14:paraId="3FAB5216" w14:textId="77777777" w:rsidR="009B2285" w:rsidRDefault="009B2285">
      <w:pPr>
        <w:spacing w:line="360" w:lineRule="auto"/>
        <w:jc w:val="both"/>
        <w:rPr>
          <w:rFonts w:ascii="Palatino Linotype" w:eastAsia="Palatino Linotype" w:hAnsi="Palatino Linotype" w:cs="Palatino Linotype"/>
        </w:rPr>
      </w:pPr>
    </w:p>
    <w:p w14:paraId="2A78DD54" w14:textId="77777777" w:rsidR="009B2285" w:rsidRDefault="009B2285">
      <w:pPr>
        <w:spacing w:line="360" w:lineRule="auto"/>
        <w:jc w:val="both"/>
        <w:rPr>
          <w:rFonts w:ascii="Palatino Linotype" w:eastAsia="Palatino Linotype" w:hAnsi="Palatino Linotype" w:cs="Palatino Linotype"/>
        </w:rPr>
      </w:pPr>
    </w:p>
    <w:p w14:paraId="79CF9B74" w14:textId="77777777" w:rsidR="009B2285" w:rsidRDefault="009B2285">
      <w:pPr>
        <w:spacing w:line="360" w:lineRule="auto"/>
        <w:jc w:val="both"/>
        <w:rPr>
          <w:rFonts w:ascii="Palatino Linotype" w:eastAsia="Palatino Linotype" w:hAnsi="Palatino Linotype" w:cs="Palatino Linotype"/>
        </w:rPr>
      </w:pPr>
    </w:p>
    <w:p w14:paraId="2C8BBD55" w14:textId="77777777" w:rsidR="009B2285" w:rsidRDefault="009B2285">
      <w:pPr>
        <w:spacing w:line="360" w:lineRule="auto"/>
        <w:jc w:val="both"/>
        <w:rPr>
          <w:rFonts w:ascii="Palatino Linotype" w:eastAsia="Palatino Linotype" w:hAnsi="Palatino Linotype" w:cs="Palatino Linotype"/>
        </w:rPr>
      </w:pPr>
    </w:p>
    <w:p w14:paraId="07EB3A07" w14:textId="77777777" w:rsidR="009B2285" w:rsidRDefault="009B2285">
      <w:pPr>
        <w:spacing w:line="360" w:lineRule="auto"/>
        <w:jc w:val="both"/>
        <w:rPr>
          <w:rFonts w:ascii="Palatino Linotype" w:eastAsia="Palatino Linotype" w:hAnsi="Palatino Linotype" w:cs="Palatino Linotype"/>
        </w:rPr>
      </w:pPr>
    </w:p>
    <w:p w14:paraId="661DD158" w14:textId="77777777" w:rsidR="009B2285" w:rsidRDefault="009B2285">
      <w:pPr>
        <w:spacing w:line="360" w:lineRule="auto"/>
        <w:jc w:val="both"/>
        <w:rPr>
          <w:rFonts w:ascii="Palatino Linotype" w:eastAsia="Palatino Linotype" w:hAnsi="Palatino Linotype" w:cs="Palatino Linotype"/>
        </w:rPr>
      </w:pPr>
    </w:p>
    <w:p w14:paraId="20F4FCA8" w14:textId="77777777" w:rsidR="009B2285" w:rsidRDefault="009B2285">
      <w:pPr>
        <w:spacing w:line="360" w:lineRule="auto"/>
        <w:jc w:val="both"/>
        <w:rPr>
          <w:rFonts w:ascii="Palatino Linotype" w:eastAsia="Palatino Linotype" w:hAnsi="Palatino Linotype" w:cs="Palatino Linotype"/>
        </w:rPr>
      </w:pPr>
    </w:p>
    <w:p w14:paraId="718D6AC8" w14:textId="77777777" w:rsidR="009B2285" w:rsidRDefault="009B2285">
      <w:pPr>
        <w:spacing w:line="360" w:lineRule="auto"/>
        <w:jc w:val="both"/>
        <w:rPr>
          <w:rFonts w:ascii="Palatino Linotype" w:eastAsia="Palatino Linotype" w:hAnsi="Palatino Linotype" w:cs="Palatino Linotype"/>
        </w:rPr>
      </w:pPr>
    </w:p>
    <w:sectPr w:rsidR="009B2285">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400B1" w14:textId="77777777" w:rsidR="00772DEA" w:rsidRDefault="00772DEA">
      <w:r>
        <w:separator/>
      </w:r>
    </w:p>
  </w:endnote>
  <w:endnote w:type="continuationSeparator" w:id="0">
    <w:p w14:paraId="456FB757" w14:textId="77777777" w:rsidR="00772DEA" w:rsidRDefault="00772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F168F" w14:textId="77777777" w:rsidR="009B2285" w:rsidRDefault="00772DE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03419">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03419">
      <w:rPr>
        <w:rFonts w:ascii="Palatino Linotype" w:eastAsia="Palatino Linotype" w:hAnsi="Palatino Linotype" w:cs="Palatino Linotype"/>
        <w:b/>
        <w:noProof/>
        <w:color w:val="000000"/>
        <w:sz w:val="20"/>
        <w:szCs w:val="20"/>
      </w:rPr>
      <w:t>66</w:t>
    </w:r>
    <w:r>
      <w:rPr>
        <w:rFonts w:ascii="Palatino Linotype" w:eastAsia="Palatino Linotype" w:hAnsi="Palatino Linotype" w:cs="Palatino Linotype"/>
        <w:b/>
        <w:color w:val="000000"/>
        <w:sz w:val="20"/>
        <w:szCs w:val="20"/>
      </w:rPr>
      <w:fldChar w:fldCharType="end"/>
    </w:r>
  </w:p>
  <w:p w14:paraId="37D154A0" w14:textId="77777777" w:rsidR="009B2285" w:rsidRDefault="009B228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4742C" w14:textId="77777777" w:rsidR="009B2285" w:rsidRDefault="00772DE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0341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03419">
      <w:rPr>
        <w:rFonts w:ascii="Palatino Linotype" w:eastAsia="Palatino Linotype" w:hAnsi="Palatino Linotype" w:cs="Palatino Linotype"/>
        <w:b/>
        <w:noProof/>
        <w:color w:val="000000"/>
        <w:sz w:val="20"/>
        <w:szCs w:val="20"/>
      </w:rPr>
      <w:t>66</w:t>
    </w:r>
    <w:r>
      <w:rPr>
        <w:rFonts w:ascii="Palatino Linotype" w:eastAsia="Palatino Linotype" w:hAnsi="Palatino Linotype" w:cs="Palatino Linotype"/>
        <w:b/>
        <w:color w:val="000000"/>
        <w:sz w:val="20"/>
        <w:szCs w:val="20"/>
      </w:rPr>
      <w:fldChar w:fldCharType="end"/>
    </w:r>
  </w:p>
  <w:p w14:paraId="6999833D" w14:textId="77777777" w:rsidR="009B2285" w:rsidRDefault="009B228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A807E" w14:textId="77777777" w:rsidR="00772DEA" w:rsidRDefault="00772DEA">
      <w:r>
        <w:separator/>
      </w:r>
    </w:p>
  </w:footnote>
  <w:footnote w:type="continuationSeparator" w:id="0">
    <w:p w14:paraId="4433CFFC" w14:textId="77777777" w:rsidR="00772DEA" w:rsidRDefault="00772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F4935" w14:textId="77777777" w:rsidR="009B2285" w:rsidRDefault="00772DEA">
    <w:pPr>
      <w:rPr>
        <w:rFonts w:ascii="Cambria" w:eastAsia="Cambria" w:hAnsi="Cambria" w:cs="Cambria"/>
        <w:color w:val="000000"/>
      </w:rPr>
    </w:pPr>
    <w:r>
      <w:rPr>
        <w:noProof/>
      </w:rPr>
      <w:drawing>
        <wp:anchor distT="0" distB="0" distL="0" distR="0" simplePos="0" relativeHeight="251658240" behindDoc="1" locked="0" layoutInCell="1" hidden="0" allowOverlap="1" wp14:anchorId="12354E70" wp14:editId="220EE173">
          <wp:simplePos x="0" y="0"/>
          <wp:positionH relativeFrom="column">
            <wp:posOffset>-1080109</wp:posOffset>
          </wp:positionH>
          <wp:positionV relativeFrom="paragraph">
            <wp:posOffset>-488284</wp:posOffset>
          </wp:positionV>
          <wp:extent cx="7809865" cy="10165715"/>
          <wp:effectExtent l="0" t="0" r="0" b="0"/>
          <wp:wrapNone/>
          <wp:docPr id="1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7087" w:type="dxa"/>
      <w:tblInd w:w="3261" w:type="dxa"/>
      <w:tblLayout w:type="fixed"/>
      <w:tblLook w:val="0400" w:firstRow="0" w:lastRow="0" w:firstColumn="0" w:lastColumn="0" w:noHBand="0" w:noVBand="1"/>
    </w:tblPr>
    <w:tblGrid>
      <w:gridCol w:w="2489"/>
      <w:gridCol w:w="4598"/>
    </w:tblGrid>
    <w:tr w:rsidR="009B2285" w14:paraId="7DE384D6" w14:textId="77777777">
      <w:tc>
        <w:tcPr>
          <w:tcW w:w="2489" w:type="dxa"/>
          <w:shd w:val="clear" w:color="auto" w:fill="auto"/>
        </w:tcPr>
        <w:p w14:paraId="0988471B" w14:textId="77777777" w:rsidR="009B2285" w:rsidRDefault="00772D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4C1C89E9" w14:textId="77777777" w:rsidR="009B2285" w:rsidRDefault="00772DE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01694/INFOEM/IP/RR/2025</w:t>
          </w:r>
        </w:p>
      </w:tc>
    </w:tr>
    <w:tr w:rsidR="009B2285" w14:paraId="63C05E73" w14:textId="77777777">
      <w:trPr>
        <w:trHeight w:val="228"/>
      </w:trPr>
      <w:tc>
        <w:tcPr>
          <w:tcW w:w="2489" w:type="dxa"/>
          <w:shd w:val="clear" w:color="auto" w:fill="auto"/>
          <w:vAlign w:val="center"/>
        </w:tcPr>
        <w:p w14:paraId="1C6BF3BD" w14:textId="77777777" w:rsidR="009B2285" w:rsidRDefault="00772D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74726602" w14:textId="77777777" w:rsidR="009B2285" w:rsidRDefault="00772DEA">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9B2285" w14:paraId="21B27F90" w14:textId="77777777">
      <w:tc>
        <w:tcPr>
          <w:tcW w:w="2489" w:type="dxa"/>
          <w:shd w:val="clear" w:color="auto" w:fill="auto"/>
          <w:vAlign w:val="center"/>
        </w:tcPr>
        <w:p w14:paraId="65F44834" w14:textId="77777777" w:rsidR="009B2285" w:rsidRDefault="00772DE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6782D857" w14:textId="77777777" w:rsidR="009B2285" w:rsidRDefault="00772DE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D477C0" w14:textId="77777777" w:rsidR="009B2285" w:rsidRDefault="00772DE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660D3" w14:textId="77777777" w:rsidR="009B2285" w:rsidRDefault="00772DE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FEBCC8C" wp14:editId="0412F38D">
          <wp:simplePos x="0" y="0"/>
          <wp:positionH relativeFrom="column">
            <wp:posOffset>-1079487</wp:posOffset>
          </wp:positionH>
          <wp:positionV relativeFrom="paragraph">
            <wp:posOffset>-328916</wp:posOffset>
          </wp:positionV>
          <wp:extent cx="7809865" cy="10165715"/>
          <wp:effectExtent l="0" t="0" r="0" b="0"/>
          <wp:wrapNone/>
          <wp:docPr id="1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6"/>
      <w:tblW w:w="6945" w:type="dxa"/>
      <w:tblInd w:w="3261" w:type="dxa"/>
      <w:tblLayout w:type="fixed"/>
      <w:tblLook w:val="0400" w:firstRow="0" w:lastRow="0" w:firstColumn="0" w:lastColumn="0" w:noHBand="0" w:noVBand="1"/>
    </w:tblPr>
    <w:tblGrid>
      <w:gridCol w:w="2551"/>
      <w:gridCol w:w="4394"/>
    </w:tblGrid>
    <w:tr w:rsidR="009B2285" w14:paraId="6006F253" w14:textId="77777777">
      <w:tc>
        <w:tcPr>
          <w:tcW w:w="2551" w:type="dxa"/>
          <w:shd w:val="clear" w:color="auto" w:fill="auto"/>
          <w:vAlign w:val="center"/>
        </w:tcPr>
        <w:p w14:paraId="764D70C4" w14:textId="77777777" w:rsidR="009B2285" w:rsidRDefault="00772D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13EC019F" w14:textId="77777777" w:rsidR="009B2285" w:rsidRDefault="00772DE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01694/INFOEM/IP/RR/2025</w:t>
          </w:r>
        </w:p>
      </w:tc>
    </w:tr>
    <w:tr w:rsidR="009B2285" w14:paraId="7EF13EE8" w14:textId="77777777">
      <w:trPr>
        <w:trHeight w:val="265"/>
      </w:trPr>
      <w:tc>
        <w:tcPr>
          <w:tcW w:w="2551" w:type="dxa"/>
          <w:shd w:val="clear" w:color="auto" w:fill="auto"/>
          <w:vAlign w:val="center"/>
        </w:tcPr>
        <w:p w14:paraId="058B3186" w14:textId="77777777" w:rsidR="009B2285" w:rsidRDefault="00772D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47F78D36" w14:textId="77777777" w:rsidR="009B2285" w:rsidRDefault="009B2285">
          <w:pPr>
            <w:ind w:left="-45"/>
            <w:jc w:val="both"/>
            <w:rPr>
              <w:rFonts w:ascii="Palatino Linotype" w:eastAsia="Palatino Linotype" w:hAnsi="Palatino Linotype" w:cs="Palatino Linotype"/>
              <w:b/>
              <w:sz w:val="22"/>
              <w:szCs w:val="22"/>
            </w:rPr>
          </w:pPr>
        </w:p>
      </w:tc>
    </w:tr>
    <w:tr w:rsidR="009B2285" w14:paraId="38E1DF1D" w14:textId="77777777">
      <w:trPr>
        <w:trHeight w:val="228"/>
      </w:trPr>
      <w:tc>
        <w:tcPr>
          <w:tcW w:w="2551" w:type="dxa"/>
          <w:shd w:val="clear" w:color="auto" w:fill="auto"/>
          <w:vAlign w:val="center"/>
        </w:tcPr>
        <w:p w14:paraId="080758E0" w14:textId="77777777" w:rsidR="009B2285" w:rsidRDefault="00772D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CE92FF7" w14:textId="77777777" w:rsidR="009B2285" w:rsidRDefault="00772DEA">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9B2285" w14:paraId="1669FF36" w14:textId="77777777">
      <w:tc>
        <w:tcPr>
          <w:tcW w:w="2551" w:type="dxa"/>
          <w:shd w:val="clear" w:color="auto" w:fill="auto"/>
          <w:vAlign w:val="center"/>
        </w:tcPr>
        <w:p w14:paraId="4C3920D8" w14:textId="77777777" w:rsidR="009B2285" w:rsidRDefault="00772DE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46ADD8FB" w14:textId="77777777" w:rsidR="009B2285" w:rsidRDefault="00772DE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706EEA" w14:textId="77777777" w:rsidR="009B2285" w:rsidRDefault="009B2285">
    <w:pPr>
      <w:pBdr>
        <w:top w:val="nil"/>
        <w:left w:val="nil"/>
        <w:bottom w:val="nil"/>
        <w:right w:val="nil"/>
        <w:between w:val="nil"/>
      </w:pBdr>
      <w:tabs>
        <w:tab w:val="center" w:pos="4252"/>
        <w:tab w:val="right" w:pos="8504"/>
      </w:tabs>
      <w:rPr>
        <w:rFonts w:ascii="Cambria" w:eastAsia="Cambria" w:hAnsi="Cambria" w:cs="Cambria"/>
        <w:color w:val="000000"/>
      </w:rPr>
    </w:pPr>
  </w:p>
  <w:p w14:paraId="235BFEF8" w14:textId="77777777" w:rsidR="009B2285" w:rsidRDefault="009B22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64259"/>
    <w:multiLevelType w:val="multilevel"/>
    <w:tmpl w:val="4AECA8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1835F7"/>
    <w:multiLevelType w:val="multilevel"/>
    <w:tmpl w:val="FD068D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EFB4A39"/>
    <w:multiLevelType w:val="multilevel"/>
    <w:tmpl w:val="75C212AC"/>
    <w:lvl w:ilvl="0">
      <w:start w:val="2"/>
      <w:numFmt w:val="bullet"/>
      <w:lvlText w:val="-"/>
      <w:lvlJc w:val="left"/>
      <w:pPr>
        <w:ind w:left="927" w:hanging="360"/>
      </w:pPr>
      <w:rPr>
        <w:rFonts w:ascii="Palatino Linotype" w:eastAsia="Palatino Linotype" w:hAnsi="Palatino Linotype" w:cs="Palatino Linotype"/>
        <w:b/>
        <w:i/>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54952D3A"/>
    <w:multiLevelType w:val="multilevel"/>
    <w:tmpl w:val="A3C2DA6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285"/>
    <w:rsid w:val="00003419"/>
    <w:rsid w:val="000269AC"/>
    <w:rsid w:val="00772DEA"/>
    <w:rsid w:val="009B22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5ECFB"/>
  <w15:docId w15:val="{46009549-5789-4B92-8A12-AD2009F7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84F"/>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9C2C49"/>
    <w:rPr>
      <w:color w:val="0000FF"/>
      <w:u w:val="single"/>
    </w:r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isucede.com.mx/se-unen-mas-de-mil-900-personas-para-poner-guapa-a-toluca/"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lajornadaestadodemexico.com/pese-a-incertidumbre-social-recoleccion-de-basura-continua-en-toluca/" TargetMode="Externa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municacionxxi.com.mx/blogs/post/arranca-el-agno-programa-toluca-se-pone-guapa" TargetMode="External"/><Relationship Id="rId14" Type="http://schemas.openxmlformats.org/officeDocument/2006/relationships/image" Target="media/image4.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vDtw+ZgyMUD9d63/pH5LbPZ+rw==">CgMxLjAyCWguMWZvYjl0ZTIIaC5namRneHMyCWguM2R5NnZrbTIJaC4zMGowemxsMgloLjJzOGV5bzEyCGgudHlqY3d0MgloLjN6bnlzaDcyCWguMmV0OTJwMDIJaC4zcmRjcmpuMgloLjF0M2g1c2Y4AHIhMWsxZWEwczdFMTR0bkVfbFNJbnFqTzNDTXczWEV5dlJU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66</Pages>
  <Words>17308</Words>
  <Characters>95197</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2025-04-04T16:53:00Z</cp:lastPrinted>
  <dcterms:created xsi:type="dcterms:W3CDTF">2025-05-06T19:38:00Z</dcterms:created>
  <dcterms:modified xsi:type="dcterms:W3CDTF">2025-05-06T19:38:00Z</dcterms:modified>
</cp:coreProperties>
</file>