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EAA" w:rsidRPr="00D87759" w:rsidRDefault="000E4780" w:rsidP="00F35EB1">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D87759">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doce (12) de febrero de dos mil veinticinco.</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spacing w:line="360" w:lineRule="auto"/>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b/>
          <w:sz w:val="22"/>
          <w:szCs w:val="22"/>
        </w:rPr>
        <w:t>VISTO</w:t>
      </w:r>
      <w:r w:rsidRPr="00D87759">
        <w:rPr>
          <w:rFonts w:ascii="Palatino Linotype" w:eastAsia="Palatino Linotype" w:hAnsi="Palatino Linotype" w:cs="Palatino Linotype"/>
          <w:sz w:val="22"/>
          <w:szCs w:val="22"/>
        </w:rPr>
        <w:t xml:space="preserve"> el expediente electrónico formado con motivo del recurso de revisión </w:t>
      </w:r>
      <w:r w:rsidRPr="00D87759">
        <w:rPr>
          <w:rFonts w:ascii="Palatino Linotype" w:eastAsia="Palatino Linotype" w:hAnsi="Palatino Linotype" w:cs="Palatino Linotype"/>
          <w:b/>
          <w:sz w:val="22"/>
          <w:szCs w:val="22"/>
        </w:rPr>
        <w:t xml:space="preserve">07048/INFOEM/IP/RR/2024, </w:t>
      </w:r>
      <w:r w:rsidRPr="00D87759">
        <w:rPr>
          <w:rFonts w:ascii="Palatino Linotype" w:eastAsia="Palatino Linotype" w:hAnsi="Palatino Linotype" w:cs="Palatino Linotype"/>
          <w:sz w:val="22"/>
          <w:szCs w:val="22"/>
        </w:rPr>
        <w:t>promovido por un</w:t>
      </w:r>
      <w:r w:rsidRPr="00D87759">
        <w:rPr>
          <w:rFonts w:ascii="Palatino Linotype" w:eastAsia="Palatino Linotype" w:hAnsi="Palatino Linotype" w:cs="Palatino Linotype"/>
          <w:b/>
          <w:sz w:val="22"/>
          <w:szCs w:val="22"/>
        </w:rPr>
        <w:t xml:space="preserve"> RECURRENTE</w:t>
      </w:r>
      <w:r w:rsidRPr="00D87759">
        <w:rPr>
          <w:rFonts w:ascii="Palatino Linotype" w:eastAsia="Palatino Linotype" w:hAnsi="Palatino Linotype" w:cs="Palatino Linotype"/>
          <w:sz w:val="22"/>
          <w:szCs w:val="22"/>
        </w:rPr>
        <w:t xml:space="preserve">, en lo sucesivo se denominará como </w:t>
      </w:r>
      <w:r w:rsidRPr="00D87759">
        <w:rPr>
          <w:rFonts w:ascii="Palatino Linotype" w:eastAsia="Palatino Linotype" w:hAnsi="Palatino Linotype" w:cs="Palatino Linotype"/>
          <w:b/>
          <w:sz w:val="22"/>
          <w:szCs w:val="22"/>
        </w:rPr>
        <w:t>RECURRENTE</w:t>
      </w:r>
      <w:r w:rsidRPr="00D87759">
        <w:rPr>
          <w:rFonts w:ascii="Palatino Linotype" w:eastAsia="Palatino Linotype" w:hAnsi="Palatino Linotype" w:cs="Palatino Linotype"/>
          <w:sz w:val="22"/>
          <w:szCs w:val="22"/>
        </w:rPr>
        <w:t>, en contra de la respuesta de</w:t>
      </w:r>
      <w:r w:rsidRPr="00D87759">
        <w:rPr>
          <w:rFonts w:ascii="Palatino Linotype" w:eastAsia="Palatino Linotype" w:hAnsi="Palatino Linotype" w:cs="Palatino Linotype"/>
          <w:b/>
          <w:color w:val="000000"/>
          <w:sz w:val="22"/>
          <w:szCs w:val="22"/>
        </w:rPr>
        <w:t xml:space="preserve"> </w:t>
      </w:r>
      <w:r w:rsidRPr="00D87759">
        <w:rPr>
          <w:rFonts w:ascii="Palatino Linotype" w:eastAsia="Palatino Linotype" w:hAnsi="Palatino Linotype" w:cs="Palatino Linotype"/>
          <w:sz w:val="22"/>
          <w:szCs w:val="22"/>
        </w:rPr>
        <w:t>la</w:t>
      </w:r>
      <w:r w:rsidRPr="00D87759">
        <w:rPr>
          <w:rFonts w:ascii="Palatino Linotype" w:eastAsia="Palatino Linotype" w:hAnsi="Palatino Linotype" w:cs="Palatino Linotype"/>
          <w:b/>
          <w:sz w:val="22"/>
          <w:szCs w:val="22"/>
        </w:rPr>
        <w:t xml:space="preserve"> </w:t>
      </w:r>
      <w:r w:rsidRPr="00D87759">
        <w:rPr>
          <w:rFonts w:ascii="Palatino Linotype" w:eastAsia="Palatino Linotype" w:hAnsi="Palatino Linotype" w:cs="Palatino Linotype"/>
          <w:b/>
          <w:color w:val="000000"/>
          <w:sz w:val="22"/>
          <w:szCs w:val="22"/>
        </w:rPr>
        <w:t>Secretaría de</w:t>
      </w:r>
      <w:r w:rsidR="0087726F" w:rsidRPr="00D87759">
        <w:rPr>
          <w:rFonts w:ascii="Palatino Linotype" w:eastAsia="Palatino Linotype" w:hAnsi="Palatino Linotype" w:cs="Palatino Linotype"/>
          <w:b/>
          <w:color w:val="000000"/>
          <w:sz w:val="22"/>
          <w:szCs w:val="22"/>
        </w:rPr>
        <w:t>l</w:t>
      </w:r>
      <w:r w:rsidRPr="00D87759">
        <w:rPr>
          <w:rFonts w:ascii="Palatino Linotype" w:eastAsia="Palatino Linotype" w:hAnsi="Palatino Linotype" w:cs="Palatino Linotype"/>
          <w:b/>
          <w:color w:val="000000"/>
          <w:sz w:val="22"/>
          <w:szCs w:val="22"/>
        </w:rPr>
        <w:t xml:space="preserve"> Medio Ambiente</w:t>
      </w:r>
      <w:r w:rsidR="0087726F" w:rsidRPr="00D87759">
        <w:rPr>
          <w:rFonts w:ascii="Palatino Linotype" w:eastAsia="Palatino Linotype" w:hAnsi="Palatino Linotype" w:cs="Palatino Linotype"/>
          <w:b/>
          <w:color w:val="000000"/>
          <w:sz w:val="22"/>
          <w:szCs w:val="22"/>
        </w:rPr>
        <w:t xml:space="preserve"> y Desarrollo Sostenible</w:t>
      </w:r>
      <w:r w:rsidRPr="00D87759">
        <w:rPr>
          <w:rFonts w:ascii="Palatino Linotype" w:eastAsia="Palatino Linotype" w:hAnsi="Palatino Linotype" w:cs="Palatino Linotype"/>
          <w:b/>
          <w:sz w:val="22"/>
          <w:szCs w:val="22"/>
        </w:rPr>
        <w:t xml:space="preserve">, </w:t>
      </w:r>
      <w:r w:rsidRPr="00D87759">
        <w:rPr>
          <w:rFonts w:ascii="Palatino Linotype" w:eastAsia="Palatino Linotype" w:hAnsi="Palatino Linotype" w:cs="Palatino Linotype"/>
          <w:sz w:val="22"/>
          <w:szCs w:val="22"/>
        </w:rPr>
        <w:t>en adelante el</w:t>
      </w:r>
      <w:r w:rsidRPr="00D87759">
        <w:rPr>
          <w:rFonts w:ascii="Palatino Linotype" w:eastAsia="Palatino Linotype" w:hAnsi="Palatino Linotype" w:cs="Palatino Linotype"/>
          <w:b/>
          <w:sz w:val="22"/>
          <w:szCs w:val="22"/>
        </w:rPr>
        <w:t xml:space="preserve"> SUJETO OBLIGADO</w:t>
      </w:r>
      <w:r w:rsidRPr="00D87759">
        <w:rPr>
          <w:rFonts w:ascii="Palatino Linotype" w:eastAsia="Palatino Linotype" w:hAnsi="Palatino Linotype" w:cs="Palatino Linotype"/>
          <w:sz w:val="22"/>
          <w:szCs w:val="22"/>
        </w:rPr>
        <w:t>, por lo que se procede a dictar la presente resolución, con base en los siguientes:</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keepNext/>
        <w:keepLines/>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D87759">
        <w:rPr>
          <w:rFonts w:ascii="Palatino Linotype" w:eastAsia="Palatino Linotype" w:hAnsi="Palatino Linotype" w:cs="Palatino Linotype"/>
          <w:b/>
          <w:sz w:val="22"/>
          <w:szCs w:val="22"/>
        </w:rPr>
        <w:t>A N T E C E D E N T E S</w:t>
      </w:r>
    </w:p>
    <w:p w:rsidR="00F76EAA" w:rsidRPr="00D87759" w:rsidRDefault="00F76EAA" w:rsidP="00F35EB1">
      <w:pPr>
        <w:spacing w:line="360" w:lineRule="auto"/>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El treinta y uno de octubre de dos mil veinticuatro, el</w:t>
      </w:r>
      <w:r w:rsidRPr="00D87759">
        <w:rPr>
          <w:rFonts w:ascii="Palatino Linotype" w:eastAsia="Palatino Linotype" w:hAnsi="Palatino Linotype" w:cs="Palatino Linotype"/>
          <w:b/>
          <w:sz w:val="22"/>
          <w:szCs w:val="22"/>
        </w:rPr>
        <w:t xml:space="preserve"> RECURRENTE </w:t>
      </w:r>
      <w:r w:rsidRPr="00D87759">
        <w:rPr>
          <w:rFonts w:ascii="Palatino Linotype" w:eastAsia="Palatino Linotype" w:hAnsi="Palatino Linotype" w:cs="Palatino Linotype"/>
          <w:sz w:val="22"/>
          <w:szCs w:val="22"/>
        </w:rPr>
        <w:t xml:space="preserve">presentó ante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a través de la Plataforma Nacional de Transparencia y registrada en el Sistema de Acceso a la Información Mexiquense </w:t>
      </w:r>
      <w:r w:rsidRPr="00D87759">
        <w:rPr>
          <w:rFonts w:ascii="Palatino Linotype" w:eastAsia="Palatino Linotype" w:hAnsi="Palatino Linotype" w:cs="Palatino Linotype"/>
          <w:b/>
          <w:sz w:val="22"/>
          <w:szCs w:val="22"/>
        </w:rPr>
        <w:t>(SAIMEX),</w:t>
      </w:r>
      <w:r w:rsidRPr="00D87759">
        <w:rPr>
          <w:rFonts w:ascii="Palatino Linotype" w:eastAsia="Palatino Linotype" w:hAnsi="Palatino Linotype" w:cs="Palatino Linotype"/>
          <w:sz w:val="22"/>
          <w:szCs w:val="22"/>
        </w:rPr>
        <w:t xml:space="preserve"> la solicitud de información pública </w:t>
      </w:r>
      <w:r w:rsidRPr="00D87759">
        <w:rPr>
          <w:rFonts w:ascii="Palatino Linotype" w:eastAsia="Palatino Linotype" w:hAnsi="Palatino Linotype" w:cs="Palatino Linotype"/>
          <w:b/>
          <w:sz w:val="22"/>
          <w:szCs w:val="22"/>
        </w:rPr>
        <w:t>00359/SMADS/IP/2024</w:t>
      </w:r>
      <w:r w:rsidRPr="00D87759">
        <w:rPr>
          <w:rFonts w:ascii="Palatino Linotype" w:eastAsia="Palatino Linotype" w:hAnsi="Palatino Linotype" w:cs="Palatino Linotype"/>
          <w:sz w:val="22"/>
          <w:szCs w:val="22"/>
        </w:rPr>
        <w:t>, en la que se solicitó:</w:t>
      </w:r>
    </w:p>
    <w:p w:rsidR="00F76EAA" w:rsidRPr="00D87759" w:rsidRDefault="00F76EAA" w:rsidP="00F35EB1">
      <w:pPr>
        <w:jc w:val="both"/>
        <w:rPr>
          <w:rFonts w:ascii="Palatino Linotype" w:eastAsia="Palatino Linotype" w:hAnsi="Palatino Linotype" w:cs="Palatino Linotype"/>
          <w:i/>
          <w:sz w:val="22"/>
          <w:szCs w:val="22"/>
        </w:rPr>
      </w:pP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color w:val="000000"/>
          <w:sz w:val="22"/>
          <w:szCs w:val="22"/>
        </w:rPr>
        <w:t>“</w:t>
      </w:r>
      <w:r w:rsidRPr="00D87759">
        <w:rPr>
          <w:rFonts w:ascii="Palatino Linotype" w:eastAsia="Palatino Linotype" w:hAnsi="Palatino Linotype" w:cs="Palatino Linotype"/>
          <w:i/>
          <w:sz w:val="22"/>
          <w:szCs w:val="22"/>
        </w:rPr>
        <w:t>Se solicita la entrega de todos los permisos otorgados como solicitados con sus oficios de solicitud y de respuesta , el estudio justificativo de las obras y autorización de cambio de uso de suelo del centro de bienestar animal en el Parque Estatal Sierra Morelos y en el Parque Atlacomulco. También, informar sobre el estatus en el que se encuentran las obras.</w:t>
      </w:r>
      <w:r w:rsidRPr="00D87759">
        <w:rPr>
          <w:rFonts w:ascii="Palatino Linotype" w:eastAsia="Palatino Linotype" w:hAnsi="Palatino Linotype" w:cs="Palatino Linotype"/>
          <w:i/>
          <w:color w:val="000000"/>
          <w:sz w:val="22"/>
          <w:szCs w:val="22"/>
        </w:rPr>
        <w:t xml:space="preserve">” (Sic) </w:t>
      </w:r>
    </w:p>
    <w:p w:rsidR="00F76EAA" w:rsidRPr="00D87759" w:rsidRDefault="00F76EAA" w:rsidP="00F35EB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Se hace constar que se señaló como modalidad de entrega de la información a través del </w:t>
      </w:r>
      <w:r w:rsidRPr="00D87759">
        <w:rPr>
          <w:rFonts w:ascii="Palatino Linotype" w:eastAsia="Palatino Linotype" w:hAnsi="Palatino Linotype" w:cs="Palatino Linotype"/>
          <w:b/>
          <w:sz w:val="22"/>
          <w:szCs w:val="22"/>
        </w:rPr>
        <w:t>SAIMEX.</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lastRenderedPageBreak/>
        <w:t xml:space="preserve">Treinta y uno de octubre de dos mil veinticuatro,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b/>
          <w:i/>
          <w:sz w:val="22"/>
          <w:szCs w:val="22"/>
        </w:rPr>
        <w:t xml:space="preserve"> </w:t>
      </w:r>
      <w:r w:rsidRPr="00D87759">
        <w:rPr>
          <w:rFonts w:ascii="Palatino Linotype" w:eastAsia="Palatino Linotype" w:hAnsi="Palatino Linotype" w:cs="Palatino Linotype"/>
          <w:sz w:val="22"/>
          <w:szCs w:val="22"/>
        </w:rPr>
        <w:t>dio respuesta a la solicitud de información, en los siguientes términos:</w:t>
      </w:r>
    </w:p>
    <w:p w:rsidR="00F76EAA" w:rsidRPr="00D87759" w:rsidRDefault="00F76EAA" w:rsidP="00F35EB1">
      <w:pPr>
        <w:jc w:val="both"/>
        <w:rPr>
          <w:rFonts w:ascii="Palatino Linotype" w:eastAsia="Palatino Linotype" w:hAnsi="Palatino Linotype" w:cs="Palatino Linotype"/>
          <w:i/>
          <w:sz w:val="22"/>
          <w:szCs w:val="22"/>
        </w:rPr>
      </w:pPr>
    </w:p>
    <w:p w:rsidR="00F76EAA" w:rsidRPr="00D87759" w:rsidRDefault="000E4780" w:rsidP="00F35EB1">
      <w:pPr>
        <w:ind w:left="567" w:right="539"/>
        <w:jc w:val="both"/>
        <w:rPr>
          <w:rFonts w:ascii="Palatino Linotype" w:eastAsia="Palatino Linotype" w:hAnsi="Palatino Linotype" w:cs="Palatino Linotype"/>
          <w:i/>
          <w:color w:val="000000"/>
          <w:sz w:val="22"/>
          <w:szCs w:val="22"/>
        </w:rPr>
      </w:pPr>
      <w:r w:rsidRPr="00D87759">
        <w:rPr>
          <w:rFonts w:ascii="Palatino Linotype" w:eastAsia="Palatino Linotype" w:hAnsi="Palatino Linotype" w:cs="Palatino Linotype"/>
          <w:i/>
          <w:sz w:val="22"/>
          <w:szCs w:val="22"/>
        </w:rPr>
        <w:t>“…</w:t>
      </w:r>
      <w:r w:rsidRPr="00D87759">
        <w:rPr>
          <w:rFonts w:ascii="Palatino Linotype" w:eastAsia="Palatino Linotype" w:hAnsi="Palatino Linotype" w:cs="Palatino Linotype"/>
          <w:i/>
          <w:color w:val="000000"/>
          <w:sz w:val="22"/>
          <w:szCs w:val="22"/>
        </w:rPr>
        <w:t xml:space="preserve">En atención a la solicitud de información con número de folio 0359/SMADS/IP/2024, me permito hacer de su conocimiento que la información por usted solicitada no corresponde a las atribuciones de este sujeto obligado, lo que actualiza la notoria incompetencia de esta Secretaría, por lo que la información podría estar en poder de otro u otros sujetos Obligados; esto es, existe una ausencia de atribuciones para poseer, generar o resguardar la información requerida. Sirva de apoyo a lo anterior, los criterios 13/17 y 16/09 emitidos por el Instituto Nacional de Transparencia (INAI), que para pronta referencia se transcriben a continuación: Criterio 13/17 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 Criterio 16/09 La incompetencia es un concepto que se atribuye a la autoridad. El tercer párrafo del artículo 40 de la Ley Federal de Transparencia y Acceso a la Información Pública Gubernamental prevé que cuando la información solicitada no sea competencia de la dependencia o entidad ante la cual se presente la solicitud de acceso, la unidad de enlace deberá orientar debidamente al particular sobre la entidad o dependencia competente. En otras palabras, la incompetencia a la que alude alguna autoridad en términos de la referida Ley implica la ausencia de atribuciones del sujeto obligado para poseer la información solicitada –es decir, se trata de una cuestión de derecho-, de lo que resulta claro que la incompetencia es un concepto atribuido a quien la declara.” Es conveniente precisar que el marco de las atribuciones o de competencias de toda autoridad, deviene del principio de legalidad que consagran los artículos 14 y 16 de la Constitución Política de los Estados Unidos Mexicanos y 143 de la Constitución Política del Estado Libre y Soberano de México, que para mejor proveer se transcribe a continuación. Artículo 143. Las autoridades del Estado sólo tienen las facultades que expresamente les confieren las leyes y otros ordenamientos jurídicos.” (sic) De esta forma, se actualiza la hipótesis contenida en el artículo 19 de la Ley de Transparencia y Acceso a la información Pública del Estado de México y Municipios, que dispone: Artículo 19. Se presume que la información debe existir si se refiere a las facultades, competencias y funciones que los ordenamientos jurídicos aplicables otorgan a los sujetos obligados. En ese sentido, </w:t>
      </w:r>
      <w:r w:rsidRPr="00D87759">
        <w:rPr>
          <w:rFonts w:ascii="Palatino Linotype" w:eastAsia="Palatino Linotype" w:hAnsi="Palatino Linotype" w:cs="Palatino Linotype"/>
          <w:b/>
          <w:i/>
          <w:color w:val="000000"/>
          <w:sz w:val="22"/>
          <w:szCs w:val="22"/>
        </w:rPr>
        <w:t>al existir la ausencia de atribuciones que se consideran una cuestión de derecho</w:t>
      </w:r>
      <w:r w:rsidRPr="00D87759">
        <w:rPr>
          <w:rFonts w:ascii="Palatino Linotype" w:eastAsia="Palatino Linotype" w:hAnsi="Palatino Linotype" w:cs="Palatino Linotype"/>
          <w:i/>
          <w:color w:val="000000"/>
          <w:sz w:val="22"/>
          <w:szCs w:val="22"/>
        </w:rPr>
        <w:t xml:space="preserve">, el Comité de Transparencia no está obligado a declarar formalmente la inexistencia de la información, como lo establece expresamente el criterio siguiente del INAI: Criterio 07/10 No será necesario que el Comité </w:t>
      </w:r>
      <w:r w:rsidRPr="00D87759">
        <w:rPr>
          <w:rFonts w:ascii="Palatino Linotype" w:eastAsia="Palatino Linotype" w:hAnsi="Palatino Linotype" w:cs="Palatino Linotype"/>
          <w:i/>
          <w:color w:val="000000"/>
          <w:sz w:val="22"/>
          <w:szCs w:val="22"/>
        </w:rPr>
        <w:lastRenderedPageBreak/>
        <w:t xml:space="preserve">de Información declare formalmente la inexistencia, cuando del análisis a la normatividad aplicable no se desprenda obligación alguna de contar con la información solicitada ni se advierta algún otro elemento de convicción que apunte a su existencia. La Ley Federal de Transparencia y Acceso a la Información Pública Gubernamental y su Reglamento prevén un procedimiento a seguir para declarar formalmente la inexistencia por parte de las dependencias y entidades de la Administración Pública Federal. Éste implica, entre otras cosas, que los Comités de Información confirmen la inexistencia manifestada por las unidades administrativas competentes que hubiesen realizado la búsqueda de la información que se solicitó. No obstante lo anterior, existen situaciones en las que, por una parte al analizar la normatividad aplicable a la materia de la solicitud, no se advierte obligación alguna por parte de las dependencias y entidades de contar con la información y, por otra, no se tienen suficientes elementos de convicción que permitan suponer que ésta existe. En estos casos, se considera que no es necesario que el Comité de Información declare formalmente la inexistencia de los documentos requeridos. En razón de lo anterior, </w:t>
      </w:r>
      <w:r w:rsidRPr="00D87759">
        <w:rPr>
          <w:rFonts w:ascii="Palatino Linotype" w:eastAsia="Palatino Linotype" w:hAnsi="Palatino Linotype" w:cs="Palatino Linotype"/>
          <w:b/>
          <w:i/>
          <w:color w:val="000000"/>
          <w:sz w:val="22"/>
          <w:szCs w:val="22"/>
        </w:rPr>
        <w:t xml:space="preserve">al no constituir lo solicitado una facultad que se encuentre en el marco competencial de esta Secretaría, </w:t>
      </w:r>
      <w:r w:rsidRPr="00D87759">
        <w:rPr>
          <w:rFonts w:ascii="Palatino Linotype" w:eastAsia="Palatino Linotype" w:hAnsi="Palatino Linotype" w:cs="Palatino Linotype"/>
          <w:i/>
          <w:color w:val="000000"/>
          <w:sz w:val="22"/>
          <w:szCs w:val="22"/>
        </w:rPr>
        <w:t>con fundamento en lo dispuesto en los artículos 19 y 167 de la Ley de Transparencia y Acceso a la Información Pública del Estado de México y Municipios</w:t>
      </w:r>
      <w:r w:rsidRPr="00D87759">
        <w:rPr>
          <w:rFonts w:ascii="Palatino Linotype" w:eastAsia="Palatino Linotype" w:hAnsi="Palatino Linotype" w:cs="Palatino Linotype"/>
          <w:b/>
          <w:i/>
          <w:color w:val="000000"/>
          <w:sz w:val="22"/>
          <w:szCs w:val="22"/>
        </w:rPr>
        <w:t>, me permito orientarle a efecto de que, en caso de estimarlo conveniente, puede dirigir su solicitud a: o La Comisión Estatal de Parques Naturales y de la Fauna (CEPANAF), con dirección en carretera Metepec-Santa María Nativitas km7, 52200 Calimaya, Méx. en horario de atención de lunes a viernes de 9:00 a 18:00 horas; teléfono: 722 481 3121; o a través del Sistema de Acceso a la Información Mexiquense (SAIMEX). • distinguiendo de manera precisa también que la CEPANAF es un sujeto obligado distinto a esta Secretaría y tiene carácter de Organismo Público Descentralizado con personalidad jurídica y patrimonio propios, a quien le corresponderá dar atención a ese aspecto de la solicitud</w:t>
      </w:r>
      <w:r w:rsidRPr="00D87759">
        <w:rPr>
          <w:rFonts w:ascii="Palatino Linotype" w:eastAsia="Palatino Linotype" w:hAnsi="Palatino Linotype" w:cs="Palatino Linotype"/>
          <w:i/>
          <w:color w:val="000000"/>
          <w:sz w:val="22"/>
          <w:szCs w:val="22"/>
        </w:rPr>
        <w:t>…” (Sic)</w:t>
      </w:r>
    </w:p>
    <w:p w:rsidR="00F76EAA" w:rsidRPr="00D87759" w:rsidRDefault="00F76EAA" w:rsidP="00F35EB1">
      <w:pPr>
        <w:ind w:left="567" w:right="539"/>
        <w:jc w:val="both"/>
        <w:rPr>
          <w:rFonts w:ascii="Palatino Linotype" w:eastAsia="Palatino Linotype" w:hAnsi="Palatino Linotype" w:cs="Palatino Linotype"/>
          <w:i/>
          <w:sz w:val="22"/>
          <w:szCs w:val="22"/>
        </w:rPr>
      </w:pPr>
    </w:p>
    <w:p w:rsidR="00F76EAA" w:rsidRPr="00D87759" w:rsidRDefault="000E4780" w:rsidP="00F35EB1">
      <w:pPr>
        <w:ind w:right="539"/>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Archivos electrónicos adjuntos:</w:t>
      </w:r>
    </w:p>
    <w:p w:rsidR="00F76EAA" w:rsidRPr="00D87759" w:rsidRDefault="00F76EAA" w:rsidP="00F35EB1">
      <w:pPr>
        <w:ind w:left="567" w:right="539"/>
        <w:jc w:val="both"/>
        <w:rPr>
          <w:rFonts w:ascii="Palatino Linotype" w:eastAsia="Palatino Linotype" w:hAnsi="Palatino Linotype" w:cs="Palatino Linotype"/>
          <w:b/>
          <w:sz w:val="22"/>
          <w:szCs w:val="22"/>
        </w:rPr>
      </w:pPr>
    </w:p>
    <w:p w:rsidR="00F76EAA" w:rsidRPr="00D87759" w:rsidRDefault="00F5600E" w:rsidP="00F35EB1">
      <w:pPr>
        <w:ind w:left="567" w:right="539"/>
        <w:jc w:val="both"/>
        <w:rPr>
          <w:rFonts w:ascii="Palatino Linotype" w:eastAsia="Palatino Linotype" w:hAnsi="Palatino Linotype" w:cs="Palatino Linotype"/>
          <w:b/>
          <w:sz w:val="22"/>
          <w:szCs w:val="22"/>
        </w:rPr>
      </w:pPr>
      <w:hyperlink r:id="rId8">
        <w:r w:rsidR="000E4780" w:rsidRPr="00D87759">
          <w:rPr>
            <w:rFonts w:ascii="Palatino Linotype" w:eastAsia="Palatino Linotype" w:hAnsi="Palatino Linotype" w:cs="Palatino Linotype"/>
            <w:b/>
            <w:color w:val="0563C1"/>
            <w:sz w:val="22"/>
            <w:szCs w:val="22"/>
            <w:u w:val="single"/>
          </w:rPr>
          <w:t>REGLAMENTO INTERIOR SMADS.pdf</w:t>
        </w:r>
      </w:hyperlink>
      <w:r w:rsidR="000E4780" w:rsidRPr="00D87759">
        <w:rPr>
          <w:rFonts w:ascii="Palatino Linotype" w:eastAsia="Palatino Linotype" w:hAnsi="Palatino Linotype" w:cs="Palatino Linotype"/>
          <w:b/>
          <w:sz w:val="22"/>
          <w:szCs w:val="22"/>
        </w:rPr>
        <w:t xml:space="preserve">: </w:t>
      </w:r>
      <w:r w:rsidR="000E4780" w:rsidRPr="00D87759">
        <w:rPr>
          <w:rFonts w:ascii="Palatino Linotype" w:eastAsia="Palatino Linotype" w:hAnsi="Palatino Linotype" w:cs="Palatino Linotype"/>
          <w:sz w:val="22"/>
          <w:szCs w:val="22"/>
        </w:rPr>
        <w:t>Reglamento Interior de la Secretaría del Medio Ambiente y Desarrollo Sostenible en formato PDF.</w:t>
      </w:r>
    </w:p>
    <w:p w:rsidR="00F76EAA" w:rsidRPr="00D87759" w:rsidRDefault="00F76EAA" w:rsidP="00F35EB1">
      <w:pPr>
        <w:jc w:val="both"/>
        <w:rPr>
          <w:rFonts w:ascii="Palatino Linotype" w:eastAsia="Palatino Linotype" w:hAnsi="Palatino Linotype" w:cs="Palatino Linotype"/>
          <w:b/>
          <w:i/>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El cuatro de noviembre de dos mil veinticuatro,</w:t>
      </w:r>
      <w:r w:rsidRPr="00D87759">
        <w:rPr>
          <w:rFonts w:ascii="Palatino Linotype" w:eastAsia="Palatino Linotype" w:hAnsi="Palatino Linotype" w:cs="Palatino Linotype"/>
          <w:b/>
          <w:sz w:val="22"/>
          <w:szCs w:val="22"/>
        </w:rPr>
        <w:t xml:space="preserve"> </w:t>
      </w:r>
      <w:r w:rsidRPr="00D87759">
        <w:rPr>
          <w:rFonts w:ascii="Palatino Linotype" w:eastAsia="Palatino Linotype" w:hAnsi="Palatino Linotype" w:cs="Palatino Linotype"/>
          <w:sz w:val="22"/>
          <w:szCs w:val="22"/>
        </w:rPr>
        <w:t xml:space="preserve">el </w:t>
      </w:r>
      <w:r w:rsidRPr="00D87759">
        <w:rPr>
          <w:rFonts w:ascii="Palatino Linotype" w:eastAsia="Palatino Linotype" w:hAnsi="Palatino Linotype" w:cs="Palatino Linotype"/>
          <w:b/>
          <w:sz w:val="22"/>
          <w:szCs w:val="22"/>
        </w:rPr>
        <w:t>RECURRENTE</w:t>
      </w:r>
      <w:r w:rsidRPr="00D87759">
        <w:rPr>
          <w:rFonts w:ascii="Palatino Linotype" w:eastAsia="Palatino Linotype" w:hAnsi="Palatino Linotype" w:cs="Palatino Linotype"/>
          <w:sz w:val="22"/>
          <w:szCs w:val="22"/>
        </w:rPr>
        <w:t xml:space="preserve"> interpuso el recurso de revisión en contra de la respuesta, señalando como:</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b/>
          <w:sz w:val="22"/>
          <w:szCs w:val="22"/>
        </w:rPr>
        <w:lastRenderedPageBreak/>
        <w:t>Acto impugnado:</w:t>
      </w:r>
      <w:r w:rsidRPr="00D87759">
        <w:rPr>
          <w:rFonts w:ascii="Palatino Linotype" w:eastAsia="Palatino Linotype" w:hAnsi="Palatino Linotype" w:cs="Palatino Linotype"/>
          <w:i/>
          <w:color w:val="000000"/>
          <w:sz w:val="22"/>
          <w:szCs w:val="22"/>
        </w:rPr>
        <w:t xml:space="preserve"> “La información solicitada fue negada ante el supuesto de no contar con las atribuciones.” (Sic) </w:t>
      </w:r>
    </w:p>
    <w:p w:rsidR="00F76EAA" w:rsidRPr="00D87759" w:rsidRDefault="00F76EAA" w:rsidP="00F35EB1">
      <w:pPr>
        <w:ind w:right="539"/>
        <w:jc w:val="both"/>
        <w:rPr>
          <w:rFonts w:ascii="Palatino Linotype" w:eastAsia="Palatino Linotype" w:hAnsi="Palatino Linotype" w:cs="Palatino Linotype"/>
          <w:sz w:val="22"/>
          <w:szCs w:val="22"/>
        </w:rPr>
      </w:pPr>
    </w:p>
    <w:p w:rsidR="00F76EAA" w:rsidRPr="00D87759" w:rsidRDefault="000E4780" w:rsidP="00F35EB1">
      <w:pPr>
        <w:ind w:left="567" w:right="539"/>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 xml:space="preserve">Razones o Motivos de inconformidad: </w:t>
      </w:r>
      <w:r w:rsidRPr="00D87759">
        <w:rPr>
          <w:rFonts w:ascii="Palatino Linotype" w:eastAsia="Palatino Linotype" w:hAnsi="Palatino Linotype" w:cs="Palatino Linotype"/>
          <w:i/>
          <w:sz w:val="22"/>
          <w:szCs w:val="22"/>
        </w:rPr>
        <w:t>“L</w:t>
      </w:r>
      <w:r w:rsidRPr="00D87759">
        <w:rPr>
          <w:rFonts w:ascii="Palatino Linotype" w:eastAsia="Palatino Linotype" w:hAnsi="Palatino Linotype" w:cs="Palatino Linotype"/>
          <w:i/>
          <w:color w:val="000000"/>
          <w:sz w:val="22"/>
          <w:szCs w:val="22"/>
        </w:rPr>
        <w:t xml:space="preserve">a Secretaría de Medio Ambiente del Estado de México cuenta con la Dirección General para el Territorio Sostenible que evalúa, en materia de impacto y riesgo ambiental, las obras y actividades industriales, públicas o privadas en el territorio del Estado de México, o la realización de aquellas actividades que puedan tener como consecuencia la afectación a la biodiversidad, mediante el análisis de los estudios de impacto ambiental. Que tiene por funciones: Funciones Promover dentro del ámbito de sus atribuciones el cumplimiento de las actividades en materia de ordenamiento ecológico e impacto y riesgo ambiental, conforme a lo establecido en las disposiciones jurídicas aplicables. Emitir autorizaciones para la ejecución de obras y actividades públicas o privadas, con base en la evaluación del impacto y/o riesgo ambiental, de conformidad con las disposiciones jurídicas aplicables en la materia. Establecer los lineamientos, mecanismos y procedimientos para el dictamen de ordenamiento ecológico, y la evaluación del impacto y/o riesgo ambiental. Planear, programar, presupuestar, instrumentar y en su caso revisar con la Secretaria del Campo programas especiales de desarrollo del territorio bajo los principios de sostenibilidad en regiones prioritarias por su importancia en materia de biodiversidad. Determinar las obras y actividades que por su naturaleza generen impacto y/o riesgo ambiental, y que puedan derivar en afectaciones a la salud o a los bienes de los habitantes de la entidad. Emitir opinión técnica en materia de impacto ambiental de las actividades y obras de competencia federal que, se desarrollen en el territorio del Estado de México. Integrar, administrar y disponer para consulta de las personas que así lo soliciten, datos sobre informe previos de manifestaciones de impacto ambiental y estudios de riesgo ambiental, aplicando para su difusión las disposiciones jurídicas aplicables en la materia. Establecer el esquema y/o herramienta para el seguimiento al cumplimiento de las condicionantes de los resolutivos emitidos en materia de ordenamiento ecológico e impacto y riesgo ambiental por esta Dirección General, de conformidad con lo establecido en las disposiciones jurídicas aplicables. Difundir los programas y estrategias relacionadas con el equilibrio ecológico y la protección del ambiente para fomentar la participación de la sociedad en materia de ordenamiento ecológico del territorio Desarrollar mecanismos para colaborar con las autoridades competentes, en la conservación del patrimonio histórico, cultural, natural y paisajístico, así como respetar y hacer respetar su conservación en la ejecución de obras públicas y en los programas de desarrollo urbano Llevar a cabo, la revocación de las resoluciones emitidas en materia de impacto y/o riesgo ambiental, emitidas por la Dirección General, de conformidad con lo establecido en las disposiciones </w:t>
      </w:r>
      <w:r w:rsidRPr="00D87759">
        <w:rPr>
          <w:rFonts w:ascii="Palatino Linotype" w:eastAsia="Palatino Linotype" w:hAnsi="Palatino Linotype" w:cs="Palatino Linotype"/>
          <w:i/>
          <w:color w:val="000000"/>
          <w:sz w:val="22"/>
          <w:szCs w:val="22"/>
        </w:rPr>
        <w:lastRenderedPageBreak/>
        <w:t>jurídicas aplicables. Desarrollar las demás funciones inherentes al área de su competencia.</w:t>
      </w:r>
      <w:r w:rsidRPr="00D87759">
        <w:rPr>
          <w:rFonts w:ascii="Palatino Linotype" w:eastAsia="Palatino Linotype" w:hAnsi="Palatino Linotype" w:cs="Palatino Linotype"/>
          <w:i/>
          <w:sz w:val="22"/>
          <w:szCs w:val="22"/>
        </w:rPr>
        <w:t>”(Sic)</w:t>
      </w:r>
      <w:r w:rsidRPr="00D87759">
        <w:rPr>
          <w:rFonts w:ascii="Palatino Linotype" w:eastAsia="Palatino Linotype" w:hAnsi="Palatino Linotype" w:cs="Palatino Linotype"/>
          <w:b/>
          <w:sz w:val="22"/>
          <w:szCs w:val="22"/>
        </w:rPr>
        <w:t xml:space="preserve"> </w:t>
      </w:r>
    </w:p>
    <w:p w:rsidR="00F76EAA" w:rsidRPr="00D87759" w:rsidRDefault="00F76EAA" w:rsidP="00F35EB1">
      <w:pPr>
        <w:ind w:right="539"/>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D87759">
        <w:rPr>
          <w:rFonts w:ascii="Palatino Linotype" w:eastAsia="Palatino Linotype" w:hAnsi="Palatino Linotype" w:cs="Palatino Linotype"/>
          <w:b/>
          <w:sz w:val="22"/>
          <w:szCs w:val="22"/>
        </w:rPr>
        <w:t xml:space="preserve">Ley de Transparencia y Acceso a la Información Pública del Estado de México y Municipios </w:t>
      </w:r>
      <w:r w:rsidRPr="00D87759">
        <w:rPr>
          <w:rFonts w:ascii="Palatino Linotype" w:eastAsia="Palatino Linotype" w:hAnsi="Palatino Linotype" w:cs="Palatino Linotype"/>
          <w:sz w:val="22"/>
          <w:szCs w:val="22"/>
        </w:rPr>
        <w:t xml:space="preserve">se turna a la </w:t>
      </w:r>
      <w:r w:rsidRPr="00D87759">
        <w:rPr>
          <w:rFonts w:ascii="Palatino Linotype" w:eastAsia="Palatino Linotype" w:hAnsi="Palatino Linotype" w:cs="Palatino Linotype"/>
          <w:b/>
          <w:sz w:val="22"/>
          <w:szCs w:val="22"/>
        </w:rPr>
        <w:t xml:space="preserve">Comisionada María del Rosario Mejía Ayala, </w:t>
      </w:r>
      <w:r w:rsidRPr="00D87759">
        <w:rPr>
          <w:rFonts w:ascii="Palatino Linotype" w:eastAsia="Palatino Linotype" w:hAnsi="Palatino Linotype" w:cs="Palatino Linotype"/>
          <w:sz w:val="22"/>
          <w:szCs w:val="22"/>
        </w:rPr>
        <w:t xml:space="preserve">para su análisis. </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trece de noviembre de dos mil veinticuatro, puso a disposición de las partes el expediente electrónico vía </w:t>
      </w:r>
      <w:r w:rsidRPr="00D87759">
        <w:rPr>
          <w:rFonts w:ascii="Palatino Linotype" w:eastAsia="Palatino Linotype" w:hAnsi="Palatino Linotype" w:cs="Palatino Linotype"/>
          <w:b/>
          <w:sz w:val="22"/>
          <w:szCs w:val="22"/>
        </w:rPr>
        <w:t xml:space="preserve">SAIMEX </w:t>
      </w:r>
      <w:r w:rsidRPr="00D87759">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presentará el informe justificado procedente. </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sz w:val="22"/>
          <w:szCs w:val="22"/>
        </w:rPr>
        <w:t xml:space="preserve">El veintidós de noviembre de dos mil veinticuatro,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emitió el informe justificado correspondiente, a través del archivo electrónico denominado </w:t>
      </w:r>
      <w:r w:rsidRPr="00D87759">
        <w:rPr>
          <w:rFonts w:ascii="Palatino Linotype" w:eastAsia="Palatino Linotype" w:hAnsi="Palatino Linotype" w:cs="Palatino Linotype"/>
          <w:b/>
          <w:sz w:val="22"/>
          <w:szCs w:val="22"/>
        </w:rPr>
        <w:t xml:space="preserve">“Informe Justificado RR7048.pdf”, </w:t>
      </w:r>
      <w:r w:rsidRPr="00D87759">
        <w:rPr>
          <w:rFonts w:ascii="Palatino Linotype" w:eastAsia="Palatino Linotype" w:hAnsi="Palatino Linotype" w:cs="Palatino Linotype"/>
          <w:sz w:val="22"/>
          <w:szCs w:val="22"/>
        </w:rPr>
        <w:t>consistente en un oficio suscrito por el Titular de la Unidad de Transparencia, por medio del cual,</w:t>
      </w:r>
      <w:r w:rsidRPr="00D87759">
        <w:rPr>
          <w:rFonts w:ascii="Palatino Linotype" w:eastAsia="Palatino Linotype" w:hAnsi="Palatino Linotype" w:cs="Palatino Linotype"/>
          <w:b/>
          <w:sz w:val="22"/>
          <w:szCs w:val="22"/>
        </w:rPr>
        <w:t xml:space="preserve"> ratificó la respuesta.</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Por su parte, el </w:t>
      </w:r>
      <w:r w:rsidRPr="00D87759">
        <w:rPr>
          <w:rFonts w:ascii="Palatino Linotype" w:eastAsia="Palatino Linotype" w:hAnsi="Palatino Linotype" w:cs="Palatino Linotype"/>
          <w:b/>
          <w:sz w:val="22"/>
          <w:szCs w:val="22"/>
        </w:rPr>
        <w:t xml:space="preserve">RECURRENTE </w:t>
      </w:r>
      <w:r w:rsidRPr="00D87759">
        <w:rPr>
          <w:rFonts w:ascii="Palatino Linotype" w:eastAsia="Palatino Linotype" w:hAnsi="Palatino Linotype" w:cs="Palatino Linotype"/>
          <w:sz w:val="22"/>
          <w:szCs w:val="22"/>
        </w:rPr>
        <w:t>no realizó manifestaciones, ni ofreció pruebas o alegatos que a su derecho conviniera.</w:t>
      </w:r>
    </w:p>
    <w:p w:rsidR="00F76EAA" w:rsidRPr="00D87759" w:rsidRDefault="00F76EAA" w:rsidP="00F35EB1">
      <w:pPr>
        <w:spacing w:line="360" w:lineRule="auto"/>
        <w:jc w:val="both"/>
        <w:rPr>
          <w:rFonts w:ascii="Palatino Linotype" w:eastAsia="Palatino Linotype" w:hAnsi="Palatino Linotype" w:cs="Palatino Linotype"/>
          <w:i/>
          <w:color w:val="000000"/>
          <w:sz w:val="22"/>
          <w:szCs w:val="22"/>
        </w:rPr>
      </w:pPr>
    </w:p>
    <w:p w:rsidR="00F76EAA" w:rsidRPr="00D87759" w:rsidRDefault="000E4780" w:rsidP="00F35EB1">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El seis de febrero de dos mil veinticinco, se notificó el acuerdo mediante el cual se amplió el plazo para emitir resolución por un periodo de quince días hábiles.</w:t>
      </w:r>
    </w:p>
    <w:p w:rsidR="00F76EAA" w:rsidRPr="00D87759" w:rsidRDefault="00F76EAA" w:rsidP="00F35EB1">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lastRenderedPageBreak/>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F76EAA" w:rsidRPr="00D87759" w:rsidRDefault="00F76EAA" w:rsidP="00F35EB1">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u w:val="single"/>
        </w:rPr>
      </w:pPr>
    </w:p>
    <w:p w:rsidR="00F76EAA" w:rsidRPr="00D87759" w:rsidRDefault="000E4780" w:rsidP="00F35EB1">
      <w:pPr>
        <w:numPr>
          <w:ilvl w:val="0"/>
          <w:numId w:val="2"/>
        </w:numPr>
        <w:pBdr>
          <w:top w:val="nil"/>
          <w:left w:val="nil"/>
          <w:bottom w:val="nil"/>
          <w:right w:val="nil"/>
          <w:between w:val="nil"/>
        </w:pBdr>
        <w:spacing w:line="360" w:lineRule="auto"/>
        <w:ind w:left="0" w:hanging="11"/>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F76EAA" w:rsidRPr="00D87759" w:rsidRDefault="00F76EAA" w:rsidP="00F35EB1">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76EAA" w:rsidRPr="00D87759" w:rsidRDefault="00F76EAA" w:rsidP="00F35EB1">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F76EAA" w:rsidRPr="00D87759" w:rsidRDefault="00F76EAA" w:rsidP="00F35EB1">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Por ello, excepcionalmente, si un asunto es resuelto con posterioridad a los plazos señalados por la norma debe analizarse la razonabilidad del tiempo necesario para su resolución, atentos a los siguientes criterios:</w:t>
      </w:r>
    </w:p>
    <w:p w:rsidR="00F76EAA" w:rsidRPr="00D87759" w:rsidRDefault="00F76EAA" w:rsidP="00F35EB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76EAA" w:rsidRPr="00D87759" w:rsidRDefault="000E4780" w:rsidP="00F35EB1">
      <w:pPr>
        <w:pBdr>
          <w:top w:val="nil"/>
          <w:left w:val="nil"/>
          <w:bottom w:val="nil"/>
          <w:right w:val="nil"/>
          <w:between w:val="nil"/>
        </w:pBdr>
        <w:ind w:left="567" w:right="539"/>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lastRenderedPageBreak/>
        <w:t>a) Complejidad del asunto: La complejidad de la prueba, la pluralidad de sujetos procesales, el tiempo transcurrido, las características y contexto del recurso.</w:t>
      </w:r>
    </w:p>
    <w:p w:rsidR="00F76EAA" w:rsidRPr="00D87759" w:rsidRDefault="000E4780" w:rsidP="00F35EB1">
      <w:pPr>
        <w:pBdr>
          <w:top w:val="nil"/>
          <w:left w:val="nil"/>
          <w:bottom w:val="nil"/>
          <w:right w:val="nil"/>
          <w:between w:val="nil"/>
        </w:pBdr>
        <w:ind w:left="567" w:right="539"/>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b) Actividad Procesal del interesado: Acciones u omisiones del interesado.</w:t>
      </w:r>
    </w:p>
    <w:p w:rsidR="00F76EAA" w:rsidRPr="00D87759" w:rsidRDefault="000E4780" w:rsidP="00F35EB1">
      <w:pPr>
        <w:pBdr>
          <w:top w:val="nil"/>
          <w:left w:val="nil"/>
          <w:bottom w:val="nil"/>
          <w:right w:val="nil"/>
          <w:between w:val="nil"/>
        </w:pBdr>
        <w:ind w:left="567" w:right="539"/>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rsidR="00F76EAA" w:rsidRPr="00D87759" w:rsidRDefault="000E4780" w:rsidP="00F35EB1">
      <w:pPr>
        <w:pBdr>
          <w:top w:val="nil"/>
          <w:left w:val="nil"/>
          <w:bottom w:val="nil"/>
          <w:right w:val="nil"/>
          <w:between w:val="nil"/>
        </w:pBdr>
        <w:ind w:left="567" w:right="539"/>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rsidR="00F76EAA" w:rsidRPr="00D87759" w:rsidRDefault="00F76EAA" w:rsidP="00F35EB1">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76EAA" w:rsidRPr="00D87759" w:rsidRDefault="00F76EAA" w:rsidP="00F35EB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 xml:space="preserve">Argumento que encuentra sustento en la jurisprudencia P./J. 32/92 emitida por el Pleno de la Suprema Corte de Justicia de la Nación </w:t>
      </w:r>
      <w:r w:rsidRPr="00D87759">
        <w:rPr>
          <w:rFonts w:ascii="Palatino Linotype" w:eastAsia="Palatino Linotype" w:hAnsi="Palatino Linotype" w:cs="Palatino Linotype"/>
          <w:sz w:val="22"/>
          <w:szCs w:val="22"/>
        </w:rPr>
        <w:t>del rubro</w:t>
      </w:r>
      <w:r w:rsidRPr="00D87759">
        <w:rPr>
          <w:rFonts w:ascii="Palatino Linotype" w:eastAsia="Palatino Linotype" w:hAnsi="Palatino Linotype" w:cs="Palatino Linotype"/>
          <w:color w:val="000000"/>
          <w:sz w:val="22"/>
          <w:szCs w:val="22"/>
        </w:rPr>
        <w:t xml:space="preserve"> “TÉRMINOS PROCESALES. PARA DETERMINAR SI UN FUNCIONARIO JUDICIAL ACTUÓ INDEBIDAMENTE POR NO RESPETARLOS SE DEBE ATENDER AL PRESUPUESTO QUE CONSIDERÓ EL LEGISLADOR AL FIJARLOS Y LAS CARACTERÍSTICAS DEL CASO.”, visible en la Gaceta del </w:t>
      </w:r>
      <w:r w:rsidRPr="00D87759">
        <w:rPr>
          <w:rFonts w:ascii="Palatino Linotype" w:eastAsia="Palatino Linotype" w:hAnsi="Palatino Linotype" w:cs="Palatino Linotype"/>
          <w:sz w:val="22"/>
          <w:szCs w:val="22"/>
        </w:rPr>
        <w:t>Semanario</w:t>
      </w:r>
      <w:r w:rsidRPr="00D87759">
        <w:rPr>
          <w:rFonts w:ascii="Palatino Linotype" w:eastAsia="Palatino Linotype" w:hAnsi="Palatino Linotype" w:cs="Palatino Linotype"/>
          <w:color w:val="000000"/>
          <w:sz w:val="22"/>
          <w:szCs w:val="22"/>
        </w:rPr>
        <w:t xml:space="preserve"> Judicial de la Federación con el registro digital 205635.</w:t>
      </w:r>
    </w:p>
    <w:p w:rsidR="00F76EAA" w:rsidRPr="00D87759" w:rsidRDefault="00F76EAA" w:rsidP="00F35EB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w:t>
      </w:r>
      <w:r w:rsidRPr="00D87759">
        <w:rPr>
          <w:rFonts w:ascii="Palatino Linotype" w:eastAsia="Palatino Linotype" w:hAnsi="Palatino Linotype" w:cs="Palatino Linotype"/>
          <w:color w:val="000000"/>
          <w:sz w:val="22"/>
          <w:szCs w:val="22"/>
        </w:rPr>
        <w:lastRenderedPageBreak/>
        <w:t>y pruebas aportadas y desahogadas por las partes; lo que impide la tramitación de los recursos dentro de los términos legales previamente establecidos por la Ley, por tratarse de causas de fuerza mayor.</w:t>
      </w:r>
    </w:p>
    <w:p w:rsidR="00F76EAA" w:rsidRPr="00D87759" w:rsidRDefault="00F76EAA" w:rsidP="00F35EB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76EAA" w:rsidRPr="00D87759" w:rsidRDefault="000E4780" w:rsidP="00F35EB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rsidR="00F76EAA" w:rsidRPr="00D87759" w:rsidRDefault="00F76EAA" w:rsidP="00F35EB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76EAA" w:rsidRPr="00D87759" w:rsidRDefault="000E4780" w:rsidP="00F35EB1">
      <w:pPr>
        <w:pBdr>
          <w:top w:val="nil"/>
          <w:left w:val="nil"/>
          <w:bottom w:val="nil"/>
          <w:right w:val="nil"/>
          <w:between w:val="nil"/>
        </w:pBdr>
        <w:ind w:left="567" w:right="539"/>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sidRPr="00D87759">
        <w:rPr>
          <w:rFonts w:ascii="Palatino Linotype" w:eastAsia="Palatino Linotype" w:hAnsi="Palatino Linotype" w:cs="Palatino Linotype"/>
          <w:sz w:val="22"/>
          <w:szCs w:val="22"/>
        </w:rPr>
        <w:t>a</w:t>
      </w:r>
      <w:r w:rsidRPr="00D87759">
        <w:rPr>
          <w:rFonts w:ascii="Palatino Linotype" w:eastAsia="Palatino Linotype" w:hAnsi="Palatino Linotype" w:cs="Palatino Linotype"/>
          <w:color w:val="000000"/>
          <w:sz w:val="22"/>
          <w:szCs w:val="22"/>
        </w:rPr>
        <w:t>nario Judicial de la Federación y su gaceta, con el registro digital 2002351.</w:t>
      </w:r>
    </w:p>
    <w:p w:rsidR="00F76EAA" w:rsidRPr="00D87759" w:rsidRDefault="000E4780" w:rsidP="00F35EB1">
      <w:pPr>
        <w:pBdr>
          <w:top w:val="nil"/>
          <w:left w:val="nil"/>
          <w:bottom w:val="nil"/>
          <w:right w:val="nil"/>
          <w:between w:val="nil"/>
        </w:pBdr>
        <w:spacing w:after="240"/>
        <w:ind w:left="567" w:right="539"/>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w:t>
      </w:r>
      <w:r w:rsidRPr="00D87759">
        <w:rPr>
          <w:rFonts w:ascii="Palatino Linotype" w:eastAsia="Palatino Linotype" w:hAnsi="Palatino Linotype" w:cs="Palatino Linotype"/>
          <w:sz w:val="22"/>
          <w:szCs w:val="22"/>
        </w:rPr>
        <w:t>a</w:t>
      </w:r>
      <w:r w:rsidRPr="00D87759">
        <w:rPr>
          <w:rFonts w:ascii="Palatino Linotype" w:eastAsia="Palatino Linotype" w:hAnsi="Palatino Linotype" w:cs="Palatino Linotype"/>
          <w:color w:val="000000"/>
          <w:sz w:val="22"/>
          <w:szCs w:val="22"/>
        </w:rPr>
        <w:t>nario Judicial de la Federación y su gaceta, con el registro digital 2002350.”</w:t>
      </w:r>
    </w:p>
    <w:p w:rsidR="00F76EAA" w:rsidRPr="00D87759" w:rsidRDefault="00F76EAA" w:rsidP="00F35EB1">
      <w:pPr>
        <w:spacing w:before="240" w:after="240"/>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La Comisionada Ponente decretó el cierre de instrucción mediante el acuerdo del seis de febrero de dos mil veinticinco.-------------------------------------------------------------------------------</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keepNext/>
        <w:keepLines/>
        <w:spacing w:line="360" w:lineRule="auto"/>
        <w:jc w:val="center"/>
        <w:rPr>
          <w:rFonts w:ascii="Palatino Linotype" w:eastAsia="Palatino Linotype" w:hAnsi="Palatino Linotype" w:cs="Palatino Linotype"/>
          <w:sz w:val="22"/>
          <w:szCs w:val="22"/>
        </w:rPr>
      </w:pPr>
      <w:r w:rsidRPr="00D87759">
        <w:rPr>
          <w:rFonts w:ascii="Palatino Linotype" w:eastAsia="Palatino Linotype" w:hAnsi="Palatino Linotype" w:cs="Palatino Linotype"/>
          <w:b/>
          <w:sz w:val="22"/>
          <w:szCs w:val="22"/>
        </w:rPr>
        <w:t xml:space="preserve">C O N S I D E R A N D O </w:t>
      </w:r>
    </w:p>
    <w:p w:rsidR="00F76EAA" w:rsidRPr="00D87759" w:rsidRDefault="00F76EAA" w:rsidP="00F35EB1">
      <w:pPr>
        <w:spacing w:line="360" w:lineRule="auto"/>
        <w:rPr>
          <w:rFonts w:ascii="Palatino Linotype" w:eastAsia="Palatino Linotype" w:hAnsi="Palatino Linotype" w:cs="Palatino Linotype"/>
          <w:sz w:val="22"/>
          <w:szCs w:val="22"/>
        </w:rPr>
      </w:pPr>
    </w:p>
    <w:p w:rsidR="00F76EAA" w:rsidRPr="00D87759" w:rsidRDefault="000E4780" w:rsidP="00F35EB1">
      <w:pPr>
        <w:keepNext/>
        <w:keepLines/>
        <w:spacing w:line="360" w:lineRule="auto"/>
        <w:rPr>
          <w:rFonts w:ascii="Palatino Linotype" w:eastAsia="Palatino Linotype" w:hAnsi="Palatino Linotype" w:cs="Palatino Linotype"/>
          <w:b/>
          <w:sz w:val="22"/>
          <w:szCs w:val="22"/>
        </w:rPr>
      </w:pPr>
      <w:bookmarkStart w:id="2" w:name="_heading=h.3znysh7" w:colFirst="0" w:colLast="0"/>
      <w:bookmarkEnd w:id="2"/>
      <w:r w:rsidRPr="00D87759">
        <w:rPr>
          <w:rFonts w:ascii="Palatino Linotype" w:eastAsia="Palatino Linotype" w:hAnsi="Palatino Linotype" w:cs="Palatino Linotype"/>
          <w:b/>
          <w:sz w:val="22"/>
          <w:szCs w:val="22"/>
        </w:rPr>
        <w:lastRenderedPageBreak/>
        <w:t>PRIMERO. De la competencia.</w:t>
      </w: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keepNext/>
        <w:keepLines/>
        <w:spacing w:line="360" w:lineRule="auto"/>
        <w:rPr>
          <w:rFonts w:ascii="Palatino Linotype" w:eastAsia="Palatino Linotype" w:hAnsi="Palatino Linotype" w:cs="Palatino Linotype"/>
          <w:b/>
          <w:sz w:val="22"/>
          <w:szCs w:val="22"/>
        </w:rPr>
      </w:pPr>
      <w:bookmarkStart w:id="3" w:name="_heading=h.2et92p0" w:colFirst="0" w:colLast="0"/>
      <w:bookmarkEnd w:id="3"/>
      <w:r w:rsidRPr="00D87759">
        <w:rPr>
          <w:rFonts w:ascii="Palatino Linotype" w:eastAsia="Palatino Linotype" w:hAnsi="Palatino Linotype" w:cs="Palatino Linotype"/>
          <w:b/>
          <w:sz w:val="22"/>
          <w:szCs w:val="22"/>
        </w:rPr>
        <w:t>SEGUNDO. De la oportunidad y procedencia.</w:t>
      </w: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El medio de impugnación fue presentado a través del </w:t>
      </w:r>
      <w:r w:rsidRPr="00D87759">
        <w:rPr>
          <w:rFonts w:ascii="Palatino Linotype" w:eastAsia="Palatino Linotype" w:hAnsi="Palatino Linotype" w:cs="Palatino Linotype"/>
          <w:b/>
          <w:sz w:val="22"/>
          <w:szCs w:val="22"/>
        </w:rPr>
        <w:t>SAIMEX,</w:t>
      </w:r>
      <w:r w:rsidRPr="00D87759">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entregó respuesta el diecisiete de junio de dos mil veinticuatro, de tal forma que el plazo para interponer el recurso de revisión transcurrió del dieciocho de junio al ocho de julio de dos mil veinticuatro; en consecuencia, presentó su inconformidad el dieciocho de junio de dos mil veinticuatro, por lo que se encuentra dentro de los márgenes temporales previstos en el artículo 178 de la </w:t>
      </w:r>
      <w:r w:rsidRPr="00D87759">
        <w:rPr>
          <w:rFonts w:ascii="Palatino Linotype" w:eastAsia="Palatino Linotype" w:hAnsi="Palatino Linotype" w:cs="Palatino Linotype"/>
          <w:b/>
          <w:sz w:val="22"/>
          <w:szCs w:val="22"/>
        </w:rPr>
        <w:t xml:space="preserve">Ley de Transparencia y Acceso a la Información Pública del Estado de México y Municipios </w:t>
      </w:r>
      <w:r w:rsidRPr="00D87759">
        <w:rPr>
          <w:rFonts w:ascii="Palatino Linotype" w:eastAsia="Palatino Linotype" w:hAnsi="Palatino Linotype" w:cs="Palatino Linotype"/>
          <w:sz w:val="22"/>
          <w:szCs w:val="22"/>
        </w:rPr>
        <w:t>vigente.</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bookmarkStart w:id="4" w:name="_heading=h.3dy6vkm" w:colFirst="0" w:colLast="0"/>
      <w:bookmarkEnd w:id="4"/>
      <w:r w:rsidRPr="00D87759">
        <w:rPr>
          <w:rFonts w:ascii="Palatino Linotype" w:eastAsia="Palatino Linotype" w:hAnsi="Palatino Linotype" w:cs="Palatino Linotype"/>
          <w:sz w:val="22"/>
          <w:szCs w:val="22"/>
        </w:rPr>
        <w:t xml:space="preserve">Por otro lado, el escrito contiene las formalidades previstas por el artículo 180 último párrafo de la Ley de la materia actual, por lo que es procedente que este Instituto de </w:t>
      </w:r>
      <w:r w:rsidRPr="00D87759">
        <w:rPr>
          <w:rFonts w:ascii="Palatino Linotype" w:eastAsia="Palatino Linotype" w:hAnsi="Palatino Linotype" w:cs="Palatino Linotype"/>
          <w:sz w:val="22"/>
          <w:szCs w:val="22"/>
        </w:rPr>
        <w:lastRenderedPageBreak/>
        <w:t>Transparencia, Acceso a la Información Pública y Protección de Datos Personales del Estado de México y Municipios, conozca y resuelva el presente recurso.</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spacing w:line="360" w:lineRule="auto"/>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TERCERO. Planteamiento de la Litis.</w:t>
      </w:r>
    </w:p>
    <w:p w:rsidR="00F76EAA" w:rsidRPr="00D87759" w:rsidRDefault="00F76EAA" w:rsidP="00F35EB1">
      <w:pPr>
        <w:spacing w:line="360" w:lineRule="auto"/>
        <w:jc w:val="both"/>
        <w:rPr>
          <w:rFonts w:ascii="Palatino Linotype" w:eastAsia="Palatino Linotype" w:hAnsi="Palatino Linotype" w:cs="Palatino Linotype"/>
          <w:b/>
          <w:sz w:val="22"/>
          <w:szCs w:val="22"/>
        </w:rPr>
      </w:pPr>
    </w:p>
    <w:p w:rsidR="00015279"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El </w:t>
      </w:r>
      <w:r w:rsidR="00015279" w:rsidRPr="00D87759">
        <w:rPr>
          <w:rFonts w:ascii="Palatino Linotype" w:eastAsia="Palatino Linotype" w:hAnsi="Palatino Linotype" w:cs="Palatino Linotype"/>
          <w:b/>
          <w:sz w:val="22"/>
          <w:szCs w:val="22"/>
        </w:rPr>
        <w:t>RECURRENTE</w:t>
      </w:r>
      <w:r w:rsidR="00015279" w:rsidRPr="00D87759">
        <w:rPr>
          <w:rFonts w:ascii="Palatino Linotype" w:eastAsia="Palatino Linotype" w:hAnsi="Palatino Linotype" w:cs="Palatino Linotype"/>
          <w:sz w:val="22"/>
          <w:szCs w:val="22"/>
        </w:rPr>
        <w:t xml:space="preserve"> </w:t>
      </w:r>
      <w:r w:rsidR="00F35EB1" w:rsidRPr="00D87759">
        <w:rPr>
          <w:rFonts w:ascii="Palatino Linotype" w:eastAsia="Palatino Linotype" w:hAnsi="Palatino Linotype" w:cs="Palatino Linotype"/>
          <w:sz w:val="22"/>
          <w:szCs w:val="22"/>
        </w:rPr>
        <w:t>solicitó</w:t>
      </w:r>
      <w:r w:rsidR="00015279" w:rsidRPr="00D87759">
        <w:rPr>
          <w:rFonts w:ascii="Palatino Linotype" w:eastAsia="Palatino Linotype" w:hAnsi="Palatino Linotype" w:cs="Palatino Linotype"/>
          <w:sz w:val="22"/>
          <w:szCs w:val="22"/>
        </w:rPr>
        <w:t xml:space="preserve"> </w:t>
      </w:r>
      <w:r w:rsidR="00F35EB1" w:rsidRPr="00D87759">
        <w:rPr>
          <w:rFonts w:ascii="Palatino Linotype" w:eastAsia="Palatino Linotype" w:hAnsi="Palatino Linotype" w:cs="Palatino Linotype"/>
          <w:sz w:val="22"/>
          <w:szCs w:val="22"/>
        </w:rPr>
        <w:t>de las obras realizadas en el</w:t>
      </w:r>
      <w:r w:rsidR="00015279" w:rsidRPr="00D87759">
        <w:rPr>
          <w:rFonts w:ascii="Palatino Linotype" w:eastAsia="Palatino Linotype" w:hAnsi="Palatino Linotype" w:cs="Palatino Linotype"/>
          <w:sz w:val="22"/>
          <w:szCs w:val="22"/>
        </w:rPr>
        <w:t xml:space="preserve"> centro de bienestar animal en el Parque Estatal Sierra Morelos y en el Parque Atlacomulco, lo siguiente:</w:t>
      </w:r>
    </w:p>
    <w:p w:rsidR="00F35EB1" w:rsidRPr="00D87759" w:rsidRDefault="00F35EB1" w:rsidP="00F35EB1">
      <w:pPr>
        <w:spacing w:line="360" w:lineRule="auto"/>
        <w:jc w:val="both"/>
        <w:rPr>
          <w:rFonts w:ascii="Palatino Linotype" w:eastAsia="Palatino Linotype" w:hAnsi="Palatino Linotype" w:cs="Palatino Linotype"/>
          <w:sz w:val="22"/>
          <w:szCs w:val="22"/>
        </w:rPr>
      </w:pPr>
    </w:p>
    <w:p w:rsidR="00015279" w:rsidRPr="00D87759" w:rsidRDefault="00015279" w:rsidP="00F35EB1">
      <w:pPr>
        <w:pStyle w:val="Prrafodelista"/>
        <w:numPr>
          <w:ilvl w:val="0"/>
          <w:numId w:val="3"/>
        </w:numPr>
        <w:spacing w:line="360" w:lineRule="auto"/>
        <w:ind w:left="567" w:right="539" w:hanging="141"/>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Los permisos solicitados y otorgados con sus oficios de solicitud y respuesta;</w:t>
      </w:r>
      <w:r w:rsidR="00F35EB1" w:rsidRPr="00D87759">
        <w:rPr>
          <w:rFonts w:ascii="Palatino Linotype" w:eastAsia="Palatino Linotype" w:hAnsi="Palatino Linotype" w:cs="Palatino Linotype"/>
          <w:b/>
          <w:sz w:val="22"/>
          <w:szCs w:val="22"/>
        </w:rPr>
        <w:t xml:space="preserve"> y</w:t>
      </w:r>
    </w:p>
    <w:p w:rsidR="00F76EAA" w:rsidRPr="00D87759" w:rsidRDefault="00015279" w:rsidP="00F35EB1">
      <w:pPr>
        <w:pStyle w:val="Prrafodelista"/>
        <w:numPr>
          <w:ilvl w:val="0"/>
          <w:numId w:val="3"/>
        </w:numPr>
        <w:spacing w:line="360" w:lineRule="auto"/>
        <w:ind w:left="567" w:right="539" w:hanging="141"/>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E</w:t>
      </w:r>
      <w:r w:rsidR="00F35EB1" w:rsidRPr="00D87759">
        <w:rPr>
          <w:rFonts w:ascii="Palatino Linotype" w:eastAsia="Palatino Linotype" w:hAnsi="Palatino Linotype" w:cs="Palatino Linotype"/>
          <w:b/>
          <w:sz w:val="22"/>
          <w:szCs w:val="22"/>
        </w:rPr>
        <w:t xml:space="preserve">l estudio justificativo, </w:t>
      </w:r>
      <w:r w:rsidRPr="00D87759">
        <w:rPr>
          <w:rFonts w:ascii="Palatino Linotype" w:eastAsia="Palatino Linotype" w:hAnsi="Palatino Linotype" w:cs="Palatino Linotype"/>
          <w:b/>
          <w:sz w:val="22"/>
          <w:szCs w:val="22"/>
        </w:rPr>
        <w:t>autorización de cambio de suelo</w:t>
      </w:r>
      <w:r w:rsidR="00F35EB1" w:rsidRPr="00D87759">
        <w:rPr>
          <w:rFonts w:ascii="Palatino Linotype" w:eastAsia="Palatino Linotype" w:hAnsi="Palatino Linotype" w:cs="Palatino Linotype"/>
          <w:b/>
          <w:sz w:val="22"/>
          <w:szCs w:val="22"/>
        </w:rPr>
        <w:t xml:space="preserve"> y</w:t>
      </w:r>
      <w:r w:rsidRPr="00D87759">
        <w:rPr>
          <w:rFonts w:ascii="Palatino Linotype" w:eastAsia="Palatino Linotype" w:hAnsi="Palatino Linotype" w:cs="Palatino Linotype"/>
          <w:b/>
          <w:sz w:val="22"/>
          <w:szCs w:val="22"/>
        </w:rPr>
        <w:t xml:space="preserve"> estatus en el que se encuentra</w:t>
      </w:r>
      <w:r w:rsidR="00F35EB1" w:rsidRPr="00D87759">
        <w:rPr>
          <w:rFonts w:ascii="Palatino Linotype" w:eastAsia="Palatino Linotype" w:hAnsi="Palatino Linotype" w:cs="Palatino Linotype"/>
          <w:b/>
          <w:sz w:val="22"/>
          <w:szCs w:val="22"/>
        </w:rPr>
        <w:t>n</w:t>
      </w:r>
      <w:r w:rsidRPr="00D87759">
        <w:rPr>
          <w:rFonts w:ascii="Palatino Linotype" w:eastAsia="Palatino Linotype" w:hAnsi="Palatino Linotype" w:cs="Palatino Linotype"/>
          <w:b/>
          <w:sz w:val="22"/>
          <w:szCs w:val="22"/>
        </w:rPr>
        <w:t>.</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En respuesta, el </w:t>
      </w:r>
      <w:r w:rsidRPr="00D87759">
        <w:rPr>
          <w:rFonts w:ascii="Palatino Linotype" w:eastAsia="Palatino Linotype" w:hAnsi="Palatino Linotype" w:cs="Palatino Linotype"/>
          <w:b/>
          <w:sz w:val="22"/>
          <w:szCs w:val="22"/>
        </w:rPr>
        <w:t xml:space="preserve">SUJETO OBLIGADO </w:t>
      </w:r>
      <w:r w:rsidRPr="00D87759">
        <w:rPr>
          <w:rFonts w:ascii="Palatino Linotype" w:eastAsia="Palatino Linotype" w:hAnsi="Palatino Linotype" w:cs="Palatino Linotype"/>
          <w:sz w:val="22"/>
          <w:szCs w:val="22"/>
        </w:rPr>
        <w:t>informó su incompetencia para atender el requerimiento, asimismo, sugirió emitir una nueva solicitud de información a l</w:t>
      </w:r>
      <w:r w:rsidRPr="00D87759">
        <w:rPr>
          <w:rFonts w:ascii="Palatino Linotype" w:eastAsia="Palatino Linotype" w:hAnsi="Palatino Linotype" w:cs="Palatino Linotype"/>
          <w:color w:val="000000"/>
          <w:sz w:val="22"/>
          <w:szCs w:val="22"/>
        </w:rPr>
        <w:t xml:space="preserve">a Comisión Estatal de Parques Naturales y de la Fauna (CEPANAF). </w:t>
      </w:r>
      <w:r w:rsidRPr="00D87759">
        <w:rPr>
          <w:rFonts w:ascii="Palatino Linotype" w:eastAsia="Palatino Linotype" w:hAnsi="Palatino Linotype" w:cs="Palatino Linotype"/>
          <w:sz w:val="22"/>
          <w:szCs w:val="22"/>
        </w:rPr>
        <w:t xml:space="preserve">Motivo de inconformidad del </w:t>
      </w:r>
      <w:r w:rsidRPr="00D87759">
        <w:rPr>
          <w:rFonts w:ascii="Palatino Linotype" w:eastAsia="Palatino Linotype" w:hAnsi="Palatino Linotype" w:cs="Palatino Linotype"/>
          <w:b/>
          <w:sz w:val="22"/>
          <w:szCs w:val="22"/>
        </w:rPr>
        <w:t>RECURRENTE.</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En dichas condiciones, la </w:t>
      </w:r>
      <w:r w:rsidRPr="00D87759">
        <w:rPr>
          <w:rFonts w:ascii="Palatino Linotype" w:eastAsia="Palatino Linotype" w:hAnsi="Palatino Linotype" w:cs="Palatino Linotype"/>
          <w:i/>
          <w:sz w:val="22"/>
          <w:szCs w:val="22"/>
        </w:rPr>
        <w:t>Litis</w:t>
      </w:r>
      <w:r w:rsidRPr="00D87759">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w:t>
      </w:r>
      <w:r w:rsidRPr="00D87759">
        <w:rPr>
          <w:rFonts w:ascii="Palatino Linotype" w:eastAsia="Palatino Linotype" w:hAnsi="Palatino Linotype" w:cs="Palatino Linotype"/>
          <w:b/>
          <w:sz w:val="22"/>
          <w:szCs w:val="22"/>
        </w:rPr>
        <w:t xml:space="preserve"> I y IV</w:t>
      </w:r>
      <w:r w:rsidRPr="00D87759">
        <w:rPr>
          <w:rFonts w:ascii="Palatino Linotype" w:eastAsia="Palatino Linotype" w:hAnsi="Palatino Linotype" w:cs="Palatino Linotype"/>
          <w:sz w:val="22"/>
          <w:szCs w:val="22"/>
        </w:rPr>
        <w:t xml:space="preserve"> de la </w:t>
      </w:r>
      <w:r w:rsidRPr="00D87759">
        <w:rPr>
          <w:rFonts w:ascii="Palatino Linotype" w:eastAsia="Palatino Linotype" w:hAnsi="Palatino Linotype" w:cs="Palatino Linotype"/>
          <w:b/>
          <w:sz w:val="22"/>
          <w:szCs w:val="22"/>
        </w:rPr>
        <w:t>Ley de Transparencia y Acceso a la Información Pública del Estado de México y Municipios</w:t>
      </w:r>
      <w:r w:rsidRPr="00D87759">
        <w:rPr>
          <w:rFonts w:ascii="Palatino Linotype" w:eastAsia="Palatino Linotype" w:hAnsi="Palatino Linotype" w:cs="Palatino Linotype"/>
          <w:sz w:val="22"/>
          <w:szCs w:val="22"/>
        </w:rPr>
        <w:t>.</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pStyle w:val="Ttulo2"/>
        <w:spacing w:before="0" w:line="360" w:lineRule="auto"/>
        <w:rPr>
          <w:rFonts w:ascii="Palatino Linotype" w:eastAsia="Palatino Linotype" w:hAnsi="Palatino Linotype" w:cs="Palatino Linotype"/>
          <w:b/>
          <w:color w:val="000000"/>
          <w:sz w:val="22"/>
          <w:szCs w:val="22"/>
        </w:rPr>
      </w:pPr>
      <w:bookmarkStart w:id="5" w:name="_heading=h.tyjcwt" w:colFirst="0" w:colLast="0"/>
      <w:bookmarkEnd w:id="5"/>
      <w:r w:rsidRPr="00D87759">
        <w:rPr>
          <w:rFonts w:ascii="Palatino Linotype" w:eastAsia="Palatino Linotype" w:hAnsi="Palatino Linotype" w:cs="Palatino Linotype"/>
          <w:b/>
          <w:color w:val="000000"/>
          <w:sz w:val="22"/>
          <w:szCs w:val="22"/>
        </w:rPr>
        <w:t>CUARTA. Estudio y resolución del asunto.</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lastRenderedPageBreak/>
        <w:t xml:space="preserve">El </w:t>
      </w:r>
      <w:r w:rsidRPr="00D87759">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D87759">
        <w:rPr>
          <w:rFonts w:ascii="Palatino Linotype" w:eastAsia="Palatino Linotype" w:hAnsi="Palatino Linotype" w:cs="Palatino Linotype"/>
          <w:sz w:val="22"/>
          <w:szCs w:val="22"/>
        </w:rPr>
        <w:t>Particular</w:t>
      </w:r>
      <w:r w:rsidRPr="00D87759">
        <w:rPr>
          <w:rFonts w:ascii="Palatino Linotype" w:eastAsia="Palatino Linotype" w:hAnsi="Palatino Linotype" w:cs="Palatino Linotype"/>
          <w:color w:val="000000"/>
          <w:sz w:val="22"/>
          <w:szCs w:val="22"/>
        </w:rPr>
        <w:t xml:space="preserve"> del Estado de México.</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 xml:space="preserve">Definiendo </w:t>
      </w:r>
      <w:r w:rsidRPr="00D87759">
        <w:rPr>
          <w:rFonts w:ascii="Palatino Linotype" w:eastAsia="Palatino Linotype" w:hAnsi="Palatino Linotype" w:cs="Palatino Linotype"/>
          <w:sz w:val="22"/>
          <w:szCs w:val="22"/>
        </w:rPr>
        <w:t xml:space="preserve">el Derecho de Acceso a la Información Pública como: </w:t>
      </w:r>
      <w:r w:rsidRPr="00D87759">
        <w:rPr>
          <w:rFonts w:ascii="Palatino Linotype" w:eastAsia="Palatino Linotype" w:hAnsi="Palatino Linotype" w:cs="Palatino Linotype"/>
          <w:i/>
          <w:color w:val="000000"/>
          <w:sz w:val="22"/>
          <w:szCs w:val="22"/>
        </w:rPr>
        <w:t xml:space="preserve">La igualdad de </w:t>
      </w:r>
      <w:r w:rsidRPr="00D87759">
        <w:rPr>
          <w:rFonts w:ascii="Palatino Linotype" w:eastAsia="Palatino Linotype" w:hAnsi="Palatino Linotype" w:cs="Palatino Linotype"/>
          <w:sz w:val="22"/>
          <w:szCs w:val="22"/>
        </w:rPr>
        <w:t>oportunidades</w:t>
      </w:r>
      <w:r w:rsidRPr="00D87759">
        <w:rPr>
          <w:rFonts w:ascii="Palatino Linotype" w:eastAsia="Palatino Linotype" w:hAnsi="Palatino Linotype" w:cs="Palatino Linotype"/>
          <w:i/>
          <w:color w:val="000000"/>
          <w:sz w:val="22"/>
          <w:szCs w:val="22"/>
        </w:rPr>
        <w:t xml:space="preserve"> para recibir, buscar e impartir información</w:t>
      </w:r>
      <w:r w:rsidRPr="00D87759">
        <w:rPr>
          <w:rFonts w:ascii="Palatino Linotype" w:eastAsia="Palatino Linotype" w:hAnsi="Palatino Linotype" w:cs="Palatino Linotype"/>
          <w:i/>
          <w:color w:val="000000"/>
          <w:sz w:val="22"/>
          <w:szCs w:val="22"/>
          <w:vertAlign w:val="superscript"/>
        </w:rPr>
        <w:footnoteReference w:id="1"/>
      </w:r>
      <w:r w:rsidRPr="00D87759">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87759">
        <w:rPr>
          <w:rFonts w:ascii="Palatino Linotype" w:eastAsia="Palatino Linotype" w:hAnsi="Palatino Linotype" w:cs="Palatino Linotype"/>
          <w:i/>
          <w:color w:val="000000"/>
          <w:sz w:val="22"/>
          <w:szCs w:val="22"/>
          <w:vertAlign w:val="superscript"/>
        </w:rPr>
        <w:footnoteReference w:id="2"/>
      </w:r>
      <w:r w:rsidRPr="00D87759">
        <w:rPr>
          <w:rFonts w:ascii="Palatino Linotype" w:eastAsia="Palatino Linotype" w:hAnsi="Palatino Linotype" w:cs="Palatino Linotype"/>
          <w:color w:val="000000"/>
          <w:sz w:val="22"/>
          <w:szCs w:val="22"/>
        </w:rPr>
        <w:t>que se constituye como una herramienta fundamental para ejercer</w:t>
      </w:r>
      <w:r w:rsidRPr="00D87759">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D87759">
        <w:rPr>
          <w:rFonts w:ascii="Palatino Linotype" w:eastAsia="Palatino Linotype" w:hAnsi="Palatino Linotype" w:cs="Palatino Linotype"/>
          <w:i/>
          <w:color w:val="000000"/>
          <w:sz w:val="22"/>
          <w:szCs w:val="22"/>
          <w:vertAlign w:val="superscript"/>
        </w:rPr>
        <w:footnoteReference w:id="3"/>
      </w:r>
      <w:r w:rsidRPr="00D87759">
        <w:rPr>
          <w:rFonts w:ascii="Palatino Linotype" w:eastAsia="Palatino Linotype" w:hAnsi="Palatino Linotype" w:cs="Palatino Linotype"/>
          <w:color w:val="000000"/>
          <w:sz w:val="22"/>
          <w:szCs w:val="22"/>
        </w:rPr>
        <w:t>fomentando</w:t>
      </w:r>
      <w:r w:rsidRPr="00D87759">
        <w:rPr>
          <w:rFonts w:ascii="Palatino Linotype" w:eastAsia="Palatino Linotype" w:hAnsi="Palatino Linotype" w:cs="Palatino Linotype"/>
          <w:i/>
          <w:color w:val="000000"/>
          <w:sz w:val="22"/>
          <w:szCs w:val="22"/>
        </w:rPr>
        <w:t xml:space="preserve"> la transparencia de las actividades estatales y </w:t>
      </w:r>
      <w:r w:rsidRPr="00D87759">
        <w:rPr>
          <w:rFonts w:ascii="Palatino Linotype" w:eastAsia="Palatino Linotype" w:hAnsi="Palatino Linotype" w:cs="Palatino Linotype"/>
          <w:color w:val="000000"/>
          <w:sz w:val="22"/>
          <w:szCs w:val="22"/>
        </w:rPr>
        <w:t>promoviendo</w:t>
      </w:r>
      <w:r w:rsidRPr="00D87759">
        <w:rPr>
          <w:rFonts w:ascii="Palatino Linotype" w:eastAsia="Palatino Linotype" w:hAnsi="Palatino Linotype" w:cs="Palatino Linotype"/>
          <w:i/>
          <w:color w:val="000000"/>
          <w:sz w:val="22"/>
          <w:szCs w:val="22"/>
        </w:rPr>
        <w:t xml:space="preserve"> la responsabilidad de los funcionarios sobre su gestión pública,</w:t>
      </w:r>
      <w:r w:rsidRPr="00D87759">
        <w:rPr>
          <w:rFonts w:ascii="Palatino Linotype" w:eastAsia="Palatino Linotype" w:hAnsi="Palatino Linotype" w:cs="Palatino Linotype"/>
          <w:i/>
          <w:color w:val="000000"/>
          <w:sz w:val="22"/>
          <w:szCs w:val="22"/>
          <w:vertAlign w:val="superscript"/>
        </w:rPr>
        <w:footnoteReference w:id="4"/>
      </w:r>
      <w:r w:rsidRPr="00D87759">
        <w:rPr>
          <w:rFonts w:ascii="Palatino Linotype" w:eastAsia="Palatino Linotype" w:hAnsi="Palatino Linotype" w:cs="Palatino Linotype"/>
          <w:color w:val="000000"/>
          <w:sz w:val="22"/>
          <w:szCs w:val="22"/>
        </w:rPr>
        <w:t>que permite</w:t>
      </w:r>
      <w:r w:rsidRPr="00D87759">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 xml:space="preserve">En </w:t>
      </w:r>
      <w:r w:rsidRPr="00D87759">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rsidR="00F76EAA" w:rsidRPr="00D87759" w:rsidRDefault="00F76EAA" w:rsidP="00F35EB1">
      <w:pPr>
        <w:jc w:val="both"/>
        <w:rPr>
          <w:rFonts w:ascii="Palatino Linotype" w:eastAsia="Palatino Linotype" w:hAnsi="Palatino Linotype" w:cs="Palatino Linotype"/>
          <w:sz w:val="22"/>
          <w:szCs w:val="22"/>
        </w:rPr>
      </w:pPr>
    </w:p>
    <w:p w:rsidR="00F76EAA" w:rsidRPr="00D87759" w:rsidRDefault="000E4780" w:rsidP="00F35EB1">
      <w:pPr>
        <w:ind w:left="567"/>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lastRenderedPageBreak/>
        <w:t>“</w:t>
      </w:r>
      <w:r w:rsidRPr="00D87759">
        <w:rPr>
          <w:rFonts w:ascii="Palatino Linotype" w:eastAsia="Palatino Linotype" w:hAnsi="Palatino Linotype" w:cs="Palatino Linotype"/>
          <w:b/>
          <w:i/>
          <w:sz w:val="22"/>
          <w:szCs w:val="22"/>
        </w:rPr>
        <w:t>Artículo 1.-</w:t>
      </w:r>
      <w:r w:rsidRPr="00D87759">
        <w:rPr>
          <w:rFonts w:ascii="Palatino Linotype" w:eastAsia="Palatino Linotype" w:hAnsi="Palatino Linotype" w:cs="Palatino Linotype"/>
          <w:i/>
          <w:sz w:val="22"/>
          <w:szCs w:val="22"/>
        </w:rPr>
        <w:t xml:space="preserve"> </w:t>
      </w:r>
    </w:p>
    <w:p w:rsidR="00F76EAA" w:rsidRPr="00D87759" w:rsidRDefault="000E4780" w:rsidP="00F35EB1">
      <w:pPr>
        <w:ind w:left="567"/>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Todas las</w:t>
      </w:r>
      <w:r w:rsidRPr="00D87759">
        <w:rPr>
          <w:rFonts w:ascii="Palatino Linotype" w:eastAsia="Palatino Linotype" w:hAnsi="Palatino Linotype" w:cs="Palatino Linotype"/>
          <w:sz w:val="22"/>
          <w:szCs w:val="22"/>
        </w:rPr>
        <w:t xml:space="preserve"> </w:t>
      </w:r>
      <w:r w:rsidRPr="00D87759">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76EAA" w:rsidRPr="00D87759" w:rsidRDefault="000E4780" w:rsidP="00F35EB1">
      <w:pPr>
        <w:ind w:left="567" w:right="539"/>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i/>
          <w:sz w:val="22"/>
          <w:szCs w:val="22"/>
        </w:rPr>
        <w:t>(…)</w:t>
      </w:r>
      <w:r w:rsidRPr="00D87759">
        <w:rPr>
          <w:rFonts w:ascii="Palatino Linotype" w:eastAsia="Palatino Linotype" w:hAnsi="Palatino Linotype" w:cs="Palatino Linotype"/>
          <w:sz w:val="22"/>
          <w:szCs w:val="22"/>
        </w:rPr>
        <w:t>”</w:t>
      </w:r>
    </w:p>
    <w:p w:rsidR="00F76EAA" w:rsidRPr="00D87759" w:rsidRDefault="00F76EAA" w:rsidP="00F35EB1">
      <w:pPr>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 xml:space="preserve">Por </w:t>
      </w:r>
      <w:r w:rsidRPr="00D87759">
        <w:rPr>
          <w:rFonts w:ascii="Palatino Linotype" w:eastAsia="Palatino Linotype" w:hAnsi="Palatino Linotype" w:cs="Palatino Linotype"/>
          <w:sz w:val="22"/>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 xml:space="preserve">Así </w:t>
      </w:r>
      <w:r w:rsidRPr="00D87759">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ind w:left="567" w:right="539"/>
        <w:jc w:val="center"/>
        <w:rPr>
          <w:rFonts w:ascii="Palatino Linotype" w:eastAsia="Palatino Linotype" w:hAnsi="Palatino Linotype" w:cs="Palatino Linotype"/>
          <w:b/>
          <w:i/>
          <w:sz w:val="22"/>
          <w:szCs w:val="22"/>
        </w:rPr>
      </w:pPr>
      <w:r w:rsidRPr="00D87759">
        <w:rPr>
          <w:rFonts w:ascii="Palatino Linotype" w:eastAsia="Palatino Linotype" w:hAnsi="Palatino Linotype" w:cs="Palatino Linotype"/>
          <w:b/>
          <w:i/>
          <w:sz w:val="22"/>
          <w:szCs w:val="22"/>
        </w:rPr>
        <w:t>Constitución Política de los Estados Unidos Mexicanos</w:t>
      </w:r>
    </w:p>
    <w:p w:rsidR="00F76EAA" w:rsidRPr="00D87759" w:rsidRDefault="00F76EAA" w:rsidP="00F35EB1">
      <w:pPr>
        <w:ind w:left="567" w:right="539"/>
        <w:jc w:val="center"/>
        <w:rPr>
          <w:rFonts w:ascii="Palatino Linotype" w:eastAsia="Palatino Linotype" w:hAnsi="Palatino Linotype" w:cs="Palatino Linotype"/>
          <w:b/>
          <w:i/>
          <w:sz w:val="22"/>
          <w:szCs w:val="22"/>
        </w:rPr>
      </w:pPr>
    </w:p>
    <w:p w:rsidR="00F76EAA" w:rsidRPr="00D87759" w:rsidRDefault="000E4780" w:rsidP="00F35EB1">
      <w:pPr>
        <w:ind w:left="567" w:right="539"/>
        <w:jc w:val="center"/>
        <w:rPr>
          <w:rFonts w:ascii="Palatino Linotype" w:eastAsia="Palatino Linotype" w:hAnsi="Palatino Linotype" w:cs="Palatino Linotype"/>
          <w:b/>
          <w:i/>
          <w:sz w:val="22"/>
          <w:szCs w:val="22"/>
        </w:rPr>
      </w:pPr>
      <w:r w:rsidRPr="00D87759">
        <w:rPr>
          <w:rFonts w:ascii="Palatino Linotype" w:eastAsia="Palatino Linotype" w:hAnsi="Palatino Linotype" w:cs="Palatino Linotype"/>
          <w:b/>
          <w:i/>
          <w:sz w:val="22"/>
          <w:szCs w:val="22"/>
        </w:rPr>
        <w:t>“Artículo 6.</w:t>
      </w:r>
      <w:r w:rsidRPr="00D87759">
        <w:rPr>
          <w:rFonts w:ascii="Palatino Linotype" w:eastAsia="Palatino Linotype" w:hAnsi="Palatino Linotype" w:cs="Palatino Linotype"/>
          <w:i/>
          <w:sz w:val="22"/>
          <w:szCs w:val="22"/>
        </w:rPr>
        <w:t xml:space="preserve"> …</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Para efectos de lo dispuesto en el presente artículo se observará lo siguiente:</w:t>
      </w:r>
    </w:p>
    <w:p w:rsidR="00F76EAA" w:rsidRPr="00D87759" w:rsidRDefault="000E4780" w:rsidP="00F35EB1">
      <w:pPr>
        <w:ind w:left="567" w:right="539"/>
        <w:jc w:val="both"/>
        <w:rPr>
          <w:rFonts w:ascii="Palatino Linotype" w:eastAsia="Palatino Linotype" w:hAnsi="Palatino Linotype" w:cs="Palatino Linotype"/>
          <w:b/>
          <w:i/>
          <w:sz w:val="22"/>
          <w:szCs w:val="22"/>
        </w:rPr>
      </w:pPr>
      <w:r w:rsidRPr="00D87759">
        <w:rPr>
          <w:rFonts w:ascii="Palatino Linotype" w:eastAsia="Palatino Linotype" w:hAnsi="Palatino Linotype" w:cs="Palatino Linotype"/>
          <w:b/>
          <w:i/>
          <w:sz w:val="22"/>
          <w:szCs w:val="22"/>
        </w:rPr>
        <w:t>A</w:t>
      </w:r>
      <w:r w:rsidRPr="00D87759">
        <w:rPr>
          <w:rFonts w:ascii="Palatino Linotype" w:eastAsia="Palatino Linotype" w:hAnsi="Palatino Linotype" w:cs="Palatino Linotype"/>
          <w:i/>
          <w:sz w:val="22"/>
          <w:szCs w:val="22"/>
        </w:rPr>
        <w:t xml:space="preserve">. </w:t>
      </w:r>
      <w:r w:rsidRPr="00D87759">
        <w:rPr>
          <w:rFonts w:ascii="Palatino Linotype" w:eastAsia="Palatino Linotype" w:hAnsi="Palatino Linotype" w:cs="Palatino Linotype"/>
          <w:b/>
          <w:i/>
          <w:sz w:val="22"/>
          <w:szCs w:val="22"/>
        </w:rPr>
        <w:t>Para el ejercicio del derecho de acceso a la información</w:t>
      </w:r>
      <w:r w:rsidRPr="00D87759">
        <w:rPr>
          <w:rFonts w:ascii="Palatino Linotype" w:eastAsia="Palatino Linotype" w:hAnsi="Palatino Linotype" w:cs="Palatino Linotype"/>
          <w:i/>
          <w:sz w:val="22"/>
          <w:szCs w:val="22"/>
        </w:rPr>
        <w:t xml:space="preserve">, la Federación y </w:t>
      </w:r>
      <w:r w:rsidRPr="00D87759">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b/>
          <w:i/>
          <w:sz w:val="22"/>
          <w:szCs w:val="22"/>
        </w:rPr>
        <w:t xml:space="preserve">I. </w:t>
      </w:r>
      <w:r w:rsidRPr="00D87759">
        <w:rPr>
          <w:rFonts w:ascii="Palatino Linotype" w:eastAsia="Palatino Linotype" w:hAnsi="Palatino Linotype" w:cs="Palatino Linotype"/>
          <w:b/>
          <w:i/>
          <w:sz w:val="22"/>
          <w:szCs w:val="22"/>
        </w:rPr>
        <w:tab/>
        <w:t>Toda la información en posesión de cualquier</w:t>
      </w:r>
      <w:r w:rsidRPr="00D87759">
        <w:rPr>
          <w:rFonts w:ascii="Palatino Linotype" w:eastAsia="Palatino Linotype" w:hAnsi="Palatino Linotype" w:cs="Palatino Linotype"/>
          <w:i/>
          <w:sz w:val="22"/>
          <w:szCs w:val="22"/>
        </w:rPr>
        <w:t xml:space="preserve"> </w:t>
      </w:r>
      <w:r w:rsidRPr="00D87759">
        <w:rPr>
          <w:rFonts w:ascii="Palatino Linotype" w:eastAsia="Palatino Linotype" w:hAnsi="Palatino Linotype" w:cs="Palatino Linotype"/>
          <w:b/>
          <w:i/>
          <w:sz w:val="22"/>
          <w:szCs w:val="22"/>
        </w:rPr>
        <w:t>autoridad</w:t>
      </w:r>
      <w:r w:rsidRPr="00D87759">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w:t>
      </w:r>
      <w:r w:rsidRPr="00D87759">
        <w:rPr>
          <w:rFonts w:ascii="Palatino Linotype" w:eastAsia="Palatino Linotype" w:hAnsi="Palatino Linotype" w:cs="Palatino Linotype"/>
          <w:i/>
          <w:sz w:val="22"/>
          <w:szCs w:val="22"/>
        </w:rPr>
        <w:lastRenderedPageBreak/>
        <w:t xml:space="preserve">sindicato que reciba y ejerza recursos públicos o realice actos de autoridad en el ámbito federal, estatal y </w:t>
      </w:r>
      <w:r w:rsidRPr="00D87759">
        <w:rPr>
          <w:rFonts w:ascii="Palatino Linotype" w:eastAsia="Palatino Linotype" w:hAnsi="Palatino Linotype" w:cs="Palatino Linotype"/>
          <w:b/>
          <w:i/>
          <w:sz w:val="22"/>
          <w:szCs w:val="22"/>
        </w:rPr>
        <w:t>municipal</w:t>
      </w:r>
      <w:r w:rsidRPr="00D87759">
        <w:rPr>
          <w:rFonts w:ascii="Palatino Linotype" w:eastAsia="Palatino Linotype" w:hAnsi="Palatino Linotype" w:cs="Palatino Linotype"/>
          <w:i/>
          <w:sz w:val="22"/>
          <w:szCs w:val="22"/>
        </w:rPr>
        <w:t xml:space="preserve">, </w:t>
      </w:r>
      <w:r w:rsidRPr="00D87759">
        <w:rPr>
          <w:rFonts w:ascii="Palatino Linotype" w:eastAsia="Palatino Linotype" w:hAnsi="Palatino Linotype" w:cs="Palatino Linotype"/>
          <w:b/>
          <w:i/>
          <w:sz w:val="22"/>
          <w:szCs w:val="22"/>
        </w:rPr>
        <w:t>es pública</w:t>
      </w:r>
      <w:r w:rsidRPr="00D87759">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D87759">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D87759">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F76EAA" w:rsidRPr="00D87759" w:rsidRDefault="00F76EAA" w:rsidP="00F35EB1">
      <w:pPr>
        <w:tabs>
          <w:tab w:val="left" w:pos="426"/>
          <w:tab w:val="left" w:pos="567"/>
        </w:tabs>
        <w:ind w:left="567" w:right="539"/>
        <w:jc w:val="both"/>
        <w:rPr>
          <w:rFonts w:ascii="Palatino Linotype" w:eastAsia="Palatino Linotype" w:hAnsi="Palatino Linotype" w:cs="Palatino Linotype"/>
          <w:color w:val="000000"/>
          <w:sz w:val="22"/>
          <w:szCs w:val="22"/>
        </w:rPr>
      </w:pPr>
    </w:p>
    <w:p w:rsidR="00F76EAA" w:rsidRPr="00D87759" w:rsidRDefault="000E4780" w:rsidP="00F35EB1">
      <w:pPr>
        <w:ind w:left="567" w:right="539"/>
        <w:jc w:val="center"/>
        <w:rPr>
          <w:rFonts w:ascii="Palatino Linotype" w:eastAsia="Palatino Linotype" w:hAnsi="Palatino Linotype" w:cs="Palatino Linotype"/>
          <w:b/>
          <w:i/>
          <w:sz w:val="22"/>
          <w:szCs w:val="22"/>
        </w:rPr>
      </w:pPr>
      <w:r w:rsidRPr="00D87759">
        <w:rPr>
          <w:rFonts w:ascii="Palatino Linotype" w:eastAsia="Palatino Linotype" w:hAnsi="Palatino Linotype" w:cs="Palatino Linotype"/>
          <w:b/>
          <w:i/>
          <w:sz w:val="22"/>
          <w:szCs w:val="22"/>
        </w:rPr>
        <w:t>Constitución Política del Estado Libre y Soberano de México</w:t>
      </w:r>
    </w:p>
    <w:p w:rsidR="00F76EAA" w:rsidRPr="00D87759" w:rsidRDefault="000E4780" w:rsidP="00F35EB1">
      <w:pPr>
        <w:ind w:left="567" w:right="539"/>
        <w:jc w:val="center"/>
        <w:rPr>
          <w:rFonts w:ascii="Palatino Linotype" w:eastAsia="Palatino Linotype" w:hAnsi="Palatino Linotype" w:cs="Palatino Linotype"/>
          <w:i/>
          <w:sz w:val="22"/>
          <w:szCs w:val="22"/>
        </w:rPr>
      </w:pPr>
      <w:r w:rsidRPr="00D87759">
        <w:rPr>
          <w:rFonts w:ascii="Palatino Linotype" w:eastAsia="Palatino Linotype" w:hAnsi="Palatino Linotype" w:cs="Palatino Linotype"/>
          <w:b/>
          <w:i/>
          <w:sz w:val="22"/>
          <w:szCs w:val="22"/>
        </w:rPr>
        <w:t>“Artículo 5</w:t>
      </w:r>
      <w:r w:rsidRPr="00D87759">
        <w:rPr>
          <w:rFonts w:ascii="Palatino Linotype" w:eastAsia="Palatino Linotype" w:hAnsi="Palatino Linotype" w:cs="Palatino Linotype"/>
          <w:i/>
          <w:sz w:val="22"/>
          <w:szCs w:val="22"/>
        </w:rPr>
        <w:t>.-…</w:t>
      </w:r>
    </w:p>
    <w:p w:rsidR="00F76EAA" w:rsidRPr="00D87759" w:rsidRDefault="000E4780" w:rsidP="00F35EB1">
      <w:pPr>
        <w:ind w:left="567" w:right="539"/>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D87759">
        <w:rPr>
          <w:rFonts w:ascii="Palatino Linotype" w:eastAsia="Palatino Linotype" w:hAnsi="Palatino Linotype" w:cs="Palatino Linotype"/>
          <w:i/>
          <w:sz w:val="22"/>
          <w:szCs w:val="22"/>
        </w:rPr>
        <w:t>.</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76EAA" w:rsidRPr="00D87759" w:rsidRDefault="00F76EAA" w:rsidP="00F35EB1">
      <w:pPr>
        <w:ind w:left="567" w:right="539"/>
        <w:jc w:val="both"/>
        <w:rPr>
          <w:rFonts w:ascii="Palatino Linotype" w:eastAsia="Palatino Linotype" w:hAnsi="Palatino Linotype" w:cs="Palatino Linotype"/>
          <w:i/>
          <w:sz w:val="22"/>
          <w:szCs w:val="22"/>
        </w:rPr>
      </w:pP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b/>
          <w:i/>
          <w:sz w:val="22"/>
          <w:szCs w:val="22"/>
        </w:rPr>
        <w:t>Este derecho se regirá por los principios y bases siguientes</w:t>
      </w:r>
      <w:r w:rsidRPr="00D87759">
        <w:rPr>
          <w:rFonts w:ascii="Palatino Linotype" w:eastAsia="Palatino Linotype" w:hAnsi="Palatino Linotype" w:cs="Palatino Linotype"/>
          <w:i/>
          <w:sz w:val="22"/>
          <w:szCs w:val="22"/>
        </w:rPr>
        <w:t>:</w:t>
      </w:r>
    </w:p>
    <w:p w:rsidR="00F76EAA" w:rsidRPr="00D87759" w:rsidRDefault="000E4780" w:rsidP="00F35EB1">
      <w:pPr>
        <w:ind w:left="567" w:right="539"/>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b/>
          <w:i/>
          <w:sz w:val="22"/>
          <w:szCs w:val="22"/>
        </w:rPr>
        <w:t>Toda la información en posesión de cualquier autoridad, entidad, órgano y organismos de los</w:t>
      </w:r>
      <w:r w:rsidRPr="00D87759">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D87759">
        <w:rPr>
          <w:rFonts w:ascii="Palatino Linotype" w:eastAsia="Palatino Linotype" w:hAnsi="Palatino Linotype" w:cs="Palatino Linotype"/>
          <w:b/>
          <w:i/>
          <w:sz w:val="22"/>
          <w:szCs w:val="22"/>
        </w:rPr>
        <w:t>municipales</w:t>
      </w:r>
      <w:r w:rsidRPr="00D87759">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87759">
        <w:rPr>
          <w:rFonts w:ascii="Palatino Linotype" w:eastAsia="Palatino Linotype" w:hAnsi="Palatino Linotype" w:cs="Palatino Linotype"/>
          <w:b/>
          <w:i/>
          <w:sz w:val="22"/>
          <w:szCs w:val="22"/>
        </w:rPr>
        <w:t>es pública</w:t>
      </w:r>
      <w:r w:rsidRPr="00D87759">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D87759">
        <w:rPr>
          <w:rFonts w:ascii="Palatino Linotype" w:eastAsia="Palatino Linotype" w:hAnsi="Palatino Linotype" w:cs="Palatino Linotype"/>
          <w:b/>
          <w:i/>
          <w:sz w:val="22"/>
          <w:szCs w:val="22"/>
        </w:rPr>
        <w:t>En la interpretación de este derecho deberá prevalecer el principio de máxima publicidad</w:t>
      </w:r>
      <w:r w:rsidRPr="00D87759">
        <w:rPr>
          <w:rFonts w:ascii="Palatino Linotype" w:eastAsia="Palatino Linotype" w:hAnsi="Palatino Linotype" w:cs="Palatino Linotype"/>
          <w:i/>
          <w:sz w:val="22"/>
          <w:szCs w:val="22"/>
        </w:rPr>
        <w:t xml:space="preserve">. </w:t>
      </w:r>
      <w:r w:rsidRPr="00D87759">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D87759">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 xml:space="preserve">Según </w:t>
      </w:r>
      <w:r w:rsidRPr="00D87759">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D87759">
        <w:rPr>
          <w:rFonts w:ascii="Palatino Linotype" w:eastAsia="Palatino Linotype" w:hAnsi="Palatino Linotype" w:cs="Palatino Linotype"/>
          <w:i/>
          <w:sz w:val="22"/>
          <w:szCs w:val="22"/>
        </w:rPr>
        <w:t xml:space="preserve">por los </w:t>
      </w:r>
      <w:r w:rsidRPr="00D87759">
        <w:rPr>
          <w:rFonts w:ascii="Palatino Linotype" w:eastAsia="Palatino Linotype" w:hAnsi="Palatino Linotype" w:cs="Palatino Linotype"/>
          <w:i/>
          <w:sz w:val="22"/>
          <w:szCs w:val="22"/>
        </w:rPr>
        <w:lastRenderedPageBreak/>
        <w:t>principios de simplicidad, rapidez gratuidad del procedimiento, auxilio y orientación a los particulares</w:t>
      </w:r>
      <w:r w:rsidRPr="00D87759">
        <w:rPr>
          <w:rFonts w:ascii="Palatino Linotype" w:eastAsia="Palatino Linotype" w:hAnsi="Palatino Linotype" w:cs="Palatino Linotype"/>
          <w:sz w:val="22"/>
          <w:szCs w:val="22"/>
        </w:rPr>
        <w:t>, contemplando el derecho de las personas con discapacidad y hablantes de lengua indígena.</w:t>
      </w:r>
    </w:p>
    <w:p w:rsidR="00015279" w:rsidRPr="00D87759" w:rsidRDefault="00015279"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 xml:space="preserve">El </w:t>
      </w:r>
      <w:r w:rsidRPr="00D87759">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D87759">
        <w:rPr>
          <w:rFonts w:ascii="Palatino Linotype" w:eastAsia="Palatino Linotype" w:hAnsi="Palatino Linotype" w:cs="Palatino Linotype"/>
          <w:i/>
          <w:sz w:val="22"/>
          <w:szCs w:val="22"/>
        </w:rPr>
        <w:t>solicitudes de acceso a la información</w:t>
      </w:r>
      <w:r w:rsidRPr="00D87759">
        <w:rPr>
          <w:rFonts w:ascii="Palatino Linotype" w:eastAsia="Palatino Linotype" w:hAnsi="Palatino Linotype" w:cs="Palatino Linotype"/>
          <w:sz w:val="22"/>
          <w:szCs w:val="22"/>
        </w:rPr>
        <w:t>.</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 xml:space="preserve">Así </w:t>
      </w:r>
      <w:r w:rsidRPr="00D87759">
        <w:rPr>
          <w:rFonts w:ascii="Palatino Linotype" w:eastAsia="Palatino Linotype" w:hAnsi="Palatino Linotype" w:cs="Palatino Linotype"/>
          <w:sz w:val="22"/>
          <w:szCs w:val="22"/>
        </w:rPr>
        <w:t xml:space="preserve">entonces, se procede analizar, en primer lugar, si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keepNext/>
        <w:keepLines/>
        <w:numPr>
          <w:ilvl w:val="1"/>
          <w:numId w:val="1"/>
        </w:numPr>
        <w:spacing w:line="360" w:lineRule="auto"/>
        <w:ind w:left="567"/>
        <w:jc w:val="both"/>
        <w:rPr>
          <w:rFonts w:ascii="Palatino Linotype" w:eastAsia="Palatino Linotype" w:hAnsi="Palatino Linotype" w:cs="Palatino Linotype"/>
          <w:b/>
          <w:sz w:val="22"/>
          <w:szCs w:val="22"/>
        </w:rPr>
      </w:pPr>
      <w:bookmarkStart w:id="6" w:name="_heading=h.lnxbz9" w:colFirst="0" w:colLast="0"/>
      <w:bookmarkEnd w:id="6"/>
      <w:r w:rsidRPr="00D87759">
        <w:rPr>
          <w:rFonts w:ascii="Palatino Linotype" w:eastAsia="Palatino Linotype" w:hAnsi="Palatino Linotype" w:cs="Palatino Linotype"/>
          <w:b/>
          <w:sz w:val="22"/>
          <w:szCs w:val="22"/>
        </w:rPr>
        <w:t>De la información solicitada y la respuesta del SUJETO OBLIGADO.</w:t>
      </w:r>
    </w:p>
    <w:p w:rsidR="00F76EAA" w:rsidRPr="00D87759" w:rsidRDefault="00F76EAA" w:rsidP="00F35EB1">
      <w:pPr>
        <w:keepNext/>
        <w:keepLines/>
        <w:spacing w:line="360" w:lineRule="auto"/>
        <w:ind w:left="207"/>
        <w:jc w:val="both"/>
        <w:rPr>
          <w:rFonts w:ascii="Palatino Linotype" w:eastAsia="Palatino Linotype" w:hAnsi="Palatino Linotype" w:cs="Palatino Linotype"/>
          <w:b/>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35EB1"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Ahora bien, del análisis de la solicitud de información motivo del recurso de revisión, se advi</w:t>
      </w:r>
      <w:r w:rsidR="00F35EB1" w:rsidRPr="00D87759">
        <w:rPr>
          <w:rFonts w:ascii="Palatino Linotype" w:eastAsia="Palatino Linotype" w:hAnsi="Palatino Linotype" w:cs="Palatino Linotype"/>
          <w:sz w:val="22"/>
          <w:szCs w:val="22"/>
        </w:rPr>
        <w:t xml:space="preserve">erte que el Particular requirió </w:t>
      </w:r>
      <w:r w:rsidR="00F35EB1" w:rsidRPr="00D87759">
        <w:rPr>
          <w:rFonts w:ascii="Palatino Linotype" w:eastAsia="Palatino Linotype" w:hAnsi="Palatino Linotype" w:cs="Palatino Linotype"/>
          <w:b/>
          <w:sz w:val="22"/>
          <w:szCs w:val="22"/>
        </w:rPr>
        <w:t>de las obras realizadas en el centro de bienestar animal en el Parque Estatal Sierra Morelos y en el Parque Atlacomulco,</w:t>
      </w:r>
      <w:r w:rsidR="00F35EB1" w:rsidRPr="00D87759">
        <w:rPr>
          <w:rFonts w:ascii="Palatino Linotype" w:eastAsia="Palatino Linotype" w:hAnsi="Palatino Linotype" w:cs="Palatino Linotype"/>
          <w:sz w:val="22"/>
          <w:szCs w:val="22"/>
        </w:rPr>
        <w:t xml:space="preserve"> lo siguiente:</w:t>
      </w:r>
    </w:p>
    <w:p w:rsidR="00F35EB1" w:rsidRPr="00D87759" w:rsidRDefault="00F35EB1" w:rsidP="00F35EB1">
      <w:pPr>
        <w:spacing w:line="360" w:lineRule="auto"/>
        <w:jc w:val="both"/>
        <w:rPr>
          <w:rFonts w:ascii="Palatino Linotype" w:eastAsia="Palatino Linotype" w:hAnsi="Palatino Linotype" w:cs="Palatino Linotype"/>
          <w:sz w:val="22"/>
          <w:szCs w:val="22"/>
        </w:rPr>
      </w:pPr>
    </w:p>
    <w:p w:rsidR="00F35EB1" w:rsidRPr="00D87759" w:rsidRDefault="00F35EB1" w:rsidP="00F35EB1">
      <w:pPr>
        <w:pStyle w:val="Prrafodelista"/>
        <w:numPr>
          <w:ilvl w:val="0"/>
          <w:numId w:val="3"/>
        </w:numPr>
        <w:spacing w:line="360" w:lineRule="auto"/>
        <w:ind w:left="567" w:right="539" w:hanging="141"/>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lastRenderedPageBreak/>
        <w:t>Los permisos solicitados y otorgados con sus oficios de solicitud y respuesta; y</w:t>
      </w:r>
    </w:p>
    <w:p w:rsidR="00F35EB1" w:rsidRPr="00D87759" w:rsidRDefault="00F35EB1" w:rsidP="00F35EB1">
      <w:pPr>
        <w:pStyle w:val="Prrafodelista"/>
        <w:numPr>
          <w:ilvl w:val="0"/>
          <w:numId w:val="3"/>
        </w:numPr>
        <w:spacing w:line="360" w:lineRule="auto"/>
        <w:ind w:left="567" w:right="539" w:hanging="141"/>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El estudio justificativo, autorización de cambio de suelo y estatus en el que se encuentran.</w:t>
      </w:r>
    </w:p>
    <w:p w:rsidR="00015279" w:rsidRPr="00D87759" w:rsidRDefault="00015279"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Por su parte,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se declaró incompetente para atender lo requerido, orientando al Particular para realizar una nueva solicitud de información a la</w:t>
      </w:r>
      <w:r w:rsidRPr="00D87759">
        <w:rPr>
          <w:rFonts w:ascii="Palatino Linotype" w:eastAsia="Palatino Linotype" w:hAnsi="Palatino Linotype" w:cs="Palatino Linotype"/>
          <w:color w:val="000000"/>
          <w:sz w:val="22"/>
          <w:szCs w:val="22"/>
        </w:rPr>
        <w:t xml:space="preserve"> Comisión Estatal de Parques Naturales y de la Fauna (CEPANAF).</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En consecuencia, el </w:t>
      </w:r>
      <w:r w:rsidRPr="00D87759">
        <w:rPr>
          <w:rFonts w:ascii="Palatino Linotype" w:eastAsia="Palatino Linotype" w:hAnsi="Palatino Linotype" w:cs="Palatino Linotype"/>
          <w:b/>
          <w:sz w:val="22"/>
          <w:szCs w:val="22"/>
        </w:rPr>
        <w:t xml:space="preserve">RECURRENTE </w:t>
      </w:r>
      <w:r w:rsidRPr="00D87759">
        <w:rPr>
          <w:rFonts w:ascii="Palatino Linotype" w:eastAsia="Palatino Linotype" w:hAnsi="Palatino Linotype" w:cs="Palatino Linotype"/>
          <w:sz w:val="22"/>
          <w:szCs w:val="22"/>
        </w:rPr>
        <w:t xml:space="preserve">se inconformó por la declaratoria de incompetencia del </w:t>
      </w:r>
      <w:r w:rsidRPr="00D87759">
        <w:rPr>
          <w:rFonts w:ascii="Palatino Linotype" w:eastAsia="Palatino Linotype" w:hAnsi="Palatino Linotype" w:cs="Palatino Linotype"/>
          <w:b/>
          <w:sz w:val="22"/>
          <w:szCs w:val="22"/>
        </w:rPr>
        <w:t>SUJETO OBLIGADO.</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Expuesto lo anterior, resulta necesario precisar que </w:t>
      </w:r>
      <w:r w:rsidRPr="00D87759">
        <w:rPr>
          <w:rFonts w:ascii="Palatino Linotype" w:eastAsia="Palatino Linotype" w:hAnsi="Palatino Linotype" w:cs="Palatino Linotype"/>
          <w:color w:val="222222"/>
          <w:sz w:val="22"/>
          <w:szCs w:val="22"/>
        </w:rPr>
        <w:t>la Secretaría del Medio Ambiente y Desarrollo Sostenible es la dependencia encargada de la formulación, ejecución y evaluación de la política estatal en materia de conservación ecológica, biodiversidad, protección y restauración del medio ambiente para el desarrollo sostenible, así como la mitigación y adaptación al cambio climático. Lo anterior de conformidad con lo establecido en el artículo 48 de la Ley Orgánica de la Administración Pública del Estado de México.</w:t>
      </w:r>
    </w:p>
    <w:p w:rsidR="00F76EAA" w:rsidRPr="00D87759" w:rsidRDefault="00F76EAA" w:rsidP="00F35EB1">
      <w:pPr>
        <w:rPr>
          <w:rFonts w:ascii="Palatino Linotype" w:eastAsia="Palatino Linotype" w:hAnsi="Palatino Linotype" w:cs="Palatino Linotype"/>
          <w:sz w:val="22"/>
          <w:szCs w:val="22"/>
        </w:rPr>
      </w:pPr>
    </w:p>
    <w:p w:rsidR="007F4018" w:rsidRPr="00D87759" w:rsidRDefault="007F4018" w:rsidP="007F4018">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Correlativo a lo anterior, el artículo 7 d</w:t>
      </w:r>
      <w:r w:rsidRPr="00D87759">
        <w:rPr>
          <w:rFonts w:ascii="Palatino Linotype" w:hAnsi="Palatino Linotype"/>
        </w:rPr>
        <w:t xml:space="preserve">el Reglamento de la Secretaría de Medio Ambiente establece que el Titular de la Secretaría </w:t>
      </w:r>
      <w:r w:rsidRPr="00D87759">
        <w:rPr>
          <w:rFonts w:ascii="Palatino Linotype" w:hAnsi="Palatino Linotype"/>
          <w:b/>
        </w:rPr>
        <w:t xml:space="preserve">cuenta con la atribución para establecer las asignaciones, </w:t>
      </w:r>
      <w:r w:rsidRPr="00D87759">
        <w:rPr>
          <w:rFonts w:ascii="Palatino Linotype" w:hAnsi="Palatino Linotype"/>
          <w:b/>
          <w:bCs/>
        </w:rPr>
        <w:t>permisos, autorizaciones y licencias</w:t>
      </w:r>
      <w:r w:rsidRPr="00D87759">
        <w:rPr>
          <w:rFonts w:ascii="Palatino Linotype" w:hAnsi="Palatino Linotype"/>
        </w:rPr>
        <w:t xml:space="preserve"> en materia ambiental en el ámbito estatal y municipal. Precepto legal que se transcribe a continuación:</w:t>
      </w:r>
    </w:p>
    <w:p w:rsidR="007F4018" w:rsidRPr="00D87759" w:rsidRDefault="007F4018" w:rsidP="00F35EB1">
      <w:pPr>
        <w:rPr>
          <w:rFonts w:ascii="Palatino Linotype" w:eastAsia="Palatino Linotype" w:hAnsi="Palatino Linotype" w:cs="Palatino Linotype"/>
          <w:sz w:val="22"/>
          <w:szCs w:val="22"/>
        </w:rPr>
      </w:pPr>
    </w:p>
    <w:p w:rsidR="007F4018" w:rsidRPr="00D87759" w:rsidRDefault="007F4018" w:rsidP="007F4018">
      <w:pPr>
        <w:ind w:left="567" w:right="539"/>
        <w:jc w:val="both"/>
        <w:rPr>
          <w:rFonts w:ascii="Palatino Linotype" w:hAnsi="Palatino Linotype"/>
          <w:i/>
          <w:sz w:val="22"/>
          <w:szCs w:val="22"/>
        </w:rPr>
      </w:pPr>
      <w:r w:rsidRPr="00D87759">
        <w:rPr>
          <w:rFonts w:ascii="Palatino Linotype" w:hAnsi="Palatino Linotype"/>
          <w:b/>
          <w:i/>
          <w:sz w:val="22"/>
          <w:szCs w:val="22"/>
        </w:rPr>
        <w:t>“Artículo 7.</w:t>
      </w:r>
      <w:r w:rsidRPr="00D87759">
        <w:rPr>
          <w:rFonts w:ascii="Palatino Linotype" w:hAnsi="Palatino Linotype"/>
          <w:i/>
          <w:sz w:val="22"/>
          <w:szCs w:val="22"/>
        </w:rPr>
        <w:t xml:space="preserve"> Corresponde a la persona </w:t>
      </w:r>
      <w:r w:rsidRPr="00D87759">
        <w:rPr>
          <w:rFonts w:ascii="Palatino Linotype" w:hAnsi="Palatino Linotype"/>
          <w:b/>
          <w:i/>
          <w:sz w:val="22"/>
          <w:szCs w:val="22"/>
        </w:rPr>
        <w:t xml:space="preserve">titular de la Secretaría </w:t>
      </w:r>
      <w:r w:rsidRPr="00D87759">
        <w:rPr>
          <w:rFonts w:ascii="Palatino Linotype" w:hAnsi="Palatino Linotype"/>
          <w:i/>
          <w:sz w:val="22"/>
          <w:szCs w:val="22"/>
        </w:rPr>
        <w:t xml:space="preserve">las siguientes atribuciones: </w:t>
      </w:r>
    </w:p>
    <w:p w:rsidR="007F4018" w:rsidRPr="00D87759" w:rsidRDefault="007F4018" w:rsidP="007F4018">
      <w:pPr>
        <w:ind w:left="567" w:right="539"/>
        <w:jc w:val="both"/>
        <w:rPr>
          <w:rFonts w:ascii="Palatino Linotype" w:hAnsi="Palatino Linotype"/>
          <w:i/>
          <w:sz w:val="22"/>
          <w:szCs w:val="22"/>
        </w:rPr>
      </w:pPr>
      <w:r w:rsidRPr="00D87759">
        <w:rPr>
          <w:rFonts w:ascii="Palatino Linotype" w:hAnsi="Palatino Linotype"/>
          <w:i/>
          <w:sz w:val="22"/>
          <w:szCs w:val="22"/>
        </w:rPr>
        <w:lastRenderedPageBreak/>
        <w:t xml:space="preserve">I. Fijar, dirigir, controlar y evaluar la política general de la Secretaría, de acuerdo con la normatividad vigente en el Estado; los objetivos, estrategias y prioridades del Plan de Desarrollo del Estado de México, así como, los programas regionales, sectoriales o especiales a su cargo, en el ámbito de su competencia; </w:t>
      </w:r>
    </w:p>
    <w:p w:rsidR="007F4018" w:rsidRPr="00D87759" w:rsidRDefault="007F4018" w:rsidP="007F4018">
      <w:pPr>
        <w:ind w:left="567" w:right="539"/>
        <w:jc w:val="both"/>
        <w:rPr>
          <w:rFonts w:ascii="Palatino Linotype" w:hAnsi="Palatino Linotype"/>
          <w:i/>
          <w:sz w:val="22"/>
          <w:szCs w:val="22"/>
        </w:rPr>
      </w:pPr>
      <w:r w:rsidRPr="00D87759">
        <w:rPr>
          <w:rFonts w:ascii="Palatino Linotype" w:hAnsi="Palatino Linotype"/>
          <w:i/>
          <w:sz w:val="22"/>
          <w:szCs w:val="22"/>
        </w:rPr>
        <w:t>(…)</w:t>
      </w:r>
    </w:p>
    <w:p w:rsidR="007F4018" w:rsidRPr="00D87759" w:rsidRDefault="007F4018" w:rsidP="007F4018">
      <w:pPr>
        <w:ind w:left="567" w:right="539"/>
        <w:jc w:val="both"/>
        <w:rPr>
          <w:rFonts w:ascii="Palatino Linotype" w:hAnsi="Palatino Linotype"/>
          <w:b/>
          <w:i/>
          <w:sz w:val="22"/>
          <w:szCs w:val="22"/>
        </w:rPr>
      </w:pPr>
      <w:r w:rsidRPr="00D87759">
        <w:rPr>
          <w:rFonts w:ascii="Palatino Linotype" w:hAnsi="Palatino Linotype"/>
          <w:b/>
          <w:i/>
          <w:sz w:val="22"/>
          <w:szCs w:val="22"/>
        </w:rPr>
        <w:t xml:space="preserve">XXXIII. Previo acuerdo con la persona Titular de la Secretaría, emitir autorizaciones, licencias, permisos, exenciones, así como determinar las cancelaciones, suspensiones o revocaciones a que haya lugar, y </w:t>
      </w:r>
    </w:p>
    <w:p w:rsidR="007F4018" w:rsidRPr="00D87759" w:rsidRDefault="007F4018" w:rsidP="007F4018">
      <w:pPr>
        <w:ind w:left="567" w:right="539"/>
        <w:jc w:val="both"/>
        <w:rPr>
          <w:rFonts w:ascii="Palatino Linotype" w:eastAsia="Palatino Linotype" w:hAnsi="Palatino Linotype" w:cs="Palatino Linotype"/>
          <w:i/>
          <w:sz w:val="22"/>
          <w:szCs w:val="22"/>
        </w:rPr>
      </w:pPr>
      <w:r w:rsidRPr="00D87759">
        <w:rPr>
          <w:rFonts w:ascii="Palatino Linotype" w:hAnsi="Palatino Linotype"/>
          <w:i/>
          <w:sz w:val="22"/>
          <w:szCs w:val="22"/>
        </w:rPr>
        <w:t>XXXIV. Las demás que les confieran otras disposiciones jurídicas aplicables y aquéllas que les encomiende la persona Titular de la Secretaría.”</w:t>
      </w:r>
    </w:p>
    <w:p w:rsidR="007F4018" w:rsidRPr="00D87759" w:rsidRDefault="007F4018" w:rsidP="00F35EB1">
      <w:pPr>
        <w:rPr>
          <w:rFonts w:ascii="Palatino Linotype" w:eastAsia="Palatino Linotype" w:hAnsi="Palatino Linotype" w:cs="Palatino Linotype"/>
          <w:sz w:val="22"/>
          <w:szCs w:val="22"/>
        </w:rPr>
      </w:pPr>
    </w:p>
    <w:p w:rsidR="00F35EB1" w:rsidRPr="00D87759" w:rsidRDefault="000E4780" w:rsidP="00485B2D">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Por su parte, </w:t>
      </w:r>
      <w:r w:rsidR="00485B2D" w:rsidRPr="00D87759">
        <w:rPr>
          <w:rFonts w:ascii="Palatino Linotype" w:eastAsia="Palatino Linotype" w:hAnsi="Palatino Linotype" w:cs="Palatino Linotype"/>
          <w:sz w:val="22"/>
          <w:szCs w:val="22"/>
        </w:rPr>
        <w:t xml:space="preserve">el </w:t>
      </w:r>
      <w:r w:rsidRPr="00D87759">
        <w:rPr>
          <w:rFonts w:ascii="Palatino Linotype" w:hAnsi="Palatino Linotype"/>
          <w:sz w:val="22"/>
          <w:szCs w:val="22"/>
        </w:rPr>
        <w:t>Código para la Biodiversidad del Estado de México</w:t>
      </w:r>
      <w:r w:rsidR="00485B2D" w:rsidRPr="00D87759">
        <w:rPr>
          <w:rFonts w:ascii="Palatino Linotype" w:hAnsi="Palatino Linotype"/>
          <w:sz w:val="22"/>
          <w:szCs w:val="22"/>
        </w:rPr>
        <w:t xml:space="preserve"> en </w:t>
      </w:r>
      <w:r w:rsidR="00485B2D" w:rsidRPr="00D87759">
        <w:rPr>
          <w:rFonts w:ascii="Palatino Linotype" w:eastAsia="Palatino Linotype" w:hAnsi="Palatino Linotype" w:cs="Palatino Linotype"/>
          <w:sz w:val="22"/>
          <w:szCs w:val="22"/>
        </w:rPr>
        <w:t xml:space="preserve">su artículo </w:t>
      </w:r>
      <w:r w:rsidR="00485B2D" w:rsidRPr="00D87759">
        <w:rPr>
          <w:rFonts w:ascii="Palatino Linotype" w:hAnsi="Palatino Linotype"/>
          <w:sz w:val="22"/>
          <w:szCs w:val="22"/>
        </w:rPr>
        <w:t xml:space="preserve">2.67 y 2.68 establece que, </w:t>
      </w:r>
      <w:r w:rsidR="00485B2D" w:rsidRPr="00D87759">
        <w:rPr>
          <w:rFonts w:ascii="Palatino Linotype" w:hAnsi="Palatino Linotype"/>
          <w:b/>
          <w:sz w:val="22"/>
          <w:szCs w:val="22"/>
        </w:rPr>
        <w:t>para obtener autorización</w:t>
      </w:r>
      <w:r w:rsidR="00485B2D" w:rsidRPr="00D87759">
        <w:rPr>
          <w:rFonts w:ascii="Palatino Linotype" w:hAnsi="Palatino Linotype"/>
          <w:sz w:val="22"/>
          <w:szCs w:val="22"/>
        </w:rPr>
        <w:t xml:space="preserve"> en materia de impacto ambiental </w:t>
      </w:r>
      <w:r w:rsidR="00485B2D" w:rsidRPr="00D87759">
        <w:rPr>
          <w:rFonts w:ascii="Palatino Linotype" w:eastAsia="Palatino Linotype" w:hAnsi="Palatino Linotype" w:cs="Palatino Linotype"/>
          <w:sz w:val="22"/>
          <w:szCs w:val="22"/>
        </w:rPr>
        <w:t>en o</w:t>
      </w:r>
      <w:r w:rsidR="00485B2D" w:rsidRPr="00D87759">
        <w:rPr>
          <w:rFonts w:ascii="Palatino Linotype" w:hAnsi="Palatino Linotype"/>
          <w:b/>
          <w:sz w:val="22"/>
        </w:rPr>
        <w:t>bras y actividades en áreas naturales protegidas de competencia estatal o municipal</w:t>
      </w:r>
      <w:r w:rsidR="00485B2D" w:rsidRPr="00D87759">
        <w:rPr>
          <w:rFonts w:ascii="Palatino Linotype" w:hAnsi="Palatino Linotype"/>
          <w:sz w:val="22"/>
          <w:szCs w:val="22"/>
        </w:rPr>
        <w:t xml:space="preserve">, los interesados, previo al inicio de cualquier obra o actividad, deberán presentar ante la </w:t>
      </w:r>
      <w:r w:rsidR="00485B2D" w:rsidRPr="00D87759">
        <w:rPr>
          <w:rFonts w:ascii="Palatino Linotype" w:hAnsi="Palatino Linotype"/>
          <w:b/>
          <w:sz w:val="22"/>
          <w:szCs w:val="22"/>
        </w:rPr>
        <w:t>Secretaría,</w:t>
      </w:r>
      <w:r w:rsidR="00485B2D" w:rsidRPr="00D87759">
        <w:rPr>
          <w:rFonts w:ascii="Palatino Linotype" w:hAnsi="Palatino Linotype"/>
          <w:sz w:val="22"/>
          <w:szCs w:val="22"/>
        </w:rPr>
        <w:t xml:space="preserve"> un estudio denominado informe previo, manifiesto de impacto o estudio de riesgo ambiental. </w:t>
      </w:r>
    </w:p>
    <w:p w:rsidR="00485B2D" w:rsidRPr="00D87759" w:rsidRDefault="00485B2D" w:rsidP="00485B2D">
      <w:pPr>
        <w:spacing w:line="360" w:lineRule="auto"/>
        <w:jc w:val="both"/>
        <w:rPr>
          <w:rFonts w:ascii="Palatino Linotype" w:eastAsia="Palatino Linotype" w:hAnsi="Palatino Linotype" w:cs="Palatino Linotype"/>
          <w:sz w:val="22"/>
          <w:szCs w:val="22"/>
        </w:rPr>
      </w:pPr>
    </w:p>
    <w:p w:rsidR="00485B2D" w:rsidRPr="00D87759" w:rsidRDefault="00485B2D" w:rsidP="00485B2D">
      <w:pPr>
        <w:ind w:left="567" w:right="539"/>
        <w:jc w:val="both"/>
        <w:rPr>
          <w:rFonts w:ascii="Palatino Linotype" w:hAnsi="Palatino Linotype"/>
          <w:b/>
          <w:i/>
          <w:sz w:val="22"/>
        </w:rPr>
      </w:pPr>
      <w:r w:rsidRPr="00D87759">
        <w:rPr>
          <w:rFonts w:ascii="Palatino Linotype" w:hAnsi="Palatino Linotype"/>
          <w:b/>
          <w:i/>
          <w:sz w:val="22"/>
        </w:rPr>
        <w:t xml:space="preserve">“CAPITULO V DE LA EVALUACION DEL IMPACTO AMBIENTAL </w:t>
      </w:r>
    </w:p>
    <w:p w:rsidR="00485B2D" w:rsidRPr="00D87759" w:rsidRDefault="00485B2D" w:rsidP="00485B2D">
      <w:pPr>
        <w:ind w:left="567" w:right="539"/>
        <w:jc w:val="both"/>
        <w:rPr>
          <w:rFonts w:ascii="Palatino Linotype" w:hAnsi="Palatino Linotype"/>
          <w:b/>
          <w:i/>
          <w:sz w:val="22"/>
        </w:rPr>
      </w:pP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b/>
          <w:i/>
          <w:sz w:val="22"/>
        </w:rPr>
        <w:t>Artículo 2.67.</w:t>
      </w:r>
      <w:r w:rsidRPr="00D87759">
        <w:rPr>
          <w:rFonts w:ascii="Palatino Linotype" w:hAnsi="Palatino Linotype"/>
          <w:i/>
          <w:sz w:val="22"/>
        </w:rPr>
        <w:t xml:space="preserve"> </w:t>
      </w:r>
      <w:r w:rsidRPr="00D87759">
        <w:rPr>
          <w:rFonts w:ascii="Palatino Linotype" w:hAnsi="Palatino Linotype"/>
          <w:b/>
          <w:i/>
          <w:sz w:val="22"/>
        </w:rPr>
        <w:t>Las personas físicas o jurídicas colectivas que pretendan la realización de actividades industriales, públicas o privadas, la ampliación de obras y plantas industriales existentes en el territorio del Estado o la realización de aquellas actividades que puedan tener como consecuencia la afectación a la biodiversidad, la alteración de los ecosistemas, el desequilibrio ecológico o puedan exceder los límites y lineamientos</w:t>
      </w:r>
      <w:r w:rsidRPr="00D87759">
        <w:rPr>
          <w:rFonts w:ascii="Palatino Linotype" w:hAnsi="Palatino Linotype"/>
          <w:i/>
          <w:sz w:val="22"/>
        </w:rPr>
        <w:t xml:space="preserve"> que al efecto fije el Reglamento del presente Libro, las normas técnicas estatales o las normas oficiales mexicanas deberán someter su proyecto a la aprobación de la Comisión de Impacto Estatal, siempre y cuando no se trate de obras o actividades que estén sujetas en forma exclusiva a la regulación federal. El procedimiento de evaluación técnica de impacto en materia ambiental será obligatorio en sus modalidades de informe previo, manifestación de impacto ambiental y/o estudio de riesgo, mismos que serán emitidos por la Secretaría y estarán sujetos a la evaluación previa de ésta; asimismo las personas físicas o jurídicas colectivas estarán obligadas al </w:t>
      </w:r>
      <w:r w:rsidRPr="00D87759">
        <w:rPr>
          <w:rFonts w:ascii="Palatino Linotype" w:hAnsi="Palatino Linotype"/>
          <w:i/>
          <w:sz w:val="22"/>
        </w:rPr>
        <w:lastRenderedPageBreak/>
        <w:t xml:space="preserve">cumplimiento de los requisitos o acciones para mitigar el impacto ambiental que pudieran ocasionar sin perjuicio de la Evaluación de Impacto Estatal y otras </w:t>
      </w:r>
      <w:r w:rsidRPr="00D87759">
        <w:rPr>
          <w:rFonts w:ascii="Palatino Linotype" w:hAnsi="Palatino Linotype"/>
          <w:b/>
          <w:i/>
          <w:sz w:val="22"/>
        </w:rPr>
        <w:t>autorizaciones que corresponda otorgar a las autoridades competentes</w:t>
      </w:r>
      <w:r w:rsidRPr="00D87759">
        <w:rPr>
          <w:rFonts w:ascii="Palatino Linotype" w:hAnsi="Palatino Linotype"/>
          <w:i/>
          <w:sz w:val="22"/>
        </w:rPr>
        <w:t>. Estarán particularmente obligados quienes realicen:</w:t>
      </w:r>
    </w:p>
    <w:p w:rsidR="00485B2D" w:rsidRPr="00D87759" w:rsidRDefault="00485B2D" w:rsidP="00485B2D">
      <w:pPr>
        <w:ind w:left="567" w:right="539"/>
        <w:jc w:val="both"/>
        <w:rPr>
          <w:rFonts w:ascii="Palatino Linotype" w:hAnsi="Palatino Linotype"/>
          <w:i/>
          <w:sz w:val="22"/>
        </w:rPr>
      </w:pPr>
    </w:p>
    <w:p w:rsidR="00485B2D" w:rsidRPr="00D87759" w:rsidRDefault="00485B2D" w:rsidP="00485B2D">
      <w:pPr>
        <w:ind w:left="567" w:right="539"/>
        <w:jc w:val="both"/>
        <w:rPr>
          <w:rFonts w:ascii="Palatino Linotype" w:hAnsi="Palatino Linotype"/>
          <w:b/>
          <w:i/>
          <w:sz w:val="22"/>
        </w:rPr>
      </w:pPr>
      <w:r w:rsidRPr="00D87759">
        <w:rPr>
          <w:rFonts w:ascii="Palatino Linotype" w:hAnsi="Palatino Linotype"/>
          <w:b/>
          <w:i/>
          <w:sz w:val="22"/>
        </w:rPr>
        <w:t xml:space="preserve">I. Obra pública estatal y municipal;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II. Acondicionamiento o ampliación de vialidades;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III. Procesadoras de alimentos, bebidas, rastros y frigoríficos, ladrilleras, textiles, maquiladoras y curtidurías; </w:t>
      </w:r>
    </w:p>
    <w:p w:rsidR="00485B2D" w:rsidRPr="00D87759" w:rsidRDefault="00485B2D" w:rsidP="00485B2D">
      <w:pPr>
        <w:ind w:left="567" w:right="539"/>
        <w:jc w:val="both"/>
        <w:rPr>
          <w:rFonts w:ascii="Palatino Linotype" w:hAnsi="Palatino Linotype"/>
          <w:b/>
          <w:i/>
          <w:sz w:val="22"/>
        </w:rPr>
      </w:pPr>
      <w:r w:rsidRPr="00D87759">
        <w:rPr>
          <w:rFonts w:ascii="Palatino Linotype" w:hAnsi="Palatino Linotype"/>
          <w:b/>
          <w:i/>
          <w:sz w:val="22"/>
        </w:rPr>
        <w:t xml:space="preserve">IV. Corredores, parques y zonas industriales, a excepción de aquellas en las que se prevean la realización de actividades altamente riesgosas de competencia federal;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V. Exploración, explotación, extracción y procesamiento físico de sustancias minerales no reservadas a la Federación;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XIII. Granjas agrícolas, acuícolas o pecuarias de explotación intensiva;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b/>
          <w:i/>
          <w:sz w:val="22"/>
        </w:rPr>
        <w:t>XIV. Obras y actividades en áreas naturales protegidas de competencia estatal o municipal;</w:t>
      </w:r>
      <w:r w:rsidRPr="00D87759">
        <w:rPr>
          <w:rFonts w:ascii="Palatino Linotype" w:hAnsi="Palatino Linotype"/>
          <w:i/>
          <w:sz w:val="22"/>
        </w:rPr>
        <w:t xml:space="preserve">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XV. Centrales de abasto y mercados;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XVI. Panteones y crematorios;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XVII. Estaciones de servicio o gasolineras y estaciones de servicio de gas carburante, bodegas de almacenamiento de cilindros y contenedores de gas y actividades donde manejen y almacenen sustancias riesgosas, cuando no sean competencia del Gobierno Federal;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XVIII. La prestación del servicio de guarda, custodia, reparación o depósito de vehículos; con excepción de los estacionamientos públicos;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XIX. Comercio, guarda, almacenamiento o depósito de vehículos de desecho o autopartes usadas;</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XX. Las demás que se establezcan en el reglamento de este Libro que puedan causar impactos ambientales significativos de carácter adverso y que, por razón de la obra o actividad de que se trate no sean de jurisdicción federal. </w:t>
      </w:r>
    </w:p>
    <w:p w:rsidR="00485B2D" w:rsidRPr="00D87759" w:rsidRDefault="00485B2D" w:rsidP="00485B2D">
      <w:pPr>
        <w:ind w:left="567" w:right="539"/>
        <w:jc w:val="both"/>
        <w:rPr>
          <w:rFonts w:ascii="Palatino Linotype" w:hAnsi="Palatino Linotype"/>
          <w:i/>
          <w:sz w:val="22"/>
        </w:rPr>
      </w:pPr>
    </w:p>
    <w:p w:rsidR="00485B2D" w:rsidRPr="00D87759" w:rsidRDefault="00485B2D" w:rsidP="00485B2D">
      <w:pPr>
        <w:ind w:left="567" w:right="539"/>
        <w:jc w:val="both"/>
        <w:rPr>
          <w:rFonts w:ascii="Palatino Linotype" w:hAnsi="Palatino Linotype"/>
          <w:b/>
          <w:i/>
          <w:sz w:val="22"/>
        </w:rPr>
      </w:pPr>
      <w:r w:rsidRPr="00D87759">
        <w:rPr>
          <w:rFonts w:ascii="Palatino Linotype" w:hAnsi="Palatino Linotype"/>
          <w:b/>
          <w:i/>
          <w:sz w:val="22"/>
        </w:rPr>
        <w:t xml:space="preserve">La Secretaría podrá eximir de la evaluación técnica de impacto en materia ambiental a aquellos proyectos que, si bien se encuentren previstos en este artículo, no produzcan impactos ambientales significativos de carácter adverso o no causen desequilibrios a la biodiversidad y sus recursos asociados, debido a su ubicación, dimensiones o características, de acuerdo con la reglamentación de este Libro. </w:t>
      </w:r>
    </w:p>
    <w:p w:rsidR="00485B2D" w:rsidRPr="00D87759" w:rsidRDefault="00485B2D" w:rsidP="00485B2D">
      <w:pPr>
        <w:ind w:left="567" w:right="539"/>
        <w:jc w:val="both"/>
        <w:rPr>
          <w:rFonts w:ascii="Palatino Linotype" w:hAnsi="Palatino Linotype"/>
          <w:b/>
          <w:i/>
          <w:sz w:val="22"/>
        </w:rPr>
      </w:pP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lastRenderedPageBreak/>
        <w:t>Derogado.</w:t>
      </w:r>
    </w:p>
    <w:p w:rsidR="00485B2D" w:rsidRPr="00D87759" w:rsidRDefault="00485B2D" w:rsidP="00485B2D">
      <w:pPr>
        <w:ind w:left="567" w:right="539"/>
        <w:jc w:val="both"/>
        <w:rPr>
          <w:rFonts w:ascii="Palatino Linotype" w:hAnsi="Palatino Linotype"/>
          <w:i/>
          <w:sz w:val="22"/>
        </w:rPr>
      </w:pPr>
    </w:p>
    <w:p w:rsidR="00485B2D" w:rsidRPr="00D87759" w:rsidRDefault="00485B2D" w:rsidP="00485B2D">
      <w:pPr>
        <w:ind w:left="567" w:right="539"/>
        <w:jc w:val="both"/>
        <w:rPr>
          <w:rFonts w:ascii="Palatino Linotype" w:eastAsia="Palatino Linotype" w:hAnsi="Palatino Linotype" w:cs="Palatino Linotype"/>
          <w:i/>
          <w:sz w:val="20"/>
          <w:szCs w:val="22"/>
        </w:rPr>
      </w:pPr>
      <w:r w:rsidRPr="00D87759">
        <w:rPr>
          <w:rFonts w:ascii="Palatino Linotype" w:hAnsi="Palatino Linotype"/>
          <w:i/>
          <w:sz w:val="22"/>
        </w:rPr>
        <w:t>La evaluación técnica de impacto en materia ambiental deberá contener, por lo menos, una descripción y evaluación de los efectos que previsiblemente podrá tener el proyecto específico en el o los ecosistemas, considerando el conjunto de los elementos que los conforman, así como las medidas preventivas, de mitigación y las necesarias para evitar y reducir al mínimo los efectos negativos sobre el ambiente. En el caso de las actividades riesgosas, la evaluación técnica de factibilidad de impacto ambiental deberá de acompañarse de un estudio de riesgo.</w:t>
      </w:r>
    </w:p>
    <w:p w:rsidR="007F4018" w:rsidRPr="00D87759" w:rsidRDefault="007F4018" w:rsidP="00485B2D">
      <w:pPr>
        <w:ind w:left="567" w:right="539"/>
        <w:jc w:val="both"/>
        <w:rPr>
          <w:rFonts w:ascii="Palatino Linotype" w:eastAsia="Palatino Linotype" w:hAnsi="Palatino Linotype" w:cs="Palatino Linotype"/>
          <w:i/>
          <w:sz w:val="20"/>
          <w:szCs w:val="22"/>
        </w:rPr>
      </w:pP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b/>
          <w:i/>
          <w:sz w:val="22"/>
        </w:rPr>
        <w:t>Artículo 2.68</w:t>
      </w:r>
      <w:r w:rsidRPr="00D87759">
        <w:rPr>
          <w:rFonts w:ascii="Palatino Linotype" w:hAnsi="Palatino Linotype"/>
          <w:i/>
          <w:sz w:val="22"/>
        </w:rPr>
        <w:t xml:space="preserve">. </w:t>
      </w:r>
      <w:r w:rsidRPr="00D87759">
        <w:rPr>
          <w:rFonts w:ascii="Palatino Linotype" w:hAnsi="Palatino Linotype"/>
          <w:b/>
          <w:i/>
          <w:sz w:val="22"/>
        </w:rPr>
        <w:t xml:space="preserve">Para obtener autorización en materia de impacto ambiental, los interesados, previo al inicio de cualquier obra o actividad, deberán presentar ante la </w:t>
      </w:r>
      <w:r w:rsidRPr="00D87759">
        <w:rPr>
          <w:rFonts w:ascii="Palatino Linotype" w:hAnsi="Palatino Linotype"/>
          <w:i/>
          <w:sz w:val="22"/>
        </w:rPr>
        <w:t xml:space="preserve">Secretaría, un estudio denominado informe previo, manifiesto de impacto o estudio de riesgo ambiental, en los términos del reglamento, pero en todo caso deberá contener, por lo menos: </w:t>
      </w:r>
    </w:p>
    <w:p w:rsidR="00485B2D" w:rsidRPr="00D87759" w:rsidRDefault="00485B2D" w:rsidP="00485B2D">
      <w:pPr>
        <w:ind w:left="567" w:right="539"/>
        <w:jc w:val="both"/>
        <w:rPr>
          <w:rFonts w:ascii="Palatino Linotype" w:hAnsi="Palatino Linotype"/>
          <w:i/>
          <w:sz w:val="22"/>
        </w:rPr>
      </w:pP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I. Nombre, denominación o razón social, nacionalidad, domicilio y dirección de quien pretenda llevar a cabo la obra o actividad objeto de la manifestación;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II. Acreditación de la propiedad o posesión legal del predio;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III. Dirección del predio donde se pretende realizar el proyecto y croquis de localización.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IV. Descripción de la obra o actividad proyectada, desde la etapa de selección del sitio para la ejecución de la obra en el desarrollo de la actividad; la superficie de terreno requerido; el programa de construcción, montaje de instalaciones y operación correspondiente; el tipo de actividad, volúmenes de producción previstos, e inversiones necesarias; la clase y cantidad de recursos naturales que habrán de aprovecharse, tanto en la etapa de construcción como en la operación de la obra o el desarrollo de la actividad; el programa para el manejo de residuos, tanto en la construcción y montaje como durante la operación o desarrollo de la actividad; y el programa para el abandono de las obras o el cese de las actividades;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V. Aspectos generales del medio natural y socioeconómico del área donde pretenda desarrollarse la obra o actividad;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VI. Derogada. </w:t>
      </w: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VII. Medidas de prevención y mitigación para los impactos ambientales identificados en cada una de las etapas. </w:t>
      </w:r>
    </w:p>
    <w:p w:rsidR="00485B2D" w:rsidRPr="00D87759" w:rsidRDefault="00485B2D" w:rsidP="00485B2D">
      <w:pPr>
        <w:ind w:left="567" w:right="539"/>
        <w:jc w:val="both"/>
        <w:rPr>
          <w:rFonts w:ascii="Palatino Linotype" w:hAnsi="Palatino Linotype"/>
          <w:i/>
          <w:sz w:val="22"/>
        </w:rPr>
      </w:pP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Si después de la presentación de una manifestación de impacto ambiental se realizan modificaciones al proyecto de los planes y programas, obras o actividades respectivas, los interesados deberán hacerlas del conocimiento previo a su realización a la Secretaría, a fin </w:t>
      </w:r>
      <w:r w:rsidRPr="00D87759">
        <w:rPr>
          <w:rFonts w:ascii="Palatino Linotype" w:hAnsi="Palatino Linotype"/>
          <w:i/>
          <w:sz w:val="22"/>
        </w:rPr>
        <w:lastRenderedPageBreak/>
        <w:t xml:space="preserve">de que ésta, les notifique si es necesaria la presentación de información adicional para evaluar los efectos al ambiente que pudiesen ocasionar tales modificaciones, en los términos de lo dispuesto en este Libro. Asimismo, si después de obtenida la autorización en materia de impacto ambiental, el titular o responsable de la obra o actividad deciden no ejercerla, deberán comunicarlo por escrito a la Secretaría del Medio Ambiente y Desarrollo Sostenible. </w:t>
      </w:r>
    </w:p>
    <w:p w:rsidR="00485B2D" w:rsidRPr="00D87759" w:rsidRDefault="00485B2D" w:rsidP="00485B2D">
      <w:pPr>
        <w:ind w:left="567" w:right="539"/>
        <w:jc w:val="both"/>
        <w:rPr>
          <w:rFonts w:ascii="Palatino Linotype" w:hAnsi="Palatino Linotype"/>
          <w:i/>
          <w:sz w:val="22"/>
        </w:rPr>
      </w:pPr>
    </w:p>
    <w:p w:rsidR="00485B2D" w:rsidRPr="00D87759" w:rsidRDefault="00485B2D" w:rsidP="00485B2D">
      <w:pPr>
        <w:ind w:left="567" w:right="539"/>
        <w:jc w:val="both"/>
        <w:rPr>
          <w:rFonts w:ascii="Palatino Linotype" w:hAnsi="Palatino Linotype"/>
          <w:i/>
          <w:sz w:val="22"/>
        </w:rPr>
      </w:pPr>
      <w:r w:rsidRPr="00D87759">
        <w:rPr>
          <w:rFonts w:ascii="Palatino Linotype" w:hAnsi="Palatino Linotype"/>
          <w:i/>
          <w:sz w:val="22"/>
        </w:rPr>
        <w:t xml:space="preserve">Una vez que la autoridad competente reciba un informe previo, manifiesto de impacto o estudio de riesgo ambiental, integrará, dentro de los cinco días hábiles siguientes, el expediente respectivo que pondrá a disposición del público, con el fin de que pueda ser consultado por cualquier persona, la cual deberá acreditar el interés jurídico respectivo. </w:t>
      </w:r>
    </w:p>
    <w:p w:rsidR="00485B2D" w:rsidRPr="00D87759" w:rsidRDefault="00485B2D" w:rsidP="00485B2D">
      <w:pPr>
        <w:ind w:left="567" w:right="539"/>
        <w:jc w:val="both"/>
        <w:rPr>
          <w:rFonts w:ascii="Palatino Linotype" w:hAnsi="Palatino Linotype"/>
          <w:i/>
          <w:sz w:val="22"/>
        </w:rPr>
      </w:pPr>
    </w:p>
    <w:p w:rsidR="00485B2D" w:rsidRPr="00D87759" w:rsidRDefault="00485B2D" w:rsidP="00485B2D">
      <w:pPr>
        <w:ind w:left="567" w:right="539"/>
        <w:jc w:val="both"/>
        <w:rPr>
          <w:rFonts w:ascii="Palatino Linotype" w:eastAsia="Palatino Linotype" w:hAnsi="Palatino Linotype" w:cs="Palatino Linotype"/>
          <w:i/>
          <w:sz w:val="20"/>
          <w:szCs w:val="22"/>
        </w:rPr>
      </w:pPr>
      <w:r w:rsidRPr="00D87759">
        <w:rPr>
          <w:rFonts w:ascii="Palatino Linotype" w:hAnsi="Palatino Linotype"/>
          <w:i/>
          <w:sz w:val="22"/>
        </w:rPr>
        <w:t>Los promoventes de la obra o actividad podrán solicitar que se mantenga en reserva la información que haya sido integrada al expediente, y que, de hacerse pública, pudiera afectar derechos de propiedad industrial, y la confidencialidad de la información comercial que aporte el interesado.”</w:t>
      </w:r>
    </w:p>
    <w:p w:rsidR="00485B2D" w:rsidRPr="00D87759" w:rsidRDefault="00485B2D" w:rsidP="007F4018">
      <w:pPr>
        <w:spacing w:line="360" w:lineRule="auto"/>
        <w:jc w:val="both"/>
        <w:rPr>
          <w:rFonts w:ascii="Palatino Linotype" w:eastAsia="Palatino Linotype" w:hAnsi="Palatino Linotype" w:cs="Palatino Linotype"/>
          <w:sz w:val="22"/>
          <w:szCs w:val="22"/>
        </w:rPr>
      </w:pPr>
    </w:p>
    <w:p w:rsidR="00D15CB9" w:rsidRPr="00D87759" w:rsidRDefault="00D15CB9" w:rsidP="00D15CB9">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Así, de los preceptos legales previamente transcritos, se desprende que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cuenta con funciones y atribuciones para generar, poseer y/o administrar la información requerida, relativa a los</w:t>
      </w:r>
      <w:r w:rsidRPr="00D87759">
        <w:rPr>
          <w:rFonts w:ascii="Palatino Linotype" w:eastAsia="Palatino Linotype" w:hAnsi="Palatino Linotype" w:cs="Palatino Linotype"/>
          <w:b/>
          <w:sz w:val="22"/>
          <w:szCs w:val="22"/>
        </w:rPr>
        <w:t xml:space="preserve"> permisos solicitados y otorgados con sus oficios de solicitud y respuesta, </w:t>
      </w:r>
      <w:r w:rsidRPr="00D87759">
        <w:rPr>
          <w:rFonts w:ascii="Palatino Linotype" w:eastAsia="Palatino Linotype" w:hAnsi="Palatino Linotype" w:cs="Palatino Linotype"/>
          <w:sz w:val="22"/>
          <w:szCs w:val="22"/>
        </w:rPr>
        <w:t>de las obras realizadas en el Centro de Bienestar Animal en el Parque Estatal Sierra Morelos y en el Parque Atlacomulco.</w:t>
      </w:r>
    </w:p>
    <w:p w:rsidR="00D15CB9" w:rsidRPr="00D87759" w:rsidRDefault="00D15CB9" w:rsidP="00D15CB9">
      <w:pPr>
        <w:spacing w:line="360" w:lineRule="auto"/>
        <w:jc w:val="both"/>
        <w:rPr>
          <w:rFonts w:ascii="Palatino Linotype" w:eastAsia="Palatino Linotype" w:hAnsi="Palatino Linotype" w:cs="Palatino Linotype"/>
          <w:sz w:val="22"/>
          <w:szCs w:val="22"/>
        </w:rPr>
      </w:pPr>
    </w:p>
    <w:p w:rsidR="00D15CB9" w:rsidRPr="00D87759" w:rsidRDefault="00D15CB9" w:rsidP="000B5B04">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En relación a lo anterior, se advierte la siguiente </w:t>
      </w:r>
      <w:r w:rsidR="000B5B04" w:rsidRPr="00D87759">
        <w:rPr>
          <w:rFonts w:ascii="Palatino Linotype" w:eastAsia="Palatino Linotype" w:hAnsi="Palatino Linotype" w:cs="Palatino Linotype"/>
          <w:sz w:val="22"/>
          <w:szCs w:val="22"/>
        </w:rPr>
        <w:t>c</w:t>
      </w:r>
      <w:r w:rsidRPr="00D87759">
        <w:rPr>
          <w:rFonts w:ascii="Palatino Linotype" w:eastAsia="Palatino Linotype" w:hAnsi="Palatino Linotype" w:cs="Palatino Linotype"/>
          <w:sz w:val="22"/>
          <w:szCs w:val="22"/>
        </w:rPr>
        <w:t xml:space="preserve">édula de </w:t>
      </w:r>
      <w:r w:rsidR="000B5B04" w:rsidRPr="00D87759">
        <w:rPr>
          <w:rFonts w:ascii="Palatino Linotype" w:eastAsia="Palatino Linotype" w:hAnsi="Palatino Linotype" w:cs="Palatino Linotype"/>
          <w:sz w:val="22"/>
          <w:szCs w:val="22"/>
        </w:rPr>
        <w:t>r</w:t>
      </w:r>
      <w:r w:rsidRPr="00D87759">
        <w:rPr>
          <w:rFonts w:ascii="Palatino Linotype" w:eastAsia="Palatino Linotype" w:hAnsi="Palatino Linotype" w:cs="Palatino Linotype"/>
          <w:sz w:val="22"/>
          <w:szCs w:val="22"/>
        </w:rPr>
        <w:t xml:space="preserve">egistro para la autorización de impacto y/o riesgo ambiental, a la que se puede acceder por medio del siguiente enlace electrónico: </w:t>
      </w:r>
      <w:hyperlink r:id="rId9" w:history="1">
        <w:r w:rsidRPr="00D87759">
          <w:rPr>
            <w:rStyle w:val="Hipervnculo"/>
            <w:rFonts w:ascii="Palatino Linotype" w:eastAsia="Palatino Linotype" w:hAnsi="Palatino Linotype" w:cs="Palatino Linotype"/>
            <w:sz w:val="20"/>
            <w:szCs w:val="22"/>
          </w:rPr>
          <w:t>https://qaventanilla.edomex.gob.mx/TramitesyServicios/Tramite?tram=164&amp;cont=0</w:t>
        </w:r>
      </w:hyperlink>
      <w:r w:rsidR="000B5B04" w:rsidRPr="00D87759">
        <w:rPr>
          <w:rFonts w:ascii="Palatino Linotype" w:eastAsia="Palatino Linotype" w:hAnsi="Palatino Linotype" w:cs="Palatino Linotype"/>
          <w:sz w:val="20"/>
          <w:szCs w:val="22"/>
        </w:rPr>
        <w:t>.</w:t>
      </w:r>
    </w:p>
    <w:p w:rsidR="00D15CB9" w:rsidRPr="00D87759" w:rsidRDefault="00D15CB9" w:rsidP="00D15CB9">
      <w:pPr>
        <w:spacing w:line="360" w:lineRule="auto"/>
        <w:jc w:val="both"/>
        <w:rPr>
          <w:rFonts w:ascii="Palatino Linotype" w:eastAsia="Palatino Linotype" w:hAnsi="Palatino Linotype" w:cs="Palatino Linotype"/>
          <w:sz w:val="22"/>
          <w:szCs w:val="22"/>
        </w:rPr>
      </w:pPr>
    </w:p>
    <w:p w:rsidR="00D15CB9" w:rsidRPr="00D87759" w:rsidRDefault="00D15CB9" w:rsidP="000B5B04">
      <w:pPr>
        <w:rPr>
          <w:rFonts w:ascii="Palatino Linotype" w:eastAsia="Palatino Linotype" w:hAnsi="Palatino Linotype" w:cs="Palatino Linotype"/>
          <w:sz w:val="22"/>
          <w:szCs w:val="22"/>
        </w:rPr>
      </w:pPr>
    </w:p>
    <w:p w:rsidR="000B5B04" w:rsidRPr="00D87759" w:rsidRDefault="000B5B04" w:rsidP="000B5B04">
      <w:pPr>
        <w:rPr>
          <w:rFonts w:ascii="Palatino Linotype" w:eastAsia="Palatino Linotype" w:hAnsi="Palatino Linotype" w:cs="Palatino Linotype"/>
          <w:sz w:val="22"/>
          <w:szCs w:val="22"/>
        </w:rPr>
      </w:pPr>
    </w:p>
    <w:p w:rsidR="000B5B04" w:rsidRPr="00D87759" w:rsidRDefault="000B5B04" w:rsidP="000B5B04">
      <w:pPr>
        <w:rPr>
          <w:rFonts w:ascii="Palatino Linotype" w:eastAsia="Palatino Linotype" w:hAnsi="Palatino Linotype" w:cs="Palatino Linotype"/>
          <w:sz w:val="22"/>
          <w:szCs w:val="22"/>
        </w:rPr>
      </w:pPr>
    </w:p>
    <w:p w:rsidR="000B5B04" w:rsidRPr="00D87759" w:rsidRDefault="000B5B04" w:rsidP="000B5B04">
      <w:pPr>
        <w:jc w:val="center"/>
        <w:rPr>
          <w:rFonts w:ascii="Palatino Linotype" w:eastAsia="Palatino Linotype" w:hAnsi="Palatino Linotype" w:cs="Palatino Linotype"/>
          <w:sz w:val="22"/>
          <w:szCs w:val="22"/>
        </w:rPr>
      </w:pPr>
      <w:r w:rsidRPr="00D87759">
        <w:rPr>
          <w:rFonts w:ascii="Palatino Linotype" w:eastAsia="Palatino Linotype" w:hAnsi="Palatino Linotype" w:cs="Palatino Linotype"/>
          <w:noProof/>
          <w:sz w:val="22"/>
          <w:szCs w:val="22"/>
        </w:rPr>
        <w:lastRenderedPageBreak/>
        <w:drawing>
          <wp:inline distT="0" distB="0" distL="0" distR="0" wp14:anchorId="0E232A7C" wp14:editId="4206AE57">
            <wp:extent cx="5742940" cy="6924675"/>
            <wp:effectExtent l="19050" t="19050" r="1016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6924675"/>
                    </a:xfrm>
                    <a:prstGeom prst="rect">
                      <a:avLst/>
                    </a:prstGeom>
                    <a:ln>
                      <a:solidFill>
                        <a:schemeClr val="tx1"/>
                      </a:solidFill>
                    </a:ln>
                  </pic:spPr>
                </pic:pic>
              </a:graphicData>
            </a:graphic>
          </wp:inline>
        </w:drawing>
      </w:r>
    </w:p>
    <w:p w:rsidR="00D15CB9" w:rsidRPr="00D87759" w:rsidRDefault="000B5B04"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lastRenderedPageBreak/>
        <w:t>Por otro lado, con relación a lo solicitado, n</w:t>
      </w:r>
      <w:r w:rsidR="00D15CB9" w:rsidRPr="00D87759">
        <w:rPr>
          <w:rFonts w:ascii="Palatino Linotype" w:eastAsia="Palatino Linotype" w:hAnsi="Palatino Linotype" w:cs="Palatino Linotype"/>
          <w:sz w:val="22"/>
          <w:szCs w:val="22"/>
        </w:rPr>
        <w:t>o pasa desapercibido mencionar que, este Órgano Garante localizó la siguientes notas periodísticas:</w:t>
      </w:r>
    </w:p>
    <w:p w:rsidR="000B5B04" w:rsidRPr="00D87759" w:rsidRDefault="000B5B04" w:rsidP="000B5B04">
      <w:pPr>
        <w:spacing w:line="360" w:lineRule="auto"/>
        <w:jc w:val="both"/>
        <w:rPr>
          <w:rFonts w:ascii="Palatino Linotype" w:eastAsia="Palatino Linotype" w:hAnsi="Palatino Linotype" w:cs="Palatino Linotype"/>
          <w:sz w:val="22"/>
          <w:szCs w:val="22"/>
        </w:rPr>
      </w:pPr>
    </w:p>
    <w:p w:rsidR="00D15CB9" w:rsidRPr="00D87759" w:rsidRDefault="00D15CB9" w:rsidP="000B5B04">
      <w:pPr>
        <w:spacing w:line="360" w:lineRule="auto"/>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noProof/>
          <w:sz w:val="22"/>
          <w:szCs w:val="22"/>
        </w:rPr>
        <w:drawing>
          <wp:inline distT="0" distB="0" distL="0" distR="0" wp14:anchorId="2808C35E" wp14:editId="7114A368">
            <wp:extent cx="5742940" cy="1971675"/>
            <wp:effectExtent l="19050" t="19050" r="1016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0813"/>
                    <a:stretch/>
                  </pic:blipFill>
                  <pic:spPr bwMode="auto">
                    <a:xfrm>
                      <a:off x="0" y="0"/>
                      <a:ext cx="5742940" cy="1971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5CB9" w:rsidRPr="00D87759" w:rsidRDefault="000B5B04" w:rsidP="00D15CB9">
      <w:pPr>
        <w:spacing w:line="360" w:lineRule="auto"/>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noProof/>
          <w:sz w:val="22"/>
          <w:szCs w:val="22"/>
        </w:rPr>
        <w:drawing>
          <wp:inline distT="0" distB="0" distL="0" distR="0" wp14:anchorId="32D34BD4" wp14:editId="6F10DFCD">
            <wp:extent cx="5742940" cy="3686175"/>
            <wp:effectExtent l="19050" t="19050" r="1016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675"/>
                    <a:stretch/>
                  </pic:blipFill>
                  <pic:spPr bwMode="auto">
                    <a:xfrm>
                      <a:off x="0" y="0"/>
                      <a:ext cx="5742940" cy="3686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B5B04" w:rsidRPr="00D87759" w:rsidRDefault="00F5600E" w:rsidP="00D15CB9">
      <w:pPr>
        <w:spacing w:line="360" w:lineRule="auto"/>
        <w:jc w:val="both"/>
        <w:rPr>
          <w:rFonts w:ascii="Palatino Linotype" w:eastAsia="Palatino Linotype" w:hAnsi="Palatino Linotype" w:cs="Palatino Linotype"/>
          <w:sz w:val="18"/>
          <w:szCs w:val="22"/>
        </w:rPr>
      </w:pPr>
      <w:hyperlink r:id="rId13" w:anchor="respond" w:history="1">
        <w:r w:rsidR="000B5B04" w:rsidRPr="00D87759">
          <w:rPr>
            <w:rStyle w:val="Hipervnculo"/>
            <w:rFonts w:ascii="Palatino Linotype" w:eastAsia="Palatino Linotype" w:hAnsi="Palatino Linotype" w:cs="Palatino Linotype"/>
            <w:sz w:val="18"/>
            <w:szCs w:val="22"/>
          </w:rPr>
          <w:t>https://asisucede.com.mx/centro-de-bienestar-animal-es-un-proyecto-sostenible-alhely-rubio-arronis/#respond</w:t>
        </w:r>
      </w:hyperlink>
      <w:r w:rsidR="000B5B04" w:rsidRPr="00D87759">
        <w:rPr>
          <w:rFonts w:ascii="Palatino Linotype" w:eastAsia="Palatino Linotype" w:hAnsi="Palatino Linotype" w:cs="Palatino Linotype"/>
          <w:sz w:val="18"/>
          <w:szCs w:val="22"/>
        </w:rPr>
        <w:t xml:space="preserve"> </w:t>
      </w:r>
    </w:p>
    <w:p w:rsidR="000B5B04" w:rsidRPr="00D87759" w:rsidRDefault="000B5B04" w:rsidP="00D15CB9">
      <w:pPr>
        <w:spacing w:line="360" w:lineRule="auto"/>
        <w:jc w:val="both"/>
        <w:rPr>
          <w:rFonts w:ascii="Palatino Linotype" w:eastAsia="Palatino Linotype" w:hAnsi="Palatino Linotype" w:cs="Palatino Linotype"/>
          <w:sz w:val="18"/>
          <w:szCs w:val="22"/>
        </w:rPr>
      </w:pPr>
      <w:r w:rsidRPr="00D87759">
        <w:rPr>
          <w:rFonts w:ascii="Palatino Linotype" w:eastAsia="Palatino Linotype" w:hAnsi="Palatino Linotype" w:cs="Palatino Linotype"/>
          <w:noProof/>
          <w:sz w:val="18"/>
          <w:szCs w:val="22"/>
        </w:rPr>
        <w:lastRenderedPageBreak/>
        <w:drawing>
          <wp:inline distT="0" distB="0" distL="0" distR="0" wp14:anchorId="314D46A3" wp14:editId="451F648D">
            <wp:extent cx="5742940" cy="6477000"/>
            <wp:effectExtent l="19050" t="19050" r="1016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6477000"/>
                    </a:xfrm>
                    <a:prstGeom prst="rect">
                      <a:avLst/>
                    </a:prstGeom>
                    <a:ln>
                      <a:solidFill>
                        <a:schemeClr val="tx1"/>
                      </a:solidFill>
                    </a:ln>
                  </pic:spPr>
                </pic:pic>
              </a:graphicData>
            </a:graphic>
          </wp:inline>
        </w:drawing>
      </w:r>
    </w:p>
    <w:p w:rsidR="000B5B04" w:rsidRPr="00D87759" w:rsidRDefault="00F5600E" w:rsidP="00D15CB9">
      <w:pPr>
        <w:spacing w:line="360" w:lineRule="auto"/>
        <w:jc w:val="both"/>
        <w:rPr>
          <w:rFonts w:ascii="Palatino Linotype" w:eastAsia="Palatino Linotype" w:hAnsi="Palatino Linotype" w:cs="Palatino Linotype"/>
          <w:sz w:val="12"/>
          <w:szCs w:val="22"/>
        </w:rPr>
      </w:pPr>
      <w:hyperlink r:id="rId15" w:history="1">
        <w:r w:rsidR="000B5B04" w:rsidRPr="00D87759">
          <w:rPr>
            <w:rStyle w:val="Hipervnculo"/>
            <w:rFonts w:ascii="Palatino Linotype" w:hAnsi="Palatino Linotype"/>
            <w:sz w:val="18"/>
          </w:rPr>
          <w:t>https://lajornadaestadodemexico.com/centro-de-control-animal-en-parque-sierra-morelos/</w:t>
        </w:r>
      </w:hyperlink>
    </w:p>
    <w:p w:rsidR="000B5B04" w:rsidRPr="00D87759" w:rsidRDefault="000B5B04" w:rsidP="00D15CB9">
      <w:pPr>
        <w:spacing w:line="360" w:lineRule="auto"/>
        <w:jc w:val="both"/>
        <w:rPr>
          <w:rFonts w:ascii="Palatino Linotype" w:eastAsia="Palatino Linotype" w:hAnsi="Palatino Linotype" w:cs="Palatino Linotype"/>
          <w:sz w:val="18"/>
          <w:szCs w:val="22"/>
        </w:rPr>
      </w:pPr>
    </w:p>
    <w:p w:rsidR="002C2D9C" w:rsidRPr="00D87759" w:rsidRDefault="002C2D9C" w:rsidP="002C2D9C">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hAnsi="Palatino Linotype"/>
          <w:sz w:val="22"/>
          <w:szCs w:val="22"/>
        </w:rPr>
        <w:lastRenderedPageBreak/>
        <w:t xml:space="preserve">Al respecto, debe mencionarse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la imagen encontrada por la ponencia correspondiente a la nota periodística de mérito arrojan indicios sobre los hechos a que se refieren. Sirve de apoyo a lo anterior, la Jurisprudencia y Tesis Aisladas que enseguida se reproducen: </w:t>
      </w:r>
    </w:p>
    <w:p w:rsidR="002C2D9C" w:rsidRPr="00D87759" w:rsidRDefault="002C2D9C" w:rsidP="002C2D9C">
      <w:pPr>
        <w:spacing w:line="360" w:lineRule="auto"/>
        <w:jc w:val="both"/>
        <w:rPr>
          <w:rFonts w:ascii="Palatino Linotype" w:eastAsia="Palatino Linotype" w:hAnsi="Palatino Linotype" w:cs="Palatino Linotype"/>
          <w:sz w:val="22"/>
          <w:szCs w:val="22"/>
        </w:rPr>
      </w:pPr>
    </w:p>
    <w:p w:rsidR="002C2D9C" w:rsidRPr="00D87759" w:rsidRDefault="002C2D9C" w:rsidP="002C2D9C">
      <w:pPr>
        <w:ind w:left="567" w:right="539"/>
        <w:contextualSpacing/>
        <w:jc w:val="both"/>
        <w:rPr>
          <w:rFonts w:ascii="Palatino Linotype" w:hAnsi="Palatino Linotype"/>
          <w:i/>
          <w:sz w:val="22"/>
          <w:szCs w:val="22"/>
        </w:rPr>
      </w:pPr>
      <w:r w:rsidRPr="00D87759">
        <w:rPr>
          <w:rFonts w:ascii="Palatino Linotype" w:hAnsi="Palatino Linotype"/>
          <w:b/>
          <w:i/>
          <w:sz w:val="22"/>
          <w:szCs w:val="22"/>
        </w:rPr>
        <w:t>“NOTAS PERIODÍSTICAS. ELEMENTOS PARA DETERMINAR SU FUERZA INDICIARIA.</w:t>
      </w:r>
      <w:r w:rsidRPr="00D87759">
        <w:rPr>
          <w:rFonts w:ascii="Palatino Linotype" w:hAnsi="Palatino Linotype"/>
          <w:i/>
          <w:sz w:val="22"/>
          <w:szCs w:val="22"/>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p>
    <w:p w:rsidR="002C2D9C" w:rsidRPr="00D87759" w:rsidRDefault="002C2D9C" w:rsidP="002C2D9C">
      <w:pPr>
        <w:ind w:left="567" w:right="539"/>
        <w:contextualSpacing/>
        <w:jc w:val="both"/>
        <w:rPr>
          <w:rFonts w:ascii="Palatino Linotype" w:hAnsi="Palatino Linotype"/>
          <w:i/>
          <w:sz w:val="22"/>
          <w:szCs w:val="22"/>
        </w:rPr>
      </w:pPr>
    </w:p>
    <w:p w:rsidR="002C2D9C" w:rsidRPr="00D87759" w:rsidRDefault="002C2D9C" w:rsidP="002C2D9C">
      <w:pPr>
        <w:ind w:left="567" w:right="539"/>
        <w:contextualSpacing/>
        <w:jc w:val="both"/>
        <w:rPr>
          <w:rFonts w:ascii="Palatino Linotype" w:hAnsi="Palatino Linotype"/>
          <w:i/>
          <w:sz w:val="22"/>
          <w:szCs w:val="22"/>
        </w:rPr>
      </w:pPr>
      <w:r w:rsidRPr="00D87759">
        <w:rPr>
          <w:rFonts w:ascii="Palatino Linotype" w:hAnsi="Palatino Linotype"/>
          <w:b/>
          <w:i/>
          <w:sz w:val="22"/>
          <w:szCs w:val="22"/>
        </w:rPr>
        <w:t xml:space="preserve">INDICIO. CONCEPTO DE. </w:t>
      </w:r>
      <w:r w:rsidRPr="00D87759">
        <w:rPr>
          <w:rFonts w:ascii="Palatino Linotype" w:hAnsi="Palatino Linotype"/>
          <w:i/>
          <w:sz w:val="22"/>
          <w:szCs w:val="22"/>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w:t>
      </w:r>
      <w:r w:rsidRPr="00D87759">
        <w:rPr>
          <w:rFonts w:ascii="Palatino Linotype" w:hAnsi="Palatino Linotype"/>
          <w:i/>
          <w:sz w:val="22"/>
          <w:szCs w:val="22"/>
        </w:rPr>
        <w:lastRenderedPageBreak/>
        <w:t xml:space="preserve">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rsidR="002C2D9C" w:rsidRPr="00D87759" w:rsidRDefault="002C2D9C" w:rsidP="002C2D9C">
      <w:pPr>
        <w:ind w:left="567" w:right="539"/>
        <w:contextualSpacing/>
        <w:jc w:val="both"/>
        <w:rPr>
          <w:rFonts w:ascii="Palatino Linotype" w:hAnsi="Palatino Linotype"/>
          <w:i/>
          <w:sz w:val="22"/>
          <w:szCs w:val="22"/>
        </w:rPr>
      </w:pPr>
    </w:p>
    <w:p w:rsidR="002C2D9C" w:rsidRPr="00D87759" w:rsidRDefault="002C2D9C" w:rsidP="002C2D9C">
      <w:pPr>
        <w:ind w:left="567" w:right="539"/>
        <w:contextualSpacing/>
        <w:jc w:val="both"/>
        <w:rPr>
          <w:rFonts w:ascii="Palatino Linotype" w:hAnsi="Palatino Linotype"/>
          <w:i/>
          <w:sz w:val="22"/>
          <w:szCs w:val="22"/>
        </w:rPr>
      </w:pPr>
      <w:r w:rsidRPr="00D87759">
        <w:rPr>
          <w:rFonts w:ascii="Palatino Linotype" w:hAnsi="Palatino Linotype"/>
          <w:i/>
          <w:sz w:val="22"/>
          <w:szCs w:val="22"/>
        </w:rPr>
        <w:t xml:space="preserve">SEGUNDO TRIBUNAL COLEGIADO DEL SEXTO CIRCUITO. </w:t>
      </w:r>
    </w:p>
    <w:p w:rsidR="002C2D9C" w:rsidRPr="00D87759" w:rsidRDefault="002C2D9C" w:rsidP="002C2D9C">
      <w:pPr>
        <w:ind w:left="567" w:right="539"/>
        <w:contextualSpacing/>
        <w:jc w:val="both"/>
        <w:rPr>
          <w:rFonts w:ascii="Palatino Linotype" w:hAnsi="Palatino Linotype"/>
          <w:i/>
          <w:sz w:val="22"/>
          <w:szCs w:val="22"/>
        </w:rPr>
      </w:pPr>
      <w:r w:rsidRPr="00D87759">
        <w:rPr>
          <w:rFonts w:ascii="Palatino Linotype" w:hAnsi="Palatino Linotype"/>
          <w:i/>
          <w:sz w:val="22"/>
          <w:szCs w:val="22"/>
        </w:rPr>
        <w:t>Amparo directo 317/87. Juan Antonio Ibarra Chaire y coags. 12 de julio de 1988. Unanimidad de votos. Ponente: José Galván Rojas. Secretario: Vicente Martínez Sánchez.</w:t>
      </w:r>
    </w:p>
    <w:p w:rsidR="002C2D9C" w:rsidRPr="00D87759" w:rsidRDefault="002C2D9C" w:rsidP="002C2D9C">
      <w:pPr>
        <w:ind w:left="567" w:right="539"/>
        <w:contextualSpacing/>
        <w:jc w:val="both"/>
        <w:rPr>
          <w:rFonts w:ascii="Palatino Linotype" w:hAnsi="Palatino Linotype"/>
          <w:i/>
          <w:sz w:val="22"/>
          <w:szCs w:val="22"/>
        </w:rPr>
      </w:pPr>
    </w:p>
    <w:p w:rsidR="002C2D9C" w:rsidRPr="00D87759" w:rsidRDefault="002C2D9C" w:rsidP="002C2D9C">
      <w:pPr>
        <w:ind w:left="567" w:right="539"/>
        <w:contextualSpacing/>
        <w:jc w:val="both"/>
        <w:rPr>
          <w:rFonts w:ascii="Palatino Linotype" w:hAnsi="Palatino Linotype"/>
          <w:i/>
          <w:sz w:val="22"/>
          <w:szCs w:val="22"/>
        </w:rPr>
      </w:pPr>
      <w:r w:rsidRPr="00D87759">
        <w:rPr>
          <w:rFonts w:ascii="Palatino Linotype" w:hAnsi="Palatino Linotype"/>
          <w:b/>
          <w:i/>
          <w:sz w:val="22"/>
          <w:szCs w:val="22"/>
        </w:rPr>
        <w:t xml:space="preserve">INDICIOS. REQUISITOS PARA QUE GENEREN PRESUNCIÓN DE CERTEZA. </w:t>
      </w:r>
      <w:r w:rsidRPr="00D87759">
        <w:rPr>
          <w:rFonts w:ascii="Palatino Linotype" w:hAnsi="Palatino Linotype"/>
          <w:i/>
          <w:sz w:val="22"/>
          <w:szCs w:val="22"/>
        </w:rPr>
        <w:t xml:space="preserve">Nada impide que para acreditar la veracidad de un hecho, el juzgador se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2C2D9C" w:rsidRPr="00D87759" w:rsidRDefault="002C2D9C" w:rsidP="002C2D9C">
      <w:pPr>
        <w:spacing w:line="360" w:lineRule="auto"/>
        <w:jc w:val="both"/>
        <w:rPr>
          <w:rFonts w:ascii="Palatino Linotype" w:eastAsia="Palatino Linotype" w:hAnsi="Palatino Linotype" w:cs="Palatino Linotype"/>
          <w:sz w:val="22"/>
          <w:szCs w:val="22"/>
        </w:rPr>
      </w:pPr>
    </w:p>
    <w:p w:rsidR="002C2D9C" w:rsidRPr="00D87759" w:rsidRDefault="002C2D9C" w:rsidP="002C2D9C">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hAnsi="Palatino Linotype"/>
          <w:sz w:val="22"/>
          <w:szCs w:val="22"/>
        </w:rPr>
        <w:t xml:space="preserve">De lo anterior, se presume la existencia de documentación relacionada con la información requerida, toda vez que el SUJETO OBLIGADO se encuentra constreñido a documentar todo acto de autoridad que éste realice derivado sus funciones, atribuciones y competencias. </w:t>
      </w:r>
    </w:p>
    <w:p w:rsidR="002C2D9C" w:rsidRPr="00D87759" w:rsidRDefault="002C2D9C" w:rsidP="002C2D9C">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hAnsi="Palatino Linotype"/>
          <w:sz w:val="22"/>
          <w:szCs w:val="22"/>
        </w:rPr>
        <w:lastRenderedPageBreak/>
        <w:t xml:space="preserve">En ese tenor, si bien es cierto que las páginas de internet no son un medio oficial, también lo es que se trata de indicios que demuestran las tareas o labores que llegan a realizar en este caso los servidores públicos en ejercicio de sus facultades, competencias y/o funciones. </w:t>
      </w:r>
    </w:p>
    <w:p w:rsidR="002C2D9C" w:rsidRPr="00D87759" w:rsidRDefault="002C2D9C" w:rsidP="002C2D9C">
      <w:pPr>
        <w:spacing w:line="360" w:lineRule="auto"/>
        <w:jc w:val="both"/>
        <w:rPr>
          <w:rFonts w:ascii="Palatino Linotype" w:eastAsia="Palatino Linotype" w:hAnsi="Palatino Linotype" w:cs="Palatino Linotype"/>
          <w:sz w:val="22"/>
          <w:szCs w:val="22"/>
        </w:rPr>
      </w:pPr>
    </w:p>
    <w:p w:rsidR="00F26C40" w:rsidRPr="00D87759" w:rsidRDefault="002C2D9C" w:rsidP="002C2D9C">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hAnsi="Palatino Linotype"/>
          <w:sz w:val="22"/>
          <w:szCs w:val="22"/>
        </w:rPr>
        <w:t xml:space="preserve">En tal virtud, al obrar indicios de la información en páginas de internet, como lo son notas periodísticas como fue el caso, que demuestran que el </w:t>
      </w:r>
      <w:r w:rsidRPr="00D87759">
        <w:rPr>
          <w:rFonts w:ascii="Palatino Linotype" w:hAnsi="Palatino Linotype"/>
          <w:b/>
          <w:sz w:val="22"/>
          <w:szCs w:val="22"/>
        </w:rPr>
        <w:t xml:space="preserve">SUJETO OBLIGADO </w:t>
      </w:r>
      <w:r w:rsidRPr="00D87759">
        <w:rPr>
          <w:rFonts w:ascii="Palatino Linotype" w:hAnsi="Palatino Linotype"/>
          <w:sz w:val="22"/>
          <w:szCs w:val="22"/>
        </w:rPr>
        <w:t xml:space="preserve">cuenta con la información en alguna de sus áreas administrativas,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F26C40" w:rsidRPr="00D87759" w:rsidRDefault="00F26C40" w:rsidP="00F26C40">
      <w:pPr>
        <w:spacing w:line="360" w:lineRule="auto"/>
        <w:jc w:val="both"/>
        <w:rPr>
          <w:rFonts w:ascii="Palatino Linotype" w:eastAsia="MS Mincho" w:hAnsi="Palatino Linotype" w:cstheme="majorBidi"/>
          <w:bCs/>
          <w:sz w:val="22"/>
          <w:szCs w:val="22"/>
        </w:rPr>
      </w:pPr>
    </w:p>
    <w:p w:rsidR="00F26C40" w:rsidRPr="00D87759" w:rsidRDefault="00F26C40" w:rsidP="00F26C40">
      <w:pPr>
        <w:ind w:left="567" w:right="539"/>
        <w:contextualSpacing/>
        <w:jc w:val="both"/>
        <w:rPr>
          <w:rFonts w:ascii="Palatino Linotype" w:hAnsi="Palatino Linotype"/>
          <w:i/>
          <w:sz w:val="22"/>
          <w:szCs w:val="22"/>
        </w:rPr>
      </w:pPr>
      <w:r w:rsidRPr="00D87759">
        <w:rPr>
          <w:rFonts w:ascii="Palatino Linotype" w:hAnsi="Palatino Linotype"/>
          <w:b/>
          <w:i/>
          <w:sz w:val="22"/>
          <w:szCs w:val="22"/>
        </w:rPr>
        <w:t xml:space="preserve">“PÁGINAS WEB O ELECTRÓNICAS. SU CONTENIDO ES UN HECHO NOTORIO Y SUSCEPTIBLE DE SER VALORADO EN UNA DECISIÓN JUDICIAL. </w:t>
      </w:r>
      <w:r w:rsidRPr="00D87759">
        <w:rPr>
          <w:rFonts w:ascii="Palatino Linotype" w:hAnsi="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w:t>
      </w:r>
      <w:r w:rsidRPr="00D87759">
        <w:rPr>
          <w:rFonts w:ascii="Palatino Linotype" w:hAnsi="Palatino Linotype"/>
          <w:i/>
          <w:sz w:val="22"/>
          <w:szCs w:val="22"/>
        </w:rPr>
        <w:lastRenderedPageBreak/>
        <w:t>propios de una de las partes en cualquier juicio, puede ser tomado como prueba plena, a menos que haya una en contrario que no fue creada por orden del interesado, ya que se le reputará autor y podrá perjudicarle lo que ofrezca en sus términos.</w:t>
      </w:r>
    </w:p>
    <w:p w:rsidR="00F26C40" w:rsidRPr="00D87759" w:rsidRDefault="00F26C40" w:rsidP="00F26C40">
      <w:pPr>
        <w:ind w:left="567" w:right="539"/>
        <w:contextualSpacing/>
        <w:jc w:val="both"/>
        <w:rPr>
          <w:rFonts w:ascii="Palatino Linotype" w:hAnsi="Palatino Linotype"/>
          <w:i/>
          <w:sz w:val="22"/>
          <w:szCs w:val="22"/>
        </w:rPr>
      </w:pPr>
      <w:r w:rsidRPr="00D87759">
        <w:rPr>
          <w:rFonts w:ascii="Palatino Linotype" w:hAnsi="Palatino Linotype"/>
          <w:i/>
          <w:sz w:val="22"/>
          <w:szCs w:val="22"/>
        </w:rPr>
        <w:t xml:space="preserve"> TERCER TRIBUNAL COLEGIADO EN MATERIA CIVIL DEL PRIMER CIRCUITO. </w:t>
      </w:r>
    </w:p>
    <w:p w:rsidR="00F26C40" w:rsidRPr="00D87759" w:rsidRDefault="00F26C40" w:rsidP="00F26C40">
      <w:pPr>
        <w:ind w:left="567" w:right="539"/>
        <w:contextualSpacing/>
        <w:jc w:val="both"/>
        <w:rPr>
          <w:rFonts w:ascii="Palatino Linotype" w:hAnsi="Palatino Linotype"/>
          <w:i/>
          <w:sz w:val="22"/>
          <w:szCs w:val="22"/>
        </w:rPr>
      </w:pPr>
      <w:r w:rsidRPr="00D87759">
        <w:rPr>
          <w:rFonts w:ascii="Palatino Linotype" w:hAnsi="Palatino Linotype"/>
          <w:i/>
          <w:sz w:val="22"/>
          <w:szCs w:val="22"/>
        </w:rPr>
        <w:t xml:space="preserve">Amparo en revisión 365/2012. Mardygras, S.A. de C.V. 7 de diciembre de 2012. Unanimidad de votos. Ponente: Neófito López Ramos. Secretaria: Ana Lilia Osorno Arroyo.” </w:t>
      </w:r>
    </w:p>
    <w:p w:rsidR="00F26C40" w:rsidRPr="00D87759" w:rsidRDefault="00F26C40" w:rsidP="00F26C40">
      <w:pPr>
        <w:spacing w:line="360" w:lineRule="auto"/>
        <w:jc w:val="both"/>
        <w:rPr>
          <w:rFonts w:ascii="Palatino Linotype" w:eastAsia="Palatino Linotype" w:hAnsi="Palatino Linotype" w:cs="Palatino Linotype"/>
          <w:sz w:val="22"/>
          <w:szCs w:val="22"/>
        </w:rPr>
      </w:pPr>
    </w:p>
    <w:p w:rsidR="002C2D9C" w:rsidRPr="00D87759" w:rsidRDefault="002C2D9C" w:rsidP="002C2D9C">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MS Mincho" w:hAnsi="Palatino Linotype" w:cstheme="majorBidi"/>
          <w:bCs/>
          <w:sz w:val="22"/>
          <w:szCs w:val="22"/>
        </w:rPr>
        <w:t>Es así que, aún y cuando la información proviene de una nota periodística, muestra elementos que permiten presumir la existencia del hecho, razón por la que se ordena la entrega de la información.</w:t>
      </w:r>
    </w:p>
    <w:p w:rsidR="002C2D9C" w:rsidRPr="00D87759" w:rsidRDefault="002C2D9C" w:rsidP="002C2D9C">
      <w:pPr>
        <w:spacing w:line="360" w:lineRule="auto"/>
        <w:jc w:val="both"/>
        <w:rPr>
          <w:rFonts w:ascii="Palatino Linotype" w:eastAsia="Palatino Linotype" w:hAnsi="Palatino Linotype" w:cs="Palatino Linotype"/>
          <w:sz w:val="22"/>
          <w:szCs w:val="22"/>
        </w:rPr>
      </w:pPr>
    </w:p>
    <w:p w:rsidR="000B5B04" w:rsidRPr="00D87759" w:rsidRDefault="000B5B04" w:rsidP="000B5B04">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En consecuencia, se ordena entregar, de ser procedente en versión pública, l</w:t>
      </w:r>
      <w:r w:rsidRPr="00D87759">
        <w:rPr>
          <w:rFonts w:ascii="Palatino Linotype" w:eastAsia="Palatino Linotype" w:hAnsi="Palatino Linotype" w:cs="Palatino Linotype"/>
          <w:b/>
          <w:sz w:val="22"/>
          <w:szCs w:val="22"/>
        </w:rPr>
        <w:t>os permisos solicitados y otorgados con sus oficios de solicitud y respuesta; de las obras realizadas en el centro de bienestar animal en el Parque Estatal Sierra Morelos y en el Parque Atlacomulco del 31 de octubre de 2023 al 31 de octubre de 2024.</w:t>
      </w:r>
    </w:p>
    <w:p w:rsidR="000B5B04" w:rsidRPr="00D87759" w:rsidRDefault="000B5B04" w:rsidP="000B5B04">
      <w:pPr>
        <w:spacing w:line="360" w:lineRule="auto"/>
        <w:jc w:val="both"/>
        <w:rPr>
          <w:rFonts w:ascii="Palatino Linotype" w:eastAsia="Palatino Linotype" w:hAnsi="Palatino Linotype" w:cs="Palatino Linotype"/>
          <w:sz w:val="22"/>
          <w:szCs w:val="22"/>
        </w:rPr>
      </w:pPr>
    </w:p>
    <w:p w:rsidR="00F76EAA" w:rsidRPr="00D87759" w:rsidRDefault="00F35EB1"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Ahora bien, por lo que corresponde a</w:t>
      </w:r>
      <w:r w:rsidR="007F4018" w:rsidRPr="00D87759">
        <w:rPr>
          <w:rFonts w:ascii="Palatino Linotype" w:eastAsia="Palatino Linotype" w:hAnsi="Palatino Linotype" w:cs="Palatino Linotype"/>
          <w:sz w:val="22"/>
          <w:szCs w:val="22"/>
        </w:rPr>
        <w:t xml:space="preserve"> la información requerida, relativa al</w:t>
      </w:r>
      <w:r w:rsidRPr="00D87759">
        <w:rPr>
          <w:rFonts w:ascii="Palatino Linotype" w:eastAsia="Palatino Linotype" w:hAnsi="Palatino Linotype" w:cs="Palatino Linotype"/>
          <w:sz w:val="22"/>
          <w:szCs w:val="22"/>
        </w:rPr>
        <w:t xml:space="preserve"> </w:t>
      </w:r>
      <w:r w:rsidRPr="00D87759">
        <w:rPr>
          <w:rFonts w:ascii="Palatino Linotype" w:eastAsia="Palatino Linotype" w:hAnsi="Palatino Linotype" w:cs="Palatino Linotype"/>
          <w:b/>
          <w:sz w:val="22"/>
          <w:szCs w:val="22"/>
        </w:rPr>
        <w:t xml:space="preserve">estudio justificativo, autorización de cambio de suelo y estatus en el que se encuentran de las obras realizadas en el centro de bienestar animal en el Parque Estatal Sierra Morelos y en el Parque Atlacomulco”, </w:t>
      </w:r>
      <w:r w:rsidRPr="00D87759">
        <w:rPr>
          <w:rFonts w:ascii="Palatino Linotype" w:eastAsia="Palatino Linotype" w:hAnsi="Palatino Linotype" w:cs="Palatino Linotype"/>
          <w:sz w:val="22"/>
          <w:szCs w:val="22"/>
        </w:rPr>
        <w:t>es preciso mencionar que</w:t>
      </w:r>
      <w:r w:rsidR="000E4780" w:rsidRPr="00D87759">
        <w:rPr>
          <w:rFonts w:ascii="Palatino Linotype" w:eastAsia="Palatino Linotype" w:hAnsi="Palatino Linotype" w:cs="Palatino Linotype"/>
          <w:sz w:val="22"/>
          <w:szCs w:val="22"/>
        </w:rPr>
        <w:t xml:space="preserve"> el artículo 74 del </w:t>
      </w:r>
      <w:r w:rsidR="000E4780" w:rsidRPr="00D87759">
        <w:rPr>
          <w:rFonts w:ascii="Palatino Linotype" w:eastAsia="Palatino Linotype" w:hAnsi="Palatino Linotype" w:cs="Palatino Linotype"/>
          <w:color w:val="222222"/>
          <w:sz w:val="22"/>
          <w:szCs w:val="22"/>
        </w:rPr>
        <w:t xml:space="preserve">Reglamento Interior de la Secretaría del Medio Ambiente y Desarrollo Sostenible, </w:t>
      </w:r>
      <w:r w:rsidR="007F4018" w:rsidRPr="00D87759">
        <w:rPr>
          <w:rFonts w:ascii="Palatino Linotype" w:eastAsia="Palatino Linotype" w:hAnsi="Palatino Linotype" w:cs="Palatino Linotype"/>
          <w:color w:val="222222"/>
          <w:sz w:val="22"/>
          <w:szCs w:val="22"/>
        </w:rPr>
        <w:t>establece</w:t>
      </w:r>
      <w:r w:rsidR="000E4780" w:rsidRPr="00D87759">
        <w:rPr>
          <w:rFonts w:ascii="Palatino Linotype" w:eastAsia="Palatino Linotype" w:hAnsi="Palatino Linotype" w:cs="Palatino Linotype"/>
          <w:color w:val="222222"/>
          <w:sz w:val="22"/>
          <w:szCs w:val="22"/>
        </w:rPr>
        <w:t xml:space="preserve"> que la persona Titular de la Secretaría, cuenta con la atribución de </w:t>
      </w:r>
      <w:r w:rsidR="000E4780" w:rsidRPr="00D87759">
        <w:rPr>
          <w:rFonts w:ascii="Palatino Linotype" w:eastAsia="Palatino Linotype" w:hAnsi="Palatino Linotype" w:cs="Palatino Linotype"/>
          <w:b/>
          <w:color w:val="222222"/>
          <w:sz w:val="22"/>
          <w:szCs w:val="22"/>
        </w:rPr>
        <w:t>proponer a la persona Titular del Poder Ejecutivo la expedición de declaratorias para establecer áreas naturales protegidas de competencia estatal,</w:t>
      </w:r>
      <w:r w:rsidR="000E4780" w:rsidRPr="00D87759">
        <w:rPr>
          <w:rFonts w:ascii="Palatino Linotype" w:eastAsia="Palatino Linotype" w:hAnsi="Palatino Linotype" w:cs="Palatino Linotype"/>
          <w:color w:val="222222"/>
          <w:sz w:val="22"/>
          <w:szCs w:val="22"/>
        </w:rPr>
        <w:t xml:space="preserve"> con la participación de los gobiernos municipales, dependencias de la administración pública estatal, pueblos y comunidades indígenas, grupos y organizaciones de la sociedad </w:t>
      </w:r>
      <w:r w:rsidR="000E4780" w:rsidRPr="00D87759">
        <w:rPr>
          <w:rFonts w:ascii="Palatino Linotype" w:eastAsia="Palatino Linotype" w:hAnsi="Palatino Linotype" w:cs="Palatino Linotype"/>
          <w:color w:val="222222"/>
          <w:sz w:val="22"/>
          <w:szCs w:val="22"/>
        </w:rPr>
        <w:lastRenderedPageBreak/>
        <w:t>civil, así como universidades, centros de investigación, instituciones y organismos de los sectores público, privado y social interesados.</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Correlativo a lo anterior, el artículo 2.87, 2.88, 296, 2.101 y 2.103 del Código para la Biodiversidad del Estado de México, que establece lo siguiente:</w:t>
      </w:r>
    </w:p>
    <w:p w:rsidR="00F76EAA" w:rsidRPr="00D87759" w:rsidRDefault="00F76EAA" w:rsidP="00F35EB1">
      <w:pPr>
        <w:spacing w:line="360" w:lineRule="auto"/>
        <w:ind w:right="539"/>
        <w:jc w:val="both"/>
        <w:rPr>
          <w:rFonts w:ascii="Palatino Linotype" w:eastAsia="Palatino Linotype" w:hAnsi="Palatino Linotype" w:cs="Palatino Linotype"/>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w:t>
      </w:r>
      <w:r w:rsidRPr="00D87759">
        <w:rPr>
          <w:rFonts w:ascii="Palatino Linotype" w:eastAsia="Palatino Linotype" w:hAnsi="Palatino Linotype" w:cs="Palatino Linotype"/>
          <w:b/>
          <w:i/>
          <w:color w:val="222222"/>
          <w:sz w:val="22"/>
          <w:szCs w:val="22"/>
        </w:rPr>
        <w:t>Artículo 2.87.</w:t>
      </w:r>
      <w:r w:rsidRPr="00D87759">
        <w:rPr>
          <w:rFonts w:ascii="Palatino Linotype" w:eastAsia="Palatino Linotype" w:hAnsi="Palatino Linotype" w:cs="Palatino Linotype"/>
          <w:i/>
          <w:color w:val="222222"/>
          <w:sz w:val="22"/>
          <w:szCs w:val="22"/>
        </w:rPr>
        <w:t xml:space="preserve"> En los términos del presente Libro </w:t>
      </w:r>
      <w:r w:rsidRPr="00D87759">
        <w:rPr>
          <w:rFonts w:ascii="Palatino Linotype" w:eastAsia="Palatino Linotype" w:hAnsi="Palatino Linotype" w:cs="Palatino Linotype"/>
          <w:b/>
          <w:i/>
          <w:color w:val="222222"/>
          <w:sz w:val="22"/>
          <w:szCs w:val="22"/>
        </w:rPr>
        <w:t>las áreas naturales protegidas</w:t>
      </w:r>
      <w:r w:rsidRPr="00D87759">
        <w:rPr>
          <w:rFonts w:ascii="Palatino Linotype" w:eastAsia="Palatino Linotype" w:hAnsi="Palatino Linotype" w:cs="Palatino Linotype"/>
          <w:i/>
          <w:color w:val="222222"/>
          <w:sz w:val="22"/>
          <w:szCs w:val="22"/>
        </w:rPr>
        <w:t xml:space="preserve"> a que se refiere este Capítulo podrán ser materia de protección como reservas ecológicas para los propósitos, efectos y modalidades que en el presente Ordenamiento y en el Reglamento que para el efecto expida la Secretaría donde se precisen mediante la imposición de las limitaciones que determinen las autoridades competentes y las leyes aplicables, las zonas que serán consideradas como áreas naturales protegidas y de interés público.</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b/>
          <w:i/>
          <w:color w:val="222222"/>
          <w:sz w:val="22"/>
          <w:szCs w:val="22"/>
        </w:rPr>
        <w:t>Artículo 2.88.</w:t>
      </w:r>
      <w:r w:rsidRPr="00D87759">
        <w:rPr>
          <w:rFonts w:ascii="Palatino Linotype" w:eastAsia="Palatino Linotype" w:hAnsi="Palatino Linotype" w:cs="Palatino Linotype"/>
          <w:i/>
          <w:color w:val="222222"/>
          <w:sz w:val="22"/>
          <w:szCs w:val="22"/>
        </w:rPr>
        <w:t xml:space="preserve"> Se consideran áreas naturales protegidas: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 Las reservas estatales; </w:t>
      </w: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b/>
          <w:i/>
          <w:color w:val="222222"/>
          <w:sz w:val="22"/>
          <w:szCs w:val="22"/>
        </w:rPr>
        <w:t xml:space="preserve">Il. Los parques estatales;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Para los efectos jurídicos conducentes serán de competencia y jurisdicción exclusiva del Estado </w:t>
      </w:r>
      <w:r w:rsidRPr="00D87759">
        <w:rPr>
          <w:rFonts w:ascii="Palatino Linotype" w:eastAsia="Palatino Linotype" w:hAnsi="Palatino Linotype" w:cs="Palatino Linotype"/>
          <w:b/>
          <w:i/>
          <w:color w:val="222222"/>
          <w:sz w:val="22"/>
          <w:szCs w:val="22"/>
        </w:rPr>
        <w:t>las áreas naturales que se sometan a las categorías de protección comprendidas en las fracciones I a Ill</w:t>
      </w:r>
      <w:r w:rsidRPr="00D87759">
        <w:rPr>
          <w:rFonts w:ascii="Palatino Linotype" w:eastAsia="Palatino Linotype" w:hAnsi="Palatino Linotype" w:cs="Palatino Linotype"/>
          <w:i/>
          <w:color w:val="222222"/>
          <w:sz w:val="22"/>
          <w:szCs w:val="22"/>
        </w:rPr>
        <w:t xml:space="preserve"> y VIII de este artículo, las autoridades municipales de conformidad con el presente Libro participarán en el establecimiento de las áreas naturales sometidas a las categorías especiales de protección a que se refieren las fracciones IV a VII y IX del presente artículo quedando bajo su jurisdicción la administración y vigilancia de las mismas. </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Las autoridades municipales no podrán someter a ninguna categoría especial de protección ningún área natural autoridades estatales que se encuentre dentro del perímetro de una ya protegida por </w:t>
      </w:r>
      <w:r w:rsidRPr="00D87759">
        <w:rPr>
          <w:rFonts w:ascii="Palatino Linotype" w:eastAsia="Palatino Linotype" w:hAnsi="Palatino Linotype" w:cs="Palatino Linotype"/>
          <w:b/>
          <w:i/>
          <w:color w:val="222222"/>
          <w:sz w:val="22"/>
          <w:szCs w:val="22"/>
        </w:rPr>
        <w:t>las autoridades estatales.</w:t>
      </w:r>
      <w:r w:rsidRPr="00D87759">
        <w:rPr>
          <w:rFonts w:ascii="Palatino Linotype" w:eastAsia="Palatino Linotype" w:hAnsi="Palatino Linotype" w:cs="Palatino Linotype"/>
          <w:i/>
          <w:color w:val="222222"/>
          <w:sz w:val="22"/>
          <w:szCs w:val="22"/>
        </w:rPr>
        <w:t xml:space="preserve"> </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b/>
          <w:i/>
          <w:color w:val="222222"/>
          <w:sz w:val="22"/>
          <w:szCs w:val="22"/>
        </w:rPr>
        <w:t>Artículo 2.96.</w:t>
      </w:r>
      <w:r w:rsidRPr="00D87759">
        <w:rPr>
          <w:rFonts w:ascii="Palatino Linotype" w:eastAsia="Palatino Linotype" w:hAnsi="Palatino Linotype" w:cs="Palatino Linotype"/>
          <w:i/>
          <w:color w:val="222222"/>
          <w:sz w:val="22"/>
          <w:szCs w:val="22"/>
        </w:rPr>
        <w:t xml:space="preserve"> </w:t>
      </w:r>
      <w:r w:rsidRPr="00D87759">
        <w:rPr>
          <w:rFonts w:ascii="Palatino Linotype" w:eastAsia="Palatino Linotype" w:hAnsi="Palatino Linotype" w:cs="Palatino Linotype"/>
          <w:b/>
          <w:i/>
          <w:color w:val="222222"/>
          <w:sz w:val="22"/>
          <w:szCs w:val="22"/>
        </w:rPr>
        <w:t>Los parques estatales</w:t>
      </w:r>
      <w:r w:rsidRPr="00D87759">
        <w:rPr>
          <w:rFonts w:ascii="Palatino Linotype" w:eastAsia="Palatino Linotype" w:hAnsi="Palatino Linotype" w:cs="Palatino Linotype"/>
          <w:i/>
          <w:color w:val="222222"/>
          <w:sz w:val="22"/>
          <w:szCs w:val="22"/>
        </w:rPr>
        <w:t xml:space="preserve"> se constituirán, tratándose de representaciones biogeográficas a nivel estatal de uno o más ecosistemas que tengan importancia por su belleza escénica, su valor científico, educativo, de recreo, su valor histórico y por la </w:t>
      </w:r>
      <w:r w:rsidRPr="00D87759">
        <w:rPr>
          <w:rFonts w:ascii="Palatino Linotype" w:eastAsia="Palatino Linotype" w:hAnsi="Palatino Linotype" w:cs="Palatino Linotype"/>
          <w:i/>
          <w:color w:val="222222"/>
          <w:sz w:val="22"/>
          <w:szCs w:val="22"/>
        </w:rPr>
        <w:lastRenderedPageBreak/>
        <w:t xml:space="preserve">existencia de flora y fauna, por su aptitud para el desarrollo del turismo sostenible o bien por otras razones análogas de interés general. </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i/>
          <w:color w:val="222222"/>
          <w:sz w:val="22"/>
          <w:szCs w:val="22"/>
        </w:rPr>
        <w:t xml:space="preserve">En los parques estatales sólo podrá permitirse la realización de actividades relacionadas con la </w:t>
      </w:r>
      <w:r w:rsidRPr="00D87759">
        <w:rPr>
          <w:rFonts w:ascii="Palatino Linotype" w:eastAsia="Palatino Linotype" w:hAnsi="Palatino Linotype" w:cs="Palatino Linotype"/>
          <w:b/>
          <w:i/>
          <w:color w:val="222222"/>
          <w:sz w:val="22"/>
          <w:szCs w:val="22"/>
        </w:rPr>
        <w:t>protección de sus elementos naturales</w:t>
      </w:r>
      <w:r w:rsidRPr="00D87759">
        <w:rPr>
          <w:rFonts w:ascii="Palatino Linotype" w:eastAsia="Palatino Linotype" w:hAnsi="Palatino Linotype" w:cs="Palatino Linotype"/>
          <w:i/>
          <w:color w:val="222222"/>
          <w:sz w:val="22"/>
          <w:szCs w:val="22"/>
        </w:rPr>
        <w:t xml:space="preserve">, el incremento de su flora y fauna, y en general con la preservación de los ecosistemas y de sus elementos, así como actividades de investigación, recreación, turismo, cultura y educación ambiental, </w:t>
      </w:r>
      <w:r w:rsidRPr="00D87759">
        <w:rPr>
          <w:rFonts w:ascii="Palatino Linotype" w:eastAsia="Palatino Linotype" w:hAnsi="Palatino Linotype" w:cs="Palatino Linotype"/>
          <w:b/>
          <w:i/>
          <w:color w:val="222222"/>
          <w:sz w:val="22"/>
          <w:szCs w:val="22"/>
        </w:rPr>
        <w:t>previa autorización de la autoridad competente.</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b/>
          <w:i/>
          <w:color w:val="222222"/>
          <w:sz w:val="22"/>
          <w:szCs w:val="22"/>
        </w:rPr>
        <w:t>Artículo 2.101.</w:t>
      </w:r>
      <w:r w:rsidRPr="00D87759">
        <w:rPr>
          <w:rFonts w:ascii="Palatino Linotype" w:eastAsia="Palatino Linotype" w:hAnsi="Palatino Linotype" w:cs="Palatino Linotype"/>
          <w:i/>
          <w:color w:val="222222"/>
          <w:sz w:val="22"/>
          <w:szCs w:val="22"/>
        </w:rPr>
        <w:t xml:space="preserve"> </w:t>
      </w:r>
      <w:r w:rsidRPr="00D87759">
        <w:rPr>
          <w:rFonts w:ascii="Palatino Linotype" w:eastAsia="Palatino Linotype" w:hAnsi="Palatino Linotype" w:cs="Palatino Linotype"/>
          <w:b/>
          <w:i/>
          <w:color w:val="222222"/>
          <w:sz w:val="22"/>
          <w:szCs w:val="22"/>
        </w:rPr>
        <w:t>Las áreas naturales protegidas de competencia estatal se establecerán mediante declaratoria expedida por el Gobernador del Estado conforme al presente Libro y a las demás disposiciones aplicables según proceda, previo estudio técnico que se elabore en los términos que emita la Secretaría,</w:t>
      </w:r>
      <w:r w:rsidRPr="00D87759">
        <w:rPr>
          <w:rFonts w:ascii="Palatino Linotype" w:eastAsia="Palatino Linotype" w:hAnsi="Palatino Linotype" w:cs="Palatino Linotype"/>
          <w:i/>
          <w:color w:val="222222"/>
          <w:sz w:val="22"/>
          <w:szCs w:val="22"/>
        </w:rPr>
        <w:t xml:space="preserve"> la que coordinará dicho estudio con la participación de los Ayuntamientos que corresponda, las dependencias federales y estatales competentes y con sectores público y social.</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b/>
          <w:i/>
          <w:color w:val="222222"/>
          <w:sz w:val="22"/>
          <w:szCs w:val="22"/>
        </w:rPr>
        <w:t>Artículo 2.103</w:t>
      </w:r>
      <w:r w:rsidRPr="00D87759">
        <w:rPr>
          <w:rFonts w:ascii="Palatino Linotype" w:eastAsia="Palatino Linotype" w:hAnsi="Palatino Linotype" w:cs="Palatino Linotype"/>
          <w:i/>
          <w:color w:val="222222"/>
          <w:sz w:val="22"/>
          <w:szCs w:val="22"/>
        </w:rPr>
        <w:t xml:space="preserve">. </w:t>
      </w:r>
      <w:r w:rsidRPr="00D87759">
        <w:rPr>
          <w:rFonts w:ascii="Palatino Linotype" w:eastAsia="Palatino Linotype" w:hAnsi="Palatino Linotype" w:cs="Palatino Linotype"/>
          <w:b/>
          <w:i/>
          <w:color w:val="222222"/>
          <w:sz w:val="22"/>
          <w:szCs w:val="22"/>
        </w:rPr>
        <w:t>Las declaratorias para el establecimiento, conservación, administración, desarrollo y vigilancia de las áreas naturales protegidas de jurisdicción estatal</w:t>
      </w:r>
      <w:r w:rsidRPr="00D87759">
        <w:rPr>
          <w:rFonts w:ascii="Palatino Linotype" w:eastAsia="Palatino Linotype" w:hAnsi="Palatino Linotype" w:cs="Palatino Linotype"/>
          <w:i/>
          <w:color w:val="222222"/>
          <w:sz w:val="22"/>
          <w:szCs w:val="22"/>
        </w:rPr>
        <w:t xml:space="preserve"> contendrán sin perjuicio de lo dispuesto por otras leyes, los siguientes elementos: </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 La delimitación precisa del área señalando superficie, ubicación, deslinde, y en su caso, la zonificación correspondiente;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II. Las modalidades a que se sujetará dentro del área el uso o aprovechamiento de los elementos y recursos naturales en general o específicamente de aquellos sujetos a protección;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III. La descripción de las actividades que podrán llevarse a cabo en el área correspondiente y las modalidades y limitaciones a que se sujetarán; y </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color w:val="222222"/>
          <w:sz w:val="22"/>
          <w:szCs w:val="22"/>
        </w:rPr>
        <w:t>IV. Los lineamientos para la elaboración de un programa de manejo del área."</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De lo expuesto, se reitera que la Secretaría de Medio Ambiente y Desarrollo Sostenible, c</w:t>
      </w:r>
      <w:r w:rsidRPr="00D87759">
        <w:rPr>
          <w:rFonts w:ascii="Palatino Linotype" w:eastAsia="Palatino Linotype" w:hAnsi="Palatino Linotype" w:cs="Palatino Linotype"/>
          <w:color w:val="222222"/>
          <w:sz w:val="22"/>
          <w:szCs w:val="22"/>
        </w:rPr>
        <w:t xml:space="preserve">uenta con la atribución de proponer a la persona Titular del Poder Ejecutivo la expedición de declaratorias para establecer áreas naturales protegidas de competencia estatal, </w:t>
      </w:r>
      <w:r w:rsidRPr="00D87759">
        <w:rPr>
          <w:rFonts w:ascii="Palatino Linotype" w:eastAsia="Palatino Linotype" w:hAnsi="Palatino Linotype" w:cs="Palatino Linotype"/>
          <w:b/>
          <w:color w:val="222222"/>
          <w:sz w:val="22"/>
          <w:szCs w:val="22"/>
        </w:rPr>
        <w:t xml:space="preserve">no obstante, las áreas naturales protegidas de competencia estatal se establecerán mediante declaratoria </w:t>
      </w:r>
      <w:r w:rsidRPr="00D87759">
        <w:rPr>
          <w:rFonts w:ascii="Palatino Linotype" w:eastAsia="Palatino Linotype" w:hAnsi="Palatino Linotype" w:cs="Palatino Linotype"/>
          <w:b/>
          <w:color w:val="222222"/>
          <w:sz w:val="22"/>
          <w:szCs w:val="22"/>
        </w:rPr>
        <w:lastRenderedPageBreak/>
        <w:t>expedida por la persona titular del Poder Ejecutivo del Estado,</w:t>
      </w:r>
      <w:r w:rsidRPr="00D87759">
        <w:rPr>
          <w:rFonts w:ascii="Palatino Linotype" w:eastAsia="Palatino Linotype" w:hAnsi="Palatino Linotype" w:cs="Palatino Linotype"/>
          <w:color w:val="222222"/>
          <w:sz w:val="22"/>
          <w:szCs w:val="22"/>
        </w:rPr>
        <w:t xml:space="preserve"> y la declaratoria para el establecimiento, conservación, administración, desarrollo y vigilancia de dichas áreas naturales, contendrán los elementos mínimos que establece la legislación aplicable. </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222222"/>
          <w:sz w:val="22"/>
          <w:szCs w:val="22"/>
        </w:rPr>
        <w:t xml:space="preserve">Al respecto, es necesario señalar que la Comisión Estatal de Parques Naturales y de la Fauna (CEPANAF), es un organismo público descentralizado, establecido en términos de los artículos 78 de la Constitución Política del Estado Libre y Soberano de México; así como 4 y 64 de la Ley Orgánica de la Administración Pública del Estado de México; y, su Reglamento Interior, establece que la persona titular de la Dirección General cuenta entre sus atribuciones, con las siguientes: </w:t>
      </w:r>
    </w:p>
    <w:p w:rsidR="00F76EAA" w:rsidRPr="00D87759" w:rsidRDefault="00F76EAA" w:rsidP="00F35EB1">
      <w:pPr>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w:t>
      </w:r>
      <w:r w:rsidRPr="00D87759">
        <w:rPr>
          <w:rFonts w:ascii="Palatino Linotype" w:eastAsia="Palatino Linotype" w:hAnsi="Palatino Linotype" w:cs="Palatino Linotype"/>
          <w:b/>
          <w:i/>
          <w:color w:val="222222"/>
          <w:sz w:val="22"/>
          <w:szCs w:val="22"/>
        </w:rPr>
        <w:t>Artículo 11.-</w:t>
      </w:r>
      <w:r w:rsidRPr="00D87759">
        <w:rPr>
          <w:rFonts w:ascii="Palatino Linotype" w:eastAsia="Palatino Linotype" w:hAnsi="Palatino Linotype" w:cs="Palatino Linotype"/>
          <w:i/>
          <w:color w:val="222222"/>
          <w:sz w:val="22"/>
          <w:szCs w:val="22"/>
        </w:rPr>
        <w:t xml:space="preserve"> Corresponden a la persona titular de la Dirección General, además de las atribuciones establecidas en el Decreto, las siguientes: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 Dirigir el desempeño, funcionamiento y organización de la CEPANAF: </w:t>
      </w: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b/>
          <w:i/>
          <w:color w:val="222222"/>
          <w:sz w:val="22"/>
          <w:szCs w:val="22"/>
        </w:rPr>
        <w:t xml:space="preserve">II. Supervisar, controlar y administrar los parques, zoológicos, reservas y Áreas Naturales Protegidas administrados por la CEPANAF; </w:t>
      </w: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b/>
          <w:i/>
          <w:color w:val="222222"/>
          <w:sz w:val="22"/>
          <w:szCs w:val="22"/>
        </w:rPr>
        <w:t xml:space="preserve">Ill. Coordinar la implementación del Sistema Estatal de Áreas Naturales Protegidas; IV. Coordinar la emisión y publicación anual del informe de la situación general existente en el Estado de las Áreas Naturales Protegidas; </w:t>
      </w: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b/>
          <w:i/>
          <w:color w:val="222222"/>
          <w:sz w:val="22"/>
          <w:szCs w:val="22"/>
        </w:rPr>
        <w:t xml:space="preserve">V. Promover acciones que involucren y motiven a la comunidad en la participación de las actividades programadas en las Áreas Naturales Protegidas de la entidad; </w:t>
      </w: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b/>
          <w:i/>
          <w:color w:val="222222"/>
          <w:sz w:val="22"/>
          <w:szCs w:val="22"/>
        </w:rPr>
        <w:t>VI. Presentar para la aprobación del Consejo Directivo, los programas o proyectos orientados a la promoción y el desarrollo de actividades de carácter recreativo y de convivencia que se pretendan realizar en las Áreas Naturales Protegidas de la entidad;</w:t>
      </w:r>
    </w:p>
    <w:p w:rsidR="00F76EAA" w:rsidRPr="00D87759" w:rsidRDefault="000E4780" w:rsidP="00F35EB1">
      <w:pPr>
        <w:ind w:left="567" w:right="539"/>
        <w:jc w:val="both"/>
        <w:rPr>
          <w:rFonts w:ascii="Palatino Linotype" w:eastAsia="Palatino Linotype" w:hAnsi="Palatino Linotype" w:cs="Palatino Linotype"/>
          <w:b/>
          <w:i/>
          <w:sz w:val="22"/>
          <w:szCs w:val="22"/>
        </w:rPr>
      </w:pPr>
      <w:r w:rsidRPr="00D87759">
        <w:rPr>
          <w:rFonts w:ascii="Palatino Linotype" w:eastAsia="Palatino Linotype" w:hAnsi="Palatino Linotype" w:cs="Palatino Linotype"/>
          <w:b/>
          <w:i/>
          <w:color w:val="222222"/>
          <w:sz w:val="22"/>
          <w:szCs w:val="22"/>
        </w:rPr>
        <w:t>…”</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Asimismo, el artículo 15 y 16 del mismo ordenamiento legal, establecen lo siguiente:</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sz w:val="22"/>
          <w:szCs w:val="22"/>
        </w:rPr>
        <w:lastRenderedPageBreak/>
        <w:t>“</w:t>
      </w:r>
      <w:r w:rsidRPr="00D87759">
        <w:rPr>
          <w:rFonts w:ascii="Palatino Linotype" w:eastAsia="Palatino Linotype" w:hAnsi="Palatino Linotype" w:cs="Palatino Linotype"/>
          <w:b/>
          <w:i/>
          <w:color w:val="222222"/>
          <w:sz w:val="22"/>
          <w:szCs w:val="22"/>
        </w:rPr>
        <w:t>Artículo 15.-</w:t>
      </w:r>
      <w:r w:rsidRPr="00D87759">
        <w:rPr>
          <w:rFonts w:ascii="Palatino Linotype" w:eastAsia="Palatino Linotype" w:hAnsi="Palatino Linotype" w:cs="Palatino Linotype"/>
          <w:i/>
          <w:color w:val="222222"/>
          <w:sz w:val="22"/>
          <w:szCs w:val="22"/>
        </w:rPr>
        <w:t xml:space="preserve"> Corresponde a la Subdirección de Desarrollo y Control de Parques Recreativos: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 Coordinar las acciones de protección, fomento, ecoturismo, servicios y utilización de los recursos naturales de forma sustentable en los parques administrados por la CEPANAF;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II. Establecer previa aprobación de la persona titular de la Dirección General, las políticas y normas generales que regulen el uso de las instalaciones de los parques administrados por la CEPANAF;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Ill. Integrar y formular planes y programas ecológicos de desarrollo sustentable, así como de reforestación y forestación en los parques administrados por la CEPANAF; IV. Fomentar la realización de actividades que promuevan la recreación, cultura y esparcimiento de la población a través de una sana convivencia con la naturaleza;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V. Ejecutar programas de promoción para dar a conocer las actividades recreativas que se llevan a cabo en los parques administrados por la CEPANAF;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Vi. Supervisar que los servicios ofrecidos en los parques administrados por la CEPANAF, sean prestados con calidad, así como verificar su óptimo funcionamiento; VII. Proponer a la persona titular de la Dirección General, proyectos para la construcción, rehabilitación, mantenimiento, crecimiento, modernización y modificación de las instalaciones de los parques administrados por la CEPANAF;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VIII. Coordinar las acciones de conservación ambiental, fomento y generación de conocimientos para el manejo sustentable de los recursos de los parques administrados por la CEPANAF, y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IX. Las demás que le confieran otras disposiciones jurídicas y las que le encomiende la persona titular de la Dirección General." </w:t>
      </w:r>
    </w:p>
    <w:p w:rsidR="00F76EAA" w:rsidRPr="00D87759" w:rsidRDefault="00F76EAA" w:rsidP="00F35EB1">
      <w:pPr>
        <w:ind w:left="567"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b/>
          <w:i/>
          <w:color w:val="222222"/>
          <w:sz w:val="22"/>
          <w:szCs w:val="22"/>
        </w:rPr>
        <w:t>Artículo 15.-</w:t>
      </w:r>
      <w:r w:rsidRPr="00D87759">
        <w:rPr>
          <w:rFonts w:ascii="Palatino Linotype" w:eastAsia="Palatino Linotype" w:hAnsi="Palatino Linotype" w:cs="Palatino Linotype"/>
          <w:i/>
          <w:color w:val="222222"/>
          <w:sz w:val="22"/>
          <w:szCs w:val="22"/>
        </w:rPr>
        <w:t xml:space="preserve"> Corresponde al titular de la Subdirección de Atención y Gestión de Áreas Naturales Protegidas:</w:t>
      </w:r>
    </w:p>
    <w:p w:rsidR="00F76EAA" w:rsidRPr="00D87759" w:rsidRDefault="00F76EAA" w:rsidP="00F35EB1">
      <w:pPr>
        <w:ind w:right="539"/>
        <w:jc w:val="both"/>
        <w:rPr>
          <w:rFonts w:ascii="Palatino Linotype" w:eastAsia="Palatino Linotype" w:hAnsi="Palatino Linotype" w:cs="Palatino Linotype"/>
          <w:i/>
          <w:color w:val="222222"/>
          <w:sz w:val="22"/>
          <w:szCs w:val="22"/>
        </w:rPr>
      </w:pP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 Proponer a la persona titular de la Dirección General, mecanismos para la regulación, administración y vigilancia de las Áreas Naturales Protegidas administradas por la CEPANAF: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Il. Promover y realizar en coordinación con las autoridades federales, estatales y/o municipales, representantes del sector privado, propietarios o poseedores y con la sociedad en general, acciones de manejo, conservación, protección, restauración y aprovechamiento sustentable de los recursos de las Áreas Naturales Protegidas;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Ill. Implementar previa autorización de la persona titular de la Dirección General, políticas y reglas administrativas que regulen las actividades realizadas dentro de un Área Natural Protegida, administradas por la CEPANAF: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lastRenderedPageBreak/>
        <w:t>IV. Integrar y formular programas para la realización de campañas de restauración de suelos, reforestación y forestación, así como de prevención y combate de incendios forestales, plagas y enfermedades en las Áreas Naturales Protegidas administradas por la CEPANAF;</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V. Realizar los estudios técnicos para proponer las declaratorias de Área Natural Protegida;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VI. Elaborar los programas de manejo de Áreas Naturales Protegidas de carácter estatal, administradas por la CEPANAF: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VII. Elaborar y promover el desarrollo de proyectos sustentables que garanticen la preservación de las Áreas Naturales Protegidas de la entidad;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VIII. Proponer a la persona titular de la Dirección General, la normativa para el uso, manejo, conservación, vigilancia y administración de las Áreas Naturales Protegidas;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IX. Desarrollar, establecer y mantener actualizado el Sistema Estatal de Áreas Naturales Protegidas;</w:t>
      </w: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b/>
          <w:i/>
          <w:color w:val="222222"/>
          <w:sz w:val="22"/>
          <w:szCs w:val="22"/>
        </w:rPr>
        <w:t xml:space="preserve">X. Supervisar y vigilar que las acciones que se realicen en las Áreas Naturales Protegidas, se apeguen a la normativa establecida para garantizar su sustentabilidad;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XI. Coordinar y supervisar que el Programa de Manejo de las Áreas Naturales Protegidas se lleve a cabo conforme a lo establecido en el mismo, en función del grado de conservación y representatividad de sus ecosistemas; </w:t>
      </w:r>
    </w:p>
    <w:p w:rsidR="00F76EAA" w:rsidRPr="00D87759" w:rsidRDefault="000E4780" w:rsidP="00F35EB1">
      <w:pPr>
        <w:ind w:left="567" w:right="539"/>
        <w:jc w:val="both"/>
        <w:rPr>
          <w:rFonts w:ascii="Palatino Linotype" w:eastAsia="Palatino Linotype" w:hAnsi="Palatino Linotype" w:cs="Palatino Linotype"/>
          <w:b/>
          <w:i/>
          <w:color w:val="222222"/>
          <w:sz w:val="22"/>
          <w:szCs w:val="22"/>
        </w:rPr>
      </w:pPr>
      <w:r w:rsidRPr="00D87759">
        <w:rPr>
          <w:rFonts w:ascii="Palatino Linotype" w:eastAsia="Palatino Linotype" w:hAnsi="Palatino Linotype" w:cs="Palatino Linotype"/>
          <w:b/>
          <w:i/>
          <w:color w:val="222222"/>
          <w:sz w:val="22"/>
          <w:szCs w:val="22"/>
        </w:rPr>
        <w:t xml:space="preserve">XII. Proponer a la persona titular de la Dirección General los planes, proyectos y programas relacionados con el equilibrio ecológico, la flora y la fauna y aquellos relativos a la protección, conservación y restauración de las Áreas Naturales Protegidas;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 xml:space="preserve">XIII. Emitir la opinión técnica para la identificación de los predios inmersos en las Áreas Naturales Protegidas de carácter estatal, previa solicitud de la persona interesada, y </w:t>
      </w:r>
    </w:p>
    <w:p w:rsidR="00F76EAA" w:rsidRPr="00D87759" w:rsidRDefault="000E4780" w:rsidP="00F35EB1">
      <w:pPr>
        <w:ind w:left="567" w:right="539"/>
        <w:jc w:val="both"/>
        <w:rPr>
          <w:rFonts w:ascii="Palatino Linotype" w:eastAsia="Palatino Linotype" w:hAnsi="Palatino Linotype" w:cs="Palatino Linotype"/>
          <w:i/>
          <w:color w:val="222222"/>
          <w:sz w:val="22"/>
          <w:szCs w:val="22"/>
        </w:rPr>
      </w:pPr>
      <w:r w:rsidRPr="00D87759">
        <w:rPr>
          <w:rFonts w:ascii="Palatino Linotype" w:eastAsia="Palatino Linotype" w:hAnsi="Palatino Linotype" w:cs="Palatino Linotype"/>
          <w:i/>
          <w:color w:val="222222"/>
          <w:sz w:val="22"/>
          <w:szCs w:val="22"/>
        </w:rPr>
        <w:t>XIV. Las demás que le confieran otras disposiciones jurídicas aplicables y las que le encomiende la persona titular de la Dirección General.”</w:t>
      </w:r>
    </w:p>
    <w:p w:rsidR="00F76EAA" w:rsidRPr="00D87759" w:rsidRDefault="00F76EAA" w:rsidP="00F35EB1">
      <w:pPr>
        <w:spacing w:line="360" w:lineRule="auto"/>
        <w:ind w:right="539"/>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En atención a los preceptos legales citados, se advierte que </w:t>
      </w:r>
      <w:r w:rsidRPr="00D87759">
        <w:rPr>
          <w:rFonts w:ascii="Palatino Linotype" w:eastAsia="Palatino Linotype" w:hAnsi="Palatino Linotype" w:cs="Palatino Linotype"/>
          <w:b/>
          <w:sz w:val="22"/>
          <w:szCs w:val="22"/>
        </w:rPr>
        <w:t xml:space="preserve">la </w:t>
      </w:r>
      <w:r w:rsidRPr="00D87759">
        <w:rPr>
          <w:rFonts w:ascii="Palatino Linotype" w:eastAsia="Palatino Linotype" w:hAnsi="Palatino Linotype" w:cs="Palatino Linotype"/>
          <w:b/>
          <w:color w:val="222222"/>
          <w:sz w:val="22"/>
          <w:szCs w:val="22"/>
        </w:rPr>
        <w:t>Comisión Estatal de Parques Naturales y de la Fauna (CEPANAF), cuenta con atribuciones para atender lo solicitado,</w:t>
      </w:r>
      <w:r w:rsidRPr="00D87759">
        <w:rPr>
          <w:rFonts w:ascii="Palatino Linotype" w:eastAsia="Palatino Linotype" w:hAnsi="Palatino Linotype" w:cs="Palatino Linotype"/>
          <w:color w:val="222222"/>
          <w:sz w:val="22"/>
          <w:szCs w:val="22"/>
        </w:rPr>
        <w:t xml:space="preserve"> no obstante, corresponde a un Sujeto Obligado diverso a la Secretaría del Medio Ambiente y Desarrollo Sostenible, esto de conformidad con lo establecido en </w:t>
      </w:r>
      <w:r w:rsidRPr="00D87759">
        <w:rPr>
          <w:rFonts w:ascii="Palatino Linotype" w:eastAsia="Palatino Linotype" w:hAnsi="Palatino Linotype" w:cs="Palatino Linotype"/>
          <w:sz w:val="22"/>
          <w:szCs w:val="22"/>
        </w:rPr>
        <w:t xml:space="preserve">Acuerdo mediante el cual el Pleno del Instituto de Transparencia, Acceso a la Información Pública y Protección de Datos Personales del Estado de México y Municipios, aprobó el Padrón de </w:t>
      </w:r>
      <w:r w:rsidRPr="00D87759">
        <w:rPr>
          <w:rFonts w:ascii="Palatino Linotype" w:eastAsia="Palatino Linotype" w:hAnsi="Palatino Linotype" w:cs="Palatino Linotype"/>
          <w:sz w:val="22"/>
          <w:szCs w:val="22"/>
        </w:rPr>
        <w:lastRenderedPageBreak/>
        <w:t>Sujetos Obligados en materia de transparencia y acceso a la información pública del Estado de México y Municipios. Como se observa:</w:t>
      </w:r>
    </w:p>
    <w:p w:rsidR="00F76EAA" w:rsidRPr="00D87759" w:rsidRDefault="000E4780" w:rsidP="00F35EB1">
      <w:pPr>
        <w:spacing w:line="360" w:lineRule="auto"/>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noProof/>
          <w:sz w:val="22"/>
          <w:szCs w:val="22"/>
        </w:rPr>
        <w:drawing>
          <wp:inline distT="0" distB="0" distL="0" distR="0">
            <wp:extent cx="5742940" cy="239585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42940" cy="2395855"/>
                    </a:xfrm>
                    <a:prstGeom prst="rect">
                      <a:avLst/>
                    </a:prstGeom>
                    <a:ln/>
                  </pic:spPr>
                </pic:pic>
              </a:graphicData>
            </a:graphic>
          </wp:inline>
        </w:drawing>
      </w:r>
    </w:p>
    <w:p w:rsidR="00F76EAA" w:rsidRPr="00D87759" w:rsidRDefault="000E4780" w:rsidP="00F35EB1">
      <w:pPr>
        <w:spacing w:line="360" w:lineRule="auto"/>
        <w:jc w:val="center"/>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w:t>
      </w:r>
    </w:p>
    <w:p w:rsidR="002C2D9C" w:rsidRPr="00D87759" w:rsidRDefault="000E4780" w:rsidP="00F35EB1">
      <w:pPr>
        <w:spacing w:line="360" w:lineRule="auto"/>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noProof/>
          <w:sz w:val="22"/>
          <w:szCs w:val="22"/>
        </w:rPr>
        <w:lastRenderedPageBreak/>
        <w:drawing>
          <wp:inline distT="0" distB="0" distL="0" distR="0">
            <wp:extent cx="5742940" cy="414401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42940" cy="4144010"/>
                    </a:xfrm>
                    <a:prstGeom prst="rect">
                      <a:avLst/>
                    </a:prstGeom>
                    <a:ln/>
                  </pic:spPr>
                </pic:pic>
              </a:graphicData>
            </a:graphic>
          </wp:inline>
        </w:drawing>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Al respecto, se tiene que, tanto el acto impugnado como los motivos de inconformidad hechos valer por el </w:t>
      </w:r>
      <w:r w:rsidRPr="00D87759">
        <w:rPr>
          <w:rFonts w:ascii="Palatino Linotype" w:eastAsia="Palatino Linotype" w:hAnsi="Palatino Linotype" w:cs="Palatino Linotype"/>
          <w:b/>
          <w:sz w:val="22"/>
          <w:szCs w:val="22"/>
        </w:rPr>
        <w:t>RECURRENTE</w:t>
      </w:r>
      <w:r w:rsidRPr="00D87759">
        <w:rPr>
          <w:rFonts w:ascii="Palatino Linotype" w:eastAsia="Palatino Linotype" w:hAnsi="Palatino Linotype" w:cs="Palatino Linotype"/>
          <w:sz w:val="22"/>
          <w:szCs w:val="22"/>
        </w:rPr>
        <w:t xml:space="preserve"> son improcedentes, </w:t>
      </w:r>
      <w:r w:rsidRPr="00D87759">
        <w:rPr>
          <w:rFonts w:ascii="Palatino Linotype" w:eastAsia="Palatino Linotype" w:hAnsi="Palatino Linotype" w:cs="Palatino Linotype"/>
          <w:b/>
          <w:sz w:val="22"/>
          <w:szCs w:val="22"/>
        </w:rPr>
        <w:t xml:space="preserve">puesto que la información que solicitó es competencia de un Sujeto Obligado distinto al que se le formuló la solicitud. </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Así, al ser dos entes distintos en materia de transparencia, resulta en obviedad que uno no puede atender las solicitudes de información de otro, puesto que es información que cada Sujeto Obligado posee, genera y administra.</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lastRenderedPageBreak/>
        <w:t xml:space="preserve">Ahora bien, este Órgano Garante estima que el actuar del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encuadra en lo preceptuado por la Ley de la materia, por lo que es necesario señalar los siguientes preceptos legales:</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b/>
          <w:i/>
          <w:sz w:val="22"/>
          <w:szCs w:val="22"/>
        </w:rPr>
        <w:t>“Artículo 53</w:t>
      </w:r>
      <w:r w:rsidRPr="00D87759">
        <w:rPr>
          <w:rFonts w:ascii="Palatino Linotype" w:eastAsia="Palatino Linotype" w:hAnsi="Palatino Linotype" w:cs="Palatino Linotype"/>
          <w:i/>
          <w:sz w:val="22"/>
          <w:szCs w:val="22"/>
        </w:rPr>
        <w:t xml:space="preserve">. Las Unidades de Transparencia tendrán las siguientes funciones: </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w:t>
      </w:r>
    </w:p>
    <w:p w:rsidR="00F76EAA" w:rsidRPr="00D87759" w:rsidRDefault="000E4780" w:rsidP="00F35EB1">
      <w:pPr>
        <w:ind w:left="567" w:right="539"/>
        <w:jc w:val="both"/>
        <w:rPr>
          <w:rFonts w:ascii="Palatino Linotype" w:eastAsia="Palatino Linotype" w:hAnsi="Palatino Linotype" w:cs="Palatino Linotype"/>
          <w:b/>
          <w:i/>
          <w:sz w:val="22"/>
          <w:szCs w:val="22"/>
        </w:rPr>
      </w:pPr>
      <w:r w:rsidRPr="00D87759">
        <w:rPr>
          <w:rFonts w:ascii="Palatino Linotype" w:eastAsia="Palatino Linotype" w:hAnsi="Palatino Linotype" w:cs="Palatino Linotype"/>
          <w:b/>
          <w:i/>
          <w:sz w:val="22"/>
          <w:szCs w:val="22"/>
        </w:rPr>
        <w:t>III. Auxiliar a los particulares en la elaboración de solicitudes de acceso a la información y, en su caso, orientarlos sobre los sujetos obligados competentes conforme a la normatividad aplicable;</w:t>
      </w:r>
    </w:p>
    <w:p w:rsidR="00F76EAA" w:rsidRPr="00D87759" w:rsidRDefault="000E4780" w:rsidP="00F35EB1">
      <w:pPr>
        <w:ind w:left="567" w:right="539"/>
        <w:jc w:val="both"/>
        <w:rPr>
          <w:rFonts w:ascii="Palatino Linotype" w:eastAsia="Palatino Linotype" w:hAnsi="Palatino Linotype" w:cs="Palatino Linotype"/>
          <w:i/>
          <w:sz w:val="22"/>
          <w:szCs w:val="22"/>
        </w:rPr>
      </w:pPr>
      <w:r w:rsidRPr="00D87759">
        <w:rPr>
          <w:rFonts w:ascii="Palatino Linotype" w:eastAsia="Palatino Linotype" w:hAnsi="Palatino Linotype" w:cs="Palatino Linotype"/>
          <w:i/>
          <w:sz w:val="22"/>
          <w:szCs w:val="22"/>
        </w:rPr>
        <w:t>(…)”</w:t>
      </w:r>
    </w:p>
    <w:p w:rsidR="00F76EAA" w:rsidRPr="00D87759" w:rsidRDefault="000E4780" w:rsidP="00F35EB1">
      <w:pPr>
        <w:pBdr>
          <w:top w:val="nil"/>
          <w:left w:val="nil"/>
          <w:bottom w:val="nil"/>
          <w:right w:val="nil"/>
          <w:between w:val="nil"/>
        </w:pBdr>
        <w:spacing w:before="240"/>
        <w:ind w:left="567" w:right="539"/>
        <w:jc w:val="center"/>
        <w:rPr>
          <w:rFonts w:ascii="Palatino Linotype" w:eastAsia="Palatino Linotype" w:hAnsi="Palatino Linotype" w:cs="Palatino Linotype"/>
          <w:b/>
          <w:i/>
          <w:color w:val="000000"/>
          <w:sz w:val="22"/>
          <w:szCs w:val="22"/>
        </w:rPr>
      </w:pPr>
      <w:r w:rsidRPr="00D87759">
        <w:rPr>
          <w:rFonts w:ascii="Palatino Linotype" w:eastAsia="Palatino Linotype" w:hAnsi="Palatino Linotype" w:cs="Palatino Linotype"/>
          <w:b/>
          <w:i/>
          <w:color w:val="000000"/>
          <w:sz w:val="22"/>
          <w:szCs w:val="22"/>
        </w:rPr>
        <w:t>Capítulo I</w:t>
      </w:r>
    </w:p>
    <w:p w:rsidR="00F76EAA" w:rsidRPr="00D87759" w:rsidRDefault="000E4780" w:rsidP="00F35EB1">
      <w:pPr>
        <w:pBdr>
          <w:top w:val="nil"/>
          <w:left w:val="nil"/>
          <w:bottom w:val="nil"/>
          <w:right w:val="nil"/>
          <w:between w:val="nil"/>
        </w:pBdr>
        <w:ind w:left="567" w:right="539"/>
        <w:jc w:val="center"/>
        <w:rPr>
          <w:rFonts w:ascii="Palatino Linotype" w:eastAsia="Palatino Linotype" w:hAnsi="Palatino Linotype" w:cs="Palatino Linotype"/>
          <w:b/>
          <w:i/>
          <w:color w:val="000000"/>
          <w:sz w:val="22"/>
          <w:szCs w:val="22"/>
        </w:rPr>
      </w:pPr>
      <w:r w:rsidRPr="00D87759">
        <w:rPr>
          <w:rFonts w:ascii="Palatino Linotype" w:eastAsia="Palatino Linotype" w:hAnsi="Palatino Linotype" w:cs="Palatino Linotype"/>
          <w:b/>
          <w:i/>
          <w:color w:val="000000"/>
          <w:sz w:val="22"/>
          <w:szCs w:val="22"/>
        </w:rPr>
        <w:t>Del Procedimiento de Acceso a la Información Pública</w:t>
      </w:r>
    </w:p>
    <w:p w:rsidR="00F76EAA" w:rsidRPr="00D87759" w:rsidRDefault="00F76EAA" w:rsidP="00F35EB1">
      <w:pPr>
        <w:pBdr>
          <w:top w:val="nil"/>
          <w:left w:val="nil"/>
          <w:bottom w:val="nil"/>
          <w:right w:val="nil"/>
          <w:between w:val="nil"/>
        </w:pBdr>
        <w:ind w:left="567" w:right="539"/>
        <w:jc w:val="center"/>
        <w:rPr>
          <w:rFonts w:ascii="Palatino Linotype" w:eastAsia="Palatino Linotype" w:hAnsi="Palatino Linotype" w:cs="Palatino Linotype"/>
          <w:b/>
          <w:i/>
          <w:color w:val="000000"/>
          <w:sz w:val="22"/>
          <w:szCs w:val="22"/>
        </w:rPr>
      </w:pPr>
    </w:p>
    <w:p w:rsidR="00F76EAA" w:rsidRPr="00D87759" w:rsidRDefault="000E4780" w:rsidP="00F35EB1">
      <w:pPr>
        <w:pBdr>
          <w:top w:val="nil"/>
          <w:left w:val="nil"/>
          <w:bottom w:val="nil"/>
          <w:right w:val="nil"/>
          <w:between w:val="nil"/>
        </w:pBdr>
        <w:spacing w:after="240"/>
        <w:ind w:left="567" w:right="539"/>
        <w:jc w:val="both"/>
        <w:rPr>
          <w:rFonts w:ascii="Palatino Linotype" w:eastAsia="Palatino Linotype" w:hAnsi="Palatino Linotype" w:cs="Palatino Linotype"/>
          <w:i/>
          <w:color w:val="000000"/>
          <w:sz w:val="22"/>
          <w:szCs w:val="22"/>
        </w:rPr>
      </w:pPr>
      <w:r w:rsidRPr="00D87759">
        <w:rPr>
          <w:rFonts w:ascii="Palatino Linotype" w:eastAsia="Palatino Linotype" w:hAnsi="Palatino Linotype" w:cs="Palatino Linotype"/>
          <w:b/>
          <w:i/>
          <w:color w:val="000000"/>
          <w:sz w:val="22"/>
          <w:szCs w:val="22"/>
        </w:rPr>
        <w:t>“Artículo 150.</w:t>
      </w:r>
      <w:r w:rsidRPr="00D87759">
        <w:rPr>
          <w:rFonts w:ascii="Palatino Linotype" w:eastAsia="Palatino Linotype" w:hAnsi="Palatino Linotype" w:cs="Palatino Linotype"/>
          <w:i/>
          <w:color w:val="000000"/>
          <w:sz w:val="22"/>
          <w:szCs w:val="22"/>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De los artículos transcritos se deriva que prevalece en el procedimiento de acceso a la información pública el principio de auxilio y orientación en favor de los particulares, y, que en los casos en que un Sujeto Obligado determine que no es competente para atender una solicitud de información, por no corresponderle generar o administrar lo solicitado, debe orientar sobre el Sujeto Obligado competente, debiendo hacerlo en el plazo de </w:t>
      </w:r>
      <w:r w:rsidRPr="00D87759">
        <w:rPr>
          <w:rFonts w:ascii="Palatino Linotype" w:eastAsia="Palatino Linotype" w:hAnsi="Palatino Linotype" w:cs="Palatino Linotype"/>
          <w:b/>
          <w:sz w:val="22"/>
          <w:szCs w:val="22"/>
        </w:rPr>
        <w:t>tres días hábiles</w:t>
      </w:r>
      <w:r w:rsidRPr="00D87759">
        <w:rPr>
          <w:rFonts w:ascii="Palatino Linotype" w:eastAsia="Palatino Linotype" w:hAnsi="Palatino Linotype" w:cs="Palatino Linotype"/>
          <w:sz w:val="22"/>
          <w:szCs w:val="22"/>
        </w:rPr>
        <w:t xml:space="preserve"> posteriores a la recepción de la solicitud; en caso de no hacerlo en dicho plazo, podrá canalizar la solicitud al Sujeto Obligado competente.</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lastRenderedPageBreak/>
        <w:t xml:space="preserve">En el caso particular, se precisa que el Particular ingresó la solicitud de información el </w:t>
      </w:r>
      <w:r w:rsidRPr="00D87759">
        <w:rPr>
          <w:rFonts w:ascii="Palatino Linotype" w:eastAsia="Palatino Linotype" w:hAnsi="Palatino Linotype" w:cs="Palatino Linotype"/>
          <w:b/>
          <w:sz w:val="22"/>
          <w:szCs w:val="22"/>
        </w:rPr>
        <w:t>31 de octubre de 2024</w:t>
      </w:r>
      <w:r w:rsidRPr="00D87759">
        <w:rPr>
          <w:rFonts w:ascii="Palatino Linotype" w:eastAsia="Palatino Linotype" w:hAnsi="Palatino Linotype" w:cs="Palatino Linotype"/>
          <w:sz w:val="22"/>
          <w:szCs w:val="22"/>
        </w:rPr>
        <w:t xml:space="preserve">, por su parte 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xml:space="preserve"> determinó su incompetencia para atender la solicitud </w:t>
      </w:r>
      <w:r w:rsidRPr="00D87759">
        <w:rPr>
          <w:rFonts w:ascii="Palatino Linotype" w:eastAsia="Palatino Linotype" w:hAnsi="Palatino Linotype" w:cs="Palatino Linotype"/>
          <w:b/>
          <w:sz w:val="22"/>
          <w:szCs w:val="22"/>
        </w:rPr>
        <w:t>en misma fecha</w:t>
      </w:r>
      <w:r w:rsidRPr="00D87759">
        <w:rPr>
          <w:rFonts w:ascii="Palatino Linotype" w:eastAsia="Palatino Linotype" w:hAnsi="Palatino Linotype" w:cs="Palatino Linotype"/>
          <w:sz w:val="22"/>
          <w:szCs w:val="22"/>
        </w:rPr>
        <w:t>, por lo cual, se encuentra dentro del plazo establecido en el artículo 167 de la Ley de Transparencia Local.</w:t>
      </w:r>
    </w:p>
    <w:p w:rsidR="00F76EAA" w:rsidRPr="00D87759" w:rsidRDefault="00F76EAA" w:rsidP="00F35EB1">
      <w:pPr>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del </w:t>
      </w:r>
      <w:r w:rsidRPr="00D87759">
        <w:rPr>
          <w:rFonts w:ascii="Palatino Linotype" w:eastAsia="Palatino Linotype" w:hAnsi="Palatino Linotype" w:cs="Palatino Linotype"/>
          <w:b/>
          <w:sz w:val="22"/>
          <w:szCs w:val="22"/>
        </w:rPr>
        <w:t>RECURRENTE</w:t>
      </w:r>
      <w:r w:rsidRPr="00D87759">
        <w:rPr>
          <w:rFonts w:ascii="Palatino Linotype" w:eastAsia="Palatino Linotype" w:hAnsi="Palatino Linotype" w:cs="Palatino Linotype"/>
          <w:sz w:val="22"/>
          <w:szCs w:val="22"/>
        </w:rPr>
        <w:t xml:space="preserve"> para que pueda realizar la solicitud de información ante el Sujeto Obligado correspondiente.</w:t>
      </w:r>
      <w:r w:rsidR="002C2D9C" w:rsidRPr="00D87759">
        <w:rPr>
          <w:rFonts w:ascii="Palatino Linotype" w:eastAsia="Palatino Linotype" w:hAnsi="Palatino Linotype" w:cs="Palatino Linotype"/>
          <w:sz w:val="22"/>
          <w:szCs w:val="22"/>
        </w:rPr>
        <w:t>}</w:t>
      </w:r>
    </w:p>
    <w:p w:rsidR="002C2D9C" w:rsidRPr="00D87759" w:rsidRDefault="002C2D9C" w:rsidP="002C2D9C">
      <w:pPr>
        <w:rPr>
          <w:rFonts w:ascii="Palatino Linotype" w:eastAsia="Palatino Linotype" w:hAnsi="Palatino Linotype" w:cs="Palatino Linotype"/>
          <w:sz w:val="22"/>
          <w:szCs w:val="22"/>
        </w:rPr>
      </w:pPr>
    </w:p>
    <w:p w:rsidR="002C2D9C" w:rsidRPr="00D87759" w:rsidRDefault="002C2D9C" w:rsidP="002C2D9C">
      <w:pPr>
        <w:keepNext/>
        <w:keepLines/>
        <w:spacing w:before="240" w:line="360" w:lineRule="auto"/>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QUINTO. VERSIÓN PÚBLICA.</w:t>
      </w:r>
    </w:p>
    <w:p w:rsidR="002C2D9C" w:rsidRPr="00D87759" w:rsidRDefault="002C2D9C" w:rsidP="002C2D9C">
      <w:pPr>
        <w:keepNext/>
        <w:keepLines/>
        <w:numPr>
          <w:ilvl w:val="0"/>
          <w:numId w:val="4"/>
        </w:numPr>
        <w:spacing w:line="360" w:lineRule="auto"/>
        <w:ind w:left="284" w:firstLine="0"/>
        <w:rPr>
          <w:rFonts w:ascii="Palatino Linotype" w:eastAsia="Palatino Linotype" w:hAnsi="Palatino Linotype" w:cs="Palatino Linotype"/>
          <w:b/>
          <w:color w:val="000000"/>
          <w:sz w:val="22"/>
          <w:szCs w:val="22"/>
        </w:rPr>
      </w:pPr>
      <w:bookmarkStart w:id="7" w:name="_heading=h.1t3h5sf" w:colFirst="0" w:colLast="0"/>
      <w:bookmarkEnd w:id="7"/>
      <w:r w:rsidRPr="00D87759">
        <w:rPr>
          <w:rFonts w:ascii="Palatino Linotype" w:eastAsia="Palatino Linotype" w:hAnsi="Palatino Linotype" w:cs="Palatino Linotype"/>
          <w:b/>
          <w:color w:val="000000"/>
          <w:sz w:val="22"/>
          <w:szCs w:val="22"/>
        </w:rPr>
        <w:t xml:space="preserve">Nociones generales. </w:t>
      </w:r>
    </w:p>
    <w:p w:rsidR="002C2D9C" w:rsidRPr="00D87759" w:rsidRDefault="002C2D9C" w:rsidP="002C2D9C">
      <w:pPr>
        <w:rPr>
          <w:rFonts w:ascii="Palatino Linotype" w:eastAsia="Palatino Linotype" w:hAnsi="Palatino Linotype" w:cs="Palatino Linotype"/>
          <w:sz w:val="22"/>
          <w:szCs w:val="22"/>
        </w:rPr>
      </w:pPr>
    </w:p>
    <w:p w:rsidR="002C2D9C" w:rsidRPr="00D87759" w:rsidRDefault="002C2D9C" w:rsidP="002C2D9C">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Debe </w:t>
      </w:r>
      <w:r w:rsidRPr="00D87759">
        <w:rPr>
          <w:rFonts w:ascii="Palatino Linotype" w:eastAsia="Palatino Linotype" w:hAnsi="Palatino Linotype" w:cs="Palatino Linotype"/>
          <w:color w:val="000000"/>
          <w:sz w:val="22"/>
          <w:szCs w:val="22"/>
        </w:rPr>
        <w:t>destacarse que, debido a la naturaleza de la información solicitada</w:t>
      </w:r>
      <w:r w:rsidRPr="00D87759">
        <w:rPr>
          <w:rFonts w:ascii="Palatino Linotype" w:eastAsia="Palatino Linotype" w:hAnsi="Palatino Linotype" w:cs="Palatino Linotype"/>
          <w:b/>
          <w:color w:val="000000"/>
          <w:sz w:val="22"/>
          <w:szCs w:val="22"/>
        </w:rPr>
        <w:t xml:space="preserve">, </w:t>
      </w:r>
      <w:r w:rsidRPr="00D87759">
        <w:rPr>
          <w:rFonts w:ascii="Palatino Linotype" w:eastAsia="Palatino Linotype" w:hAnsi="Palatino Linotype" w:cs="Palatino Linotype"/>
          <w:color w:val="000000"/>
          <w:sz w:val="22"/>
          <w:szCs w:val="22"/>
        </w:rPr>
        <w:t xml:space="preserve">eventualmente pudiera obrar datos personales susceptibles de protegerse, el </w:t>
      </w:r>
      <w:r w:rsidRPr="00D87759">
        <w:rPr>
          <w:rFonts w:ascii="Palatino Linotype" w:eastAsia="Palatino Linotype" w:hAnsi="Palatino Linotype" w:cs="Palatino Linotype"/>
          <w:b/>
          <w:color w:val="000000"/>
          <w:sz w:val="22"/>
          <w:szCs w:val="22"/>
        </w:rPr>
        <w:t xml:space="preserve">Sujeto Obligado </w:t>
      </w:r>
      <w:r w:rsidRPr="00D87759">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2C2D9C" w:rsidRPr="00D87759" w:rsidRDefault="002C2D9C" w:rsidP="002C2D9C">
      <w:pPr>
        <w:spacing w:line="360" w:lineRule="auto"/>
        <w:jc w:val="both"/>
        <w:rPr>
          <w:rFonts w:ascii="Palatino Linotype" w:eastAsia="Palatino Linotype" w:hAnsi="Palatino Linotype" w:cs="Palatino Linotype"/>
          <w:sz w:val="22"/>
          <w:szCs w:val="22"/>
        </w:rPr>
      </w:pPr>
    </w:p>
    <w:p w:rsidR="002C2D9C" w:rsidRPr="00D87759" w:rsidRDefault="002C2D9C" w:rsidP="002C2D9C">
      <w:pPr>
        <w:numPr>
          <w:ilvl w:val="0"/>
          <w:numId w:val="2"/>
        </w:numPr>
        <w:spacing w:line="360" w:lineRule="auto"/>
        <w:ind w:left="0" w:firstLine="0"/>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color w:val="000000"/>
          <w:sz w:val="22"/>
          <w:szCs w:val="22"/>
        </w:rPr>
        <w:t>No pasa desapercibido para este Órgano Garante que los Sujetos Obligados</w:t>
      </w:r>
      <w:r w:rsidRPr="00D87759">
        <w:rPr>
          <w:rFonts w:ascii="Palatino Linotype" w:eastAsia="Palatino Linotype" w:hAnsi="Palatino Linotype" w:cs="Palatino Linotype"/>
          <w:b/>
          <w:color w:val="000000"/>
          <w:sz w:val="22"/>
          <w:szCs w:val="22"/>
        </w:rPr>
        <w:t xml:space="preserve"> </w:t>
      </w:r>
      <w:r w:rsidRPr="00D87759">
        <w:rPr>
          <w:rFonts w:ascii="Palatino Linotype" w:eastAsia="Palatino Linotype" w:hAnsi="Palatino Linotype" w:cs="Palatino Linotype"/>
          <w:color w:val="000000"/>
          <w:sz w:val="22"/>
          <w:szCs w:val="22"/>
        </w:rPr>
        <w:t xml:space="preserve">serán responsables de los datos personales en su posesión y que, en caso de localizarse datos concernientes a terceros, éstos no podrán difundir, distribuir o comercializar los datos </w:t>
      </w:r>
      <w:r w:rsidRPr="00D87759">
        <w:rPr>
          <w:rFonts w:ascii="Palatino Linotype" w:eastAsia="Palatino Linotype" w:hAnsi="Palatino Linotype" w:cs="Palatino Linotype"/>
          <w:color w:val="000000"/>
          <w:sz w:val="22"/>
          <w:szCs w:val="22"/>
        </w:rPr>
        <w:lastRenderedPageBreak/>
        <w:t>personales.  Cabe destacar que, para la realización de la clasificación de la información, se deben seguir una serie de pasos y procedimientos, por lo que es menester reiterar los mismos:</w:t>
      </w:r>
    </w:p>
    <w:p w:rsidR="002C2D9C" w:rsidRPr="00D87759" w:rsidRDefault="002C2D9C" w:rsidP="002C2D9C">
      <w:pPr>
        <w:spacing w:line="360" w:lineRule="auto"/>
        <w:ind w:right="49"/>
        <w:jc w:val="both"/>
        <w:rPr>
          <w:rFonts w:ascii="Palatino Linotype" w:eastAsia="Palatino Linotype" w:hAnsi="Palatino Linotype" w:cs="Palatino Linotype"/>
          <w:color w:val="000000"/>
          <w:sz w:val="22"/>
          <w:szCs w:val="22"/>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990"/>
      </w:tblGrid>
      <w:tr w:rsidR="002C2D9C" w:rsidRPr="00D87759" w:rsidTr="002C2D9C">
        <w:tc>
          <w:tcPr>
            <w:tcW w:w="1838" w:type="dxa"/>
          </w:tcPr>
          <w:p w:rsidR="002C2D9C" w:rsidRPr="00D87759" w:rsidRDefault="002C2D9C" w:rsidP="002C2D9C">
            <w:pPr>
              <w:rPr>
                <w:rFonts w:ascii="Palatino Linotype" w:eastAsia="Palatino Linotype" w:hAnsi="Palatino Linotype" w:cs="Palatino Linotype"/>
              </w:rPr>
            </w:pPr>
            <w:r w:rsidRPr="00D87759">
              <w:rPr>
                <w:rFonts w:ascii="Palatino Linotype" w:eastAsia="Palatino Linotype" w:hAnsi="Palatino Linotype" w:cs="Palatino Linotype"/>
              </w:rPr>
              <w:t>a) Requisitos previos.</w:t>
            </w:r>
          </w:p>
        </w:tc>
        <w:tc>
          <w:tcPr>
            <w:tcW w:w="6990" w:type="dxa"/>
          </w:tcPr>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2C2D9C" w:rsidRPr="00D87759" w:rsidRDefault="002C2D9C" w:rsidP="002C2D9C">
            <w:pPr>
              <w:jc w:val="both"/>
              <w:rPr>
                <w:rFonts w:ascii="Palatino Linotype" w:eastAsia="Palatino Linotype" w:hAnsi="Palatino Linotype" w:cs="Palatino Linotype"/>
              </w:rPr>
            </w:pPr>
            <w:r w:rsidRPr="00D87759">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87759">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87759">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2C2D9C" w:rsidRPr="00D87759" w:rsidTr="002C2D9C">
        <w:tc>
          <w:tcPr>
            <w:tcW w:w="1838" w:type="dxa"/>
          </w:tcPr>
          <w:p w:rsidR="002C2D9C" w:rsidRPr="00D87759" w:rsidRDefault="002C2D9C" w:rsidP="002C2D9C">
            <w:pPr>
              <w:rPr>
                <w:rFonts w:ascii="Palatino Linotype" w:eastAsia="Palatino Linotype" w:hAnsi="Palatino Linotype" w:cs="Palatino Linotype"/>
              </w:rPr>
            </w:pPr>
            <w:r w:rsidRPr="00D87759">
              <w:rPr>
                <w:rFonts w:ascii="Palatino Linotype" w:eastAsia="Palatino Linotype" w:hAnsi="Palatino Linotype" w:cs="Palatino Linotype"/>
              </w:rPr>
              <w:t>b) Supuestos de clasificación.</w:t>
            </w:r>
          </w:p>
        </w:tc>
        <w:tc>
          <w:tcPr>
            <w:tcW w:w="6990" w:type="dxa"/>
          </w:tcPr>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C2D9C" w:rsidRPr="00D87759" w:rsidRDefault="002C2D9C" w:rsidP="002C2D9C">
            <w:pPr>
              <w:jc w:val="both"/>
              <w:rPr>
                <w:rFonts w:ascii="Palatino Linotype" w:eastAsia="Palatino Linotype" w:hAnsi="Palatino Linotype" w:cs="Palatino Linotype"/>
              </w:rPr>
            </w:pPr>
            <w:r w:rsidRPr="00D87759">
              <w:rPr>
                <w:rFonts w:ascii="Palatino Linotype" w:eastAsia="Palatino Linotype" w:hAnsi="Palatino Linotype" w:cs="Palatino Linotype"/>
                <w:color w:val="000000"/>
              </w:rPr>
              <w:lastRenderedPageBreak/>
              <w:t xml:space="preserve">El </w:t>
            </w:r>
            <w:r w:rsidRPr="00D87759">
              <w:rPr>
                <w:rFonts w:ascii="Palatino Linotype" w:eastAsia="Palatino Linotype" w:hAnsi="Palatino Linotype" w:cs="Palatino Linotype"/>
                <w:b/>
                <w:color w:val="000000"/>
              </w:rPr>
              <w:t>Sujeto Obligado</w:t>
            </w:r>
            <w:r w:rsidRPr="00D8775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C2D9C" w:rsidRPr="00D87759" w:rsidTr="002C2D9C">
        <w:tc>
          <w:tcPr>
            <w:tcW w:w="1838" w:type="dxa"/>
          </w:tcPr>
          <w:p w:rsidR="002C2D9C" w:rsidRPr="00D87759" w:rsidRDefault="002C2D9C" w:rsidP="002C2D9C">
            <w:pPr>
              <w:rPr>
                <w:rFonts w:ascii="Palatino Linotype" w:eastAsia="Palatino Linotype" w:hAnsi="Palatino Linotype" w:cs="Palatino Linotype"/>
              </w:rPr>
            </w:pPr>
            <w:r w:rsidRPr="00D87759">
              <w:rPr>
                <w:rFonts w:ascii="Palatino Linotype" w:eastAsia="Palatino Linotype" w:hAnsi="Palatino Linotype" w:cs="Palatino Linotype"/>
              </w:rPr>
              <w:lastRenderedPageBreak/>
              <w:t>c) Formalidades para emitir el acuerdo de clasificación.</w:t>
            </w:r>
          </w:p>
        </w:tc>
        <w:tc>
          <w:tcPr>
            <w:tcW w:w="6990" w:type="dxa"/>
          </w:tcPr>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Es necesario que </w:t>
            </w:r>
            <w:r w:rsidRPr="00D87759">
              <w:rPr>
                <w:rFonts w:ascii="Palatino Linotype" w:eastAsia="Palatino Linotype" w:hAnsi="Palatino Linotype" w:cs="Palatino Linotype"/>
                <w:b/>
                <w:color w:val="000000"/>
                <w:u w:val="single"/>
              </w:rPr>
              <w:t>el acto reúna con los requisitos elementales</w:t>
            </w:r>
            <w:r w:rsidRPr="00D87759">
              <w:rPr>
                <w:rFonts w:ascii="Palatino Linotype" w:eastAsia="Palatino Linotype" w:hAnsi="Palatino Linotype" w:cs="Palatino Linotype"/>
                <w:color w:val="000000"/>
              </w:rPr>
              <w:t>, entre ellos, que la autoridad que va a emitir el acto de autoridad sea la legalmente facultada para ello.</w:t>
            </w:r>
          </w:p>
          <w:p w:rsidR="002C2D9C" w:rsidRPr="00D87759" w:rsidRDefault="002C2D9C" w:rsidP="002C2D9C">
            <w:pPr>
              <w:jc w:val="both"/>
              <w:rPr>
                <w:rFonts w:ascii="Palatino Linotype" w:eastAsia="Palatino Linotype" w:hAnsi="Palatino Linotype" w:cs="Palatino Linotype"/>
              </w:rPr>
            </w:pPr>
            <w:r w:rsidRPr="00D87759">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C2D9C" w:rsidRPr="00D87759" w:rsidTr="002C2D9C">
        <w:tc>
          <w:tcPr>
            <w:tcW w:w="1838" w:type="dxa"/>
          </w:tcPr>
          <w:p w:rsidR="002C2D9C" w:rsidRPr="00D87759" w:rsidRDefault="002C2D9C" w:rsidP="002C2D9C">
            <w:pPr>
              <w:rPr>
                <w:rFonts w:ascii="Palatino Linotype" w:eastAsia="Palatino Linotype" w:hAnsi="Palatino Linotype" w:cs="Palatino Linotype"/>
              </w:rPr>
            </w:pPr>
          </w:p>
          <w:p w:rsidR="002C2D9C" w:rsidRPr="00D87759" w:rsidRDefault="002C2D9C" w:rsidP="002C2D9C">
            <w:pPr>
              <w:jc w:val="both"/>
              <w:rPr>
                <w:rFonts w:ascii="Palatino Linotype" w:eastAsia="Palatino Linotype" w:hAnsi="Palatino Linotype" w:cs="Palatino Linotype"/>
              </w:rPr>
            </w:pPr>
            <w:r w:rsidRPr="00D87759">
              <w:rPr>
                <w:rFonts w:ascii="Palatino Linotype" w:eastAsia="Palatino Linotype" w:hAnsi="Palatino Linotype" w:cs="Palatino Linotype"/>
                <w:color w:val="000000"/>
              </w:rPr>
              <w:t xml:space="preserve">d) Requisitos de fondo del acuerdo de clasificación. </w:t>
            </w:r>
          </w:p>
        </w:tc>
        <w:tc>
          <w:tcPr>
            <w:tcW w:w="6990" w:type="dxa"/>
          </w:tcPr>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87759">
              <w:rPr>
                <w:rFonts w:ascii="Palatino Linotype" w:eastAsia="Palatino Linotype" w:hAnsi="Palatino Linotype" w:cs="Palatino Linotype"/>
                <w:b/>
                <w:color w:val="000000"/>
              </w:rPr>
              <w:t>Sujetos Obligados</w:t>
            </w:r>
            <w:r w:rsidRPr="00D87759">
              <w:rPr>
                <w:rFonts w:ascii="Palatino Linotype" w:eastAsia="Palatino Linotype" w:hAnsi="Palatino Linotype" w:cs="Palatino Linotype"/>
                <w:color w:val="000000"/>
              </w:rPr>
              <w:t xml:space="preserve">, por lo que deberán fundar y motivar debidamente la clasificación. </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De lo anterior, se desprende que para una correcta </w:t>
            </w:r>
            <w:r w:rsidRPr="00D87759">
              <w:rPr>
                <w:rFonts w:ascii="Palatino Linotype" w:eastAsia="Palatino Linotype" w:hAnsi="Palatino Linotype" w:cs="Palatino Linotype"/>
                <w:b/>
                <w:color w:val="000000"/>
              </w:rPr>
              <w:t>clasificación total o parcial</w:t>
            </w:r>
            <w:r w:rsidRPr="00D87759">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w:t>
            </w:r>
            <w:r w:rsidRPr="00D87759">
              <w:rPr>
                <w:rFonts w:ascii="Palatino Linotype" w:eastAsia="Palatino Linotype" w:hAnsi="Palatino Linotype" w:cs="Palatino Linotype"/>
                <w:color w:val="000000"/>
              </w:rPr>
              <w:lastRenderedPageBreak/>
              <w:t>expresar los fundamentos legales que le dieron origen y las razones por las que se deben aplicar al caso concreto.</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Ahora bien, </w:t>
            </w:r>
            <w:r w:rsidRPr="00D87759">
              <w:rPr>
                <w:rFonts w:ascii="Palatino Linotype" w:eastAsia="Palatino Linotype" w:hAnsi="Palatino Linotype" w:cs="Palatino Linotype"/>
                <w:b/>
                <w:color w:val="000000"/>
                <w:u w:val="single"/>
              </w:rPr>
              <w:t>para cada caso además de fundar y motivar</w:t>
            </w:r>
            <w:r w:rsidRPr="00D87759">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C2D9C" w:rsidRPr="00D87759" w:rsidTr="002C2D9C">
        <w:tc>
          <w:tcPr>
            <w:tcW w:w="1838" w:type="dxa"/>
          </w:tcPr>
          <w:p w:rsidR="002C2D9C" w:rsidRPr="00D87759" w:rsidRDefault="002C2D9C" w:rsidP="002C2D9C">
            <w:pPr>
              <w:ind w:right="49"/>
              <w:jc w:val="both"/>
              <w:rPr>
                <w:rFonts w:ascii="Palatino Linotype" w:eastAsia="Palatino Linotype" w:hAnsi="Palatino Linotype" w:cs="Palatino Linotype"/>
              </w:rPr>
            </w:pPr>
            <w:r w:rsidRPr="00D87759">
              <w:rPr>
                <w:rFonts w:ascii="Palatino Linotype" w:eastAsia="Palatino Linotype" w:hAnsi="Palatino Linotype" w:cs="Palatino Linotype"/>
              </w:rPr>
              <w:lastRenderedPageBreak/>
              <w:t xml:space="preserve">e) Condiciones especiales de la clasificación de la información como confidencial. </w:t>
            </w:r>
          </w:p>
        </w:tc>
        <w:tc>
          <w:tcPr>
            <w:tcW w:w="6990" w:type="dxa"/>
          </w:tcPr>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2C2D9C" w:rsidRPr="00D87759" w:rsidRDefault="002C2D9C" w:rsidP="002C2D9C">
            <w:pPr>
              <w:ind w:right="49"/>
              <w:jc w:val="both"/>
              <w:rPr>
                <w:rFonts w:ascii="Palatino Linotype" w:eastAsia="Palatino Linotype" w:hAnsi="Palatino Linotype" w:cs="Palatino Linotype"/>
                <w:color w:val="000000"/>
              </w:rPr>
            </w:pPr>
            <w:r w:rsidRPr="00D8775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C2D9C" w:rsidRPr="00D87759" w:rsidRDefault="002C2D9C" w:rsidP="002C2D9C">
            <w:pPr>
              <w:rPr>
                <w:rFonts w:ascii="Palatino Linotype" w:eastAsia="Palatino Linotype" w:hAnsi="Palatino Linotype" w:cs="Palatino Linotype"/>
              </w:rPr>
            </w:pPr>
            <w:r w:rsidRPr="00D87759">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titular de los </w:t>
            </w:r>
            <w:r w:rsidRPr="00D87759">
              <w:rPr>
                <w:rFonts w:ascii="Palatino Linotype" w:eastAsia="Palatino Linotype" w:hAnsi="Palatino Linotype" w:cs="Palatino Linotype"/>
                <w:color w:val="000000"/>
              </w:rPr>
              <w:lastRenderedPageBreak/>
              <w:t>datos si permite o no el acceso. De no ser posible, la realización de la consulta, procede, fundando y motivando, la clasificación.</w:t>
            </w:r>
          </w:p>
        </w:tc>
      </w:tr>
    </w:tbl>
    <w:p w:rsidR="002C2D9C" w:rsidRPr="00D87759" w:rsidRDefault="002C2D9C"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numPr>
          <w:ilvl w:val="0"/>
          <w:numId w:val="2"/>
        </w:numPr>
        <w:spacing w:line="360" w:lineRule="auto"/>
        <w:ind w:left="0" w:firstLine="0"/>
        <w:jc w:val="both"/>
        <w:rPr>
          <w:rFonts w:ascii="Palatino Linotype" w:eastAsia="Palatino Linotype" w:hAnsi="Palatino Linotype" w:cs="Palatino Linotype"/>
          <w:sz w:val="22"/>
          <w:szCs w:val="22"/>
        </w:rPr>
      </w:pPr>
      <w:bookmarkStart w:id="8" w:name="_heading=h.3rdcrjn" w:colFirst="0" w:colLast="0"/>
      <w:bookmarkEnd w:id="8"/>
      <w:r w:rsidRPr="00D87759">
        <w:rPr>
          <w:rFonts w:ascii="Palatino Linotype" w:eastAsia="Palatino Linotype" w:hAnsi="Palatino Linotype" w:cs="Palatino Linotype"/>
          <w:color w:val="222222"/>
          <w:sz w:val="22"/>
          <w:szCs w:val="22"/>
        </w:rPr>
        <w:t xml:space="preserve">Por lo anteriormente expuesto y fundado, este </w:t>
      </w:r>
      <w:r w:rsidRPr="00D87759">
        <w:rPr>
          <w:rFonts w:ascii="Palatino Linotype" w:eastAsia="Palatino Linotype" w:hAnsi="Palatino Linotype" w:cs="Palatino Linotype"/>
          <w:b/>
          <w:color w:val="222222"/>
          <w:sz w:val="22"/>
          <w:szCs w:val="22"/>
        </w:rPr>
        <w:t>ÓRGANO GARANTE</w:t>
      </w:r>
      <w:r w:rsidRPr="00D87759">
        <w:rPr>
          <w:rFonts w:ascii="Palatino Linotype" w:eastAsia="Palatino Linotype" w:hAnsi="Palatino Linotype" w:cs="Palatino Linotype"/>
          <w:color w:val="222222"/>
          <w:sz w:val="22"/>
          <w:szCs w:val="22"/>
        </w:rPr>
        <w:t xml:space="preserve"> emite los siguientes:</w:t>
      </w:r>
    </w:p>
    <w:p w:rsidR="00F76EAA" w:rsidRPr="00D87759" w:rsidRDefault="00F76EAA" w:rsidP="00F35EB1">
      <w:pPr>
        <w:spacing w:line="360" w:lineRule="auto"/>
        <w:jc w:val="both"/>
        <w:rPr>
          <w:rFonts w:ascii="Palatino Linotype" w:eastAsia="Palatino Linotype" w:hAnsi="Palatino Linotype" w:cs="Palatino Linotype"/>
          <w:sz w:val="22"/>
          <w:szCs w:val="22"/>
        </w:rPr>
      </w:pPr>
    </w:p>
    <w:p w:rsidR="00F76EAA" w:rsidRPr="00D87759" w:rsidRDefault="000E4780" w:rsidP="00F35EB1">
      <w:pPr>
        <w:keepNext/>
        <w:keepLines/>
        <w:spacing w:line="360" w:lineRule="auto"/>
        <w:jc w:val="center"/>
        <w:rPr>
          <w:rFonts w:ascii="Palatino Linotype" w:eastAsia="Palatino Linotype" w:hAnsi="Palatino Linotype" w:cs="Palatino Linotype"/>
          <w:b/>
          <w:color w:val="000000"/>
          <w:sz w:val="22"/>
          <w:szCs w:val="22"/>
        </w:rPr>
      </w:pPr>
      <w:r w:rsidRPr="00D87759">
        <w:rPr>
          <w:rFonts w:ascii="Palatino Linotype" w:eastAsia="Palatino Linotype" w:hAnsi="Palatino Linotype" w:cs="Palatino Linotype"/>
          <w:b/>
          <w:color w:val="000000"/>
          <w:sz w:val="22"/>
          <w:szCs w:val="22"/>
        </w:rPr>
        <w:t>R E S O L U T I V O S</w:t>
      </w:r>
    </w:p>
    <w:p w:rsidR="00F76EAA" w:rsidRPr="00D87759" w:rsidRDefault="00F76EAA" w:rsidP="00F35EB1">
      <w:pPr>
        <w:keepNext/>
        <w:keepLines/>
        <w:spacing w:line="360" w:lineRule="auto"/>
        <w:jc w:val="center"/>
        <w:rPr>
          <w:rFonts w:ascii="Palatino Linotype" w:eastAsia="Palatino Linotype" w:hAnsi="Palatino Linotype" w:cs="Palatino Linotype"/>
          <w:b/>
          <w:sz w:val="22"/>
          <w:szCs w:val="22"/>
        </w:rPr>
      </w:pPr>
    </w:p>
    <w:p w:rsidR="002C2D9C" w:rsidRPr="00D87759" w:rsidRDefault="002C2D9C" w:rsidP="002C2D9C">
      <w:pPr>
        <w:spacing w:before="240" w:after="240" w:line="360" w:lineRule="auto"/>
        <w:ind w:right="1"/>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b/>
          <w:sz w:val="22"/>
          <w:szCs w:val="22"/>
        </w:rPr>
        <w:t>PRIMERO</w:t>
      </w:r>
      <w:r w:rsidRPr="00D87759">
        <w:rPr>
          <w:rFonts w:ascii="Palatino Linotype" w:eastAsia="Palatino Linotype" w:hAnsi="Palatino Linotype" w:cs="Palatino Linotype"/>
          <w:sz w:val="22"/>
          <w:szCs w:val="22"/>
        </w:rPr>
        <w:t xml:space="preserve">. Resultan parcialmente fundadas las razones o motivos de inconformidad hechos valer en el Recurso de Revisión </w:t>
      </w:r>
      <w:r w:rsidRPr="00D87759">
        <w:rPr>
          <w:rFonts w:ascii="Palatino Linotype" w:eastAsia="Palatino Linotype" w:hAnsi="Palatino Linotype" w:cs="Palatino Linotype"/>
          <w:b/>
          <w:sz w:val="22"/>
          <w:szCs w:val="22"/>
        </w:rPr>
        <w:t>07048/INFOEM/IP/RR/2024</w:t>
      </w:r>
      <w:r w:rsidRPr="00D87759">
        <w:rPr>
          <w:rFonts w:ascii="Palatino Linotype" w:eastAsia="Palatino Linotype" w:hAnsi="Palatino Linotype" w:cs="Palatino Linotype"/>
          <w:sz w:val="22"/>
          <w:szCs w:val="22"/>
        </w:rPr>
        <w:t>,</w:t>
      </w:r>
      <w:r w:rsidRPr="00D87759">
        <w:rPr>
          <w:rFonts w:ascii="Palatino Linotype" w:eastAsia="Palatino Linotype" w:hAnsi="Palatino Linotype" w:cs="Palatino Linotype"/>
          <w:b/>
          <w:sz w:val="22"/>
          <w:szCs w:val="22"/>
        </w:rPr>
        <w:t xml:space="preserve"> </w:t>
      </w:r>
      <w:r w:rsidRPr="00D87759">
        <w:rPr>
          <w:rFonts w:ascii="Palatino Linotype" w:eastAsia="Palatino Linotype" w:hAnsi="Palatino Linotype" w:cs="Palatino Linotype"/>
          <w:sz w:val="22"/>
          <w:szCs w:val="22"/>
        </w:rPr>
        <w:t>en términos del Considerando y Quinto</w:t>
      </w:r>
      <w:r w:rsidRPr="00D87759">
        <w:rPr>
          <w:rFonts w:ascii="Palatino Linotype" w:eastAsia="Palatino Linotype" w:hAnsi="Palatino Linotype" w:cs="Palatino Linotype"/>
          <w:b/>
          <w:sz w:val="22"/>
          <w:szCs w:val="22"/>
        </w:rPr>
        <w:t xml:space="preserve"> </w:t>
      </w:r>
      <w:r w:rsidRPr="00D87759">
        <w:rPr>
          <w:rFonts w:ascii="Palatino Linotype" w:eastAsia="Palatino Linotype" w:hAnsi="Palatino Linotype" w:cs="Palatino Linotype"/>
          <w:sz w:val="22"/>
          <w:szCs w:val="22"/>
        </w:rPr>
        <w:t>de la presente Resolución.</w:t>
      </w:r>
    </w:p>
    <w:p w:rsidR="002C2D9C" w:rsidRPr="00D87759" w:rsidRDefault="002C2D9C" w:rsidP="002C2D9C">
      <w:pPr>
        <w:shd w:val="clear" w:color="auto" w:fill="FFFFFF"/>
        <w:spacing w:before="240" w:after="360" w:line="360" w:lineRule="auto"/>
        <w:ind w:right="1"/>
        <w:jc w:val="both"/>
        <w:rPr>
          <w:rFonts w:ascii="Palatino Linotype" w:eastAsia="Palatino Linotype" w:hAnsi="Palatino Linotype" w:cs="Palatino Linotype"/>
          <w:sz w:val="22"/>
          <w:szCs w:val="22"/>
        </w:rPr>
      </w:pPr>
      <w:bookmarkStart w:id="9" w:name="_heading=h.1fob9te" w:colFirst="0" w:colLast="0"/>
      <w:bookmarkEnd w:id="9"/>
      <w:r w:rsidRPr="00D87759">
        <w:rPr>
          <w:rFonts w:ascii="Palatino Linotype" w:eastAsia="Palatino Linotype" w:hAnsi="Palatino Linotype" w:cs="Palatino Linotype"/>
          <w:b/>
          <w:sz w:val="22"/>
          <w:szCs w:val="22"/>
        </w:rPr>
        <w:t>SEGUNDO.</w:t>
      </w:r>
      <w:r w:rsidRPr="00D87759">
        <w:rPr>
          <w:rFonts w:ascii="Palatino Linotype" w:eastAsia="Palatino Linotype" w:hAnsi="Palatino Linotype" w:cs="Palatino Linotype"/>
          <w:b/>
          <w:color w:val="000000"/>
          <w:sz w:val="22"/>
          <w:szCs w:val="22"/>
        </w:rPr>
        <w:t xml:space="preserve"> </w:t>
      </w:r>
      <w:r w:rsidRPr="00D87759">
        <w:rPr>
          <w:rFonts w:ascii="Palatino Linotype" w:eastAsia="Palatino Linotype" w:hAnsi="Palatino Linotype" w:cs="Palatino Linotype"/>
          <w:color w:val="000000"/>
          <w:sz w:val="22"/>
          <w:szCs w:val="22"/>
        </w:rPr>
        <w:t xml:space="preserve">Se </w:t>
      </w:r>
      <w:r w:rsidRPr="00D87759">
        <w:rPr>
          <w:rFonts w:ascii="Palatino Linotype" w:eastAsia="Palatino Linotype" w:hAnsi="Palatino Linotype" w:cs="Palatino Linotype"/>
          <w:b/>
          <w:color w:val="000000"/>
          <w:sz w:val="22"/>
          <w:szCs w:val="22"/>
        </w:rPr>
        <w:t xml:space="preserve">MODIFICA </w:t>
      </w:r>
      <w:r w:rsidRPr="00D87759">
        <w:rPr>
          <w:rFonts w:ascii="Palatino Linotype" w:eastAsia="Palatino Linotype" w:hAnsi="Palatino Linotype" w:cs="Palatino Linotype"/>
          <w:color w:val="000000"/>
          <w:sz w:val="22"/>
          <w:szCs w:val="22"/>
        </w:rPr>
        <w:t xml:space="preserve">la respuesta emitida por </w:t>
      </w:r>
      <w:r w:rsidRPr="00D87759">
        <w:rPr>
          <w:rFonts w:ascii="Palatino Linotype" w:eastAsia="Palatino Linotype" w:hAnsi="Palatino Linotype" w:cs="Palatino Linotype"/>
          <w:b/>
          <w:sz w:val="22"/>
          <w:szCs w:val="22"/>
        </w:rPr>
        <w:t>la Secretaría del Medio Ambiente y Desarrollo Sostenible</w:t>
      </w:r>
      <w:r w:rsidRPr="00D87759">
        <w:rPr>
          <w:rFonts w:ascii="Palatino Linotype" w:eastAsia="Palatino Linotype" w:hAnsi="Palatino Linotype" w:cs="Palatino Linotype"/>
          <w:color w:val="000000"/>
          <w:sz w:val="22"/>
          <w:szCs w:val="22"/>
        </w:rPr>
        <w:t xml:space="preserve"> y se </w:t>
      </w:r>
      <w:r w:rsidRPr="00D87759">
        <w:rPr>
          <w:rFonts w:ascii="Palatino Linotype" w:eastAsia="Palatino Linotype" w:hAnsi="Palatino Linotype" w:cs="Palatino Linotype"/>
          <w:b/>
          <w:color w:val="000000"/>
          <w:sz w:val="22"/>
          <w:szCs w:val="22"/>
        </w:rPr>
        <w:t>ORDENA</w:t>
      </w:r>
      <w:r w:rsidRPr="00D87759">
        <w:rPr>
          <w:rFonts w:ascii="Palatino Linotype" w:eastAsia="Palatino Linotype" w:hAnsi="Palatino Linotype" w:cs="Palatino Linotype"/>
          <w:color w:val="000000"/>
          <w:sz w:val="22"/>
          <w:szCs w:val="22"/>
        </w:rPr>
        <w:t xml:space="preserve"> </w:t>
      </w:r>
      <w:r w:rsidRPr="00D87759">
        <w:rPr>
          <w:rFonts w:ascii="Palatino Linotype" w:eastAsia="Palatino Linotype" w:hAnsi="Palatino Linotype" w:cs="Palatino Linotype"/>
          <w:sz w:val="22"/>
          <w:szCs w:val="22"/>
        </w:rPr>
        <w:t xml:space="preserve">entregar vía Sistema de Accesos a la Información Mexiquense </w:t>
      </w:r>
      <w:r w:rsidRPr="00D87759">
        <w:rPr>
          <w:rFonts w:ascii="Palatino Linotype" w:eastAsia="Palatino Linotype" w:hAnsi="Palatino Linotype" w:cs="Palatino Linotype"/>
          <w:b/>
          <w:sz w:val="22"/>
          <w:szCs w:val="22"/>
        </w:rPr>
        <w:t>(SAIMEX)</w:t>
      </w:r>
      <w:r w:rsidRPr="00D87759">
        <w:rPr>
          <w:rFonts w:ascii="Palatino Linotype" w:eastAsia="Palatino Linotype" w:hAnsi="Palatino Linotype" w:cs="Palatino Linotype"/>
          <w:sz w:val="22"/>
          <w:szCs w:val="22"/>
        </w:rPr>
        <w:t>, previa búsqueda exhaustiva y razonable, de ser procedente en versión pública, lo siguiente:</w:t>
      </w:r>
    </w:p>
    <w:p w:rsidR="002C2D9C" w:rsidRPr="00D87759" w:rsidRDefault="002C2D9C" w:rsidP="002C2D9C">
      <w:pPr>
        <w:shd w:val="clear" w:color="auto" w:fill="FFFFFF"/>
        <w:spacing w:before="240" w:after="360" w:line="360" w:lineRule="auto"/>
        <w:ind w:right="1"/>
        <w:jc w:val="both"/>
        <w:rPr>
          <w:rFonts w:ascii="Palatino Linotype" w:eastAsia="Palatino Linotype" w:hAnsi="Palatino Linotype" w:cs="Palatino Linotype"/>
          <w:sz w:val="2"/>
          <w:szCs w:val="22"/>
        </w:rPr>
      </w:pPr>
    </w:p>
    <w:p w:rsidR="002C2D9C" w:rsidRPr="00D87759" w:rsidRDefault="002C2D9C" w:rsidP="002C2D9C">
      <w:pPr>
        <w:numPr>
          <w:ilvl w:val="0"/>
          <w:numId w:val="6"/>
        </w:numPr>
        <w:spacing w:line="360" w:lineRule="auto"/>
        <w:ind w:left="567" w:right="567" w:hanging="141"/>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Los permisos solicitados y otorgados con sus oficios de solicitud y respuesta de las obras realizadas en el Centro de Bienestar Animal en el Parque Estatal Sierra Morelos y en el Parque Atlacomulco del 31 de octubre de 2023 al 31 de octubre de 2024.</w:t>
      </w:r>
    </w:p>
    <w:p w:rsidR="002C2D9C" w:rsidRPr="00D87759" w:rsidRDefault="002C2D9C" w:rsidP="002C2D9C">
      <w:pPr>
        <w:spacing w:line="360" w:lineRule="auto"/>
        <w:ind w:right="567"/>
        <w:jc w:val="both"/>
        <w:rPr>
          <w:rFonts w:ascii="Palatino Linotype" w:eastAsia="Palatino Linotype" w:hAnsi="Palatino Linotype" w:cs="Palatino Linotype"/>
          <w:b/>
          <w:sz w:val="22"/>
          <w:szCs w:val="22"/>
        </w:rPr>
      </w:pPr>
    </w:p>
    <w:p w:rsidR="002C2D9C" w:rsidRPr="00D87759" w:rsidRDefault="002C2D9C" w:rsidP="002C2D9C">
      <w:pPr>
        <w:spacing w:before="240" w:after="360" w:line="360" w:lineRule="auto"/>
        <w:ind w:right="-2"/>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w:t>
      </w:r>
      <w:r w:rsidRPr="00D87759">
        <w:rPr>
          <w:rFonts w:ascii="Palatino Linotype" w:eastAsia="Palatino Linotype" w:hAnsi="Palatino Linotype" w:cs="Palatino Linotype"/>
          <w:sz w:val="22"/>
          <w:szCs w:val="22"/>
        </w:rPr>
        <w:lastRenderedPageBreak/>
        <w:t>a la Información Pública del Estado de México y Municipios, en el que funde y motive las razones sobre los datos que se supriman o eliminen dentro del soporte documental respectivo objeto de las versiones públicas que se formulen y se pongan a disposición de la</w:t>
      </w:r>
      <w:r w:rsidRPr="00D87759">
        <w:rPr>
          <w:rFonts w:ascii="Palatino Linotype" w:eastAsia="Palatino Linotype" w:hAnsi="Palatino Linotype" w:cs="Palatino Linotype"/>
          <w:b/>
          <w:sz w:val="22"/>
          <w:szCs w:val="22"/>
        </w:rPr>
        <w:t xml:space="preserve"> RECURRENTE</w:t>
      </w:r>
      <w:r w:rsidRPr="00D87759">
        <w:rPr>
          <w:rFonts w:ascii="Palatino Linotype" w:eastAsia="Palatino Linotype" w:hAnsi="Palatino Linotype" w:cs="Palatino Linotype"/>
          <w:sz w:val="22"/>
          <w:szCs w:val="22"/>
        </w:rPr>
        <w:t>.</w:t>
      </w:r>
    </w:p>
    <w:p w:rsidR="002C2D9C" w:rsidRPr="00D87759" w:rsidRDefault="002C2D9C" w:rsidP="002C2D9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D87759">
        <w:rPr>
          <w:rFonts w:ascii="Palatino Linotype" w:eastAsia="Palatino Linotype" w:hAnsi="Palatino Linotype" w:cs="Palatino Linotype"/>
          <w:color w:val="000000"/>
          <w:sz w:val="22"/>
          <w:szCs w:val="22"/>
        </w:rPr>
        <w:t xml:space="preserve">En el supuesto de que el </w:t>
      </w:r>
      <w:r w:rsidRPr="00D87759">
        <w:rPr>
          <w:rFonts w:ascii="Palatino Linotype" w:eastAsia="Palatino Linotype" w:hAnsi="Palatino Linotype" w:cs="Palatino Linotype"/>
          <w:b/>
          <w:color w:val="000000"/>
          <w:sz w:val="22"/>
          <w:szCs w:val="22"/>
        </w:rPr>
        <w:t>SUJETO OBLIGADO</w:t>
      </w:r>
      <w:r w:rsidRPr="00D87759">
        <w:rPr>
          <w:rFonts w:ascii="Palatino Linotype" w:eastAsia="Palatino Linotype" w:hAnsi="Palatino Linotype" w:cs="Palatino Linotype"/>
          <w:color w:val="000000"/>
          <w:sz w:val="22"/>
          <w:szCs w:val="22"/>
        </w:rPr>
        <w:t xml:space="preserve"> no cuente con alguno de los oficios que se ordenan, por no haber sido generados o porque se hubieran cancelado, bastará con que así lo haga del conocimiento de la parte </w:t>
      </w:r>
      <w:r w:rsidRPr="00D87759">
        <w:rPr>
          <w:rFonts w:ascii="Palatino Linotype" w:eastAsia="Palatino Linotype" w:hAnsi="Palatino Linotype" w:cs="Palatino Linotype"/>
          <w:b/>
          <w:color w:val="000000"/>
          <w:sz w:val="22"/>
          <w:szCs w:val="22"/>
        </w:rPr>
        <w:t>RECURRENTE</w:t>
      </w:r>
      <w:r w:rsidRPr="00D87759">
        <w:rPr>
          <w:rFonts w:ascii="Palatino Linotype" w:eastAsia="Palatino Linotype" w:hAnsi="Palatino Linotype" w:cs="Palatino Linotype"/>
          <w:color w:val="000000"/>
          <w:sz w:val="22"/>
          <w:szCs w:val="22"/>
        </w:rPr>
        <w:t>, de manera clara y precisa, en términos del artículo 19, párrafo segundo de la Ley de Transparencia y Acceso a la Información pública del Estado de México y Municipios para tener por colmado el requerimiento de información.</w:t>
      </w:r>
    </w:p>
    <w:p w:rsidR="002C2D9C" w:rsidRPr="00D87759" w:rsidRDefault="002C2D9C" w:rsidP="002C2D9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2C2D9C" w:rsidRPr="00D87759" w:rsidRDefault="002C2D9C" w:rsidP="002C2D9C">
      <w:pPr>
        <w:spacing w:line="360" w:lineRule="auto"/>
        <w:ind w:right="1"/>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b/>
          <w:sz w:val="22"/>
          <w:szCs w:val="22"/>
        </w:rPr>
        <w:t xml:space="preserve">TERCERO. </w:t>
      </w:r>
      <w:r w:rsidRPr="00D87759">
        <w:rPr>
          <w:rFonts w:ascii="Palatino Linotype" w:eastAsia="Palatino Linotype" w:hAnsi="Palatino Linotype" w:cs="Palatino Linotype"/>
          <w:b/>
          <w:color w:val="000000"/>
          <w:sz w:val="22"/>
          <w:szCs w:val="22"/>
        </w:rPr>
        <w:t>Notifíquese vía SAIMEX l</w:t>
      </w:r>
      <w:r w:rsidRPr="00D87759">
        <w:rPr>
          <w:rFonts w:ascii="Palatino Linotype" w:eastAsia="Palatino Linotype" w:hAnsi="Palatino Linotype" w:cs="Palatino Linotype"/>
          <w:sz w:val="22"/>
          <w:szCs w:val="22"/>
        </w:rPr>
        <w:t xml:space="preserve">a presente resolución al Titular de la Unidad de Transparencia del </w:t>
      </w:r>
      <w:r w:rsidRPr="00D87759">
        <w:rPr>
          <w:rFonts w:ascii="Palatino Linotype" w:eastAsia="Palatino Linotype" w:hAnsi="Palatino Linotype" w:cs="Palatino Linotype"/>
          <w:b/>
          <w:sz w:val="22"/>
          <w:szCs w:val="22"/>
        </w:rPr>
        <w:t>SUJETO OBLIGADO</w:t>
      </w:r>
      <w:r w:rsidRPr="00D87759">
        <w:rPr>
          <w:rFonts w:ascii="Palatino Linotype" w:eastAsia="Palatino Linotype" w:hAnsi="Palatino Linotype" w:cs="Palatino Linotype"/>
          <w:sz w:val="22"/>
          <w:szCs w:val="22"/>
        </w:rPr>
        <w:t>, para que conforme al artículo 186</w:t>
      </w:r>
      <w:r w:rsidR="0087726F" w:rsidRPr="00D87759">
        <w:rPr>
          <w:rFonts w:ascii="Palatino Linotype" w:eastAsia="Palatino Linotype" w:hAnsi="Palatino Linotype" w:cs="Palatino Linotype"/>
          <w:sz w:val="22"/>
          <w:szCs w:val="22"/>
        </w:rPr>
        <w:t>,</w:t>
      </w:r>
      <w:r w:rsidRPr="00D87759">
        <w:rPr>
          <w:rFonts w:ascii="Palatino Linotype" w:eastAsia="Palatino Linotype" w:hAnsi="Palatino Linotype" w:cs="Palatino Linotype"/>
          <w:sz w:val="22"/>
          <w:szCs w:val="22"/>
        </w:rPr>
        <w:t xml:space="preserve"> último párrafo, 189</w:t>
      </w:r>
      <w:r w:rsidR="0087726F" w:rsidRPr="00D87759">
        <w:rPr>
          <w:rFonts w:ascii="Palatino Linotype" w:eastAsia="Palatino Linotype" w:hAnsi="Palatino Linotype" w:cs="Palatino Linotype"/>
          <w:sz w:val="22"/>
          <w:szCs w:val="22"/>
        </w:rPr>
        <w:t>,</w:t>
      </w:r>
      <w:r w:rsidRPr="00D87759">
        <w:rPr>
          <w:rFonts w:ascii="Palatino Linotype" w:eastAsia="Palatino Linotype" w:hAnsi="Palatino Linotype" w:cs="Palatino Linotype"/>
          <w:sz w:val="22"/>
          <w:szCs w:val="22"/>
        </w:rPr>
        <w:t xml:space="preserve"> segundo párrafo y 194</w:t>
      </w:r>
      <w:r w:rsidR="0087726F" w:rsidRPr="00D87759">
        <w:rPr>
          <w:rFonts w:ascii="Palatino Linotype" w:eastAsia="Palatino Linotype" w:hAnsi="Palatino Linotype" w:cs="Palatino Linotype"/>
          <w:sz w:val="22"/>
          <w:szCs w:val="22"/>
        </w:rPr>
        <w:t>,</w:t>
      </w:r>
      <w:r w:rsidRPr="00D87759">
        <w:rPr>
          <w:rFonts w:ascii="Palatino Linotype" w:eastAsia="Palatino Linotype" w:hAnsi="Palatino Linotype" w:cs="Palatino Linotype"/>
          <w:sz w:val="22"/>
          <w:szCs w:val="22"/>
        </w:rPr>
        <w:t xml:space="preserve"> de la Ley de Transparencia y Acceso a la Información Pública del Estado de México y Municipios; </w:t>
      </w:r>
      <w:r w:rsidRPr="00D87759">
        <w:rPr>
          <w:rFonts w:ascii="Palatino Linotype" w:eastAsia="Palatino Linotype" w:hAnsi="Palatino Linotype" w:cs="Palatino Linotype"/>
          <w:b/>
          <w:sz w:val="22"/>
          <w:szCs w:val="22"/>
        </w:rPr>
        <w:t>dé cumplimiento a lo ordenado dentro del plazo de diez días hábiles</w:t>
      </w:r>
      <w:r w:rsidRPr="00D87759">
        <w:rPr>
          <w:rFonts w:ascii="Palatino Linotype" w:eastAsia="Palatino Linotype" w:hAnsi="Palatino Linotype" w:cs="Palatino Linotype"/>
          <w:sz w:val="22"/>
          <w:szCs w:val="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11CE5" w:rsidRPr="00D87759" w:rsidRDefault="00111CE5" w:rsidP="002C2D9C">
      <w:pPr>
        <w:spacing w:line="360" w:lineRule="auto"/>
        <w:ind w:right="1"/>
        <w:jc w:val="both"/>
        <w:rPr>
          <w:rFonts w:ascii="Palatino Linotype" w:eastAsia="Palatino Linotype" w:hAnsi="Palatino Linotype" w:cs="Palatino Linotype"/>
          <w:b/>
          <w:sz w:val="22"/>
          <w:szCs w:val="22"/>
        </w:rPr>
      </w:pPr>
    </w:p>
    <w:p w:rsidR="002C2D9C" w:rsidRPr="00D87759" w:rsidRDefault="002C2D9C" w:rsidP="002C2D9C">
      <w:pPr>
        <w:tabs>
          <w:tab w:val="left" w:pos="8080"/>
        </w:tabs>
        <w:spacing w:line="360" w:lineRule="auto"/>
        <w:ind w:right="1"/>
        <w:jc w:val="both"/>
        <w:rPr>
          <w:rFonts w:ascii="Palatino Linotype" w:eastAsia="Palatino Linotype" w:hAnsi="Palatino Linotype" w:cs="Palatino Linotype"/>
          <w:color w:val="222222"/>
          <w:sz w:val="22"/>
          <w:szCs w:val="22"/>
        </w:rPr>
      </w:pPr>
    </w:p>
    <w:p w:rsidR="002C2D9C" w:rsidRPr="00D87759" w:rsidRDefault="002C2D9C" w:rsidP="002C2D9C">
      <w:pPr>
        <w:shd w:val="clear" w:color="auto" w:fill="FFFFFF"/>
        <w:spacing w:after="240" w:line="360" w:lineRule="auto"/>
        <w:ind w:right="1"/>
        <w:jc w:val="both"/>
        <w:rPr>
          <w:rFonts w:ascii="Palatino Linotype" w:eastAsia="Palatino Linotype" w:hAnsi="Palatino Linotype" w:cs="Palatino Linotype"/>
          <w:b/>
          <w:sz w:val="22"/>
          <w:szCs w:val="22"/>
        </w:rPr>
      </w:pPr>
      <w:r w:rsidRPr="00D87759">
        <w:rPr>
          <w:rFonts w:ascii="Palatino Linotype" w:eastAsia="Palatino Linotype" w:hAnsi="Palatino Linotype" w:cs="Palatino Linotype"/>
          <w:b/>
          <w:sz w:val="22"/>
          <w:szCs w:val="22"/>
        </w:rPr>
        <w:t>CUARTO. Notifíquese a la RECURRENTE</w:t>
      </w:r>
      <w:r w:rsidRPr="00D87759">
        <w:rPr>
          <w:rFonts w:ascii="Palatino Linotype" w:eastAsia="Palatino Linotype" w:hAnsi="Palatino Linotype" w:cs="Palatino Linotype"/>
          <w:sz w:val="22"/>
          <w:szCs w:val="22"/>
        </w:rPr>
        <w:t xml:space="preserve"> la presente resolución vía </w:t>
      </w:r>
      <w:r w:rsidRPr="00D87759">
        <w:rPr>
          <w:rFonts w:ascii="Palatino Linotype" w:eastAsia="Palatino Linotype" w:hAnsi="Palatino Linotype" w:cs="Palatino Linotype"/>
          <w:b/>
          <w:sz w:val="22"/>
          <w:szCs w:val="22"/>
        </w:rPr>
        <w:t>SAIMEX.</w:t>
      </w:r>
    </w:p>
    <w:p w:rsidR="00111CE5" w:rsidRPr="00D87759" w:rsidRDefault="00111CE5" w:rsidP="002C2D9C">
      <w:pPr>
        <w:shd w:val="clear" w:color="auto" w:fill="FFFFFF"/>
        <w:spacing w:after="240" w:line="360" w:lineRule="auto"/>
        <w:ind w:right="1"/>
        <w:jc w:val="both"/>
        <w:rPr>
          <w:rFonts w:ascii="Palatino Linotype" w:eastAsia="Palatino Linotype" w:hAnsi="Palatino Linotype" w:cs="Palatino Linotype"/>
          <w:b/>
          <w:sz w:val="22"/>
          <w:szCs w:val="22"/>
        </w:rPr>
      </w:pPr>
    </w:p>
    <w:p w:rsidR="002C2D9C" w:rsidRPr="00D87759" w:rsidRDefault="002C2D9C" w:rsidP="002C2D9C">
      <w:pPr>
        <w:spacing w:before="240" w:after="240" w:line="360" w:lineRule="auto"/>
        <w:ind w:right="1"/>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b/>
          <w:sz w:val="22"/>
          <w:szCs w:val="22"/>
        </w:rPr>
        <w:lastRenderedPageBreak/>
        <w:t>QUINTO.</w:t>
      </w:r>
      <w:r w:rsidRPr="00D87759">
        <w:rPr>
          <w:rFonts w:ascii="Palatino Linotype" w:eastAsia="Palatino Linotype" w:hAnsi="Palatino Linotype" w:cs="Palatino Linotype"/>
          <w:sz w:val="22"/>
          <w:szCs w:val="22"/>
        </w:rPr>
        <w:t xml:space="preserve"> Se hace del conocimiento de la </w:t>
      </w:r>
      <w:r w:rsidRPr="00D87759">
        <w:rPr>
          <w:rFonts w:ascii="Palatino Linotype" w:eastAsia="Palatino Linotype" w:hAnsi="Palatino Linotype" w:cs="Palatino Linotype"/>
          <w:b/>
          <w:sz w:val="22"/>
          <w:szCs w:val="22"/>
        </w:rPr>
        <w:t>RECURRENTE</w:t>
      </w:r>
      <w:r w:rsidRPr="00D87759">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111CE5" w:rsidRPr="00D87759" w:rsidRDefault="00111CE5" w:rsidP="002C2D9C">
      <w:pPr>
        <w:spacing w:before="240" w:after="240" w:line="360" w:lineRule="auto"/>
        <w:ind w:right="1"/>
        <w:jc w:val="both"/>
        <w:rPr>
          <w:rFonts w:ascii="Palatino Linotype" w:eastAsia="Palatino Linotype" w:hAnsi="Palatino Linotype" w:cs="Palatino Linotype"/>
          <w:sz w:val="22"/>
          <w:szCs w:val="22"/>
        </w:rPr>
      </w:pPr>
    </w:p>
    <w:p w:rsidR="00F76EAA" w:rsidRPr="00D87759" w:rsidRDefault="002C2D9C" w:rsidP="002C2D9C">
      <w:pPr>
        <w:spacing w:before="240" w:after="240" w:line="360" w:lineRule="auto"/>
        <w:jc w:val="both"/>
        <w:rPr>
          <w:rFonts w:ascii="Palatino Linotype" w:eastAsia="Palatino Linotype" w:hAnsi="Palatino Linotype" w:cs="Palatino Linotype"/>
          <w:sz w:val="22"/>
          <w:szCs w:val="22"/>
        </w:rPr>
      </w:pPr>
      <w:r w:rsidRPr="00D87759">
        <w:rPr>
          <w:rFonts w:ascii="Palatino Linotype" w:eastAsia="Palatino Linotype" w:hAnsi="Palatino Linotype" w:cs="Palatino Linotype"/>
          <w:b/>
          <w:color w:val="000000"/>
          <w:sz w:val="22"/>
          <w:szCs w:val="22"/>
        </w:rPr>
        <w:t xml:space="preserve">SEXTO. </w:t>
      </w:r>
      <w:r w:rsidRPr="00D87759">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11CE5" w:rsidRPr="00D87759" w:rsidRDefault="00111CE5" w:rsidP="002C2D9C">
      <w:pPr>
        <w:spacing w:before="240" w:after="240" w:line="360" w:lineRule="auto"/>
        <w:jc w:val="both"/>
        <w:rPr>
          <w:rFonts w:ascii="Palatino Linotype" w:eastAsia="Palatino Linotype" w:hAnsi="Palatino Linotype" w:cs="Palatino Linotype"/>
          <w:sz w:val="22"/>
          <w:szCs w:val="22"/>
        </w:rPr>
      </w:pPr>
    </w:p>
    <w:p w:rsidR="00111CE5" w:rsidRPr="003C7186" w:rsidRDefault="00111CE5" w:rsidP="00111CE5">
      <w:pPr>
        <w:spacing w:line="360" w:lineRule="auto"/>
        <w:ind w:left="-142" w:right="-28" w:firstLine="1"/>
        <w:jc w:val="both"/>
        <w:rPr>
          <w:rFonts w:ascii="Palatino Linotype" w:hAnsi="Palatino Linotype"/>
        </w:rPr>
      </w:pPr>
      <w:r w:rsidRPr="00D8775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DOCE (12) DE FEBRERO DE DOS MIL VEINTICINCO, ANTE EL SECRETARIO TÉCNICO DEL PLENO ALEXIS TAPIA RAMÍREZ.</w:t>
      </w:r>
      <w:bookmarkStart w:id="10" w:name="_GoBack"/>
      <w:bookmarkEnd w:id="10"/>
      <w:r w:rsidRPr="003C7186">
        <w:rPr>
          <w:rFonts w:ascii="Palatino Linotype" w:hAnsi="Palatino Linotype"/>
        </w:rPr>
        <w:t xml:space="preserve"> </w:t>
      </w:r>
    </w:p>
    <w:p w:rsidR="00F76EAA" w:rsidRPr="007F4018" w:rsidRDefault="00F76EAA" w:rsidP="00111CE5">
      <w:pPr>
        <w:spacing w:line="360" w:lineRule="auto"/>
        <w:ind w:right="-28"/>
        <w:rPr>
          <w:rFonts w:ascii="Palatino Linotype" w:eastAsia="Palatino Linotype" w:hAnsi="Palatino Linotype" w:cs="Palatino Linotype"/>
          <w:sz w:val="22"/>
          <w:szCs w:val="22"/>
        </w:rPr>
      </w:pPr>
    </w:p>
    <w:p w:rsidR="00F76EAA" w:rsidRPr="007F4018" w:rsidRDefault="00F76EAA" w:rsidP="00111CE5">
      <w:pPr>
        <w:spacing w:line="360" w:lineRule="auto"/>
        <w:ind w:right="-28"/>
        <w:rPr>
          <w:rFonts w:ascii="Palatino Linotype" w:eastAsia="Palatino Linotype" w:hAnsi="Palatino Linotype" w:cs="Palatino Linotype"/>
          <w:sz w:val="22"/>
          <w:szCs w:val="22"/>
        </w:rPr>
      </w:pPr>
    </w:p>
    <w:p w:rsidR="00F76EAA" w:rsidRPr="007F4018" w:rsidRDefault="00F76EAA" w:rsidP="00F35EB1">
      <w:pPr>
        <w:spacing w:line="360" w:lineRule="auto"/>
        <w:rPr>
          <w:rFonts w:ascii="Palatino Linotype" w:eastAsia="Palatino Linotype" w:hAnsi="Palatino Linotype" w:cs="Palatino Linotype"/>
          <w:sz w:val="22"/>
          <w:szCs w:val="22"/>
        </w:rPr>
      </w:pPr>
    </w:p>
    <w:p w:rsidR="00F76EAA" w:rsidRPr="007F4018" w:rsidRDefault="00F76EAA" w:rsidP="00F35EB1">
      <w:pPr>
        <w:spacing w:line="360" w:lineRule="auto"/>
        <w:rPr>
          <w:rFonts w:ascii="Palatino Linotype" w:eastAsia="Palatino Linotype" w:hAnsi="Palatino Linotype" w:cs="Palatino Linotype"/>
          <w:sz w:val="22"/>
          <w:szCs w:val="22"/>
        </w:rPr>
      </w:pPr>
    </w:p>
    <w:p w:rsidR="00F76EAA" w:rsidRPr="007F4018" w:rsidRDefault="00F76EAA" w:rsidP="00F35EB1">
      <w:pPr>
        <w:spacing w:line="360" w:lineRule="auto"/>
        <w:rPr>
          <w:rFonts w:ascii="Palatino Linotype" w:eastAsia="Palatino Linotype" w:hAnsi="Palatino Linotype" w:cs="Palatino Linotype"/>
          <w:sz w:val="22"/>
          <w:szCs w:val="22"/>
        </w:rPr>
      </w:pPr>
    </w:p>
    <w:p w:rsidR="00F76EAA" w:rsidRPr="007F4018" w:rsidRDefault="00F76EAA" w:rsidP="00F35EB1">
      <w:pPr>
        <w:spacing w:line="360" w:lineRule="auto"/>
        <w:rPr>
          <w:rFonts w:ascii="Palatino Linotype" w:eastAsia="Palatino Linotype" w:hAnsi="Palatino Linotype" w:cs="Palatino Linotype"/>
          <w:sz w:val="22"/>
          <w:szCs w:val="22"/>
        </w:rPr>
      </w:pPr>
    </w:p>
    <w:p w:rsidR="00F76EAA" w:rsidRPr="007F4018" w:rsidRDefault="00F76EAA" w:rsidP="00F35EB1">
      <w:pPr>
        <w:rPr>
          <w:rFonts w:ascii="Palatino Linotype" w:eastAsia="Palatino Linotype" w:hAnsi="Palatino Linotype" w:cs="Palatino Linotype"/>
          <w:sz w:val="22"/>
          <w:szCs w:val="22"/>
        </w:rPr>
      </w:pPr>
    </w:p>
    <w:sectPr w:rsidR="00F76EAA" w:rsidRPr="007F4018">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00E" w:rsidRDefault="00F5600E">
      <w:r>
        <w:separator/>
      </w:r>
    </w:p>
  </w:endnote>
  <w:endnote w:type="continuationSeparator" w:id="0">
    <w:p w:rsidR="00F5600E" w:rsidRDefault="00F5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D9C" w:rsidRDefault="002C2D9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87759">
      <w:rPr>
        <w:b/>
        <w:noProof/>
        <w:color w:val="000000"/>
      </w:rPr>
      <w:t>41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87759">
      <w:rPr>
        <w:b/>
        <w:noProof/>
        <w:color w:val="000000"/>
      </w:rPr>
      <w:t>42</w:t>
    </w:r>
    <w:r>
      <w:rPr>
        <w:b/>
        <w:color w:val="000000"/>
      </w:rPr>
      <w:fldChar w:fldCharType="end"/>
    </w:r>
  </w:p>
  <w:p w:rsidR="002C2D9C" w:rsidRDefault="002C2D9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D9C" w:rsidRDefault="002C2D9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8775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87759">
      <w:rPr>
        <w:b/>
        <w:noProof/>
        <w:color w:val="000000"/>
      </w:rPr>
      <w:t>42</w:t>
    </w:r>
    <w:r>
      <w:rPr>
        <w:b/>
        <w:color w:val="000000"/>
      </w:rPr>
      <w:fldChar w:fldCharType="end"/>
    </w:r>
  </w:p>
  <w:p w:rsidR="002C2D9C" w:rsidRDefault="002C2D9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00E" w:rsidRDefault="00F5600E">
      <w:r>
        <w:separator/>
      </w:r>
    </w:p>
  </w:footnote>
  <w:footnote w:type="continuationSeparator" w:id="0">
    <w:p w:rsidR="00F5600E" w:rsidRDefault="00F5600E">
      <w:r>
        <w:continuationSeparator/>
      </w:r>
    </w:p>
  </w:footnote>
  <w:footnote w:id="1">
    <w:p w:rsidR="002C2D9C" w:rsidRDefault="002C2D9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2C2D9C" w:rsidRDefault="002C2D9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2C2D9C" w:rsidRDefault="002C2D9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2C2D9C" w:rsidRDefault="002C2D9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D9C" w:rsidRDefault="00F5600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D9C" w:rsidRDefault="002C2D9C">
    <w:pPr>
      <w:widowControl w:val="0"/>
      <w:pBdr>
        <w:top w:val="nil"/>
        <w:left w:val="nil"/>
        <w:bottom w:val="nil"/>
        <w:right w:val="nil"/>
        <w:between w:val="nil"/>
      </w:pBdr>
      <w:spacing w:line="276" w:lineRule="auto"/>
      <w:rPr>
        <w:color w:val="000000"/>
      </w:rPr>
    </w:pPr>
  </w:p>
  <w:tbl>
    <w:tblPr>
      <w:tblStyle w:val="a"/>
      <w:tblW w:w="9214" w:type="dxa"/>
      <w:tblInd w:w="0" w:type="dxa"/>
      <w:tblLayout w:type="fixed"/>
      <w:tblLook w:val="0400" w:firstRow="0" w:lastRow="0" w:firstColumn="0" w:lastColumn="0" w:noHBand="0" w:noVBand="1"/>
    </w:tblPr>
    <w:tblGrid>
      <w:gridCol w:w="2268"/>
      <w:gridCol w:w="6946"/>
    </w:tblGrid>
    <w:tr w:rsidR="002C2D9C">
      <w:trPr>
        <w:trHeight w:val="1997"/>
      </w:trPr>
      <w:tc>
        <w:tcPr>
          <w:tcW w:w="2268" w:type="dxa"/>
          <w:shd w:val="clear" w:color="auto" w:fill="auto"/>
        </w:tcPr>
        <w:p w:rsidR="002C2D9C" w:rsidRDefault="002C2D9C">
          <w:pPr>
            <w:tabs>
              <w:tab w:val="right" w:pos="4273"/>
            </w:tabs>
            <w:rPr>
              <w:rFonts w:ascii="Garamond" w:eastAsia="Garamond" w:hAnsi="Garamond" w:cs="Garamond"/>
              <w:sz w:val="16"/>
              <w:szCs w:val="16"/>
            </w:rPr>
          </w:pPr>
        </w:p>
      </w:tc>
      <w:tc>
        <w:tcPr>
          <w:tcW w:w="6946" w:type="dxa"/>
          <w:shd w:val="clear" w:color="auto" w:fill="auto"/>
        </w:tcPr>
        <w:p w:rsidR="002C2D9C" w:rsidRDefault="002C2D9C"/>
        <w:tbl>
          <w:tblPr>
            <w:tblStyle w:val="a0"/>
            <w:tblW w:w="6570" w:type="dxa"/>
            <w:tblInd w:w="40" w:type="dxa"/>
            <w:tblLayout w:type="fixed"/>
            <w:tblLook w:val="0400" w:firstRow="0" w:lastRow="0" w:firstColumn="0" w:lastColumn="0" w:noHBand="0" w:noVBand="1"/>
          </w:tblPr>
          <w:tblGrid>
            <w:gridCol w:w="3225"/>
            <w:gridCol w:w="3345"/>
          </w:tblGrid>
          <w:tr w:rsidR="002C2D9C">
            <w:trPr>
              <w:trHeight w:val="150"/>
            </w:trPr>
            <w:tc>
              <w:tcPr>
                <w:tcW w:w="3225" w:type="dxa"/>
                <w:shd w:val="clear" w:color="auto" w:fill="auto"/>
              </w:tcPr>
              <w:p w:rsidR="002C2D9C" w:rsidRDefault="002C2D9C">
                <w:pPr>
                  <w:tabs>
                    <w:tab w:val="right" w:pos="8838"/>
                  </w:tabs>
                  <w:ind w:left="850" w:right="-2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45" w:type="dxa"/>
                <w:shd w:val="clear" w:color="auto" w:fill="auto"/>
              </w:tcPr>
              <w:p w:rsidR="002C2D9C" w:rsidRDefault="002C2D9C">
                <w:pPr>
                  <w:ind w:right="-98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07048/INFOEM/IP/RR/2024</w:t>
                </w:r>
              </w:p>
            </w:tc>
          </w:tr>
          <w:tr w:rsidR="002C2D9C">
            <w:trPr>
              <w:trHeight w:val="295"/>
            </w:trPr>
            <w:tc>
              <w:tcPr>
                <w:tcW w:w="3225" w:type="dxa"/>
                <w:shd w:val="clear" w:color="auto" w:fill="auto"/>
              </w:tcPr>
              <w:p w:rsidR="002C2D9C" w:rsidRDefault="002C2D9C">
                <w:pPr>
                  <w:tabs>
                    <w:tab w:val="right" w:pos="8838"/>
                  </w:tabs>
                  <w:ind w:left="850" w:right="-2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45" w:type="dxa"/>
                <w:shd w:val="clear" w:color="auto" w:fill="auto"/>
              </w:tcPr>
              <w:p w:rsidR="002C2D9C" w:rsidRDefault="002C2D9C">
                <w:pPr>
                  <w:tabs>
                    <w:tab w:val="left" w:pos="2834"/>
                  </w:tabs>
                  <w:ind w:right="-98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Secretaría de</w:t>
                </w:r>
                <w:r w:rsidR="0087726F">
                  <w:rPr>
                    <w:rFonts w:ascii="Palatino Linotype" w:eastAsia="Palatino Linotype" w:hAnsi="Palatino Linotype" w:cs="Palatino Linotype"/>
                    <w:sz w:val="22"/>
                    <w:szCs w:val="22"/>
                  </w:rPr>
                  <w:t>l</w:t>
                </w:r>
                <w:r>
                  <w:rPr>
                    <w:rFonts w:ascii="Palatino Linotype" w:eastAsia="Palatino Linotype" w:hAnsi="Palatino Linotype" w:cs="Palatino Linotype"/>
                    <w:sz w:val="22"/>
                    <w:szCs w:val="22"/>
                  </w:rPr>
                  <w:t xml:space="preserve"> Medio Ambiente y Desarrollo Sostenible</w:t>
                </w:r>
              </w:p>
            </w:tc>
          </w:tr>
          <w:tr w:rsidR="002C2D9C">
            <w:trPr>
              <w:trHeight w:val="295"/>
            </w:trPr>
            <w:tc>
              <w:tcPr>
                <w:tcW w:w="3225" w:type="dxa"/>
                <w:shd w:val="clear" w:color="auto" w:fill="auto"/>
              </w:tcPr>
              <w:p w:rsidR="002C2D9C" w:rsidRDefault="002C2D9C">
                <w:pPr>
                  <w:tabs>
                    <w:tab w:val="right" w:pos="8838"/>
                  </w:tabs>
                  <w:ind w:right="-274"/>
                  <w:rPr>
                    <w:rFonts w:ascii="Palatino Linotype" w:eastAsia="Palatino Linotype" w:hAnsi="Palatino Linotype" w:cs="Palatino Linotype"/>
                    <w:b/>
                    <w:sz w:val="22"/>
                    <w:szCs w:val="22"/>
                  </w:rPr>
                </w:pPr>
              </w:p>
              <w:p w:rsidR="002C2D9C" w:rsidRDefault="002C2D9C">
                <w:pPr>
                  <w:tabs>
                    <w:tab w:val="right" w:pos="8838"/>
                  </w:tabs>
                  <w:ind w:left="850" w:right="-2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45" w:type="dxa"/>
                <w:shd w:val="clear" w:color="auto" w:fill="auto"/>
              </w:tcPr>
              <w:p w:rsidR="002C2D9C" w:rsidRDefault="002C2D9C">
                <w:pPr>
                  <w:ind w:right="-986"/>
                  <w:rPr>
                    <w:rFonts w:ascii="Palatino Linotype" w:eastAsia="Palatino Linotype" w:hAnsi="Palatino Linotype" w:cs="Palatino Linotype"/>
                    <w:sz w:val="22"/>
                    <w:szCs w:val="22"/>
                  </w:rPr>
                </w:pPr>
              </w:p>
              <w:p w:rsidR="002C2D9C" w:rsidRDefault="002C2D9C">
                <w:pPr>
                  <w:ind w:right="-98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2C2D9C" w:rsidRDefault="002C2D9C">
                <w:pPr>
                  <w:ind w:right="-986"/>
                  <w:rPr>
                    <w:rFonts w:ascii="Palatino Linotype" w:eastAsia="Palatino Linotype" w:hAnsi="Palatino Linotype" w:cs="Palatino Linotype"/>
                    <w:sz w:val="22"/>
                    <w:szCs w:val="22"/>
                  </w:rPr>
                </w:pPr>
              </w:p>
            </w:tc>
          </w:tr>
        </w:tbl>
        <w:p w:rsidR="002C2D9C" w:rsidRDefault="002C2D9C">
          <w:pPr>
            <w:tabs>
              <w:tab w:val="right" w:pos="8838"/>
            </w:tabs>
            <w:ind w:left="-28"/>
            <w:jc w:val="both"/>
            <w:rPr>
              <w:rFonts w:ascii="Arial" w:eastAsia="Arial" w:hAnsi="Arial" w:cs="Arial"/>
              <w:b/>
              <w:sz w:val="22"/>
              <w:szCs w:val="22"/>
            </w:rPr>
          </w:pPr>
        </w:p>
      </w:tc>
    </w:tr>
  </w:tbl>
  <w:p w:rsidR="002C2D9C" w:rsidRDefault="00F5600E">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D9C" w:rsidRDefault="002C2D9C">
    <w:pPr>
      <w:widowControl w:val="0"/>
      <w:pBdr>
        <w:top w:val="nil"/>
        <w:left w:val="nil"/>
        <w:bottom w:val="nil"/>
        <w:right w:val="nil"/>
        <w:between w:val="nil"/>
      </w:pBdr>
      <w:spacing w:line="276" w:lineRule="auto"/>
      <w:rPr>
        <w:color w:val="000000"/>
        <w:sz w:val="14"/>
        <w:szCs w:val="14"/>
      </w:rPr>
    </w:pPr>
  </w:p>
  <w:tbl>
    <w:tblPr>
      <w:tblStyle w:val="a1"/>
      <w:tblW w:w="10350" w:type="dxa"/>
      <w:tblInd w:w="0" w:type="dxa"/>
      <w:tblLayout w:type="fixed"/>
      <w:tblLook w:val="0400" w:firstRow="0" w:lastRow="0" w:firstColumn="0" w:lastColumn="0" w:noHBand="0" w:noVBand="1"/>
    </w:tblPr>
    <w:tblGrid>
      <w:gridCol w:w="3092"/>
      <w:gridCol w:w="7258"/>
    </w:tblGrid>
    <w:tr w:rsidR="002C2D9C">
      <w:trPr>
        <w:trHeight w:val="2303"/>
      </w:trPr>
      <w:tc>
        <w:tcPr>
          <w:tcW w:w="3092" w:type="dxa"/>
          <w:shd w:val="clear" w:color="auto" w:fill="auto"/>
        </w:tcPr>
        <w:p w:rsidR="002C2D9C" w:rsidRDefault="002C2D9C">
          <w:pPr>
            <w:tabs>
              <w:tab w:val="right" w:pos="4273"/>
            </w:tabs>
            <w:rPr>
              <w:rFonts w:ascii="Garamond" w:eastAsia="Garamond" w:hAnsi="Garamond" w:cs="Garamond"/>
              <w:sz w:val="22"/>
              <w:szCs w:val="22"/>
            </w:rPr>
          </w:pPr>
        </w:p>
      </w:tc>
      <w:tc>
        <w:tcPr>
          <w:tcW w:w="7258" w:type="dxa"/>
          <w:shd w:val="clear" w:color="auto" w:fill="auto"/>
        </w:tcPr>
        <w:p w:rsidR="002C2D9C" w:rsidRDefault="002C2D9C">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6060" w:type="dxa"/>
            <w:tblInd w:w="40" w:type="dxa"/>
            <w:tblLayout w:type="fixed"/>
            <w:tblLook w:val="0400" w:firstRow="0" w:lastRow="0" w:firstColumn="0" w:lastColumn="0" w:noHBand="0" w:noVBand="1"/>
          </w:tblPr>
          <w:tblGrid>
            <w:gridCol w:w="2522"/>
            <w:gridCol w:w="3538"/>
          </w:tblGrid>
          <w:tr w:rsidR="002C2D9C">
            <w:trPr>
              <w:trHeight w:val="144"/>
            </w:trPr>
            <w:tc>
              <w:tcPr>
                <w:tcW w:w="2522" w:type="dxa"/>
                <w:shd w:val="clear" w:color="auto" w:fill="auto"/>
              </w:tcPr>
              <w:p w:rsidR="002C2D9C" w:rsidRDefault="002C2D9C">
                <w:pPr>
                  <w:tabs>
                    <w:tab w:val="right" w:pos="8838"/>
                  </w:tabs>
                  <w:ind w:left="-264" w:right="-105" w:firstLine="2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38" w:type="dxa"/>
                <w:shd w:val="clear" w:color="auto" w:fill="auto"/>
              </w:tcPr>
              <w:p w:rsidR="002C2D9C" w:rsidRDefault="002C2D9C">
                <w:pPr>
                  <w:ind w:right="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07048/INFOEM/IP/RR/2024</w:t>
                </w:r>
              </w:p>
            </w:tc>
          </w:tr>
          <w:tr w:rsidR="002C2D9C">
            <w:trPr>
              <w:trHeight w:val="144"/>
            </w:trPr>
            <w:tc>
              <w:tcPr>
                <w:tcW w:w="2522" w:type="dxa"/>
                <w:shd w:val="clear" w:color="auto" w:fill="auto"/>
              </w:tcPr>
              <w:p w:rsidR="002C2D9C" w:rsidRDefault="002C2D9C">
                <w:pPr>
                  <w:tabs>
                    <w:tab w:val="right" w:pos="8838"/>
                  </w:tabs>
                  <w:ind w:left="-74" w:right="-105" w:firstLine="7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38" w:type="dxa"/>
                <w:shd w:val="clear" w:color="auto" w:fill="auto"/>
              </w:tcPr>
              <w:p w:rsidR="002C2D9C" w:rsidRDefault="002C2D9C">
                <w:pPr>
                  <w:tabs>
                    <w:tab w:val="left" w:pos="3122"/>
                  </w:tabs>
                  <w:ind w:right="77"/>
                  <w:rPr>
                    <w:rFonts w:ascii="Palatino Linotype" w:eastAsia="Palatino Linotype" w:hAnsi="Palatino Linotype" w:cs="Palatino Linotype"/>
                    <w:sz w:val="22"/>
                    <w:szCs w:val="22"/>
                  </w:rPr>
                </w:pPr>
              </w:p>
            </w:tc>
          </w:tr>
          <w:tr w:rsidR="002C2D9C">
            <w:trPr>
              <w:trHeight w:val="283"/>
            </w:trPr>
            <w:tc>
              <w:tcPr>
                <w:tcW w:w="2522" w:type="dxa"/>
                <w:shd w:val="clear" w:color="auto" w:fill="auto"/>
              </w:tcPr>
              <w:p w:rsidR="002C2D9C" w:rsidRDefault="002C2D9C">
                <w:pPr>
                  <w:tabs>
                    <w:tab w:val="right" w:pos="8838"/>
                  </w:tabs>
                  <w:ind w:left="-74" w:right="-105" w:firstLine="7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38" w:type="dxa"/>
                <w:shd w:val="clear" w:color="auto" w:fill="auto"/>
              </w:tcPr>
              <w:p w:rsidR="002C2D9C" w:rsidRDefault="002C2D9C">
                <w:pPr>
                  <w:tabs>
                    <w:tab w:val="left" w:pos="2834"/>
                  </w:tabs>
                  <w:ind w:right="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Secretaría de</w:t>
                </w:r>
                <w:r w:rsidR="0087726F">
                  <w:rPr>
                    <w:rFonts w:ascii="Palatino Linotype" w:eastAsia="Palatino Linotype" w:hAnsi="Palatino Linotype" w:cs="Palatino Linotype"/>
                    <w:sz w:val="22"/>
                    <w:szCs w:val="22"/>
                  </w:rPr>
                  <w:t>l</w:t>
                </w:r>
                <w:r>
                  <w:rPr>
                    <w:rFonts w:ascii="Palatino Linotype" w:eastAsia="Palatino Linotype" w:hAnsi="Palatino Linotype" w:cs="Palatino Linotype"/>
                    <w:sz w:val="22"/>
                    <w:szCs w:val="22"/>
                  </w:rPr>
                  <w:t xml:space="preserve"> Medio Ambiente y Desarrollo Sostenible</w:t>
                </w:r>
              </w:p>
            </w:tc>
          </w:tr>
          <w:tr w:rsidR="002C2D9C">
            <w:trPr>
              <w:trHeight w:val="283"/>
            </w:trPr>
            <w:tc>
              <w:tcPr>
                <w:tcW w:w="2522" w:type="dxa"/>
                <w:shd w:val="clear" w:color="auto" w:fill="auto"/>
              </w:tcPr>
              <w:p w:rsidR="002C2D9C" w:rsidRDefault="002C2D9C">
                <w:pPr>
                  <w:tabs>
                    <w:tab w:val="right" w:pos="8838"/>
                  </w:tabs>
                  <w:ind w:left="-74" w:right="-105" w:firstLine="7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38" w:type="dxa"/>
                <w:shd w:val="clear" w:color="auto" w:fill="auto"/>
              </w:tcPr>
              <w:p w:rsidR="002C2D9C" w:rsidRDefault="002C2D9C">
                <w:pPr>
                  <w:ind w:right="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2C2D9C" w:rsidRDefault="002C2D9C">
                <w:pPr>
                  <w:ind w:right="77"/>
                  <w:rPr>
                    <w:rFonts w:ascii="Palatino Linotype" w:eastAsia="Palatino Linotype" w:hAnsi="Palatino Linotype" w:cs="Palatino Linotype"/>
                    <w:sz w:val="22"/>
                    <w:szCs w:val="22"/>
                  </w:rPr>
                </w:pPr>
              </w:p>
            </w:tc>
          </w:tr>
        </w:tbl>
        <w:p w:rsidR="002C2D9C" w:rsidRDefault="002C2D9C">
          <w:pPr>
            <w:tabs>
              <w:tab w:val="right" w:pos="8838"/>
            </w:tabs>
            <w:ind w:left="-28"/>
            <w:jc w:val="both"/>
            <w:rPr>
              <w:rFonts w:ascii="Arial" w:eastAsia="Arial" w:hAnsi="Arial" w:cs="Arial"/>
              <w:b/>
              <w:sz w:val="22"/>
              <w:szCs w:val="22"/>
            </w:rPr>
          </w:pPr>
        </w:p>
      </w:tc>
    </w:tr>
  </w:tbl>
  <w:p w:rsidR="002C2D9C" w:rsidRDefault="00F5600E">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F485DA4"/>
    <w:multiLevelType w:val="multilevel"/>
    <w:tmpl w:val="5E7E8AAA"/>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384755"/>
    <w:multiLevelType w:val="multilevel"/>
    <w:tmpl w:val="9BFE07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4D3B6D"/>
    <w:multiLevelType w:val="multilevel"/>
    <w:tmpl w:val="2E26E28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52F7049"/>
    <w:multiLevelType w:val="hybridMultilevel"/>
    <w:tmpl w:val="BE9CE11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602B190D"/>
    <w:multiLevelType w:val="hybridMultilevel"/>
    <w:tmpl w:val="5C50D39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690B08FE"/>
    <w:multiLevelType w:val="hybridMultilevel"/>
    <w:tmpl w:val="65525C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EAA"/>
    <w:rsid w:val="00015279"/>
    <w:rsid w:val="00042F1D"/>
    <w:rsid w:val="000B5B04"/>
    <w:rsid w:val="000E4780"/>
    <w:rsid w:val="00111CE5"/>
    <w:rsid w:val="001A46A8"/>
    <w:rsid w:val="002C2D9C"/>
    <w:rsid w:val="00485B2D"/>
    <w:rsid w:val="007F4018"/>
    <w:rsid w:val="0087726F"/>
    <w:rsid w:val="00D15CB9"/>
    <w:rsid w:val="00D87759"/>
    <w:rsid w:val="00F26C40"/>
    <w:rsid w:val="00F35EB1"/>
    <w:rsid w:val="00F5600E"/>
    <w:rsid w:val="00F76E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D7D3F76-B420-429B-8DE0-16CCE716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30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BC630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2Car">
    <w:name w:val="Título 2 Car"/>
    <w:basedOn w:val="Fuentedeprrafopredeter"/>
    <w:link w:val="Ttulo2"/>
    <w:uiPriority w:val="9"/>
    <w:rsid w:val="00BC630B"/>
    <w:rPr>
      <w:rFonts w:asciiTheme="majorHAnsi" w:eastAsiaTheme="majorEastAsia" w:hAnsiTheme="majorHAnsi" w:cstheme="majorBidi"/>
      <w:color w:val="2E74B5" w:themeColor="accent1" w:themeShade="BF"/>
      <w:sz w:val="26"/>
      <w:szCs w:val="26"/>
    </w:rPr>
  </w:style>
  <w:style w:type="character" w:styleId="Hipervnculo">
    <w:name w:val="Hyperlink"/>
    <w:aliases w:val="Hipervínculo1,Hipervínculo11,Hipervínculo12,Hipervínculo13,Hipervínculo14,Hipervínculo15"/>
    <w:uiPriority w:val="99"/>
    <w:unhideWhenUsed/>
    <w:rsid w:val="00BC630B"/>
    <w:rPr>
      <w:color w:val="0563C1"/>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015279"/>
    <w:pPr>
      <w:tabs>
        <w:tab w:val="center" w:pos="4419"/>
        <w:tab w:val="right" w:pos="8838"/>
      </w:tabs>
    </w:pPr>
  </w:style>
  <w:style w:type="character" w:customStyle="1" w:styleId="PiedepginaCar">
    <w:name w:val="Pie de página Car"/>
    <w:basedOn w:val="Fuentedeprrafopredeter"/>
    <w:link w:val="Piedepgina"/>
    <w:uiPriority w:val="99"/>
    <w:rsid w:val="0001527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15279"/>
    <w:pPr>
      <w:ind w:left="720"/>
      <w:contextualSpacing/>
    </w:pPr>
  </w:style>
  <w:style w:type="character" w:styleId="Hipervnculovisitado">
    <w:name w:val="FollowedHyperlink"/>
    <w:basedOn w:val="Fuentedeprrafopredeter"/>
    <w:uiPriority w:val="99"/>
    <w:semiHidden/>
    <w:unhideWhenUsed/>
    <w:rsid w:val="000B5B04"/>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C2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65759.page" TargetMode="External"/><Relationship Id="rId13" Type="http://schemas.openxmlformats.org/officeDocument/2006/relationships/hyperlink" Target="https://asisucede.com.mx/centro-de-bienestar-animal-es-un-proyecto-sostenible-alhely-rubio-arroni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jornadaestadodemexico.com/centro-de-control-animal-en-parque-sierra-morelo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qaventanilla.edomex.gob.mx/TramitesyServicios/Tramite?tram=164&amp;cont=0"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WKgL1UZLN/oBTRr7ii+PpkTwQ==">CgMxLjAyCGguZ2pkZ3hzMgloLjMwajB6bGwyCWguM3pueXNoNzIJaC4yZXQ5MnAwMgloLjNkeTZ2a20yCGgudHlqY3d0MghoLmxueGJ6OTIJaC4zcmRjcmpuOAByITExS25HVm93TjMyR2l4elJWZzdXWFZpdHlINEtGQnZFWA==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42</Pages>
  <Words>10960</Words>
  <Characters>60282</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INFOEM-434</dc:creator>
  <cp:lastModifiedBy>INFOEM416</cp:lastModifiedBy>
  <cp:revision>5</cp:revision>
  <cp:lastPrinted>2025-02-13T16:24:00Z</cp:lastPrinted>
  <dcterms:created xsi:type="dcterms:W3CDTF">2025-02-11T02:33:00Z</dcterms:created>
  <dcterms:modified xsi:type="dcterms:W3CDTF">2025-02-13T16:25:00Z</dcterms:modified>
</cp:coreProperties>
</file>