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alatino Linotype" w:eastAsia="Times New Roman" w:hAnsi="Palatino Linotype" w:cs="Times New Roman"/>
          <w:color w:val="auto"/>
          <w:sz w:val="22"/>
          <w:szCs w:val="20"/>
          <w:lang w:val="es-ES" w:eastAsia="es-ES"/>
        </w:rPr>
        <w:id w:val="-373929504"/>
        <w:docPartObj>
          <w:docPartGallery w:val="Table of Contents"/>
          <w:docPartUnique/>
        </w:docPartObj>
      </w:sdtPr>
      <w:sdtEndPr>
        <w:rPr>
          <w:b/>
          <w:bCs/>
        </w:rPr>
      </w:sdtEndPr>
      <w:sdtContent>
        <w:p w14:paraId="7453D620" w14:textId="77777777" w:rsidR="00D01F96" w:rsidRPr="00E32178" w:rsidRDefault="00D01F96" w:rsidP="00E32178">
          <w:pPr>
            <w:pStyle w:val="TtuloTDC"/>
            <w:rPr>
              <w:color w:val="auto"/>
            </w:rPr>
          </w:pPr>
          <w:r w:rsidRPr="00E32178">
            <w:rPr>
              <w:color w:val="auto"/>
              <w:lang w:val="es-ES"/>
            </w:rPr>
            <w:t>Contenido</w:t>
          </w:r>
        </w:p>
        <w:p w14:paraId="4F4A706D" w14:textId="77777777" w:rsidR="00E32178" w:rsidRPr="00E32178" w:rsidRDefault="00D01F96" w:rsidP="00E32178">
          <w:pPr>
            <w:pStyle w:val="TDC1"/>
            <w:tabs>
              <w:tab w:val="right" w:leader="dot" w:pos="9034"/>
            </w:tabs>
            <w:rPr>
              <w:rFonts w:asciiTheme="minorHAnsi" w:eastAsiaTheme="minorEastAsia" w:hAnsiTheme="minorHAnsi" w:cstheme="minorBidi"/>
              <w:noProof/>
              <w:szCs w:val="22"/>
              <w:lang w:eastAsia="es-MX"/>
            </w:rPr>
          </w:pPr>
          <w:r w:rsidRPr="00E32178">
            <w:rPr>
              <w:b/>
              <w:bCs/>
              <w:lang w:val="es-ES"/>
            </w:rPr>
            <w:fldChar w:fldCharType="begin"/>
          </w:r>
          <w:r w:rsidRPr="00E32178">
            <w:rPr>
              <w:b/>
              <w:bCs/>
              <w:lang w:val="es-ES"/>
            </w:rPr>
            <w:instrText xml:space="preserve"> TOC \o "1-3" \h \z \u </w:instrText>
          </w:r>
          <w:r w:rsidRPr="00E32178">
            <w:rPr>
              <w:b/>
              <w:bCs/>
              <w:lang w:val="es-ES"/>
            </w:rPr>
            <w:fldChar w:fldCharType="separate"/>
          </w:r>
          <w:hyperlink w:anchor="_Toc203626711" w:history="1">
            <w:r w:rsidR="00E32178" w:rsidRPr="00E32178">
              <w:rPr>
                <w:rStyle w:val="Hipervnculo"/>
                <w:rFonts w:eastAsiaTheme="majorEastAsia"/>
                <w:noProof/>
                <w:color w:val="auto"/>
              </w:rPr>
              <w:t>ANTECEDENTES</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_Toc203626711 \h </w:instrText>
            </w:r>
            <w:r w:rsidR="00E32178" w:rsidRPr="00E32178">
              <w:rPr>
                <w:noProof/>
                <w:webHidden/>
              </w:rPr>
            </w:r>
            <w:r w:rsidR="00E32178" w:rsidRPr="00E32178">
              <w:rPr>
                <w:noProof/>
                <w:webHidden/>
              </w:rPr>
              <w:fldChar w:fldCharType="separate"/>
            </w:r>
            <w:r w:rsidR="00E32178" w:rsidRPr="00E32178">
              <w:rPr>
                <w:noProof/>
                <w:webHidden/>
              </w:rPr>
              <w:t>1</w:t>
            </w:r>
            <w:r w:rsidR="00E32178" w:rsidRPr="00E32178">
              <w:rPr>
                <w:noProof/>
                <w:webHidden/>
              </w:rPr>
              <w:fldChar w:fldCharType="end"/>
            </w:r>
          </w:hyperlink>
        </w:p>
        <w:p w14:paraId="75C7E787" w14:textId="77777777" w:rsidR="00E32178" w:rsidRPr="00E32178" w:rsidRDefault="00000000" w:rsidP="00E32178">
          <w:pPr>
            <w:pStyle w:val="TDC2"/>
            <w:rPr>
              <w:rFonts w:asciiTheme="minorHAnsi" w:eastAsiaTheme="minorEastAsia" w:hAnsiTheme="minorHAnsi" w:cstheme="minorBidi"/>
              <w:noProof/>
              <w:szCs w:val="22"/>
              <w:lang w:eastAsia="es-MX"/>
            </w:rPr>
          </w:pPr>
          <w:hyperlink w:anchor="_Toc203626712" w:history="1">
            <w:r w:rsidR="00E32178" w:rsidRPr="00E32178">
              <w:rPr>
                <w:rStyle w:val="Hipervnculo"/>
                <w:rFonts w:eastAsiaTheme="majorEastAsia"/>
                <w:noProof/>
                <w:color w:val="auto"/>
              </w:rPr>
              <w:t>DE LA SOLICITUD DE INFORMACIÓN</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_Toc203626712 \h </w:instrText>
            </w:r>
            <w:r w:rsidR="00E32178" w:rsidRPr="00E32178">
              <w:rPr>
                <w:noProof/>
                <w:webHidden/>
              </w:rPr>
            </w:r>
            <w:r w:rsidR="00E32178" w:rsidRPr="00E32178">
              <w:rPr>
                <w:noProof/>
                <w:webHidden/>
              </w:rPr>
              <w:fldChar w:fldCharType="separate"/>
            </w:r>
            <w:r w:rsidR="00E32178" w:rsidRPr="00E32178">
              <w:rPr>
                <w:noProof/>
                <w:webHidden/>
              </w:rPr>
              <w:t>1</w:t>
            </w:r>
            <w:r w:rsidR="00E32178" w:rsidRPr="00E32178">
              <w:rPr>
                <w:noProof/>
                <w:webHidden/>
              </w:rPr>
              <w:fldChar w:fldCharType="end"/>
            </w:r>
          </w:hyperlink>
        </w:p>
        <w:p w14:paraId="110A0F65"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13" w:history="1">
            <w:r w:rsidR="00E32178" w:rsidRPr="00E32178">
              <w:rPr>
                <w:rStyle w:val="Hipervnculo"/>
                <w:rFonts w:eastAsiaTheme="majorEastAsia"/>
                <w:noProof/>
                <w:color w:val="auto"/>
              </w:rPr>
              <w:t>a) Solicitud de información</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_Toc203626713 \h </w:instrText>
            </w:r>
            <w:r w:rsidR="00E32178" w:rsidRPr="00E32178">
              <w:rPr>
                <w:noProof/>
                <w:webHidden/>
              </w:rPr>
            </w:r>
            <w:r w:rsidR="00E32178" w:rsidRPr="00E32178">
              <w:rPr>
                <w:noProof/>
                <w:webHidden/>
              </w:rPr>
              <w:fldChar w:fldCharType="separate"/>
            </w:r>
            <w:r w:rsidR="00E32178" w:rsidRPr="00E32178">
              <w:rPr>
                <w:noProof/>
                <w:webHidden/>
              </w:rPr>
              <w:t>1</w:t>
            </w:r>
            <w:r w:rsidR="00E32178" w:rsidRPr="00E32178">
              <w:rPr>
                <w:noProof/>
                <w:webHidden/>
              </w:rPr>
              <w:fldChar w:fldCharType="end"/>
            </w:r>
          </w:hyperlink>
        </w:p>
        <w:p w14:paraId="49FD5827"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14" w:history="1">
            <w:r w:rsidR="00E32178" w:rsidRPr="00E32178">
              <w:rPr>
                <w:rStyle w:val="Hipervnculo"/>
                <w:rFonts w:eastAsiaTheme="majorEastAsia"/>
                <w:noProof/>
                <w:color w:val="auto"/>
              </w:rPr>
              <w:t>b) Turno de la solicitud de información</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_Toc203626714 \h </w:instrText>
            </w:r>
            <w:r w:rsidR="00E32178" w:rsidRPr="00E32178">
              <w:rPr>
                <w:noProof/>
                <w:webHidden/>
              </w:rPr>
            </w:r>
            <w:r w:rsidR="00E32178" w:rsidRPr="00E32178">
              <w:rPr>
                <w:noProof/>
                <w:webHidden/>
              </w:rPr>
              <w:fldChar w:fldCharType="separate"/>
            </w:r>
            <w:r w:rsidR="00E32178" w:rsidRPr="00E32178">
              <w:rPr>
                <w:noProof/>
                <w:webHidden/>
              </w:rPr>
              <w:t>2</w:t>
            </w:r>
            <w:r w:rsidR="00E32178" w:rsidRPr="00E32178">
              <w:rPr>
                <w:noProof/>
                <w:webHidden/>
              </w:rPr>
              <w:fldChar w:fldCharType="end"/>
            </w:r>
          </w:hyperlink>
        </w:p>
        <w:p w14:paraId="172BAE6E"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15" w:history="1">
            <w:r w:rsidR="00E32178" w:rsidRPr="00E32178">
              <w:rPr>
                <w:rStyle w:val="Hipervnculo"/>
                <w:rFonts w:eastAsiaTheme="majorEastAsia"/>
                <w:noProof/>
                <w:color w:val="auto"/>
              </w:rPr>
              <w:t>c) Respuesta del Sujeto Obligado</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_Toc203626715 \h </w:instrText>
            </w:r>
            <w:r w:rsidR="00E32178" w:rsidRPr="00E32178">
              <w:rPr>
                <w:noProof/>
                <w:webHidden/>
              </w:rPr>
            </w:r>
            <w:r w:rsidR="00E32178" w:rsidRPr="00E32178">
              <w:rPr>
                <w:noProof/>
                <w:webHidden/>
              </w:rPr>
              <w:fldChar w:fldCharType="separate"/>
            </w:r>
            <w:r w:rsidR="00E32178" w:rsidRPr="00E32178">
              <w:rPr>
                <w:noProof/>
                <w:webHidden/>
              </w:rPr>
              <w:t>2</w:t>
            </w:r>
            <w:r w:rsidR="00E32178" w:rsidRPr="00E32178">
              <w:rPr>
                <w:noProof/>
                <w:webHidden/>
              </w:rPr>
              <w:fldChar w:fldCharType="end"/>
            </w:r>
          </w:hyperlink>
        </w:p>
        <w:p w14:paraId="01CF78C6" w14:textId="77777777" w:rsidR="00E32178" w:rsidRPr="00E32178" w:rsidRDefault="00000000" w:rsidP="00E32178">
          <w:pPr>
            <w:pStyle w:val="TDC2"/>
            <w:rPr>
              <w:rFonts w:asciiTheme="minorHAnsi" w:eastAsiaTheme="minorEastAsia" w:hAnsiTheme="minorHAnsi" w:cstheme="minorBidi"/>
              <w:noProof/>
              <w:szCs w:val="22"/>
              <w:lang w:eastAsia="es-MX"/>
            </w:rPr>
          </w:pPr>
          <w:hyperlink w:anchor="_Toc203626716" w:history="1">
            <w:r w:rsidR="00E32178" w:rsidRPr="00E32178">
              <w:rPr>
                <w:rStyle w:val="Hipervnculo"/>
                <w:rFonts w:eastAsiaTheme="majorEastAsia"/>
                <w:noProof/>
                <w:color w:val="auto"/>
              </w:rPr>
              <w:t>DEL RECURSO DE REVISIÓN</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_Toc203626716 \h </w:instrText>
            </w:r>
            <w:r w:rsidR="00E32178" w:rsidRPr="00E32178">
              <w:rPr>
                <w:noProof/>
                <w:webHidden/>
              </w:rPr>
            </w:r>
            <w:r w:rsidR="00E32178" w:rsidRPr="00E32178">
              <w:rPr>
                <w:noProof/>
                <w:webHidden/>
              </w:rPr>
              <w:fldChar w:fldCharType="separate"/>
            </w:r>
            <w:r w:rsidR="00E32178" w:rsidRPr="00E32178">
              <w:rPr>
                <w:noProof/>
                <w:webHidden/>
              </w:rPr>
              <w:t>3</w:t>
            </w:r>
            <w:r w:rsidR="00E32178" w:rsidRPr="00E32178">
              <w:rPr>
                <w:noProof/>
                <w:webHidden/>
              </w:rPr>
              <w:fldChar w:fldCharType="end"/>
            </w:r>
          </w:hyperlink>
        </w:p>
        <w:p w14:paraId="0F58E9FF"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17" w:history="1">
            <w:r w:rsidR="00E32178" w:rsidRPr="00E32178">
              <w:rPr>
                <w:rStyle w:val="Hipervnculo"/>
                <w:rFonts w:eastAsiaTheme="majorEastAsia"/>
                <w:noProof/>
                <w:color w:val="auto"/>
              </w:rPr>
              <w:t>a) Interposición del Recurso de Revisión</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_Toc203626717 \h </w:instrText>
            </w:r>
            <w:r w:rsidR="00E32178" w:rsidRPr="00E32178">
              <w:rPr>
                <w:noProof/>
                <w:webHidden/>
              </w:rPr>
            </w:r>
            <w:r w:rsidR="00E32178" w:rsidRPr="00E32178">
              <w:rPr>
                <w:noProof/>
                <w:webHidden/>
              </w:rPr>
              <w:fldChar w:fldCharType="separate"/>
            </w:r>
            <w:r w:rsidR="00E32178" w:rsidRPr="00E32178">
              <w:rPr>
                <w:noProof/>
                <w:webHidden/>
              </w:rPr>
              <w:t>3</w:t>
            </w:r>
            <w:r w:rsidR="00E32178" w:rsidRPr="00E32178">
              <w:rPr>
                <w:noProof/>
                <w:webHidden/>
              </w:rPr>
              <w:fldChar w:fldCharType="end"/>
            </w:r>
          </w:hyperlink>
        </w:p>
        <w:p w14:paraId="6115999A"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18" w:history="1">
            <w:r w:rsidR="00E32178" w:rsidRPr="00E32178">
              <w:rPr>
                <w:rStyle w:val="Hipervnculo"/>
                <w:rFonts w:eastAsiaTheme="majorEastAsia"/>
                <w:noProof/>
                <w:color w:val="auto"/>
              </w:rPr>
              <w:t>b) Turno del Recurso de Revisión</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_Toc203626718 \h </w:instrText>
            </w:r>
            <w:r w:rsidR="00E32178" w:rsidRPr="00E32178">
              <w:rPr>
                <w:noProof/>
                <w:webHidden/>
              </w:rPr>
            </w:r>
            <w:r w:rsidR="00E32178" w:rsidRPr="00E32178">
              <w:rPr>
                <w:noProof/>
                <w:webHidden/>
              </w:rPr>
              <w:fldChar w:fldCharType="separate"/>
            </w:r>
            <w:r w:rsidR="00E32178" w:rsidRPr="00E32178">
              <w:rPr>
                <w:noProof/>
                <w:webHidden/>
              </w:rPr>
              <w:t>4</w:t>
            </w:r>
            <w:r w:rsidR="00E32178" w:rsidRPr="00E32178">
              <w:rPr>
                <w:noProof/>
                <w:webHidden/>
              </w:rPr>
              <w:fldChar w:fldCharType="end"/>
            </w:r>
          </w:hyperlink>
        </w:p>
        <w:p w14:paraId="14B2A21B"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19" w:history="1">
            <w:r w:rsidR="00E32178" w:rsidRPr="00E32178">
              <w:rPr>
                <w:rStyle w:val="Hipervnculo"/>
                <w:rFonts w:eastAsiaTheme="majorEastAsia"/>
                <w:noProof/>
                <w:color w:val="auto"/>
              </w:rPr>
              <w:t>c) Admisión del Recurso de Revisión</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_Toc203626719 \h </w:instrText>
            </w:r>
            <w:r w:rsidR="00E32178" w:rsidRPr="00E32178">
              <w:rPr>
                <w:noProof/>
                <w:webHidden/>
              </w:rPr>
            </w:r>
            <w:r w:rsidR="00E32178" w:rsidRPr="00E32178">
              <w:rPr>
                <w:noProof/>
                <w:webHidden/>
              </w:rPr>
              <w:fldChar w:fldCharType="separate"/>
            </w:r>
            <w:r w:rsidR="00E32178" w:rsidRPr="00E32178">
              <w:rPr>
                <w:noProof/>
                <w:webHidden/>
              </w:rPr>
              <w:t>4</w:t>
            </w:r>
            <w:r w:rsidR="00E32178" w:rsidRPr="00E32178">
              <w:rPr>
                <w:noProof/>
                <w:webHidden/>
              </w:rPr>
              <w:fldChar w:fldCharType="end"/>
            </w:r>
          </w:hyperlink>
        </w:p>
        <w:p w14:paraId="2401B4A3"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20" w:history="1">
            <w:r w:rsidR="00E32178" w:rsidRPr="00E32178">
              <w:rPr>
                <w:rStyle w:val="Hipervnculo"/>
                <w:rFonts w:eastAsiaTheme="majorEastAsia"/>
                <w:noProof/>
                <w:color w:val="auto"/>
              </w:rPr>
              <w:t>d) Informe Justificado del Sujeto Obligado</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_Toc203626720 \h </w:instrText>
            </w:r>
            <w:r w:rsidR="00E32178" w:rsidRPr="00E32178">
              <w:rPr>
                <w:noProof/>
                <w:webHidden/>
              </w:rPr>
            </w:r>
            <w:r w:rsidR="00E32178" w:rsidRPr="00E32178">
              <w:rPr>
                <w:noProof/>
                <w:webHidden/>
              </w:rPr>
              <w:fldChar w:fldCharType="separate"/>
            </w:r>
            <w:r w:rsidR="00E32178" w:rsidRPr="00E32178">
              <w:rPr>
                <w:noProof/>
                <w:webHidden/>
              </w:rPr>
              <w:t>4</w:t>
            </w:r>
            <w:r w:rsidR="00E32178" w:rsidRPr="00E32178">
              <w:rPr>
                <w:noProof/>
                <w:webHidden/>
              </w:rPr>
              <w:fldChar w:fldCharType="end"/>
            </w:r>
          </w:hyperlink>
        </w:p>
        <w:p w14:paraId="707B87FC"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21" w:history="1">
            <w:r w:rsidR="00E32178" w:rsidRPr="00E32178">
              <w:rPr>
                <w:rStyle w:val="Hipervnculo"/>
                <w:rFonts w:eastAsiaTheme="majorEastAsia"/>
                <w:noProof/>
                <w:color w:val="auto"/>
              </w:rPr>
              <w:t>e) Manifestaciones de la Parte Recurrente</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_Toc203626721 \h </w:instrText>
            </w:r>
            <w:r w:rsidR="00E32178" w:rsidRPr="00E32178">
              <w:rPr>
                <w:noProof/>
                <w:webHidden/>
              </w:rPr>
            </w:r>
            <w:r w:rsidR="00E32178" w:rsidRPr="00E32178">
              <w:rPr>
                <w:noProof/>
                <w:webHidden/>
              </w:rPr>
              <w:fldChar w:fldCharType="separate"/>
            </w:r>
            <w:r w:rsidR="00E32178" w:rsidRPr="00E32178">
              <w:rPr>
                <w:noProof/>
                <w:webHidden/>
              </w:rPr>
              <w:t>4</w:t>
            </w:r>
            <w:r w:rsidR="00E32178" w:rsidRPr="00E32178">
              <w:rPr>
                <w:noProof/>
                <w:webHidden/>
              </w:rPr>
              <w:fldChar w:fldCharType="end"/>
            </w:r>
          </w:hyperlink>
        </w:p>
        <w:p w14:paraId="4E1CC648"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22" w:history="1">
            <w:r w:rsidR="00E32178" w:rsidRPr="00E32178">
              <w:rPr>
                <w:rStyle w:val="Hipervnculo"/>
                <w:rFonts w:eastAsiaTheme="majorEastAsia"/>
                <w:noProof/>
                <w:color w:val="auto"/>
              </w:rPr>
              <w:t>f) Ampliación de plazo para resolver el Recurso de Revisión</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_Toc203626722 \h </w:instrText>
            </w:r>
            <w:r w:rsidR="00E32178" w:rsidRPr="00E32178">
              <w:rPr>
                <w:noProof/>
                <w:webHidden/>
              </w:rPr>
            </w:r>
            <w:r w:rsidR="00E32178" w:rsidRPr="00E32178">
              <w:rPr>
                <w:noProof/>
                <w:webHidden/>
              </w:rPr>
              <w:fldChar w:fldCharType="separate"/>
            </w:r>
            <w:r w:rsidR="00E32178" w:rsidRPr="00E32178">
              <w:rPr>
                <w:noProof/>
                <w:webHidden/>
              </w:rPr>
              <w:t>4</w:t>
            </w:r>
            <w:r w:rsidR="00E32178" w:rsidRPr="00E32178">
              <w:rPr>
                <w:noProof/>
                <w:webHidden/>
              </w:rPr>
              <w:fldChar w:fldCharType="end"/>
            </w:r>
          </w:hyperlink>
        </w:p>
        <w:p w14:paraId="40EF9C30"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23" w:history="1">
            <w:r w:rsidR="00E32178" w:rsidRPr="00E32178">
              <w:rPr>
                <w:rStyle w:val="Hipervnculo"/>
                <w:rFonts w:eastAsiaTheme="majorEastAsia"/>
                <w:noProof/>
                <w:color w:val="auto"/>
              </w:rPr>
              <w:t>g) Cierre de instrucción</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_Toc203626723 \h </w:instrText>
            </w:r>
            <w:r w:rsidR="00E32178" w:rsidRPr="00E32178">
              <w:rPr>
                <w:noProof/>
                <w:webHidden/>
              </w:rPr>
            </w:r>
            <w:r w:rsidR="00E32178" w:rsidRPr="00E32178">
              <w:rPr>
                <w:noProof/>
                <w:webHidden/>
              </w:rPr>
              <w:fldChar w:fldCharType="separate"/>
            </w:r>
            <w:r w:rsidR="00E32178" w:rsidRPr="00E32178">
              <w:rPr>
                <w:noProof/>
                <w:webHidden/>
              </w:rPr>
              <w:t>7</w:t>
            </w:r>
            <w:r w:rsidR="00E32178" w:rsidRPr="00E32178">
              <w:rPr>
                <w:noProof/>
                <w:webHidden/>
              </w:rPr>
              <w:fldChar w:fldCharType="end"/>
            </w:r>
          </w:hyperlink>
        </w:p>
        <w:p w14:paraId="4347A3B8" w14:textId="77777777" w:rsidR="00E32178" w:rsidRPr="00E32178" w:rsidRDefault="00000000" w:rsidP="00E32178">
          <w:pPr>
            <w:pStyle w:val="TDC1"/>
            <w:tabs>
              <w:tab w:val="right" w:leader="dot" w:pos="9034"/>
            </w:tabs>
            <w:rPr>
              <w:rFonts w:asciiTheme="minorHAnsi" w:eastAsiaTheme="minorEastAsia" w:hAnsiTheme="minorHAnsi" w:cstheme="minorBidi"/>
              <w:noProof/>
              <w:szCs w:val="22"/>
              <w:lang w:eastAsia="es-MX"/>
            </w:rPr>
          </w:pPr>
          <w:hyperlink w:anchor="_Toc203626724" w:history="1">
            <w:r w:rsidR="00E32178" w:rsidRPr="00E32178">
              <w:rPr>
                <w:rStyle w:val="Hipervnculo"/>
                <w:rFonts w:eastAsiaTheme="majorEastAsia"/>
                <w:noProof/>
                <w:color w:val="auto"/>
              </w:rPr>
              <w:t>CONSIDERANDOS</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_Toc203626724 \h </w:instrText>
            </w:r>
            <w:r w:rsidR="00E32178" w:rsidRPr="00E32178">
              <w:rPr>
                <w:noProof/>
                <w:webHidden/>
              </w:rPr>
            </w:r>
            <w:r w:rsidR="00E32178" w:rsidRPr="00E32178">
              <w:rPr>
                <w:noProof/>
                <w:webHidden/>
              </w:rPr>
              <w:fldChar w:fldCharType="separate"/>
            </w:r>
            <w:r w:rsidR="00E32178" w:rsidRPr="00E32178">
              <w:rPr>
                <w:noProof/>
                <w:webHidden/>
              </w:rPr>
              <w:t>8</w:t>
            </w:r>
            <w:r w:rsidR="00E32178" w:rsidRPr="00E32178">
              <w:rPr>
                <w:noProof/>
                <w:webHidden/>
              </w:rPr>
              <w:fldChar w:fldCharType="end"/>
            </w:r>
          </w:hyperlink>
        </w:p>
        <w:p w14:paraId="2E60B238" w14:textId="77777777" w:rsidR="00E32178" w:rsidRPr="00E32178" w:rsidRDefault="00000000" w:rsidP="00E32178">
          <w:pPr>
            <w:pStyle w:val="TDC2"/>
            <w:rPr>
              <w:rFonts w:asciiTheme="minorHAnsi" w:eastAsiaTheme="minorEastAsia" w:hAnsiTheme="minorHAnsi" w:cstheme="minorBidi"/>
              <w:noProof/>
              <w:szCs w:val="22"/>
              <w:lang w:eastAsia="es-MX"/>
            </w:rPr>
          </w:pPr>
          <w:hyperlink w:anchor="_Toc203626725" w:history="1">
            <w:r w:rsidR="00E32178" w:rsidRPr="00E32178">
              <w:rPr>
                <w:rStyle w:val="Hipervnculo"/>
                <w:rFonts w:eastAsiaTheme="majorEastAsia"/>
                <w:noProof/>
                <w:color w:val="auto"/>
              </w:rPr>
              <w:t>PRIMERO. Procedibilidad</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_Toc203626725 \h </w:instrText>
            </w:r>
            <w:r w:rsidR="00E32178" w:rsidRPr="00E32178">
              <w:rPr>
                <w:noProof/>
                <w:webHidden/>
              </w:rPr>
            </w:r>
            <w:r w:rsidR="00E32178" w:rsidRPr="00E32178">
              <w:rPr>
                <w:noProof/>
                <w:webHidden/>
              </w:rPr>
              <w:fldChar w:fldCharType="separate"/>
            </w:r>
            <w:r w:rsidR="00E32178" w:rsidRPr="00E32178">
              <w:rPr>
                <w:noProof/>
                <w:webHidden/>
              </w:rPr>
              <w:t>8</w:t>
            </w:r>
            <w:r w:rsidR="00E32178" w:rsidRPr="00E32178">
              <w:rPr>
                <w:noProof/>
                <w:webHidden/>
              </w:rPr>
              <w:fldChar w:fldCharType="end"/>
            </w:r>
          </w:hyperlink>
        </w:p>
        <w:p w14:paraId="4EA1E928"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26" w:history="1">
            <w:r w:rsidR="00E32178" w:rsidRPr="00E32178">
              <w:rPr>
                <w:rStyle w:val="Hipervnculo"/>
                <w:rFonts w:eastAsiaTheme="majorEastAsia"/>
                <w:noProof/>
                <w:color w:val="auto"/>
              </w:rPr>
              <w:t>a) Competencia del Instituto</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_Toc203626726 \h </w:instrText>
            </w:r>
            <w:r w:rsidR="00E32178" w:rsidRPr="00E32178">
              <w:rPr>
                <w:noProof/>
                <w:webHidden/>
              </w:rPr>
            </w:r>
            <w:r w:rsidR="00E32178" w:rsidRPr="00E32178">
              <w:rPr>
                <w:noProof/>
                <w:webHidden/>
              </w:rPr>
              <w:fldChar w:fldCharType="separate"/>
            </w:r>
            <w:r w:rsidR="00E32178" w:rsidRPr="00E32178">
              <w:rPr>
                <w:noProof/>
                <w:webHidden/>
              </w:rPr>
              <w:t>8</w:t>
            </w:r>
            <w:r w:rsidR="00E32178" w:rsidRPr="00E32178">
              <w:rPr>
                <w:noProof/>
                <w:webHidden/>
              </w:rPr>
              <w:fldChar w:fldCharType="end"/>
            </w:r>
          </w:hyperlink>
        </w:p>
        <w:p w14:paraId="347A8311"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27" w:history="1">
            <w:r w:rsidR="00E32178" w:rsidRPr="00E32178">
              <w:rPr>
                <w:rStyle w:val="Hipervnculo"/>
                <w:rFonts w:eastAsiaTheme="majorEastAsia"/>
                <w:noProof/>
                <w:color w:val="auto"/>
              </w:rPr>
              <w:t>b) Legitimidad de la parte recurrente</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_Toc203626727 \h </w:instrText>
            </w:r>
            <w:r w:rsidR="00E32178" w:rsidRPr="00E32178">
              <w:rPr>
                <w:noProof/>
                <w:webHidden/>
              </w:rPr>
            </w:r>
            <w:r w:rsidR="00E32178" w:rsidRPr="00E32178">
              <w:rPr>
                <w:noProof/>
                <w:webHidden/>
              </w:rPr>
              <w:fldChar w:fldCharType="separate"/>
            </w:r>
            <w:r w:rsidR="00E32178" w:rsidRPr="00E32178">
              <w:rPr>
                <w:noProof/>
                <w:webHidden/>
              </w:rPr>
              <w:t>8</w:t>
            </w:r>
            <w:r w:rsidR="00E32178" w:rsidRPr="00E32178">
              <w:rPr>
                <w:noProof/>
                <w:webHidden/>
              </w:rPr>
              <w:fldChar w:fldCharType="end"/>
            </w:r>
          </w:hyperlink>
        </w:p>
        <w:p w14:paraId="5B02ED5A"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28" w:history="1">
            <w:r w:rsidR="00E32178" w:rsidRPr="00E32178">
              <w:rPr>
                <w:rStyle w:val="Hipervnculo"/>
                <w:rFonts w:eastAsiaTheme="majorEastAsia"/>
                <w:noProof/>
                <w:color w:val="auto"/>
              </w:rPr>
              <w:t>c) Plazo para interponer el recurso</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_Toc203626728 \h </w:instrText>
            </w:r>
            <w:r w:rsidR="00E32178" w:rsidRPr="00E32178">
              <w:rPr>
                <w:noProof/>
                <w:webHidden/>
              </w:rPr>
            </w:r>
            <w:r w:rsidR="00E32178" w:rsidRPr="00E32178">
              <w:rPr>
                <w:noProof/>
                <w:webHidden/>
              </w:rPr>
              <w:fldChar w:fldCharType="separate"/>
            </w:r>
            <w:r w:rsidR="00E32178" w:rsidRPr="00E32178">
              <w:rPr>
                <w:noProof/>
                <w:webHidden/>
              </w:rPr>
              <w:t>9</w:t>
            </w:r>
            <w:r w:rsidR="00E32178" w:rsidRPr="00E32178">
              <w:rPr>
                <w:noProof/>
                <w:webHidden/>
              </w:rPr>
              <w:fldChar w:fldCharType="end"/>
            </w:r>
          </w:hyperlink>
        </w:p>
        <w:p w14:paraId="1A588F28"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29" w:history="1">
            <w:r w:rsidR="00E32178" w:rsidRPr="00E32178">
              <w:rPr>
                <w:rStyle w:val="Hipervnculo"/>
                <w:rFonts w:eastAsiaTheme="majorEastAsia"/>
                <w:noProof/>
                <w:color w:val="auto"/>
              </w:rPr>
              <w:t>d) Causales de Procedencia</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_Toc203626729 \h </w:instrText>
            </w:r>
            <w:r w:rsidR="00E32178" w:rsidRPr="00E32178">
              <w:rPr>
                <w:noProof/>
                <w:webHidden/>
              </w:rPr>
            </w:r>
            <w:r w:rsidR="00E32178" w:rsidRPr="00E32178">
              <w:rPr>
                <w:noProof/>
                <w:webHidden/>
              </w:rPr>
              <w:fldChar w:fldCharType="separate"/>
            </w:r>
            <w:r w:rsidR="00E32178" w:rsidRPr="00E32178">
              <w:rPr>
                <w:noProof/>
                <w:webHidden/>
              </w:rPr>
              <w:t>9</w:t>
            </w:r>
            <w:r w:rsidR="00E32178" w:rsidRPr="00E32178">
              <w:rPr>
                <w:noProof/>
                <w:webHidden/>
              </w:rPr>
              <w:fldChar w:fldCharType="end"/>
            </w:r>
          </w:hyperlink>
        </w:p>
        <w:p w14:paraId="5278B5DD"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30" w:history="1">
            <w:r w:rsidR="00E32178" w:rsidRPr="00E32178">
              <w:rPr>
                <w:rStyle w:val="Hipervnculo"/>
                <w:rFonts w:eastAsiaTheme="majorEastAsia"/>
                <w:noProof/>
                <w:color w:val="auto"/>
              </w:rPr>
              <w:t>e) Requisitos formales para la interposición del recurso</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_Toc203626730 \h </w:instrText>
            </w:r>
            <w:r w:rsidR="00E32178" w:rsidRPr="00E32178">
              <w:rPr>
                <w:noProof/>
                <w:webHidden/>
              </w:rPr>
            </w:r>
            <w:r w:rsidR="00E32178" w:rsidRPr="00E32178">
              <w:rPr>
                <w:noProof/>
                <w:webHidden/>
              </w:rPr>
              <w:fldChar w:fldCharType="separate"/>
            </w:r>
            <w:r w:rsidR="00E32178" w:rsidRPr="00E32178">
              <w:rPr>
                <w:noProof/>
                <w:webHidden/>
              </w:rPr>
              <w:t>9</w:t>
            </w:r>
            <w:r w:rsidR="00E32178" w:rsidRPr="00E32178">
              <w:rPr>
                <w:noProof/>
                <w:webHidden/>
              </w:rPr>
              <w:fldChar w:fldCharType="end"/>
            </w:r>
          </w:hyperlink>
        </w:p>
        <w:p w14:paraId="7BE5D24C" w14:textId="77777777" w:rsidR="00E32178" w:rsidRPr="00E32178" w:rsidRDefault="00000000" w:rsidP="00E32178">
          <w:pPr>
            <w:pStyle w:val="TDC2"/>
            <w:rPr>
              <w:rFonts w:asciiTheme="minorHAnsi" w:eastAsiaTheme="minorEastAsia" w:hAnsiTheme="minorHAnsi" w:cstheme="minorBidi"/>
              <w:noProof/>
              <w:szCs w:val="22"/>
              <w:lang w:eastAsia="es-MX"/>
            </w:rPr>
          </w:pPr>
          <w:hyperlink w:anchor="_Toc203626731" w:history="1">
            <w:r w:rsidR="00E32178" w:rsidRPr="00E32178">
              <w:rPr>
                <w:rStyle w:val="Hipervnculo"/>
                <w:rFonts w:eastAsiaTheme="majorEastAsia"/>
                <w:noProof/>
                <w:color w:val="auto"/>
              </w:rPr>
              <w:t>SEGUNDO. Estudio de Fondo</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_Toc203626731 \h </w:instrText>
            </w:r>
            <w:r w:rsidR="00E32178" w:rsidRPr="00E32178">
              <w:rPr>
                <w:noProof/>
                <w:webHidden/>
              </w:rPr>
            </w:r>
            <w:r w:rsidR="00E32178" w:rsidRPr="00E32178">
              <w:rPr>
                <w:noProof/>
                <w:webHidden/>
              </w:rPr>
              <w:fldChar w:fldCharType="separate"/>
            </w:r>
            <w:r w:rsidR="00E32178" w:rsidRPr="00E32178">
              <w:rPr>
                <w:noProof/>
                <w:webHidden/>
              </w:rPr>
              <w:t>10</w:t>
            </w:r>
            <w:r w:rsidR="00E32178" w:rsidRPr="00E32178">
              <w:rPr>
                <w:noProof/>
                <w:webHidden/>
              </w:rPr>
              <w:fldChar w:fldCharType="end"/>
            </w:r>
          </w:hyperlink>
        </w:p>
        <w:p w14:paraId="3AC1A6D8"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32" w:history="1">
            <w:r w:rsidR="00E32178" w:rsidRPr="00E32178">
              <w:rPr>
                <w:rStyle w:val="Hipervnculo"/>
                <w:rFonts w:eastAsiaTheme="majorEastAsia"/>
                <w:noProof/>
                <w:color w:val="auto"/>
              </w:rPr>
              <w:t>a) Mandato de transparencia y responsabilidad del Sujeto Obligado</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_Toc203626732 \h </w:instrText>
            </w:r>
            <w:r w:rsidR="00E32178" w:rsidRPr="00E32178">
              <w:rPr>
                <w:noProof/>
                <w:webHidden/>
              </w:rPr>
            </w:r>
            <w:r w:rsidR="00E32178" w:rsidRPr="00E32178">
              <w:rPr>
                <w:noProof/>
                <w:webHidden/>
              </w:rPr>
              <w:fldChar w:fldCharType="separate"/>
            </w:r>
            <w:r w:rsidR="00E32178" w:rsidRPr="00E32178">
              <w:rPr>
                <w:noProof/>
                <w:webHidden/>
              </w:rPr>
              <w:t>10</w:t>
            </w:r>
            <w:r w:rsidR="00E32178" w:rsidRPr="00E32178">
              <w:rPr>
                <w:noProof/>
                <w:webHidden/>
              </w:rPr>
              <w:fldChar w:fldCharType="end"/>
            </w:r>
          </w:hyperlink>
        </w:p>
        <w:p w14:paraId="322A826A"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33" w:history="1">
            <w:r w:rsidR="00E32178" w:rsidRPr="00E32178">
              <w:rPr>
                <w:rStyle w:val="Hipervnculo"/>
                <w:rFonts w:eastAsiaTheme="majorEastAsia"/>
                <w:noProof/>
                <w:color w:val="auto"/>
              </w:rPr>
              <w:t>b) Controversia a resolver</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_Toc203626733 \h </w:instrText>
            </w:r>
            <w:r w:rsidR="00E32178" w:rsidRPr="00E32178">
              <w:rPr>
                <w:noProof/>
                <w:webHidden/>
              </w:rPr>
            </w:r>
            <w:r w:rsidR="00E32178" w:rsidRPr="00E32178">
              <w:rPr>
                <w:noProof/>
                <w:webHidden/>
              </w:rPr>
              <w:fldChar w:fldCharType="separate"/>
            </w:r>
            <w:r w:rsidR="00E32178" w:rsidRPr="00E32178">
              <w:rPr>
                <w:noProof/>
                <w:webHidden/>
              </w:rPr>
              <w:t>13</w:t>
            </w:r>
            <w:r w:rsidR="00E32178" w:rsidRPr="00E32178">
              <w:rPr>
                <w:noProof/>
                <w:webHidden/>
              </w:rPr>
              <w:fldChar w:fldCharType="end"/>
            </w:r>
          </w:hyperlink>
        </w:p>
        <w:p w14:paraId="23D9DD19"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34" w:history="1">
            <w:r w:rsidR="00E32178" w:rsidRPr="00E32178">
              <w:rPr>
                <w:rStyle w:val="Hipervnculo"/>
                <w:rFonts w:eastAsiaTheme="majorEastAsia"/>
                <w:noProof/>
                <w:color w:val="auto"/>
              </w:rPr>
              <w:t>c) Estudio de la controversia</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_Toc203626734 \h </w:instrText>
            </w:r>
            <w:r w:rsidR="00E32178" w:rsidRPr="00E32178">
              <w:rPr>
                <w:noProof/>
                <w:webHidden/>
              </w:rPr>
            </w:r>
            <w:r w:rsidR="00E32178" w:rsidRPr="00E32178">
              <w:rPr>
                <w:noProof/>
                <w:webHidden/>
              </w:rPr>
              <w:fldChar w:fldCharType="separate"/>
            </w:r>
            <w:r w:rsidR="00E32178" w:rsidRPr="00E32178">
              <w:rPr>
                <w:noProof/>
                <w:webHidden/>
              </w:rPr>
              <w:t>14</w:t>
            </w:r>
            <w:r w:rsidR="00E32178" w:rsidRPr="00E32178">
              <w:rPr>
                <w:noProof/>
                <w:webHidden/>
              </w:rPr>
              <w:fldChar w:fldCharType="end"/>
            </w:r>
          </w:hyperlink>
        </w:p>
        <w:p w14:paraId="7803D195"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35" w:history="1">
            <w:r w:rsidR="00E32178" w:rsidRPr="00E32178">
              <w:rPr>
                <w:rStyle w:val="Hipervnculo"/>
                <w:rFonts w:eastAsiaTheme="majorEastAsia"/>
                <w:noProof/>
                <w:color w:val="auto"/>
              </w:rPr>
              <w:t>d) Versión pública</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_Toc203626735 \h </w:instrText>
            </w:r>
            <w:r w:rsidR="00E32178" w:rsidRPr="00E32178">
              <w:rPr>
                <w:noProof/>
                <w:webHidden/>
              </w:rPr>
            </w:r>
            <w:r w:rsidR="00E32178" w:rsidRPr="00E32178">
              <w:rPr>
                <w:noProof/>
                <w:webHidden/>
              </w:rPr>
              <w:fldChar w:fldCharType="separate"/>
            </w:r>
            <w:r w:rsidR="00E32178" w:rsidRPr="00E32178">
              <w:rPr>
                <w:noProof/>
                <w:webHidden/>
              </w:rPr>
              <w:t>24</w:t>
            </w:r>
            <w:r w:rsidR="00E32178" w:rsidRPr="00E32178">
              <w:rPr>
                <w:noProof/>
                <w:webHidden/>
              </w:rPr>
              <w:fldChar w:fldCharType="end"/>
            </w:r>
          </w:hyperlink>
        </w:p>
        <w:p w14:paraId="458C4899" w14:textId="77777777" w:rsidR="00E32178" w:rsidRPr="00E32178" w:rsidRDefault="00000000" w:rsidP="00E32178">
          <w:pPr>
            <w:pStyle w:val="TDC3"/>
            <w:rPr>
              <w:rFonts w:asciiTheme="minorHAnsi" w:eastAsiaTheme="minorEastAsia" w:hAnsiTheme="minorHAnsi" w:cstheme="minorBidi"/>
              <w:noProof/>
              <w:szCs w:val="22"/>
              <w:lang w:eastAsia="es-MX"/>
            </w:rPr>
          </w:pPr>
          <w:hyperlink w:anchor="_Toc203626736" w:history="1">
            <w:r w:rsidR="00E32178" w:rsidRPr="00E32178">
              <w:rPr>
                <w:rStyle w:val="Hipervnculo"/>
                <w:rFonts w:eastAsiaTheme="majorEastAsia"/>
                <w:noProof/>
                <w:color w:val="auto"/>
              </w:rPr>
              <w:t>e) Conclusión</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_Toc203626736 \h </w:instrText>
            </w:r>
            <w:r w:rsidR="00E32178" w:rsidRPr="00E32178">
              <w:rPr>
                <w:noProof/>
                <w:webHidden/>
              </w:rPr>
            </w:r>
            <w:r w:rsidR="00E32178" w:rsidRPr="00E32178">
              <w:rPr>
                <w:noProof/>
                <w:webHidden/>
              </w:rPr>
              <w:fldChar w:fldCharType="separate"/>
            </w:r>
            <w:r w:rsidR="00E32178" w:rsidRPr="00E32178">
              <w:rPr>
                <w:noProof/>
                <w:webHidden/>
              </w:rPr>
              <w:t>32</w:t>
            </w:r>
            <w:r w:rsidR="00E32178" w:rsidRPr="00E32178">
              <w:rPr>
                <w:noProof/>
                <w:webHidden/>
              </w:rPr>
              <w:fldChar w:fldCharType="end"/>
            </w:r>
          </w:hyperlink>
        </w:p>
        <w:p w14:paraId="31C9FF02" w14:textId="77777777" w:rsidR="00D01F96" w:rsidRPr="00E32178" w:rsidRDefault="00000000" w:rsidP="00E32178">
          <w:pPr>
            <w:pStyle w:val="TDC1"/>
            <w:tabs>
              <w:tab w:val="right" w:leader="dot" w:pos="9034"/>
            </w:tabs>
          </w:pPr>
          <w:hyperlink w:anchor="_Toc203626737" w:history="1">
            <w:r w:rsidR="00E32178" w:rsidRPr="00E32178">
              <w:rPr>
                <w:rStyle w:val="Hipervnculo"/>
                <w:rFonts w:eastAsiaTheme="majorEastAsia"/>
                <w:noProof/>
                <w:color w:val="auto"/>
              </w:rPr>
              <w:t>RESUELVE</w:t>
            </w:r>
            <w:r w:rsidR="00E32178" w:rsidRPr="00E32178">
              <w:rPr>
                <w:noProof/>
                <w:webHidden/>
              </w:rPr>
              <w:tab/>
            </w:r>
            <w:r w:rsidR="00E32178" w:rsidRPr="00E32178">
              <w:rPr>
                <w:noProof/>
                <w:webHidden/>
              </w:rPr>
              <w:fldChar w:fldCharType="begin"/>
            </w:r>
            <w:r w:rsidR="00E32178" w:rsidRPr="00E32178">
              <w:rPr>
                <w:noProof/>
                <w:webHidden/>
              </w:rPr>
              <w:instrText xml:space="preserve"> PAGEREF _Toc203626737 \h </w:instrText>
            </w:r>
            <w:r w:rsidR="00E32178" w:rsidRPr="00E32178">
              <w:rPr>
                <w:noProof/>
                <w:webHidden/>
              </w:rPr>
            </w:r>
            <w:r w:rsidR="00E32178" w:rsidRPr="00E32178">
              <w:rPr>
                <w:noProof/>
                <w:webHidden/>
              </w:rPr>
              <w:fldChar w:fldCharType="separate"/>
            </w:r>
            <w:r w:rsidR="00E32178" w:rsidRPr="00E32178">
              <w:rPr>
                <w:noProof/>
                <w:webHidden/>
              </w:rPr>
              <w:t>32</w:t>
            </w:r>
            <w:r w:rsidR="00E32178" w:rsidRPr="00E32178">
              <w:rPr>
                <w:noProof/>
                <w:webHidden/>
              </w:rPr>
              <w:fldChar w:fldCharType="end"/>
            </w:r>
          </w:hyperlink>
          <w:r w:rsidR="00D01F96" w:rsidRPr="00E32178">
            <w:rPr>
              <w:b/>
              <w:bCs/>
              <w:lang w:val="es-ES"/>
            </w:rPr>
            <w:fldChar w:fldCharType="end"/>
          </w:r>
        </w:p>
      </w:sdtContent>
    </w:sdt>
    <w:p w14:paraId="2D48B902" w14:textId="77777777" w:rsidR="00894FBA" w:rsidRPr="00E32178" w:rsidRDefault="00894FBA" w:rsidP="00E32178">
      <w:pPr>
        <w:sectPr w:rsidR="00894FBA" w:rsidRPr="00E32178">
          <w:headerReference w:type="default" r:id="rId8"/>
          <w:footerReference w:type="default" r:id="rId9"/>
          <w:headerReference w:type="first" r:id="rId10"/>
          <w:pgSz w:w="12240" w:h="15840"/>
          <w:pgMar w:top="2552" w:right="1608" w:bottom="851" w:left="1588" w:header="709" w:footer="737" w:gutter="0"/>
          <w:pgNumType w:start="1"/>
          <w:cols w:space="720"/>
          <w:titlePg/>
        </w:sectPr>
      </w:pPr>
    </w:p>
    <w:p w14:paraId="59EE4DED" w14:textId="77777777" w:rsidR="00894FBA" w:rsidRPr="00E32178" w:rsidRDefault="008A5F01" w:rsidP="00E32178">
      <w:r w:rsidRPr="00E32178">
        <w:lastRenderedPageBreak/>
        <w:t xml:space="preserve">Resolución del Pleno del Instituto de Transparencia, Acceso a la Información Pública y Protección de Datos Personales del Estado de México y Municipios, con domicilio en Metepec, Estado de México, del </w:t>
      </w:r>
      <w:r w:rsidR="00FD4A08" w:rsidRPr="00E32178">
        <w:rPr>
          <w:b/>
        </w:rPr>
        <w:t>dieciséis</w:t>
      </w:r>
      <w:r w:rsidR="000C773B" w:rsidRPr="00E32178">
        <w:rPr>
          <w:b/>
        </w:rPr>
        <w:t xml:space="preserve"> de julio</w:t>
      </w:r>
      <w:r w:rsidRPr="00E32178">
        <w:rPr>
          <w:b/>
        </w:rPr>
        <w:t xml:space="preserve"> de dos mil veinticinco.</w:t>
      </w:r>
    </w:p>
    <w:p w14:paraId="263072E3" w14:textId="77777777" w:rsidR="00894FBA" w:rsidRPr="00E32178" w:rsidRDefault="00894FBA" w:rsidP="00E32178"/>
    <w:p w14:paraId="2BB4369F" w14:textId="77777777" w:rsidR="00894FBA" w:rsidRPr="00E32178" w:rsidRDefault="008A5F01" w:rsidP="00E32178">
      <w:r w:rsidRPr="00E32178">
        <w:rPr>
          <w:b/>
        </w:rPr>
        <w:t xml:space="preserve">VISTO </w:t>
      </w:r>
      <w:r w:rsidRPr="00E32178">
        <w:t xml:space="preserve">el expediente formado con motivo del Recurso de Revisión </w:t>
      </w:r>
      <w:r w:rsidR="00924628" w:rsidRPr="00E32178">
        <w:rPr>
          <w:b/>
        </w:rPr>
        <w:t>04732/INFOEM/IP/RR/2025</w:t>
      </w:r>
      <w:r w:rsidRPr="00E32178">
        <w:rPr>
          <w:b/>
        </w:rPr>
        <w:t xml:space="preserve"> </w:t>
      </w:r>
      <w:r w:rsidRPr="00E32178">
        <w:t xml:space="preserve">interpuesto por </w:t>
      </w:r>
      <w:r w:rsidR="00924628" w:rsidRPr="00E32178">
        <w:rPr>
          <w:b/>
        </w:rPr>
        <w:t>una persona de manera anónima</w:t>
      </w:r>
      <w:r w:rsidRPr="00E32178">
        <w:t xml:space="preserve">, a quien en lo subsecuente se le denominará </w:t>
      </w:r>
      <w:r w:rsidRPr="00E32178">
        <w:rPr>
          <w:b/>
        </w:rPr>
        <w:t>LA PARTE RECURRENTE</w:t>
      </w:r>
      <w:r w:rsidRPr="00E32178">
        <w:t xml:space="preserve">, en contra de la respuesta emitida por el </w:t>
      </w:r>
      <w:r w:rsidR="000857EA" w:rsidRPr="00E32178">
        <w:rPr>
          <w:b/>
        </w:rPr>
        <w:t>Ayuntamiento de Atizapán de Zaragoza</w:t>
      </w:r>
      <w:r w:rsidRPr="00E32178">
        <w:t xml:space="preserve">, en adelante </w:t>
      </w:r>
      <w:r w:rsidRPr="00E32178">
        <w:rPr>
          <w:b/>
        </w:rPr>
        <w:t>EL SUJETO OBLIGADO</w:t>
      </w:r>
      <w:r w:rsidRPr="00E32178">
        <w:t>, se emite la presente Resolución con base en los Antecedentes y Considerandos que se exponen a continuación:</w:t>
      </w:r>
    </w:p>
    <w:p w14:paraId="3BA04887" w14:textId="77777777" w:rsidR="00894FBA" w:rsidRPr="00E32178" w:rsidRDefault="00894FBA" w:rsidP="00E32178"/>
    <w:p w14:paraId="0F0B49EC" w14:textId="77777777" w:rsidR="00894FBA" w:rsidRPr="00E32178" w:rsidRDefault="008A5F01" w:rsidP="00E32178">
      <w:pPr>
        <w:pStyle w:val="Ttulo1"/>
      </w:pPr>
      <w:bookmarkStart w:id="2" w:name="_Toc203626711"/>
      <w:r w:rsidRPr="00E32178">
        <w:t>ANTECEDENTES</w:t>
      </w:r>
      <w:bookmarkEnd w:id="2"/>
    </w:p>
    <w:p w14:paraId="3F1FA545" w14:textId="77777777" w:rsidR="00894FBA" w:rsidRPr="00E32178" w:rsidRDefault="00894FBA" w:rsidP="00E32178"/>
    <w:p w14:paraId="3C142D4C" w14:textId="77777777" w:rsidR="00894FBA" w:rsidRPr="00E32178" w:rsidRDefault="008A5F01" w:rsidP="00E32178">
      <w:pPr>
        <w:pStyle w:val="Ttulo2"/>
        <w:jc w:val="left"/>
      </w:pPr>
      <w:bookmarkStart w:id="3" w:name="_Toc203626712"/>
      <w:r w:rsidRPr="00E32178">
        <w:t>DE LA SOLICITUD DE INFORMACIÓN</w:t>
      </w:r>
      <w:bookmarkEnd w:id="3"/>
    </w:p>
    <w:p w14:paraId="6D1A7F4B" w14:textId="77777777" w:rsidR="00894FBA" w:rsidRPr="00E32178" w:rsidRDefault="008A5F01" w:rsidP="00E32178">
      <w:pPr>
        <w:pStyle w:val="Ttulo3"/>
      </w:pPr>
      <w:bookmarkStart w:id="4" w:name="_Toc203626713"/>
      <w:r w:rsidRPr="00E32178">
        <w:t>a) Solicitud de información</w:t>
      </w:r>
      <w:bookmarkEnd w:id="4"/>
    </w:p>
    <w:p w14:paraId="2C92536A" w14:textId="77777777" w:rsidR="00894FBA" w:rsidRPr="00E32178" w:rsidRDefault="008A5F01" w:rsidP="00E32178">
      <w:pPr>
        <w:spacing w:after="240"/>
      </w:pPr>
      <w:bookmarkStart w:id="5" w:name="_heading=h.fx19n1k97ld" w:colFirst="0" w:colLast="0"/>
      <w:bookmarkEnd w:id="5"/>
      <w:r w:rsidRPr="00E32178">
        <w:t xml:space="preserve">El </w:t>
      </w:r>
      <w:r w:rsidR="00D37727" w:rsidRPr="00E32178">
        <w:rPr>
          <w:b/>
          <w:sz w:val="24"/>
        </w:rPr>
        <w:t>seis</w:t>
      </w:r>
      <w:r w:rsidR="001F2169" w:rsidRPr="00E32178">
        <w:rPr>
          <w:b/>
          <w:sz w:val="24"/>
        </w:rPr>
        <w:t xml:space="preserve"> </w:t>
      </w:r>
      <w:r w:rsidRPr="00E32178">
        <w:rPr>
          <w:b/>
        </w:rPr>
        <w:t>de marzo de dos mil veinticinco LA PARTE RECURRENTE</w:t>
      </w:r>
      <w:r w:rsidRPr="00E32178">
        <w:t xml:space="preserve"> presentó una solicitud de acceso a la información pública ante </w:t>
      </w:r>
      <w:r w:rsidRPr="00E32178">
        <w:rPr>
          <w:b/>
        </w:rPr>
        <w:t>EL</w:t>
      </w:r>
      <w:r w:rsidRPr="00E32178">
        <w:t xml:space="preserve"> </w:t>
      </w:r>
      <w:r w:rsidRPr="00E32178">
        <w:rPr>
          <w:b/>
        </w:rPr>
        <w:t>SUJETO OBLIGADO</w:t>
      </w:r>
      <w:r w:rsidRPr="00E32178">
        <w:t>, a través del Sistema de Acceso a la Información</w:t>
      </w:r>
      <w:r w:rsidRPr="00E32178">
        <w:rPr>
          <w:b/>
        </w:rPr>
        <w:t xml:space="preserve"> </w:t>
      </w:r>
      <w:r w:rsidRPr="00E32178">
        <w:t>(</w:t>
      </w:r>
      <w:r w:rsidRPr="00E32178">
        <w:rPr>
          <w:b/>
        </w:rPr>
        <w:t>SAIMEX</w:t>
      </w:r>
      <w:r w:rsidRPr="00E32178">
        <w:t>). Dicha solicitud quedó registrada con el número de folio</w:t>
      </w:r>
      <w:r w:rsidRPr="00E32178">
        <w:rPr>
          <w:b/>
        </w:rPr>
        <w:t xml:space="preserve"> </w:t>
      </w:r>
      <w:r w:rsidR="00924628" w:rsidRPr="00E32178">
        <w:rPr>
          <w:b/>
        </w:rPr>
        <w:t>00129/ATIZARA/IP/2025</w:t>
      </w:r>
      <w:r w:rsidRPr="00E32178">
        <w:rPr>
          <w:b/>
        </w:rPr>
        <w:t xml:space="preserve"> </w:t>
      </w:r>
      <w:r w:rsidRPr="00E32178">
        <w:t>y en ella se requirió la siguiente información:</w:t>
      </w:r>
    </w:p>
    <w:p w14:paraId="0496C408" w14:textId="77777777" w:rsidR="00894FBA" w:rsidRPr="00E32178" w:rsidRDefault="008A5F01" w:rsidP="00E32178">
      <w:pPr>
        <w:pStyle w:val="Ttulo"/>
        <w:ind w:left="851" w:right="822"/>
      </w:pPr>
      <w:r w:rsidRPr="00E32178">
        <w:t>“</w:t>
      </w:r>
      <w:r w:rsidR="00924628" w:rsidRPr="00E32178">
        <w:t>SOLCITO ME ENVIO EL INVENTARIO DE TODO EL PARQUE VEHICULAR DEL MUNICIPIO</w:t>
      </w:r>
      <w:r w:rsidRPr="00E32178">
        <w:t>” (Sic)</w:t>
      </w:r>
    </w:p>
    <w:p w14:paraId="26EB1510" w14:textId="77777777" w:rsidR="00894FBA" w:rsidRPr="00E32178" w:rsidRDefault="00894FBA" w:rsidP="00E32178"/>
    <w:p w14:paraId="2393DC75" w14:textId="77777777" w:rsidR="00894FBA" w:rsidRPr="00E32178" w:rsidRDefault="008A5F01" w:rsidP="00E32178">
      <w:pPr>
        <w:tabs>
          <w:tab w:val="left" w:pos="4667"/>
        </w:tabs>
        <w:ind w:left="567" w:right="567"/>
      </w:pPr>
      <w:r w:rsidRPr="00E32178">
        <w:rPr>
          <w:b/>
        </w:rPr>
        <w:t>Modalidad de entrega</w:t>
      </w:r>
      <w:r w:rsidRPr="00E32178">
        <w:t>: a</w:t>
      </w:r>
      <w:r w:rsidRPr="00E32178">
        <w:rPr>
          <w:i/>
        </w:rPr>
        <w:t xml:space="preserve"> través del </w:t>
      </w:r>
      <w:r w:rsidRPr="00E32178">
        <w:rPr>
          <w:b/>
          <w:i/>
        </w:rPr>
        <w:t>SAIMEX</w:t>
      </w:r>
      <w:r w:rsidRPr="00E32178">
        <w:rPr>
          <w:i/>
        </w:rPr>
        <w:t>.</w:t>
      </w:r>
    </w:p>
    <w:p w14:paraId="7A7D3F94" w14:textId="77777777" w:rsidR="00894FBA" w:rsidRPr="00E32178" w:rsidRDefault="00894FBA" w:rsidP="00E32178">
      <w:pPr>
        <w:ind w:right="-28"/>
        <w:rPr>
          <w:i/>
        </w:rPr>
      </w:pPr>
    </w:p>
    <w:p w14:paraId="31FD111E" w14:textId="77777777" w:rsidR="00D37727" w:rsidRPr="00E32178" w:rsidRDefault="00D37727" w:rsidP="00E32178">
      <w:pPr>
        <w:ind w:right="-28"/>
        <w:rPr>
          <w:i/>
        </w:rPr>
      </w:pPr>
    </w:p>
    <w:p w14:paraId="54868B95" w14:textId="77777777" w:rsidR="00D37727" w:rsidRPr="00E32178" w:rsidRDefault="00D37727" w:rsidP="00E32178">
      <w:pPr>
        <w:pStyle w:val="Ttulo3"/>
      </w:pPr>
      <w:bookmarkStart w:id="6" w:name="_Toc165402856"/>
      <w:bookmarkStart w:id="7" w:name="_Toc203626714"/>
      <w:r w:rsidRPr="00E32178">
        <w:lastRenderedPageBreak/>
        <w:t>b) Turno de la solicitud de información</w:t>
      </w:r>
      <w:bookmarkEnd w:id="6"/>
      <w:bookmarkEnd w:id="7"/>
    </w:p>
    <w:p w14:paraId="48A5AB3F" w14:textId="77777777" w:rsidR="00D37727" w:rsidRPr="00E32178" w:rsidRDefault="00D37727" w:rsidP="00E32178">
      <w:r w:rsidRPr="00E32178">
        <w:t xml:space="preserve">En cumplimiento al artículo 162 de la Ley de Transparencia y Acceso a la Información Pública del Estado de México y Municipios, el </w:t>
      </w:r>
      <w:r w:rsidRPr="00E32178">
        <w:rPr>
          <w:rFonts w:eastAsia="Palatino Linotype" w:cs="Palatino Linotype"/>
          <w:b/>
        </w:rPr>
        <w:t>s</w:t>
      </w:r>
      <w:r w:rsidR="00924628" w:rsidRPr="00E32178">
        <w:rPr>
          <w:rFonts w:eastAsia="Palatino Linotype" w:cs="Palatino Linotype"/>
          <w:b/>
        </w:rPr>
        <w:t>iete</w:t>
      </w:r>
      <w:r w:rsidRPr="00E32178">
        <w:rPr>
          <w:rFonts w:eastAsia="Palatino Linotype" w:cs="Palatino Linotype"/>
          <w:b/>
        </w:rPr>
        <w:t xml:space="preserve"> de marzo de dos mil veinticinco,</w:t>
      </w:r>
      <w:r w:rsidR="00924628" w:rsidRPr="00E32178">
        <w:t xml:space="preserve"> </w:t>
      </w:r>
      <w:r w:rsidRPr="00E32178">
        <w:t>l</w:t>
      </w:r>
      <w:r w:rsidR="00924628" w:rsidRPr="00E32178">
        <w:t>a</w:t>
      </w:r>
      <w:r w:rsidRPr="00E32178">
        <w:t xml:space="preserve"> Titular de la Unidad de Transparencia del </w:t>
      </w:r>
      <w:r w:rsidRPr="00E32178">
        <w:rPr>
          <w:b/>
        </w:rPr>
        <w:t>SUJETO OBLIGADO</w:t>
      </w:r>
      <w:r w:rsidRPr="00E32178">
        <w:t xml:space="preserve"> turnó la solicitud de información al servidor público habilitado que estimó pertinente.</w:t>
      </w:r>
    </w:p>
    <w:p w14:paraId="16A75ABE" w14:textId="77777777" w:rsidR="00D37727" w:rsidRPr="00E32178" w:rsidRDefault="00D37727" w:rsidP="00E32178">
      <w:pPr>
        <w:ind w:right="-28"/>
        <w:rPr>
          <w:i/>
        </w:rPr>
      </w:pPr>
    </w:p>
    <w:p w14:paraId="2D50F01C" w14:textId="77777777" w:rsidR="00894FBA" w:rsidRPr="00E32178" w:rsidRDefault="00D37727" w:rsidP="00E32178">
      <w:pPr>
        <w:pStyle w:val="Ttulo3"/>
      </w:pPr>
      <w:bookmarkStart w:id="8" w:name="_Toc165402857"/>
      <w:bookmarkStart w:id="9" w:name="_Toc203626715"/>
      <w:r w:rsidRPr="00E32178">
        <w:t xml:space="preserve">c) </w:t>
      </w:r>
      <w:bookmarkEnd w:id="8"/>
      <w:r w:rsidR="008A5F01" w:rsidRPr="00E32178">
        <w:t>Respuesta del Sujeto Obligado</w:t>
      </w:r>
      <w:bookmarkEnd w:id="9"/>
    </w:p>
    <w:p w14:paraId="151827C9" w14:textId="77777777" w:rsidR="00894FBA" w:rsidRPr="00E32178" w:rsidRDefault="008A5F01" w:rsidP="00E32178">
      <w:pPr>
        <w:pBdr>
          <w:top w:val="nil"/>
          <w:left w:val="nil"/>
          <w:bottom w:val="nil"/>
          <w:right w:val="nil"/>
          <w:between w:val="nil"/>
        </w:pBdr>
      </w:pPr>
      <w:r w:rsidRPr="00E32178">
        <w:t xml:space="preserve">El </w:t>
      </w:r>
      <w:r w:rsidR="00924628" w:rsidRPr="00E32178">
        <w:rPr>
          <w:b/>
        </w:rPr>
        <w:t>veintiocho</w:t>
      </w:r>
      <w:r w:rsidR="002E7B15" w:rsidRPr="00E32178">
        <w:rPr>
          <w:b/>
        </w:rPr>
        <w:t xml:space="preserve"> de </w:t>
      </w:r>
      <w:r w:rsidR="00FB090D" w:rsidRPr="00E32178">
        <w:rPr>
          <w:b/>
        </w:rPr>
        <w:t>marzo</w:t>
      </w:r>
      <w:r w:rsidR="002E7B15" w:rsidRPr="00E32178">
        <w:rPr>
          <w:b/>
        </w:rPr>
        <w:t xml:space="preserve"> </w:t>
      </w:r>
      <w:r w:rsidRPr="00E32178">
        <w:rPr>
          <w:b/>
        </w:rPr>
        <w:t>de dos mil veinticinco</w:t>
      </w:r>
      <w:r w:rsidR="00FB090D" w:rsidRPr="00E32178">
        <w:t xml:space="preserve">, </w:t>
      </w:r>
      <w:r w:rsidR="00A84C90" w:rsidRPr="00E32178">
        <w:t>l</w:t>
      </w:r>
      <w:r w:rsidR="00FB090D" w:rsidRPr="00E32178">
        <w:t>a</w:t>
      </w:r>
      <w:r w:rsidRPr="00E32178">
        <w:t xml:space="preserve"> Titular de la Unidad de Transparencia del </w:t>
      </w:r>
      <w:r w:rsidRPr="00E32178">
        <w:rPr>
          <w:b/>
        </w:rPr>
        <w:t>SUJETO OBLIGADO</w:t>
      </w:r>
      <w:r w:rsidRPr="00E32178">
        <w:t xml:space="preserve"> notificó la siguiente respuesta a través del </w:t>
      </w:r>
      <w:r w:rsidRPr="00E32178">
        <w:rPr>
          <w:b/>
        </w:rPr>
        <w:t>SAIMEX</w:t>
      </w:r>
      <w:r w:rsidRPr="00E32178">
        <w:t>:</w:t>
      </w:r>
    </w:p>
    <w:p w14:paraId="5ABAF3AE" w14:textId="77777777" w:rsidR="00894FBA" w:rsidRPr="00E32178" w:rsidRDefault="00894FBA" w:rsidP="00E32178">
      <w:pPr>
        <w:tabs>
          <w:tab w:val="left" w:pos="4667"/>
        </w:tabs>
        <w:ind w:left="567" w:right="567"/>
        <w:rPr>
          <w:b/>
        </w:rPr>
      </w:pPr>
    </w:p>
    <w:p w14:paraId="512333C0" w14:textId="77777777" w:rsidR="00FB090D" w:rsidRPr="00E32178" w:rsidRDefault="008A5F01" w:rsidP="00E32178">
      <w:pPr>
        <w:pStyle w:val="Ttulo"/>
        <w:ind w:left="851" w:right="822"/>
      </w:pPr>
      <w:r w:rsidRPr="00E32178">
        <w:t>“</w:t>
      </w:r>
      <w:r w:rsidR="00FB090D" w:rsidRPr="00E32178">
        <w:t>Folio de la solicitud: 00129/ATIZARA/IP/2025</w:t>
      </w:r>
    </w:p>
    <w:p w14:paraId="4E8528E9" w14:textId="77777777" w:rsidR="001A4F47" w:rsidRPr="00E32178" w:rsidRDefault="001A4F47" w:rsidP="00E32178"/>
    <w:p w14:paraId="657F5C84" w14:textId="77777777" w:rsidR="00FB090D" w:rsidRPr="00E32178" w:rsidRDefault="00FB090D" w:rsidP="00E32178">
      <w:pPr>
        <w:pStyle w:val="Ttulo"/>
        <w:ind w:left="851" w:right="822"/>
      </w:pPr>
      <w:r w:rsidRPr="00E32178">
        <w:t>En respuesta a la solicitud recibida, nos permitimos hacer de su conocimiento que con fundamento en el artículo 53, Fracciones: II, V y VI de la Ley de Transparencia y Acceso a la Información Pública del Estado de México y Municipios, le contestamos que:</w:t>
      </w:r>
    </w:p>
    <w:p w14:paraId="620D270B" w14:textId="77777777" w:rsidR="001A4F47" w:rsidRPr="00E32178" w:rsidRDefault="001A4F47" w:rsidP="00E32178"/>
    <w:p w14:paraId="2D9FAAD6" w14:textId="77777777" w:rsidR="00FB090D" w:rsidRPr="00E32178" w:rsidRDefault="00FB090D" w:rsidP="00E32178">
      <w:pPr>
        <w:pStyle w:val="Ttulo"/>
        <w:ind w:left="851" w:right="822"/>
      </w:pPr>
      <w:r w:rsidRPr="00E32178">
        <w:t xml:space="preserve">LIC. MARÍA FERNANDA ROA CASTRO TITULAR DE LA UNIDAD DE TRANSPARENCIA Y ACCESO A LA INFORMACIÓN PRESENTE Sirva el presente para enviarle un cordial saludo, asimismo en atención a la solicitud de información ingresada a través del Sistema de Acceso a la Información Mexiquense (SAIMEX), con folio 00129/ATIZARA/IP/2025, donde fue solicitado lo siguiente: “…SOLCITO ME ENVIO EL INVENTARIO DE TODO EL PARQUE VEHICULAR DEL MUNICIPIO…”. (sic) En respuesta a lo anterior, remito a usted en copia simple lo siguiente: </w:t>
      </w:r>
      <w:r w:rsidRPr="00E32178">
        <w:t> Oficio No. S.H.A./P.M./1486/2025, de fecha 13 de marzo del año dos mil veinticinco, suscrito por el Mtro. Morel Aguilar, Subsecretario de Patrimonio Municipal, adscrito a la Secretaría del Ayuntamiento. Dando así, respuesta en tiempo y forma a la información requerida. Sin otro particular, quedo de usted. A T E N T A M E N T E MTRO. EDMUNDO RAFAEL RANERO BARRERA SECRETARIO DEL AYUNTAMIENTO</w:t>
      </w:r>
    </w:p>
    <w:p w14:paraId="6169A56A" w14:textId="77777777" w:rsidR="001A4F47" w:rsidRPr="00E32178" w:rsidRDefault="001A4F47" w:rsidP="00E32178"/>
    <w:p w14:paraId="2CFBACE6" w14:textId="77777777" w:rsidR="00FB090D" w:rsidRPr="00E32178" w:rsidRDefault="00FB090D" w:rsidP="00E32178">
      <w:pPr>
        <w:pStyle w:val="Ttulo"/>
        <w:ind w:left="851" w:right="822"/>
      </w:pPr>
      <w:r w:rsidRPr="00E32178">
        <w:lastRenderedPageBreak/>
        <w:t>ATENTAMENTE</w:t>
      </w:r>
    </w:p>
    <w:p w14:paraId="4E24C1C7" w14:textId="77777777" w:rsidR="001A4F47" w:rsidRPr="00E32178" w:rsidRDefault="001A4F47" w:rsidP="00E32178"/>
    <w:p w14:paraId="732AE168" w14:textId="77777777" w:rsidR="00894FBA" w:rsidRPr="00E32178" w:rsidRDefault="00FB090D" w:rsidP="00E32178">
      <w:pPr>
        <w:pStyle w:val="Ttulo"/>
        <w:ind w:left="851" w:right="822"/>
      </w:pPr>
      <w:r w:rsidRPr="00E32178">
        <w:t>LIC. MARIA FERNANDA ROA CASTRO</w:t>
      </w:r>
      <w:r w:rsidR="008A5F01" w:rsidRPr="00E32178">
        <w:t>” (Sic)</w:t>
      </w:r>
    </w:p>
    <w:p w14:paraId="4F16451F" w14:textId="77777777" w:rsidR="00894FBA" w:rsidRPr="00E32178" w:rsidRDefault="00894FBA" w:rsidP="00E32178">
      <w:pPr>
        <w:ind w:right="-28"/>
      </w:pPr>
    </w:p>
    <w:p w14:paraId="2466974C" w14:textId="77777777" w:rsidR="00894FBA" w:rsidRPr="00E32178" w:rsidRDefault="008A5F01" w:rsidP="00E32178">
      <w:pPr>
        <w:spacing w:after="240"/>
      </w:pPr>
      <w:r w:rsidRPr="00E32178">
        <w:t xml:space="preserve">Asimismo, </w:t>
      </w:r>
      <w:r w:rsidRPr="00E32178">
        <w:rPr>
          <w:b/>
        </w:rPr>
        <w:t xml:space="preserve">EL SUJETO OBLIGADO </w:t>
      </w:r>
      <w:r w:rsidRPr="00E32178">
        <w:t xml:space="preserve">adjuntó a su respuesta </w:t>
      </w:r>
      <w:r w:rsidR="002E7B15" w:rsidRPr="00E32178">
        <w:t>el archivo</w:t>
      </w:r>
      <w:r w:rsidRPr="00E32178">
        <w:t xml:space="preserve"> electrónico</w:t>
      </w:r>
      <w:r w:rsidR="002E7B15" w:rsidRPr="00E32178">
        <w:t xml:space="preserve"> </w:t>
      </w:r>
      <w:r w:rsidR="0027241A" w:rsidRPr="00E32178">
        <w:t>denominado</w:t>
      </w:r>
      <w:r w:rsidR="002E7B15" w:rsidRPr="00E32178">
        <w:t xml:space="preserve"> </w:t>
      </w:r>
      <w:r w:rsidRPr="00E32178">
        <w:rPr>
          <w:rFonts w:eastAsia="Palatino Linotype" w:cs="Palatino Linotype"/>
          <w:b/>
          <w:i/>
          <w:szCs w:val="22"/>
        </w:rPr>
        <w:t>“</w:t>
      </w:r>
      <w:r w:rsidR="00FB090D" w:rsidRPr="00E32178">
        <w:rPr>
          <w:rFonts w:eastAsia="Palatino Linotype" w:cs="Palatino Linotype"/>
          <w:b/>
          <w:i/>
          <w:szCs w:val="22"/>
        </w:rPr>
        <w:t>SHA-PM-1486-2025 FOLIO 00129.pdf</w:t>
      </w:r>
      <w:r w:rsidRPr="00E32178">
        <w:rPr>
          <w:rFonts w:eastAsia="Palatino Linotype" w:cs="Palatino Linotype"/>
          <w:b/>
          <w:i/>
          <w:szCs w:val="22"/>
        </w:rPr>
        <w:t>”</w:t>
      </w:r>
      <w:r w:rsidRPr="00E32178">
        <w:rPr>
          <w:rFonts w:eastAsia="Palatino Linotype" w:cs="Palatino Linotype"/>
          <w:szCs w:val="22"/>
        </w:rPr>
        <w:t xml:space="preserve"> de cuyo contenido se advierte el oficio </w:t>
      </w:r>
      <w:r w:rsidR="00C45B03" w:rsidRPr="00E32178">
        <w:rPr>
          <w:rFonts w:eastAsia="Palatino Linotype" w:cs="Palatino Linotype"/>
          <w:szCs w:val="22"/>
        </w:rPr>
        <w:t>S</w:t>
      </w:r>
      <w:r w:rsidR="00FB090D" w:rsidRPr="00E32178">
        <w:rPr>
          <w:rFonts w:eastAsia="Palatino Linotype" w:cs="Palatino Linotype"/>
          <w:szCs w:val="22"/>
        </w:rPr>
        <w:t>.H.A./P.M.</w:t>
      </w:r>
      <w:r w:rsidR="00C45B03" w:rsidRPr="00E32178">
        <w:rPr>
          <w:rFonts w:eastAsia="Palatino Linotype" w:cs="Palatino Linotype"/>
          <w:szCs w:val="22"/>
        </w:rPr>
        <w:t>/MM/TM/180</w:t>
      </w:r>
      <w:r w:rsidR="002E7B15" w:rsidRPr="00E32178">
        <w:rPr>
          <w:rFonts w:eastAsia="Palatino Linotype" w:cs="Palatino Linotype"/>
          <w:szCs w:val="22"/>
        </w:rPr>
        <w:t>/2025</w:t>
      </w:r>
      <w:r w:rsidRPr="00E32178">
        <w:rPr>
          <w:rFonts w:eastAsia="Palatino Linotype" w:cs="Palatino Linotype"/>
          <w:szCs w:val="22"/>
        </w:rPr>
        <w:t xml:space="preserve"> del </w:t>
      </w:r>
      <w:r w:rsidR="00FB090D" w:rsidRPr="00E32178">
        <w:rPr>
          <w:rFonts w:eastAsia="Palatino Linotype" w:cs="Palatino Linotype"/>
          <w:szCs w:val="22"/>
        </w:rPr>
        <w:t>trece de marzo</w:t>
      </w:r>
      <w:r w:rsidRPr="00E32178">
        <w:rPr>
          <w:rFonts w:eastAsia="Palatino Linotype" w:cs="Palatino Linotype"/>
          <w:szCs w:val="22"/>
        </w:rPr>
        <w:t xml:space="preserve"> de dos mil veinticinco, dirigido a</w:t>
      </w:r>
      <w:r w:rsidR="00FB090D" w:rsidRPr="00E32178">
        <w:rPr>
          <w:rFonts w:eastAsia="Palatino Linotype" w:cs="Palatino Linotype"/>
          <w:szCs w:val="22"/>
        </w:rPr>
        <w:t>l Secretario de Ayuntamiento</w:t>
      </w:r>
      <w:r w:rsidRPr="00E32178">
        <w:rPr>
          <w:rFonts w:eastAsia="Palatino Linotype" w:cs="Palatino Linotype"/>
          <w:szCs w:val="22"/>
        </w:rPr>
        <w:t xml:space="preserve">, mediante el cual </w:t>
      </w:r>
      <w:r w:rsidR="00043C70" w:rsidRPr="00E32178">
        <w:rPr>
          <w:rFonts w:eastAsia="Palatino Linotype" w:cs="Palatino Linotype"/>
          <w:szCs w:val="22"/>
        </w:rPr>
        <w:t xml:space="preserve">el Subsecretario de Patrimonio Municipal </w:t>
      </w:r>
      <w:r w:rsidRPr="00E32178">
        <w:rPr>
          <w:rFonts w:eastAsia="Palatino Linotype" w:cs="Palatino Linotype"/>
          <w:szCs w:val="22"/>
        </w:rPr>
        <w:t>de manera sustancial</w:t>
      </w:r>
      <w:r w:rsidR="002E7B15" w:rsidRPr="00E32178">
        <w:rPr>
          <w:rFonts w:eastAsia="Palatino Linotype" w:cs="Palatino Linotype"/>
          <w:szCs w:val="22"/>
        </w:rPr>
        <w:t xml:space="preserve"> </w:t>
      </w:r>
      <w:r w:rsidR="00855FEE" w:rsidRPr="00E32178">
        <w:rPr>
          <w:rFonts w:eastAsia="Palatino Linotype" w:cs="Palatino Linotype"/>
          <w:szCs w:val="22"/>
        </w:rPr>
        <w:t xml:space="preserve">informa que la información referente al registro de las unidades vehiculares que son propiedad del municipio se encuentran en el portal de Transparencia en el apartado IPOMEX en la fracción correspondiente al inventario de bienes muebles </w:t>
      </w:r>
      <w:r w:rsidR="00B84F21" w:rsidRPr="00E32178">
        <w:rPr>
          <w:rFonts w:eastAsia="Palatino Linotype" w:cs="Palatino Linotype"/>
          <w:szCs w:val="22"/>
        </w:rPr>
        <w:t xml:space="preserve">es decir al artículo 92, fracción XXXVIII de la ley de la materia local </w:t>
      </w:r>
      <w:r w:rsidR="00855FEE" w:rsidRPr="00E32178">
        <w:rPr>
          <w:rFonts w:eastAsia="Palatino Linotype" w:cs="Palatino Linotype"/>
          <w:szCs w:val="22"/>
        </w:rPr>
        <w:t>aportando un link en formato cerrado.</w:t>
      </w:r>
    </w:p>
    <w:p w14:paraId="0EC6FAB5" w14:textId="77777777" w:rsidR="00894FBA" w:rsidRPr="00E32178" w:rsidRDefault="008A5F01" w:rsidP="00E32178">
      <w:pPr>
        <w:pStyle w:val="Ttulo2"/>
        <w:jc w:val="left"/>
      </w:pPr>
      <w:bookmarkStart w:id="10" w:name="_Toc203626716"/>
      <w:r w:rsidRPr="00E32178">
        <w:t>DEL RECURSO DE REVISIÓN</w:t>
      </w:r>
      <w:bookmarkEnd w:id="10"/>
    </w:p>
    <w:p w14:paraId="028C98CC" w14:textId="77777777" w:rsidR="00894FBA" w:rsidRPr="00E32178" w:rsidRDefault="008A5F01" w:rsidP="00E32178">
      <w:pPr>
        <w:pStyle w:val="Ttulo3"/>
      </w:pPr>
      <w:bookmarkStart w:id="11" w:name="_Toc203626717"/>
      <w:r w:rsidRPr="00E32178">
        <w:t>a) Interposición del Recurso de Revisión</w:t>
      </w:r>
      <w:bookmarkEnd w:id="11"/>
    </w:p>
    <w:p w14:paraId="66CE6F92" w14:textId="77777777" w:rsidR="00894FBA" w:rsidRPr="00E32178" w:rsidRDefault="008A5F01" w:rsidP="00E32178">
      <w:pPr>
        <w:spacing w:after="240"/>
        <w:ind w:right="-28"/>
      </w:pPr>
      <w:r w:rsidRPr="00E32178">
        <w:t xml:space="preserve">El </w:t>
      </w:r>
      <w:r w:rsidR="00855FEE" w:rsidRPr="00E32178">
        <w:rPr>
          <w:b/>
        </w:rPr>
        <w:t>veinticuatro</w:t>
      </w:r>
      <w:r w:rsidR="00FD2A72" w:rsidRPr="00E32178">
        <w:rPr>
          <w:b/>
        </w:rPr>
        <w:t xml:space="preserve"> de abril</w:t>
      </w:r>
      <w:r w:rsidRPr="00E32178">
        <w:rPr>
          <w:b/>
        </w:rPr>
        <w:t xml:space="preserve"> dos mil veinticinco,</w:t>
      </w:r>
      <w:r w:rsidRPr="00E32178">
        <w:t xml:space="preserve"> </w:t>
      </w:r>
      <w:r w:rsidRPr="00E32178">
        <w:rPr>
          <w:b/>
        </w:rPr>
        <w:t>LA PARTE RECURRENTE</w:t>
      </w:r>
      <w:r w:rsidRPr="00E32178">
        <w:t xml:space="preserve"> interpuso el recurso de revisión en contra de la respuesta del </w:t>
      </w:r>
      <w:r w:rsidRPr="00E32178">
        <w:rPr>
          <w:b/>
        </w:rPr>
        <w:t>SUJETO OBLIGADO</w:t>
      </w:r>
      <w:r w:rsidRPr="00E32178">
        <w:t xml:space="preserve">, mismo que fue registrado en </w:t>
      </w:r>
      <w:r w:rsidRPr="00E32178">
        <w:rPr>
          <w:b/>
        </w:rPr>
        <w:t>EL SAIMEX</w:t>
      </w:r>
      <w:r w:rsidRPr="00E32178">
        <w:t xml:space="preserve"> con el número de expediente </w:t>
      </w:r>
      <w:r w:rsidR="00924628" w:rsidRPr="00E32178">
        <w:rPr>
          <w:b/>
        </w:rPr>
        <w:t>04732/INFOEM/IP/RR/2025</w:t>
      </w:r>
      <w:r w:rsidRPr="00E32178">
        <w:t>, y en el cual manifiesta lo siguiente:</w:t>
      </w:r>
    </w:p>
    <w:p w14:paraId="189B2D5A" w14:textId="77777777" w:rsidR="00894FBA" w:rsidRPr="00E32178" w:rsidRDefault="008A5F01" w:rsidP="00E32178">
      <w:pPr>
        <w:tabs>
          <w:tab w:val="left" w:pos="4667"/>
        </w:tabs>
        <w:ind w:left="567" w:right="539"/>
        <w:rPr>
          <w:b/>
        </w:rPr>
      </w:pPr>
      <w:r w:rsidRPr="00E32178">
        <w:rPr>
          <w:b/>
        </w:rPr>
        <w:t>ACTO IMPUGNADO</w:t>
      </w:r>
    </w:p>
    <w:p w14:paraId="1427A319" w14:textId="77777777" w:rsidR="00894FBA" w:rsidRPr="00E32178" w:rsidRDefault="008A5F01" w:rsidP="00E32178">
      <w:pPr>
        <w:tabs>
          <w:tab w:val="left" w:pos="4667"/>
        </w:tabs>
        <w:spacing w:line="240" w:lineRule="auto"/>
        <w:ind w:left="567" w:right="539"/>
        <w:rPr>
          <w:i/>
        </w:rPr>
      </w:pPr>
      <w:r w:rsidRPr="00E32178">
        <w:rPr>
          <w:i/>
        </w:rPr>
        <w:t>“</w:t>
      </w:r>
      <w:r w:rsidR="00855FEE" w:rsidRPr="00E32178">
        <w:rPr>
          <w:i/>
        </w:rPr>
        <w:t>ME NIEGAN LA INFORMACION Y ME ENTREGAN INFORMACION Y ASI NO LA SOLICITE LA TITULAR DE TRANSPARENCIA NO CONOCE EL TEMA Y ENVIA CADA BARBARIDAD EN DESTIEMPO</w:t>
      </w:r>
      <w:r w:rsidRPr="00E32178">
        <w:rPr>
          <w:i/>
        </w:rPr>
        <w:t>” (Sic)</w:t>
      </w:r>
    </w:p>
    <w:p w14:paraId="4FA8C1E9" w14:textId="77777777" w:rsidR="00660ED7" w:rsidRPr="00E32178" w:rsidRDefault="00660ED7" w:rsidP="00E32178">
      <w:pPr>
        <w:tabs>
          <w:tab w:val="left" w:pos="4667"/>
        </w:tabs>
        <w:spacing w:line="240" w:lineRule="auto"/>
        <w:ind w:left="567" w:right="539"/>
        <w:rPr>
          <w:i/>
        </w:rPr>
      </w:pPr>
    </w:p>
    <w:p w14:paraId="1823DA98" w14:textId="77777777" w:rsidR="00894FBA" w:rsidRPr="00E32178" w:rsidRDefault="008A5F01" w:rsidP="00E32178">
      <w:pPr>
        <w:tabs>
          <w:tab w:val="left" w:pos="4667"/>
        </w:tabs>
        <w:spacing w:line="240" w:lineRule="auto"/>
        <w:ind w:left="567" w:right="539"/>
        <w:rPr>
          <w:b/>
        </w:rPr>
      </w:pPr>
      <w:r w:rsidRPr="00E32178">
        <w:rPr>
          <w:b/>
        </w:rPr>
        <w:t>RAZONES O MOTIVOS DE LA INCONFORMIDAD</w:t>
      </w:r>
    </w:p>
    <w:p w14:paraId="3285AF9E" w14:textId="77777777" w:rsidR="00894FBA" w:rsidRPr="00E32178" w:rsidRDefault="008A5F01" w:rsidP="00E32178">
      <w:pPr>
        <w:tabs>
          <w:tab w:val="left" w:pos="4667"/>
        </w:tabs>
        <w:spacing w:after="240" w:line="240" w:lineRule="auto"/>
        <w:ind w:left="567" w:right="539"/>
        <w:rPr>
          <w:i/>
        </w:rPr>
      </w:pPr>
      <w:r w:rsidRPr="00E32178">
        <w:rPr>
          <w:i/>
        </w:rPr>
        <w:t>“</w:t>
      </w:r>
      <w:r w:rsidR="00855FEE" w:rsidRPr="00E32178">
        <w:rPr>
          <w:i/>
        </w:rPr>
        <w:t>ME NIEGAN LA INFORMACION Y ME ENTREGAN INFORMACION Y ASI NO LA SOLICITE LA TITULAR DE TRANSPARENCIA NO CONOCE EL TEMA Y ENVIA CADA BARBARIDAD EN DESTIEMPO</w:t>
      </w:r>
      <w:r w:rsidRPr="00E32178">
        <w:rPr>
          <w:i/>
        </w:rPr>
        <w:t>” (Sic)</w:t>
      </w:r>
    </w:p>
    <w:p w14:paraId="4DAF154B" w14:textId="77777777" w:rsidR="00894FBA" w:rsidRPr="00E32178" w:rsidRDefault="008A5F01" w:rsidP="00E32178">
      <w:pPr>
        <w:pStyle w:val="Ttulo3"/>
      </w:pPr>
      <w:bookmarkStart w:id="12" w:name="_Toc203626718"/>
      <w:r w:rsidRPr="00E32178">
        <w:lastRenderedPageBreak/>
        <w:t>b) Turno del Recurso de Revisión</w:t>
      </w:r>
      <w:bookmarkEnd w:id="12"/>
    </w:p>
    <w:p w14:paraId="50D0B05E" w14:textId="77777777" w:rsidR="00894FBA" w:rsidRPr="00E32178" w:rsidRDefault="008A5F01" w:rsidP="00E32178">
      <w:pPr>
        <w:spacing w:after="240"/>
      </w:pPr>
      <w:r w:rsidRPr="00E32178">
        <w:t xml:space="preserve">Con fundamento en el artículo 185, fracción I de la Ley de Transparencia y Acceso a la Información Pública del Estado de México y Municipios, el </w:t>
      </w:r>
      <w:r w:rsidR="00855FEE" w:rsidRPr="00E32178">
        <w:rPr>
          <w:b/>
        </w:rPr>
        <w:t>veinticuatro</w:t>
      </w:r>
      <w:r w:rsidR="00096BC0" w:rsidRPr="00E32178">
        <w:rPr>
          <w:b/>
        </w:rPr>
        <w:t xml:space="preserve"> </w:t>
      </w:r>
      <w:r w:rsidRPr="00E32178">
        <w:rPr>
          <w:b/>
        </w:rPr>
        <w:t xml:space="preserve">de </w:t>
      </w:r>
      <w:r w:rsidR="00660ED7" w:rsidRPr="00E32178">
        <w:rPr>
          <w:b/>
        </w:rPr>
        <w:t>abril</w:t>
      </w:r>
      <w:r w:rsidRPr="00E32178">
        <w:rPr>
          <w:b/>
        </w:rPr>
        <w:t xml:space="preserve"> dos mil veinticinco,</w:t>
      </w:r>
      <w:r w:rsidRPr="00E32178">
        <w:t xml:space="preserve"> se turnó el recurso de revisión a través del SAIMEX a la </w:t>
      </w:r>
      <w:r w:rsidRPr="00E32178">
        <w:rPr>
          <w:b/>
        </w:rPr>
        <w:t>Comisionada Sharon Cristina Morales Martínez</w:t>
      </w:r>
      <w:r w:rsidRPr="00E32178">
        <w:t xml:space="preserve">, a efecto de decretar su admisión o desechamiento. </w:t>
      </w:r>
    </w:p>
    <w:p w14:paraId="710AE2FB" w14:textId="77777777" w:rsidR="00894FBA" w:rsidRPr="00E32178" w:rsidRDefault="008A5F01" w:rsidP="00E32178">
      <w:pPr>
        <w:pStyle w:val="Ttulo3"/>
      </w:pPr>
      <w:bookmarkStart w:id="13" w:name="_Toc203626719"/>
      <w:r w:rsidRPr="00E32178">
        <w:t>c) Admisión del Recurso de Revisión</w:t>
      </w:r>
      <w:bookmarkEnd w:id="13"/>
    </w:p>
    <w:p w14:paraId="49B2B969" w14:textId="77777777" w:rsidR="00894FBA" w:rsidRPr="00E32178" w:rsidRDefault="008A5F01" w:rsidP="00E32178">
      <w:pPr>
        <w:spacing w:after="240"/>
      </w:pPr>
      <w:r w:rsidRPr="00E32178">
        <w:t xml:space="preserve">El </w:t>
      </w:r>
      <w:r w:rsidR="00660ED7" w:rsidRPr="00E32178">
        <w:rPr>
          <w:b/>
        </w:rPr>
        <w:t>v</w:t>
      </w:r>
      <w:r w:rsidR="00855FEE" w:rsidRPr="00E32178">
        <w:rPr>
          <w:b/>
        </w:rPr>
        <w:t>eintinueve</w:t>
      </w:r>
      <w:r w:rsidR="00660ED7" w:rsidRPr="00E32178">
        <w:rPr>
          <w:b/>
        </w:rPr>
        <w:t xml:space="preserve"> de abril</w:t>
      </w:r>
      <w:r w:rsidRPr="00E32178">
        <w:rPr>
          <w:b/>
        </w:rPr>
        <w:t xml:space="preserve"> de dos mil veinticinco, </w:t>
      </w:r>
      <w:r w:rsidRPr="00E32178">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87FBF4B" w14:textId="77777777" w:rsidR="00894FBA" w:rsidRPr="00E32178" w:rsidRDefault="008A5F01" w:rsidP="00E32178">
      <w:pPr>
        <w:pStyle w:val="Ttulo3"/>
      </w:pPr>
      <w:bookmarkStart w:id="14" w:name="_Toc203626720"/>
      <w:r w:rsidRPr="00E32178">
        <w:t>d) Informe Justificado del Sujeto Obligado</w:t>
      </w:r>
      <w:bookmarkEnd w:id="14"/>
    </w:p>
    <w:p w14:paraId="07DA8B66" w14:textId="77777777" w:rsidR="00660ED7" w:rsidRPr="00E32178" w:rsidRDefault="00660ED7" w:rsidP="00E32178">
      <w:pPr>
        <w:rPr>
          <w:rFonts w:eastAsia="Arial Unicode MS" w:cs="Arial"/>
        </w:rPr>
      </w:pPr>
      <w:r w:rsidRPr="00E32178">
        <w:rPr>
          <w:rFonts w:cs="Tahoma"/>
          <w:b/>
          <w:szCs w:val="24"/>
        </w:rPr>
        <w:t xml:space="preserve">EL SUJETO OBLIGADO </w:t>
      </w:r>
      <w:r w:rsidRPr="00E32178">
        <w:rPr>
          <w:rFonts w:eastAsia="Arial Unicode MS" w:cs="Arial"/>
        </w:rPr>
        <w:t xml:space="preserve">rindió su informe justificado </w:t>
      </w:r>
      <w:r w:rsidR="00AE5EC9" w:rsidRPr="00E32178">
        <w:rPr>
          <w:rFonts w:eastAsia="Arial Unicode MS" w:cs="Arial"/>
        </w:rPr>
        <w:t xml:space="preserve">el </w:t>
      </w:r>
      <w:r w:rsidR="00AE5EC9" w:rsidRPr="00E32178">
        <w:rPr>
          <w:rFonts w:eastAsia="Arial Unicode MS" w:cs="Arial"/>
          <w:b/>
        </w:rPr>
        <w:t xml:space="preserve">siete de mayo de dos mil veinticinco, </w:t>
      </w:r>
      <w:r w:rsidR="00AE5EC9" w:rsidRPr="00E32178">
        <w:rPr>
          <w:rFonts w:eastAsia="Arial Unicode MS" w:cs="Arial"/>
        </w:rPr>
        <w:t xml:space="preserve">mediante el archivo electrónico denominado </w:t>
      </w:r>
      <w:r w:rsidR="00AE5EC9" w:rsidRPr="00E32178">
        <w:rPr>
          <w:rFonts w:eastAsia="Arial Unicode MS" w:cs="Arial"/>
          <w:b/>
          <w:i/>
        </w:rPr>
        <w:t>“[Untitled]_2025050715050995.pdf.”</w:t>
      </w:r>
      <w:r w:rsidR="00043C70" w:rsidRPr="00E32178">
        <w:rPr>
          <w:rFonts w:eastAsia="Arial Unicode MS" w:cs="Arial"/>
          <w:b/>
          <w:i/>
        </w:rPr>
        <w:t xml:space="preserve"> </w:t>
      </w:r>
      <w:r w:rsidR="00043C70" w:rsidRPr="00E32178">
        <w:rPr>
          <w:rFonts w:eastAsia="Arial Unicode MS" w:cs="Arial"/>
        </w:rPr>
        <w:t>mediante cual de manera sustancial</w:t>
      </w:r>
      <w:r w:rsidR="00043C70" w:rsidRPr="00E32178">
        <w:rPr>
          <w:rFonts w:eastAsia="Arial Unicode MS" w:cs="Arial"/>
          <w:b/>
          <w:i/>
        </w:rPr>
        <w:t xml:space="preserve"> </w:t>
      </w:r>
      <w:r w:rsidR="00043C70" w:rsidRPr="00E32178">
        <w:rPr>
          <w:rFonts w:eastAsia="Arial Unicode MS" w:cs="Arial"/>
        </w:rPr>
        <w:t>ratifica su respuesta primigenia</w:t>
      </w:r>
      <w:r w:rsidR="00043C70" w:rsidRPr="00E32178">
        <w:rPr>
          <w:rFonts w:eastAsia="Arial Unicode MS" w:cs="Arial"/>
          <w:b/>
        </w:rPr>
        <w:t xml:space="preserve"> y </w:t>
      </w:r>
      <w:r w:rsidR="00AE5EC9" w:rsidRPr="00E32178">
        <w:rPr>
          <w:rFonts w:eastAsia="Arial Unicode MS" w:cs="Arial"/>
        </w:rPr>
        <w:t xml:space="preserve">de cuyo contenido se advierten diversos oficios de trámite del recurso de revisión </w:t>
      </w:r>
      <w:r w:rsidR="00043C70" w:rsidRPr="00E32178">
        <w:rPr>
          <w:rFonts w:eastAsia="Arial Unicode MS" w:cs="Arial"/>
        </w:rPr>
        <w:t>objeto de estudio.</w:t>
      </w:r>
    </w:p>
    <w:p w14:paraId="662271CA" w14:textId="77777777" w:rsidR="00096BC0" w:rsidRPr="00E32178" w:rsidRDefault="00096BC0" w:rsidP="00E32178">
      <w:pPr>
        <w:rPr>
          <w:rFonts w:cs="Tahoma"/>
          <w:bCs/>
          <w:szCs w:val="24"/>
        </w:rPr>
      </w:pPr>
    </w:p>
    <w:p w14:paraId="527432E4" w14:textId="77777777" w:rsidR="00894FBA" w:rsidRPr="00E32178" w:rsidRDefault="008A5F01" w:rsidP="00E32178">
      <w:pPr>
        <w:pStyle w:val="Ttulo3"/>
      </w:pPr>
      <w:bookmarkStart w:id="15" w:name="_Toc203626721"/>
      <w:r w:rsidRPr="00E32178">
        <w:t>e) Manifestaciones de la Parte Recurrente</w:t>
      </w:r>
      <w:bookmarkEnd w:id="15"/>
    </w:p>
    <w:p w14:paraId="4ED12CDE" w14:textId="77777777" w:rsidR="00894FBA" w:rsidRPr="00E32178" w:rsidRDefault="008A5F01" w:rsidP="00E32178">
      <w:pPr>
        <w:spacing w:after="240"/>
      </w:pPr>
      <w:r w:rsidRPr="00E32178">
        <w:rPr>
          <w:b/>
        </w:rPr>
        <w:t xml:space="preserve">LA PARTE RECURRENTE </w:t>
      </w:r>
      <w:r w:rsidRPr="00E32178">
        <w:t>no realizó manifestación alguna dentro del término legalmente concedido para tal efecto, ni presentó pruebas o alegatos.</w:t>
      </w:r>
    </w:p>
    <w:p w14:paraId="49B32AE6" w14:textId="77777777" w:rsidR="00894FBA" w:rsidRPr="00E32178" w:rsidRDefault="008A5F01" w:rsidP="00E32178">
      <w:pPr>
        <w:pStyle w:val="Ttulo3"/>
      </w:pPr>
      <w:bookmarkStart w:id="16" w:name="_Toc203626722"/>
      <w:r w:rsidRPr="00E32178">
        <w:t>f) Ampliación de plazo para resolver el Recurso de Revisión</w:t>
      </w:r>
      <w:bookmarkEnd w:id="16"/>
    </w:p>
    <w:p w14:paraId="798182C2" w14:textId="77777777" w:rsidR="00894FBA" w:rsidRPr="00E32178" w:rsidRDefault="008A5F01" w:rsidP="00E32178">
      <w:pPr>
        <w:tabs>
          <w:tab w:val="left" w:pos="3261"/>
        </w:tabs>
      </w:pPr>
      <w:r w:rsidRPr="00E32178">
        <w:t xml:space="preserve">Con fundamento en lo dispuesto en el artículo 181, párrafo tercero, de la Ley de Transparencia y Acceso a la Información Pública del Estado de México y Municipios, </w:t>
      </w:r>
      <w:r w:rsidRPr="00E32178">
        <w:rPr>
          <w:b/>
        </w:rPr>
        <w:t xml:space="preserve">el </w:t>
      </w:r>
      <w:r w:rsidR="006E76ED" w:rsidRPr="00E32178">
        <w:rPr>
          <w:b/>
        </w:rPr>
        <w:t>dieciséis</w:t>
      </w:r>
      <w:r w:rsidRPr="00E32178">
        <w:rPr>
          <w:b/>
        </w:rPr>
        <w:t xml:space="preserve"> de junio </w:t>
      </w:r>
      <w:r w:rsidRPr="00E32178">
        <w:rPr>
          <w:b/>
        </w:rPr>
        <w:lastRenderedPageBreak/>
        <w:t>de dos mil veinticinco</w:t>
      </w:r>
      <w:r w:rsidRPr="00E32178">
        <w:t xml:space="preserve"> se acordó ampliar por un periodo razonable el plazo para resolver el presente Recurso de Revisión; acuerdo que fue notificado a las partes a través del </w:t>
      </w:r>
      <w:r w:rsidRPr="00E32178">
        <w:rPr>
          <w:b/>
        </w:rPr>
        <w:t>SAIMEX</w:t>
      </w:r>
      <w:r w:rsidRPr="00E32178">
        <w:t xml:space="preserve"> en misma fecha.</w:t>
      </w:r>
    </w:p>
    <w:p w14:paraId="78823812" w14:textId="77777777" w:rsidR="00894FBA" w:rsidRPr="00E32178" w:rsidRDefault="008A5F01" w:rsidP="00E32178">
      <w:pPr>
        <w:pBdr>
          <w:top w:val="nil"/>
          <w:left w:val="nil"/>
          <w:bottom w:val="nil"/>
          <w:right w:val="nil"/>
          <w:between w:val="nil"/>
        </w:pBdr>
        <w:rPr>
          <w:rFonts w:eastAsia="Palatino Linotype" w:cs="Palatino Linotype"/>
          <w:szCs w:val="22"/>
        </w:rPr>
      </w:pPr>
      <w:r w:rsidRPr="00E32178">
        <w:rPr>
          <w:rFonts w:eastAsia="Palatino Linotype" w:cs="Palatino Linotype"/>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6AE0473" w14:textId="77777777" w:rsidR="00894FBA" w:rsidRPr="00E32178" w:rsidRDefault="00894FBA" w:rsidP="00E32178">
      <w:pPr>
        <w:pBdr>
          <w:top w:val="nil"/>
          <w:left w:val="nil"/>
          <w:bottom w:val="nil"/>
          <w:right w:val="nil"/>
          <w:between w:val="nil"/>
        </w:pBdr>
        <w:rPr>
          <w:rFonts w:eastAsia="Palatino Linotype" w:cs="Palatino Linotype"/>
          <w:szCs w:val="22"/>
        </w:rPr>
      </w:pPr>
    </w:p>
    <w:p w14:paraId="4CED77A2" w14:textId="77777777" w:rsidR="00894FBA" w:rsidRPr="00E32178" w:rsidRDefault="008A5F01" w:rsidP="00E32178">
      <w:pPr>
        <w:pBdr>
          <w:top w:val="nil"/>
          <w:left w:val="nil"/>
          <w:bottom w:val="nil"/>
          <w:right w:val="nil"/>
          <w:between w:val="nil"/>
        </w:pBdr>
        <w:rPr>
          <w:rFonts w:eastAsia="Palatino Linotype" w:cs="Palatino Linotype"/>
          <w:szCs w:val="22"/>
        </w:rPr>
      </w:pPr>
      <w:r w:rsidRPr="00E32178">
        <w:rPr>
          <w:rFonts w:eastAsia="Palatino Linotype" w:cs="Palatino Linotype"/>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D13631C" w14:textId="77777777" w:rsidR="00894FBA" w:rsidRPr="00E32178" w:rsidRDefault="00894FBA" w:rsidP="00E32178">
      <w:pPr>
        <w:pBdr>
          <w:top w:val="nil"/>
          <w:left w:val="nil"/>
          <w:bottom w:val="nil"/>
          <w:right w:val="nil"/>
          <w:between w:val="nil"/>
        </w:pBdr>
        <w:rPr>
          <w:rFonts w:eastAsia="Palatino Linotype" w:cs="Palatino Linotype"/>
          <w:szCs w:val="22"/>
        </w:rPr>
      </w:pPr>
    </w:p>
    <w:p w14:paraId="7BCDFA2B" w14:textId="77777777" w:rsidR="00894FBA" w:rsidRPr="00E32178" w:rsidRDefault="008A5F01" w:rsidP="00E32178">
      <w:pPr>
        <w:pBdr>
          <w:top w:val="nil"/>
          <w:left w:val="nil"/>
          <w:bottom w:val="nil"/>
          <w:right w:val="nil"/>
          <w:between w:val="nil"/>
        </w:pBdr>
        <w:rPr>
          <w:rFonts w:eastAsia="Palatino Linotype" w:cs="Palatino Linotype"/>
          <w:szCs w:val="22"/>
        </w:rPr>
      </w:pPr>
      <w:r w:rsidRPr="00E32178">
        <w:rPr>
          <w:rFonts w:eastAsia="Palatino Linotype" w:cs="Palatino Linotype"/>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8032B06" w14:textId="77777777" w:rsidR="00894FBA" w:rsidRPr="00E32178" w:rsidRDefault="00894FBA" w:rsidP="00E32178">
      <w:pPr>
        <w:pBdr>
          <w:top w:val="nil"/>
          <w:left w:val="nil"/>
          <w:bottom w:val="nil"/>
          <w:right w:val="nil"/>
          <w:between w:val="nil"/>
        </w:pBdr>
        <w:rPr>
          <w:rFonts w:eastAsia="Palatino Linotype" w:cs="Palatino Linotype"/>
          <w:szCs w:val="22"/>
        </w:rPr>
      </w:pPr>
    </w:p>
    <w:p w14:paraId="1C965222" w14:textId="77777777" w:rsidR="00894FBA" w:rsidRPr="00E32178" w:rsidRDefault="008A5F01" w:rsidP="00E32178">
      <w:pPr>
        <w:pBdr>
          <w:top w:val="nil"/>
          <w:left w:val="nil"/>
          <w:bottom w:val="nil"/>
          <w:right w:val="nil"/>
          <w:between w:val="nil"/>
        </w:pBdr>
        <w:rPr>
          <w:rFonts w:eastAsia="Palatino Linotype" w:cs="Palatino Linotype"/>
          <w:szCs w:val="22"/>
        </w:rPr>
      </w:pPr>
      <w:r w:rsidRPr="00E32178">
        <w:rPr>
          <w:rFonts w:eastAsia="Palatino Linotype" w:cs="Palatino Linotype"/>
          <w:szCs w:val="22"/>
        </w:rPr>
        <w:t>Por ello, excepcionalmente, si un asunto es resuelto con posterioridad a los plazos señalados por la norma, debe analizarse la razonabilidad del tiempo necesario para su resolución, atentos a los siguientes criterios:</w:t>
      </w:r>
    </w:p>
    <w:p w14:paraId="4DD9AABB" w14:textId="77777777" w:rsidR="00894FBA" w:rsidRPr="00E32178" w:rsidRDefault="00894FBA" w:rsidP="00E32178">
      <w:pPr>
        <w:pBdr>
          <w:top w:val="nil"/>
          <w:left w:val="nil"/>
          <w:bottom w:val="nil"/>
          <w:right w:val="nil"/>
          <w:between w:val="nil"/>
        </w:pBdr>
        <w:rPr>
          <w:rFonts w:eastAsia="Palatino Linotype" w:cs="Palatino Linotype"/>
          <w:szCs w:val="22"/>
        </w:rPr>
      </w:pPr>
    </w:p>
    <w:p w14:paraId="3277B39B" w14:textId="77777777" w:rsidR="00894FBA" w:rsidRPr="00E32178" w:rsidRDefault="008A5F01" w:rsidP="00E32178">
      <w:pPr>
        <w:pBdr>
          <w:top w:val="nil"/>
          <w:left w:val="nil"/>
          <w:bottom w:val="nil"/>
          <w:right w:val="nil"/>
          <w:between w:val="nil"/>
        </w:pBdr>
        <w:ind w:left="567" w:right="539"/>
        <w:rPr>
          <w:rFonts w:eastAsia="Palatino Linotype" w:cs="Palatino Linotype"/>
          <w:szCs w:val="22"/>
        </w:rPr>
      </w:pPr>
      <w:r w:rsidRPr="00E32178">
        <w:rPr>
          <w:rFonts w:eastAsia="Palatino Linotype" w:cs="Palatino Linotype"/>
          <w:b/>
          <w:szCs w:val="22"/>
        </w:rPr>
        <w:lastRenderedPageBreak/>
        <w:t>Complejidad del asunto:</w:t>
      </w:r>
      <w:r w:rsidRPr="00E32178">
        <w:rPr>
          <w:rFonts w:eastAsia="Palatino Linotype" w:cs="Palatino Linotype"/>
          <w:szCs w:val="22"/>
        </w:rPr>
        <w:t xml:space="preserve"> La complejidad de la prueba, la pluralidad de sujetos procesales, el tiempo transcurrido, las características y contexto del recurso.</w:t>
      </w:r>
    </w:p>
    <w:p w14:paraId="35321BD3" w14:textId="77777777" w:rsidR="00894FBA" w:rsidRPr="00E32178" w:rsidRDefault="008A5F01" w:rsidP="00E32178">
      <w:pPr>
        <w:pBdr>
          <w:top w:val="nil"/>
          <w:left w:val="nil"/>
          <w:bottom w:val="nil"/>
          <w:right w:val="nil"/>
          <w:between w:val="nil"/>
        </w:pBdr>
        <w:ind w:left="567" w:right="539"/>
        <w:rPr>
          <w:rFonts w:eastAsia="Palatino Linotype" w:cs="Palatino Linotype"/>
          <w:szCs w:val="22"/>
        </w:rPr>
      </w:pPr>
      <w:r w:rsidRPr="00E32178">
        <w:rPr>
          <w:rFonts w:eastAsia="Palatino Linotype" w:cs="Palatino Linotype"/>
          <w:b/>
          <w:szCs w:val="22"/>
        </w:rPr>
        <w:t>Actividad Procesal del interesado:</w:t>
      </w:r>
      <w:r w:rsidRPr="00E32178">
        <w:rPr>
          <w:rFonts w:eastAsia="Palatino Linotype" w:cs="Palatino Linotype"/>
          <w:szCs w:val="22"/>
        </w:rPr>
        <w:t xml:space="preserve"> Acciones u omisiones del interesado.</w:t>
      </w:r>
    </w:p>
    <w:p w14:paraId="5E623150" w14:textId="77777777" w:rsidR="00894FBA" w:rsidRPr="00E32178" w:rsidRDefault="008A5F01" w:rsidP="00E32178">
      <w:pPr>
        <w:pBdr>
          <w:top w:val="nil"/>
          <w:left w:val="nil"/>
          <w:bottom w:val="nil"/>
          <w:right w:val="nil"/>
          <w:between w:val="nil"/>
        </w:pBdr>
        <w:ind w:left="567" w:right="539"/>
        <w:rPr>
          <w:rFonts w:eastAsia="Palatino Linotype" w:cs="Palatino Linotype"/>
          <w:szCs w:val="22"/>
        </w:rPr>
      </w:pPr>
      <w:r w:rsidRPr="00E32178">
        <w:rPr>
          <w:rFonts w:eastAsia="Palatino Linotype" w:cs="Palatino Linotype"/>
          <w:b/>
          <w:szCs w:val="22"/>
        </w:rPr>
        <w:t>Conducta de la Autoridad:</w:t>
      </w:r>
      <w:r w:rsidRPr="00E32178">
        <w:rPr>
          <w:rFonts w:eastAsia="Palatino Linotype" w:cs="Palatino Linotype"/>
          <w:szCs w:val="22"/>
        </w:rPr>
        <w:t xml:space="preserve"> Las Acciones u omisiones realizadas en el procedimiento. Así como si la autoridad actuó con la debida diligencia.</w:t>
      </w:r>
    </w:p>
    <w:p w14:paraId="780AA4B9" w14:textId="77777777" w:rsidR="00894FBA" w:rsidRPr="00E32178" w:rsidRDefault="008A5F01" w:rsidP="00E32178">
      <w:pPr>
        <w:pBdr>
          <w:top w:val="nil"/>
          <w:left w:val="nil"/>
          <w:bottom w:val="nil"/>
          <w:right w:val="nil"/>
          <w:between w:val="nil"/>
        </w:pBdr>
        <w:ind w:left="567" w:right="539"/>
        <w:rPr>
          <w:rFonts w:eastAsia="Palatino Linotype" w:cs="Palatino Linotype"/>
          <w:szCs w:val="22"/>
        </w:rPr>
      </w:pPr>
      <w:r w:rsidRPr="00E32178">
        <w:rPr>
          <w:rFonts w:eastAsia="Palatino Linotype" w:cs="Palatino Linotype"/>
          <w:b/>
          <w:szCs w:val="22"/>
        </w:rPr>
        <w:t>La afectación generada en la situación jurídica de la persona involucrada en el proceso:</w:t>
      </w:r>
      <w:r w:rsidRPr="00E32178">
        <w:rPr>
          <w:rFonts w:eastAsia="Palatino Linotype" w:cs="Palatino Linotype"/>
          <w:szCs w:val="22"/>
        </w:rPr>
        <w:t xml:space="preserve"> Violación a sus derechos humanos.</w:t>
      </w:r>
    </w:p>
    <w:p w14:paraId="4B5E452B" w14:textId="77777777" w:rsidR="00894FBA" w:rsidRPr="00E32178" w:rsidRDefault="00894FBA" w:rsidP="00E32178">
      <w:pPr>
        <w:pBdr>
          <w:top w:val="nil"/>
          <w:left w:val="nil"/>
          <w:bottom w:val="nil"/>
          <w:right w:val="nil"/>
          <w:between w:val="nil"/>
        </w:pBdr>
        <w:ind w:left="567" w:right="539"/>
        <w:rPr>
          <w:rFonts w:eastAsia="Palatino Linotype" w:cs="Palatino Linotype"/>
          <w:szCs w:val="22"/>
        </w:rPr>
      </w:pPr>
    </w:p>
    <w:p w14:paraId="7A90551D" w14:textId="77777777" w:rsidR="00894FBA" w:rsidRPr="00E32178" w:rsidRDefault="008A5F01" w:rsidP="00E32178">
      <w:pPr>
        <w:pBdr>
          <w:top w:val="nil"/>
          <w:left w:val="nil"/>
          <w:bottom w:val="nil"/>
          <w:right w:val="nil"/>
          <w:between w:val="nil"/>
        </w:pBdr>
        <w:rPr>
          <w:rFonts w:eastAsia="Palatino Linotype" w:cs="Palatino Linotype"/>
          <w:szCs w:val="22"/>
        </w:rPr>
      </w:pPr>
      <w:r w:rsidRPr="00E32178">
        <w:rPr>
          <w:rFonts w:eastAsia="Palatino Linotype" w:cs="Palatino Linotype"/>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1E3937" w14:textId="77777777" w:rsidR="00894FBA" w:rsidRPr="00E32178" w:rsidRDefault="00894FBA" w:rsidP="00E32178">
      <w:pPr>
        <w:pBdr>
          <w:top w:val="nil"/>
          <w:left w:val="nil"/>
          <w:bottom w:val="nil"/>
          <w:right w:val="nil"/>
          <w:between w:val="nil"/>
        </w:pBdr>
        <w:rPr>
          <w:rFonts w:eastAsia="Palatino Linotype" w:cs="Palatino Linotype"/>
          <w:szCs w:val="22"/>
        </w:rPr>
      </w:pPr>
    </w:p>
    <w:p w14:paraId="3885BA3D" w14:textId="77777777" w:rsidR="00894FBA" w:rsidRPr="00E32178" w:rsidRDefault="008A5F01" w:rsidP="00E32178">
      <w:pPr>
        <w:pBdr>
          <w:top w:val="nil"/>
          <w:left w:val="nil"/>
          <w:bottom w:val="nil"/>
          <w:right w:val="nil"/>
          <w:between w:val="nil"/>
        </w:pBdr>
        <w:rPr>
          <w:rFonts w:eastAsia="Palatino Linotype" w:cs="Palatino Linotype"/>
          <w:szCs w:val="22"/>
        </w:rPr>
      </w:pPr>
      <w:r w:rsidRPr="00E32178">
        <w:rPr>
          <w:rFonts w:eastAsia="Palatino Linotype" w:cs="Palatino Linotype"/>
          <w:szCs w:val="22"/>
        </w:rPr>
        <w:t>Argumento que encuentra sustento en la jurisprudencia P./J. 32/92 emitida por el Pleno de la Suprema Corte de Justicia de la Nación de rubro “</w:t>
      </w:r>
      <w:r w:rsidRPr="00E32178">
        <w:rPr>
          <w:rFonts w:eastAsia="Palatino Linotype" w:cs="Palatino Linotype"/>
          <w:b/>
          <w:szCs w:val="22"/>
        </w:rPr>
        <w:t>TÉRMINOS PROCESALES. PARA DETERMINAR SI UN FUNCIONARIO JUDICIAL ACTUÓ INDEBIDAMENTE POR NO RESPETARLOS SE DEBE ATENDER AL PRESUPUESTO QUE CONSIDERÓ EL LEGISLADOR AL FIJARLOS Y LAS CARACTERÍSTICAS DEL CASO</w:t>
      </w:r>
      <w:r w:rsidRPr="00E32178">
        <w:rPr>
          <w:rFonts w:eastAsia="Palatino Linotype" w:cs="Palatino Linotype"/>
          <w:szCs w:val="22"/>
        </w:rPr>
        <w:t>.”, visible en la Gaceta del Seminario Judicial de la Federación con el registro digital 205635.</w:t>
      </w:r>
    </w:p>
    <w:p w14:paraId="7D468608" w14:textId="77777777" w:rsidR="00894FBA" w:rsidRPr="00E32178" w:rsidRDefault="00894FBA" w:rsidP="00E32178">
      <w:pPr>
        <w:pBdr>
          <w:top w:val="nil"/>
          <w:left w:val="nil"/>
          <w:bottom w:val="nil"/>
          <w:right w:val="nil"/>
          <w:between w:val="nil"/>
        </w:pBdr>
        <w:rPr>
          <w:rFonts w:eastAsia="Palatino Linotype" w:cs="Palatino Linotype"/>
          <w:szCs w:val="22"/>
        </w:rPr>
      </w:pPr>
    </w:p>
    <w:p w14:paraId="1590D2E0" w14:textId="77777777" w:rsidR="00894FBA" w:rsidRPr="00E32178" w:rsidRDefault="008A5F01" w:rsidP="00E32178">
      <w:pPr>
        <w:pBdr>
          <w:top w:val="nil"/>
          <w:left w:val="nil"/>
          <w:bottom w:val="nil"/>
          <w:right w:val="nil"/>
          <w:between w:val="nil"/>
        </w:pBdr>
        <w:rPr>
          <w:rFonts w:eastAsia="Palatino Linotype" w:cs="Palatino Linotype"/>
          <w:szCs w:val="22"/>
        </w:rPr>
      </w:pPr>
      <w:r w:rsidRPr="00E32178">
        <w:rPr>
          <w:rFonts w:eastAsia="Palatino Linotype" w:cs="Palatino Linotype"/>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E32178">
        <w:rPr>
          <w:rFonts w:eastAsia="Palatino Linotype" w:cs="Palatino Linotype"/>
          <w:szCs w:val="22"/>
        </w:rPr>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F6997D" w14:textId="77777777" w:rsidR="00894FBA" w:rsidRPr="00E32178" w:rsidRDefault="00894FBA" w:rsidP="00E32178">
      <w:pPr>
        <w:pBdr>
          <w:top w:val="nil"/>
          <w:left w:val="nil"/>
          <w:bottom w:val="nil"/>
          <w:right w:val="nil"/>
          <w:between w:val="nil"/>
        </w:pBdr>
        <w:rPr>
          <w:rFonts w:eastAsia="Palatino Linotype" w:cs="Palatino Linotype"/>
          <w:szCs w:val="22"/>
        </w:rPr>
      </w:pPr>
    </w:p>
    <w:p w14:paraId="626B4080" w14:textId="77777777" w:rsidR="00894FBA" w:rsidRPr="00E32178" w:rsidRDefault="008A5F01" w:rsidP="00E32178">
      <w:pPr>
        <w:pBdr>
          <w:top w:val="nil"/>
          <w:left w:val="nil"/>
          <w:bottom w:val="nil"/>
          <w:right w:val="nil"/>
          <w:between w:val="nil"/>
        </w:pBdr>
        <w:rPr>
          <w:rFonts w:eastAsia="Palatino Linotype" w:cs="Palatino Linotype"/>
          <w:szCs w:val="22"/>
        </w:rPr>
      </w:pPr>
      <w:r w:rsidRPr="00E32178">
        <w:rPr>
          <w:rFonts w:eastAsia="Palatino Linotype" w:cs="Palatino Linotype"/>
          <w:szCs w:val="22"/>
        </w:rPr>
        <w:t>Al respecto, también son de considerar los criterios sostenidos por el Cuarto Tribunal Colegiado en Materia Administrativa del Primer Circuito, cuyos rubros y datos de identificación son los siguientes:</w:t>
      </w:r>
    </w:p>
    <w:p w14:paraId="47966483" w14:textId="77777777" w:rsidR="00894FBA" w:rsidRPr="00E32178" w:rsidRDefault="00894FBA" w:rsidP="00E32178">
      <w:pPr>
        <w:pBdr>
          <w:top w:val="nil"/>
          <w:left w:val="nil"/>
          <w:bottom w:val="nil"/>
          <w:right w:val="nil"/>
          <w:between w:val="nil"/>
        </w:pBdr>
        <w:rPr>
          <w:rFonts w:eastAsia="Palatino Linotype" w:cs="Palatino Linotype"/>
          <w:szCs w:val="22"/>
        </w:rPr>
      </w:pPr>
    </w:p>
    <w:p w14:paraId="6F9AD2A6" w14:textId="77777777" w:rsidR="00894FBA" w:rsidRPr="00E32178" w:rsidRDefault="008A5F01" w:rsidP="00E32178">
      <w:pPr>
        <w:pStyle w:val="Ttulo"/>
        <w:ind w:left="851" w:right="822"/>
        <w:rPr>
          <w:szCs w:val="20"/>
        </w:rPr>
      </w:pPr>
      <w:r w:rsidRPr="00E32178">
        <w:rPr>
          <w:b/>
          <w:szCs w:val="20"/>
        </w:rPr>
        <w:t>“PLAZO RAZONABLE PARA RESOLVER. DIMENSIÓN Y EFECTOS DE ESTE CONCEPTO CUANDO SE ADUCE EXCESIVA CARGA DE TRABAJO.”</w:t>
      </w:r>
      <w:r w:rsidRPr="00E32178">
        <w:rPr>
          <w:szCs w:val="20"/>
        </w:rPr>
        <w:t xml:space="preserve"> consultable en el Seminario Judicial de la Federación y su gaceta, con el registro digital 2002351.</w:t>
      </w:r>
    </w:p>
    <w:p w14:paraId="21901B13" w14:textId="77777777" w:rsidR="00894FBA" w:rsidRPr="00E32178" w:rsidRDefault="00894FBA" w:rsidP="00E32178">
      <w:pPr>
        <w:pStyle w:val="Ttulo"/>
        <w:ind w:left="851" w:right="822"/>
        <w:rPr>
          <w:szCs w:val="20"/>
        </w:rPr>
      </w:pPr>
    </w:p>
    <w:p w14:paraId="306B699E" w14:textId="77777777" w:rsidR="00894FBA" w:rsidRPr="00E32178" w:rsidRDefault="008A5F01" w:rsidP="00E32178">
      <w:pPr>
        <w:pStyle w:val="Ttulo"/>
        <w:ind w:left="851" w:right="822"/>
        <w:rPr>
          <w:szCs w:val="20"/>
        </w:rPr>
      </w:pPr>
      <w:r w:rsidRPr="00E32178">
        <w:rPr>
          <w:b/>
          <w:szCs w:val="20"/>
        </w:rPr>
        <w:t>“PLAZO RAZONABLE PARA RESOLVER. CONCEPTO Y ELEMENTOS QUE LO INTEGRAN A LA LUZ DEL DERECHO INTERNACIONAL DE LOS DERECHOS HUMANOS</w:t>
      </w:r>
      <w:r w:rsidRPr="00E32178">
        <w:rPr>
          <w:szCs w:val="20"/>
        </w:rPr>
        <w:t>.”, visible en el Seminario Judicial de la Federación y su gaceta, con el registro digital 2002350.</w:t>
      </w:r>
    </w:p>
    <w:p w14:paraId="23BF9157" w14:textId="77777777" w:rsidR="00894FBA" w:rsidRPr="00E32178" w:rsidRDefault="00894FBA" w:rsidP="00E32178">
      <w:pPr>
        <w:pBdr>
          <w:top w:val="nil"/>
          <w:left w:val="nil"/>
          <w:bottom w:val="nil"/>
          <w:right w:val="nil"/>
          <w:between w:val="nil"/>
        </w:pBdr>
        <w:rPr>
          <w:rFonts w:eastAsia="Palatino Linotype" w:cs="Palatino Linotype"/>
          <w:szCs w:val="22"/>
        </w:rPr>
      </w:pPr>
    </w:p>
    <w:p w14:paraId="07378044" w14:textId="77777777" w:rsidR="00894FBA" w:rsidRPr="00E32178" w:rsidRDefault="008A5F01" w:rsidP="00E32178">
      <w:pPr>
        <w:pBdr>
          <w:top w:val="nil"/>
          <w:left w:val="nil"/>
          <w:bottom w:val="nil"/>
          <w:right w:val="nil"/>
          <w:between w:val="nil"/>
        </w:pBdr>
        <w:rPr>
          <w:rFonts w:eastAsia="Palatino Linotype" w:cs="Palatino Linotype"/>
          <w:szCs w:val="22"/>
        </w:rPr>
      </w:pPr>
      <w:r w:rsidRPr="00E32178">
        <w:rPr>
          <w:rFonts w:eastAsia="Palatino Linotype" w:cs="Palatino Linotype"/>
          <w:szCs w:val="22"/>
        </w:rPr>
        <w:t>Por ello, este organismo garante comprometido con la tutela de los derechos humanos confiados señala que este exceso del plazo legal para resolver el asunto resulta de carácter excepcional.</w:t>
      </w:r>
    </w:p>
    <w:p w14:paraId="77405304" w14:textId="77777777" w:rsidR="00894FBA" w:rsidRPr="00E32178" w:rsidRDefault="00894FBA" w:rsidP="00E32178"/>
    <w:p w14:paraId="79BDC7FF" w14:textId="77777777" w:rsidR="00894FBA" w:rsidRPr="00E32178" w:rsidRDefault="008A5F01" w:rsidP="00E32178">
      <w:pPr>
        <w:pStyle w:val="Ttulo3"/>
      </w:pPr>
      <w:bookmarkStart w:id="17" w:name="_Toc203626723"/>
      <w:r w:rsidRPr="00E32178">
        <w:t>g) Cierre de instrucción</w:t>
      </w:r>
      <w:bookmarkEnd w:id="17"/>
    </w:p>
    <w:p w14:paraId="00AE721C" w14:textId="77777777" w:rsidR="00894FBA" w:rsidRPr="00E32178" w:rsidRDefault="008A5F01" w:rsidP="00E32178">
      <w:r w:rsidRPr="00E32178">
        <w:t xml:space="preserve">Al no existir diligencias pendientes por desahogar, el </w:t>
      </w:r>
      <w:r w:rsidR="00043C70" w:rsidRPr="00E32178">
        <w:rPr>
          <w:b/>
        </w:rPr>
        <w:t>quince</w:t>
      </w:r>
      <w:r w:rsidR="006E76ED" w:rsidRPr="00E32178">
        <w:rPr>
          <w:b/>
        </w:rPr>
        <w:t xml:space="preserve"> de julio</w:t>
      </w:r>
      <w:r w:rsidRPr="00E32178">
        <w:rPr>
          <w:b/>
        </w:rPr>
        <w:t xml:space="preserve"> dos mil veinticinco,</w:t>
      </w:r>
      <w:r w:rsidRPr="00E32178">
        <w:t xml:space="preserve"> la </w:t>
      </w:r>
      <w:r w:rsidRPr="00E32178">
        <w:rPr>
          <w:b/>
        </w:rPr>
        <w:t xml:space="preserve">Comisionada Sharon Cristina Morales Martínez </w:t>
      </w:r>
      <w:r w:rsidRPr="00E32178">
        <w:t xml:space="preserve">acordó el cierre de instrucción y la remisión del expediente a efecto de ser resuelto, de conformidad con lo establecido en el artículo 185 fracciones VI y VIII de la Ley de Transparencia y Acceso a la Información Pública del Estado </w:t>
      </w:r>
      <w:r w:rsidRPr="00E32178">
        <w:lastRenderedPageBreak/>
        <w:t>de México y Municipios. Dicho acuerdo fue notificado a las partes el mismo día a través del SAIMEX.</w:t>
      </w:r>
    </w:p>
    <w:p w14:paraId="3F5C4203" w14:textId="77777777" w:rsidR="006E76ED" w:rsidRPr="00E32178" w:rsidRDefault="006E76ED" w:rsidP="00E32178"/>
    <w:p w14:paraId="515D3C84" w14:textId="77777777" w:rsidR="00894FBA" w:rsidRPr="00E32178" w:rsidRDefault="008A5F01" w:rsidP="00E32178">
      <w:pPr>
        <w:pStyle w:val="Ttulo1"/>
      </w:pPr>
      <w:bookmarkStart w:id="18" w:name="_Toc203626724"/>
      <w:r w:rsidRPr="00E32178">
        <w:t>CONSIDERANDOS</w:t>
      </w:r>
      <w:bookmarkEnd w:id="18"/>
    </w:p>
    <w:p w14:paraId="00E76794" w14:textId="77777777" w:rsidR="00894FBA" w:rsidRPr="00E32178" w:rsidRDefault="00894FBA" w:rsidP="00E32178">
      <w:pPr>
        <w:jc w:val="center"/>
        <w:rPr>
          <w:b/>
        </w:rPr>
      </w:pPr>
    </w:p>
    <w:p w14:paraId="487D4127" w14:textId="77777777" w:rsidR="00894FBA" w:rsidRPr="00E32178" w:rsidRDefault="008A5F01" w:rsidP="00E32178">
      <w:pPr>
        <w:pStyle w:val="Ttulo2"/>
      </w:pPr>
      <w:bookmarkStart w:id="19" w:name="_Toc203626725"/>
      <w:r w:rsidRPr="00E32178">
        <w:t>PRIMERO. Procedibilidad</w:t>
      </w:r>
      <w:bookmarkEnd w:id="19"/>
    </w:p>
    <w:p w14:paraId="08394B57" w14:textId="77777777" w:rsidR="00894FBA" w:rsidRPr="00E32178" w:rsidRDefault="008A5F01" w:rsidP="00E32178">
      <w:pPr>
        <w:pStyle w:val="Ttulo3"/>
      </w:pPr>
      <w:bookmarkStart w:id="20" w:name="_Toc203626726"/>
      <w:r w:rsidRPr="00E32178">
        <w:t>a) Competencia del Instituto</w:t>
      </w:r>
      <w:bookmarkEnd w:id="20"/>
    </w:p>
    <w:p w14:paraId="190C0334" w14:textId="77777777" w:rsidR="00894FBA" w:rsidRPr="00E32178" w:rsidRDefault="008A5F01" w:rsidP="00E32178">
      <w:r w:rsidRPr="00E32178">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CE39703" w14:textId="77777777" w:rsidR="00894FBA" w:rsidRPr="00E32178" w:rsidRDefault="00894FBA" w:rsidP="00E32178"/>
    <w:p w14:paraId="422545FA" w14:textId="77777777" w:rsidR="00894FBA" w:rsidRPr="00E32178" w:rsidRDefault="008A5F01" w:rsidP="00E32178">
      <w:pPr>
        <w:pStyle w:val="Ttulo3"/>
      </w:pPr>
      <w:bookmarkStart w:id="21" w:name="_Toc203626727"/>
      <w:r w:rsidRPr="00E32178">
        <w:t>b) Legitimidad de la parte recurrente</w:t>
      </w:r>
      <w:bookmarkEnd w:id="21"/>
    </w:p>
    <w:p w14:paraId="2AFA5346" w14:textId="77777777" w:rsidR="00894FBA" w:rsidRPr="00E32178" w:rsidRDefault="008A5F01" w:rsidP="00E32178">
      <w:r w:rsidRPr="00E32178">
        <w:t>El recurso de revisión fue interpuesto por parte legítima, ya que se presentó por la misma persona que formuló la solicitud de acceso a la Información Pública,</w:t>
      </w:r>
      <w:r w:rsidRPr="00E32178">
        <w:rPr>
          <w:b/>
        </w:rPr>
        <w:t xml:space="preserve"> </w:t>
      </w:r>
      <w:r w:rsidRPr="00E32178">
        <w:t>debido a que los datos de acceso</w:t>
      </w:r>
      <w:r w:rsidRPr="00E32178">
        <w:rPr>
          <w:b/>
        </w:rPr>
        <w:t xml:space="preserve"> SAIMEX</w:t>
      </w:r>
      <w:r w:rsidRPr="00E32178">
        <w:t xml:space="preserve"> son personales e irrepetibles.</w:t>
      </w:r>
    </w:p>
    <w:p w14:paraId="60597AE5" w14:textId="77777777" w:rsidR="00894FBA" w:rsidRPr="00E32178" w:rsidRDefault="00894FBA" w:rsidP="00E32178"/>
    <w:p w14:paraId="63CC948E" w14:textId="77777777" w:rsidR="00894FBA" w:rsidRPr="00E32178" w:rsidRDefault="008A5F01" w:rsidP="00E32178">
      <w:pPr>
        <w:pStyle w:val="Ttulo3"/>
      </w:pPr>
      <w:bookmarkStart w:id="22" w:name="_Toc203626728"/>
      <w:r w:rsidRPr="00E32178">
        <w:lastRenderedPageBreak/>
        <w:t>c) Plazo para interponer el recurso</w:t>
      </w:r>
      <w:bookmarkEnd w:id="22"/>
    </w:p>
    <w:p w14:paraId="3A6C04F8" w14:textId="77777777" w:rsidR="00894FBA" w:rsidRPr="00E32178" w:rsidRDefault="008A5F01" w:rsidP="00E32178">
      <w:bookmarkStart w:id="23" w:name="_heading=h.2jxsxqh" w:colFirst="0" w:colLast="0"/>
      <w:bookmarkEnd w:id="23"/>
      <w:r w:rsidRPr="00E32178">
        <w:rPr>
          <w:b/>
        </w:rPr>
        <w:t>EL SUJETO OBLIGADO</w:t>
      </w:r>
      <w:r w:rsidRPr="00E32178">
        <w:t xml:space="preserve"> notificó la respuesta a la solicitud de acceso a la Información Pública el </w:t>
      </w:r>
      <w:r w:rsidR="00043C70" w:rsidRPr="00E32178">
        <w:rPr>
          <w:b/>
        </w:rPr>
        <w:t>veintiocho</w:t>
      </w:r>
      <w:r w:rsidR="006E76ED" w:rsidRPr="00E32178">
        <w:rPr>
          <w:b/>
        </w:rPr>
        <w:t xml:space="preserve"> de </w:t>
      </w:r>
      <w:r w:rsidR="00043C70" w:rsidRPr="00E32178">
        <w:rPr>
          <w:b/>
        </w:rPr>
        <w:t>marzo</w:t>
      </w:r>
      <w:r w:rsidRPr="00E32178">
        <w:rPr>
          <w:b/>
        </w:rPr>
        <w:t xml:space="preserve"> de dos mil veinticinco </w:t>
      </w:r>
      <w:r w:rsidRPr="00E32178">
        <w:t xml:space="preserve">y el recurso que nos ocupa se interpuso el </w:t>
      </w:r>
      <w:r w:rsidR="00043C70" w:rsidRPr="00E32178">
        <w:rPr>
          <w:b/>
        </w:rPr>
        <w:t>veinticuatro</w:t>
      </w:r>
      <w:r w:rsidR="006E76ED" w:rsidRPr="00E32178">
        <w:rPr>
          <w:b/>
        </w:rPr>
        <w:t xml:space="preserve"> de abril</w:t>
      </w:r>
      <w:r w:rsidRPr="00E32178">
        <w:rPr>
          <w:b/>
        </w:rPr>
        <w:t xml:space="preserve"> de dos mil veinticinco,</w:t>
      </w:r>
      <w:r w:rsidRPr="00E32178">
        <w:t xml:space="preserve"> por lo tanto, éste se encuentra dentro del margen temporal previsto en el artículo 178 de la Ley de Transparencia y Acceso a la Información Pública del Estado de México y Municipios, el cual transcurrió del </w:t>
      </w:r>
      <w:r w:rsidR="00043C70" w:rsidRPr="00E32178">
        <w:rPr>
          <w:b/>
        </w:rPr>
        <w:t>treinta y uno de marzo</w:t>
      </w:r>
      <w:r w:rsidRPr="00E32178">
        <w:rPr>
          <w:b/>
        </w:rPr>
        <w:t xml:space="preserve"> al </w:t>
      </w:r>
      <w:r w:rsidR="00043C70" w:rsidRPr="00E32178">
        <w:rPr>
          <w:b/>
        </w:rPr>
        <w:t>veinticinco de abril</w:t>
      </w:r>
      <w:r w:rsidRPr="00E32178">
        <w:rPr>
          <w:b/>
        </w:rPr>
        <w:t xml:space="preserve"> de dos mil veinticinco</w:t>
      </w:r>
      <w:r w:rsidRPr="00E32178">
        <w:t>,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5D0781D2" w14:textId="77777777" w:rsidR="00894FBA" w:rsidRPr="00E32178" w:rsidRDefault="00894FBA" w:rsidP="00E32178"/>
    <w:p w14:paraId="040C4C6E" w14:textId="77777777" w:rsidR="00894FBA" w:rsidRPr="00E32178" w:rsidRDefault="008A5F01" w:rsidP="00E32178">
      <w:pPr>
        <w:pStyle w:val="Ttulo3"/>
      </w:pPr>
      <w:bookmarkStart w:id="24" w:name="_Toc203626729"/>
      <w:r w:rsidRPr="00E32178">
        <w:t>d) Causales de Procedencia</w:t>
      </w:r>
      <w:bookmarkEnd w:id="24"/>
    </w:p>
    <w:p w14:paraId="66DCC417" w14:textId="77777777" w:rsidR="00894FBA" w:rsidRPr="00E32178" w:rsidRDefault="008A5F01" w:rsidP="00E32178">
      <w:r w:rsidRPr="00E32178">
        <w:t xml:space="preserve">Resulta procedente la interposición del recurso de revisión, ya que se actualiza las causales de procedencia señaladas </w:t>
      </w:r>
      <w:r w:rsidR="00043C70" w:rsidRPr="00E32178">
        <w:t xml:space="preserve">en el artículo 179, fracciones </w:t>
      </w:r>
      <w:r w:rsidR="00660ED7" w:rsidRPr="00E32178">
        <w:t>I</w:t>
      </w:r>
      <w:r w:rsidRPr="00E32178">
        <w:t xml:space="preserve"> de la Ley de Transparencia y Acceso a la Información Pública del Estado de México y Municipios.</w:t>
      </w:r>
    </w:p>
    <w:p w14:paraId="3E5BA609" w14:textId="77777777" w:rsidR="00894FBA" w:rsidRPr="00E32178" w:rsidRDefault="00894FBA" w:rsidP="00E32178"/>
    <w:p w14:paraId="5CFD6E86" w14:textId="77777777" w:rsidR="00894FBA" w:rsidRPr="00E32178" w:rsidRDefault="008A5F01" w:rsidP="00E32178">
      <w:pPr>
        <w:pStyle w:val="Ttulo3"/>
      </w:pPr>
      <w:bookmarkStart w:id="25" w:name="_Toc203626730"/>
      <w:r w:rsidRPr="00E32178">
        <w:t>e) Requisitos formales para la interposición del recurso</w:t>
      </w:r>
      <w:bookmarkEnd w:id="25"/>
    </w:p>
    <w:p w14:paraId="018600EC" w14:textId="77777777" w:rsidR="00043C70" w:rsidRPr="00E32178" w:rsidRDefault="00043C70" w:rsidP="00E32178">
      <w:pPr>
        <w:rPr>
          <w:rFonts w:cs="Arial"/>
          <w:sz w:val="24"/>
          <w:szCs w:val="24"/>
          <w:lang w:val="es-ES"/>
        </w:rPr>
      </w:pPr>
      <w:r w:rsidRPr="00E32178">
        <w:rPr>
          <w:sz w:val="24"/>
          <w:szCs w:val="24"/>
          <w:lang w:val="es-ES"/>
        </w:rPr>
        <w:t xml:space="preserve">Es importante mencionar que, de la revisión del expediente electrónico del </w:t>
      </w:r>
      <w:r w:rsidRPr="00E32178">
        <w:rPr>
          <w:bCs/>
          <w:sz w:val="24"/>
          <w:szCs w:val="24"/>
          <w:lang w:val="es-ES"/>
        </w:rPr>
        <w:t>SAIMEX,</w:t>
      </w:r>
      <w:r w:rsidRPr="00E32178">
        <w:rPr>
          <w:sz w:val="24"/>
          <w:szCs w:val="24"/>
          <w:lang w:val="es-ES"/>
        </w:rPr>
        <w:t xml:space="preserve"> se observa que </w:t>
      </w:r>
      <w:r w:rsidRPr="00E32178">
        <w:rPr>
          <w:b/>
          <w:bCs/>
          <w:sz w:val="24"/>
          <w:szCs w:val="24"/>
          <w:lang w:val="es-ES"/>
        </w:rPr>
        <w:t>LA PARTE RECURRENTE</w:t>
      </w:r>
      <w:r w:rsidRPr="00E32178">
        <w:rPr>
          <w:sz w:val="24"/>
          <w:szCs w:val="24"/>
          <w:lang w:val="es-ES"/>
        </w:rPr>
        <w:t xml:space="preserve"> no proporcionó su nombre para ser identificado, lo que en estricto sentido provoca que </w:t>
      </w:r>
      <w:r w:rsidRPr="00E32178">
        <w:rPr>
          <w:rFonts w:cs="Arial"/>
          <w:sz w:val="24"/>
          <w:szCs w:val="24"/>
          <w:lang w:val="es-ES"/>
        </w:rPr>
        <w:t>no</w:t>
      </w:r>
      <w:r w:rsidRPr="00E32178">
        <w:rPr>
          <w:sz w:val="24"/>
          <w:szCs w:val="24"/>
          <w:lang w:val="es-ES"/>
        </w:rPr>
        <w:t xml:space="preserve"> se colmen los requisitos establecidos en el artículo 180 de la Ley de Transparencia; sin embargo, el artículo 15 de </w:t>
      </w:r>
      <w:r w:rsidRPr="00E32178">
        <w:rPr>
          <w:rFonts w:cs="Arial"/>
          <w:sz w:val="24"/>
          <w:szCs w:val="24"/>
          <w:lang w:val="es-ES" w:eastAsia="es-MX"/>
        </w:rPr>
        <w:t xml:space="preserve">Ley de Transparencia y Acceso a la </w:t>
      </w:r>
      <w:r w:rsidRPr="00E32178">
        <w:rPr>
          <w:rFonts w:cs="Arial"/>
          <w:sz w:val="24"/>
          <w:szCs w:val="24"/>
          <w:lang w:val="es-ES"/>
        </w:rPr>
        <w:t>Información</w:t>
      </w:r>
      <w:r w:rsidRPr="00E32178">
        <w:rPr>
          <w:rFonts w:cs="Arial"/>
          <w:sz w:val="24"/>
          <w:szCs w:val="24"/>
          <w:lang w:val="es-ES" w:eastAsia="es-MX"/>
        </w:rPr>
        <w:t xml:space="preserve"> Pública del Estado de México y Municipios </w:t>
      </w:r>
      <w:r w:rsidRPr="00E32178">
        <w:rPr>
          <w:rFonts w:cs="Arial"/>
          <w:iCs/>
          <w:sz w:val="24"/>
          <w:szCs w:val="24"/>
          <w:lang w:val="es-ES"/>
        </w:rPr>
        <w:t xml:space="preserve">prevé que </w:t>
      </w:r>
      <w:r w:rsidRPr="00E32178">
        <w:rPr>
          <w:sz w:val="24"/>
          <w:szCs w:val="24"/>
          <w:lang w:val="es-ES"/>
        </w:rPr>
        <w:t xml:space="preserve">toda persona tendrá acceso a la información </w:t>
      </w:r>
      <w:r w:rsidRPr="00E32178">
        <w:rPr>
          <w:rFonts w:cs="Arial"/>
          <w:sz w:val="24"/>
          <w:szCs w:val="24"/>
          <w:lang w:val="es-ES"/>
        </w:rPr>
        <w:t xml:space="preserve">sin necesidad de acreditar interés alguno o justificar su utilización, de lo que se infiere que </w:t>
      </w:r>
      <w:r w:rsidRPr="00E32178">
        <w:rPr>
          <w:rFonts w:cs="Arial"/>
          <w:b/>
          <w:sz w:val="24"/>
          <w:szCs w:val="24"/>
          <w:u w:val="single"/>
          <w:lang w:val="es-ES"/>
        </w:rPr>
        <w:t xml:space="preserve">el nombre </w:t>
      </w:r>
      <w:r w:rsidRPr="00E32178">
        <w:rPr>
          <w:rFonts w:cs="Arial"/>
          <w:b/>
          <w:sz w:val="24"/>
          <w:szCs w:val="24"/>
          <w:u w:val="single"/>
          <w:lang w:val="es-ES"/>
        </w:rPr>
        <w:lastRenderedPageBreak/>
        <w:t xml:space="preserve">no es un requisito </w:t>
      </w:r>
      <w:r w:rsidRPr="00E32178">
        <w:rPr>
          <w:rFonts w:cs="Arial"/>
          <w:b/>
          <w:iCs/>
          <w:sz w:val="24"/>
          <w:szCs w:val="24"/>
          <w:u w:val="single"/>
          <w:lang w:val="es-ES"/>
        </w:rPr>
        <w:t>indispensable</w:t>
      </w:r>
      <w:r w:rsidRPr="00E32178">
        <w:rPr>
          <w:rFonts w:cs="Arial"/>
          <w:sz w:val="24"/>
          <w:szCs w:val="24"/>
          <w:lang w:val="es-ES"/>
        </w:rPr>
        <w:t xml:space="preserve"> para que las y los ciudadanos ejerzan el derecho de acceso a la información pública. </w:t>
      </w:r>
    </w:p>
    <w:p w14:paraId="0CDE02FA" w14:textId="77777777" w:rsidR="00043C70" w:rsidRPr="00E32178" w:rsidRDefault="00043C70" w:rsidP="00E32178">
      <w:pPr>
        <w:rPr>
          <w:rFonts w:cs="Arial"/>
          <w:sz w:val="24"/>
          <w:szCs w:val="24"/>
          <w:lang w:val="es-ES"/>
        </w:rPr>
      </w:pPr>
    </w:p>
    <w:p w14:paraId="3C24EEDD" w14:textId="77777777" w:rsidR="00043C70" w:rsidRPr="00E32178" w:rsidRDefault="00043C70" w:rsidP="00E32178">
      <w:pPr>
        <w:rPr>
          <w:sz w:val="24"/>
          <w:szCs w:val="24"/>
          <w:lang w:val="es-ES"/>
        </w:rPr>
      </w:pPr>
      <w:r w:rsidRPr="00E32178">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E32178">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E32178">
        <w:rPr>
          <w:b/>
          <w:bCs/>
          <w:sz w:val="24"/>
          <w:szCs w:val="24"/>
          <w:lang w:val="es-ES"/>
        </w:rPr>
        <w:t>LA PARTE RECURRENTE</w:t>
      </w:r>
      <w:r w:rsidRPr="00E32178">
        <w:rPr>
          <w:rFonts w:cs="Arial"/>
          <w:b/>
          <w:sz w:val="24"/>
          <w:szCs w:val="24"/>
          <w:lang w:val="es-ES"/>
        </w:rPr>
        <w:t>;</w:t>
      </w:r>
      <w:r w:rsidRPr="00E32178">
        <w:rPr>
          <w:sz w:val="24"/>
          <w:szCs w:val="24"/>
          <w:lang w:val="es-ES"/>
        </w:rPr>
        <w:t xml:space="preserve"> por lo que, en el presente caso, al haber sido presentado el recurso de revisión vía </w:t>
      </w:r>
      <w:r w:rsidRPr="00E32178">
        <w:rPr>
          <w:bCs/>
          <w:sz w:val="24"/>
          <w:szCs w:val="24"/>
          <w:lang w:val="es-ES"/>
        </w:rPr>
        <w:t>SAIMEX</w:t>
      </w:r>
      <w:r w:rsidRPr="00E32178">
        <w:rPr>
          <w:sz w:val="24"/>
          <w:szCs w:val="24"/>
          <w:lang w:val="es-ES"/>
        </w:rPr>
        <w:t>, dicho requisito resulta innecesario.</w:t>
      </w:r>
    </w:p>
    <w:p w14:paraId="6FEC628C" w14:textId="77777777" w:rsidR="00043C70" w:rsidRPr="00E32178" w:rsidRDefault="00043C70" w:rsidP="00E32178">
      <w:pPr>
        <w:rPr>
          <w:rFonts w:cs="Arial"/>
        </w:rPr>
      </w:pPr>
    </w:p>
    <w:p w14:paraId="5A8D7750" w14:textId="77777777" w:rsidR="00894FBA" w:rsidRPr="00E32178" w:rsidRDefault="008A5F01" w:rsidP="00E32178">
      <w:pPr>
        <w:pStyle w:val="Ttulo2"/>
      </w:pPr>
      <w:bookmarkStart w:id="26" w:name="_Toc203626731"/>
      <w:r w:rsidRPr="00E32178">
        <w:t>SEGUNDO. Estudio de Fondo</w:t>
      </w:r>
      <w:bookmarkEnd w:id="26"/>
    </w:p>
    <w:p w14:paraId="00272BFB" w14:textId="77777777" w:rsidR="00894FBA" w:rsidRPr="00E32178" w:rsidRDefault="008A5F01" w:rsidP="00E32178">
      <w:pPr>
        <w:pStyle w:val="Ttulo3"/>
      </w:pPr>
      <w:bookmarkStart w:id="27" w:name="_Toc203626732"/>
      <w:r w:rsidRPr="00E32178">
        <w:t>a) Mandato de transparencia y responsabilidad del Sujeto Obligado</w:t>
      </w:r>
      <w:bookmarkEnd w:id="27"/>
    </w:p>
    <w:p w14:paraId="79CEEF95" w14:textId="77777777" w:rsidR="00894FBA" w:rsidRPr="00E32178" w:rsidRDefault="008A5F01" w:rsidP="00E32178">
      <w:pPr>
        <w:spacing w:after="240"/>
      </w:pPr>
      <w:r w:rsidRPr="00E3217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2CA1833" w14:textId="77777777" w:rsidR="00894FBA" w:rsidRPr="00E32178" w:rsidRDefault="008A5F01" w:rsidP="00E32178">
      <w:pPr>
        <w:spacing w:line="240" w:lineRule="auto"/>
        <w:ind w:left="567" w:right="539"/>
        <w:rPr>
          <w:b/>
          <w:i/>
        </w:rPr>
      </w:pPr>
      <w:r w:rsidRPr="00E32178">
        <w:rPr>
          <w:b/>
          <w:i/>
        </w:rPr>
        <w:t>Constitución Política de los Estados Unidos Mexicanos</w:t>
      </w:r>
    </w:p>
    <w:p w14:paraId="6E0F2222" w14:textId="77777777" w:rsidR="00894FBA" w:rsidRPr="00E32178" w:rsidRDefault="008A5F01" w:rsidP="00E32178">
      <w:pPr>
        <w:spacing w:line="240" w:lineRule="auto"/>
        <w:ind w:left="567" w:right="539"/>
        <w:rPr>
          <w:b/>
          <w:i/>
        </w:rPr>
      </w:pPr>
      <w:r w:rsidRPr="00E32178">
        <w:rPr>
          <w:b/>
          <w:i/>
        </w:rPr>
        <w:t>“Artículo 6.</w:t>
      </w:r>
    </w:p>
    <w:p w14:paraId="559D68BD" w14:textId="77777777" w:rsidR="00894FBA" w:rsidRPr="00E32178" w:rsidRDefault="008A5F01" w:rsidP="00E32178">
      <w:pPr>
        <w:spacing w:line="240" w:lineRule="auto"/>
        <w:ind w:left="567" w:right="539"/>
        <w:rPr>
          <w:i/>
        </w:rPr>
      </w:pPr>
      <w:r w:rsidRPr="00E32178">
        <w:rPr>
          <w:i/>
        </w:rPr>
        <w:t>(…)</w:t>
      </w:r>
    </w:p>
    <w:p w14:paraId="12C7F434" w14:textId="77777777" w:rsidR="00894FBA" w:rsidRPr="00E32178" w:rsidRDefault="008A5F01" w:rsidP="00E32178">
      <w:pPr>
        <w:spacing w:line="240" w:lineRule="auto"/>
        <w:ind w:left="567" w:right="539"/>
        <w:rPr>
          <w:i/>
        </w:rPr>
      </w:pPr>
      <w:r w:rsidRPr="00E32178">
        <w:rPr>
          <w:i/>
        </w:rPr>
        <w:t>Para efectos de lo dispuesto en el presente artículo se observará lo siguiente:</w:t>
      </w:r>
    </w:p>
    <w:p w14:paraId="1BF024B1" w14:textId="77777777" w:rsidR="00894FBA" w:rsidRPr="00E32178" w:rsidRDefault="008A5F01" w:rsidP="00E32178">
      <w:pPr>
        <w:spacing w:line="240" w:lineRule="auto"/>
        <w:ind w:left="567" w:right="539"/>
        <w:rPr>
          <w:b/>
          <w:i/>
        </w:rPr>
      </w:pPr>
      <w:r w:rsidRPr="00E32178">
        <w:rPr>
          <w:b/>
          <w:i/>
        </w:rPr>
        <w:t>A</w:t>
      </w:r>
      <w:r w:rsidRPr="00E32178">
        <w:rPr>
          <w:i/>
        </w:rPr>
        <w:t xml:space="preserve">. </w:t>
      </w:r>
      <w:r w:rsidRPr="00E32178">
        <w:rPr>
          <w:b/>
          <w:i/>
        </w:rPr>
        <w:t>Para el ejercicio del derecho de acceso a la información</w:t>
      </w:r>
      <w:r w:rsidRPr="00E32178">
        <w:rPr>
          <w:i/>
        </w:rPr>
        <w:t xml:space="preserve">, la Federación y </w:t>
      </w:r>
      <w:r w:rsidRPr="00E32178">
        <w:rPr>
          <w:b/>
          <w:i/>
        </w:rPr>
        <w:t>las entidades federativas, en el ámbito de sus respectivas competencias, se regirán por los siguientes principios y bases:</w:t>
      </w:r>
    </w:p>
    <w:p w14:paraId="66BC5DCF" w14:textId="77777777" w:rsidR="00894FBA" w:rsidRPr="00E32178" w:rsidRDefault="008A5F01" w:rsidP="00E32178">
      <w:pPr>
        <w:spacing w:line="240" w:lineRule="auto"/>
        <w:ind w:left="567" w:right="539"/>
        <w:rPr>
          <w:i/>
        </w:rPr>
      </w:pPr>
      <w:r w:rsidRPr="00E32178">
        <w:rPr>
          <w:b/>
          <w:i/>
        </w:rPr>
        <w:t xml:space="preserve">I. </w:t>
      </w:r>
      <w:r w:rsidRPr="00E32178">
        <w:rPr>
          <w:b/>
          <w:i/>
        </w:rPr>
        <w:tab/>
        <w:t>Toda la información en posesión de cualquier</w:t>
      </w:r>
      <w:r w:rsidRPr="00E32178">
        <w:rPr>
          <w:i/>
        </w:rPr>
        <w:t xml:space="preserve"> </w:t>
      </w:r>
      <w:r w:rsidRPr="00E32178">
        <w:rPr>
          <w:b/>
          <w:i/>
        </w:rPr>
        <w:t>autoridad</w:t>
      </w:r>
      <w:r w:rsidRPr="00E32178">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32178">
        <w:rPr>
          <w:b/>
          <w:i/>
        </w:rPr>
        <w:t>municipal</w:t>
      </w:r>
      <w:r w:rsidRPr="00E32178">
        <w:rPr>
          <w:i/>
        </w:rPr>
        <w:t xml:space="preserve">, </w:t>
      </w:r>
      <w:r w:rsidRPr="00E32178">
        <w:rPr>
          <w:b/>
          <w:i/>
        </w:rPr>
        <w:t>es pública</w:t>
      </w:r>
      <w:r w:rsidRPr="00E32178">
        <w:rPr>
          <w:i/>
        </w:rPr>
        <w:t xml:space="preserve"> y sólo podrá ser reservada temporalmente por </w:t>
      </w:r>
      <w:r w:rsidRPr="00E32178">
        <w:rPr>
          <w:i/>
        </w:rPr>
        <w:lastRenderedPageBreak/>
        <w:t xml:space="preserve">razones de interés público y seguridad nacional, en los términos que fijen las leyes. </w:t>
      </w:r>
      <w:r w:rsidRPr="00E32178">
        <w:rPr>
          <w:b/>
          <w:i/>
        </w:rPr>
        <w:t>En la interpretación de este derecho deberá prevalecer el principio de máxima publicidad. Los sujetos obligados deberán documentar todo acto que derive del ejercicio de sus facultades, competencias o funciones</w:t>
      </w:r>
      <w:r w:rsidRPr="00E32178">
        <w:rPr>
          <w:i/>
        </w:rPr>
        <w:t>, la ley determinará los supuestos específicos bajo los cuales procederá la declaración de inexistencia de la información.”</w:t>
      </w:r>
    </w:p>
    <w:p w14:paraId="6367C14A" w14:textId="77777777" w:rsidR="00894FBA" w:rsidRPr="00E32178" w:rsidRDefault="008A5F01" w:rsidP="00E32178">
      <w:pPr>
        <w:spacing w:line="240" w:lineRule="auto"/>
        <w:ind w:left="567" w:right="539"/>
        <w:rPr>
          <w:b/>
          <w:i/>
        </w:rPr>
      </w:pPr>
      <w:r w:rsidRPr="00E32178">
        <w:rPr>
          <w:b/>
          <w:i/>
        </w:rPr>
        <w:t>Constitución Política del Estado Libre y Soberano de México</w:t>
      </w:r>
    </w:p>
    <w:p w14:paraId="1E6F0DB9" w14:textId="77777777" w:rsidR="00894FBA" w:rsidRPr="00E32178" w:rsidRDefault="008A5F01" w:rsidP="00E32178">
      <w:pPr>
        <w:spacing w:line="240" w:lineRule="auto"/>
        <w:ind w:left="567" w:right="539"/>
        <w:rPr>
          <w:i/>
        </w:rPr>
      </w:pPr>
      <w:r w:rsidRPr="00E32178">
        <w:rPr>
          <w:b/>
          <w:i/>
        </w:rPr>
        <w:t>“Artículo 5</w:t>
      </w:r>
      <w:r w:rsidRPr="00E32178">
        <w:rPr>
          <w:i/>
        </w:rPr>
        <w:t xml:space="preserve">.- </w:t>
      </w:r>
    </w:p>
    <w:p w14:paraId="256E43E1" w14:textId="77777777" w:rsidR="00894FBA" w:rsidRPr="00E32178" w:rsidRDefault="008A5F01" w:rsidP="00E32178">
      <w:pPr>
        <w:spacing w:line="240" w:lineRule="auto"/>
        <w:ind w:left="567" w:right="539"/>
        <w:rPr>
          <w:i/>
        </w:rPr>
      </w:pPr>
      <w:r w:rsidRPr="00E32178">
        <w:rPr>
          <w:i/>
        </w:rPr>
        <w:t>(…)</w:t>
      </w:r>
    </w:p>
    <w:p w14:paraId="122EE821" w14:textId="77777777" w:rsidR="00894FBA" w:rsidRPr="00E32178" w:rsidRDefault="008A5F01" w:rsidP="00E32178">
      <w:pPr>
        <w:spacing w:line="240" w:lineRule="auto"/>
        <w:ind w:left="567" w:right="539"/>
        <w:rPr>
          <w:i/>
        </w:rPr>
      </w:pPr>
      <w:r w:rsidRPr="00E32178">
        <w:rPr>
          <w:b/>
          <w:i/>
        </w:rPr>
        <w:t>El derecho a la información será garantizado por el Estado. La ley establecerá las previsiones que permitan asegurar la protección, el respeto y la difusión de este derecho</w:t>
      </w:r>
      <w:r w:rsidRPr="00E32178">
        <w:rPr>
          <w:i/>
        </w:rPr>
        <w:t>.</w:t>
      </w:r>
    </w:p>
    <w:p w14:paraId="2C8C0837" w14:textId="77777777" w:rsidR="00894FBA" w:rsidRPr="00E32178" w:rsidRDefault="008A5F01" w:rsidP="00E32178">
      <w:pPr>
        <w:spacing w:line="240" w:lineRule="auto"/>
        <w:ind w:left="567" w:right="539"/>
        <w:rPr>
          <w:i/>
        </w:rPr>
      </w:pPr>
      <w:r w:rsidRPr="00E3217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323F1BC" w14:textId="77777777" w:rsidR="00894FBA" w:rsidRPr="00E32178" w:rsidRDefault="008A5F01" w:rsidP="00E32178">
      <w:pPr>
        <w:spacing w:line="240" w:lineRule="auto"/>
        <w:ind w:left="567" w:right="539"/>
        <w:rPr>
          <w:i/>
        </w:rPr>
      </w:pPr>
      <w:r w:rsidRPr="00E32178">
        <w:rPr>
          <w:b/>
          <w:i/>
        </w:rPr>
        <w:t>Este derecho se regirá por los principios y bases siguientes</w:t>
      </w:r>
      <w:r w:rsidRPr="00E32178">
        <w:rPr>
          <w:i/>
        </w:rPr>
        <w:t>:</w:t>
      </w:r>
    </w:p>
    <w:p w14:paraId="64FD8546" w14:textId="77777777" w:rsidR="00894FBA" w:rsidRPr="00E32178" w:rsidRDefault="008A5F01" w:rsidP="00E32178">
      <w:pPr>
        <w:spacing w:line="240" w:lineRule="auto"/>
        <w:ind w:left="567" w:right="539"/>
        <w:rPr>
          <w:i/>
        </w:rPr>
      </w:pPr>
      <w:r w:rsidRPr="00E32178">
        <w:rPr>
          <w:b/>
          <w:i/>
        </w:rPr>
        <w:t>I. Toda la información en posesión de cualquier autoridad, entidad, órgano y organismos de los</w:t>
      </w:r>
      <w:r w:rsidRPr="00E32178">
        <w:rPr>
          <w:i/>
        </w:rPr>
        <w:t xml:space="preserve"> Poderes Ejecutivo, Legislativo y Judicial, órganos autónomos, partidos políticos, fideicomisos y fondos públicos estatales y </w:t>
      </w:r>
      <w:r w:rsidRPr="00E32178">
        <w:rPr>
          <w:b/>
          <w:i/>
        </w:rPr>
        <w:t>municipales</w:t>
      </w:r>
      <w:r w:rsidRPr="00E3217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32178">
        <w:rPr>
          <w:b/>
          <w:i/>
        </w:rPr>
        <w:t>es pública</w:t>
      </w:r>
      <w:r w:rsidRPr="00E32178">
        <w:rPr>
          <w:i/>
        </w:rPr>
        <w:t xml:space="preserve"> y sólo podrá ser reservada temporalmente por razones previstas en la Constitución Política de los Estados Unidos Mexicanos de interés público y seguridad, en los términos que fijen las leyes. </w:t>
      </w:r>
      <w:r w:rsidRPr="00E32178">
        <w:rPr>
          <w:b/>
          <w:i/>
        </w:rPr>
        <w:t>En la interpretación de este derecho deberá prevalecer el principio de máxima publicidad</w:t>
      </w:r>
      <w:r w:rsidRPr="00E32178">
        <w:rPr>
          <w:i/>
        </w:rPr>
        <w:t xml:space="preserve">. </w:t>
      </w:r>
      <w:r w:rsidRPr="00E32178">
        <w:rPr>
          <w:b/>
          <w:i/>
        </w:rPr>
        <w:t>Los sujetos obligados deberán documentar todo acto que derive del ejercicio de sus facultades, competencias o funciones</w:t>
      </w:r>
      <w:r w:rsidRPr="00E32178">
        <w:rPr>
          <w:i/>
        </w:rPr>
        <w:t>, la ley determinará los supuestos específicos bajo los cuales procederá la declaración de inexistencia de la información.”</w:t>
      </w:r>
    </w:p>
    <w:p w14:paraId="6CEEAF4F" w14:textId="77777777" w:rsidR="00894FBA" w:rsidRPr="00E32178" w:rsidRDefault="00894FBA" w:rsidP="00E32178">
      <w:pPr>
        <w:spacing w:line="240" w:lineRule="auto"/>
        <w:ind w:left="567" w:right="539"/>
        <w:rPr>
          <w:i/>
        </w:rPr>
      </w:pPr>
    </w:p>
    <w:p w14:paraId="1BC86496" w14:textId="77777777" w:rsidR="00894FBA" w:rsidRPr="00E32178" w:rsidRDefault="008A5F01" w:rsidP="00E32178">
      <w:pPr>
        <w:rPr>
          <w:i/>
        </w:rPr>
      </w:pPr>
      <w:r w:rsidRPr="00E3217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32178">
        <w:rPr>
          <w:i/>
        </w:rPr>
        <w:t>por los principios de simplicidad, rapidez, gratuidad del procedimiento, auxilio y orientación a los particulares.</w:t>
      </w:r>
    </w:p>
    <w:p w14:paraId="71C77DC5" w14:textId="77777777" w:rsidR="00894FBA" w:rsidRPr="00E32178" w:rsidRDefault="00894FBA" w:rsidP="00E32178">
      <w:pPr>
        <w:rPr>
          <w:i/>
        </w:rPr>
      </w:pPr>
    </w:p>
    <w:p w14:paraId="0D30E003" w14:textId="77777777" w:rsidR="00894FBA" w:rsidRPr="00E32178" w:rsidRDefault="008A5F01" w:rsidP="00E32178">
      <w:pPr>
        <w:rPr>
          <w:i/>
        </w:rPr>
      </w:pPr>
      <w:r w:rsidRPr="00E32178">
        <w:t xml:space="preserve">Por su parte, el artículo 4 de la Ley de Transparencia y Acceso a la Información Pública del Estado de México y Municipios refiere que toda la información generada, obtenida, adquirida, </w:t>
      </w:r>
      <w:r w:rsidRPr="00E32178">
        <w:lastRenderedPageBreak/>
        <w:t>transformada, administrada o en posesión de los sujetos obligados es pública y accesible de manera permanente a cualquier persona, privilegiando el principio de máxima publicidad.</w:t>
      </w:r>
    </w:p>
    <w:p w14:paraId="270E86DE" w14:textId="77777777" w:rsidR="00894FBA" w:rsidRPr="00E32178" w:rsidRDefault="00894FBA" w:rsidP="00E32178"/>
    <w:p w14:paraId="7358B9D4" w14:textId="77777777" w:rsidR="00894FBA" w:rsidRPr="00E32178" w:rsidRDefault="008A5F01" w:rsidP="00E32178">
      <w:r w:rsidRPr="00E3217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DDDE949" w14:textId="77777777" w:rsidR="00894FBA" w:rsidRPr="00E32178" w:rsidRDefault="00894FBA" w:rsidP="00E32178"/>
    <w:p w14:paraId="354B6552" w14:textId="77777777" w:rsidR="00894FBA" w:rsidRPr="00E32178" w:rsidRDefault="008A5F01" w:rsidP="00E32178">
      <w:pPr>
        <w:spacing w:after="240"/>
      </w:pPr>
      <w:r w:rsidRPr="00E3217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87ABF6D" w14:textId="77777777" w:rsidR="00894FBA" w:rsidRPr="00E32178" w:rsidRDefault="008A5F01" w:rsidP="00E32178">
      <w:pPr>
        <w:spacing w:after="240"/>
      </w:pPr>
      <w:r w:rsidRPr="00E3217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80E7AC3" w14:textId="77777777" w:rsidR="00894FBA" w:rsidRPr="00E32178" w:rsidRDefault="008A5F01" w:rsidP="00E32178">
      <w:pPr>
        <w:spacing w:after="240"/>
      </w:pPr>
      <w:bookmarkStart w:id="28" w:name="_heading=h.2xcytpi" w:colFirst="0" w:colLast="0"/>
      <w:bookmarkEnd w:id="28"/>
      <w:r w:rsidRPr="00E32178">
        <w:t xml:space="preserve">Con base en lo anterior, se considera que </w:t>
      </w:r>
      <w:r w:rsidRPr="00E32178">
        <w:rPr>
          <w:b/>
        </w:rPr>
        <w:t>EL</w:t>
      </w:r>
      <w:r w:rsidRPr="00E32178">
        <w:t xml:space="preserve"> </w:t>
      </w:r>
      <w:r w:rsidRPr="00E32178">
        <w:rPr>
          <w:b/>
        </w:rPr>
        <w:t>SUJETO OBLIGADO</w:t>
      </w:r>
      <w:r w:rsidRPr="00E32178">
        <w:t xml:space="preserve"> se encontraba compelido a atender la solicitud de acceso a la información realizada por </w:t>
      </w:r>
      <w:r w:rsidRPr="00E32178">
        <w:rPr>
          <w:b/>
        </w:rPr>
        <w:t>LA PARTE RECURRENTE</w:t>
      </w:r>
      <w:r w:rsidRPr="00E32178">
        <w:t>.</w:t>
      </w:r>
    </w:p>
    <w:p w14:paraId="2E884D3A" w14:textId="77777777" w:rsidR="00894FBA" w:rsidRPr="00E32178" w:rsidRDefault="008A5F01" w:rsidP="00E32178">
      <w:pPr>
        <w:pStyle w:val="Ttulo3"/>
      </w:pPr>
      <w:bookmarkStart w:id="29" w:name="_Toc203626733"/>
      <w:r w:rsidRPr="00E32178">
        <w:lastRenderedPageBreak/>
        <w:t>b) Controversia a resolver</w:t>
      </w:r>
      <w:bookmarkEnd w:id="29"/>
    </w:p>
    <w:p w14:paraId="3E07815D" w14:textId="77777777" w:rsidR="00894FBA" w:rsidRPr="00E32178" w:rsidRDefault="008A5F01" w:rsidP="00E32178">
      <w:pPr>
        <w:spacing w:after="240"/>
      </w:pPr>
      <w:r w:rsidRPr="00E32178">
        <w:t xml:space="preserve">Con el objeto de ilustrar la controversia planteada, resulta conveniente precisar que, una vez realizado el estudio de las constancias que integran el expediente en que se actúa, se desprende que </w:t>
      </w:r>
      <w:r w:rsidRPr="00E32178">
        <w:rPr>
          <w:b/>
        </w:rPr>
        <w:t>LA PARTE RECURRENTE</w:t>
      </w:r>
      <w:r w:rsidRPr="00E32178">
        <w:t xml:space="preserve"> solicitó de</w:t>
      </w:r>
      <w:r w:rsidR="001047BB" w:rsidRPr="00E32178">
        <w:t xml:space="preserve">l </w:t>
      </w:r>
      <w:r w:rsidR="00043C70" w:rsidRPr="00E32178">
        <w:t xml:space="preserve">Ayuntamiento de Atizapán de Zaragoza </w:t>
      </w:r>
      <w:r w:rsidRPr="00E32178">
        <w:t xml:space="preserve">como </w:t>
      </w:r>
      <w:r w:rsidRPr="00E32178">
        <w:rPr>
          <w:b/>
        </w:rPr>
        <w:t>SUJETO OBLIGADO</w:t>
      </w:r>
      <w:r w:rsidR="00043C70" w:rsidRPr="00E32178">
        <w:t xml:space="preserve"> </w:t>
      </w:r>
      <w:r w:rsidR="001A4F47" w:rsidRPr="00E32178">
        <w:t>el i</w:t>
      </w:r>
      <w:r w:rsidR="00043C70" w:rsidRPr="00E32178">
        <w:t>nventario de todo el parque vehicular del municipio.</w:t>
      </w:r>
    </w:p>
    <w:p w14:paraId="40FA97B7" w14:textId="77777777" w:rsidR="00B84F21" w:rsidRPr="00E32178" w:rsidRDefault="008A5F01" w:rsidP="00E32178">
      <w:pPr>
        <w:spacing w:after="240"/>
      </w:pPr>
      <w:r w:rsidRPr="00E32178">
        <w:t>En respuesta a través de</w:t>
      </w:r>
      <w:r w:rsidR="00C37FB4" w:rsidRPr="00E32178">
        <w:t xml:space="preserve">l </w:t>
      </w:r>
      <w:r w:rsidR="00B84F21" w:rsidRPr="00E32178">
        <w:rPr>
          <w:rFonts w:eastAsia="Palatino Linotype" w:cs="Palatino Linotype"/>
          <w:szCs w:val="22"/>
        </w:rPr>
        <w:t xml:space="preserve">Subsecretario de Patrimonio Municipal, </w:t>
      </w:r>
      <w:r w:rsidR="00B84F21" w:rsidRPr="00E32178">
        <w:rPr>
          <w:rFonts w:eastAsia="Palatino Linotype" w:cs="Palatino Linotype"/>
          <w:b/>
          <w:szCs w:val="22"/>
        </w:rPr>
        <w:t>EL SUJETO OBLIGADO</w:t>
      </w:r>
      <w:r w:rsidR="00B84F21" w:rsidRPr="00E32178">
        <w:rPr>
          <w:rFonts w:eastAsia="Palatino Linotype" w:cs="Palatino Linotype"/>
          <w:szCs w:val="22"/>
        </w:rPr>
        <w:t xml:space="preserve"> mediante el oficio S.H.A./P.M./MM/TM/180/2025 de manera sustancial informa que lo peticionado referente al registro de las unidades vehiculares que son propiedad del municipio se encuentran en el portal de Transparencia en el apartado IPOMEX en cumplimiento al artículo 92, fracción XXXVIII de la ley de la materia local, correspondiente al inventario de bienes muebles aportando un link en formato cerrado.</w:t>
      </w:r>
    </w:p>
    <w:p w14:paraId="689B1388" w14:textId="77777777" w:rsidR="00894FBA" w:rsidRPr="00E32178" w:rsidRDefault="008A5F01" w:rsidP="00E32178">
      <w:pPr>
        <w:tabs>
          <w:tab w:val="left" w:pos="4962"/>
        </w:tabs>
        <w:spacing w:after="240"/>
      </w:pPr>
      <w:r w:rsidRPr="00E32178">
        <w:t xml:space="preserve">Ante la respuesta del </w:t>
      </w:r>
      <w:r w:rsidRPr="00E32178">
        <w:rPr>
          <w:b/>
        </w:rPr>
        <w:t>SUJETO OBLIGADO</w:t>
      </w:r>
      <w:r w:rsidRPr="00E32178">
        <w:t xml:space="preserve">, se interpuso el presente Recurso mediante el cual </w:t>
      </w:r>
      <w:r w:rsidRPr="00E32178">
        <w:rPr>
          <w:b/>
        </w:rPr>
        <w:t>LA PARTE RECURRENTE</w:t>
      </w:r>
      <w:r w:rsidRPr="00E32178">
        <w:t xml:space="preserve"> se inconformó </w:t>
      </w:r>
      <w:r w:rsidR="00233BDC" w:rsidRPr="00E32178">
        <w:t xml:space="preserve">esencialmente </w:t>
      </w:r>
      <w:r w:rsidR="00B84F21" w:rsidRPr="00E32178">
        <w:t>de la negativa de la información peticionada</w:t>
      </w:r>
      <w:r w:rsidR="00233BDC" w:rsidRPr="00E32178">
        <w:t xml:space="preserve">. </w:t>
      </w:r>
    </w:p>
    <w:p w14:paraId="20493042" w14:textId="77777777" w:rsidR="00894FBA" w:rsidRPr="00E32178" w:rsidRDefault="008A5F01" w:rsidP="00E32178">
      <w:pPr>
        <w:tabs>
          <w:tab w:val="left" w:pos="4962"/>
        </w:tabs>
        <w:spacing w:after="240"/>
      </w:pPr>
      <w:r w:rsidRPr="00E32178">
        <w:t xml:space="preserve">Ahora bien, de acuerdo con las constancias digitales que obran en </w:t>
      </w:r>
      <w:r w:rsidRPr="00E32178">
        <w:rPr>
          <w:b/>
        </w:rPr>
        <w:t>EL</w:t>
      </w:r>
      <w:r w:rsidRPr="00E32178">
        <w:t xml:space="preserve"> </w:t>
      </w:r>
      <w:r w:rsidRPr="00E32178">
        <w:rPr>
          <w:b/>
        </w:rPr>
        <w:t>SAIMEX</w:t>
      </w:r>
      <w:r w:rsidRPr="00E32178">
        <w:t xml:space="preserve"> se desprende que conforme a lo dispuesto en el artículo 185 de la Ley de Transparencia local, dentro del término legalmente concedido a </w:t>
      </w:r>
      <w:r w:rsidRPr="00E32178">
        <w:rPr>
          <w:b/>
        </w:rPr>
        <w:t>LA PARTE RECURRENTE</w:t>
      </w:r>
      <w:r w:rsidRPr="00E32178">
        <w:t xml:space="preserve">, ésta no realizó manifestación alguna, ni presentó pruebas o alegatos, </w:t>
      </w:r>
      <w:r w:rsidR="00B84F21" w:rsidRPr="00E32178">
        <w:t>por su parte</w:t>
      </w:r>
      <w:r w:rsidR="008B7C83" w:rsidRPr="00E32178">
        <w:t xml:space="preserve"> </w:t>
      </w:r>
      <w:r w:rsidRPr="00E32178">
        <w:rPr>
          <w:b/>
        </w:rPr>
        <w:t>EL SUJETO OBLIGADO</w:t>
      </w:r>
      <w:r w:rsidRPr="00E32178">
        <w:t xml:space="preserve"> rindió su Informe Justificado </w:t>
      </w:r>
      <w:r w:rsidR="008B7C83" w:rsidRPr="00E32178">
        <w:t>correspondiente</w:t>
      </w:r>
      <w:r w:rsidR="00B84F21" w:rsidRPr="00E32178">
        <w:t xml:space="preserve"> mediante el cual ratifica su respuesta primigenia</w:t>
      </w:r>
      <w:r w:rsidRPr="00E32178">
        <w:t>.</w:t>
      </w:r>
    </w:p>
    <w:p w14:paraId="32CD2460" w14:textId="77777777" w:rsidR="008B7C83" w:rsidRPr="00E32178" w:rsidRDefault="008A5F01" w:rsidP="00E32178">
      <w:pPr>
        <w:tabs>
          <w:tab w:val="left" w:pos="4962"/>
        </w:tabs>
      </w:pPr>
      <w:r w:rsidRPr="00E32178">
        <w:t xml:space="preserve">Por lo tanto, el estudio del presente medio de impugnación se centrará en el análisis de las documentales remitidas para determinar si se colma o no con la pretensión del particular o deviene fundado el argumento de </w:t>
      </w:r>
      <w:r w:rsidRPr="00E32178">
        <w:rPr>
          <w:b/>
        </w:rPr>
        <w:t xml:space="preserve">LA PARTE RECURRENTE </w:t>
      </w:r>
      <w:r w:rsidRPr="00E32178">
        <w:t xml:space="preserve">respecto a que </w:t>
      </w:r>
      <w:r w:rsidR="00B84F21" w:rsidRPr="00E32178">
        <w:t>se le negó la información peticionada</w:t>
      </w:r>
      <w:r w:rsidR="008B7C83" w:rsidRPr="00E32178">
        <w:t xml:space="preserve">. </w:t>
      </w:r>
    </w:p>
    <w:p w14:paraId="02F94CE6" w14:textId="77777777" w:rsidR="00894FBA" w:rsidRPr="00E32178" w:rsidRDefault="00894FBA" w:rsidP="00E32178">
      <w:pPr>
        <w:tabs>
          <w:tab w:val="left" w:pos="4962"/>
        </w:tabs>
      </w:pPr>
    </w:p>
    <w:p w14:paraId="3107B4C0" w14:textId="77777777" w:rsidR="00894FBA" w:rsidRPr="00E32178" w:rsidRDefault="008A5F01" w:rsidP="00E32178">
      <w:pPr>
        <w:pStyle w:val="Ttulo3"/>
      </w:pPr>
      <w:bookmarkStart w:id="30" w:name="_Toc203626734"/>
      <w:r w:rsidRPr="00E32178">
        <w:t>c) Estudio de la controversia</w:t>
      </w:r>
      <w:bookmarkEnd w:id="30"/>
    </w:p>
    <w:p w14:paraId="0FADEF24" w14:textId="77777777" w:rsidR="00D2186E" w:rsidRPr="00E32178" w:rsidRDefault="00D2186E" w:rsidP="00E32178">
      <w:pPr>
        <w:spacing w:after="240"/>
      </w:pPr>
      <w:r w:rsidRPr="00E32178">
        <w:t xml:space="preserve">Iniciando con el estudio </w:t>
      </w:r>
      <w:r w:rsidR="00B84F21" w:rsidRPr="00E32178">
        <w:t xml:space="preserve">y </w:t>
      </w:r>
      <w:r w:rsidRPr="00E32178">
        <w:t>en el contexto de la información solicitada la Constitución Política de los Estados Unidos Mexicanos establece:</w:t>
      </w:r>
    </w:p>
    <w:p w14:paraId="1EBBE3D7" w14:textId="77777777" w:rsidR="00D2186E" w:rsidRPr="00E32178" w:rsidRDefault="00D2186E" w:rsidP="00E32178">
      <w:pPr>
        <w:spacing w:line="240" w:lineRule="auto"/>
        <w:ind w:left="851" w:right="964"/>
        <w:rPr>
          <w:i/>
        </w:rPr>
      </w:pPr>
      <w:r w:rsidRPr="00E32178">
        <w:rPr>
          <w:b/>
          <w:i/>
        </w:rPr>
        <w:t>Artículo 115.</w:t>
      </w:r>
      <w:r w:rsidRPr="00E32178">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206594" w14:textId="77777777" w:rsidR="00D2186E" w:rsidRPr="00E32178" w:rsidRDefault="00D2186E" w:rsidP="00E32178">
      <w:pPr>
        <w:spacing w:line="240" w:lineRule="auto"/>
        <w:ind w:left="851" w:right="964"/>
        <w:rPr>
          <w:i/>
        </w:rPr>
      </w:pPr>
    </w:p>
    <w:p w14:paraId="5AE5BAA0" w14:textId="77777777" w:rsidR="00D2186E" w:rsidRPr="00E32178" w:rsidRDefault="00D2186E" w:rsidP="00E32178">
      <w:pPr>
        <w:pStyle w:val="Ttulo"/>
        <w:ind w:left="851" w:right="964"/>
      </w:pPr>
      <w:r w:rsidRPr="00E32178">
        <w:t xml:space="preserve">I. Cada Municipio será gobernado por un Ayuntamiento de elección popular directa, integrado por un </w:t>
      </w:r>
      <w:proofErr w:type="gramStart"/>
      <w:r w:rsidRPr="00E32178">
        <w:t>Presidente</w:t>
      </w:r>
      <w:proofErr w:type="gramEnd"/>
      <w:r w:rsidRPr="00E32178">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3A35807D" w14:textId="77777777" w:rsidR="00D2186E" w:rsidRPr="00E32178" w:rsidRDefault="00D2186E" w:rsidP="00E32178">
      <w:pPr>
        <w:spacing w:line="240" w:lineRule="auto"/>
        <w:ind w:left="851" w:right="964"/>
        <w:rPr>
          <w:i/>
        </w:rPr>
      </w:pPr>
      <w:r w:rsidRPr="00E32178">
        <w:rPr>
          <w:i/>
        </w:rPr>
        <w:t>(…)</w:t>
      </w:r>
    </w:p>
    <w:p w14:paraId="318F189F" w14:textId="77777777" w:rsidR="00D2186E" w:rsidRPr="00E32178" w:rsidRDefault="00D2186E" w:rsidP="00E32178">
      <w:pPr>
        <w:pStyle w:val="Ttulo"/>
        <w:ind w:left="851" w:right="964"/>
      </w:pPr>
      <w:r w:rsidRPr="00E32178">
        <w:rPr>
          <w:b/>
        </w:rPr>
        <w:t xml:space="preserve">II. </w:t>
      </w:r>
      <w:r w:rsidRPr="00E32178">
        <w:t>Los municipios estarán investidos de personalidad jurídica y manejarán su patrimonio conforme a la ley.</w:t>
      </w:r>
    </w:p>
    <w:p w14:paraId="59B0641A" w14:textId="77777777" w:rsidR="00D2186E" w:rsidRPr="00E32178" w:rsidRDefault="00D2186E" w:rsidP="00E32178">
      <w:pPr>
        <w:pStyle w:val="Ttulo"/>
        <w:ind w:left="851" w:right="964"/>
      </w:pPr>
      <w:r w:rsidRPr="00E32178">
        <w:t xml:space="preserve"> </w:t>
      </w:r>
    </w:p>
    <w:p w14:paraId="5EFD1934" w14:textId="77777777" w:rsidR="00D2186E" w:rsidRPr="00E32178" w:rsidRDefault="00D2186E" w:rsidP="00E32178">
      <w:pPr>
        <w:pStyle w:val="Ttulo"/>
        <w:ind w:left="851" w:right="964"/>
      </w:pPr>
      <w:r w:rsidRPr="00E32178">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2EBCBEFA" w14:textId="77777777" w:rsidR="00D2186E" w:rsidRPr="00E32178" w:rsidRDefault="00D2186E" w:rsidP="00E32178">
      <w:pPr>
        <w:spacing w:line="240" w:lineRule="auto"/>
        <w:ind w:left="851" w:right="964"/>
        <w:rPr>
          <w:i/>
        </w:rPr>
      </w:pPr>
      <w:r w:rsidRPr="00E32178">
        <w:rPr>
          <w:i/>
        </w:rPr>
        <w:t>(…)</w:t>
      </w:r>
    </w:p>
    <w:p w14:paraId="19F7438E" w14:textId="77777777" w:rsidR="00D2186E" w:rsidRPr="00E32178" w:rsidRDefault="00D2186E" w:rsidP="00E32178">
      <w:pPr>
        <w:spacing w:after="240"/>
      </w:pPr>
      <w:r w:rsidRPr="00E32178">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3DE7640B" w14:textId="77777777" w:rsidR="00D2186E" w:rsidRPr="00E32178" w:rsidRDefault="00D2186E" w:rsidP="00E32178">
      <w:pPr>
        <w:spacing w:after="240"/>
        <w:ind w:right="-93"/>
      </w:pPr>
      <w:r w:rsidRPr="00E32178">
        <w:t>Asimismo, la Constitución Política del Estado Libre y Soberano de México establece:</w:t>
      </w:r>
    </w:p>
    <w:p w14:paraId="70F5E272" w14:textId="77777777" w:rsidR="00D2186E" w:rsidRPr="00E32178" w:rsidRDefault="00D2186E" w:rsidP="00E32178">
      <w:pPr>
        <w:pStyle w:val="Ttulo"/>
        <w:ind w:left="851" w:right="822"/>
      </w:pPr>
      <w:r w:rsidRPr="00E32178">
        <w:rPr>
          <w:b/>
        </w:rPr>
        <w:lastRenderedPageBreak/>
        <w:t xml:space="preserve">Artículo 112.- </w:t>
      </w:r>
      <w:r w:rsidRPr="00E32178">
        <w:t xml:space="preserve">La base de la división territorial y de la organización política y administrativa del Estado, es el municipio libre. Las facultades que la Constitución de la República y el presente ordenamiento otorgan al gobierno municipal se </w:t>
      </w:r>
      <w:proofErr w:type="gramStart"/>
      <w:r w:rsidRPr="00E32178">
        <w:t>ejercerá</w:t>
      </w:r>
      <w:proofErr w:type="gramEnd"/>
      <w:r w:rsidRPr="00E32178">
        <w:t xml:space="preserve"> por el ayuntamiento de manera exclusiva y no habrá autoridad intermedia alguna entre éste y el gobierno del Estado.</w:t>
      </w:r>
    </w:p>
    <w:p w14:paraId="23FD1133" w14:textId="77777777" w:rsidR="00D2186E" w:rsidRPr="00E32178" w:rsidRDefault="00D2186E" w:rsidP="00E32178">
      <w:pPr>
        <w:pStyle w:val="Ttulo"/>
        <w:spacing w:after="240"/>
        <w:ind w:left="851" w:right="822"/>
      </w:pPr>
      <w:r w:rsidRPr="00E32178">
        <w:t>Los municipios del Estado, su denominación y la de sus cabeceras, serán los que señale la ley de la materia.</w:t>
      </w:r>
    </w:p>
    <w:p w14:paraId="3E8986A7" w14:textId="77777777" w:rsidR="00D2186E" w:rsidRPr="00E32178" w:rsidRDefault="00D2186E" w:rsidP="00E32178">
      <w:pPr>
        <w:spacing w:after="240"/>
      </w:pPr>
      <w:r w:rsidRPr="00E32178">
        <w:t>Por su parte el Bando Municipal de San José del Rincón refiere:</w:t>
      </w:r>
    </w:p>
    <w:p w14:paraId="3CFF8631" w14:textId="77777777" w:rsidR="00D2186E" w:rsidRPr="00E32178" w:rsidRDefault="006576AE" w:rsidP="00E32178">
      <w:pPr>
        <w:spacing w:before="240" w:after="240" w:line="240" w:lineRule="auto"/>
        <w:ind w:left="851" w:right="822"/>
        <w:rPr>
          <w:b/>
          <w:i/>
        </w:rPr>
      </w:pPr>
      <w:r w:rsidRPr="00E32178">
        <w:rPr>
          <w:b/>
          <w:i/>
        </w:rPr>
        <w:t xml:space="preserve">ARTÍCULO 35.- </w:t>
      </w:r>
      <w:r w:rsidRPr="00E32178">
        <w:rPr>
          <w:i/>
        </w:rPr>
        <w:t>El gobierno del Municipio está depositado en un cuerpo colegiado que se denomina H. Ayuntamiento, siendo éste de elección popular directa, el cual ejerce su competencia plena y exclusiva sobre su territorio, población, organización social y administrativa</w:t>
      </w:r>
      <w:r w:rsidRPr="00E32178">
        <w:rPr>
          <w:b/>
          <w:i/>
        </w:rPr>
        <w:t>.</w:t>
      </w:r>
    </w:p>
    <w:p w14:paraId="31CBD141" w14:textId="77777777" w:rsidR="006576AE" w:rsidRPr="00E32178" w:rsidRDefault="006576AE" w:rsidP="00E32178">
      <w:pPr>
        <w:spacing w:before="240" w:after="240" w:line="240" w:lineRule="auto"/>
        <w:ind w:left="851" w:right="822"/>
        <w:rPr>
          <w:i/>
        </w:rPr>
      </w:pPr>
      <w:r w:rsidRPr="00E32178">
        <w:rPr>
          <w:b/>
          <w:i/>
        </w:rPr>
        <w:t xml:space="preserve">ARTÍCULO 38.- </w:t>
      </w:r>
      <w:r w:rsidRPr="00E32178">
        <w:rPr>
          <w:i/>
        </w:rPr>
        <w:t xml:space="preserve">El </w:t>
      </w:r>
      <w:proofErr w:type="gramStart"/>
      <w:r w:rsidRPr="00E32178">
        <w:rPr>
          <w:i/>
        </w:rPr>
        <w:t>Presidente</w:t>
      </w:r>
      <w:proofErr w:type="gramEnd"/>
      <w:r w:rsidRPr="00E32178">
        <w:rPr>
          <w:i/>
        </w:rPr>
        <w:t xml:space="preserve"> Municipal, Síndicos, Regidores y Servidores Públicos de la Administración Pública Municipal, deben en el ejercicio de sus funciones, cumplir con los principios éticos de honestidad, decoro, lealtad, responsabilidad, disciplina, eficacia, transparencia, credibilidad, solidaridad, vocación de servicio, eficiencia, equidad, veracidad, igualdad, legalidad e imparcialidad.</w:t>
      </w:r>
    </w:p>
    <w:p w14:paraId="73278114" w14:textId="77777777" w:rsidR="00D2186E" w:rsidRPr="00E32178" w:rsidRDefault="006576AE" w:rsidP="00E32178">
      <w:pPr>
        <w:spacing w:before="240" w:after="240" w:line="240" w:lineRule="auto"/>
        <w:ind w:left="851" w:right="822"/>
        <w:rPr>
          <w:i/>
        </w:rPr>
      </w:pPr>
      <w:r w:rsidRPr="00E32178">
        <w:rPr>
          <w:b/>
          <w:i/>
        </w:rPr>
        <w:t xml:space="preserve">ARTÍCULO 40.- </w:t>
      </w:r>
      <w:r w:rsidRPr="00E32178">
        <w:rPr>
          <w:i/>
        </w:rPr>
        <w:t>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de Atizapán de Zaragoza y demás ordenamientos legales que apruebe el H. Ayuntamiento o que sean aplicables.</w:t>
      </w:r>
    </w:p>
    <w:p w14:paraId="4D8FCDA2" w14:textId="77777777" w:rsidR="00D2186E" w:rsidRPr="00E32178" w:rsidRDefault="006576AE" w:rsidP="00E32178">
      <w:pPr>
        <w:spacing w:line="240" w:lineRule="auto"/>
        <w:ind w:left="993" w:right="822" w:hanging="142"/>
        <w:rPr>
          <w:i/>
        </w:rPr>
      </w:pPr>
      <w:r w:rsidRPr="00E32178">
        <w:rPr>
          <w:i/>
        </w:rPr>
        <w:t>DE LAS DEPENDENCIAS MUNICIPALES CENTRALIZADAS</w:t>
      </w:r>
      <w:r w:rsidR="00D2186E" w:rsidRPr="00E32178">
        <w:rPr>
          <w:i/>
        </w:rPr>
        <w:t>:</w:t>
      </w:r>
    </w:p>
    <w:p w14:paraId="20D092F3" w14:textId="77777777" w:rsidR="00D2186E" w:rsidRPr="00E32178" w:rsidRDefault="00D2186E" w:rsidP="00E32178">
      <w:pPr>
        <w:spacing w:line="240" w:lineRule="auto"/>
        <w:ind w:left="993" w:right="822" w:hanging="142"/>
        <w:rPr>
          <w:i/>
        </w:rPr>
      </w:pPr>
      <w:r w:rsidRPr="00E32178">
        <w:rPr>
          <w:i/>
        </w:rPr>
        <w:t>(…)</w:t>
      </w:r>
    </w:p>
    <w:p w14:paraId="7CA2389C" w14:textId="77777777" w:rsidR="00D2186E" w:rsidRPr="00E32178" w:rsidRDefault="006576AE" w:rsidP="00E32178">
      <w:pPr>
        <w:spacing w:line="240" w:lineRule="auto"/>
        <w:ind w:left="993" w:right="822" w:hanging="142"/>
        <w:rPr>
          <w:b/>
          <w:i/>
        </w:rPr>
      </w:pPr>
      <w:r w:rsidRPr="00E32178">
        <w:rPr>
          <w:b/>
          <w:i/>
        </w:rPr>
        <w:t>II. Secretaría del Ayuntamiento</w:t>
      </w:r>
      <w:r w:rsidR="00D2186E" w:rsidRPr="00E32178">
        <w:rPr>
          <w:b/>
          <w:i/>
        </w:rPr>
        <w:t xml:space="preserve">; </w:t>
      </w:r>
    </w:p>
    <w:p w14:paraId="7662ABAF" w14:textId="77777777" w:rsidR="006576AE" w:rsidRPr="00E32178" w:rsidRDefault="006576AE" w:rsidP="00E32178">
      <w:pPr>
        <w:spacing w:line="240" w:lineRule="auto"/>
        <w:ind w:left="993" w:right="822" w:hanging="142"/>
        <w:rPr>
          <w:b/>
          <w:i/>
        </w:rPr>
      </w:pPr>
      <w:r w:rsidRPr="00E32178">
        <w:rPr>
          <w:b/>
          <w:i/>
        </w:rPr>
        <w:t>III. Tesorería Municipal;</w:t>
      </w:r>
    </w:p>
    <w:p w14:paraId="426151E2" w14:textId="77777777" w:rsidR="00D2186E" w:rsidRPr="00E32178" w:rsidRDefault="00D2186E" w:rsidP="00E32178">
      <w:pPr>
        <w:spacing w:line="240" w:lineRule="auto"/>
        <w:ind w:left="993" w:right="822" w:hanging="142"/>
        <w:rPr>
          <w:i/>
        </w:rPr>
      </w:pPr>
      <w:r w:rsidRPr="00E32178">
        <w:rPr>
          <w:i/>
        </w:rPr>
        <w:t>(…)</w:t>
      </w:r>
    </w:p>
    <w:p w14:paraId="2A8F27F0" w14:textId="77777777" w:rsidR="006576AE" w:rsidRPr="00E32178" w:rsidRDefault="006576AE" w:rsidP="00E32178"/>
    <w:p w14:paraId="50FBFE0D" w14:textId="77777777" w:rsidR="00D2186E" w:rsidRPr="00E32178" w:rsidRDefault="00D2186E" w:rsidP="00E32178">
      <w:r w:rsidRPr="00E32178">
        <w:t xml:space="preserve">Disposiciones normativas de las que se advierte que, para el </w:t>
      </w:r>
      <w:r w:rsidR="006576AE" w:rsidRPr="00E32178">
        <w:t>ejercicio</w:t>
      </w:r>
      <w:r w:rsidRPr="00E32178">
        <w:t xml:space="preserve"> de sus atribuciones, el Ayuntamiento se auxiliará de diversas unidades administrativas.</w:t>
      </w:r>
    </w:p>
    <w:p w14:paraId="6E4E06B8" w14:textId="77777777" w:rsidR="00D2186E" w:rsidRPr="00E32178" w:rsidRDefault="00D2186E" w:rsidP="00E32178"/>
    <w:p w14:paraId="4264C46B" w14:textId="77777777" w:rsidR="00923879" w:rsidRPr="00E32178" w:rsidRDefault="001E76FC" w:rsidP="00E32178">
      <w:pPr>
        <w:spacing w:after="240"/>
      </w:pPr>
      <w:r w:rsidRPr="00E32178">
        <w:t xml:space="preserve">Expresado lo anterior es importante </w:t>
      </w:r>
      <w:r w:rsidR="00923879" w:rsidRPr="00E32178">
        <w:t xml:space="preserve">recordar que </w:t>
      </w:r>
      <w:r w:rsidRPr="00E32178">
        <w:rPr>
          <w:b/>
        </w:rPr>
        <w:t xml:space="preserve">EL SUJETO OBLIGADO </w:t>
      </w:r>
      <w:r w:rsidRPr="00E32178">
        <w:t xml:space="preserve">asumió contar con la información peticionada remitiendo </w:t>
      </w:r>
      <w:r w:rsidR="00923879" w:rsidRPr="00E32178">
        <w:t>un link en formato cerrado en donde refirió se localizaba la información peticionada tal y como se puede observar en la siguiente imagen:</w:t>
      </w:r>
    </w:p>
    <w:p w14:paraId="2ED01537" w14:textId="77777777" w:rsidR="001E76FC" w:rsidRPr="00E32178" w:rsidRDefault="00923879" w:rsidP="00E32178">
      <w:pPr>
        <w:spacing w:after="240"/>
        <w:jc w:val="center"/>
      </w:pPr>
      <w:r w:rsidRPr="00E32178">
        <w:rPr>
          <w:noProof/>
          <w:lang w:eastAsia="es-MX"/>
        </w:rPr>
        <mc:AlternateContent>
          <mc:Choice Requires="wps">
            <w:drawing>
              <wp:anchor distT="0" distB="0" distL="114300" distR="114300" simplePos="0" relativeHeight="251661312" behindDoc="0" locked="0" layoutInCell="1" allowOverlap="1" wp14:anchorId="24200440" wp14:editId="7B4FD0B5">
                <wp:simplePos x="0" y="0"/>
                <wp:positionH relativeFrom="column">
                  <wp:posOffset>458470</wp:posOffset>
                </wp:positionH>
                <wp:positionV relativeFrom="paragraph">
                  <wp:posOffset>1403985</wp:posOffset>
                </wp:positionV>
                <wp:extent cx="571500" cy="196850"/>
                <wp:effectExtent l="0" t="19050" r="38100" b="31750"/>
                <wp:wrapNone/>
                <wp:docPr id="3" name="Flecha derecha 3"/>
                <wp:cNvGraphicFramePr/>
                <a:graphic xmlns:a="http://schemas.openxmlformats.org/drawingml/2006/main">
                  <a:graphicData uri="http://schemas.microsoft.com/office/word/2010/wordprocessingShape">
                    <wps:wsp>
                      <wps:cNvSpPr/>
                      <wps:spPr>
                        <a:xfrm>
                          <a:off x="0" y="0"/>
                          <a:ext cx="571500" cy="1968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9C0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36.1pt;margin-top:110.55pt;width:4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" adj="17880" fillcolor="red" strokecolor="red" strokeweight="1pt"/>
            </w:pict>
          </mc:Fallback>
        </mc:AlternateContent>
      </w:r>
      <w:r w:rsidRPr="00E32178">
        <w:rPr>
          <w:noProof/>
          <w:lang w:eastAsia="es-MX"/>
        </w:rPr>
        <w:t xml:space="preserve"> </w:t>
      </w:r>
      <w:r w:rsidRPr="00E32178">
        <w:rPr>
          <w:noProof/>
          <w:lang w:eastAsia="es-MX"/>
        </w:rPr>
        <w:drawing>
          <wp:inline distT="0" distB="0" distL="0" distR="0" wp14:anchorId="40069834" wp14:editId="5809E4D2">
            <wp:extent cx="5742940" cy="13709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370965"/>
                    </a:xfrm>
                    <a:prstGeom prst="rect">
                      <a:avLst/>
                    </a:prstGeom>
                  </pic:spPr>
                </pic:pic>
              </a:graphicData>
            </a:graphic>
          </wp:inline>
        </w:drawing>
      </w:r>
    </w:p>
    <w:p w14:paraId="7FCA985F" w14:textId="77777777" w:rsidR="00923879" w:rsidRPr="00E32178" w:rsidRDefault="00923879" w:rsidP="00E32178">
      <w:pPr>
        <w:contextualSpacing/>
        <w:rPr>
          <w:rFonts w:eastAsia="Palatino Linotype" w:cs="Palatino Linotype"/>
        </w:rPr>
      </w:pPr>
      <w:r w:rsidRPr="00E32178">
        <w:rPr>
          <w:rFonts w:eastAsia="Palatino Linotype" w:cs="Palatino Linotype"/>
        </w:rPr>
        <w:t>Al respecto es necesario traer a contexto lo establecido por los artículos 11 y 161 de la Ley de Transparencia y Acceso a la Información Pública del Estado de México y Municipios,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A4479F6" w14:textId="77777777" w:rsidR="00923879" w:rsidRPr="00E32178" w:rsidRDefault="00923879" w:rsidP="00E32178">
      <w:pPr>
        <w:contextualSpacing/>
      </w:pPr>
    </w:p>
    <w:p w14:paraId="5007992C" w14:textId="77777777" w:rsidR="00923879" w:rsidRPr="00E32178" w:rsidRDefault="00923879" w:rsidP="00E32178">
      <w:pPr>
        <w:pStyle w:val="Prrafodelista"/>
        <w:pBdr>
          <w:top w:val="nil"/>
          <w:left w:val="nil"/>
          <w:bottom w:val="nil"/>
          <w:right w:val="nil"/>
          <w:between w:val="nil"/>
        </w:pBdr>
        <w:spacing w:line="240" w:lineRule="auto"/>
        <w:ind w:left="851" w:right="822"/>
        <w:rPr>
          <w:szCs w:val="22"/>
        </w:rPr>
      </w:pPr>
      <w:r w:rsidRPr="00E32178">
        <w:rPr>
          <w:rFonts w:eastAsia="Palatino Linotype" w:cs="Palatino Linotype"/>
          <w:b/>
          <w:i/>
          <w:szCs w:val="22"/>
        </w:rPr>
        <w:t>Artículo 11</w:t>
      </w:r>
      <w:r w:rsidRPr="00E32178">
        <w:rPr>
          <w:rFonts w:eastAsia="Palatino Linotype" w:cs="Palatino Linotype"/>
          <w:i/>
          <w:szCs w:val="22"/>
        </w:rPr>
        <w:t xml:space="preserve">. </w:t>
      </w:r>
      <w:r w:rsidRPr="00E32178">
        <w:rPr>
          <w:rFonts w:eastAsia="Palatino Linotype" w:cs="Palatino Linotype"/>
          <w:b/>
          <w:i/>
          <w:szCs w:val="22"/>
          <w:u w:val="single"/>
        </w:rPr>
        <w:t>En la generación, publicación y entrega de información se deberá garantizar que ésta sea accesible, actualizada, completa, congruente, confiable, verificable, veraz, integral, oportuna y expedita</w:t>
      </w:r>
      <w:r w:rsidRPr="00E32178">
        <w:rPr>
          <w:rFonts w:eastAsia="Palatino Linotype" w:cs="Palatino Linotype"/>
          <w:i/>
          <w:szCs w:val="22"/>
        </w:rPr>
        <w:t>, sujeta a un claro régimen de excepciones que deberá estar definido y ser además legítima y estrictamente necesaria en una sociedad democrática, por lo que atenderá las necesidades del derecho de acceso a la información de toda persona.</w:t>
      </w:r>
    </w:p>
    <w:p w14:paraId="4E8C1FC6" w14:textId="77777777" w:rsidR="00923879" w:rsidRPr="00E32178" w:rsidRDefault="00923879" w:rsidP="00E32178">
      <w:pPr>
        <w:pStyle w:val="Prrafodelista"/>
        <w:pBdr>
          <w:top w:val="nil"/>
          <w:left w:val="nil"/>
          <w:bottom w:val="nil"/>
          <w:right w:val="nil"/>
          <w:between w:val="nil"/>
        </w:pBdr>
        <w:spacing w:line="240" w:lineRule="auto"/>
        <w:ind w:left="851" w:right="822"/>
        <w:rPr>
          <w:rFonts w:eastAsia="Palatino Linotype" w:cs="Palatino Linotype"/>
          <w:i/>
          <w:szCs w:val="22"/>
        </w:rPr>
      </w:pPr>
      <w:r w:rsidRPr="00E32178">
        <w:rPr>
          <w:rFonts w:eastAsia="Palatino Linotype" w:cs="Palatino Linotype"/>
          <w:i/>
          <w:szCs w:val="22"/>
        </w:rPr>
        <w:t>(…)</w:t>
      </w:r>
    </w:p>
    <w:p w14:paraId="70ABD342" w14:textId="77777777" w:rsidR="00923879" w:rsidRPr="00E32178" w:rsidRDefault="00923879" w:rsidP="00E32178">
      <w:pPr>
        <w:pStyle w:val="Prrafodelista"/>
        <w:pBdr>
          <w:top w:val="nil"/>
          <w:left w:val="nil"/>
          <w:bottom w:val="nil"/>
          <w:right w:val="nil"/>
          <w:between w:val="nil"/>
        </w:pBdr>
        <w:spacing w:line="240" w:lineRule="auto"/>
        <w:ind w:left="851" w:right="822"/>
      </w:pPr>
      <w:r w:rsidRPr="00E32178">
        <w:rPr>
          <w:rFonts w:eastAsia="Palatino Linotype" w:cs="Palatino Linotype"/>
          <w:b/>
          <w:i/>
          <w:szCs w:val="22"/>
        </w:rPr>
        <w:t xml:space="preserve">Artículo 161. </w:t>
      </w:r>
      <w:r w:rsidRPr="00E32178">
        <w:rPr>
          <w:rFonts w:eastAsia="Palatino Linotype" w:cs="Palatino Linotype"/>
          <w:b/>
          <w:i/>
          <w:szCs w:val="22"/>
          <w:u w:val="single"/>
        </w:rPr>
        <w:t>Cuando la información requerida por el solicitante ya esté disponible al público</w:t>
      </w:r>
      <w:r w:rsidRPr="00E32178">
        <w:rPr>
          <w:rFonts w:eastAsia="Palatino Linotype" w:cs="Palatino Linotype"/>
          <w:i/>
          <w:szCs w:val="22"/>
        </w:rPr>
        <w:t xml:space="preserve"> en medios impresos, tales como libros, compendios, trípticos, registros públicos, </w:t>
      </w:r>
      <w:r w:rsidRPr="00E32178">
        <w:rPr>
          <w:rFonts w:eastAsia="Palatino Linotype" w:cs="Palatino Linotype"/>
          <w:b/>
          <w:i/>
          <w:szCs w:val="22"/>
          <w:u w:val="single"/>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w:t>
      </w:r>
      <w:r w:rsidRPr="00E32178">
        <w:rPr>
          <w:rFonts w:eastAsia="Palatino Linotype" w:cs="Palatino Linotype"/>
          <w:b/>
          <w:i/>
          <w:szCs w:val="22"/>
          <w:u w:val="single"/>
        </w:rPr>
        <w:lastRenderedPageBreak/>
        <w:t>fuente deberá ser precisa y concreta y no debe implicar que el solicitante realice una búsqueda en toda la información que se encuentre disponible.”</w:t>
      </w:r>
    </w:p>
    <w:p w14:paraId="0AD46D23" w14:textId="77777777" w:rsidR="00923879" w:rsidRPr="00E32178" w:rsidRDefault="00923879" w:rsidP="00E32178"/>
    <w:p w14:paraId="126B8965" w14:textId="77777777" w:rsidR="00923879" w:rsidRPr="00E32178" w:rsidRDefault="00923879" w:rsidP="00E32178">
      <w:r w:rsidRPr="00E32178">
        <w:rPr>
          <w:rFonts w:eastAsia="Palatino Linotype" w:cs="Palatino Linotype"/>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w:t>
      </w:r>
      <w:r w:rsidRPr="00E32178">
        <w:rPr>
          <w:rFonts w:eastAsia="Palatino Linotype" w:cs="Palatino Linotype"/>
          <w:b/>
        </w:rPr>
        <w:t>no mayor a cinco días hábiles</w:t>
      </w:r>
      <w:r w:rsidRPr="00E32178">
        <w:rPr>
          <w:rFonts w:eastAsia="Palatino Linotype" w:cs="Palatino Linotype"/>
        </w:rPr>
        <w:t>, comprendiendo la fuente, el lugar y la forma. Así mismo se establece que la fuente de la información deberá ser precisa, concreta y no debe de implicar que el solicitante realice una búsqueda en toda la información que se encuentre disponible.</w:t>
      </w:r>
      <w:r w:rsidRPr="00E32178">
        <w:cr/>
      </w:r>
    </w:p>
    <w:p w14:paraId="4282AB94" w14:textId="77777777" w:rsidR="00923879" w:rsidRPr="00E32178" w:rsidRDefault="00923879" w:rsidP="00E32178">
      <w:pPr>
        <w:ind w:right="49"/>
        <w:contextualSpacing/>
        <w:rPr>
          <w:lang w:eastAsia="es-MX"/>
        </w:rPr>
      </w:pPr>
      <w:r w:rsidRPr="00E32178">
        <w:rPr>
          <w:rFonts w:cs="Arial"/>
          <w:lang w:val="es-ES"/>
        </w:rPr>
        <w:t xml:space="preserve">Ahora bien en lo que respecta al formato cerrado de la liga electrónica proporcionada cabe destacar que </w:t>
      </w:r>
      <w:r w:rsidRPr="00E32178">
        <w:rPr>
          <w:lang w:eastAsia="es-MX"/>
        </w:rPr>
        <w:t>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29FD15F9" w14:textId="77777777" w:rsidR="00923879" w:rsidRPr="00E32178" w:rsidRDefault="00923879" w:rsidP="00E32178">
      <w:pPr>
        <w:rPr>
          <w:lang w:eastAsia="es-MX"/>
        </w:rPr>
      </w:pPr>
    </w:p>
    <w:p w14:paraId="6D40B6B0" w14:textId="77777777" w:rsidR="00923879" w:rsidRPr="00E32178" w:rsidRDefault="00923879" w:rsidP="00E32178">
      <w:pPr>
        <w:rPr>
          <w:lang w:eastAsia="es-MX"/>
        </w:rPr>
      </w:pPr>
      <w:r w:rsidRPr="00E32178">
        <w:rPr>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6AD77D8" w14:textId="77777777" w:rsidR="00923879" w:rsidRPr="00E32178" w:rsidRDefault="00923879" w:rsidP="00E32178">
      <w:pPr>
        <w:rPr>
          <w:lang w:eastAsia="es-MX"/>
        </w:rPr>
      </w:pPr>
      <w:r w:rsidRPr="00E32178">
        <w:rPr>
          <w:lang w:eastAsia="es-MX"/>
        </w:rPr>
        <w:t> </w:t>
      </w:r>
    </w:p>
    <w:p w14:paraId="27DB87B1" w14:textId="77777777" w:rsidR="00923879" w:rsidRPr="00E32178" w:rsidRDefault="00923879" w:rsidP="00E32178">
      <w:pPr>
        <w:rPr>
          <w:rFonts w:cs="Tahoma"/>
          <w:b/>
          <w:bCs/>
          <w:i/>
        </w:rPr>
      </w:pPr>
      <w:r w:rsidRPr="00E32178">
        <w:rPr>
          <w:rFonts w:eastAsia="Calibri" w:cs="Tahoma"/>
          <w:bCs/>
        </w:rPr>
        <w:lastRenderedPageBreak/>
        <w:t xml:space="preserve">Derivado de lo anterior, se considera necesario precisar que datos abiertos, conforme a la </w:t>
      </w:r>
      <w:r w:rsidRPr="00E32178">
        <w:rPr>
          <w:rFonts w:cs="Tahoma"/>
          <w:bCs/>
        </w:rPr>
        <w:t>Carta Internacional de Datos Abiertos</w:t>
      </w:r>
      <w:r w:rsidRPr="00E32178">
        <w:rPr>
          <w:rStyle w:val="Refdenotaalpie"/>
          <w:rFonts w:eastAsiaTheme="majorEastAsia" w:cs="Tahoma"/>
          <w:bCs/>
        </w:rPr>
        <w:footnoteReference w:id="1"/>
      </w:r>
      <w:r w:rsidRPr="00E32178">
        <w:rPr>
          <w:rFonts w:eastAsia="Calibri" w:cs="Tahoma"/>
          <w:bCs/>
        </w:rPr>
        <w:t xml:space="preserve"> </w:t>
      </w:r>
      <w:r w:rsidRPr="00E32178">
        <w:rPr>
          <w:rFonts w:cs="Tahoma"/>
          <w:bCs/>
          <w:i/>
        </w:rPr>
        <w:t xml:space="preserve">son datos digitales que son puestos a disposición con las características técnicas y jurídicas necesarias para que </w:t>
      </w:r>
      <w:r w:rsidRPr="00E32178">
        <w:rPr>
          <w:rFonts w:cs="Tahoma"/>
          <w:b/>
          <w:bCs/>
          <w:i/>
        </w:rPr>
        <w:t xml:space="preserve">puedan ser </w:t>
      </w:r>
      <w:r w:rsidRPr="00E32178">
        <w:rPr>
          <w:rFonts w:cs="Tahoma"/>
          <w:b/>
          <w:bCs/>
          <w:i/>
          <w:u w:val="single"/>
        </w:rPr>
        <w:t>usados, reutilizados y redistribuidos</w:t>
      </w:r>
      <w:r w:rsidRPr="00E32178">
        <w:rPr>
          <w:rFonts w:cs="Tahoma"/>
          <w:b/>
          <w:bCs/>
          <w:i/>
        </w:rPr>
        <w:t xml:space="preserve"> libremente por cualquier persona, en cualquier momento y en cualquier lugar.</w:t>
      </w:r>
    </w:p>
    <w:p w14:paraId="2BF14C32" w14:textId="77777777" w:rsidR="00923879" w:rsidRPr="00E32178" w:rsidRDefault="00923879" w:rsidP="00E32178">
      <w:pPr>
        <w:rPr>
          <w:lang w:eastAsia="es-MX"/>
        </w:rPr>
      </w:pPr>
    </w:p>
    <w:p w14:paraId="6304EB29" w14:textId="77777777" w:rsidR="00923879" w:rsidRPr="00E32178" w:rsidRDefault="00923879" w:rsidP="00E32178">
      <w:pPr>
        <w:rPr>
          <w:lang w:eastAsia="es-MX"/>
        </w:rPr>
      </w:pPr>
      <w:r w:rsidRPr="00E32178">
        <w:rPr>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EBE6B4C" w14:textId="77777777" w:rsidR="00923879" w:rsidRPr="00E32178" w:rsidRDefault="00923879" w:rsidP="00E32178">
      <w:pPr>
        <w:rPr>
          <w:lang w:eastAsia="es-MX"/>
        </w:rPr>
      </w:pPr>
      <w:r w:rsidRPr="00E32178">
        <w:rPr>
          <w:lang w:eastAsia="es-MX"/>
        </w:rPr>
        <w:t> </w:t>
      </w:r>
    </w:p>
    <w:p w14:paraId="7A270F8F" w14:textId="77777777" w:rsidR="00923879" w:rsidRPr="00E32178" w:rsidRDefault="00923879" w:rsidP="00E32178">
      <w:pPr>
        <w:ind w:left="720"/>
        <w:rPr>
          <w:lang w:eastAsia="es-MX"/>
        </w:rPr>
      </w:pPr>
      <w:r w:rsidRPr="00E32178">
        <w:rPr>
          <w:lang w:eastAsia="es-MX"/>
        </w:rPr>
        <w:t xml:space="preserve"> </w:t>
      </w:r>
      <w:r w:rsidRPr="00E32178">
        <w:rPr>
          <w:b/>
          <w:bCs/>
          <w:lang w:eastAsia="es-MX"/>
        </w:rPr>
        <w:t xml:space="preserve">Dato abierto: </w:t>
      </w:r>
      <w:r w:rsidRPr="00E32178">
        <w:rPr>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78CCFB1" w14:textId="77777777" w:rsidR="00923879" w:rsidRPr="00E32178" w:rsidRDefault="00923879" w:rsidP="00E32178">
      <w:pPr>
        <w:ind w:left="720"/>
        <w:rPr>
          <w:lang w:eastAsia="es-MX"/>
        </w:rPr>
      </w:pPr>
      <w:r w:rsidRPr="00E32178">
        <w:rPr>
          <w:b/>
          <w:bCs/>
          <w:lang w:eastAsia="es-MX"/>
        </w:rPr>
        <w:t> </w:t>
      </w:r>
    </w:p>
    <w:p w14:paraId="0008A520" w14:textId="77777777" w:rsidR="00923879" w:rsidRPr="00E32178" w:rsidRDefault="00923879" w:rsidP="00E32178">
      <w:pPr>
        <w:spacing w:after="240"/>
        <w:ind w:left="720"/>
        <w:rPr>
          <w:lang w:eastAsia="es-MX"/>
        </w:rPr>
      </w:pPr>
      <w:r w:rsidRPr="00E32178">
        <w:rPr>
          <w:lang w:eastAsia="es-MX"/>
        </w:rPr>
        <w:t xml:space="preserve"> </w:t>
      </w:r>
      <w:r w:rsidRPr="00E32178">
        <w:rPr>
          <w:b/>
          <w:bCs/>
          <w:lang w:eastAsia="es-MX"/>
        </w:rPr>
        <w:t xml:space="preserve">Formato accesible: </w:t>
      </w:r>
      <w:r w:rsidRPr="00E32178">
        <w:rPr>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6B37EB6" w14:textId="77777777" w:rsidR="00923879" w:rsidRPr="00E32178" w:rsidRDefault="00923879" w:rsidP="00E32178">
      <w:pPr>
        <w:rPr>
          <w:rFonts w:cs="Tahoma"/>
          <w:bCs/>
        </w:rPr>
      </w:pPr>
      <w:r w:rsidRPr="00E32178">
        <w:rPr>
          <w:rFonts w:cs="Tahoma"/>
          <w:bCs/>
        </w:rPr>
        <w:t xml:space="preserve">Es así que, los datos abiertos cumplen con la finalidad de poder ser utilizados, </w:t>
      </w:r>
      <w:r w:rsidRPr="00E32178">
        <w:rPr>
          <w:rFonts w:cs="Tahoma"/>
          <w:b/>
          <w:bCs/>
          <w:u w:val="single"/>
        </w:rPr>
        <w:t xml:space="preserve">reutilizados </w:t>
      </w:r>
      <w:r w:rsidRPr="00E32178">
        <w:rPr>
          <w:rFonts w:cs="Tahoma"/>
          <w:bCs/>
        </w:rPr>
        <w:t xml:space="preserve">y redistribuidos; y que el formato de datos abiertos, </w:t>
      </w:r>
      <w:r w:rsidRPr="00E32178">
        <w:rPr>
          <w:rFonts w:cs="Tahoma"/>
          <w:b/>
          <w:bCs/>
        </w:rPr>
        <w:t>debe permitir la aplicación y reproducción</w:t>
      </w:r>
      <w:r w:rsidRPr="00E32178">
        <w:rPr>
          <w:rFonts w:cs="Tahoma"/>
          <w:bCs/>
        </w:rPr>
        <w:t xml:space="preserve"> de la información sin estar condicionados a contraprestaciones; lo anterior no debe traducirse en la posibilidad de alteración, edición o modificación del original; entonces, podemos </w:t>
      </w:r>
      <w:r w:rsidRPr="00E32178">
        <w:rPr>
          <w:rFonts w:cs="Tahoma"/>
          <w:bCs/>
        </w:rPr>
        <w:lastRenderedPageBreak/>
        <w:t>advertir que el documento entregado en formato pdf, no permite seleccionar texto, copiarlo y pegarlo; por tanto, tampoco permite que la información pueda ser utilizada, reutilizada o redistribuida.</w:t>
      </w:r>
    </w:p>
    <w:p w14:paraId="0F10EDE7" w14:textId="77777777" w:rsidR="00923879" w:rsidRPr="00E32178" w:rsidRDefault="00923879" w:rsidP="00E32178"/>
    <w:p w14:paraId="1783799B" w14:textId="77777777" w:rsidR="00181AA6" w:rsidRPr="00E32178" w:rsidRDefault="00923879" w:rsidP="00E32178">
      <w:pPr>
        <w:ind w:right="49"/>
        <w:rPr>
          <w:lang w:eastAsia="es-MX"/>
        </w:rPr>
      </w:pPr>
      <w:r w:rsidRPr="00E32178">
        <w:rPr>
          <w:szCs w:val="22"/>
        </w:rPr>
        <w:t>Acotado lo anterior</w:t>
      </w:r>
      <w:r w:rsidR="00181AA6" w:rsidRPr="00E32178">
        <w:rPr>
          <w:lang w:eastAsia="es-MX"/>
        </w:rPr>
        <w:t xml:space="preserve"> y en razón de que </w:t>
      </w:r>
      <w:r w:rsidR="00181AA6" w:rsidRPr="00E32178">
        <w:rPr>
          <w:b/>
          <w:lang w:eastAsia="es-MX"/>
        </w:rPr>
        <w:t xml:space="preserve">EL SUJETO OBLIGADO </w:t>
      </w:r>
      <w:r w:rsidR="00181AA6" w:rsidRPr="00E32178">
        <w:rPr>
          <w:lang w:eastAsia="es-MX"/>
        </w:rPr>
        <w:t xml:space="preserve">no hizo entrega de la información solicitada, se considera conveniente precisar que el documento que de manera enunciativa más no limitativa pudiera atender el derecho de acceso a la información del particular es el inventario de bienes muebles. </w:t>
      </w:r>
    </w:p>
    <w:p w14:paraId="29DCFC1D" w14:textId="77777777" w:rsidR="00181AA6" w:rsidRPr="00E32178" w:rsidRDefault="00181AA6" w:rsidP="00E32178">
      <w:pPr>
        <w:ind w:right="49"/>
        <w:rPr>
          <w:lang w:eastAsia="es-MX"/>
        </w:rPr>
      </w:pPr>
    </w:p>
    <w:p w14:paraId="1DC09EFB" w14:textId="77777777" w:rsidR="00181AA6" w:rsidRPr="00E32178" w:rsidRDefault="00181AA6" w:rsidP="00E32178">
      <w:pPr>
        <w:contextualSpacing/>
        <w:rPr>
          <w:rFonts w:cs="Arial"/>
        </w:rPr>
      </w:pPr>
      <w:r w:rsidRPr="00E32178">
        <w:rPr>
          <w:rFonts w:cs="Arial"/>
          <w:lang w:val="es-ES"/>
        </w:rPr>
        <w:t xml:space="preserve">En ese orden de ideas, debemos traer a colación lo establecido en el artículo 32 de la Ley Superior de Fiscalización del Estado de México, que consagra la obligación de los Municipios de rendir de </w:t>
      </w:r>
      <w:r w:rsidRPr="00E32178">
        <w:rPr>
          <w:rFonts w:cs="Arial"/>
          <w:b/>
          <w:lang w:val="es-ES"/>
        </w:rPr>
        <w:t>manera trimestral al OSFEM</w:t>
      </w:r>
      <w:r w:rsidRPr="00E32178">
        <w:rPr>
          <w:rFonts w:cs="Arial"/>
          <w:lang w:val="es-ES"/>
        </w:rPr>
        <w:t xml:space="preserve"> los informes correspondientes. </w:t>
      </w:r>
    </w:p>
    <w:p w14:paraId="019FD0BD" w14:textId="77777777" w:rsidR="00181AA6" w:rsidRPr="00E32178" w:rsidRDefault="00181AA6" w:rsidP="00E32178">
      <w:pPr>
        <w:rPr>
          <w:rFonts w:cs="Arial"/>
          <w:lang w:val="es-ES"/>
        </w:rPr>
      </w:pPr>
    </w:p>
    <w:p w14:paraId="6B17960F" w14:textId="77777777" w:rsidR="00181AA6" w:rsidRPr="00E32178" w:rsidRDefault="00181AA6" w:rsidP="00E32178">
      <w:r w:rsidRPr="00E32178">
        <w:rPr>
          <w:rFonts w:cs="Arial"/>
          <w:lang w:val="es-ES"/>
        </w:rPr>
        <w:t xml:space="preserve">A mayor abundamiento dentro del </w:t>
      </w:r>
      <w:r w:rsidR="00DD4C92" w:rsidRPr="00E32178">
        <w:rPr>
          <w:rFonts w:cs="Arial"/>
          <w:i/>
        </w:rPr>
        <w:t>ACUERDO 7/2025 POR EL QUE SE EMITEN LOS LINEAMIENTOS, FECHAS DE CAPACITACIÓN Y CALENDARIZACIÓN PARA LA INTEGRACIÓN Y PRESENTACIÓN DE LOS INFORMES TRIMESTRALES ESTATALES Y MUNICIPALES DEL EJERCICIO FISCAL 2025, DE LAS ENTIDADES FISCALIZABLES DEL ESTADO DE MÉXICO</w:t>
      </w:r>
      <w:r w:rsidRPr="00E32178">
        <w:t xml:space="preserve">, precisa que los Ayuntamientos deben de proporcionar, para su fiscalización, diversos documentos, entre los cuales se encuentran aquellos del </w:t>
      </w:r>
      <w:r w:rsidRPr="00E32178">
        <w:rPr>
          <w:b/>
        </w:rPr>
        <w:t>Módulo 4</w:t>
      </w:r>
      <w:r w:rsidRPr="00E32178">
        <w:t xml:space="preserve">, que contienen el </w:t>
      </w:r>
      <w:r w:rsidRPr="00E32178">
        <w:rPr>
          <w:b/>
        </w:rPr>
        <w:t xml:space="preserve">inventario de bienes muebles, </w:t>
      </w:r>
      <w:r w:rsidRPr="00E32178">
        <w:t xml:space="preserve">como se advierte a continuación: </w:t>
      </w:r>
    </w:p>
    <w:p w14:paraId="02E4AE85" w14:textId="77777777" w:rsidR="00181AA6" w:rsidRPr="00E32178" w:rsidRDefault="00181AA6" w:rsidP="00E32178">
      <w:pPr>
        <w:ind w:right="49"/>
        <w:rPr>
          <w:lang w:eastAsia="es-MX"/>
        </w:rPr>
      </w:pPr>
      <w:r w:rsidRPr="00E32178">
        <w:rPr>
          <w:noProof/>
          <w:lang w:eastAsia="es-MX"/>
          <w14:ligatures w14:val="standardContextual"/>
        </w:rPr>
        <w:lastRenderedPageBreak/>
        <mc:AlternateContent>
          <mc:Choice Requires="wps">
            <w:drawing>
              <wp:anchor distT="0" distB="0" distL="114300" distR="114300" simplePos="0" relativeHeight="251663360" behindDoc="0" locked="0" layoutInCell="1" allowOverlap="1" wp14:anchorId="0E9C35A4" wp14:editId="19C296E4">
                <wp:simplePos x="0" y="0"/>
                <wp:positionH relativeFrom="column">
                  <wp:posOffset>772795</wp:posOffset>
                </wp:positionH>
                <wp:positionV relativeFrom="paragraph">
                  <wp:posOffset>5351780</wp:posOffset>
                </wp:positionV>
                <wp:extent cx="4733925" cy="209550"/>
                <wp:effectExtent l="19050" t="19050" r="28575" b="19050"/>
                <wp:wrapNone/>
                <wp:docPr id="4" name="Rectángulo redondeado 4"/>
                <wp:cNvGraphicFramePr/>
                <a:graphic xmlns:a="http://schemas.openxmlformats.org/drawingml/2006/main">
                  <a:graphicData uri="http://schemas.microsoft.com/office/word/2010/wordprocessingShape">
                    <wps:wsp>
                      <wps:cNvSpPr/>
                      <wps:spPr>
                        <a:xfrm>
                          <a:off x="0" y="0"/>
                          <a:ext cx="4733925" cy="2095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51DCEC" id="Rectángulo redondeado 4" o:spid="_x0000_s1026" style="position:absolute;margin-left:60.85pt;margin-top:421.4pt;width:372.75pt;height: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" filled="f" strokecolor="red" strokeweight="2.25pt">
                <v:stroke joinstyle="miter"/>
              </v:roundrect>
            </w:pict>
          </mc:Fallback>
        </mc:AlternateContent>
      </w:r>
      <w:r w:rsidR="00DD4C92" w:rsidRPr="00E32178">
        <w:rPr>
          <w:noProof/>
          <w:lang w:eastAsia="es-MX"/>
        </w:rPr>
        <w:t xml:space="preserve"> </w:t>
      </w:r>
      <w:r w:rsidR="00DD4C92" w:rsidRPr="00E32178">
        <w:rPr>
          <w:noProof/>
          <w:lang w:eastAsia="es-MX"/>
        </w:rPr>
        <w:drawing>
          <wp:inline distT="0" distB="0" distL="0" distR="0" wp14:anchorId="59237926" wp14:editId="40EB9C38">
            <wp:extent cx="5742940" cy="64084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6408420"/>
                    </a:xfrm>
                    <a:prstGeom prst="rect">
                      <a:avLst/>
                    </a:prstGeom>
                  </pic:spPr>
                </pic:pic>
              </a:graphicData>
            </a:graphic>
          </wp:inline>
        </w:drawing>
      </w:r>
    </w:p>
    <w:p w14:paraId="1A07E715" w14:textId="77777777" w:rsidR="00181AA6" w:rsidRPr="00E32178" w:rsidRDefault="00181AA6" w:rsidP="00E32178">
      <w:pPr>
        <w:rPr>
          <w:rFonts w:eastAsia="Arial Unicode MS" w:cs="Arial"/>
          <w:lang w:eastAsia="es-MX"/>
        </w:rPr>
      </w:pPr>
    </w:p>
    <w:p w14:paraId="3C38BE0A" w14:textId="77777777" w:rsidR="00181AA6" w:rsidRPr="00E32178" w:rsidRDefault="00181AA6" w:rsidP="00E32178">
      <w:pPr>
        <w:contextualSpacing/>
        <w:rPr>
          <w:rFonts w:cs="Arial"/>
          <w:lang w:val="es-ES"/>
        </w:rPr>
      </w:pPr>
      <w:r w:rsidRPr="00E32178">
        <w:rPr>
          <w:rFonts w:cs="Arial"/>
          <w:lang w:val="es-ES"/>
        </w:rPr>
        <w:lastRenderedPageBreak/>
        <w:t xml:space="preserve">Es así, que podemos concluir que </w:t>
      </w:r>
      <w:r w:rsidRPr="00E32178">
        <w:rPr>
          <w:rFonts w:cs="Arial"/>
          <w:b/>
          <w:lang w:val="es-ES"/>
        </w:rPr>
        <w:t>EL SUJETO OBLIGADO</w:t>
      </w:r>
      <w:r w:rsidRPr="00E32178">
        <w:rPr>
          <w:rFonts w:cs="Arial"/>
          <w:lang w:val="es-ES"/>
        </w:rPr>
        <w:t xml:space="preserve"> al ser sujeto fiscalizado por parte del Órgano Superior de Fiscalización del Estado de México (OSFEM), debe rendir de manera </w:t>
      </w:r>
      <w:r w:rsidRPr="00E32178">
        <w:rPr>
          <w:rFonts w:cs="Arial"/>
          <w:b/>
          <w:lang w:val="es-ES"/>
        </w:rPr>
        <w:t>trimestral</w:t>
      </w:r>
      <w:r w:rsidRPr="00E32178">
        <w:rPr>
          <w:rFonts w:cs="Arial"/>
          <w:lang w:val="es-ES"/>
        </w:rPr>
        <w:t xml:space="preserve"> (dentro de los 20 días hábiles posteriores al término del trimestre que se informa) los formatos que permitan eficaz y eficientemente su fiscalización. </w:t>
      </w:r>
    </w:p>
    <w:p w14:paraId="67DF52F5" w14:textId="77777777" w:rsidR="00181AA6" w:rsidRPr="00E32178" w:rsidRDefault="00181AA6" w:rsidP="00E32178">
      <w:pPr>
        <w:contextualSpacing/>
      </w:pPr>
    </w:p>
    <w:p w14:paraId="7D7E6C39" w14:textId="77777777" w:rsidR="00181AA6" w:rsidRPr="00E32178" w:rsidRDefault="00181AA6" w:rsidP="00E32178">
      <w:r w:rsidRPr="00E32178">
        <w:t xml:space="preserve">Derivado de lo anterior, es importante precisar que la información requerida por el particular corresponde a información que por su naturaleza es pública, pues corresponde a documentos que son generados por el actuar continuo del </w:t>
      </w:r>
      <w:r w:rsidRPr="00E32178">
        <w:rPr>
          <w:b/>
        </w:rPr>
        <w:t xml:space="preserve">SUJETO OBLIGADO </w:t>
      </w:r>
      <w:r w:rsidRPr="00E32178">
        <w:t>y dan cuenta del estado financiero que guarda el ente fiscalizable.</w:t>
      </w:r>
    </w:p>
    <w:p w14:paraId="760AC422" w14:textId="77777777" w:rsidR="00181AA6" w:rsidRPr="00E32178" w:rsidRDefault="00181AA6" w:rsidP="00E32178"/>
    <w:p w14:paraId="16134F41" w14:textId="77777777" w:rsidR="00181AA6" w:rsidRPr="00E32178" w:rsidRDefault="00181AA6" w:rsidP="00E32178">
      <w:pPr>
        <w:autoSpaceDE w:val="0"/>
        <w:autoSpaceDN w:val="0"/>
        <w:adjustRightInd w:val="0"/>
        <w:rPr>
          <w:rFonts w:cs="Arial"/>
          <w:lang w:val="es-ES"/>
        </w:rPr>
      </w:pPr>
      <w:r w:rsidRPr="00E32178">
        <w:rPr>
          <w:rFonts w:cs="Arial"/>
          <w:lang w:val="es-ES"/>
        </w:rPr>
        <w:t>Asimismo, es necesario destacar que la Ley Orgánica Municipal del Estado de México prevé en materia de bienes muebles lo siguiente:</w:t>
      </w:r>
    </w:p>
    <w:p w14:paraId="7DD430AC" w14:textId="77777777" w:rsidR="00181AA6" w:rsidRPr="00E32178" w:rsidRDefault="00181AA6" w:rsidP="00E32178">
      <w:pPr>
        <w:autoSpaceDE w:val="0"/>
        <w:autoSpaceDN w:val="0"/>
        <w:adjustRightInd w:val="0"/>
        <w:rPr>
          <w:rFonts w:cs="Arial"/>
          <w:b/>
          <w:lang w:val="es-ES"/>
        </w:rPr>
      </w:pPr>
    </w:p>
    <w:p w14:paraId="505C424D" w14:textId="77777777" w:rsidR="00181AA6" w:rsidRPr="00E32178" w:rsidRDefault="00181AA6" w:rsidP="00E32178">
      <w:pPr>
        <w:pStyle w:val="Ttulo"/>
        <w:rPr>
          <w:rFonts w:eastAsia="Calibri"/>
          <w:lang w:val="es-ES" w:eastAsia="es-MX"/>
        </w:rPr>
      </w:pPr>
      <w:r w:rsidRPr="00E32178">
        <w:rPr>
          <w:rFonts w:eastAsia="Calibri"/>
          <w:b/>
          <w:lang w:val="es-ES" w:eastAsia="es-MX"/>
        </w:rPr>
        <w:t>Artículo 31.-</w:t>
      </w:r>
      <w:r w:rsidRPr="00E32178">
        <w:rPr>
          <w:rFonts w:eastAsia="Calibri"/>
          <w:lang w:val="es-ES" w:eastAsia="es-MX"/>
        </w:rPr>
        <w:t xml:space="preserve"> Son atribuciones de los ayuntamientos:</w:t>
      </w:r>
    </w:p>
    <w:p w14:paraId="7E685BB6" w14:textId="77777777" w:rsidR="00181AA6" w:rsidRPr="00E32178" w:rsidRDefault="00ED1D7D" w:rsidP="00E32178">
      <w:pPr>
        <w:pStyle w:val="Ttulo"/>
        <w:rPr>
          <w:rFonts w:eastAsia="Calibri"/>
          <w:lang w:val="es-ES" w:eastAsia="es-MX"/>
        </w:rPr>
      </w:pPr>
      <w:r w:rsidRPr="00E32178">
        <w:rPr>
          <w:rFonts w:eastAsia="Calibri"/>
          <w:lang w:val="es-ES" w:eastAsia="es-MX"/>
        </w:rPr>
        <w:t>(</w:t>
      </w:r>
      <w:r w:rsidR="00181AA6" w:rsidRPr="00E32178">
        <w:rPr>
          <w:rFonts w:eastAsia="Calibri"/>
          <w:lang w:val="es-ES" w:eastAsia="es-MX"/>
        </w:rPr>
        <w:t>…</w:t>
      </w:r>
      <w:r w:rsidRPr="00E32178">
        <w:rPr>
          <w:rFonts w:eastAsia="Calibri"/>
          <w:lang w:val="es-ES" w:eastAsia="es-MX"/>
        </w:rPr>
        <w:t>)</w:t>
      </w:r>
    </w:p>
    <w:p w14:paraId="049349DC" w14:textId="77777777" w:rsidR="00181AA6" w:rsidRPr="00E32178" w:rsidRDefault="00181AA6" w:rsidP="00E32178">
      <w:pPr>
        <w:pStyle w:val="Ttulo"/>
        <w:rPr>
          <w:rFonts w:eastAsia="Calibri"/>
          <w:b/>
          <w:lang w:val="es-ES" w:eastAsia="es-MX"/>
        </w:rPr>
      </w:pPr>
      <w:r w:rsidRPr="00E32178">
        <w:rPr>
          <w:rFonts w:eastAsia="Calibri"/>
          <w:b/>
          <w:lang w:val="es-ES" w:eastAsia="es-MX"/>
        </w:rPr>
        <w:t>XV.</w:t>
      </w:r>
      <w:r w:rsidRPr="00E32178">
        <w:rPr>
          <w:rFonts w:eastAsia="Calibri"/>
          <w:lang w:val="es-ES" w:eastAsia="es-MX"/>
        </w:rPr>
        <w:t xml:space="preserve"> </w:t>
      </w:r>
      <w:r w:rsidRPr="00E32178">
        <w:rPr>
          <w:rFonts w:eastAsia="Calibri"/>
          <w:b/>
          <w:lang w:val="es-ES" w:eastAsia="es-MX"/>
        </w:rPr>
        <w:t>Aprobar en sesión de cabildo los movimientos registrados en el libro especial de bienes muebles e inmuebles;</w:t>
      </w:r>
    </w:p>
    <w:p w14:paraId="21853066"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0D9E8ABB" w14:textId="77777777" w:rsidR="00181AA6" w:rsidRPr="00E32178" w:rsidRDefault="00181AA6" w:rsidP="00E32178">
      <w:pPr>
        <w:pStyle w:val="Ttulo"/>
        <w:rPr>
          <w:rFonts w:eastAsia="Calibri"/>
          <w:b/>
          <w:lang w:val="es-ES" w:eastAsia="es-MX"/>
        </w:rPr>
      </w:pPr>
      <w:r w:rsidRPr="00E32178">
        <w:rPr>
          <w:rFonts w:eastAsia="Calibri"/>
          <w:b/>
          <w:lang w:val="es-ES" w:eastAsia="es-MX"/>
        </w:rPr>
        <w:t>Artículo 48.- La persona titular de la presidencia municipal tiene las siguientes atribuciones:</w:t>
      </w:r>
    </w:p>
    <w:p w14:paraId="163CDAF6"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37A8DD98" w14:textId="77777777" w:rsidR="00181AA6" w:rsidRPr="00E32178" w:rsidRDefault="00181AA6" w:rsidP="00E32178">
      <w:pPr>
        <w:pStyle w:val="Ttulo"/>
        <w:rPr>
          <w:rFonts w:eastAsia="Calibri"/>
          <w:b/>
          <w:lang w:val="es-ES" w:eastAsia="es-MX"/>
        </w:rPr>
      </w:pPr>
      <w:r w:rsidRPr="00E32178">
        <w:rPr>
          <w:rFonts w:eastAsia="Calibri"/>
          <w:b/>
          <w:lang w:val="es-ES" w:eastAsia="es-MX"/>
        </w:rPr>
        <w:t>XI. Supervisar la administración, registro, control, uso, mantenimiento y conservación adecuados de los bienes del municipio;</w:t>
      </w:r>
    </w:p>
    <w:p w14:paraId="6449DBF8"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0088AB70" w14:textId="77777777" w:rsidR="00181AA6" w:rsidRPr="00E32178" w:rsidRDefault="00181AA6" w:rsidP="00E32178">
      <w:pPr>
        <w:pStyle w:val="Ttulo"/>
        <w:rPr>
          <w:lang w:val="es-ES" w:eastAsia="es-MX"/>
        </w:rPr>
      </w:pPr>
    </w:p>
    <w:p w14:paraId="1625A236" w14:textId="77777777" w:rsidR="00181AA6" w:rsidRPr="00E32178" w:rsidRDefault="00181AA6" w:rsidP="00E32178">
      <w:pPr>
        <w:pStyle w:val="Ttulo"/>
        <w:rPr>
          <w:rFonts w:eastAsia="Calibri" w:cs="Arial"/>
          <w:szCs w:val="22"/>
          <w:lang w:val="es-ES" w:eastAsia="es-MX"/>
        </w:rPr>
      </w:pPr>
      <w:r w:rsidRPr="00E32178">
        <w:rPr>
          <w:rFonts w:eastAsia="Calibri" w:cs="Arial"/>
          <w:b/>
          <w:szCs w:val="22"/>
          <w:lang w:val="es-ES" w:eastAsia="es-MX"/>
        </w:rPr>
        <w:t>Artículo 53.-</w:t>
      </w:r>
      <w:r w:rsidRPr="00E32178">
        <w:rPr>
          <w:rFonts w:eastAsia="Calibri" w:cs="Arial"/>
          <w:szCs w:val="22"/>
          <w:lang w:val="es-ES" w:eastAsia="es-MX"/>
        </w:rPr>
        <w:t xml:space="preserve"> Los </w:t>
      </w:r>
      <w:r w:rsidRPr="00E32178">
        <w:rPr>
          <w:rFonts w:eastAsia="Calibri" w:cs="Arial"/>
          <w:b/>
          <w:szCs w:val="22"/>
          <w:lang w:val="es-ES" w:eastAsia="es-MX"/>
        </w:rPr>
        <w:t>síndicos</w:t>
      </w:r>
      <w:r w:rsidRPr="00E32178">
        <w:rPr>
          <w:rFonts w:eastAsia="Calibri" w:cs="Arial"/>
          <w:szCs w:val="22"/>
          <w:lang w:val="es-ES" w:eastAsia="es-MX"/>
        </w:rPr>
        <w:t xml:space="preserve"> tendrán las siguientes </w:t>
      </w:r>
      <w:r w:rsidRPr="00E32178">
        <w:rPr>
          <w:rFonts w:eastAsia="Calibri" w:cs="Arial"/>
          <w:b/>
          <w:szCs w:val="22"/>
          <w:lang w:val="es-ES" w:eastAsia="es-MX"/>
        </w:rPr>
        <w:t>atribuciones</w:t>
      </w:r>
      <w:r w:rsidRPr="00E32178">
        <w:rPr>
          <w:rFonts w:eastAsia="Calibri" w:cs="Arial"/>
          <w:szCs w:val="22"/>
          <w:lang w:val="es-ES" w:eastAsia="es-MX"/>
        </w:rPr>
        <w:t>:</w:t>
      </w:r>
    </w:p>
    <w:p w14:paraId="3CCC9FC6"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111A5014" w14:textId="77777777" w:rsidR="00181AA6" w:rsidRPr="00E32178" w:rsidRDefault="00181AA6" w:rsidP="00E32178">
      <w:pPr>
        <w:pStyle w:val="Ttulo"/>
        <w:rPr>
          <w:rFonts w:eastAsia="Calibri" w:cs="Arial"/>
          <w:szCs w:val="22"/>
          <w:lang w:val="es-ES" w:eastAsia="es-MX"/>
        </w:rPr>
      </w:pPr>
      <w:r w:rsidRPr="00E32178">
        <w:rPr>
          <w:rFonts w:eastAsia="Calibri" w:cs="Arial"/>
          <w:b/>
          <w:szCs w:val="22"/>
          <w:lang w:val="es-ES" w:eastAsia="es-MX"/>
        </w:rPr>
        <w:t>VII.</w:t>
      </w:r>
      <w:r w:rsidRPr="00E32178">
        <w:rPr>
          <w:rFonts w:eastAsia="Calibri" w:cs="Arial"/>
          <w:szCs w:val="22"/>
          <w:lang w:val="es-ES" w:eastAsia="es-MX"/>
        </w:rPr>
        <w:t xml:space="preserve"> </w:t>
      </w:r>
      <w:r w:rsidRPr="00E32178">
        <w:rPr>
          <w:rFonts w:eastAsia="Calibri" w:cs="Arial"/>
          <w:b/>
          <w:szCs w:val="22"/>
          <w:lang w:val="es-ES" w:eastAsia="es-MX"/>
        </w:rPr>
        <w:t>Intervenir en la formulación del inventario general de los bienes muebles e</w:t>
      </w:r>
      <w:r w:rsidRPr="00E32178">
        <w:rPr>
          <w:b/>
        </w:rPr>
        <w:t xml:space="preserve"> </w:t>
      </w:r>
      <w:r w:rsidRPr="00E32178">
        <w:rPr>
          <w:rFonts w:eastAsia="Calibri" w:cs="Arial"/>
          <w:b/>
          <w:szCs w:val="22"/>
          <w:lang w:val="es-ES" w:eastAsia="es-MX"/>
        </w:rPr>
        <w:t>inmuebles propiedad del municipio</w:t>
      </w:r>
      <w:r w:rsidRPr="00E32178">
        <w:rPr>
          <w:rFonts w:eastAsia="Calibri" w:cs="Arial"/>
          <w:szCs w:val="22"/>
          <w:lang w:val="es-ES" w:eastAsia="es-MX"/>
        </w:rPr>
        <w:t>, haciendo que se inscriban en el libro especial, con expresión de sus valores y de todas las características de identificación, así como el uso y destino de los mismos;</w:t>
      </w:r>
    </w:p>
    <w:p w14:paraId="397EC2AB"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4EFEE4D3" w14:textId="77777777" w:rsidR="00181AA6" w:rsidRPr="00E32178" w:rsidRDefault="00181AA6" w:rsidP="00E32178">
      <w:pPr>
        <w:pStyle w:val="Ttulo"/>
        <w:rPr>
          <w:rFonts w:eastAsia="Calibri"/>
          <w:lang w:val="es-ES" w:eastAsia="es-MX"/>
        </w:rPr>
      </w:pPr>
      <w:r w:rsidRPr="00E32178">
        <w:rPr>
          <w:rFonts w:eastAsia="Calibri"/>
          <w:b/>
          <w:lang w:val="es-ES" w:eastAsia="es-MX"/>
        </w:rPr>
        <w:lastRenderedPageBreak/>
        <w:t>Artículo 91.-</w:t>
      </w:r>
      <w:r w:rsidRPr="00E32178">
        <w:rPr>
          <w:rFonts w:eastAsia="Calibri"/>
          <w:lang w:val="es-ES" w:eastAsia="es-MX"/>
        </w:rPr>
        <w:t xml:space="preserve"> La </w:t>
      </w:r>
      <w:r w:rsidRPr="00E32178">
        <w:rPr>
          <w:rFonts w:eastAsia="Calibri"/>
          <w:b/>
          <w:lang w:val="es-ES" w:eastAsia="es-MX"/>
        </w:rPr>
        <w:t>Secretaría del Ayuntamiento</w:t>
      </w:r>
      <w:r w:rsidRPr="00E32178">
        <w:rPr>
          <w:rFonts w:eastAsia="Calibri"/>
          <w:lang w:val="es-ES" w:eastAsia="es-MX"/>
        </w:rPr>
        <w:t xml:space="preserve"> estará a cargo de un </w:t>
      </w:r>
      <w:proofErr w:type="gramStart"/>
      <w:r w:rsidRPr="00E32178">
        <w:rPr>
          <w:rFonts w:eastAsia="Calibri"/>
          <w:lang w:val="es-ES" w:eastAsia="es-MX"/>
        </w:rPr>
        <w:t>Secretario</w:t>
      </w:r>
      <w:proofErr w:type="gramEnd"/>
      <w:r w:rsidRPr="00E32178">
        <w:rPr>
          <w:rFonts w:eastAsia="Calibri"/>
          <w:lang w:val="es-ES" w:eastAsia="es-MX"/>
        </w:rPr>
        <w:t xml:space="preserve">, el que, sin ser miembro del mismo, deberá ser nombrado por el propio Ayuntamiento a propuesta del Presidente Municipal como lo marca el artículo 31 de la presente ley. Sus faltas temporales serán cubiertas por quien designe el Ayuntamiento y sus </w:t>
      </w:r>
      <w:r w:rsidRPr="00E32178">
        <w:rPr>
          <w:rFonts w:eastAsia="Calibri"/>
          <w:b/>
          <w:lang w:val="es-ES" w:eastAsia="es-MX"/>
        </w:rPr>
        <w:t>atribuciones</w:t>
      </w:r>
      <w:r w:rsidRPr="00E32178">
        <w:rPr>
          <w:rFonts w:eastAsia="Calibri"/>
          <w:lang w:val="es-ES" w:eastAsia="es-MX"/>
        </w:rPr>
        <w:t xml:space="preserve"> son las siguientes:</w:t>
      </w:r>
    </w:p>
    <w:p w14:paraId="239D502A"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6519291B" w14:textId="77777777" w:rsidR="00181AA6" w:rsidRPr="00E32178" w:rsidRDefault="00181AA6" w:rsidP="00E32178">
      <w:pPr>
        <w:pStyle w:val="Ttulo"/>
        <w:rPr>
          <w:rFonts w:eastAsia="Calibri"/>
          <w:lang w:val="es-ES" w:eastAsia="es-MX"/>
        </w:rPr>
      </w:pPr>
      <w:r w:rsidRPr="00E32178">
        <w:rPr>
          <w:rFonts w:eastAsia="Calibri"/>
          <w:lang w:val="es-ES" w:eastAsia="es-MX"/>
        </w:rPr>
        <w:t xml:space="preserve">XI. </w:t>
      </w:r>
      <w:r w:rsidRPr="00E32178">
        <w:rPr>
          <w:rFonts w:eastAsia="Calibri"/>
          <w:b/>
          <w:lang w:val="es-ES" w:eastAsia="es-MX"/>
        </w:rPr>
        <w:t>Elaborar con la intervención del síndico el inventario general de los bienes muebles</w:t>
      </w:r>
      <w:r w:rsidRPr="00E32178">
        <w:rPr>
          <w:rFonts w:eastAsia="Calibri"/>
          <w:lang w:val="es-ES" w:eastAsia="es-MX"/>
        </w:rPr>
        <w:t xml:space="preserve"> e inmuebles </w:t>
      </w:r>
      <w:r w:rsidRPr="00E32178">
        <w:rPr>
          <w:rFonts w:eastAsia="Calibri"/>
          <w:b/>
          <w:lang w:val="es-ES" w:eastAsia="es-MX"/>
        </w:rPr>
        <w:t>municipales</w:t>
      </w:r>
      <w:r w:rsidRPr="00E32178">
        <w:rPr>
          <w:rFonts w:eastAsia="Calibri"/>
          <w:lang w:val="es-ES" w:eastAsia="es-MX"/>
        </w:rPr>
        <w:t xml:space="preserve">, </w:t>
      </w:r>
      <w:r w:rsidRPr="00E32178">
        <w:rPr>
          <w:rFonts w:eastAsia="Calibri"/>
          <w:b/>
          <w:lang w:val="es-ES" w:eastAsia="es-MX"/>
        </w:rPr>
        <w:t>así como la integración del sistema de información inmobiliaria, que contemple los bienes del dominio público y privado</w:t>
      </w:r>
      <w:r w:rsidRPr="00E32178">
        <w:rPr>
          <w:rFonts w:eastAsia="Calibri"/>
          <w:lang w:val="es-ES" w:eastAsia="es-MX"/>
        </w:rPr>
        <w:t>, en un término que no exceda de un año contado a partir de la instalación del ayuntamiento y presentarlo al cabildo para su conocimiento y opinión.</w:t>
      </w:r>
    </w:p>
    <w:p w14:paraId="114AE673" w14:textId="77777777" w:rsidR="00181AA6" w:rsidRPr="00E32178" w:rsidRDefault="00181AA6" w:rsidP="00E32178">
      <w:pPr>
        <w:tabs>
          <w:tab w:val="left" w:pos="8080"/>
        </w:tabs>
        <w:autoSpaceDE w:val="0"/>
        <w:autoSpaceDN w:val="0"/>
        <w:adjustRightInd w:val="0"/>
        <w:ind w:left="567" w:right="617"/>
        <w:rPr>
          <w:rFonts w:cs="Arial"/>
          <w:i/>
          <w:szCs w:val="22"/>
          <w:lang w:val="es-ES"/>
        </w:rPr>
      </w:pPr>
    </w:p>
    <w:p w14:paraId="01778400" w14:textId="77777777" w:rsidR="00181AA6" w:rsidRPr="00E32178" w:rsidRDefault="00181AA6" w:rsidP="00E32178">
      <w:pPr>
        <w:pStyle w:val="Ttulo"/>
        <w:rPr>
          <w:rFonts w:eastAsia="Calibri"/>
          <w:lang w:val="es-ES" w:eastAsia="es-MX"/>
        </w:rPr>
      </w:pPr>
      <w:r w:rsidRPr="00E32178">
        <w:rPr>
          <w:rFonts w:eastAsia="Calibri" w:cs="Arial"/>
          <w:szCs w:val="22"/>
          <w:lang w:val="es-ES" w:eastAsia="es-MX"/>
        </w:rPr>
        <w:t xml:space="preserve">En el caso de que el ayuntamiento </w:t>
      </w:r>
      <w:r w:rsidRPr="00E32178">
        <w:rPr>
          <w:rFonts w:eastAsia="Calibri"/>
          <w:lang w:val="es-ES" w:eastAsia="es-MX"/>
        </w:rPr>
        <w:t>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610FACA5"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315F1C12" w14:textId="77777777" w:rsidR="00181AA6" w:rsidRPr="00E32178" w:rsidRDefault="00181AA6" w:rsidP="00E32178">
      <w:pPr>
        <w:pStyle w:val="Ttulo"/>
        <w:rPr>
          <w:rFonts w:eastAsia="Calibri"/>
          <w:lang w:val="es-ES" w:eastAsia="es-MX"/>
        </w:rPr>
      </w:pPr>
    </w:p>
    <w:p w14:paraId="28C4B396" w14:textId="77777777" w:rsidR="00181AA6" w:rsidRPr="00E32178" w:rsidRDefault="00181AA6" w:rsidP="00E32178">
      <w:pPr>
        <w:pStyle w:val="Ttulo"/>
        <w:rPr>
          <w:rFonts w:eastAsia="Calibri"/>
          <w:lang w:val="es-ES" w:eastAsia="es-MX"/>
        </w:rPr>
      </w:pPr>
      <w:r w:rsidRPr="00E32178">
        <w:rPr>
          <w:rFonts w:eastAsia="Calibri"/>
          <w:b/>
          <w:lang w:val="es-ES" w:eastAsia="es-MX"/>
        </w:rPr>
        <w:t>Artículo 95.-</w:t>
      </w:r>
      <w:r w:rsidRPr="00E32178">
        <w:rPr>
          <w:rFonts w:eastAsia="Calibri"/>
          <w:lang w:val="es-ES" w:eastAsia="es-MX"/>
        </w:rPr>
        <w:t xml:space="preserve"> Son </w:t>
      </w:r>
      <w:r w:rsidRPr="00E32178">
        <w:rPr>
          <w:rFonts w:eastAsia="Calibri"/>
          <w:b/>
          <w:lang w:val="es-ES" w:eastAsia="es-MX"/>
        </w:rPr>
        <w:t>atribuciones</w:t>
      </w:r>
      <w:r w:rsidRPr="00E32178">
        <w:rPr>
          <w:rFonts w:eastAsia="Calibri"/>
          <w:lang w:val="es-ES" w:eastAsia="es-MX"/>
        </w:rPr>
        <w:t xml:space="preserve"> del </w:t>
      </w:r>
      <w:r w:rsidRPr="00E32178">
        <w:rPr>
          <w:rFonts w:eastAsia="Calibri"/>
          <w:b/>
          <w:lang w:val="es-ES" w:eastAsia="es-MX"/>
        </w:rPr>
        <w:t>tesorero municipal</w:t>
      </w:r>
      <w:r w:rsidRPr="00E32178">
        <w:rPr>
          <w:rFonts w:eastAsia="Calibri"/>
          <w:lang w:val="es-ES" w:eastAsia="es-MX"/>
        </w:rPr>
        <w:t>:</w:t>
      </w:r>
    </w:p>
    <w:p w14:paraId="1D2A3B30"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782D7507" w14:textId="77777777" w:rsidR="00181AA6" w:rsidRPr="00E32178" w:rsidRDefault="00181AA6" w:rsidP="00E32178">
      <w:pPr>
        <w:pStyle w:val="Ttulo"/>
        <w:rPr>
          <w:rFonts w:eastAsia="Calibri"/>
          <w:lang w:val="es-ES" w:eastAsia="es-MX"/>
        </w:rPr>
      </w:pPr>
      <w:r w:rsidRPr="00E32178">
        <w:rPr>
          <w:rFonts w:eastAsia="Calibri"/>
          <w:lang w:val="es-ES" w:eastAsia="es-MX"/>
        </w:rPr>
        <w:t xml:space="preserve">IV. </w:t>
      </w:r>
      <w:r w:rsidRPr="00E32178">
        <w:rPr>
          <w:rFonts w:eastAsia="Calibri"/>
          <w:b/>
          <w:lang w:val="es-ES" w:eastAsia="es-MX"/>
        </w:rPr>
        <w:t>Llevar</w:t>
      </w:r>
      <w:r w:rsidRPr="00E32178">
        <w:rPr>
          <w:rFonts w:eastAsia="Calibri"/>
          <w:lang w:val="es-ES" w:eastAsia="es-MX"/>
        </w:rPr>
        <w:t xml:space="preserve"> los registros contables, financieros y administrativos de los ingresos, egresos, e </w:t>
      </w:r>
      <w:r w:rsidRPr="00E32178">
        <w:rPr>
          <w:rFonts w:eastAsia="Calibri"/>
          <w:b/>
          <w:lang w:val="es-ES" w:eastAsia="es-MX"/>
        </w:rPr>
        <w:t>inventarios</w:t>
      </w:r>
      <w:r w:rsidRPr="00E32178">
        <w:rPr>
          <w:rFonts w:eastAsia="Calibri"/>
          <w:lang w:val="es-ES" w:eastAsia="es-MX"/>
        </w:rPr>
        <w:t>;</w:t>
      </w:r>
    </w:p>
    <w:p w14:paraId="02EF9086"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3B880546" w14:textId="77777777" w:rsidR="00181AA6" w:rsidRPr="00E32178" w:rsidRDefault="00181AA6" w:rsidP="00E32178">
      <w:pPr>
        <w:pStyle w:val="Ttulo"/>
        <w:rPr>
          <w:rFonts w:eastAsia="Calibri"/>
          <w:lang w:val="es-ES" w:eastAsia="es-MX"/>
        </w:rPr>
      </w:pPr>
      <w:r w:rsidRPr="00E32178">
        <w:rPr>
          <w:rFonts w:eastAsia="Calibri"/>
          <w:b/>
          <w:lang w:val="es-ES" w:eastAsia="es-MX"/>
        </w:rPr>
        <w:t>Artículo 97.-</w:t>
      </w:r>
      <w:r w:rsidRPr="00E32178">
        <w:rPr>
          <w:rFonts w:eastAsia="Calibri"/>
          <w:lang w:val="es-ES" w:eastAsia="es-MX"/>
        </w:rPr>
        <w:t xml:space="preserve"> La </w:t>
      </w:r>
      <w:r w:rsidRPr="00E32178">
        <w:rPr>
          <w:rFonts w:eastAsia="Calibri"/>
          <w:b/>
          <w:lang w:val="es-ES" w:eastAsia="es-MX"/>
        </w:rPr>
        <w:t>hacienda pública municipal se integra</w:t>
      </w:r>
      <w:r w:rsidRPr="00E32178">
        <w:rPr>
          <w:rFonts w:eastAsia="Calibri"/>
          <w:lang w:val="es-ES" w:eastAsia="es-MX"/>
        </w:rPr>
        <w:t xml:space="preserve"> por:</w:t>
      </w:r>
    </w:p>
    <w:p w14:paraId="6C3F28CB" w14:textId="77777777" w:rsidR="00181AA6" w:rsidRPr="00E32178" w:rsidRDefault="00181AA6" w:rsidP="00E32178">
      <w:pPr>
        <w:pStyle w:val="Ttulo"/>
        <w:rPr>
          <w:rFonts w:eastAsia="Calibri"/>
          <w:lang w:val="es-ES" w:eastAsia="es-MX"/>
        </w:rPr>
      </w:pPr>
      <w:r w:rsidRPr="00E32178">
        <w:rPr>
          <w:rFonts w:eastAsia="Calibri"/>
          <w:lang w:val="es-ES" w:eastAsia="es-MX"/>
        </w:rPr>
        <w:t>I</w:t>
      </w:r>
      <w:r w:rsidRPr="00E32178">
        <w:rPr>
          <w:rFonts w:eastAsia="Calibri"/>
          <w:b/>
          <w:lang w:val="es-ES" w:eastAsia="es-MX"/>
        </w:rPr>
        <w:t>. Los bienes muebles</w:t>
      </w:r>
      <w:r w:rsidRPr="00E32178">
        <w:rPr>
          <w:rFonts w:eastAsia="Calibri"/>
          <w:lang w:val="es-ES" w:eastAsia="es-MX"/>
        </w:rPr>
        <w:t xml:space="preserve"> e inmuebles </w:t>
      </w:r>
      <w:r w:rsidRPr="00E32178">
        <w:rPr>
          <w:rFonts w:eastAsia="Calibri"/>
          <w:b/>
          <w:lang w:val="es-ES" w:eastAsia="es-MX"/>
        </w:rPr>
        <w:t>propiedad del municipio</w:t>
      </w:r>
      <w:r w:rsidRPr="00E32178">
        <w:rPr>
          <w:rFonts w:eastAsia="Calibri"/>
          <w:lang w:val="es-ES" w:eastAsia="es-MX"/>
        </w:rPr>
        <w:t>;</w:t>
      </w:r>
    </w:p>
    <w:p w14:paraId="4E0CE6D6"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60007994" w14:textId="77777777" w:rsidR="00181AA6" w:rsidRPr="00E32178" w:rsidRDefault="00181AA6" w:rsidP="00E32178">
      <w:pPr>
        <w:pStyle w:val="Ttulo"/>
        <w:rPr>
          <w:rFonts w:eastAsia="Calibri"/>
          <w:lang w:val="es-ES" w:eastAsia="es-MX"/>
        </w:rPr>
      </w:pPr>
      <w:r w:rsidRPr="00E32178">
        <w:rPr>
          <w:rFonts w:eastAsia="Calibri"/>
          <w:b/>
          <w:lang w:val="es-ES" w:eastAsia="es-MX"/>
        </w:rPr>
        <w:t>Artículo 112</w:t>
      </w:r>
      <w:r w:rsidRPr="00E32178">
        <w:rPr>
          <w:rFonts w:eastAsia="Calibri"/>
          <w:lang w:val="es-ES" w:eastAsia="es-MX"/>
        </w:rPr>
        <w:t xml:space="preserve">. El </w:t>
      </w:r>
      <w:r w:rsidRPr="00E32178">
        <w:rPr>
          <w:rFonts w:eastAsia="Calibri"/>
          <w:b/>
          <w:lang w:val="es-ES" w:eastAsia="es-MX"/>
        </w:rPr>
        <w:t>órgano interno de control municipal</w:t>
      </w:r>
      <w:r w:rsidRPr="00E32178">
        <w:rPr>
          <w:rFonts w:eastAsia="Calibri"/>
          <w:lang w:val="es-ES" w:eastAsia="es-MX"/>
        </w:rPr>
        <w:t xml:space="preserve">, tendrá a su cargo las </w:t>
      </w:r>
      <w:r w:rsidRPr="00E32178">
        <w:rPr>
          <w:rFonts w:eastAsia="Calibri"/>
          <w:b/>
          <w:lang w:val="es-ES" w:eastAsia="es-MX"/>
        </w:rPr>
        <w:t>funciones</w:t>
      </w:r>
      <w:r w:rsidRPr="00E32178">
        <w:rPr>
          <w:rFonts w:eastAsia="Calibri"/>
          <w:lang w:val="es-ES" w:eastAsia="es-MX"/>
        </w:rPr>
        <w:t xml:space="preserve"> siguientes:</w:t>
      </w:r>
    </w:p>
    <w:p w14:paraId="0D451ACE" w14:textId="77777777" w:rsidR="00181AA6" w:rsidRPr="00E32178" w:rsidRDefault="00181AA6" w:rsidP="00E32178">
      <w:pPr>
        <w:pStyle w:val="Ttulo"/>
        <w:rPr>
          <w:b/>
          <w:lang w:val="es-ES"/>
        </w:rPr>
      </w:pPr>
    </w:p>
    <w:p w14:paraId="2F2203DD" w14:textId="77777777" w:rsidR="00181AA6" w:rsidRPr="00E32178" w:rsidRDefault="00181AA6" w:rsidP="00E32178">
      <w:pPr>
        <w:pStyle w:val="Ttulo"/>
        <w:rPr>
          <w:lang w:val="es-ES"/>
        </w:rPr>
      </w:pPr>
      <w:r w:rsidRPr="00E32178">
        <w:rPr>
          <w:b/>
          <w:lang w:val="es-ES"/>
        </w:rPr>
        <w:t>XV</w:t>
      </w:r>
      <w:r w:rsidRPr="00E32178">
        <w:rPr>
          <w:lang w:val="es-ES"/>
        </w:rPr>
        <w:t xml:space="preserve">. </w:t>
      </w:r>
      <w:r w:rsidRPr="00E32178">
        <w:rPr>
          <w:b/>
          <w:lang w:val="es-ES"/>
        </w:rPr>
        <w:t>Participar en la elaboración y actualización del inventario general de los bienes muebles</w:t>
      </w:r>
      <w:r w:rsidRPr="00E32178">
        <w:rPr>
          <w:lang w:val="es-ES"/>
        </w:rPr>
        <w:t xml:space="preserve"> e inmuebles propiedad del municipio, que </w:t>
      </w:r>
      <w:r w:rsidRPr="00E32178">
        <w:rPr>
          <w:b/>
          <w:lang w:val="es-ES"/>
        </w:rPr>
        <w:t>expresará las características de identificación y destino de los mismos</w:t>
      </w:r>
      <w:r w:rsidRPr="00E32178">
        <w:rPr>
          <w:lang w:val="es-ES"/>
        </w:rPr>
        <w:t>;</w:t>
      </w:r>
    </w:p>
    <w:p w14:paraId="46FB0383" w14:textId="77777777" w:rsidR="00ED1D7D" w:rsidRPr="00E32178" w:rsidRDefault="00ED1D7D" w:rsidP="00E32178">
      <w:pPr>
        <w:pStyle w:val="Ttulo"/>
        <w:rPr>
          <w:rFonts w:eastAsia="Calibri"/>
          <w:lang w:val="es-ES" w:eastAsia="es-MX"/>
        </w:rPr>
      </w:pPr>
      <w:r w:rsidRPr="00E32178">
        <w:rPr>
          <w:rFonts w:eastAsia="Calibri"/>
          <w:lang w:val="es-ES" w:eastAsia="es-MX"/>
        </w:rPr>
        <w:t>(…)</w:t>
      </w:r>
    </w:p>
    <w:p w14:paraId="26C28458" w14:textId="77777777" w:rsidR="00181AA6" w:rsidRPr="00E32178" w:rsidRDefault="00181AA6" w:rsidP="00E32178">
      <w:pPr>
        <w:pStyle w:val="Ttulo"/>
        <w:rPr>
          <w:lang w:val="es-ES"/>
        </w:rPr>
      </w:pPr>
      <w:r w:rsidRPr="00E32178">
        <w:rPr>
          <w:lang w:val="es-ES"/>
        </w:rPr>
        <w:t>(Énfasis añadido)</w:t>
      </w:r>
    </w:p>
    <w:p w14:paraId="0F5BEFF3" w14:textId="77777777" w:rsidR="00181AA6" w:rsidRPr="00E32178" w:rsidRDefault="00181AA6" w:rsidP="00E32178">
      <w:pPr>
        <w:rPr>
          <w:rFonts w:cs="Arial"/>
          <w:lang w:val="es-ES"/>
        </w:rPr>
      </w:pPr>
    </w:p>
    <w:p w14:paraId="5510F7CC" w14:textId="77777777" w:rsidR="00181AA6" w:rsidRPr="00E32178" w:rsidRDefault="00181AA6" w:rsidP="00E32178">
      <w:pPr>
        <w:rPr>
          <w:rFonts w:cs="Arial"/>
          <w:lang w:val="es-ES"/>
        </w:rPr>
      </w:pPr>
      <w:r w:rsidRPr="00E32178">
        <w:rPr>
          <w:rFonts w:cs="Arial"/>
          <w:lang w:val="es-ES"/>
        </w:rPr>
        <w:lastRenderedPageBreak/>
        <w:t xml:space="preserve">De los preceptos citados, se advierte que deben aprobarse por el Cabildo los movimientos de los bienes muebles, supervisando a través de su </w:t>
      </w:r>
      <w:proofErr w:type="gramStart"/>
      <w:r w:rsidRPr="00E32178">
        <w:rPr>
          <w:rFonts w:cs="Arial"/>
          <w:lang w:val="es-ES"/>
        </w:rPr>
        <w:t>Presidente</w:t>
      </w:r>
      <w:proofErr w:type="gramEnd"/>
      <w:r w:rsidRPr="00E32178">
        <w:rPr>
          <w:rFonts w:cs="Arial"/>
          <w:lang w:val="es-ES"/>
        </w:rPr>
        <w:t xml:space="preserve"> Municipal la administración, registro, control, uso, mantenimiento y conservación de dichos bienes.</w:t>
      </w:r>
    </w:p>
    <w:p w14:paraId="06FF21A2" w14:textId="77777777" w:rsidR="00181AA6" w:rsidRPr="00E32178" w:rsidRDefault="00181AA6" w:rsidP="00E32178">
      <w:pPr>
        <w:rPr>
          <w:rFonts w:cs="Arial"/>
          <w:lang w:val="es-ES"/>
        </w:rPr>
      </w:pPr>
    </w:p>
    <w:p w14:paraId="04B9F323" w14:textId="77777777" w:rsidR="00181AA6" w:rsidRPr="00E32178" w:rsidRDefault="00181AA6" w:rsidP="00E32178">
      <w:pPr>
        <w:rPr>
          <w:rFonts w:cs="Arial"/>
          <w:lang w:val="es-ES"/>
        </w:rPr>
      </w:pPr>
      <w:r w:rsidRPr="00E32178">
        <w:rPr>
          <w:rFonts w:cs="Arial"/>
          <w:lang w:val="es-ES"/>
        </w:rPr>
        <w:t>De manera particular, se destaca que es atribución del Síndico Municipal la inscripción en el libro especial de todos los bienes muebles, con expresión de sus valores y de todas las características de identificación, así</w:t>
      </w:r>
      <w:r w:rsidRPr="00E32178">
        <w:rPr>
          <w:rFonts w:cs="Arial"/>
          <w:b/>
          <w:lang w:val="es-ES"/>
        </w:rPr>
        <w:t xml:space="preserve"> </w:t>
      </w:r>
      <w:r w:rsidRPr="00E32178">
        <w:rPr>
          <w:rFonts w:cs="Arial"/>
          <w:lang w:val="es-ES"/>
        </w:rPr>
        <w:t xml:space="preserve">como formular de manera conjunta con el </w:t>
      </w:r>
      <w:proofErr w:type="gramStart"/>
      <w:r w:rsidRPr="00E32178">
        <w:rPr>
          <w:rFonts w:cs="Arial"/>
          <w:lang w:val="es-ES"/>
        </w:rPr>
        <w:t>Secretario</w:t>
      </w:r>
      <w:proofErr w:type="gramEnd"/>
      <w:r w:rsidRPr="00E32178">
        <w:rPr>
          <w:rFonts w:cs="Arial"/>
          <w:lang w:val="es-ES"/>
        </w:rPr>
        <w:t xml:space="preserve"> del Ayuntamiento el inventario general de los muebles del Ayuntamiento, debiendo participar en su elaboración y actualización el Contralor Interno Municipal. </w:t>
      </w:r>
    </w:p>
    <w:p w14:paraId="6CB12A6D" w14:textId="77777777" w:rsidR="00181AA6" w:rsidRPr="00E32178" w:rsidRDefault="00181AA6" w:rsidP="00E32178">
      <w:pPr>
        <w:tabs>
          <w:tab w:val="left" w:pos="8789"/>
        </w:tabs>
        <w:autoSpaceDE w:val="0"/>
        <w:autoSpaceDN w:val="0"/>
        <w:adjustRightInd w:val="0"/>
        <w:ind w:right="49"/>
        <w:contextualSpacing/>
        <w:rPr>
          <w:rFonts w:eastAsia="Calibri" w:cs="Arial"/>
          <w:lang w:val="es-ES"/>
        </w:rPr>
      </w:pPr>
    </w:p>
    <w:p w14:paraId="63B597F3" w14:textId="77777777" w:rsidR="00181AA6" w:rsidRPr="00E32178" w:rsidRDefault="00181AA6" w:rsidP="00E32178">
      <w:pPr>
        <w:rPr>
          <w:rFonts w:eastAsia="Palatino Linotype" w:cs="Palatino Linotype"/>
        </w:rPr>
      </w:pPr>
      <w:r w:rsidRPr="00E32178">
        <w:rPr>
          <w:rFonts w:eastAsia="Palatino Linotype" w:cs="Palatino Linotype"/>
        </w:rPr>
        <w:t xml:space="preserve">A mayor abundamiento, es pertinente señalar que, entre las obligaciones de transparencia común, se encuentra la publicación de manera actualizada y permanente, los inventaros de bienes muebles e inmuebles en posesión y propiedad de los Sujetos Obligado, de conformidad con lo dispuesto por la fracción XXXVIII del artículo 92 de la Ley de Transparencia y Acceso a la Información Pública del Estado de México y Municipios, que es del contenido literal siguiente: </w:t>
      </w:r>
    </w:p>
    <w:p w14:paraId="489324F6" w14:textId="77777777" w:rsidR="00181AA6" w:rsidRPr="00E32178" w:rsidRDefault="00181AA6" w:rsidP="00E32178">
      <w:pPr>
        <w:ind w:left="851" w:right="822"/>
        <w:rPr>
          <w:rFonts w:eastAsia="Palatino Linotype" w:cs="Palatino Linotype"/>
        </w:rPr>
      </w:pPr>
    </w:p>
    <w:p w14:paraId="4FFDC97B" w14:textId="77777777" w:rsidR="00181AA6" w:rsidRPr="00E32178" w:rsidRDefault="00181AA6" w:rsidP="00E32178">
      <w:pPr>
        <w:pStyle w:val="Ttulo"/>
        <w:ind w:left="851" w:right="822"/>
      </w:pPr>
      <w:r w:rsidRPr="00E32178">
        <w:rPr>
          <w:b/>
        </w:rPr>
        <w:t>“Artículo 92.</w:t>
      </w:r>
      <w:r w:rsidRPr="00E32178">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2764E6" w14:textId="77777777" w:rsidR="00181AA6" w:rsidRPr="00E32178" w:rsidRDefault="00181AA6" w:rsidP="00E32178">
      <w:pPr>
        <w:pStyle w:val="Ttulo"/>
        <w:ind w:left="851" w:right="822"/>
        <w:rPr>
          <w:rFonts w:eastAsia="Palatino Linotype" w:cs="Palatino Linotype"/>
        </w:rPr>
      </w:pPr>
      <w:r w:rsidRPr="00E32178">
        <w:rPr>
          <w:b/>
        </w:rPr>
        <w:t>…</w:t>
      </w:r>
    </w:p>
    <w:p w14:paraId="4056B701" w14:textId="77777777" w:rsidR="00181AA6" w:rsidRPr="00E32178" w:rsidRDefault="00181AA6" w:rsidP="00E32178">
      <w:pPr>
        <w:pStyle w:val="Ttulo"/>
        <w:ind w:left="851" w:right="822"/>
      </w:pPr>
      <w:r w:rsidRPr="00E32178">
        <w:rPr>
          <w:b/>
          <w:u w:val="single"/>
        </w:rPr>
        <w:t>XXXVIII. El inventario de bienes muebles e inmuebles en posesión y propiedad</w:t>
      </w:r>
      <w:r w:rsidRPr="00E32178">
        <w:t>;</w:t>
      </w:r>
    </w:p>
    <w:p w14:paraId="59B766F8" w14:textId="77777777" w:rsidR="00181AA6" w:rsidRPr="00E32178" w:rsidRDefault="00181AA6" w:rsidP="00E32178">
      <w:pPr>
        <w:pStyle w:val="Ttulo"/>
        <w:ind w:left="851" w:right="822"/>
      </w:pPr>
      <w:r w:rsidRPr="00E32178">
        <w:t>...”</w:t>
      </w:r>
    </w:p>
    <w:p w14:paraId="6BF62E7A" w14:textId="77777777" w:rsidR="00181AA6" w:rsidRPr="00E32178" w:rsidRDefault="00181AA6" w:rsidP="00E32178">
      <w:pPr>
        <w:pStyle w:val="Ttulo"/>
        <w:ind w:left="851" w:right="822"/>
        <w:rPr>
          <w:rFonts w:eastAsia="Palatino Linotype" w:cs="Palatino Linotype"/>
        </w:rPr>
      </w:pPr>
      <w:r w:rsidRPr="00E32178">
        <w:t xml:space="preserve">(Énfasis añadido) </w:t>
      </w:r>
    </w:p>
    <w:p w14:paraId="5E61FE39" w14:textId="77777777" w:rsidR="00181AA6" w:rsidRPr="00E32178" w:rsidRDefault="00181AA6" w:rsidP="00E32178">
      <w:pPr>
        <w:tabs>
          <w:tab w:val="left" w:pos="8789"/>
        </w:tabs>
        <w:autoSpaceDE w:val="0"/>
        <w:autoSpaceDN w:val="0"/>
        <w:adjustRightInd w:val="0"/>
        <w:ind w:right="49"/>
        <w:contextualSpacing/>
        <w:rPr>
          <w:rFonts w:eastAsia="Calibri" w:cs="Arial"/>
          <w:lang w:val="es-ES"/>
        </w:rPr>
      </w:pPr>
    </w:p>
    <w:p w14:paraId="7062ACF1" w14:textId="77777777" w:rsidR="00ED1D7D" w:rsidRPr="00E32178" w:rsidRDefault="00C41F68" w:rsidP="00E32178">
      <w:pPr>
        <w:rPr>
          <w:rFonts w:eastAsia="Calibri" w:cs="Arial"/>
          <w:lang w:val="es-ES"/>
        </w:rPr>
      </w:pPr>
      <w:r w:rsidRPr="00E32178">
        <w:lastRenderedPageBreak/>
        <w:t xml:space="preserve">Por lo que, en atención a todo lo antes descrito, este Órgano Garante considera que </w:t>
      </w:r>
      <w:r w:rsidRPr="00E32178">
        <w:rPr>
          <w:b/>
        </w:rPr>
        <w:t>EL SUJETO OBLIGADO</w:t>
      </w:r>
      <w:r w:rsidRPr="00E32178">
        <w:t xml:space="preserve"> no satisfizo correctamente el derecho de acceso a la información </w:t>
      </w:r>
      <w:r w:rsidRPr="00E32178">
        <w:rPr>
          <w:b/>
        </w:rPr>
        <w:t>LA PARTE RECURRENTE</w:t>
      </w:r>
      <w:r w:rsidRPr="00E32178">
        <w:t xml:space="preserve">, lo cual da como resultado que el agravio sea </w:t>
      </w:r>
      <w:r w:rsidRPr="00E32178">
        <w:rPr>
          <w:b/>
        </w:rPr>
        <w:t xml:space="preserve">FUNDADO </w:t>
      </w:r>
      <w:r w:rsidRPr="00E32178">
        <w:rPr>
          <w:bCs/>
        </w:rPr>
        <w:t>y</w:t>
      </w:r>
      <w:r w:rsidRPr="00E32178">
        <w:t>, en consecuencia, se determina</w:t>
      </w:r>
      <w:r w:rsidR="004D3019" w:rsidRPr="00E32178">
        <w:t xml:space="preserve"> procedente ordenar que se haga entrega </w:t>
      </w:r>
      <w:r w:rsidR="00ED1D7D" w:rsidRPr="00E32178">
        <w:rPr>
          <w:rFonts w:eastAsia="Calibri" w:cs="Arial"/>
          <w:lang w:val="es-ES"/>
        </w:rPr>
        <w:t>de ser procedente en versión pública el o los documentos donde conste el inventario del parque vehicular vigente al seis de marzo de dos mil veintic</w:t>
      </w:r>
      <w:r w:rsidR="00DF1528" w:rsidRPr="00E32178">
        <w:rPr>
          <w:rFonts w:eastAsia="Calibri" w:cs="Arial"/>
          <w:lang w:val="es-ES"/>
        </w:rPr>
        <w:t>inc</w:t>
      </w:r>
      <w:r w:rsidR="00ED1D7D" w:rsidRPr="00E32178">
        <w:rPr>
          <w:rFonts w:eastAsia="Calibri" w:cs="Arial"/>
          <w:lang w:val="es-ES"/>
        </w:rPr>
        <w:t>o.</w:t>
      </w:r>
    </w:p>
    <w:p w14:paraId="14918A65" w14:textId="77777777" w:rsidR="00ED1D7D" w:rsidRPr="00E32178" w:rsidRDefault="00ED1D7D" w:rsidP="00E32178">
      <w:pPr>
        <w:rPr>
          <w:rFonts w:eastAsia="Calibri" w:cs="Arial"/>
          <w:lang w:val="es-ES"/>
        </w:rPr>
      </w:pPr>
    </w:p>
    <w:p w14:paraId="2E770D73" w14:textId="77777777" w:rsidR="00ED1D7D" w:rsidRPr="00E32178" w:rsidRDefault="00ED1D7D" w:rsidP="00E32178">
      <w:pPr>
        <w:pStyle w:val="Ttulo3"/>
      </w:pPr>
      <w:bookmarkStart w:id="31" w:name="_Toc203626735"/>
      <w:r w:rsidRPr="00E32178">
        <w:t>d) Versión pública</w:t>
      </w:r>
      <w:bookmarkEnd w:id="31"/>
    </w:p>
    <w:p w14:paraId="284BB691" w14:textId="77777777" w:rsidR="00ED1D7D" w:rsidRPr="00E32178" w:rsidRDefault="00ED1D7D" w:rsidP="00E32178">
      <w:r w:rsidRPr="00E32178">
        <w:t xml:space="preserve">Para el caso de que el o los documentos de los cuales se ordena su entrega contengan datos personales susceptibles de ser testados, deberán ser entregados en </w:t>
      </w:r>
      <w:r w:rsidRPr="00E32178">
        <w:rPr>
          <w:b/>
        </w:rPr>
        <w:t>versión pública</w:t>
      </w:r>
      <w:r w:rsidRPr="00E32178">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A79E95" w14:textId="77777777" w:rsidR="00ED1D7D" w:rsidRPr="00E32178" w:rsidRDefault="00ED1D7D" w:rsidP="00E32178"/>
    <w:p w14:paraId="687BA606" w14:textId="77777777" w:rsidR="00ED1D7D" w:rsidRPr="00E32178" w:rsidRDefault="00ED1D7D" w:rsidP="00E32178">
      <w:r w:rsidRPr="00E32178">
        <w:t>A este respecto, los artículos 3, fracciones IX, XX, XXI y XLV; 51 y 52 de la Ley de Transparencia y Acceso a la Información Pública del Estado de México y Municipios establecen:</w:t>
      </w:r>
    </w:p>
    <w:p w14:paraId="6A9D2399" w14:textId="77777777" w:rsidR="00ED1D7D" w:rsidRPr="00E32178" w:rsidRDefault="00ED1D7D" w:rsidP="00E32178"/>
    <w:p w14:paraId="296B823E" w14:textId="77777777" w:rsidR="00ED1D7D" w:rsidRPr="00E32178" w:rsidRDefault="00ED1D7D" w:rsidP="00E32178">
      <w:pPr>
        <w:pStyle w:val="Ttulo"/>
        <w:tabs>
          <w:tab w:val="left" w:pos="8222"/>
        </w:tabs>
        <w:ind w:left="851" w:right="822"/>
      </w:pPr>
      <w:r w:rsidRPr="00E32178">
        <w:rPr>
          <w:b/>
        </w:rPr>
        <w:t xml:space="preserve">“Artículo 3. </w:t>
      </w:r>
      <w:r w:rsidRPr="00E32178">
        <w:t xml:space="preserve">Para los efectos de la presente Ley se entenderá por: </w:t>
      </w:r>
    </w:p>
    <w:p w14:paraId="1C706050" w14:textId="77777777" w:rsidR="00ED1D7D" w:rsidRPr="00E32178" w:rsidRDefault="00ED1D7D" w:rsidP="00E32178">
      <w:pPr>
        <w:pStyle w:val="Ttulo"/>
        <w:tabs>
          <w:tab w:val="left" w:pos="8222"/>
        </w:tabs>
        <w:ind w:left="851" w:right="822"/>
      </w:pPr>
      <w:r w:rsidRPr="00E32178">
        <w:rPr>
          <w:b/>
        </w:rPr>
        <w:t>IX.</w:t>
      </w:r>
      <w:r w:rsidRPr="00E32178">
        <w:t xml:space="preserve"> </w:t>
      </w:r>
      <w:r w:rsidRPr="00E32178">
        <w:rPr>
          <w:b/>
        </w:rPr>
        <w:t xml:space="preserve">Datos personales: </w:t>
      </w:r>
      <w:r w:rsidRPr="00E32178">
        <w:t xml:space="preserve">La información concerniente a una persona, identificada o identificable según lo dispuesto por la Ley de Protección de Datos Personales del Estado de México; </w:t>
      </w:r>
    </w:p>
    <w:p w14:paraId="1E2BA419" w14:textId="77777777" w:rsidR="00ED1D7D" w:rsidRPr="00E32178" w:rsidRDefault="00ED1D7D" w:rsidP="00E32178">
      <w:pPr>
        <w:pStyle w:val="Ttulo"/>
        <w:tabs>
          <w:tab w:val="left" w:pos="8222"/>
        </w:tabs>
        <w:ind w:left="851" w:right="822"/>
      </w:pPr>
    </w:p>
    <w:p w14:paraId="0B430E0E" w14:textId="77777777" w:rsidR="00ED1D7D" w:rsidRPr="00E32178" w:rsidRDefault="00ED1D7D" w:rsidP="00E32178">
      <w:pPr>
        <w:pStyle w:val="Ttulo"/>
        <w:tabs>
          <w:tab w:val="left" w:pos="8222"/>
        </w:tabs>
        <w:ind w:left="851" w:right="822"/>
      </w:pPr>
      <w:r w:rsidRPr="00E32178">
        <w:rPr>
          <w:b/>
        </w:rPr>
        <w:lastRenderedPageBreak/>
        <w:t>XX.</w:t>
      </w:r>
      <w:r w:rsidRPr="00E32178">
        <w:t xml:space="preserve"> </w:t>
      </w:r>
      <w:r w:rsidRPr="00E32178">
        <w:rPr>
          <w:b/>
        </w:rPr>
        <w:t>Información clasificada:</w:t>
      </w:r>
      <w:r w:rsidRPr="00E32178">
        <w:t xml:space="preserve"> Aquella considerada por la presente Ley como reservada o confidencial; </w:t>
      </w:r>
    </w:p>
    <w:p w14:paraId="267EE0B1" w14:textId="77777777" w:rsidR="00ED1D7D" w:rsidRPr="00E32178" w:rsidRDefault="00ED1D7D" w:rsidP="00E32178">
      <w:pPr>
        <w:pStyle w:val="Ttulo"/>
        <w:tabs>
          <w:tab w:val="left" w:pos="8222"/>
        </w:tabs>
        <w:ind w:left="851" w:right="822"/>
      </w:pPr>
    </w:p>
    <w:p w14:paraId="6C7EA337" w14:textId="77777777" w:rsidR="00ED1D7D" w:rsidRPr="00E32178" w:rsidRDefault="00ED1D7D" w:rsidP="00E32178">
      <w:pPr>
        <w:pStyle w:val="Ttulo"/>
        <w:tabs>
          <w:tab w:val="left" w:pos="8222"/>
        </w:tabs>
        <w:ind w:left="851" w:right="822"/>
      </w:pPr>
      <w:r w:rsidRPr="00E32178">
        <w:rPr>
          <w:b/>
        </w:rPr>
        <w:t>XXI.</w:t>
      </w:r>
      <w:r w:rsidRPr="00E32178">
        <w:t xml:space="preserve"> </w:t>
      </w:r>
      <w:r w:rsidRPr="00E32178">
        <w:rPr>
          <w:b/>
        </w:rPr>
        <w:t>Información confidencial</w:t>
      </w:r>
      <w:r w:rsidRPr="00E3217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14868AB" w14:textId="77777777" w:rsidR="00ED1D7D" w:rsidRPr="00E32178" w:rsidRDefault="00ED1D7D" w:rsidP="00E32178">
      <w:pPr>
        <w:pStyle w:val="Ttulo"/>
        <w:tabs>
          <w:tab w:val="left" w:pos="8222"/>
        </w:tabs>
        <w:ind w:left="851" w:right="822"/>
      </w:pPr>
    </w:p>
    <w:p w14:paraId="61E45357" w14:textId="77777777" w:rsidR="00ED1D7D" w:rsidRPr="00E32178" w:rsidRDefault="00ED1D7D" w:rsidP="00E32178">
      <w:pPr>
        <w:pStyle w:val="Ttulo"/>
        <w:tabs>
          <w:tab w:val="left" w:pos="8222"/>
        </w:tabs>
        <w:ind w:left="851" w:right="822"/>
      </w:pPr>
      <w:r w:rsidRPr="00E32178">
        <w:rPr>
          <w:b/>
        </w:rPr>
        <w:t>XLV. Versión pública:</w:t>
      </w:r>
      <w:r w:rsidRPr="00E32178">
        <w:t xml:space="preserve"> Documento en el que se elimine, suprime o borra la información clasificada como reservada o confidencial para permitir su acceso. </w:t>
      </w:r>
    </w:p>
    <w:p w14:paraId="0F5E2E0A" w14:textId="77777777" w:rsidR="00ED1D7D" w:rsidRPr="00E32178" w:rsidRDefault="00ED1D7D" w:rsidP="00E32178">
      <w:pPr>
        <w:pStyle w:val="Ttulo"/>
        <w:tabs>
          <w:tab w:val="left" w:pos="8222"/>
        </w:tabs>
        <w:ind w:left="851" w:right="822"/>
      </w:pPr>
    </w:p>
    <w:p w14:paraId="2B18EBA8" w14:textId="77777777" w:rsidR="00ED1D7D" w:rsidRPr="00E32178" w:rsidRDefault="00ED1D7D" w:rsidP="00E32178">
      <w:pPr>
        <w:pStyle w:val="Ttulo"/>
        <w:tabs>
          <w:tab w:val="left" w:pos="8222"/>
        </w:tabs>
        <w:ind w:left="851" w:right="822"/>
      </w:pPr>
      <w:r w:rsidRPr="00E32178">
        <w:rPr>
          <w:b/>
        </w:rPr>
        <w:t>Artículo 51.</w:t>
      </w:r>
      <w:r w:rsidRPr="00E32178">
        <w:t xml:space="preserve"> Los sujetos obligados designaran a un responsable para atender la Unidad de Transparencia, quien fungirá como enlace entre éstos y los solicitantes. Dicha Unidad será la encargada de tramitar internamente la solicitud de información </w:t>
      </w:r>
      <w:r w:rsidRPr="00E32178">
        <w:rPr>
          <w:b/>
        </w:rPr>
        <w:t xml:space="preserve">y tendrá la responsabilidad de verificar en cada caso que la misma no sea confidencial o reservada. </w:t>
      </w:r>
      <w:r w:rsidRPr="00E32178">
        <w:t>Dicha Unidad contará con las facultades internas necesarias para gestionar la atención a las solicitudes de información en los términos de la Ley General y la presente Ley.</w:t>
      </w:r>
    </w:p>
    <w:p w14:paraId="76156472" w14:textId="77777777" w:rsidR="00ED1D7D" w:rsidRPr="00E32178" w:rsidRDefault="00ED1D7D" w:rsidP="00E32178">
      <w:pPr>
        <w:pStyle w:val="Ttulo"/>
        <w:tabs>
          <w:tab w:val="left" w:pos="8222"/>
        </w:tabs>
        <w:ind w:left="851" w:right="822"/>
      </w:pPr>
    </w:p>
    <w:p w14:paraId="2DBB5024" w14:textId="77777777" w:rsidR="00ED1D7D" w:rsidRPr="00E32178" w:rsidRDefault="00ED1D7D" w:rsidP="00E32178">
      <w:pPr>
        <w:pStyle w:val="Ttulo"/>
        <w:tabs>
          <w:tab w:val="left" w:pos="8222"/>
        </w:tabs>
        <w:ind w:left="851" w:right="822"/>
      </w:pPr>
      <w:r w:rsidRPr="00E32178">
        <w:rPr>
          <w:b/>
        </w:rPr>
        <w:t>Artículo 52.</w:t>
      </w:r>
      <w:r w:rsidRPr="00E32178">
        <w:t xml:space="preserve"> Las solicitudes de acceso a la información y las respuestas que se les dé, incluyendo, en su caso, </w:t>
      </w:r>
      <w:r w:rsidRPr="00E32178">
        <w:rPr>
          <w:u w:val="single"/>
        </w:rPr>
        <w:t>la información entregada, así como las resoluciones a los recursos que en su caso se promuevan serán públicas, y de ser el caso que contenga datos personales que deban ser protegidos se podrá dar su acceso en su versión pública</w:t>
      </w:r>
      <w:r w:rsidRPr="00E32178">
        <w:t>, siempre y cuando la resolución de referencia se someta a un proceso de disociación, es decir, no haga identificable al titular de tales datos personales.” (Énfasis añadido)</w:t>
      </w:r>
    </w:p>
    <w:p w14:paraId="05FE501F" w14:textId="77777777" w:rsidR="00ED1D7D" w:rsidRPr="00E32178" w:rsidRDefault="00ED1D7D" w:rsidP="00E32178"/>
    <w:p w14:paraId="08545CFA" w14:textId="77777777" w:rsidR="00ED1D7D" w:rsidRPr="00E32178" w:rsidRDefault="00ED1D7D" w:rsidP="00E32178">
      <w:pPr>
        <w:spacing w:after="240"/>
      </w:pPr>
      <w:r w:rsidRPr="00E3217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77FA0A3" w14:textId="77777777" w:rsidR="00ED1D7D" w:rsidRPr="00E32178" w:rsidRDefault="00ED1D7D" w:rsidP="00E32178">
      <w:pPr>
        <w:pStyle w:val="Ttulo"/>
        <w:ind w:left="851" w:right="822"/>
      </w:pPr>
      <w:r w:rsidRPr="00E32178">
        <w:rPr>
          <w:b/>
        </w:rPr>
        <w:lastRenderedPageBreak/>
        <w:t>“Artículo 22.</w:t>
      </w:r>
      <w:r w:rsidRPr="00E32178">
        <w:t xml:space="preserve"> Todo tratamiento de datos personales que efectúe el responsable deberá estar justificado por finalidades concretas, lícitas, explícitas y legítimas, relacionadas con las atribuciones que la normatividad aplicable les confiera. </w:t>
      </w:r>
    </w:p>
    <w:p w14:paraId="6642616F" w14:textId="77777777" w:rsidR="00ED1D7D" w:rsidRPr="00E32178" w:rsidRDefault="00ED1D7D" w:rsidP="00E32178">
      <w:pPr>
        <w:ind w:left="851" w:right="822"/>
      </w:pPr>
    </w:p>
    <w:p w14:paraId="1BA0BF76" w14:textId="77777777" w:rsidR="00ED1D7D" w:rsidRPr="00E32178" w:rsidRDefault="00ED1D7D" w:rsidP="00E32178">
      <w:pPr>
        <w:pStyle w:val="Ttulo"/>
        <w:spacing w:after="240"/>
        <w:ind w:left="851" w:right="822"/>
      </w:pPr>
      <w:r w:rsidRPr="00E32178">
        <w:rPr>
          <w:b/>
        </w:rPr>
        <w:t>Artículo 38.</w:t>
      </w:r>
      <w:r w:rsidRPr="00E32178">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32178">
        <w:rPr>
          <w:b/>
        </w:rPr>
        <w:t>”</w:t>
      </w:r>
      <w:r w:rsidRPr="00E32178">
        <w:t xml:space="preserve"> </w:t>
      </w:r>
    </w:p>
    <w:p w14:paraId="00DDC712" w14:textId="77777777" w:rsidR="00ED1D7D" w:rsidRPr="00E32178" w:rsidRDefault="00ED1D7D" w:rsidP="00E32178">
      <w:pPr>
        <w:spacing w:after="240"/>
      </w:pPr>
      <w:r w:rsidRPr="00E3217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72AAFAA" w14:textId="77777777" w:rsidR="00ED1D7D" w:rsidRPr="00E32178" w:rsidRDefault="00ED1D7D" w:rsidP="00E32178">
      <w:r w:rsidRPr="00E32178">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32178">
        <w:rPr>
          <w:b/>
        </w:rPr>
        <w:t>EL SUJETO OBLIGADO,</w:t>
      </w:r>
      <w:r w:rsidRPr="00E32178">
        <w:t xml:space="preserve"> por lo que, todo dato personal susceptible de clasificación debe ser protegido.</w:t>
      </w:r>
    </w:p>
    <w:p w14:paraId="1BA1FA75" w14:textId="77777777" w:rsidR="00ED1D7D" w:rsidRPr="00E32178" w:rsidRDefault="00ED1D7D" w:rsidP="00E32178"/>
    <w:p w14:paraId="30121673" w14:textId="77777777" w:rsidR="00ED1D7D" w:rsidRPr="00E32178" w:rsidRDefault="00ED1D7D" w:rsidP="00E32178">
      <w:r w:rsidRPr="00E3217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0F3F93E" w14:textId="77777777" w:rsidR="00ED1D7D" w:rsidRPr="00E32178" w:rsidRDefault="00ED1D7D" w:rsidP="00E32178">
      <w:r w:rsidRPr="00E32178">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AAD9397" w14:textId="77777777" w:rsidR="00ED1D7D" w:rsidRPr="00E32178" w:rsidRDefault="00ED1D7D" w:rsidP="00E32178"/>
    <w:p w14:paraId="2004006B" w14:textId="77777777" w:rsidR="00ED1D7D" w:rsidRPr="00E32178" w:rsidRDefault="00ED1D7D" w:rsidP="00E32178">
      <w:pPr>
        <w:pStyle w:val="Ttulo"/>
        <w:rPr>
          <w:b/>
        </w:rPr>
      </w:pPr>
      <w:r w:rsidRPr="00E32178">
        <w:rPr>
          <w:b/>
        </w:rPr>
        <w:t>Ley de Transparencia y Acceso a la Información Pública del Estado de México y Municipios</w:t>
      </w:r>
    </w:p>
    <w:p w14:paraId="5490C650" w14:textId="77777777" w:rsidR="00ED1D7D" w:rsidRPr="00E32178" w:rsidRDefault="00ED1D7D" w:rsidP="00E32178">
      <w:pPr>
        <w:pStyle w:val="Ttulo"/>
      </w:pPr>
    </w:p>
    <w:p w14:paraId="5114C2CE" w14:textId="77777777" w:rsidR="00ED1D7D" w:rsidRPr="00E32178" w:rsidRDefault="00ED1D7D" w:rsidP="00E32178">
      <w:pPr>
        <w:pStyle w:val="Ttulo"/>
      </w:pPr>
      <w:r w:rsidRPr="00E32178">
        <w:rPr>
          <w:b/>
        </w:rPr>
        <w:t>Artículo 49.</w:t>
      </w:r>
      <w:r w:rsidRPr="00E32178">
        <w:t xml:space="preserve"> Los Comités de Transparencia tendrán las siguientes atribuciones:</w:t>
      </w:r>
    </w:p>
    <w:p w14:paraId="24822737" w14:textId="77777777" w:rsidR="00ED1D7D" w:rsidRPr="00E32178" w:rsidRDefault="00ED1D7D" w:rsidP="00E32178">
      <w:pPr>
        <w:pStyle w:val="Ttulo"/>
      </w:pPr>
      <w:r w:rsidRPr="00E32178">
        <w:t>VIII. Aprobar, modificar o revocar la clasificación de la información;</w:t>
      </w:r>
    </w:p>
    <w:p w14:paraId="30271C4F" w14:textId="77777777" w:rsidR="00ED1D7D" w:rsidRPr="00E32178" w:rsidRDefault="00ED1D7D" w:rsidP="00E32178">
      <w:pPr>
        <w:pStyle w:val="Ttulo"/>
      </w:pPr>
    </w:p>
    <w:p w14:paraId="6775C66F" w14:textId="77777777" w:rsidR="00ED1D7D" w:rsidRPr="00E32178" w:rsidRDefault="00ED1D7D" w:rsidP="00E32178">
      <w:pPr>
        <w:pStyle w:val="Ttulo"/>
      </w:pPr>
      <w:r w:rsidRPr="00E32178">
        <w:rPr>
          <w:b/>
        </w:rPr>
        <w:t>Artículo 132.</w:t>
      </w:r>
      <w:r w:rsidRPr="00E32178">
        <w:t xml:space="preserve"> La clasificación de la información se llevará a cabo en el momento en que:</w:t>
      </w:r>
    </w:p>
    <w:p w14:paraId="2C4A71F5" w14:textId="77777777" w:rsidR="00ED1D7D" w:rsidRPr="00E32178" w:rsidRDefault="00ED1D7D" w:rsidP="00E32178">
      <w:pPr>
        <w:pStyle w:val="Ttulo"/>
      </w:pPr>
      <w:r w:rsidRPr="00E32178">
        <w:rPr>
          <w:b/>
        </w:rPr>
        <w:t>I.</w:t>
      </w:r>
      <w:r w:rsidRPr="00E32178">
        <w:t xml:space="preserve"> Se reciba una solicitud de acceso a la información;</w:t>
      </w:r>
    </w:p>
    <w:p w14:paraId="3F02917B" w14:textId="77777777" w:rsidR="00ED1D7D" w:rsidRPr="00E32178" w:rsidRDefault="00ED1D7D" w:rsidP="00E32178">
      <w:pPr>
        <w:pStyle w:val="Ttulo"/>
      </w:pPr>
      <w:r w:rsidRPr="00E32178">
        <w:rPr>
          <w:b/>
        </w:rPr>
        <w:t>II.</w:t>
      </w:r>
      <w:r w:rsidRPr="00E32178">
        <w:t xml:space="preserve"> Se determine mediante resolución de autoridad competente; o</w:t>
      </w:r>
    </w:p>
    <w:p w14:paraId="6093EE7A" w14:textId="77777777" w:rsidR="00ED1D7D" w:rsidRPr="00E32178" w:rsidRDefault="00ED1D7D" w:rsidP="00E32178">
      <w:pPr>
        <w:pStyle w:val="Ttulo"/>
      </w:pPr>
      <w:r w:rsidRPr="00E32178">
        <w:rPr>
          <w:b/>
        </w:rPr>
        <w:t>III.</w:t>
      </w:r>
      <w:r w:rsidRPr="00E32178">
        <w:t xml:space="preserve"> Se generen versiones públicas para dar cumplimiento a las obligaciones de transparencia previstas en esta Ley.”</w:t>
      </w:r>
    </w:p>
    <w:p w14:paraId="2630B383" w14:textId="77777777" w:rsidR="00ED1D7D" w:rsidRPr="00E32178" w:rsidRDefault="00ED1D7D" w:rsidP="00E32178">
      <w:pPr>
        <w:pStyle w:val="Ttulo"/>
        <w:ind w:left="851" w:right="822"/>
      </w:pPr>
    </w:p>
    <w:p w14:paraId="35635F5D" w14:textId="77777777" w:rsidR="00ED1D7D" w:rsidRPr="00E32178" w:rsidRDefault="00ED1D7D" w:rsidP="00E32178">
      <w:pPr>
        <w:pStyle w:val="Ttulo"/>
      </w:pPr>
      <w:r w:rsidRPr="00E32178">
        <w:rPr>
          <w:b/>
        </w:rPr>
        <w:t>“Segundo. -</w:t>
      </w:r>
      <w:r w:rsidRPr="00E32178">
        <w:t xml:space="preserve"> Para efectos de los presentes Lineamientos Generales, se entenderá por:</w:t>
      </w:r>
    </w:p>
    <w:p w14:paraId="404E4428" w14:textId="77777777" w:rsidR="00ED1D7D" w:rsidRPr="00E32178" w:rsidRDefault="00ED1D7D" w:rsidP="00E32178">
      <w:pPr>
        <w:pStyle w:val="Ttulo"/>
      </w:pPr>
      <w:r w:rsidRPr="00E32178">
        <w:rPr>
          <w:b/>
        </w:rPr>
        <w:t>XVIII.</w:t>
      </w:r>
      <w:r w:rsidRPr="00E32178">
        <w:t xml:space="preserve">  </w:t>
      </w:r>
      <w:r w:rsidRPr="00E32178">
        <w:rPr>
          <w:b/>
        </w:rPr>
        <w:t>Versión pública:</w:t>
      </w:r>
      <w:r w:rsidRPr="00E32178">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99966A" w14:textId="77777777" w:rsidR="00ED1D7D" w:rsidRPr="00E32178" w:rsidRDefault="00ED1D7D" w:rsidP="00E32178">
      <w:pPr>
        <w:pStyle w:val="Ttulo"/>
        <w:ind w:left="851" w:right="822"/>
      </w:pPr>
    </w:p>
    <w:p w14:paraId="402C18DB" w14:textId="77777777" w:rsidR="00ED1D7D" w:rsidRPr="00E32178" w:rsidRDefault="00ED1D7D" w:rsidP="00E32178">
      <w:pPr>
        <w:pStyle w:val="Ttulo"/>
        <w:rPr>
          <w:b/>
        </w:rPr>
      </w:pPr>
      <w:r w:rsidRPr="00E32178">
        <w:rPr>
          <w:b/>
        </w:rPr>
        <w:t>Lineamientos Generales en materia de Clasificación y Desclasificación de la Información</w:t>
      </w:r>
    </w:p>
    <w:p w14:paraId="76C253CF" w14:textId="77777777" w:rsidR="00ED1D7D" w:rsidRPr="00E32178" w:rsidRDefault="00ED1D7D" w:rsidP="00E32178">
      <w:pPr>
        <w:pStyle w:val="Ttulo"/>
        <w:ind w:left="851" w:right="822"/>
      </w:pPr>
    </w:p>
    <w:p w14:paraId="18162CA1" w14:textId="77777777" w:rsidR="00ED1D7D" w:rsidRPr="00E32178" w:rsidRDefault="00ED1D7D" w:rsidP="00E32178">
      <w:pPr>
        <w:pStyle w:val="Ttulo"/>
      </w:pPr>
      <w:r w:rsidRPr="00E32178">
        <w:rPr>
          <w:b/>
        </w:rPr>
        <w:t>Cuarto.</w:t>
      </w:r>
      <w:r w:rsidRPr="00E3217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E32178">
        <w:lastRenderedPageBreak/>
        <w:t>de sus respectivas competencias, en tanto estas últimas no contravengan lo dispuesto en la Ley General.</w:t>
      </w:r>
    </w:p>
    <w:p w14:paraId="25BADCDB" w14:textId="77777777" w:rsidR="00ED1D7D" w:rsidRPr="00E32178" w:rsidRDefault="00ED1D7D" w:rsidP="00E32178">
      <w:pPr>
        <w:pStyle w:val="Ttulo"/>
      </w:pPr>
    </w:p>
    <w:p w14:paraId="0CB77229" w14:textId="77777777" w:rsidR="00ED1D7D" w:rsidRPr="00E32178" w:rsidRDefault="00ED1D7D" w:rsidP="00E32178">
      <w:pPr>
        <w:pStyle w:val="Ttulo"/>
      </w:pPr>
      <w:r w:rsidRPr="00E32178">
        <w:t>Los sujetos obligados deberán aplicar, de manera estricta, las excepciones al derecho de acceso a la información y sólo podrán invocarlas cuando acrediten su procedencia.</w:t>
      </w:r>
    </w:p>
    <w:p w14:paraId="74A35600" w14:textId="77777777" w:rsidR="00ED1D7D" w:rsidRPr="00E32178" w:rsidRDefault="00ED1D7D" w:rsidP="00E32178">
      <w:pPr>
        <w:pStyle w:val="Ttulo"/>
      </w:pPr>
    </w:p>
    <w:p w14:paraId="3927264D" w14:textId="77777777" w:rsidR="00ED1D7D" w:rsidRPr="00E32178" w:rsidRDefault="00ED1D7D" w:rsidP="00E32178">
      <w:pPr>
        <w:pStyle w:val="Ttulo"/>
      </w:pPr>
      <w:r w:rsidRPr="00E32178">
        <w:rPr>
          <w:b/>
        </w:rPr>
        <w:t>Quinto.</w:t>
      </w:r>
      <w:r w:rsidRPr="00E3217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F52BD2" w14:textId="77777777" w:rsidR="00ED1D7D" w:rsidRPr="00E32178" w:rsidRDefault="00ED1D7D" w:rsidP="00E32178">
      <w:pPr>
        <w:pStyle w:val="Ttulo"/>
      </w:pPr>
    </w:p>
    <w:p w14:paraId="319ED495" w14:textId="77777777" w:rsidR="00ED1D7D" w:rsidRPr="00E32178" w:rsidRDefault="00ED1D7D" w:rsidP="00E32178">
      <w:pPr>
        <w:pStyle w:val="Ttulo"/>
      </w:pPr>
      <w:r w:rsidRPr="00E32178">
        <w:rPr>
          <w:b/>
        </w:rPr>
        <w:t>Sexto.</w:t>
      </w:r>
      <w:r w:rsidRPr="00E32178">
        <w:t xml:space="preserve"> Se deroga.</w:t>
      </w:r>
    </w:p>
    <w:p w14:paraId="354E21EF" w14:textId="77777777" w:rsidR="00ED1D7D" w:rsidRPr="00E32178" w:rsidRDefault="00ED1D7D" w:rsidP="00E32178">
      <w:pPr>
        <w:pStyle w:val="Ttulo"/>
      </w:pPr>
    </w:p>
    <w:p w14:paraId="1178A472" w14:textId="77777777" w:rsidR="00ED1D7D" w:rsidRPr="00E32178" w:rsidRDefault="00ED1D7D" w:rsidP="00E32178">
      <w:pPr>
        <w:pStyle w:val="Ttulo"/>
      </w:pPr>
      <w:r w:rsidRPr="00E32178">
        <w:rPr>
          <w:b/>
        </w:rPr>
        <w:t>Séptimo.</w:t>
      </w:r>
      <w:r w:rsidRPr="00E32178">
        <w:t xml:space="preserve"> La clasificación de la información se llevará a cabo en el momento en que:</w:t>
      </w:r>
    </w:p>
    <w:p w14:paraId="5C495BFD" w14:textId="77777777" w:rsidR="00ED1D7D" w:rsidRPr="00E32178" w:rsidRDefault="00ED1D7D" w:rsidP="00E32178">
      <w:pPr>
        <w:pStyle w:val="Ttulo"/>
      </w:pPr>
      <w:r w:rsidRPr="00E32178">
        <w:rPr>
          <w:b/>
        </w:rPr>
        <w:t>I.</w:t>
      </w:r>
      <w:r w:rsidRPr="00E32178">
        <w:t xml:space="preserve">        Se reciba una solicitud de acceso a la información;</w:t>
      </w:r>
    </w:p>
    <w:p w14:paraId="055AEA0E" w14:textId="77777777" w:rsidR="00ED1D7D" w:rsidRPr="00E32178" w:rsidRDefault="00ED1D7D" w:rsidP="00E32178">
      <w:pPr>
        <w:pStyle w:val="Ttulo"/>
      </w:pPr>
      <w:r w:rsidRPr="00E32178">
        <w:rPr>
          <w:b/>
        </w:rPr>
        <w:t>II.</w:t>
      </w:r>
      <w:r w:rsidRPr="00E32178">
        <w:t xml:space="preserve">       Se determine mediante resolución del Comité de Transparencia, el órgano garante competente, o en cumplimiento a una sentencia del Poder Judicial; o</w:t>
      </w:r>
    </w:p>
    <w:p w14:paraId="0BD1D934" w14:textId="77777777" w:rsidR="00ED1D7D" w:rsidRPr="00E32178" w:rsidRDefault="00ED1D7D" w:rsidP="00E32178">
      <w:pPr>
        <w:pStyle w:val="Ttulo"/>
      </w:pPr>
      <w:r w:rsidRPr="00E32178">
        <w:rPr>
          <w:b/>
        </w:rPr>
        <w:t>III.</w:t>
      </w:r>
      <w:r w:rsidRPr="00E32178">
        <w:t xml:space="preserve">      Se generen versiones públicas para dar cumplimiento a las obligaciones de transparencia previstas en la Ley General, la Ley Federal y las correspondientes de las entidades federativas.</w:t>
      </w:r>
    </w:p>
    <w:p w14:paraId="0C8669A0" w14:textId="77777777" w:rsidR="00ED1D7D" w:rsidRPr="00E32178" w:rsidRDefault="00ED1D7D" w:rsidP="00E32178">
      <w:pPr>
        <w:pStyle w:val="Ttulo"/>
      </w:pPr>
    </w:p>
    <w:p w14:paraId="1B8EC86A" w14:textId="77777777" w:rsidR="00ED1D7D" w:rsidRPr="00E32178" w:rsidRDefault="00ED1D7D" w:rsidP="00E32178">
      <w:pPr>
        <w:pStyle w:val="Ttulo"/>
      </w:pPr>
      <w:r w:rsidRPr="00E32178">
        <w:t xml:space="preserve">Los titulares de las áreas deberán revisar la información requerida al momento de la recepción de una solicitud de acceso, para verificar, conforme a su naturaleza, si encuadra en una causal de reserva o de confidencialidad. </w:t>
      </w:r>
    </w:p>
    <w:p w14:paraId="4FAB4134" w14:textId="77777777" w:rsidR="00ED1D7D" w:rsidRPr="00E32178" w:rsidRDefault="00ED1D7D" w:rsidP="00E32178">
      <w:pPr>
        <w:pStyle w:val="Ttulo"/>
        <w:ind w:left="851" w:right="822"/>
      </w:pPr>
    </w:p>
    <w:p w14:paraId="77F158A8" w14:textId="77777777" w:rsidR="00ED1D7D" w:rsidRPr="00E32178" w:rsidRDefault="00ED1D7D" w:rsidP="00E32178">
      <w:pPr>
        <w:pStyle w:val="Ttulo"/>
      </w:pPr>
      <w:r w:rsidRPr="00E32178">
        <w:rPr>
          <w:b/>
        </w:rPr>
        <w:t>Octavo.</w:t>
      </w:r>
      <w:r w:rsidRPr="00E3217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0E30D09" w14:textId="77777777" w:rsidR="00ED1D7D" w:rsidRPr="00E32178" w:rsidRDefault="00ED1D7D" w:rsidP="00E32178">
      <w:pPr>
        <w:pStyle w:val="Ttulo"/>
      </w:pPr>
      <w:r w:rsidRPr="00E32178">
        <w:t>Para motivar la clasificación se deberán señalar las razones o circunstancias especiales que lo llevaron a concluir que el caso particular se ajusta al supuesto previsto por la norma legal invocada como fundamento.</w:t>
      </w:r>
    </w:p>
    <w:p w14:paraId="2177CA3E" w14:textId="77777777" w:rsidR="00ED1D7D" w:rsidRPr="00E32178" w:rsidRDefault="00ED1D7D" w:rsidP="00E32178"/>
    <w:p w14:paraId="0B967A4E" w14:textId="77777777" w:rsidR="00ED1D7D" w:rsidRPr="00E32178" w:rsidRDefault="00ED1D7D" w:rsidP="00E32178">
      <w:pPr>
        <w:pStyle w:val="Ttulo"/>
      </w:pPr>
      <w:r w:rsidRPr="00E32178">
        <w:t xml:space="preserve">En caso de referirse a información reservada, la motivación de la clasificación deberá comprender el análisis de la prueba del daño a que hace referencia el artículo 104 de la Ley </w:t>
      </w:r>
      <w:r w:rsidRPr="00E32178">
        <w:lastRenderedPageBreak/>
        <w:t xml:space="preserve">General, en relación con el artículo trigésimo tercero de los presentes lineamientos, así como las circunstancias que justifican el establecimiento de determinado plazo de reserva. </w:t>
      </w:r>
    </w:p>
    <w:p w14:paraId="26DEAFC8" w14:textId="77777777" w:rsidR="00ED1D7D" w:rsidRPr="00E32178" w:rsidRDefault="00ED1D7D" w:rsidP="00E32178">
      <w:pPr>
        <w:pStyle w:val="Ttulo"/>
      </w:pPr>
    </w:p>
    <w:p w14:paraId="480A58A5" w14:textId="77777777" w:rsidR="00ED1D7D" w:rsidRPr="00E32178" w:rsidRDefault="00ED1D7D" w:rsidP="00E32178">
      <w:pPr>
        <w:pStyle w:val="Ttulo"/>
      </w:pPr>
      <w:r w:rsidRPr="00E32178">
        <w:rPr>
          <w:b/>
        </w:rPr>
        <w:t>Noveno.</w:t>
      </w:r>
      <w:r w:rsidRPr="00E32178">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F790FD" w14:textId="77777777" w:rsidR="00ED1D7D" w:rsidRPr="00E32178" w:rsidRDefault="00ED1D7D" w:rsidP="00E32178">
      <w:pPr>
        <w:pStyle w:val="Ttulo"/>
      </w:pPr>
    </w:p>
    <w:p w14:paraId="67821060" w14:textId="77777777" w:rsidR="00ED1D7D" w:rsidRPr="00E32178" w:rsidRDefault="00ED1D7D" w:rsidP="00E32178">
      <w:pPr>
        <w:pStyle w:val="Ttulo"/>
      </w:pPr>
      <w:r w:rsidRPr="00E32178">
        <w:rPr>
          <w:b/>
        </w:rPr>
        <w:t>Décimo.</w:t>
      </w:r>
      <w:r w:rsidRPr="00E32178">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3BB243F" w14:textId="77777777" w:rsidR="00ED1D7D" w:rsidRPr="00E32178" w:rsidRDefault="00ED1D7D" w:rsidP="00E32178">
      <w:pPr>
        <w:pStyle w:val="Ttulo"/>
      </w:pPr>
    </w:p>
    <w:p w14:paraId="3D6A318B" w14:textId="77777777" w:rsidR="00ED1D7D" w:rsidRPr="00E32178" w:rsidRDefault="00ED1D7D" w:rsidP="00E32178">
      <w:pPr>
        <w:pStyle w:val="Ttulo"/>
      </w:pPr>
      <w:r w:rsidRPr="00E32178">
        <w:t>En ausencia de los titulares de las áreas, la información será clasificada o desclasificada por la persona que lo supla, en términos de la normativa que rija la actuación del sujeto obligado.</w:t>
      </w:r>
    </w:p>
    <w:p w14:paraId="2DFB853A" w14:textId="77777777" w:rsidR="00ED1D7D" w:rsidRPr="00E32178" w:rsidRDefault="00ED1D7D" w:rsidP="00E32178">
      <w:pPr>
        <w:pStyle w:val="Ttulo"/>
      </w:pPr>
    </w:p>
    <w:p w14:paraId="2532D2D8" w14:textId="77777777" w:rsidR="00ED1D7D" w:rsidRPr="00E32178" w:rsidRDefault="00ED1D7D" w:rsidP="00E32178">
      <w:pPr>
        <w:pStyle w:val="Ttulo"/>
        <w:rPr>
          <w:b/>
        </w:rPr>
      </w:pPr>
      <w:r w:rsidRPr="00E32178">
        <w:rPr>
          <w:b/>
        </w:rPr>
        <w:t>Décimo primero.</w:t>
      </w:r>
      <w:r w:rsidRPr="00E32178">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32178">
        <w:rPr>
          <w:b/>
        </w:rPr>
        <w:t>”</w:t>
      </w:r>
    </w:p>
    <w:p w14:paraId="29CF7AF7" w14:textId="77777777" w:rsidR="00ED1D7D" w:rsidRPr="00E32178" w:rsidRDefault="00ED1D7D" w:rsidP="00E32178"/>
    <w:p w14:paraId="17AD2F0C" w14:textId="77777777" w:rsidR="00ED1D7D" w:rsidRPr="00E32178" w:rsidRDefault="00ED1D7D" w:rsidP="00E32178">
      <w:r w:rsidRPr="00E32178">
        <w:t xml:space="preserve">Consecuentemente, se destaca que la versión pública que elabore </w:t>
      </w:r>
      <w:r w:rsidRPr="00E32178">
        <w:rPr>
          <w:b/>
        </w:rPr>
        <w:t>EL SUJETO OBLIGADO</w:t>
      </w:r>
      <w:r w:rsidRPr="00E32178">
        <w:t xml:space="preserve"> debe cumplir con las formalidades exigidas en la Ley, por lo que para tal efecto emitirá el </w:t>
      </w:r>
      <w:r w:rsidRPr="00E32178">
        <w:rPr>
          <w:b/>
        </w:rPr>
        <w:t>Acuerdo del Comité de Transparencia</w:t>
      </w:r>
      <w:r w:rsidRPr="00E3217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E32178">
        <w:lastRenderedPageBreak/>
        <w:t>exponen de manera puntual las razones, se estaría violentando desde un inicio el derecho de acceso a la información del solicitante.</w:t>
      </w:r>
    </w:p>
    <w:p w14:paraId="69F2A69D" w14:textId="77777777" w:rsidR="00601646" w:rsidRPr="00E32178" w:rsidRDefault="00601646" w:rsidP="00E32178"/>
    <w:p w14:paraId="1CEECB46" w14:textId="77777777" w:rsidR="003439C7" w:rsidRPr="00E32178" w:rsidRDefault="003439C7" w:rsidP="00E32178">
      <w:pPr>
        <w:widowControl w:val="0"/>
        <w:autoSpaceDE w:val="0"/>
        <w:autoSpaceDN w:val="0"/>
        <w:adjustRightInd w:val="0"/>
      </w:pPr>
      <w:r w:rsidRPr="00E32178">
        <w:t xml:space="preserve">Ahora bien, dentro del soporte documental que se pretende ordenar, es posible que se encuentren inmersos datos referente al parque vehicular referente a las patrullas municipales, por lo que es importante traer a contexto que, este Órgano Garante considera que, </w:t>
      </w:r>
      <w:r w:rsidRPr="00E32178">
        <w:rPr>
          <w:b/>
        </w:rPr>
        <w:t>EL SUJETO OBLIGADO</w:t>
      </w:r>
      <w:r w:rsidRPr="00E32178">
        <w:t xml:space="preserve"> debe clasificar como información reservada la que por su propia y especial naturaleza, encuadre en alguno de los supuestos que enmarca la Ley de Transparencia y Acceso a la Información Pública del Estado de México y Municipios, misma que puede ser de manera enunciativa más no limitativa la relacionada con el equipamiento y características de las patrullas; que a diferencia del parque vehicular de automóviles operativos, sin que tenga designación directa, pueden ser de carácter público.</w:t>
      </w:r>
    </w:p>
    <w:p w14:paraId="0FF90809" w14:textId="77777777" w:rsidR="003439C7" w:rsidRPr="00E32178" w:rsidRDefault="003439C7" w:rsidP="00E32178">
      <w:pPr>
        <w:widowControl w:val="0"/>
        <w:autoSpaceDE w:val="0"/>
        <w:autoSpaceDN w:val="0"/>
        <w:adjustRightInd w:val="0"/>
      </w:pPr>
    </w:p>
    <w:p w14:paraId="5FB5FF4F" w14:textId="77777777" w:rsidR="003439C7" w:rsidRPr="00E32178" w:rsidRDefault="003439C7" w:rsidP="00E32178">
      <w:pPr>
        <w:widowControl w:val="0"/>
        <w:autoSpaceDE w:val="0"/>
        <w:autoSpaceDN w:val="0"/>
        <w:adjustRightInd w:val="0"/>
      </w:pPr>
      <w:r w:rsidRPr="00E32178">
        <w:t>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que podría dar cuenta de las tecnologías, equipos y sistemas con los que cuenta la Dirección de Seguridad Pública, incluyendo de igual forma el equipamiento de los elementos de seguridad, que el dar a conocer dichos datos, puede vulnerar el estado de fuerza con el que cuenta el Municipio  y por lo tanto, acredita la causal de clasificación prevista en el artículo 140, fracción I de la Ley de Transparencia y Acceso a la Información Pública del Estado de México.</w:t>
      </w:r>
    </w:p>
    <w:p w14:paraId="641062D2" w14:textId="77777777" w:rsidR="003439C7" w:rsidRPr="00E32178" w:rsidRDefault="003439C7" w:rsidP="00E32178">
      <w:pPr>
        <w:widowControl w:val="0"/>
        <w:autoSpaceDE w:val="0"/>
        <w:autoSpaceDN w:val="0"/>
        <w:adjustRightInd w:val="0"/>
      </w:pPr>
    </w:p>
    <w:p w14:paraId="63AC0C6C" w14:textId="77777777" w:rsidR="003439C7" w:rsidRPr="00E32178" w:rsidRDefault="003439C7" w:rsidP="00E32178">
      <w:pPr>
        <w:widowControl w:val="0"/>
        <w:autoSpaceDE w:val="0"/>
        <w:autoSpaceDN w:val="0"/>
        <w:adjustRightInd w:val="0"/>
      </w:pPr>
      <w:r w:rsidRPr="00E32178">
        <w:t xml:space="preserve">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w:t>
      </w:r>
      <w:r w:rsidRPr="00E32178">
        <w:lastRenderedPageBreak/>
        <w:t xml:space="preserve">en el artículo 129 de dicho ordenamiento, que se debe justificar de la siguiente manera: </w:t>
      </w:r>
    </w:p>
    <w:p w14:paraId="5A6567EB" w14:textId="77777777" w:rsidR="006E220F" w:rsidRPr="00E32178" w:rsidRDefault="006E220F" w:rsidP="00E32178">
      <w:pPr>
        <w:widowControl w:val="0"/>
        <w:autoSpaceDE w:val="0"/>
        <w:autoSpaceDN w:val="0"/>
        <w:adjustRightInd w:val="0"/>
      </w:pPr>
    </w:p>
    <w:p w14:paraId="7F5096A8" w14:textId="77777777" w:rsidR="003439C7" w:rsidRPr="00E32178" w:rsidRDefault="003439C7" w:rsidP="00E32178">
      <w:pPr>
        <w:pStyle w:val="Prrafodelista"/>
        <w:widowControl w:val="0"/>
        <w:numPr>
          <w:ilvl w:val="0"/>
          <w:numId w:val="8"/>
        </w:numPr>
        <w:autoSpaceDE w:val="0"/>
        <w:autoSpaceDN w:val="0"/>
        <w:adjustRightInd w:val="0"/>
        <w:contextualSpacing w:val="0"/>
      </w:pPr>
      <w:r w:rsidRPr="00E32178">
        <w:t xml:space="preserve">La divulgación de la información representa un riesgo real, demostrable e identificable de perjuicio significativo al interés público o a la seguridad nacional. </w:t>
      </w:r>
    </w:p>
    <w:p w14:paraId="51B0A7A3" w14:textId="77777777" w:rsidR="003439C7" w:rsidRPr="00E32178" w:rsidRDefault="003439C7" w:rsidP="00E32178">
      <w:pPr>
        <w:pStyle w:val="Prrafodelista"/>
        <w:widowControl w:val="0"/>
        <w:numPr>
          <w:ilvl w:val="0"/>
          <w:numId w:val="8"/>
        </w:numPr>
        <w:autoSpaceDE w:val="0"/>
        <w:autoSpaceDN w:val="0"/>
        <w:adjustRightInd w:val="0"/>
        <w:contextualSpacing w:val="0"/>
      </w:pPr>
      <w:r w:rsidRPr="00E32178">
        <w:t xml:space="preserve">El riesgo de perjuicio supera el interés público general de que se difunda. </w:t>
      </w:r>
    </w:p>
    <w:p w14:paraId="011BF4C1" w14:textId="77777777" w:rsidR="003439C7" w:rsidRPr="00E32178" w:rsidRDefault="003439C7" w:rsidP="00E32178">
      <w:pPr>
        <w:pStyle w:val="Prrafodelista"/>
        <w:widowControl w:val="0"/>
        <w:numPr>
          <w:ilvl w:val="0"/>
          <w:numId w:val="8"/>
        </w:numPr>
        <w:autoSpaceDE w:val="0"/>
        <w:autoSpaceDN w:val="0"/>
        <w:adjustRightInd w:val="0"/>
        <w:contextualSpacing w:val="0"/>
      </w:pPr>
      <w:r w:rsidRPr="00E32178">
        <w:t>Que la limitación se adecua al principio de proporcionalidad y representa el medio menos restrictivo disponible para evitar el perjuicio.</w:t>
      </w:r>
    </w:p>
    <w:p w14:paraId="2889501B" w14:textId="77777777" w:rsidR="003439C7" w:rsidRPr="00E32178" w:rsidRDefault="003439C7" w:rsidP="00E32178">
      <w:pPr>
        <w:widowControl w:val="0"/>
        <w:autoSpaceDE w:val="0"/>
        <w:autoSpaceDN w:val="0"/>
        <w:adjustRightInd w:val="0"/>
      </w:pPr>
    </w:p>
    <w:p w14:paraId="36D2D3EF" w14:textId="77777777" w:rsidR="003439C7" w:rsidRPr="00E32178" w:rsidRDefault="003439C7" w:rsidP="00E32178">
      <w:r w:rsidRPr="00E32178">
        <w:t>Por tales consideraciones, resulta procedente que el SUJETO OBLIGADO, realice la versión pública de la información correspondiente, ello sin pasar desapercibido la entrega del acuerdo del Comité de Transparencia que sustente la censura de la información clasificada como confidencial y reservada, en los términos establecidos en la normatividad aplicable.</w:t>
      </w:r>
    </w:p>
    <w:p w14:paraId="511938AD" w14:textId="77777777" w:rsidR="003439C7" w:rsidRPr="00E32178" w:rsidRDefault="003439C7" w:rsidP="00E32178"/>
    <w:p w14:paraId="4FA01386" w14:textId="3BEC2B19" w:rsidR="003439C7" w:rsidRPr="00E32178" w:rsidRDefault="009240BC" w:rsidP="00E32178">
      <w:pPr>
        <w:rPr>
          <w:rFonts w:eastAsia="Palatino Linotype" w:cs="Palatino Linotype"/>
        </w:rPr>
      </w:pPr>
      <w:r w:rsidRPr="00E32178">
        <w:rPr>
          <w:rFonts w:eastAsia="Palatino Linotype" w:cs="Palatino Linotype"/>
        </w:rPr>
        <w:t>Finalmente,</w:t>
      </w:r>
      <w:r w:rsidR="003439C7" w:rsidRPr="00E32178">
        <w:rPr>
          <w:rFonts w:eastAsia="Palatino Linotype" w:cs="Palatino Linotype"/>
        </w:rPr>
        <w:t xml:space="preserve"> en cuanto al número de placas y al número de serie de los vehículos, que pudiera encontrarse en la entrega de los documentos que colmen el derecho de acceso a la información de </w:t>
      </w:r>
      <w:r w:rsidR="003439C7" w:rsidRPr="00E32178">
        <w:rPr>
          <w:rFonts w:eastAsia="Palatino Linotype" w:cs="Palatino Linotype"/>
          <w:b/>
        </w:rPr>
        <w:t>LA</w:t>
      </w:r>
      <w:r w:rsidR="003439C7" w:rsidRPr="00E32178">
        <w:rPr>
          <w:rFonts w:eastAsia="Palatino Linotype" w:cs="Palatino Linotype"/>
        </w:rPr>
        <w:t xml:space="preserve"> </w:t>
      </w:r>
      <w:r w:rsidR="003439C7" w:rsidRPr="00E32178">
        <w:rPr>
          <w:rFonts w:eastAsia="Palatino Linotype" w:cs="Palatino Linotype"/>
          <w:b/>
        </w:rPr>
        <w:t xml:space="preserve">RECURRENTE. </w:t>
      </w:r>
    </w:p>
    <w:p w14:paraId="4B19CAE1" w14:textId="77777777" w:rsidR="003439C7" w:rsidRPr="00E32178" w:rsidRDefault="003439C7" w:rsidP="00E32178">
      <w:pPr>
        <w:rPr>
          <w:rFonts w:eastAsia="Palatino Linotype" w:cs="Palatino Linotype"/>
        </w:rPr>
      </w:pPr>
    </w:p>
    <w:p w14:paraId="3788F35A" w14:textId="77777777" w:rsidR="003439C7" w:rsidRPr="00E32178" w:rsidRDefault="003439C7" w:rsidP="00E32178">
      <w:pPr>
        <w:pBdr>
          <w:top w:val="nil"/>
          <w:left w:val="nil"/>
          <w:bottom w:val="nil"/>
          <w:right w:val="nil"/>
          <w:between w:val="nil"/>
        </w:pBdr>
        <w:tabs>
          <w:tab w:val="left" w:pos="426"/>
        </w:tabs>
        <w:ind w:right="49"/>
        <w:rPr>
          <w:rFonts w:eastAsia="Palatino Linotype" w:cs="Palatino Linotype"/>
          <w:szCs w:val="22"/>
        </w:rPr>
      </w:pPr>
      <w:r w:rsidRPr="00E32178">
        <w:rPr>
          <w:rFonts w:eastAsia="Palatino Linotype" w:cs="Palatino Linotype"/>
          <w:b/>
          <w:szCs w:val="22"/>
        </w:rPr>
        <w:t>Placas y número de serie vehicular.</w:t>
      </w:r>
      <w:r w:rsidRPr="00E32178">
        <w:rPr>
          <w:rFonts w:eastAsia="Palatino Linotype" w:cs="Palatino Linotype"/>
          <w:szCs w:val="22"/>
        </w:rPr>
        <w:t xml:space="preserve"> </w:t>
      </w:r>
    </w:p>
    <w:p w14:paraId="1BECA6D4" w14:textId="77777777" w:rsidR="003439C7" w:rsidRPr="00E32178" w:rsidRDefault="003439C7" w:rsidP="00E32178">
      <w:pPr>
        <w:rPr>
          <w:rFonts w:eastAsia="Palatino Linotype" w:cs="Palatino Linotype"/>
          <w:szCs w:val="22"/>
        </w:rPr>
      </w:pPr>
      <w:r w:rsidRPr="00E32178">
        <w:rPr>
          <w:rFonts w:eastAsia="Palatino Linotype" w:cs="Palatino Linotype"/>
          <w:szCs w:val="22"/>
        </w:rPr>
        <w:t xml:space="preserve">En lo que compete a esto, se tiene que el número de placa se define como el registro alfanumérico que usan los vehículos automotores para su identificación y circulación legal en todo el territorio mexicano. </w:t>
      </w:r>
    </w:p>
    <w:p w14:paraId="60C8D267" w14:textId="77777777" w:rsidR="003439C7" w:rsidRPr="00E32178" w:rsidRDefault="003439C7" w:rsidP="00E32178">
      <w:pPr>
        <w:rPr>
          <w:rFonts w:eastAsia="Palatino Linotype" w:cs="Palatino Linotype"/>
          <w:szCs w:val="22"/>
        </w:rPr>
      </w:pPr>
    </w:p>
    <w:p w14:paraId="133CACE3" w14:textId="77777777" w:rsidR="003439C7" w:rsidRPr="00E32178" w:rsidRDefault="003439C7" w:rsidP="00E32178">
      <w:pPr>
        <w:rPr>
          <w:rFonts w:eastAsia="Palatino Linotype" w:cs="Palatino Linotype"/>
          <w:szCs w:val="22"/>
        </w:rPr>
      </w:pPr>
      <w:r w:rsidRPr="00E32178">
        <w:rPr>
          <w:rFonts w:eastAsia="Palatino Linotype" w:cs="Palatino Linotype"/>
          <w:szCs w:val="22"/>
        </w:rPr>
        <w:t xml:space="preserve">Por otra parte, el NIV es el número conformado por diecisiete caracteres alfanuméricos que identifican a los vehículos de modelos posteriores al año 1998. Se encuentra normalmente en la parte superior del tablero del vehículo o en el marco de las puertas, generalmente en el lado </w:t>
      </w:r>
      <w:r w:rsidRPr="00E32178">
        <w:rPr>
          <w:rFonts w:eastAsia="Palatino Linotype" w:cs="Palatino Linotype"/>
          <w:szCs w:val="22"/>
        </w:rPr>
        <w:lastRenderedPageBreak/>
        <w:t xml:space="preserve">del conductor. En los modelos anteriores al año 1998 a este número se le conocía como serie y es más común que se encuentre localizado en la puerta izquierda del vehículo. </w:t>
      </w:r>
    </w:p>
    <w:p w14:paraId="19C1306C" w14:textId="77777777" w:rsidR="003439C7" w:rsidRPr="00E32178" w:rsidRDefault="003439C7" w:rsidP="00E32178">
      <w:pPr>
        <w:rPr>
          <w:rFonts w:eastAsia="Palatino Linotype" w:cs="Palatino Linotype"/>
          <w:szCs w:val="22"/>
        </w:rPr>
      </w:pPr>
    </w:p>
    <w:p w14:paraId="236B5C4E" w14:textId="77777777" w:rsidR="003439C7" w:rsidRPr="00E32178" w:rsidRDefault="003439C7" w:rsidP="00E32178">
      <w:r w:rsidRPr="00E32178">
        <w:rPr>
          <w:rFonts w:eastAsia="Palatino Linotype" w:cs="Palatino Linotype"/>
          <w:szCs w:val="22"/>
        </w:rPr>
        <w:t>En este sentido, respecto a las placas y número de serie, corresponden a vehículos propiedad del Ayuntamiento, lo que permite corroborar que se trata de bienes de dominio público.</w:t>
      </w:r>
    </w:p>
    <w:p w14:paraId="68C0D13C" w14:textId="77777777" w:rsidR="00ED1D7D" w:rsidRPr="00E32178" w:rsidRDefault="00ED1D7D" w:rsidP="00E32178">
      <w:pPr>
        <w:rPr>
          <w:rFonts w:eastAsia="Calibri" w:cs="Arial"/>
          <w:lang w:val="es-ES"/>
        </w:rPr>
      </w:pPr>
    </w:p>
    <w:p w14:paraId="4827CDC7" w14:textId="77777777" w:rsidR="008E1FA2" w:rsidRPr="00E32178" w:rsidRDefault="00ED1D7D" w:rsidP="00E32178">
      <w:pPr>
        <w:pStyle w:val="Ttulo3"/>
        <w:spacing w:line="360" w:lineRule="auto"/>
      </w:pPr>
      <w:bookmarkStart w:id="32" w:name="_Toc192697972"/>
      <w:bookmarkStart w:id="33" w:name="_Toc203626736"/>
      <w:r w:rsidRPr="00E32178">
        <w:t>e</w:t>
      </w:r>
      <w:r w:rsidR="008E1FA2" w:rsidRPr="00E32178">
        <w:t>) Conclusión</w:t>
      </w:r>
      <w:bookmarkEnd w:id="32"/>
      <w:bookmarkEnd w:id="33"/>
    </w:p>
    <w:p w14:paraId="3A0E231C" w14:textId="77777777" w:rsidR="008E1FA2" w:rsidRPr="00E32178" w:rsidRDefault="008E1FA2" w:rsidP="00E32178">
      <w:pPr>
        <w:widowControl w:val="0"/>
        <w:tabs>
          <w:tab w:val="left" w:pos="1701"/>
          <w:tab w:val="left" w:pos="1843"/>
        </w:tabs>
        <w:spacing w:after="240"/>
      </w:pPr>
      <w:r w:rsidRPr="00E32178">
        <w:t xml:space="preserve">En conclusión y con base en lo anteriormente expuesto, este Instituto estima que las razones o motivos de inconformidad hechos valer por </w:t>
      </w:r>
      <w:r w:rsidRPr="00E32178">
        <w:rPr>
          <w:b/>
        </w:rPr>
        <w:t xml:space="preserve">LA PARTE RECURRENTE </w:t>
      </w:r>
      <w:r w:rsidRPr="00E32178">
        <w:t xml:space="preserve">devienen </w:t>
      </w:r>
      <w:r w:rsidRPr="00E32178">
        <w:rPr>
          <w:b/>
        </w:rPr>
        <w:t>fundadas</w:t>
      </w:r>
      <w:r w:rsidRPr="00E32178">
        <w:t xml:space="preserve"> y suficientes para </w:t>
      </w:r>
      <w:r w:rsidR="00ED1D7D" w:rsidRPr="00E32178">
        <w:rPr>
          <w:b/>
        </w:rPr>
        <w:t>REVO</w:t>
      </w:r>
      <w:r w:rsidRPr="00E32178">
        <w:rPr>
          <w:b/>
        </w:rPr>
        <w:t xml:space="preserve">CAR </w:t>
      </w:r>
      <w:r w:rsidRPr="00E32178">
        <w:t xml:space="preserve">la respuesta del </w:t>
      </w:r>
      <w:r w:rsidRPr="00E32178">
        <w:rPr>
          <w:b/>
        </w:rPr>
        <w:t>SUJETO OBLIGADO</w:t>
      </w:r>
      <w:r w:rsidRPr="00E32178">
        <w:t xml:space="preserve"> y ordenarle la entrega de la información descrita en el presente Considerando.</w:t>
      </w:r>
    </w:p>
    <w:p w14:paraId="4B65BE84" w14:textId="77777777" w:rsidR="008E1FA2" w:rsidRPr="00E32178" w:rsidRDefault="008E1FA2" w:rsidP="00E32178">
      <w:pPr>
        <w:ind w:right="-93"/>
      </w:pPr>
      <w:r w:rsidRPr="00E32178">
        <w:t xml:space="preserve">Así, con fundamento en lo establecido en los artículos 5, </w:t>
      </w:r>
      <w:proofErr w:type="gramStart"/>
      <w:r w:rsidRPr="00E32178">
        <w:rPr>
          <w:szCs w:val="22"/>
        </w:rPr>
        <w:t xml:space="preserve">párrafos </w:t>
      </w:r>
      <w:r w:rsidRPr="00E32178">
        <w:rPr>
          <w:rFonts w:cs="Tahoma"/>
          <w:bCs/>
          <w:szCs w:val="22"/>
        </w:rPr>
        <w:t>trigésimo séptimo</w:t>
      </w:r>
      <w:proofErr w:type="gramEnd"/>
      <w:r w:rsidRPr="00E32178">
        <w:rPr>
          <w:rFonts w:cs="Tahoma"/>
          <w:bCs/>
          <w:szCs w:val="22"/>
        </w:rPr>
        <w:t>, trigésimo octavo y trigésimo noveno fracciones IV y V</w:t>
      </w:r>
      <w:r w:rsidRPr="00E32178">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94AA386" w14:textId="77777777" w:rsidR="003439C7" w:rsidRPr="00E32178" w:rsidRDefault="003439C7" w:rsidP="00E32178">
      <w:pPr>
        <w:ind w:right="-93"/>
      </w:pPr>
    </w:p>
    <w:p w14:paraId="5F700FCA" w14:textId="77777777" w:rsidR="003439C7" w:rsidRPr="00E32178" w:rsidRDefault="003439C7" w:rsidP="00E32178">
      <w:pPr>
        <w:ind w:right="-93"/>
      </w:pPr>
    </w:p>
    <w:p w14:paraId="691A967E" w14:textId="77777777" w:rsidR="00894FBA" w:rsidRPr="00E32178" w:rsidRDefault="008A5F01" w:rsidP="00E32178">
      <w:pPr>
        <w:pStyle w:val="Ttulo1"/>
        <w:spacing w:after="240"/>
      </w:pPr>
      <w:bookmarkStart w:id="34" w:name="_Toc203626737"/>
      <w:r w:rsidRPr="00E32178">
        <w:t>RESUELVE</w:t>
      </w:r>
      <w:bookmarkEnd w:id="34"/>
    </w:p>
    <w:p w14:paraId="3C0C3F02" w14:textId="77777777" w:rsidR="00894FBA" w:rsidRPr="00E32178" w:rsidRDefault="008A5F01" w:rsidP="00E32178">
      <w:pPr>
        <w:widowControl w:val="0"/>
        <w:spacing w:after="240"/>
      </w:pPr>
      <w:r w:rsidRPr="00E32178">
        <w:rPr>
          <w:b/>
        </w:rPr>
        <w:t>PRIMERO.</w:t>
      </w:r>
      <w:r w:rsidRPr="00E32178">
        <w:t xml:space="preserve"> Se </w:t>
      </w:r>
      <w:r w:rsidR="00ED1D7D" w:rsidRPr="00E32178">
        <w:rPr>
          <w:b/>
        </w:rPr>
        <w:t>REVO</w:t>
      </w:r>
      <w:r w:rsidRPr="00E32178">
        <w:rPr>
          <w:b/>
        </w:rPr>
        <w:t xml:space="preserve">CA </w:t>
      </w:r>
      <w:r w:rsidRPr="00E32178">
        <w:t xml:space="preserve">la respuesta entregada por el </w:t>
      </w:r>
      <w:r w:rsidRPr="00E32178">
        <w:rPr>
          <w:b/>
        </w:rPr>
        <w:t>SUJETO OBLIGADO</w:t>
      </w:r>
      <w:r w:rsidRPr="00E32178">
        <w:t xml:space="preserve"> en la solicitud de información </w:t>
      </w:r>
      <w:r w:rsidR="00924628" w:rsidRPr="00E32178">
        <w:rPr>
          <w:b/>
        </w:rPr>
        <w:t>00129/ATIZARA/IP/2025</w:t>
      </w:r>
      <w:r w:rsidRPr="00E32178">
        <w:t xml:space="preserve">, por resultar </w:t>
      </w:r>
      <w:r w:rsidRPr="00E32178">
        <w:rPr>
          <w:b/>
        </w:rPr>
        <w:t>FUNDADAS</w:t>
      </w:r>
      <w:r w:rsidRPr="00E32178">
        <w:t xml:space="preserve"> las razones o motivos de inconformidad hechos valer por </w:t>
      </w:r>
      <w:r w:rsidRPr="00E32178">
        <w:rPr>
          <w:b/>
        </w:rPr>
        <w:t>LA PARTE RECURRENTE</w:t>
      </w:r>
      <w:r w:rsidRPr="00E32178">
        <w:t xml:space="preserve"> en el Recurso de Revisión </w:t>
      </w:r>
      <w:r w:rsidR="00924628" w:rsidRPr="00E32178">
        <w:rPr>
          <w:b/>
        </w:rPr>
        <w:t>04732/INFOEM/IP/RR/2025</w:t>
      </w:r>
      <w:r w:rsidRPr="00E32178">
        <w:t>,</w:t>
      </w:r>
      <w:r w:rsidRPr="00E32178">
        <w:rPr>
          <w:b/>
        </w:rPr>
        <w:t xml:space="preserve"> </w:t>
      </w:r>
      <w:r w:rsidRPr="00E32178">
        <w:t xml:space="preserve">en términos del considerando </w:t>
      </w:r>
      <w:r w:rsidRPr="00E32178">
        <w:rPr>
          <w:b/>
        </w:rPr>
        <w:t>SEGUNDO</w:t>
      </w:r>
      <w:r w:rsidRPr="00E32178">
        <w:t xml:space="preserve"> de la presente Resolución.</w:t>
      </w:r>
    </w:p>
    <w:p w14:paraId="3CDA0465" w14:textId="77777777" w:rsidR="00894FBA" w:rsidRPr="00E32178" w:rsidRDefault="008A5F01" w:rsidP="00E32178">
      <w:pPr>
        <w:spacing w:after="240"/>
        <w:ind w:right="-93"/>
      </w:pPr>
      <w:r w:rsidRPr="00E32178">
        <w:rPr>
          <w:b/>
        </w:rPr>
        <w:lastRenderedPageBreak/>
        <w:t>SEGUNDO.</w:t>
      </w:r>
      <w:r w:rsidRPr="00E32178">
        <w:t xml:space="preserve"> Se </w:t>
      </w:r>
      <w:r w:rsidRPr="00E32178">
        <w:rPr>
          <w:b/>
        </w:rPr>
        <w:t xml:space="preserve">ORDENA </w:t>
      </w:r>
      <w:r w:rsidRPr="00E32178">
        <w:t xml:space="preserve">al </w:t>
      </w:r>
      <w:r w:rsidRPr="00E32178">
        <w:rPr>
          <w:b/>
        </w:rPr>
        <w:t>SUJETO OBLIGADO</w:t>
      </w:r>
      <w:r w:rsidRPr="00E32178">
        <w:t xml:space="preserve">, a efecto de que entregue a través del </w:t>
      </w:r>
      <w:r w:rsidRPr="00E32178">
        <w:rPr>
          <w:b/>
        </w:rPr>
        <w:t>SAIMEX</w:t>
      </w:r>
      <w:r w:rsidRPr="00E32178">
        <w:t xml:space="preserve">, </w:t>
      </w:r>
      <w:r w:rsidR="00ED1D7D" w:rsidRPr="00E32178">
        <w:rPr>
          <w:rFonts w:eastAsia="Calibri" w:cs="Tahoma"/>
          <w:bCs/>
          <w:szCs w:val="22"/>
          <w:lang w:eastAsia="en-US"/>
        </w:rPr>
        <w:t xml:space="preserve">de ser procedente en </w:t>
      </w:r>
      <w:r w:rsidR="00ED1D7D" w:rsidRPr="00E32178">
        <w:rPr>
          <w:rFonts w:eastAsia="Calibri" w:cs="Tahoma"/>
          <w:b/>
          <w:bCs/>
          <w:szCs w:val="22"/>
          <w:lang w:eastAsia="en-US"/>
        </w:rPr>
        <w:t>versión</w:t>
      </w:r>
      <w:r w:rsidR="00ED1D7D" w:rsidRPr="00E32178">
        <w:rPr>
          <w:rFonts w:eastAsia="Calibri" w:cs="Tahoma"/>
          <w:bCs/>
          <w:szCs w:val="22"/>
          <w:lang w:eastAsia="en-US"/>
        </w:rPr>
        <w:t xml:space="preserve"> </w:t>
      </w:r>
      <w:r w:rsidR="00ED1D7D" w:rsidRPr="00E32178">
        <w:rPr>
          <w:rFonts w:eastAsia="Calibri" w:cs="Tahoma"/>
          <w:b/>
          <w:bCs/>
          <w:szCs w:val="22"/>
          <w:lang w:eastAsia="en-US"/>
        </w:rPr>
        <w:t xml:space="preserve">pública, </w:t>
      </w:r>
      <w:r w:rsidR="00ED1D7D" w:rsidRPr="00E32178">
        <w:rPr>
          <w:rFonts w:eastAsia="Calibri" w:cs="Tahoma"/>
          <w:bCs/>
          <w:szCs w:val="22"/>
          <w:lang w:eastAsia="en-US"/>
        </w:rPr>
        <w:t>el o los documentos donde conste lo siguiente</w:t>
      </w:r>
      <w:r w:rsidRPr="00E32178">
        <w:t>:</w:t>
      </w:r>
    </w:p>
    <w:p w14:paraId="12E77A46" w14:textId="77777777" w:rsidR="00894FBA" w:rsidRPr="00E32178" w:rsidRDefault="00ED1D7D" w:rsidP="00E32178">
      <w:pPr>
        <w:tabs>
          <w:tab w:val="left" w:pos="4962"/>
        </w:tabs>
        <w:spacing w:after="240" w:line="240" w:lineRule="auto"/>
        <w:ind w:left="851" w:right="822"/>
        <w:rPr>
          <w:b/>
          <w:i/>
        </w:rPr>
      </w:pPr>
      <w:r w:rsidRPr="00E32178">
        <w:rPr>
          <w:b/>
          <w:i/>
        </w:rPr>
        <w:t>El inventario del parque vehicular vigente al seis de marzo de dos mil veinticinco</w:t>
      </w:r>
      <w:r w:rsidR="004D3019" w:rsidRPr="00E32178">
        <w:rPr>
          <w:b/>
          <w:i/>
        </w:rPr>
        <w:t>.</w:t>
      </w:r>
    </w:p>
    <w:p w14:paraId="554A9244" w14:textId="77777777" w:rsidR="00ED1D7D" w:rsidRPr="00E32178" w:rsidRDefault="00ED1D7D" w:rsidP="00E32178">
      <w:pPr>
        <w:spacing w:after="240"/>
        <w:ind w:right="49"/>
      </w:pPr>
      <w:r w:rsidRPr="00E32178">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8DA1571" w14:textId="77777777" w:rsidR="00894FBA" w:rsidRPr="00E32178" w:rsidRDefault="008A5F01" w:rsidP="00E32178">
      <w:pPr>
        <w:spacing w:after="240"/>
        <w:ind w:right="49"/>
      </w:pPr>
      <w:r w:rsidRPr="00E32178">
        <w:rPr>
          <w:b/>
        </w:rPr>
        <w:t>TERCERO.</w:t>
      </w:r>
      <w:r w:rsidRPr="00E32178">
        <w:t xml:space="preserve"> </w:t>
      </w:r>
      <w:r w:rsidRPr="00E32178">
        <w:rPr>
          <w:b/>
        </w:rPr>
        <w:t xml:space="preserve">Notifíquese </w:t>
      </w:r>
      <w:r w:rsidRPr="00E32178">
        <w:t xml:space="preserve">vía Sistema de Acceso a la Información Mexiquense </w:t>
      </w:r>
      <w:r w:rsidRPr="00E32178">
        <w:rPr>
          <w:b/>
        </w:rPr>
        <w:t>(SAIMEX)</w:t>
      </w:r>
      <w:r w:rsidRPr="00E32178">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175689E" w14:textId="77777777" w:rsidR="00894FBA" w:rsidRPr="00E32178" w:rsidRDefault="008A5F01" w:rsidP="00E32178">
      <w:pPr>
        <w:spacing w:after="240"/>
        <w:rPr>
          <w:b/>
        </w:rPr>
      </w:pPr>
      <w:r w:rsidRPr="00E32178">
        <w:rPr>
          <w:b/>
        </w:rPr>
        <w:t>CUARTO.</w:t>
      </w:r>
      <w:r w:rsidRPr="00E32178">
        <w:t xml:space="preserve"> Notifíquese a </w:t>
      </w:r>
      <w:r w:rsidRPr="00E32178">
        <w:rPr>
          <w:b/>
        </w:rPr>
        <w:t>LA PARTE RECURRENTE</w:t>
      </w:r>
      <w:r w:rsidRPr="00E32178">
        <w:t xml:space="preserve"> la presente resolución vía Sistema de Acceso a la Información Mexiquense </w:t>
      </w:r>
      <w:r w:rsidRPr="00E32178">
        <w:rPr>
          <w:b/>
        </w:rPr>
        <w:t>(SAIMEX).</w:t>
      </w:r>
    </w:p>
    <w:p w14:paraId="203B43B3" w14:textId="77777777" w:rsidR="00894FBA" w:rsidRPr="00E32178" w:rsidRDefault="008A5F01" w:rsidP="00E32178">
      <w:r w:rsidRPr="00E32178">
        <w:rPr>
          <w:b/>
        </w:rPr>
        <w:t>QUINTO</w:t>
      </w:r>
      <w:r w:rsidRPr="00E32178">
        <w:t xml:space="preserve">. Hágase del conocimiento a </w:t>
      </w:r>
      <w:r w:rsidRPr="00E32178">
        <w:rPr>
          <w:b/>
        </w:rPr>
        <w:t>LA PARTE RECURRENTE</w:t>
      </w:r>
      <w:r w:rsidRPr="00E3217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CA0FCC0" w14:textId="77777777" w:rsidR="00894FBA" w:rsidRPr="00E32178" w:rsidRDefault="008A5F01" w:rsidP="00E32178">
      <w:pPr>
        <w:spacing w:after="240"/>
      </w:pPr>
      <w:r w:rsidRPr="00E32178">
        <w:rPr>
          <w:b/>
        </w:rPr>
        <w:lastRenderedPageBreak/>
        <w:t>SEXTO.</w:t>
      </w:r>
      <w:r w:rsidRPr="00E32178">
        <w:t xml:space="preserve"> De conformidad con el artículo 198 de la Ley de Transparencia y Acceso a la Información Pública del Estado de México y Municipios, el </w:t>
      </w:r>
      <w:r w:rsidRPr="00E32178">
        <w:rPr>
          <w:b/>
        </w:rPr>
        <w:t>SUJETO OBLIGADO</w:t>
      </w:r>
      <w:r w:rsidRPr="00E32178">
        <w:t xml:space="preserve"> podrá solicitar una ampliación de plazo de manera fundada y motivada, para el cumplimiento de la presente</w:t>
      </w:r>
      <w:r w:rsidR="00ED1D7D" w:rsidRPr="00E32178">
        <w:t xml:space="preserve"> </w:t>
      </w:r>
      <w:r w:rsidRPr="00E32178">
        <w:t>resolución.</w:t>
      </w:r>
    </w:p>
    <w:p w14:paraId="670D199B" w14:textId="77777777" w:rsidR="00894FBA" w:rsidRPr="00E32178" w:rsidRDefault="008A5F01" w:rsidP="00E32178">
      <w:r w:rsidRPr="00E321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GUADALUPE RAMÍREZ PEÑA</w:t>
      </w:r>
      <w:r w:rsidR="009E334B" w:rsidRPr="00E32178">
        <w:t xml:space="preserve"> EMITIENDO VOTO PARTICULAR</w:t>
      </w:r>
      <w:r w:rsidRPr="00E32178">
        <w:t xml:space="preserve">, EN LA VIGÉSIMA </w:t>
      </w:r>
      <w:r w:rsidR="00FD4A08" w:rsidRPr="00E32178">
        <w:t>SEX</w:t>
      </w:r>
      <w:r w:rsidR="000C773B" w:rsidRPr="00E32178">
        <w:t>TA</w:t>
      </w:r>
      <w:r w:rsidRPr="00E32178">
        <w:t xml:space="preserve"> SESIÓN ORDINARIA, CELEBRADA EL </w:t>
      </w:r>
      <w:r w:rsidR="00FD4A08" w:rsidRPr="00E32178">
        <w:t>DIECISÉIS</w:t>
      </w:r>
      <w:r w:rsidR="000C773B" w:rsidRPr="00E32178">
        <w:t xml:space="preserve"> DE JULIO</w:t>
      </w:r>
      <w:r w:rsidRPr="00E32178">
        <w:t xml:space="preserve"> DE DOS MIL VEINTICINCO, ANTE EL SECRETARIO TÉCNICO DEL PLENO, ALEXIS TAPIA RAMÍREZ.</w:t>
      </w:r>
    </w:p>
    <w:p w14:paraId="7C9C3090" w14:textId="77777777" w:rsidR="00894FBA" w:rsidRPr="00E32178" w:rsidRDefault="008A5F01" w:rsidP="00E32178">
      <w:pPr>
        <w:rPr>
          <w:sz w:val="20"/>
        </w:rPr>
      </w:pPr>
      <w:r w:rsidRPr="00E32178">
        <w:rPr>
          <w:sz w:val="20"/>
        </w:rPr>
        <w:t>SCMM/AGZ/DEMF/CMP</w:t>
      </w:r>
    </w:p>
    <w:p w14:paraId="0EFFFBAD" w14:textId="77777777" w:rsidR="00894FBA" w:rsidRPr="00E32178" w:rsidRDefault="00894FBA" w:rsidP="00E32178"/>
    <w:p w14:paraId="0D66DCF7" w14:textId="77777777" w:rsidR="00894FBA" w:rsidRPr="00E32178" w:rsidRDefault="00894FBA" w:rsidP="00E32178">
      <w:pPr>
        <w:ind w:right="-93"/>
      </w:pPr>
    </w:p>
    <w:p w14:paraId="3E379D4A" w14:textId="77777777" w:rsidR="00894FBA" w:rsidRPr="00E32178" w:rsidRDefault="00894FBA" w:rsidP="00E32178">
      <w:pPr>
        <w:ind w:right="-93"/>
      </w:pPr>
    </w:p>
    <w:p w14:paraId="7699E424" w14:textId="77777777" w:rsidR="00894FBA" w:rsidRPr="00E32178" w:rsidRDefault="00894FBA" w:rsidP="00E32178">
      <w:pPr>
        <w:ind w:right="-93"/>
      </w:pPr>
    </w:p>
    <w:p w14:paraId="08D22521" w14:textId="77777777" w:rsidR="00894FBA" w:rsidRPr="00E32178" w:rsidRDefault="00894FBA" w:rsidP="00E32178">
      <w:pPr>
        <w:ind w:right="-93"/>
      </w:pPr>
    </w:p>
    <w:p w14:paraId="00E713C5" w14:textId="77777777" w:rsidR="00894FBA" w:rsidRPr="00E32178" w:rsidRDefault="00894FBA" w:rsidP="00E32178">
      <w:pPr>
        <w:ind w:right="-93"/>
      </w:pPr>
    </w:p>
    <w:p w14:paraId="3BEE298F" w14:textId="77777777" w:rsidR="00894FBA" w:rsidRPr="00E32178" w:rsidRDefault="00894FBA" w:rsidP="00E32178">
      <w:pPr>
        <w:ind w:right="-93"/>
      </w:pPr>
    </w:p>
    <w:p w14:paraId="3ABD273F" w14:textId="77777777" w:rsidR="00894FBA" w:rsidRPr="00E32178" w:rsidRDefault="00894FBA" w:rsidP="00E32178">
      <w:pPr>
        <w:ind w:right="-93"/>
      </w:pPr>
    </w:p>
    <w:p w14:paraId="05976818" w14:textId="77777777" w:rsidR="00894FBA" w:rsidRPr="00E32178" w:rsidRDefault="00894FBA" w:rsidP="00E32178">
      <w:pPr>
        <w:ind w:right="-93"/>
      </w:pPr>
    </w:p>
    <w:p w14:paraId="1C8109C8" w14:textId="77777777" w:rsidR="00894FBA" w:rsidRPr="00E32178" w:rsidRDefault="00894FBA" w:rsidP="00E32178">
      <w:pPr>
        <w:tabs>
          <w:tab w:val="center" w:pos="4568"/>
        </w:tabs>
        <w:ind w:right="-93"/>
      </w:pPr>
    </w:p>
    <w:p w14:paraId="1D6105D1" w14:textId="77777777" w:rsidR="00894FBA" w:rsidRPr="00E32178" w:rsidRDefault="00894FBA" w:rsidP="00E32178">
      <w:pPr>
        <w:tabs>
          <w:tab w:val="center" w:pos="4568"/>
        </w:tabs>
        <w:ind w:right="-93"/>
      </w:pPr>
    </w:p>
    <w:p w14:paraId="2E28D355" w14:textId="77777777" w:rsidR="00894FBA" w:rsidRPr="00E32178" w:rsidRDefault="00894FBA" w:rsidP="00E32178">
      <w:pPr>
        <w:tabs>
          <w:tab w:val="center" w:pos="4568"/>
        </w:tabs>
        <w:ind w:right="-93"/>
      </w:pPr>
    </w:p>
    <w:p w14:paraId="6F402464" w14:textId="77777777" w:rsidR="00894FBA" w:rsidRPr="00E32178" w:rsidRDefault="00894FBA" w:rsidP="00E32178">
      <w:pPr>
        <w:tabs>
          <w:tab w:val="center" w:pos="4568"/>
        </w:tabs>
        <w:ind w:right="-93"/>
      </w:pPr>
    </w:p>
    <w:p w14:paraId="0AC0F93B" w14:textId="77777777" w:rsidR="00894FBA" w:rsidRPr="00E32178" w:rsidRDefault="00894FBA" w:rsidP="00E32178">
      <w:pPr>
        <w:tabs>
          <w:tab w:val="center" w:pos="4568"/>
        </w:tabs>
        <w:ind w:right="-93"/>
      </w:pPr>
    </w:p>
    <w:p w14:paraId="28260B4D" w14:textId="77777777" w:rsidR="00894FBA" w:rsidRPr="00E32178" w:rsidRDefault="00894FBA" w:rsidP="00E32178">
      <w:pPr>
        <w:tabs>
          <w:tab w:val="center" w:pos="4568"/>
        </w:tabs>
        <w:ind w:right="-93"/>
      </w:pPr>
    </w:p>
    <w:p w14:paraId="568C4BA8" w14:textId="77777777" w:rsidR="00894FBA" w:rsidRPr="00E32178" w:rsidRDefault="00894FBA" w:rsidP="00E32178">
      <w:pPr>
        <w:tabs>
          <w:tab w:val="center" w:pos="4568"/>
        </w:tabs>
        <w:ind w:right="-93"/>
      </w:pPr>
    </w:p>
    <w:p w14:paraId="5F3F5F32" w14:textId="77777777" w:rsidR="00894FBA" w:rsidRPr="00E32178" w:rsidRDefault="00894FBA" w:rsidP="00E32178">
      <w:pPr>
        <w:tabs>
          <w:tab w:val="center" w:pos="4568"/>
        </w:tabs>
        <w:ind w:right="-93"/>
      </w:pPr>
    </w:p>
    <w:p w14:paraId="1D33E1F9" w14:textId="77777777" w:rsidR="00894FBA" w:rsidRPr="00E32178" w:rsidRDefault="00894FBA" w:rsidP="00E32178">
      <w:pPr>
        <w:tabs>
          <w:tab w:val="center" w:pos="4568"/>
        </w:tabs>
        <w:ind w:right="-93"/>
      </w:pPr>
    </w:p>
    <w:p w14:paraId="6A70DB01" w14:textId="77777777" w:rsidR="00894FBA" w:rsidRPr="00E32178" w:rsidRDefault="00894FBA" w:rsidP="00E32178">
      <w:pPr>
        <w:tabs>
          <w:tab w:val="center" w:pos="4568"/>
        </w:tabs>
        <w:ind w:right="-93"/>
      </w:pPr>
    </w:p>
    <w:p w14:paraId="068EB57F" w14:textId="77777777" w:rsidR="00894FBA" w:rsidRPr="00E32178" w:rsidRDefault="00894FBA" w:rsidP="00E32178">
      <w:pPr>
        <w:tabs>
          <w:tab w:val="center" w:pos="4568"/>
        </w:tabs>
        <w:ind w:right="-93"/>
      </w:pPr>
    </w:p>
    <w:p w14:paraId="2BD56D7A" w14:textId="77777777" w:rsidR="00894FBA" w:rsidRPr="00E32178" w:rsidRDefault="00894FBA" w:rsidP="00E32178">
      <w:pPr>
        <w:tabs>
          <w:tab w:val="center" w:pos="4568"/>
        </w:tabs>
        <w:ind w:right="-93"/>
      </w:pPr>
    </w:p>
    <w:p w14:paraId="35D5BED5" w14:textId="77777777" w:rsidR="00894FBA" w:rsidRPr="00E32178" w:rsidRDefault="00894FBA" w:rsidP="00E32178">
      <w:pPr>
        <w:tabs>
          <w:tab w:val="center" w:pos="4568"/>
        </w:tabs>
        <w:ind w:right="-93"/>
      </w:pPr>
    </w:p>
    <w:p w14:paraId="6406BF3A" w14:textId="77777777" w:rsidR="00894FBA" w:rsidRPr="00E32178" w:rsidRDefault="00894FBA" w:rsidP="00E32178">
      <w:pPr>
        <w:tabs>
          <w:tab w:val="center" w:pos="4568"/>
        </w:tabs>
        <w:ind w:right="-93"/>
      </w:pPr>
    </w:p>
    <w:p w14:paraId="71E309B4" w14:textId="77777777" w:rsidR="00894FBA" w:rsidRPr="00E32178" w:rsidRDefault="00894FBA" w:rsidP="00E32178">
      <w:pPr>
        <w:tabs>
          <w:tab w:val="center" w:pos="4568"/>
        </w:tabs>
        <w:ind w:right="-93"/>
      </w:pPr>
    </w:p>
    <w:p w14:paraId="2DF84557" w14:textId="77777777" w:rsidR="00894FBA" w:rsidRPr="00E32178" w:rsidRDefault="00894FBA" w:rsidP="00E32178">
      <w:pPr>
        <w:tabs>
          <w:tab w:val="center" w:pos="4568"/>
        </w:tabs>
        <w:ind w:right="-93"/>
      </w:pPr>
    </w:p>
    <w:p w14:paraId="2888D354" w14:textId="77777777" w:rsidR="00894FBA" w:rsidRPr="00E32178" w:rsidRDefault="00894FBA" w:rsidP="00E32178"/>
    <w:sectPr w:rsidR="00894FBA" w:rsidRPr="00E32178">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E1DDC" w14:textId="77777777" w:rsidR="00FB1EBC" w:rsidRDefault="00FB1EBC">
      <w:pPr>
        <w:spacing w:line="240" w:lineRule="auto"/>
      </w:pPr>
      <w:r>
        <w:separator/>
      </w:r>
    </w:p>
  </w:endnote>
  <w:endnote w:type="continuationSeparator" w:id="0">
    <w:p w14:paraId="58F4BE94" w14:textId="77777777" w:rsidR="00FB1EBC" w:rsidRDefault="00FB1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1332F" w14:textId="77777777" w:rsidR="00B84F21" w:rsidRDefault="00B84F21">
    <w:pPr>
      <w:tabs>
        <w:tab w:val="center" w:pos="4550"/>
        <w:tab w:val="left" w:pos="5818"/>
      </w:tabs>
      <w:ind w:right="260"/>
      <w:jc w:val="right"/>
      <w:rPr>
        <w:color w:val="071320"/>
        <w:sz w:val="24"/>
        <w:szCs w:val="24"/>
      </w:rPr>
    </w:pPr>
  </w:p>
  <w:p w14:paraId="081576A2" w14:textId="77777777" w:rsidR="00B84F21" w:rsidRDefault="00B84F2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6B09F" w14:textId="77777777" w:rsidR="00B84F21" w:rsidRDefault="00B84F21">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E32178">
      <w:rPr>
        <w:noProof/>
        <w:sz w:val="24"/>
        <w:szCs w:val="24"/>
      </w:rPr>
      <w:t>35</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E32178">
      <w:rPr>
        <w:noProof/>
        <w:sz w:val="24"/>
        <w:szCs w:val="24"/>
      </w:rPr>
      <w:t>36</w:t>
    </w:r>
    <w:r>
      <w:rPr>
        <w:sz w:val="24"/>
        <w:szCs w:val="24"/>
      </w:rPr>
      <w:fldChar w:fldCharType="end"/>
    </w:r>
  </w:p>
  <w:p w14:paraId="7602B4FA" w14:textId="77777777" w:rsidR="00B84F21" w:rsidRDefault="00B84F2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CB67D" w14:textId="77777777" w:rsidR="00FB1EBC" w:rsidRDefault="00FB1EBC">
      <w:pPr>
        <w:spacing w:line="240" w:lineRule="auto"/>
      </w:pPr>
      <w:r>
        <w:separator/>
      </w:r>
    </w:p>
  </w:footnote>
  <w:footnote w:type="continuationSeparator" w:id="0">
    <w:p w14:paraId="08F018D9" w14:textId="77777777" w:rsidR="00FB1EBC" w:rsidRDefault="00FB1EBC">
      <w:pPr>
        <w:spacing w:line="240" w:lineRule="auto"/>
      </w:pPr>
      <w:r>
        <w:continuationSeparator/>
      </w:r>
    </w:p>
  </w:footnote>
  <w:footnote w:id="1">
    <w:p w14:paraId="3B74D6C0" w14:textId="77777777" w:rsidR="00923879" w:rsidRPr="00BA61D0" w:rsidRDefault="00923879" w:rsidP="00923879">
      <w:pPr>
        <w:pStyle w:val="Textonotapie"/>
        <w:rPr>
          <w:i/>
          <w:iCs/>
          <w:sz w:val="18"/>
          <w:szCs w:val="18"/>
        </w:rPr>
      </w:pPr>
      <w:r>
        <w:rPr>
          <w:rStyle w:val="Refdenotaalpie"/>
          <w:rFonts w:eastAsiaTheme="majorEastAsia"/>
        </w:rPr>
        <w:footnoteRef/>
      </w:r>
      <w:r>
        <w:t xml:space="preserve"> </w:t>
      </w:r>
      <w:hyperlink r:id="rId1" w:history="1">
        <w:r w:rsidRPr="00BA61D0">
          <w:rPr>
            <w:rStyle w:val="Hipervnculo"/>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27FA5" w14:textId="77777777" w:rsidR="00B84F21" w:rsidRDefault="00B84F21">
    <w:pPr>
      <w:widowControl w:val="0"/>
      <w:pBdr>
        <w:top w:val="nil"/>
        <w:left w:val="nil"/>
        <w:bottom w:val="nil"/>
        <w:right w:val="nil"/>
        <w:between w:val="nil"/>
      </w:pBdr>
      <w:spacing w:line="276" w:lineRule="auto"/>
      <w:jc w:val="left"/>
      <w:rPr>
        <w:rFonts w:ascii="Aptos" w:eastAsia="Aptos" w:hAnsi="Aptos" w:cs="Aptos"/>
        <w:i/>
        <w:color w:val="000000"/>
        <w:sz w:val="20"/>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093A8A2" wp14:editId="7BB924A4">
          <wp:simplePos x="0" y="0"/>
          <wp:positionH relativeFrom="margin">
            <wp:posOffset>-1286509</wp:posOffset>
          </wp:positionH>
          <wp:positionV relativeFrom="page">
            <wp:align>top</wp:align>
          </wp:positionV>
          <wp:extent cx="8426450" cy="10972800"/>
          <wp:effectExtent l="0" t="0" r="0" b="0"/>
          <wp:wrapNone/>
          <wp:docPr id="18883144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84F21" w14:paraId="251B9475" w14:textId="77777777">
      <w:trPr>
        <w:trHeight w:val="144"/>
        <w:jc w:val="right"/>
      </w:trPr>
      <w:tc>
        <w:tcPr>
          <w:tcW w:w="2727" w:type="dxa"/>
        </w:tcPr>
        <w:p w14:paraId="4187A8D8" w14:textId="77777777" w:rsidR="00B84F21" w:rsidRDefault="00B84F21">
          <w:pPr>
            <w:tabs>
              <w:tab w:val="right" w:pos="8838"/>
            </w:tabs>
            <w:ind w:left="-74" w:right="-105"/>
            <w:rPr>
              <w:b/>
            </w:rPr>
          </w:pPr>
          <w:r>
            <w:rPr>
              <w:b/>
            </w:rPr>
            <w:t>Recurso de Revisión:</w:t>
          </w:r>
        </w:p>
      </w:tc>
      <w:tc>
        <w:tcPr>
          <w:tcW w:w="3402" w:type="dxa"/>
        </w:tcPr>
        <w:p w14:paraId="0C654BDA" w14:textId="77777777" w:rsidR="00B84F21" w:rsidRDefault="00B84F21">
          <w:pPr>
            <w:tabs>
              <w:tab w:val="right" w:pos="8838"/>
            </w:tabs>
            <w:ind w:left="-74" w:right="-105"/>
          </w:pPr>
          <w:r w:rsidRPr="00924628">
            <w:t>04732/INFOEM/IP/RR/2025</w:t>
          </w:r>
        </w:p>
      </w:tc>
    </w:tr>
    <w:tr w:rsidR="00B84F21" w14:paraId="11FF2706" w14:textId="77777777">
      <w:trPr>
        <w:trHeight w:val="283"/>
        <w:jc w:val="right"/>
      </w:trPr>
      <w:tc>
        <w:tcPr>
          <w:tcW w:w="2727" w:type="dxa"/>
        </w:tcPr>
        <w:p w14:paraId="2E1B1111" w14:textId="77777777" w:rsidR="00B84F21" w:rsidRDefault="00B84F21">
          <w:pPr>
            <w:tabs>
              <w:tab w:val="right" w:pos="8838"/>
            </w:tabs>
            <w:ind w:left="-74" w:right="-105"/>
            <w:rPr>
              <w:b/>
            </w:rPr>
          </w:pPr>
          <w:r>
            <w:rPr>
              <w:b/>
            </w:rPr>
            <w:t>Sujeto Obligado:</w:t>
          </w:r>
        </w:p>
      </w:tc>
      <w:tc>
        <w:tcPr>
          <w:tcW w:w="3402" w:type="dxa"/>
        </w:tcPr>
        <w:p w14:paraId="5F6A745E" w14:textId="77777777" w:rsidR="00B84F21" w:rsidRDefault="00B84F21">
          <w:pPr>
            <w:tabs>
              <w:tab w:val="left" w:pos="2834"/>
              <w:tab w:val="right" w:pos="8838"/>
            </w:tabs>
            <w:ind w:left="-108" w:right="-105"/>
          </w:pPr>
          <w:r w:rsidRPr="000857EA">
            <w:t>Ayuntamiento de Atizapán de Zaragoza</w:t>
          </w:r>
        </w:p>
      </w:tc>
    </w:tr>
    <w:tr w:rsidR="00B84F21" w14:paraId="1304DB0C" w14:textId="77777777">
      <w:trPr>
        <w:trHeight w:val="283"/>
        <w:jc w:val="right"/>
      </w:trPr>
      <w:tc>
        <w:tcPr>
          <w:tcW w:w="2727" w:type="dxa"/>
        </w:tcPr>
        <w:p w14:paraId="0488C1BD" w14:textId="77777777" w:rsidR="00B84F21" w:rsidRDefault="00B84F21">
          <w:pPr>
            <w:tabs>
              <w:tab w:val="right" w:pos="8838"/>
            </w:tabs>
            <w:ind w:left="-74" w:right="-105"/>
            <w:rPr>
              <w:b/>
            </w:rPr>
          </w:pPr>
          <w:r>
            <w:rPr>
              <w:b/>
            </w:rPr>
            <w:t>Comisionada Ponente:</w:t>
          </w:r>
        </w:p>
      </w:tc>
      <w:tc>
        <w:tcPr>
          <w:tcW w:w="3402" w:type="dxa"/>
        </w:tcPr>
        <w:p w14:paraId="0D7D17C0" w14:textId="77777777" w:rsidR="00B84F21" w:rsidRDefault="00B84F21">
          <w:pPr>
            <w:tabs>
              <w:tab w:val="right" w:pos="8838"/>
            </w:tabs>
            <w:ind w:left="-108" w:right="-105"/>
          </w:pPr>
          <w:r>
            <w:t>Sharon Cristina Morales Martínez</w:t>
          </w:r>
        </w:p>
      </w:tc>
    </w:tr>
  </w:tbl>
  <w:p w14:paraId="3C541AF9" w14:textId="77777777" w:rsidR="00B84F21" w:rsidRDefault="00B84F21">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4FC2E" w14:textId="77777777" w:rsidR="00B84F21" w:rsidRDefault="00000000">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08BFA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79.15pt;margin-top:-128.6pt;width:663.5pt;height:12in;z-index:-251658240;mso-position-horizontal:absolute;mso-position-horizontal-relative:margin;mso-position-vertical:absolute;mso-position-vertical-relative:margin">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B84F21" w14:paraId="158B816D" w14:textId="77777777">
      <w:trPr>
        <w:trHeight w:val="1435"/>
      </w:trPr>
      <w:tc>
        <w:tcPr>
          <w:tcW w:w="283" w:type="dxa"/>
          <w:shd w:val="clear" w:color="auto" w:fill="auto"/>
        </w:tcPr>
        <w:p w14:paraId="647B3D70" w14:textId="77777777" w:rsidR="00B84F21" w:rsidRDefault="00B84F21">
          <w:pPr>
            <w:tabs>
              <w:tab w:val="right" w:pos="4273"/>
            </w:tabs>
            <w:rPr>
              <w:rFonts w:ascii="Garamond" w:eastAsia="Garamond" w:hAnsi="Garamond" w:cs="Garamond"/>
            </w:rPr>
          </w:pPr>
        </w:p>
      </w:tc>
      <w:tc>
        <w:tcPr>
          <w:tcW w:w="6378" w:type="dxa"/>
          <w:shd w:val="clear" w:color="auto" w:fill="auto"/>
        </w:tcPr>
        <w:p w14:paraId="66F0CB86" w14:textId="77777777" w:rsidR="00B84F21" w:rsidRDefault="00B84F21">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B84F21" w14:paraId="692DC8E9" w14:textId="77777777">
            <w:trPr>
              <w:trHeight w:val="144"/>
            </w:trPr>
            <w:tc>
              <w:tcPr>
                <w:tcW w:w="2727" w:type="dxa"/>
              </w:tcPr>
              <w:p w14:paraId="3EBCCBB7" w14:textId="77777777" w:rsidR="00B84F21" w:rsidRDefault="00B84F21">
                <w:pPr>
                  <w:tabs>
                    <w:tab w:val="right" w:pos="8838"/>
                  </w:tabs>
                  <w:ind w:left="-74" w:right="-105"/>
                  <w:rPr>
                    <w:b/>
                  </w:rPr>
                </w:pPr>
                <w:bookmarkStart w:id="0" w:name="_heading=h.1pxezwc" w:colFirst="0" w:colLast="0"/>
                <w:bookmarkEnd w:id="0"/>
                <w:r>
                  <w:rPr>
                    <w:b/>
                  </w:rPr>
                  <w:t>Recurso de Revisión:</w:t>
                </w:r>
              </w:p>
            </w:tc>
            <w:tc>
              <w:tcPr>
                <w:tcW w:w="3402" w:type="dxa"/>
              </w:tcPr>
              <w:p w14:paraId="6BE004DE" w14:textId="77777777" w:rsidR="00B84F21" w:rsidRDefault="00B84F21">
                <w:pPr>
                  <w:tabs>
                    <w:tab w:val="right" w:pos="8838"/>
                  </w:tabs>
                  <w:ind w:left="-74" w:right="-105"/>
                </w:pPr>
                <w:r w:rsidRPr="00924628">
                  <w:t>04732/INFOEM/IP/RR/2025</w:t>
                </w:r>
              </w:p>
            </w:tc>
            <w:tc>
              <w:tcPr>
                <w:tcW w:w="3402" w:type="dxa"/>
              </w:tcPr>
              <w:p w14:paraId="0C27AD3E" w14:textId="77777777" w:rsidR="00B84F21" w:rsidRDefault="00B84F21">
                <w:pPr>
                  <w:tabs>
                    <w:tab w:val="right" w:pos="8838"/>
                  </w:tabs>
                  <w:ind w:left="-74" w:right="-105"/>
                </w:pPr>
              </w:p>
            </w:tc>
          </w:tr>
          <w:tr w:rsidR="00B84F21" w14:paraId="7223AC53" w14:textId="77777777">
            <w:trPr>
              <w:trHeight w:val="144"/>
            </w:trPr>
            <w:tc>
              <w:tcPr>
                <w:tcW w:w="2727" w:type="dxa"/>
              </w:tcPr>
              <w:p w14:paraId="1C8184FD" w14:textId="77777777" w:rsidR="00B84F21" w:rsidRDefault="00B84F21">
                <w:pPr>
                  <w:tabs>
                    <w:tab w:val="right" w:pos="8838"/>
                  </w:tabs>
                  <w:ind w:left="-74" w:right="-105"/>
                  <w:rPr>
                    <w:b/>
                  </w:rPr>
                </w:pPr>
                <w:bookmarkStart w:id="1" w:name="_heading=h.49x2ik5" w:colFirst="0" w:colLast="0"/>
                <w:bookmarkEnd w:id="1"/>
                <w:r>
                  <w:rPr>
                    <w:b/>
                  </w:rPr>
                  <w:t>Recurrente:</w:t>
                </w:r>
              </w:p>
            </w:tc>
            <w:tc>
              <w:tcPr>
                <w:tcW w:w="3402" w:type="dxa"/>
              </w:tcPr>
              <w:p w14:paraId="2FD7986E" w14:textId="77777777" w:rsidR="00B84F21" w:rsidRDefault="00B84F21">
                <w:pPr>
                  <w:tabs>
                    <w:tab w:val="left" w:pos="3122"/>
                    <w:tab w:val="right" w:pos="8838"/>
                  </w:tabs>
                  <w:ind w:left="-105" w:right="-105"/>
                </w:pPr>
              </w:p>
            </w:tc>
            <w:tc>
              <w:tcPr>
                <w:tcW w:w="3402" w:type="dxa"/>
              </w:tcPr>
              <w:p w14:paraId="7CFF887A" w14:textId="77777777" w:rsidR="00B84F21" w:rsidRDefault="00B84F21">
                <w:pPr>
                  <w:tabs>
                    <w:tab w:val="left" w:pos="3122"/>
                    <w:tab w:val="right" w:pos="8838"/>
                  </w:tabs>
                  <w:ind w:left="-105" w:right="-105"/>
                </w:pPr>
              </w:p>
            </w:tc>
          </w:tr>
          <w:tr w:rsidR="00B84F21" w14:paraId="0DA0F3AE" w14:textId="77777777">
            <w:trPr>
              <w:trHeight w:val="283"/>
            </w:trPr>
            <w:tc>
              <w:tcPr>
                <w:tcW w:w="2727" w:type="dxa"/>
              </w:tcPr>
              <w:p w14:paraId="5D96DDAB" w14:textId="77777777" w:rsidR="00B84F21" w:rsidRDefault="00B84F21">
                <w:pPr>
                  <w:tabs>
                    <w:tab w:val="right" w:pos="8838"/>
                  </w:tabs>
                  <w:ind w:left="-74" w:right="-105"/>
                  <w:rPr>
                    <w:b/>
                  </w:rPr>
                </w:pPr>
                <w:r>
                  <w:rPr>
                    <w:b/>
                  </w:rPr>
                  <w:t>Sujeto Obligado:</w:t>
                </w:r>
              </w:p>
            </w:tc>
            <w:tc>
              <w:tcPr>
                <w:tcW w:w="3402" w:type="dxa"/>
              </w:tcPr>
              <w:p w14:paraId="7FC2CA26" w14:textId="77777777" w:rsidR="00B84F21" w:rsidRDefault="00B84F21">
                <w:pPr>
                  <w:tabs>
                    <w:tab w:val="left" w:pos="2834"/>
                    <w:tab w:val="right" w:pos="8838"/>
                  </w:tabs>
                  <w:ind w:left="-108" w:right="-105"/>
                </w:pPr>
                <w:r w:rsidRPr="000857EA">
                  <w:t>Ayuntamiento de Atizapán de Zaragoza</w:t>
                </w:r>
              </w:p>
            </w:tc>
            <w:tc>
              <w:tcPr>
                <w:tcW w:w="3402" w:type="dxa"/>
              </w:tcPr>
              <w:p w14:paraId="6ED21C9F" w14:textId="77777777" w:rsidR="00B84F21" w:rsidRDefault="00B84F21">
                <w:pPr>
                  <w:tabs>
                    <w:tab w:val="left" w:pos="2834"/>
                    <w:tab w:val="right" w:pos="8838"/>
                  </w:tabs>
                  <w:ind w:left="-108" w:right="-105"/>
                </w:pPr>
              </w:p>
            </w:tc>
          </w:tr>
          <w:tr w:rsidR="00B84F21" w14:paraId="6E69BFC7" w14:textId="77777777">
            <w:trPr>
              <w:trHeight w:val="283"/>
            </w:trPr>
            <w:tc>
              <w:tcPr>
                <w:tcW w:w="2727" w:type="dxa"/>
              </w:tcPr>
              <w:p w14:paraId="72B10DAF" w14:textId="77777777" w:rsidR="00B84F21" w:rsidRDefault="00B84F21">
                <w:pPr>
                  <w:tabs>
                    <w:tab w:val="right" w:pos="8838"/>
                  </w:tabs>
                  <w:ind w:left="-74" w:right="-105"/>
                  <w:rPr>
                    <w:b/>
                  </w:rPr>
                </w:pPr>
                <w:r>
                  <w:rPr>
                    <w:b/>
                  </w:rPr>
                  <w:t>Comisionada Ponente:</w:t>
                </w:r>
              </w:p>
            </w:tc>
            <w:tc>
              <w:tcPr>
                <w:tcW w:w="3402" w:type="dxa"/>
              </w:tcPr>
              <w:p w14:paraId="0D66EA9D" w14:textId="77777777" w:rsidR="00B84F21" w:rsidRDefault="00B84F21">
                <w:pPr>
                  <w:tabs>
                    <w:tab w:val="right" w:pos="8838"/>
                  </w:tabs>
                  <w:ind w:left="-108" w:right="-105"/>
                </w:pPr>
                <w:r>
                  <w:t>Sharon Cristina Morales Martínez</w:t>
                </w:r>
              </w:p>
            </w:tc>
            <w:tc>
              <w:tcPr>
                <w:tcW w:w="3402" w:type="dxa"/>
              </w:tcPr>
              <w:p w14:paraId="40433C36" w14:textId="77777777" w:rsidR="00B84F21" w:rsidRDefault="00B84F21">
                <w:pPr>
                  <w:tabs>
                    <w:tab w:val="right" w:pos="8838"/>
                  </w:tabs>
                  <w:ind w:left="-108" w:right="-105"/>
                </w:pPr>
              </w:p>
            </w:tc>
          </w:tr>
        </w:tbl>
        <w:p w14:paraId="69EF1F2A" w14:textId="77777777" w:rsidR="00B84F21" w:rsidRDefault="00B84F21">
          <w:pPr>
            <w:tabs>
              <w:tab w:val="right" w:pos="8838"/>
            </w:tabs>
            <w:ind w:left="-28"/>
            <w:rPr>
              <w:rFonts w:ascii="Arial" w:eastAsia="Arial" w:hAnsi="Arial" w:cs="Arial"/>
              <w:b/>
            </w:rPr>
          </w:pPr>
        </w:p>
      </w:tc>
    </w:tr>
  </w:tbl>
  <w:p w14:paraId="23F0ED0B" w14:textId="77777777" w:rsidR="00B84F21" w:rsidRDefault="00B84F21">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D267887"/>
    <w:multiLevelType w:val="hybridMultilevel"/>
    <w:tmpl w:val="52FAA396"/>
    <w:lvl w:ilvl="0" w:tplc="4B3A58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5657B0B"/>
    <w:multiLevelType w:val="hybridMultilevel"/>
    <w:tmpl w:val="8D7675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56395E"/>
    <w:multiLevelType w:val="multilevel"/>
    <w:tmpl w:val="25466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42A647F"/>
    <w:multiLevelType w:val="multilevel"/>
    <w:tmpl w:val="61AA0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0071072">
    <w:abstractNumId w:val="5"/>
  </w:num>
  <w:num w:numId="2" w16cid:durableId="23792088">
    <w:abstractNumId w:val="4"/>
  </w:num>
  <w:num w:numId="3" w16cid:durableId="1035737706">
    <w:abstractNumId w:val="3"/>
  </w:num>
  <w:num w:numId="4" w16cid:durableId="1713462477">
    <w:abstractNumId w:val="6"/>
  </w:num>
  <w:num w:numId="5" w16cid:durableId="1336498499">
    <w:abstractNumId w:val="2"/>
  </w:num>
  <w:num w:numId="6" w16cid:durableId="1002077752">
    <w:abstractNumId w:val="0"/>
  </w:num>
  <w:num w:numId="7" w16cid:durableId="867066700">
    <w:abstractNumId w:val="7"/>
  </w:num>
  <w:num w:numId="8" w16cid:durableId="1277373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BA"/>
    <w:rsid w:val="00043C70"/>
    <w:rsid w:val="000857EA"/>
    <w:rsid w:val="00096BC0"/>
    <w:rsid w:val="000C773B"/>
    <w:rsid w:val="001047BB"/>
    <w:rsid w:val="0011745A"/>
    <w:rsid w:val="00181AA6"/>
    <w:rsid w:val="001A4F47"/>
    <w:rsid w:val="001B29DE"/>
    <w:rsid w:val="001C52BB"/>
    <w:rsid w:val="001E76FC"/>
    <w:rsid w:val="001F2169"/>
    <w:rsid w:val="00233BDC"/>
    <w:rsid w:val="0025719F"/>
    <w:rsid w:val="0027241A"/>
    <w:rsid w:val="002A3F49"/>
    <w:rsid w:val="002E7B15"/>
    <w:rsid w:val="002F3E70"/>
    <w:rsid w:val="003439C7"/>
    <w:rsid w:val="0043282C"/>
    <w:rsid w:val="00440679"/>
    <w:rsid w:val="004D3019"/>
    <w:rsid w:val="00601646"/>
    <w:rsid w:val="006576AE"/>
    <w:rsid w:val="00660ED7"/>
    <w:rsid w:val="006B5ECB"/>
    <w:rsid w:val="006E220F"/>
    <w:rsid w:val="006E76ED"/>
    <w:rsid w:val="00721616"/>
    <w:rsid w:val="00762149"/>
    <w:rsid w:val="007B6281"/>
    <w:rsid w:val="00855FEE"/>
    <w:rsid w:val="00894FBA"/>
    <w:rsid w:val="008A5F01"/>
    <w:rsid w:val="008B7C83"/>
    <w:rsid w:val="008E1FA2"/>
    <w:rsid w:val="008F216B"/>
    <w:rsid w:val="00923879"/>
    <w:rsid w:val="009240BC"/>
    <w:rsid w:val="00924628"/>
    <w:rsid w:val="00935870"/>
    <w:rsid w:val="00986DCE"/>
    <w:rsid w:val="009A4490"/>
    <w:rsid w:val="009E334B"/>
    <w:rsid w:val="00A2457C"/>
    <w:rsid w:val="00A566B6"/>
    <w:rsid w:val="00A72FE3"/>
    <w:rsid w:val="00A84C90"/>
    <w:rsid w:val="00AE5EC9"/>
    <w:rsid w:val="00B84F21"/>
    <w:rsid w:val="00BE2C47"/>
    <w:rsid w:val="00C37FB4"/>
    <w:rsid w:val="00C41F68"/>
    <w:rsid w:val="00C45B03"/>
    <w:rsid w:val="00CB1265"/>
    <w:rsid w:val="00CD4E2C"/>
    <w:rsid w:val="00D01F96"/>
    <w:rsid w:val="00D2186E"/>
    <w:rsid w:val="00D37727"/>
    <w:rsid w:val="00DA0D9B"/>
    <w:rsid w:val="00DD4C92"/>
    <w:rsid w:val="00DE001B"/>
    <w:rsid w:val="00DE4108"/>
    <w:rsid w:val="00DF1528"/>
    <w:rsid w:val="00E32178"/>
    <w:rsid w:val="00E77C5E"/>
    <w:rsid w:val="00ED1D7D"/>
    <w:rsid w:val="00F165A9"/>
    <w:rsid w:val="00FB090D"/>
    <w:rsid w:val="00FB1EBC"/>
    <w:rsid w:val="00FD2A72"/>
    <w:rsid w:val="00FD4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47FEC"/>
  <w15:docId w15:val="{E69BC4B0-66E4-4EF6-8E15-100D4A02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B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Texto">
    <w:name w:val="Texto"/>
    <w:basedOn w:val="Normal"/>
    <w:link w:val="TextoCar"/>
    <w:rsid w:val="006467AB"/>
    <w:pPr>
      <w:spacing w:after="101" w:line="216" w:lineRule="exact"/>
      <w:ind w:firstLine="288"/>
    </w:pPr>
    <w:rPr>
      <w:rFonts w:ascii="Arial" w:hAnsi="Arial" w:cs="Arial"/>
      <w:sz w:val="18"/>
      <w:lang w:val="es-ES"/>
    </w:rPr>
  </w:style>
  <w:style w:type="character" w:customStyle="1" w:styleId="TextoCar">
    <w:name w:val="Texto Car"/>
    <w:link w:val="Texto"/>
    <w:locked/>
    <w:rsid w:val="006467AB"/>
    <w:rPr>
      <w:rFonts w:ascii="Arial" w:eastAsia="Times New Roman" w:hAnsi="Arial" w:cs="Arial"/>
      <w:sz w:val="18"/>
      <w:szCs w:val="20"/>
      <w:lang w:val="es-ES" w:eastAsia="es-ES"/>
    </w:rPr>
  </w:style>
  <w:style w:type="paragraph" w:styleId="Textosinformato">
    <w:name w:val="Plain Text"/>
    <w:basedOn w:val="Normal"/>
    <w:link w:val="TextosinformatoCar"/>
    <w:rsid w:val="006467AB"/>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6467AB"/>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717CC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CC0"/>
    <w:rPr>
      <w:rFonts w:ascii="Segoe UI" w:eastAsia="Times New Roman" w:hAnsi="Segoe UI" w:cs="Segoe UI"/>
      <w:sz w:val="18"/>
      <w:szCs w:val="18"/>
      <w:lang w:eastAsia="es-ES"/>
    </w:rPr>
  </w:style>
  <w:style w:type="character" w:customStyle="1" w:styleId="apple-converted-space">
    <w:name w:val="apple-converted-space"/>
    <w:basedOn w:val="Fuentedeprrafopredeter"/>
    <w:rsid w:val="009050BB"/>
  </w:style>
  <w:style w:type="character" w:customStyle="1" w:styleId="il">
    <w:name w:val="il"/>
    <w:basedOn w:val="Fuentedeprrafopredeter"/>
    <w:rsid w:val="009050BB"/>
    <w:rPr>
      <w:rFonts w:cs="Times New Roman"/>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29288">
      <w:bodyDiv w:val="1"/>
      <w:marLeft w:val="0"/>
      <w:marRight w:val="0"/>
      <w:marTop w:val="0"/>
      <w:marBottom w:val="0"/>
      <w:divBdr>
        <w:top w:val="none" w:sz="0" w:space="0" w:color="auto"/>
        <w:left w:val="none" w:sz="0" w:space="0" w:color="auto"/>
        <w:bottom w:val="none" w:sz="0" w:space="0" w:color="auto"/>
        <w:right w:val="none" w:sz="0" w:space="0" w:color="auto"/>
      </w:divBdr>
    </w:div>
    <w:div w:id="815995907">
      <w:bodyDiv w:val="1"/>
      <w:marLeft w:val="0"/>
      <w:marRight w:val="0"/>
      <w:marTop w:val="0"/>
      <w:marBottom w:val="0"/>
      <w:divBdr>
        <w:top w:val="none" w:sz="0" w:space="0" w:color="auto"/>
        <w:left w:val="none" w:sz="0" w:space="0" w:color="auto"/>
        <w:bottom w:val="none" w:sz="0" w:space="0" w:color="auto"/>
        <w:right w:val="none" w:sz="0" w:space="0" w:color="auto"/>
      </w:divBdr>
    </w:div>
    <w:div w:id="1288660612">
      <w:bodyDiv w:val="1"/>
      <w:marLeft w:val="0"/>
      <w:marRight w:val="0"/>
      <w:marTop w:val="0"/>
      <w:marBottom w:val="0"/>
      <w:divBdr>
        <w:top w:val="none" w:sz="0" w:space="0" w:color="auto"/>
        <w:left w:val="none" w:sz="0" w:space="0" w:color="auto"/>
        <w:bottom w:val="none" w:sz="0" w:space="0" w:color="auto"/>
        <w:right w:val="none" w:sz="0" w:space="0" w:color="auto"/>
      </w:divBdr>
    </w:div>
    <w:div w:id="1335452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fVoyKS19IdEpPRpYDiB64G2A==">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9312</Words>
  <Characters>51217</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Infoem642</cp:lastModifiedBy>
  <cp:revision>8</cp:revision>
  <dcterms:created xsi:type="dcterms:W3CDTF">2025-07-10T18:44:00Z</dcterms:created>
  <dcterms:modified xsi:type="dcterms:W3CDTF">2025-07-17T16:54:00Z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