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6C3C" w14:textId="30291EE1" w:rsidR="00702D6B" w:rsidRDefault="00702D6B" w:rsidP="00702D6B">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347ABC">
        <w:rPr>
          <w:rFonts w:ascii="Palatino Linotype" w:eastAsia="Times New Roman" w:hAnsi="Palatino Linotype" w:cs="Arial"/>
          <w:color w:val="000000"/>
          <w:sz w:val="24"/>
          <w:szCs w:val="24"/>
          <w:lang w:eastAsia="es-MX"/>
        </w:rPr>
        <w:t xml:space="preserve">dos de julio de dos mil veinticinco. </w:t>
      </w:r>
    </w:p>
    <w:p w14:paraId="7BACA322" w14:textId="5BEA6328" w:rsidR="00347ABC" w:rsidRPr="00347ABC" w:rsidRDefault="00702D6B" w:rsidP="00702D6B">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rPr>
        <w:t>0</w:t>
      </w:r>
      <w:r w:rsidR="00347ABC">
        <w:rPr>
          <w:rFonts w:ascii="Palatino Linotype" w:hAnsi="Palatino Linotype" w:cs="Arial"/>
          <w:b/>
          <w:bCs/>
          <w:sz w:val="24"/>
        </w:rPr>
        <w:t xml:space="preserve">6590/INFOEM/IP/RR/2025, </w:t>
      </w:r>
      <w:r w:rsidR="00347ABC">
        <w:rPr>
          <w:rFonts w:ascii="Palatino Linotype" w:hAnsi="Palatino Linotype" w:cs="Arial"/>
          <w:sz w:val="24"/>
        </w:rPr>
        <w:t xml:space="preserve">interpuesto por el </w:t>
      </w:r>
      <w:r w:rsidR="00347ABC">
        <w:rPr>
          <w:rFonts w:ascii="Palatino Linotype" w:hAnsi="Palatino Linotype" w:cs="Arial"/>
          <w:b/>
          <w:bCs/>
          <w:sz w:val="24"/>
        </w:rPr>
        <w:t xml:space="preserve">C. </w:t>
      </w:r>
      <w:r w:rsidR="00990AB7">
        <w:rPr>
          <w:rFonts w:ascii="Palatino Linotype" w:hAnsi="Palatino Linotype" w:cs="Arial"/>
          <w:b/>
          <w:bCs/>
          <w:sz w:val="24"/>
        </w:rPr>
        <w:t>XXXXXX</w:t>
      </w:r>
      <w:bookmarkStart w:id="1" w:name="_GoBack"/>
      <w:bookmarkEnd w:id="1"/>
      <w:r w:rsidR="00347ABC">
        <w:rPr>
          <w:rFonts w:ascii="Palatino Linotype" w:hAnsi="Palatino Linotype" w:cs="Arial"/>
          <w:b/>
          <w:bCs/>
          <w:sz w:val="24"/>
        </w:rPr>
        <w:t xml:space="preserve">, </w:t>
      </w:r>
      <w:r w:rsidR="00347ABC">
        <w:rPr>
          <w:rFonts w:ascii="Palatino Linotype" w:hAnsi="Palatino Linotype" w:cs="Arial"/>
          <w:sz w:val="24"/>
        </w:rPr>
        <w:t xml:space="preserve">en lo sucesivo </w:t>
      </w:r>
      <w:r w:rsidR="00347ABC">
        <w:rPr>
          <w:rFonts w:ascii="Palatino Linotype" w:hAnsi="Palatino Linotype" w:cs="Arial"/>
          <w:b/>
          <w:bCs/>
          <w:sz w:val="24"/>
        </w:rPr>
        <w:t xml:space="preserve">El Recurrente, </w:t>
      </w:r>
      <w:r w:rsidR="00347ABC">
        <w:rPr>
          <w:rFonts w:ascii="Palatino Linotype" w:hAnsi="Palatino Linotype" w:cs="Arial"/>
          <w:sz w:val="24"/>
        </w:rPr>
        <w:t xml:space="preserve">en contra de la respuesta del </w:t>
      </w:r>
      <w:r w:rsidR="00347ABC">
        <w:rPr>
          <w:rFonts w:ascii="Palatino Linotype" w:hAnsi="Palatino Linotype" w:cs="Arial"/>
          <w:b/>
          <w:bCs/>
          <w:sz w:val="24"/>
        </w:rPr>
        <w:t xml:space="preserve">Ayuntamiento de Teoloyucan, </w:t>
      </w:r>
      <w:r w:rsidR="00347ABC">
        <w:rPr>
          <w:rFonts w:ascii="Palatino Linotype" w:hAnsi="Palatino Linotype" w:cs="Arial"/>
          <w:sz w:val="24"/>
        </w:rPr>
        <w:t xml:space="preserve">en lo subsecuente </w:t>
      </w:r>
      <w:r w:rsidR="00347ABC">
        <w:rPr>
          <w:rFonts w:ascii="Palatino Linotype" w:hAnsi="Palatino Linotype" w:cs="Arial"/>
          <w:b/>
          <w:bCs/>
          <w:sz w:val="24"/>
        </w:rPr>
        <w:t xml:space="preserve">El Sujeto Obligado, </w:t>
      </w:r>
      <w:r w:rsidR="00347ABC">
        <w:rPr>
          <w:rFonts w:ascii="Palatino Linotype" w:hAnsi="Palatino Linotype" w:cs="Arial"/>
          <w:sz w:val="24"/>
        </w:rPr>
        <w:t xml:space="preserve">se procede a dictar la presente resolución. </w:t>
      </w:r>
    </w:p>
    <w:p w14:paraId="7D86C4BD" w14:textId="77777777" w:rsidR="00702D6B" w:rsidRDefault="00702D6B" w:rsidP="00702D6B">
      <w:pPr>
        <w:tabs>
          <w:tab w:val="left" w:pos="1701"/>
        </w:tabs>
        <w:spacing w:after="0" w:line="360" w:lineRule="auto"/>
        <w:jc w:val="both"/>
        <w:rPr>
          <w:rFonts w:ascii="Palatino Linotype" w:eastAsia="Palatino Linotype" w:hAnsi="Palatino Linotype" w:cs="Palatino Linotype"/>
          <w:b/>
          <w:bCs/>
          <w:color w:val="000000"/>
          <w:sz w:val="24"/>
          <w:szCs w:val="24"/>
        </w:rPr>
      </w:pPr>
    </w:p>
    <w:p w14:paraId="363685D0" w14:textId="77777777" w:rsidR="00702D6B" w:rsidRPr="007947A9" w:rsidRDefault="00702D6B" w:rsidP="00702D6B">
      <w:pPr>
        <w:spacing w:after="0" w:line="360" w:lineRule="auto"/>
        <w:jc w:val="center"/>
        <w:rPr>
          <w:rFonts w:ascii="Palatino Linotype" w:hAnsi="Palatino Linotype" w:cs="Arial"/>
          <w:b/>
          <w:sz w:val="24"/>
          <w:szCs w:val="24"/>
        </w:rPr>
      </w:pPr>
      <w:r w:rsidRPr="007947A9">
        <w:rPr>
          <w:rFonts w:ascii="Palatino Linotype" w:hAnsi="Palatino Linotype" w:cs="Arial"/>
          <w:b/>
          <w:sz w:val="24"/>
          <w:szCs w:val="24"/>
        </w:rPr>
        <w:t>A N T E C E D E N T E S</w:t>
      </w:r>
    </w:p>
    <w:p w14:paraId="64B85FD7" w14:textId="77777777" w:rsidR="00702D6B" w:rsidRPr="007947A9" w:rsidRDefault="00702D6B" w:rsidP="00702D6B">
      <w:pPr>
        <w:spacing w:after="0" w:line="360" w:lineRule="auto"/>
        <w:rPr>
          <w:rFonts w:ascii="Palatino Linotype" w:hAnsi="Palatino Linotype" w:cs="Arial"/>
          <w:b/>
          <w:sz w:val="24"/>
          <w:szCs w:val="24"/>
        </w:rPr>
      </w:pPr>
    </w:p>
    <w:p w14:paraId="1041AECC" w14:textId="77777777" w:rsidR="00702D6B" w:rsidRPr="00D0707C" w:rsidRDefault="00702D6B" w:rsidP="00702D6B">
      <w:pPr>
        <w:spacing w:after="0" w:line="360" w:lineRule="auto"/>
        <w:jc w:val="both"/>
        <w:rPr>
          <w:rFonts w:ascii="Palatino Linotype" w:hAnsi="Palatino Linotype" w:cs="Arial"/>
          <w:b/>
          <w:sz w:val="28"/>
          <w:szCs w:val="28"/>
        </w:rPr>
      </w:pPr>
      <w:r w:rsidRPr="00D0707C">
        <w:rPr>
          <w:rFonts w:ascii="Palatino Linotype" w:hAnsi="Palatino Linotype" w:cs="Arial"/>
          <w:b/>
          <w:sz w:val="28"/>
          <w:szCs w:val="28"/>
        </w:rPr>
        <w:t xml:space="preserve">PRIMERO. </w:t>
      </w:r>
      <w:r w:rsidRPr="00D0707C">
        <w:rPr>
          <w:rFonts w:ascii="Palatino Linotype" w:eastAsia="Palatino Linotype" w:hAnsi="Palatino Linotype" w:cs="Palatino Linotype"/>
          <w:b/>
          <w:color w:val="000000"/>
          <w:sz w:val="28"/>
          <w:szCs w:val="28"/>
          <w:lang w:val="es-ES_tradnl"/>
        </w:rPr>
        <w:t>De la solicitud de información</w:t>
      </w:r>
    </w:p>
    <w:p w14:paraId="41E536EA" w14:textId="4858EE34" w:rsidR="00347ABC" w:rsidRDefault="00702D6B" w:rsidP="00702D6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47ABC">
        <w:rPr>
          <w:rFonts w:ascii="Palatino Linotype" w:hAnsi="Palatino Linotype" w:cs="Arial"/>
          <w:b/>
          <w:bCs/>
          <w:sz w:val="24"/>
        </w:rPr>
        <w:t xml:space="preserve">catorce de mayo de dos mil veinticinco, El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w:t>
      </w:r>
      <w:r>
        <w:rPr>
          <w:rFonts w:ascii="Palatino Linotype" w:hAnsi="Palatino Linotype" w:cs="Arial"/>
          <w:sz w:val="24"/>
        </w:rPr>
        <w:t xml:space="preserve"> solicitud de acceso a la información pública, registrada bajo el número </w:t>
      </w:r>
      <w:r w:rsidR="00347ABC">
        <w:rPr>
          <w:rFonts w:ascii="Palatino Linotype" w:hAnsi="Palatino Linotype" w:cs="Arial"/>
          <w:b/>
          <w:bCs/>
          <w:sz w:val="24"/>
        </w:rPr>
        <w:t xml:space="preserve">00340/TEOLOYU/IP/2025, </w:t>
      </w:r>
      <w:r w:rsidR="00347ABC">
        <w:rPr>
          <w:rFonts w:ascii="Palatino Linotype" w:hAnsi="Palatino Linotype" w:cs="Arial"/>
          <w:sz w:val="24"/>
        </w:rPr>
        <w:t>mediante la cual solicitó información en el tenor siguiente:</w:t>
      </w:r>
    </w:p>
    <w:p w14:paraId="07DFDCC0" w14:textId="6C8EA620" w:rsidR="00347ABC" w:rsidRPr="00347ABC" w:rsidRDefault="00347ABC" w:rsidP="00347ABC">
      <w:pPr>
        <w:pStyle w:val="Citas"/>
        <w:rPr>
          <w:b/>
          <w:bCs/>
        </w:rPr>
      </w:pPr>
      <w:r>
        <w:t>“</w:t>
      </w:r>
      <w:r w:rsidRPr="00347ABC">
        <w:t>Solicito la información que integra el Paquete Presupuestal Municipal 2025, es decir, los documentos en los formatos que se especifican en los Lineamientos que regulan su entrega. Lo anterior porque la información es de interés público porque contribuye a la transparencia y rendición de cuentas, fortalece la correcta aplicación y manejo de los recursos. Esta información deberá entregarse completa, íntegra y legible</w:t>
      </w:r>
      <w:r>
        <w:t xml:space="preserve">” </w:t>
      </w:r>
      <w:r>
        <w:rPr>
          <w:b/>
          <w:bCs/>
        </w:rPr>
        <w:t>(Sic)</w:t>
      </w:r>
    </w:p>
    <w:p w14:paraId="71204A47" w14:textId="77777777" w:rsidR="00702D6B"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280F31">
        <w:rPr>
          <w:rFonts w:ascii="Palatino Linotype" w:eastAsia="Palatino Linotype" w:hAnsi="Palatino Linotype" w:cs="Palatino Linotype"/>
          <w:b/>
          <w:bCs/>
          <w:color w:val="000000"/>
          <w:sz w:val="24"/>
          <w:szCs w:val="24"/>
          <w:lang w:val="es-ES_tradnl"/>
        </w:rPr>
        <w:lastRenderedPageBreak/>
        <w:t>Modalidad de entrega:</w:t>
      </w:r>
      <w:r w:rsidRPr="00883102">
        <w:rPr>
          <w:rFonts w:ascii="Palatino Linotype" w:eastAsia="Palatino Linotype" w:hAnsi="Palatino Linotype" w:cs="Palatino Linotype"/>
          <w:color w:val="000000"/>
          <w:sz w:val="24"/>
          <w:szCs w:val="24"/>
          <w:lang w:val="es-ES_tradnl"/>
        </w:rPr>
        <w:t xml:space="preserve"> </w:t>
      </w:r>
      <w:r>
        <w:rPr>
          <w:rFonts w:ascii="Palatino Linotype" w:eastAsia="Palatino Linotype" w:hAnsi="Palatino Linotype" w:cs="Palatino Linotype"/>
          <w:color w:val="000000"/>
          <w:sz w:val="24"/>
          <w:szCs w:val="24"/>
          <w:lang w:val="es-ES_tradnl"/>
        </w:rPr>
        <w:t xml:space="preserve">A través del SAIMEX. </w:t>
      </w:r>
    </w:p>
    <w:p w14:paraId="7ECE84A5" w14:textId="77777777" w:rsidR="00702D6B" w:rsidRDefault="00702D6B" w:rsidP="00702D6B">
      <w:pPr>
        <w:spacing w:after="0" w:line="360" w:lineRule="auto"/>
        <w:jc w:val="both"/>
        <w:rPr>
          <w:rFonts w:ascii="Palatino Linotype" w:eastAsia="Times New Roman" w:hAnsi="Palatino Linotype" w:cs="Times New Roman"/>
          <w:sz w:val="24"/>
          <w:szCs w:val="24"/>
          <w:lang w:val="es-ES_tradnl" w:eastAsia="es-ES"/>
        </w:rPr>
      </w:pPr>
    </w:p>
    <w:p w14:paraId="12397301"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8"/>
          <w:lang w:val="es-ES_tradnl"/>
        </w:rPr>
      </w:pPr>
      <w:r w:rsidRPr="00D0707C">
        <w:rPr>
          <w:rFonts w:ascii="Palatino Linotype" w:eastAsia="Palatino Linotype" w:hAnsi="Palatino Linotype" w:cs="Palatino Linotype"/>
          <w:b/>
          <w:color w:val="000000"/>
          <w:sz w:val="28"/>
          <w:szCs w:val="28"/>
        </w:rPr>
        <w:t xml:space="preserve">SEGUNDO. </w:t>
      </w:r>
      <w:r w:rsidRPr="00D0707C">
        <w:rPr>
          <w:rFonts w:ascii="Palatino Linotype" w:eastAsia="Palatino Linotype" w:hAnsi="Palatino Linotype" w:cs="Palatino Linotype"/>
          <w:b/>
          <w:color w:val="000000"/>
          <w:sz w:val="28"/>
          <w:szCs w:val="28"/>
          <w:lang w:val="es-ES_tradnl"/>
        </w:rPr>
        <w:t>De la falta de respuesta del Sujeto Obligado.</w:t>
      </w:r>
    </w:p>
    <w:p w14:paraId="40FDB7B1" w14:textId="77777777" w:rsidR="00702D6B" w:rsidRPr="007947A9"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7947A9">
        <w:rPr>
          <w:rFonts w:ascii="Palatino Linotype" w:eastAsia="Palatino Linotype" w:hAnsi="Palatino Linotype" w:cs="Palatino Linotype"/>
          <w:bCs/>
          <w:color w:val="000000"/>
          <w:sz w:val="24"/>
          <w:szCs w:val="24"/>
          <w:lang w:val="es-ES_tradnl"/>
        </w:rPr>
        <w:t>E</w:t>
      </w:r>
      <w:r w:rsidRPr="007947A9">
        <w:rPr>
          <w:rFonts w:ascii="Palatino Linotype" w:hAnsi="Palatino Linotype" w:cs="Arial"/>
          <w:bCs/>
          <w:sz w:val="24"/>
          <w:szCs w:val="24"/>
        </w:rPr>
        <w:t xml:space="preserv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no proporcionó respuesta a la solicitud de información </w:t>
      </w:r>
      <w:r w:rsidRPr="007947A9">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607CE255" w14:textId="77777777" w:rsidR="00702D6B" w:rsidRPr="007947A9" w:rsidRDefault="00702D6B" w:rsidP="00702D6B">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3203B956" w14:textId="77777777" w:rsidR="00702D6B" w:rsidRPr="007947A9"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r w:rsidRPr="00D0707C">
        <w:rPr>
          <w:rFonts w:ascii="Palatino Linotype" w:hAnsi="Palatino Linotype" w:cs="Arial"/>
          <w:b/>
          <w:sz w:val="28"/>
          <w:szCs w:val="28"/>
        </w:rPr>
        <w:t xml:space="preserve">TERCERO. </w:t>
      </w:r>
      <w:r w:rsidRPr="00D0707C">
        <w:rPr>
          <w:rFonts w:ascii="Palatino Linotype" w:eastAsia="Palatino Linotype" w:hAnsi="Palatino Linotype" w:cs="Palatino Linotype"/>
          <w:b/>
          <w:color w:val="000000"/>
          <w:sz w:val="28"/>
          <w:szCs w:val="28"/>
          <w:lang w:val="es-ES_tradnl"/>
        </w:rPr>
        <w:t>Del recurso de revisión</w:t>
      </w:r>
      <w:r w:rsidRPr="007947A9">
        <w:rPr>
          <w:rFonts w:ascii="Palatino Linotype" w:eastAsia="Palatino Linotype" w:hAnsi="Palatino Linotype" w:cs="Palatino Linotype"/>
          <w:b/>
          <w:color w:val="000000"/>
          <w:sz w:val="24"/>
          <w:szCs w:val="24"/>
          <w:lang w:val="es-ES_tradnl"/>
        </w:rPr>
        <w:t>.</w:t>
      </w:r>
    </w:p>
    <w:p w14:paraId="792BC497" w14:textId="3C4984D4" w:rsidR="00347ABC" w:rsidRPr="00347ABC" w:rsidRDefault="00702D6B" w:rsidP="00702D6B">
      <w:pPr>
        <w:spacing w:after="0" w:line="360" w:lineRule="auto"/>
        <w:jc w:val="both"/>
        <w:rPr>
          <w:rFonts w:ascii="Palatino Linotype" w:hAnsi="Palatino Linotype" w:cs="Arial"/>
          <w:sz w:val="24"/>
          <w:szCs w:val="24"/>
        </w:rPr>
      </w:pPr>
      <w:r w:rsidRPr="007947A9">
        <w:rPr>
          <w:rFonts w:ascii="Palatino Linotype" w:hAnsi="Palatino Linotype" w:cs="Arial"/>
          <w:bCs/>
          <w:sz w:val="24"/>
          <w:szCs w:val="24"/>
        </w:rPr>
        <w:t>Ante la falta de respuesta</w:t>
      </w:r>
      <w:r w:rsidRPr="007947A9">
        <w:rPr>
          <w:rFonts w:ascii="Palatino Linotype" w:hAnsi="Palatino Linotype" w:cs="Arial"/>
          <w:b/>
          <w:sz w:val="24"/>
          <w:szCs w:val="24"/>
        </w:rPr>
        <w:t xml:space="preserve"> </w:t>
      </w:r>
      <w:r w:rsidRPr="007947A9">
        <w:rPr>
          <w:rFonts w:ascii="Palatino Linotype" w:hAnsi="Palatino Linotype" w:cs="Arial"/>
          <w:sz w:val="24"/>
          <w:szCs w:val="24"/>
        </w:rPr>
        <w:t xml:space="preserve">del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la parte </w:t>
      </w:r>
      <w:r w:rsidRPr="007947A9">
        <w:rPr>
          <w:rFonts w:ascii="Palatino Linotype" w:hAnsi="Palatino Linotype" w:cs="Arial"/>
          <w:b/>
          <w:sz w:val="24"/>
          <w:szCs w:val="24"/>
        </w:rPr>
        <w:t>Recurrente</w:t>
      </w:r>
      <w:r w:rsidRPr="007947A9">
        <w:rPr>
          <w:rFonts w:ascii="Palatino Linotype" w:hAnsi="Palatino Linotype" w:cs="Arial"/>
          <w:sz w:val="24"/>
          <w:szCs w:val="24"/>
        </w:rPr>
        <w:t xml:space="preserve"> interpuso su recurso de revisión el</w:t>
      </w:r>
      <w:r>
        <w:rPr>
          <w:rFonts w:ascii="Palatino Linotype" w:hAnsi="Palatino Linotype" w:cs="Arial"/>
          <w:sz w:val="24"/>
          <w:szCs w:val="24"/>
        </w:rPr>
        <w:t xml:space="preserve"> </w:t>
      </w:r>
      <w:r w:rsidR="00347ABC">
        <w:rPr>
          <w:rFonts w:ascii="Palatino Linotype" w:hAnsi="Palatino Linotype" w:cs="Arial"/>
          <w:b/>
          <w:bCs/>
          <w:sz w:val="24"/>
          <w:szCs w:val="24"/>
        </w:rPr>
        <w:t xml:space="preserve">cinco de junio de dos mil veinticinco, </w:t>
      </w:r>
      <w:r w:rsidR="00347ABC">
        <w:rPr>
          <w:rFonts w:ascii="Palatino Linotype" w:hAnsi="Palatino Linotype" w:cs="Arial"/>
          <w:sz w:val="24"/>
          <w:szCs w:val="24"/>
        </w:rPr>
        <w:t xml:space="preserve">registrado en el sistema </w:t>
      </w:r>
      <w:r w:rsidR="00347ABC">
        <w:rPr>
          <w:rFonts w:ascii="Palatino Linotype" w:hAnsi="Palatino Linotype" w:cs="Arial"/>
          <w:b/>
          <w:bCs/>
          <w:sz w:val="24"/>
          <w:szCs w:val="24"/>
        </w:rPr>
        <w:t xml:space="preserve">SAIMEX </w:t>
      </w:r>
      <w:r w:rsidR="00347ABC">
        <w:rPr>
          <w:rFonts w:ascii="Palatino Linotype" w:hAnsi="Palatino Linotype" w:cs="Arial"/>
          <w:sz w:val="24"/>
          <w:szCs w:val="24"/>
        </w:rPr>
        <w:t xml:space="preserve">con el número de expediente </w:t>
      </w:r>
      <w:r w:rsidR="00347ABC">
        <w:rPr>
          <w:rFonts w:ascii="Palatino Linotype" w:hAnsi="Palatino Linotype" w:cs="Arial"/>
          <w:b/>
          <w:bCs/>
          <w:sz w:val="24"/>
          <w:szCs w:val="24"/>
        </w:rPr>
        <w:t xml:space="preserve">06590/INFOEM/IP/RR/2025, </w:t>
      </w:r>
      <w:r w:rsidR="00347ABC">
        <w:rPr>
          <w:rFonts w:ascii="Palatino Linotype" w:hAnsi="Palatino Linotype" w:cs="Arial"/>
          <w:sz w:val="24"/>
          <w:szCs w:val="24"/>
        </w:rPr>
        <w:t xml:space="preserve">señalando lo siguiente: </w:t>
      </w:r>
    </w:p>
    <w:p w14:paraId="31E70B89" w14:textId="77777777" w:rsidR="00347ABC" w:rsidRDefault="00347ABC" w:rsidP="00702D6B">
      <w:pPr>
        <w:spacing w:after="0" w:line="360" w:lineRule="auto"/>
        <w:jc w:val="both"/>
        <w:rPr>
          <w:rFonts w:ascii="Palatino Linotype" w:hAnsi="Palatino Linotype" w:cs="Arial"/>
          <w:sz w:val="24"/>
          <w:szCs w:val="24"/>
        </w:rPr>
      </w:pPr>
    </w:p>
    <w:p w14:paraId="4F1BB6C5" w14:textId="77777777" w:rsidR="00702D6B"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753F7682" w14:textId="567B771D" w:rsidR="00702D6B" w:rsidRDefault="00702D6B" w:rsidP="00702D6B">
      <w:pPr>
        <w:pStyle w:val="Citas"/>
        <w:rPr>
          <w:b/>
          <w:bCs/>
        </w:rPr>
      </w:pPr>
      <w:r>
        <w:t>“</w:t>
      </w:r>
      <w:r w:rsidR="00347ABC" w:rsidRPr="00347ABC">
        <w:t>Falta de respuesta</w:t>
      </w:r>
      <w:r>
        <w:t xml:space="preserve">” </w:t>
      </w:r>
      <w:r>
        <w:rPr>
          <w:b/>
          <w:bCs/>
        </w:rPr>
        <w:t>(Sic)</w:t>
      </w:r>
    </w:p>
    <w:p w14:paraId="1EB25C5A" w14:textId="77777777" w:rsidR="00702D6B"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la inconformidad: </w:t>
      </w:r>
    </w:p>
    <w:p w14:paraId="3B8DBDBD" w14:textId="350A70E1" w:rsidR="00702D6B" w:rsidRPr="002D1691" w:rsidRDefault="00702D6B" w:rsidP="00702D6B">
      <w:pPr>
        <w:pStyle w:val="Citas"/>
        <w:rPr>
          <w:b/>
          <w:bCs/>
        </w:rPr>
      </w:pPr>
      <w:r>
        <w:t>“</w:t>
      </w:r>
      <w:r w:rsidR="00347ABC" w:rsidRPr="00347ABC">
        <w:t>No se me hace entrega de una respuesta en tiempo y forma</w:t>
      </w:r>
      <w:r>
        <w:t xml:space="preserve">” </w:t>
      </w:r>
      <w:r>
        <w:rPr>
          <w:b/>
          <w:bCs/>
        </w:rPr>
        <w:t>(Sic)</w:t>
      </w:r>
    </w:p>
    <w:p w14:paraId="47B4DBB8" w14:textId="77777777" w:rsidR="00702D6B" w:rsidRDefault="00702D6B" w:rsidP="00702D6B">
      <w:pPr>
        <w:spacing w:after="0" w:line="360" w:lineRule="auto"/>
        <w:jc w:val="both"/>
        <w:rPr>
          <w:rFonts w:ascii="Palatino Linotype" w:hAnsi="Palatino Linotype" w:cs="Arial"/>
          <w:sz w:val="24"/>
          <w:szCs w:val="24"/>
        </w:rPr>
      </w:pPr>
    </w:p>
    <w:p w14:paraId="005DF671" w14:textId="77777777" w:rsidR="00702D6B"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p>
    <w:p w14:paraId="2FC4034D"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CUARTO. Del turno y admisión del recurso de revisión.</w:t>
      </w:r>
    </w:p>
    <w:p w14:paraId="0DBF67EF" w14:textId="3A0094B0" w:rsidR="00702D6B" w:rsidRPr="007947A9" w:rsidRDefault="00702D6B" w:rsidP="00702D6B">
      <w:pPr>
        <w:pBdr>
          <w:top w:val="nil"/>
          <w:left w:val="nil"/>
          <w:bottom w:val="nil"/>
          <w:right w:val="nil"/>
          <w:between w:val="nil"/>
        </w:pBdr>
        <w:tabs>
          <w:tab w:val="left" w:pos="284"/>
        </w:tabs>
        <w:spacing w:after="0" w:line="360" w:lineRule="auto"/>
        <w:jc w:val="both"/>
        <w:rPr>
          <w:rFonts w:ascii="Palatino Linotype" w:hAnsi="Palatino Linotype"/>
          <w:sz w:val="24"/>
          <w:szCs w:val="24"/>
        </w:rPr>
      </w:pPr>
      <w:r w:rsidRPr="007947A9">
        <w:rPr>
          <w:rFonts w:ascii="Palatino Linotype" w:eastAsia="Palatino Linotype" w:hAnsi="Palatino Linotype" w:cs="Palatino Linotype"/>
          <w:color w:val="000000"/>
          <w:sz w:val="24"/>
          <w:szCs w:val="24"/>
          <w:lang w:val="es-ES_tradnl"/>
        </w:rPr>
        <w:t xml:space="preserve">De conformidad con lo dispuesto en el artículo 185 fracciones I y II de la Ley de Transparencia y Acceso a la Información Pública del Estado de México y Municipios </w:t>
      </w:r>
      <w:r w:rsidRPr="007947A9">
        <w:rPr>
          <w:rFonts w:ascii="Palatino Linotype" w:eastAsia="Palatino Linotype" w:hAnsi="Palatino Linotype" w:cs="Palatino Linotype"/>
          <w:color w:val="000000"/>
          <w:sz w:val="24"/>
          <w:szCs w:val="24"/>
          <w:lang w:val="es-ES_tradnl"/>
        </w:rPr>
        <w:lastRenderedPageBreak/>
        <w:t xml:space="preserve">el recurso de revisión fue turnado al </w:t>
      </w:r>
      <w:r w:rsidRPr="007947A9">
        <w:rPr>
          <w:rFonts w:ascii="Palatino Linotype" w:eastAsia="Palatino Linotype" w:hAnsi="Palatino Linotype" w:cs="Palatino Linotype"/>
          <w:b/>
          <w:bCs/>
          <w:color w:val="000000"/>
          <w:sz w:val="24"/>
          <w:szCs w:val="24"/>
          <w:lang w:val="es-ES_tradnl"/>
        </w:rPr>
        <w:t>Comisionado Presidente J</w:t>
      </w:r>
      <w:r w:rsidRPr="007947A9">
        <w:rPr>
          <w:rFonts w:ascii="Palatino Linotype" w:eastAsia="Palatino Linotype" w:hAnsi="Palatino Linotype" w:cs="Palatino Linotype"/>
          <w:b/>
          <w:color w:val="000000"/>
          <w:sz w:val="24"/>
          <w:szCs w:val="24"/>
          <w:lang w:val="es-ES_tradnl"/>
        </w:rPr>
        <w:t>osé Martínez Vilchis</w:t>
      </w:r>
      <w:r w:rsidRPr="007947A9">
        <w:rPr>
          <w:rFonts w:ascii="Palatino Linotype" w:eastAsia="Palatino Linotype" w:hAnsi="Palatino Linotype" w:cs="Palatino Linotype"/>
          <w:color w:val="000000"/>
          <w:sz w:val="24"/>
          <w:szCs w:val="24"/>
          <w:lang w:val="es-ES_tradnl"/>
        </w:rPr>
        <w:t xml:space="preserve"> para su revisión y análisis sobre la admisión o desechamiento, por lo que el</w:t>
      </w:r>
      <w:r>
        <w:rPr>
          <w:rFonts w:ascii="Palatino Linotype" w:eastAsia="Palatino Linotype" w:hAnsi="Palatino Linotype" w:cs="Palatino Linotype"/>
          <w:color w:val="000000"/>
          <w:sz w:val="24"/>
          <w:szCs w:val="24"/>
          <w:lang w:val="es-ES_tradnl"/>
        </w:rPr>
        <w:t xml:space="preserve"> </w:t>
      </w:r>
      <w:r w:rsidR="00347ABC">
        <w:rPr>
          <w:rFonts w:ascii="Palatino Linotype" w:eastAsia="Palatino Linotype" w:hAnsi="Palatino Linotype" w:cs="Palatino Linotype"/>
          <w:b/>
          <w:bCs/>
          <w:color w:val="000000"/>
          <w:sz w:val="24"/>
          <w:szCs w:val="24"/>
          <w:lang w:val="es-ES_tradnl"/>
        </w:rPr>
        <w:t>diez de junio</w:t>
      </w:r>
      <w:r>
        <w:rPr>
          <w:rFonts w:ascii="Palatino Linotype" w:eastAsia="Palatino Linotype" w:hAnsi="Palatino Linotype" w:cs="Palatino Linotype"/>
          <w:b/>
          <w:bCs/>
          <w:color w:val="000000"/>
          <w:sz w:val="24"/>
          <w:szCs w:val="24"/>
          <w:lang w:val="es-ES_tradnl"/>
        </w:rPr>
        <w:t xml:space="preserve"> de dos mil veinticinco, </w:t>
      </w:r>
      <w:r>
        <w:rPr>
          <w:rFonts w:ascii="Palatino Linotype" w:eastAsia="Palatino Linotype" w:hAnsi="Palatino Linotype" w:cs="Palatino Linotype"/>
          <w:color w:val="000000"/>
          <w:sz w:val="24"/>
          <w:szCs w:val="24"/>
          <w:lang w:val="es-ES_tradnl"/>
        </w:rPr>
        <w:t xml:space="preserve">el </w:t>
      </w:r>
      <w:r w:rsidRPr="007947A9">
        <w:rPr>
          <w:rFonts w:ascii="Palatino Linotype" w:eastAsia="Palatino Linotype" w:hAnsi="Palatino Linotype" w:cs="Palatino Linotype"/>
          <w:color w:val="000000"/>
          <w:sz w:val="24"/>
          <w:szCs w:val="24"/>
          <w:lang w:val="es-ES_tradnl"/>
        </w:rPr>
        <w:t xml:space="preserve">recurso de revisión fue admitido y se puso a </w:t>
      </w:r>
      <w:r w:rsidRPr="007947A9">
        <w:rPr>
          <w:rFonts w:ascii="Palatino Linotype" w:hAnsi="Palatino Linotype"/>
          <w:sz w:val="24"/>
          <w:szCs w:val="24"/>
        </w:rPr>
        <w:t>a disposición de las partes, para que, en un plazo máximo de siete días hábiles, manifiesten lo que a su derecho convenga.</w:t>
      </w:r>
    </w:p>
    <w:p w14:paraId="27A3D1E1" w14:textId="77777777" w:rsidR="00EB4BF4" w:rsidRDefault="00EB4BF4"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p>
    <w:p w14:paraId="24DF34E9" w14:textId="18419953"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QUINTO. De la etapa de instrucción.</w:t>
      </w:r>
    </w:p>
    <w:p w14:paraId="2FD79E9C" w14:textId="517FBBF3" w:rsidR="00347ABC" w:rsidRPr="00347ABC"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347ABC">
        <w:rPr>
          <w:rFonts w:ascii="Palatino Linotype" w:hAnsi="Palatino Linotype" w:cs="Arial"/>
          <w:b/>
          <w:bCs/>
          <w:sz w:val="24"/>
          <w:szCs w:val="24"/>
        </w:rPr>
        <w:t xml:space="preserve">trece de junio de dos mil veinticinco, </w:t>
      </w:r>
      <w:r w:rsidR="00347ABC">
        <w:rPr>
          <w:rFonts w:ascii="Palatino Linotype" w:hAnsi="Palatino Linotype" w:cs="Arial"/>
          <w:sz w:val="24"/>
          <w:szCs w:val="24"/>
        </w:rPr>
        <w:t xml:space="preserve">mismo que fue </w:t>
      </w:r>
      <w:r w:rsidR="00D41DD6">
        <w:rPr>
          <w:rFonts w:ascii="Palatino Linotype" w:hAnsi="Palatino Linotype" w:cs="Arial"/>
          <w:sz w:val="24"/>
          <w:szCs w:val="24"/>
        </w:rPr>
        <w:t>no fue puesto a la vista al reflejar datos personales.</w:t>
      </w:r>
      <w:r w:rsidR="00347ABC">
        <w:rPr>
          <w:rFonts w:ascii="Palatino Linotype" w:hAnsi="Palatino Linotype" w:cs="Arial"/>
          <w:b/>
          <w:bCs/>
          <w:sz w:val="24"/>
          <w:szCs w:val="24"/>
        </w:rPr>
        <w:t xml:space="preserve"> </w:t>
      </w:r>
    </w:p>
    <w:p w14:paraId="479D7DDC" w14:textId="77777777" w:rsidR="00702D6B" w:rsidRDefault="00702D6B" w:rsidP="00702D6B">
      <w:pPr>
        <w:spacing w:after="0" w:line="360" w:lineRule="auto"/>
        <w:jc w:val="both"/>
        <w:rPr>
          <w:rFonts w:ascii="Palatino Linotype" w:hAnsi="Palatino Linotype" w:cs="Arial"/>
          <w:sz w:val="24"/>
          <w:szCs w:val="24"/>
        </w:rPr>
      </w:pPr>
    </w:p>
    <w:p w14:paraId="369B8A4A"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SEXTO. Del cierre de instrucción.</w:t>
      </w:r>
    </w:p>
    <w:p w14:paraId="08150A1C" w14:textId="6061629D" w:rsidR="00702D6B" w:rsidRPr="007947A9" w:rsidRDefault="00702D6B" w:rsidP="00702D6B">
      <w:pPr>
        <w:spacing w:line="360" w:lineRule="auto"/>
        <w:jc w:val="both"/>
        <w:rPr>
          <w:rFonts w:ascii="Palatino Linotype" w:eastAsia="Palatino Linotype" w:hAnsi="Palatino Linotype" w:cs="Palatino Linotype"/>
          <w:sz w:val="24"/>
          <w:szCs w:val="24"/>
        </w:rPr>
      </w:pPr>
      <w:r w:rsidRPr="007947A9">
        <w:rPr>
          <w:rFonts w:ascii="Palatino Linotype" w:eastAsia="Palatino Linotype" w:hAnsi="Palatino Linotype" w:cs="Palatino Linotype"/>
          <w:color w:val="000000"/>
          <w:sz w:val="24"/>
          <w:szCs w:val="24"/>
          <w:lang w:val="es-ES_tradnl"/>
        </w:rPr>
        <w:t xml:space="preserve">En términos del artículo 185 fracciones VI y VIII de la Ley de Transparencia y Acceso a la Información Pública del Estado de México y Municipios, </w:t>
      </w:r>
      <w:r w:rsidRPr="00C46F12">
        <w:rPr>
          <w:rFonts w:ascii="Palatino Linotype" w:eastAsia="Palatino Linotype" w:hAnsi="Palatino Linotype" w:cs="Palatino Linotype"/>
          <w:b/>
          <w:bCs/>
          <w:color w:val="000000"/>
          <w:sz w:val="24"/>
          <w:szCs w:val="24"/>
          <w:lang w:val="es-ES_tradnl"/>
        </w:rPr>
        <w:t xml:space="preserve">el </w:t>
      </w:r>
      <w:r w:rsidR="00347ABC">
        <w:rPr>
          <w:rFonts w:ascii="Palatino Linotype" w:eastAsia="Palatino Linotype" w:hAnsi="Palatino Linotype" w:cs="Palatino Linotype"/>
          <w:b/>
          <w:bCs/>
          <w:color w:val="000000"/>
          <w:sz w:val="24"/>
          <w:szCs w:val="24"/>
          <w:lang w:val="es-ES_tradnl"/>
        </w:rPr>
        <w:t>treinta de junio</w:t>
      </w:r>
      <w:r w:rsidR="00CF0EC0">
        <w:rPr>
          <w:rFonts w:ascii="Palatino Linotype" w:eastAsia="Palatino Linotype" w:hAnsi="Palatino Linotype" w:cs="Palatino Linotype"/>
          <w:b/>
          <w:bCs/>
          <w:color w:val="000000"/>
          <w:sz w:val="24"/>
          <w:szCs w:val="24"/>
          <w:lang w:val="es-ES_tradnl"/>
        </w:rPr>
        <w:t xml:space="preserve"> de dos mil veinticinco, </w:t>
      </w:r>
      <w:r w:rsidR="00CF0EC0">
        <w:rPr>
          <w:rFonts w:ascii="Palatino Linotype" w:eastAsia="Palatino Linotype" w:hAnsi="Palatino Linotype" w:cs="Palatino Linotype"/>
          <w:color w:val="000000"/>
          <w:sz w:val="24"/>
          <w:szCs w:val="24"/>
          <w:lang w:val="es-ES_tradnl"/>
        </w:rPr>
        <w:t xml:space="preserve">se decretó el cierre de instrucción, y se </w:t>
      </w:r>
      <w:r w:rsidRPr="007947A9">
        <w:rPr>
          <w:rFonts w:ascii="Palatino Linotype" w:eastAsia="Palatino Linotype" w:hAnsi="Palatino Linotype" w:cs="Palatino Linotype"/>
          <w:sz w:val="24"/>
          <w:szCs w:val="24"/>
        </w:rPr>
        <w:t xml:space="preserve">ordenó la Resolución que conforme a Derecho proceda, de acuerdo con los siguientes: </w:t>
      </w:r>
    </w:p>
    <w:p w14:paraId="4B368BFF" w14:textId="77777777" w:rsidR="00702D6B" w:rsidRDefault="00702D6B" w:rsidP="00702D6B">
      <w:pPr>
        <w:spacing w:before="240" w:line="360" w:lineRule="auto"/>
        <w:jc w:val="both"/>
        <w:rPr>
          <w:rFonts w:ascii="Palatino Linotype" w:hAnsi="Palatino Linotype" w:cs="Arial"/>
          <w:sz w:val="24"/>
          <w:szCs w:val="24"/>
        </w:rPr>
      </w:pPr>
    </w:p>
    <w:p w14:paraId="06A5A0CA" w14:textId="77777777" w:rsidR="00702D6B" w:rsidRDefault="00702D6B" w:rsidP="00702D6B">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9F4B31B" w14:textId="77777777" w:rsidR="00A8132F" w:rsidRDefault="00A8132F" w:rsidP="00A8132F">
      <w:pPr>
        <w:spacing w:before="240" w:line="360" w:lineRule="auto"/>
        <w:jc w:val="both"/>
        <w:rPr>
          <w:rFonts w:ascii="Palatino Linotype" w:hAnsi="Palatino Linotype" w:cs="Arial"/>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B87C755" w14:textId="77777777" w:rsidR="00A8132F" w:rsidRPr="00041EFF" w:rsidRDefault="00A8132F" w:rsidP="00A8132F">
      <w:pPr>
        <w:spacing w:line="360" w:lineRule="auto"/>
        <w:jc w:val="both"/>
        <w:rPr>
          <w:rFonts w:ascii="Palatino Linotype" w:hAnsi="Palatino Linotype"/>
          <w:sz w:val="24"/>
          <w:szCs w:val="24"/>
        </w:rPr>
      </w:pPr>
      <w:r w:rsidRPr="00041EFF">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w:t>
      </w:r>
      <w:r w:rsidRPr="00041EFF">
        <w:rPr>
          <w:rFonts w:ascii="Palatino Linotype" w:hAnsi="Palatino Linotype"/>
          <w:sz w:val="24"/>
          <w:szCs w:val="24"/>
        </w:rPr>
        <w:lastRenderedPageBreak/>
        <w:t xml:space="preserve">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2F6EE63" w14:textId="77777777" w:rsidR="00A8132F" w:rsidRDefault="00A8132F" w:rsidP="00A8132F">
      <w:pPr>
        <w:pStyle w:val="Prrafodelista"/>
        <w:autoSpaceDE w:val="0"/>
        <w:autoSpaceDN w:val="0"/>
        <w:adjustRightInd w:val="0"/>
        <w:spacing w:before="240" w:after="160"/>
        <w:ind w:left="0"/>
        <w:rPr>
          <w:rFonts w:cs="Arial"/>
          <w:bCs/>
          <w:lang w:val="es-MX"/>
        </w:rPr>
      </w:pPr>
    </w:p>
    <w:p w14:paraId="5623EBA9" w14:textId="77777777" w:rsidR="00A8132F" w:rsidRPr="00A8132F" w:rsidRDefault="00A8132F" w:rsidP="00A8132F">
      <w:pPr>
        <w:pStyle w:val="Prrafodelista"/>
        <w:autoSpaceDE w:val="0"/>
        <w:autoSpaceDN w:val="0"/>
        <w:adjustRightInd w:val="0"/>
        <w:spacing w:before="240" w:after="160"/>
        <w:ind w:left="0"/>
        <w:rPr>
          <w:rFonts w:ascii="Palatino Linotype" w:hAnsi="Palatino Linotype" w:cs="Arial"/>
          <w:b/>
          <w:sz w:val="28"/>
          <w:szCs w:val="28"/>
        </w:rPr>
      </w:pPr>
      <w:r w:rsidRPr="00A8132F">
        <w:rPr>
          <w:rFonts w:ascii="Palatino Linotype" w:hAnsi="Palatino Linotype" w:cs="Arial"/>
          <w:b/>
          <w:sz w:val="28"/>
          <w:szCs w:val="28"/>
        </w:rPr>
        <w:t xml:space="preserve">SEGUNDO. Sobre los alcances del recurso de revisión. </w:t>
      </w:r>
    </w:p>
    <w:p w14:paraId="3B1485DE" w14:textId="77777777" w:rsidR="00A8132F" w:rsidRPr="00A8132F" w:rsidRDefault="00A8132F" w:rsidP="00A8132F">
      <w:pPr>
        <w:pStyle w:val="Prrafodelista"/>
        <w:autoSpaceDE w:val="0"/>
        <w:autoSpaceDN w:val="0"/>
        <w:adjustRightInd w:val="0"/>
        <w:spacing w:before="240" w:after="160" w:line="360" w:lineRule="auto"/>
        <w:ind w:left="0"/>
        <w:jc w:val="both"/>
        <w:rPr>
          <w:rFonts w:ascii="Palatino Linotype" w:hAnsi="Palatino Linotype" w:cs="Arial"/>
        </w:rPr>
      </w:pPr>
      <w:r w:rsidRPr="00A8132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D606D78" w14:textId="77777777" w:rsidR="00A8132F" w:rsidRDefault="00A8132F" w:rsidP="00A8132F">
      <w:pPr>
        <w:pStyle w:val="Prrafodelista"/>
        <w:autoSpaceDE w:val="0"/>
        <w:autoSpaceDN w:val="0"/>
        <w:adjustRightInd w:val="0"/>
        <w:spacing w:before="240" w:after="160"/>
        <w:ind w:left="0"/>
        <w:rPr>
          <w:rFonts w:cs="Arial"/>
        </w:rPr>
      </w:pPr>
    </w:p>
    <w:p w14:paraId="17544394" w14:textId="77777777" w:rsidR="00A8132F" w:rsidRPr="008B21BA" w:rsidRDefault="00A8132F" w:rsidP="00A8132F">
      <w:pPr>
        <w:spacing w:line="360" w:lineRule="auto"/>
        <w:jc w:val="both"/>
        <w:rPr>
          <w:rFonts w:ascii="Palatino Linotype" w:hAnsi="Palatino Linotype" w:cs="Arial"/>
          <w:b/>
          <w:sz w:val="28"/>
          <w:szCs w:val="28"/>
        </w:rPr>
      </w:pPr>
      <w:r w:rsidRPr="008B21BA">
        <w:rPr>
          <w:rFonts w:ascii="Palatino Linotype" w:hAnsi="Palatino Linotype" w:cs="Arial"/>
          <w:b/>
          <w:sz w:val="28"/>
          <w:szCs w:val="28"/>
        </w:rPr>
        <w:t>TERCERO. De las causas de improcedencia.</w:t>
      </w:r>
    </w:p>
    <w:p w14:paraId="16B133F9" w14:textId="77777777" w:rsidR="00A8132F" w:rsidRPr="00041EFF" w:rsidRDefault="00A8132F" w:rsidP="00A8132F">
      <w:pPr>
        <w:autoSpaceDE w:val="0"/>
        <w:autoSpaceDN w:val="0"/>
        <w:adjustRightInd w:val="0"/>
        <w:spacing w:line="360" w:lineRule="auto"/>
        <w:jc w:val="both"/>
        <w:rPr>
          <w:rFonts w:ascii="Palatino Linotype" w:hAnsi="Palatino Linotype" w:cs="Arial"/>
          <w:sz w:val="24"/>
          <w:szCs w:val="24"/>
        </w:rPr>
      </w:pPr>
      <w:r w:rsidRPr="00041EFF">
        <w:rPr>
          <w:rFonts w:ascii="Palatino Linotype" w:hAnsi="Palatino Linotype" w:cs="Arial"/>
          <w:sz w:val="24"/>
          <w:szCs w:val="24"/>
        </w:rPr>
        <w:t xml:space="preserve">En el procedimiento de acceso a la información y de los medios de impugnación de la materia, se advierten diversos supuestos de procedibilidad, los cuales deben </w:t>
      </w:r>
      <w:r w:rsidRPr="00041EFF">
        <w:rPr>
          <w:rFonts w:ascii="Palatino Linotype" w:hAnsi="Palatino Linotype" w:cs="Arial"/>
          <w:sz w:val="24"/>
          <w:szCs w:val="24"/>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7239B92" w14:textId="77777777" w:rsidR="00A8132F" w:rsidRPr="00041EFF" w:rsidRDefault="00A8132F" w:rsidP="00A8132F">
      <w:pPr>
        <w:widowControl w:val="0"/>
        <w:autoSpaceDE w:val="0"/>
        <w:autoSpaceDN w:val="0"/>
        <w:adjustRightInd w:val="0"/>
        <w:spacing w:line="360" w:lineRule="auto"/>
        <w:jc w:val="both"/>
        <w:rPr>
          <w:rFonts w:ascii="Palatino Linotype" w:hAnsi="Palatino Linotype" w:cs="Arial"/>
          <w:sz w:val="24"/>
          <w:szCs w:val="24"/>
        </w:rPr>
      </w:pPr>
      <w:r w:rsidRPr="00041EFF">
        <w:rPr>
          <w:rFonts w:ascii="Palatino Linotype" w:hAnsi="Palatino Linotype" w:cs="Arial"/>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41EFF">
        <w:rPr>
          <w:rFonts w:ascii="Palatino Linotype" w:hAnsi="Palatino Linotype" w:cs="Arial"/>
          <w:sz w:val="24"/>
          <w:szCs w:val="24"/>
          <w:vertAlign w:val="superscript"/>
        </w:rPr>
        <w:footnoteReference w:id="1"/>
      </w:r>
      <w:r w:rsidRPr="00041EFF">
        <w:rPr>
          <w:rFonts w:ascii="Palatino Linotype" w:hAnsi="Palatino Linotype" w:cs="Arial"/>
          <w:sz w:val="24"/>
          <w:szCs w:val="24"/>
        </w:rPr>
        <w:t xml:space="preserve">. </w:t>
      </w:r>
    </w:p>
    <w:p w14:paraId="1C13E7CA" w14:textId="77777777" w:rsidR="00A8132F" w:rsidRDefault="00A8132F" w:rsidP="00A8132F">
      <w:pPr>
        <w:widowControl w:val="0"/>
        <w:autoSpaceDE w:val="0"/>
        <w:autoSpaceDN w:val="0"/>
        <w:adjustRightInd w:val="0"/>
        <w:spacing w:line="360" w:lineRule="auto"/>
        <w:jc w:val="both"/>
        <w:rPr>
          <w:rFonts w:ascii="Palatino Linotype" w:hAnsi="Palatino Linotype" w:cs="Arial"/>
          <w:sz w:val="24"/>
          <w:szCs w:val="24"/>
        </w:rPr>
      </w:pPr>
      <w:r w:rsidRPr="00041EFF">
        <w:rPr>
          <w:rFonts w:ascii="Palatino Linotype" w:hAnsi="Palatino Linotype" w:cs="Arial"/>
          <w:sz w:val="24"/>
          <w:szCs w:val="24"/>
        </w:rPr>
        <w:t xml:space="preserve">Así las cosas, del análisis de los expedientes electrónicos no se advierte ninguna causa </w:t>
      </w:r>
      <w:r w:rsidRPr="00041EFF">
        <w:rPr>
          <w:rFonts w:ascii="Palatino Linotype" w:hAnsi="Palatino Linotype" w:cs="Arial"/>
          <w:sz w:val="24"/>
          <w:szCs w:val="24"/>
        </w:rPr>
        <w:lastRenderedPageBreak/>
        <w:t>de improcedencia que se actualice ni mucho menos alguna hecha valer por alguna de las partes, procediendo al estudio del fondo del asunto, en los siguientes términos.</w:t>
      </w:r>
    </w:p>
    <w:p w14:paraId="06E14116" w14:textId="77777777" w:rsidR="00041EFF" w:rsidRPr="00041EFF" w:rsidRDefault="00041EFF" w:rsidP="00A8132F">
      <w:pPr>
        <w:widowControl w:val="0"/>
        <w:autoSpaceDE w:val="0"/>
        <w:autoSpaceDN w:val="0"/>
        <w:adjustRightInd w:val="0"/>
        <w:spacing w:line="360" w:lineRule="auto"/>
        <w:jc w:val="both"/>
        <w:rPr>
          <w:rFonts w:ascii="Palatino Linotype" w:hAnsi="Palatino Linotype" w:cs="Arial"/>
          <w:sz w:val="24"/>
          <w:szCs w:val="24"/>
        </w:rPr>
      </w:pPr>
    </w:p>
    <w:p w14:paraId="708BF461" w14:textId="77777777" w:rsidR="00A8132F" w:rsidRPr="00883102" w:rsidRDefault="00A8132F" w:rsidP="00A8132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lang w:val="es-ES_tradnl"/>
        </w:rPr>
      </w:pPr>
      <w:r>
        <w:rPr>
          <w:rFonts w:ascii="Palatino Linotype" w:eastAsia="Palatino Linotype" w:hAnsi="Palatino Linotype" w:cs="Palatino Linotype"/>
          <w:b/>
          <w:color w:val="000000"/>
          <w:sz w:val="26"/>
          <w:szCs w:val="26"/>
          <w:lang w:val="es-ES_tradnl"/>
        </w:rPr>
        <w:t>CUARTO</w:t>
      </w:r>
      <w:r w:rsidRPr="00883102">
        <w:rPr>
          <w:rFonts w:ascii="Palatino Linotype" w:eastAsia="Palatino Linotype" w:hAnsi="Palatino Linotype" w:cs="Palatino Linotype"/>
          <w:b/>
          <w:color w:val="000000"/>
          <w:sz w:val="26"/>
          <w:szCs w:val="26"/>
          <w:lang w:val="es-ES_tradnl"/>
        </w:rPr>
        <w:t>. Estudio y resolución del asunto.</w:t>
      </w:r>
    </w:p>
    <w:p w14:paraId="442B0DE5"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t xml:space="preserve">Antes del entrar al estudio, cabe precisar que </w:t>
      </w:r>
      <w:r w:rsidRPr="006B413D">
        <w:rPr>
          <w:rFonts w:ascii="Palatino Linotype" w:hAnsi="Palatino Linotype"/>
          <w:b/>
          <w:sz w:val="24"/>
          <w:szCs w:val="24"/>
        </w:rPr>
        <w:t>El Sujeto Obligado</w:t>
      </w:r>
      <w:r w:rsidRPr="006B413D">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de México y Municipios,</w:t>
      </w:r>
      <w:r w:rsidRPr="006B413D">
        <w:rPr>
          <w:rFonts w:ascii="Palatino Linotype" w:hAnsi="Palatino Linotype"/>
          <w:b/>
          <w:sz w:val="24"/>
          <w:szCs w:val="24"/>
        </w:rPr>
        <w:t xml:space="preserve"> </w:t>
      </w:r>
      <w:r w:rsidRPr="006B413D">
        <w:rPr>
          <w:rFonts w:ascii="Palatino Linotype" w:hAnsi="Palatino Linotype"/>
          <w:sz w:val="24"/>
          <w:szCs w:val="24"/>
        </w:rPr>
        <w:t>resultando procedente la interposición del recurso de revisión cuando no se dé respuesta a una solicitud de información.</w:t>
      </w:r>
    </w:p>
    <w:p w14:paraId="42C0F052"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t>Así las cosas, ante la omisión del Sujeto Obligado para dar respuesta a</w:t>
      </w:r>
      <w:r>
        <w:rPr>
          <w:rFonts w:ascii="Palatino Linotype" w:hAnsi="Palatino Linotype"/>
          <w:sz w:val="24"/>
          <w:szCs w:val="24"/>
        </w:rPr>
        <w:t xml:space="preserve">l </w:t>
      </w:r>
      <w:r w:rsidRPr="006B413D">
        <w:rPr>
          <w:rFonts w:ascii="Palatino Linotype" w:hAnsi="Palatino Linotype"/>
          <w:b/>
          <w:sz w:val="24"/>
          <w:szCs w:val="24"/>
        </w:rPr>
        <w:t>Recurrente</w:t>
      </w:r>
      <w:r w:rsidRPr="006B413D">
        <w:rPr>
          <w:rFonts w:ascii="Palatino Linotype" w:hAnsi="Palatino Linotype"/>
          <w:sz w:val="24"/>
          <w:szCs w:val="24"/>
        </w:rPr>
        <w:t xml:space="preserve">, se advierte lo que en la doctrina se le conoce como </w:t>
      </w:r>
      <w:r w:rsidRPr="006B413D">
        <w:rPr>
          <w:rFonts w:ascii="Palatino Linotype" w:hAnsi="Palatino Linotype"/>
          <w:b/>
          <w:i/>
          <w:sz w:val="24"/>
          <w:szCs w:val="24"/>
        </w:rPr>
        <w:t>negativa ficta</w:t>
      </w:r>
      <w:r w:rsidRPr="006B413D">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7ED0435D"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t xml:space="preserve">En este sentido la </w:t>
      </w:r>
      <w:r w:rsidRPr="006B413D">
        <w:rPr>
          <w:rFonts w:ascii="Palatino Linotype" w:hAnsi="Palatino Linotype"/>
          <w:i/>
          <w:sz w:val="24"/>
          <w:szCs w:val="24"/>
        </w:rPr>
        <w:t>negativa ficta</w:t>
      </w:r>
      <w:r w:rsidRPr="006B413D">
        <w:rPr>
          <w:rFonts w:ascii="Palatino Linotype" w:hAnsi="Palatino Linotype"/>
          <w:sz w:val="24"/>
          <w:szCs w:val="24"/>
        </w:rPr>
        <w:t xml:space="preserve"> constituye una presunción legal, en el entendido de que donde no hubo respuesta por parte del Sujeto Obligado</w:t>
      </w:r>
      <w:r w:rsidRPr="006B413D">
        <w:rPr>
          <w:rFonts w:ascii="Palatino Linotype" w:hAnsi="Palatino Linotype"/>
          <w:b/>
          <w:sz w:val="24"/>
          <w:szCs w:val="24"/>
        </w:rPr>
        <w:t xml:space="preserve"> </w:t>
      </w:r>
      <w:r w:rsidRPr="006B413D">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w:t>
      </w:r>
      <w:r w:rsidRPr="006B413D">
        <w:rPr>
          <w:rFonts w:ascii="Palatino Linotype" w:hAnsi="Palatino Linotype"/>
          <w:sz w:val="24"/>
          <w:szCs w:val="24"/>
        </w:rPr>
        <w:lastRenderedPageBreak/>
        <w:t xml:space="preserve">jurídica y que tiende a realizar ese </w:t>
      </w:r>
      <w:r w:rsidRPr="006B413D">
        <w:rPr>
          <w:rFonts w:ascii="Palatino Linotype" w:hAnsi="Palatino Linotype"/>
          <w:i/>
          <w:sz w:val="24"/>
          <w:szCs w:val="24"/>
        </w:rPr>
        <w:t>Estado de Derecho</w:t>
      </w:r>
      <w:r w:rsidRPr="006B413D">
        <w:rPr>
          <w:rFonts w:ascii="Palatino Linotype" w:hAnsi="Palatino Linotype"/>
          <w:sz w:val="24"/>
          <w:szCs w:val="24"/>
        </w:rPr>
        <w:t xml:space="preserve"> en el que, el particular, tiene siempre una vía de defensa.</w:t>
      </w:r>
    </w:p>
    <w:p w14:paraId="16B5553A"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t xml:space="preserve">En tal tesitura en el marco del derecho de acceso a la información pública, la figura de la </w:t>
      </w:r>
      <w:r w:rsidRPr="006B413D">
        <w:rPr>
          <w:rFonts w:ascii="Palatino Linotype" w:hAnsi="Palatino Linotype"/>
          <w:i/>
          <w:sz w:val="24"/>
          <w:szCs w:val="24"/>
        </w:rPr>
        <w:t>negativa ficta</w:t>
      </w:r>
      <w:r w:rsidRPr="006B413D">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5935116" w14:textId="77777777" w:rsidR="00A8132F" w:rsidRPr="00CF0F1D" w:rsidRDefault="00A8132F" w:rsidP="00A8132F">
      <w:pPr>
        <w:pStyle w:val="Citas"/>
      </w:pPr>
      <w:r>
        <w:rPr>
          <w:b/>
        </w:rPr>
        <w:t>“</w:t>
      </w:r>
      <w:r w:rsidRPr="00CF0F1D">
        <w:rPr>
          <w:b/>
        </w:rPr>
        <w:t>Artículo 4.</w:t>
      </w:r>
      <w:r w:rsidRPr="00CF0F1D">
        <w:t xml:space="preserve"> El derecho humano de acceso a la información pública es la prerrogativa de las personas para buscar, difundir, investigar, recabar, recibir y solicitar información pública, sin necesidad de acreditar personalidad ni interés jurídico.</w:t>
      </w:r>
    </w:p>
    <w:p w14:paraId="3F9A899E" w14:textId="77777777" w:rsidR="00A8132F" w:rsidRPr="00CF0F1D" w:rsidRDefault="00A8132F" w:rsidP="00A8132F">
      <w:pPr>
        <w:pStyle w:val="Citas"/>
      </w:pPr>
      <w:r w:rsidRPr="00CF0F1D">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9E36F6" w14:textId="77777777" w:rsidR="00A8132F" w:rsidRPr="00CF0F1D" w:rsidRDefault="00A8132F" w:rsidP="00A8132F">
      <w:pPr>
        <w:pStyle w:val="Citas"/>
      </w:pPr>
      <w:r w:rsidRPr="00CF0F1D">
        <w:t>Los sujetos obligados deben poner en práctica, políticas y programas de acceso a la información que se apeguen a criterios de publicidad, veracidad, oportunidad, precisión y suficiencia en beneficio de los solicitantes.</w:t>
      </w:r>
    </w:p>
    <w:p w14:paraId="1EAF3690" w14:textId="77777777" w:rsidR="00A8132F" w:rsidRPr="00CF0F1D" w:rsidRDefault="00A8132F" w:rsidP="00A8132F">
      <w:pPr>
        <w:pStyle w:val="Citas"/>
      </w:pPr>
      <w:r w:rsidRPr="00CF0F1D">
        <w:rPr>
          <w:b/>
        </w:rPr>
        <w:lastRenderedPageBreak/>
        <w:t>Artículo 12.</w:t>
      </w:r>
      <w:r w:rsidRPr="00CF0F1D">
        <w:t xml:space="preserve"> Quienes generen, recopilen, administren, manejen, procesen, archiven o conserven información pública serán responsables de la misma en los términos de las disposiciones jurídicas aplicables.</w:t>
      </w:r>
    </w:p>
    <w:p w14:paraId="42CCF8D2" w14:textId="77777777" w:rsidR="00A8132F" w:rsidRPr="00CF0F1D" w:rsidRDefault="00A8132F" w:rsidP="00A8132F">
      <w:pPr>
        <w:pStyle w:val="Citas"/>
      </w:pPr>
      <w:r w:rsidRPr="00CF0F1D">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C726735" w14:textId="77777777" w:rsidR="00A8132F" w:rsidRPr="00CF0F1D" w:rsidRDefault="00A8132F" w:rsidP="00A8132F">
      <w:pPr>
        <w:pStyle w:val="Citas"/>
      </w:pPr>
      <w:r w:rsidRPr="00CF0F1D">
        <w:t>(…)</w:t>
      </w:r>
    </w:p>
    <w:p w14:paraId="5BEE2AB4" w14:textId="77777777" w:rsidR="00A8132F" w:rsidRPr="00CF0F1D" w:rsidRDefault="00A8132F" w:rsidP="00A8132F">
      <w:pPr>
        <w:pStyle w:val="Citas"/>
        <w:rPr>
          <w:b/>
        </w:rPr>
      </w:pPr>
      <w:r w:rsidRPr="00CF0F1D">
        <w:rPr>
          <w:b/>
        </w:rPr>
        <w:t xml:space="preserve">Artículo 24. </w:t>
      </w:r>
    </w:p>
    <w:p w14:paraId="5AE91C0C" w14:textId="77777777" w:rsidR="00A8132F" w:rsidRPr="00CF0F1D" w:rsidRDefault="00A8132F" w:rsidP="00A8132F">
      <w:pPr>
        <w:pStyle w:val="Citas"/>
      </w:pPr>
      <w:r w:rsidRPr="00CF0F1D">
        <w:t>(…)</w:t>
      </w:r>
    </w:p>
    <w:p w14:paraId="3BE5DE56" w14:textId="77777777" w:rsidR="00A8132F" w:rsidRPr="00CF0F1D" w:rsidRDefault="00A8132F" w:rsidP="00A8132F">
      <w:pPr>
        <w:pStyle w:val="Citas"/>
      </w:pPr>
      <w:r w:rsidRPr="00CF0F1D">
        <w:t>Los sujetos obligados solo proporcionarán la información pública que generen, administren o posean en el ejercicio de sus atribuciones.”</w:t>
      </w:r>
    </w:p>
    <w:p w14:paraId="7C8F6B3F" w14:textId="77777777" w:rsidR="00A8132F" w:rsidRPr="00CF0F1D" w:rsidRDefault="00A8132F" w:rsidP="00A8132F">
      <w:pPr>
        <w:pStyle w:val="Citas"/>
      </w:pPr>
      <w:r w:rsidRPr="00CF0F1D">
        <w:t>(…)</w:t>
      </w:r>
    </w:p>
    <w:p w14:paraId="25124035" w14:textId="77777777" w:rsidR="00A8132F" w:rsidRPr="00CF0F1D" w:rsidRDefault="00A8132F" w:rsidP="00A8132F">
      <w:pPr>
        <w:pStyle w:val="Citas"/>
      </w:pPr>
      <w:r w:rsidRPr="00CF0F1D">
        <w:rPr>
          <w:b/>
        </w:rPr>
        <w:t>Artículo 160.</w:t>
      </w:r>
      <w:r w:rsidRPr="00CF0F1D">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835EF85" w14:textId="77777777" w:rsidR="00A8132F" w:rsidRPr="004F14BE" w:rsidRDefault="00A8132F" w:rsidP="00A8132F">
      <w:pPr>
        <w:pStyle w:val="Citas"/>
        <w:rPr>
          <w:b/>
          <w:bCs/>
        </w:rPr>
      </w:pPr>
      <w:r w:rsidRPr="00CF0F1D">
        <w:t>En caso que la información solicitada consista en bases de datos se deberá privilegiar la entrega de la misma en formatos abiertos.</w:t>
      </w:r>
      <w:r>
        <w:t xml:space="preserve">” </w:t>
      </w:r>
      <w:r>
        <w:rPr>
          <w:b/>
          <w:bCs/>
        </w:rPr>
        <w:t>(Sic)</w:t>
      </w:r>
    </w:p>
    <w:p w14:paraId="583298FB"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lastRenderedPageBreak/>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B413D">
        <w:rPr>
          <w:rFonts w:ascii="Palatino Linotype" w:hAnsi="Palatino Linotype"/>
          <w:bCs/>
          <w:sz w:val="24"/>
          <w:szCs w:val="24"/>
        </w:rPr>
        <w:t>de la Ley local en la materia, que se reproduce de la siguiente forma</w:t>
      </w:r>
      <w:r w:rsidRPr="006B413D">
        <w:rPr>
          <w:rFonts w:ascii="Palatino Linotype" w:hAnsi="Palatino Linotype"/>
          <w:sz w:val="24"/>
          <w:szCs w:val="24"/>
        </w:rPr>
        <w:t>:</w:t>
      </w:r>
    </w:p>
    <w:p w14:paraId="2823C2F5" w14:textId="77777777" w:rsidR="00A8132F" w:rsidRPr="00BD6BE1" w:rsidRDefault="00A8132F" w:rsidP="00A8132F">
      <w:pPr>
        <w:pStyle w:val="Citas"/>
        <w:rPr>
          <w:b/>
          <w:bCs/>
        </w:rPr>
      </w:pPr>
      <w:r>
        <w:rPr>
          <w:b/>
        </w:rPr>
        <w:t>“</w:t>
      </w:r>
      <w:r w:rsidRPr="00CF0F1D">
        <w:rPr>
          <w:b/>
        </w:rPr>
        <w:t>Artículo 166.</w:t>
      </w:r>
      <w:r w:rsidRPr="00CF0F1D">
        <w:t xml:space="preserve">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7EFAE873" w14:textId="77777777" w:rsidR="00A8132F" w:rsidRPr="00CF0F1D" w:rsidRDefault="00A8132F" w:rsidP="00A8132F">
      <w:pPr>
        <w:spacing w:line="360" w:lineRule="auto"/>
        <w:jc w:val="both"/>
        <w:rPr>
          <w:rFonts w:ascii="Palatino Linotype" w:hAnsi="Palatino Linotype"/>
        </w:rPr>
      </w:pPr>
    </w:p>
    <w:p w14:paraId="7AB46D7F" w14:textId="77777777" w:rsidR="00A8132F" w:rsidRPr="006B413D" w:rsidRDefault="00A8132F" w:rsidP="00A8132F">
      <w:pPr>
        <w:spacing w:line="360" w:lineRule="auto"/>
        <w:jc w:val="both"/>
        <w:rPr>
          <w:rFonts w:ascii="Palatino Linotype" w:hAnsi="Palatino Linotype"/>
          <w:sz w:val="24"/>
          <w:szCs w:val="24"/>
        </w:rPr>
      </w:pPr>
      <w:r w:rsidRPr="006B413D">
        <w:rPr>
          <w:rFonts w:ascii="Palatino Linotype" w:hAnsi="Palatino Linotype"/>
          <w:sz w:val="24"/>
          <w:szCs w:val="24"/>
        </w:rPr>
        <w:t xml:space="preserve">De lo anterior, conforme a las acciones del </w:t>
      </w:r>
      <w:r w:rsidRPr="00EB55AB">
        <w:rPr>
          <w:rFonts w:ascii="Palatino Linotype" w:hAnsi="Palatino Linotype"/>
          <w:b/>
          <w:bCs/>
          <w:sz w:val="24"/>
          <w:szCs w:val="24"/>
        </w:rPr>
        <w:t>Sujeto Obligado,</w:t>
      </w:r>
      <w:r w:rsidRPr="006B413D">
        <w:rPr>
          <w:rFonts w:ascii="Palatino Linotype" w:hAnsi="Palatino Linotype"/>
          <w:sz w:val="24"/>
          <w:szCs w:val="24"/>
        </w:rPr>
        <w:t xml:space="preserve"> se establece que éste vulnera el derecho de acceso a la información pública </w:t>
      </w:r>
      <w:r>
        <w:rPr>
          <w:rFonts w:ascii="Palatino Linotype" w:hAnsi="Palatino Linotype"/>
          <w:sz w:val="24"/>
          <w:szCs w:val="24"/>
        </w:rPr>
        <w:t>del</w:t>
      </w:r>
      <w:r w:rsidRPr="00EB55AB">
        <w:rPr>
          <w:rFonts w:ascii="Palatino Linotype" w:hAnsi="Palatino Linotype"/>
          <w:b/>
          <w:bCs/>
          <w:sz w:val="24"/>
          <w:szCs w:val="24"/>
        </w:rPr>
        <w:t xml:space="preserve"> Recurrente, </w:t>
      </w:r>
      <w:r w:rsidRPr="006B413D">
        <w:rPr>
          <w:rFonts w:ascii="Palatino Linotype" w:hAnsi="Palatino Linotype"/>
          <w:sz w:val="24"/>
          <w:szCs w:val="24"/>
        </w:rPr>
        <w:t>toda vez que no entrega respuesta a la solicitud de información presentada, de conformidad a lo establecido en los artículos 24 fracción XI, y 166, de la ley local en la materia, y que señalan:</w:t>
      </w:r>
    </w:p>
    <w:p w14:paraId="76D9ACBA" w14:textId="77777777" w:rsidR="00A8132F" w:rsidRPr="00CF0F1D" w:rsidRDefault="00A8132F" w:rsidP="00A8132F">
      <w:pPr>
        <w:pStyle w:val="Citas"/>
      </w:pPr>
      <w:r>
        <w:rPr>
          <w:b/>
        </w:rPr>
        <w:t>“</w:t>
      </w:r>
      <w:r w:rsidRPr="00CF0F1D">
        <w:rPr>
          <w:b/>
        </w:rPr>
        <w:t>A</w:t>
      </w:r>
      <w:r w:rsidRPr="00CF0F1D">
        <w:rPr>
          <w:b/>
          <w:bCs/>
        </w:rPr>
        <w:t>rtículo 24.</w:t>
      </w:r>
      <w:r w:rsidRPr="00CF0F1D">
        <w:rPr>
          <w:bCs/>
        </w:rPr>
        <w:t xml:space="preserve"> </w:t>
      </w:r>
      <w:r w:rsidRPr="00CF0F1D">
        <w:t>Para el cumplimiento de los objetivos de esta Ley, los sujetos obligados deberán cumplir con las siguientes obligaciones, según corresponda, de acuerdo a su naturaleza:</w:t>
      </w:r>
    </w:p>
    <w:p w14:paraId="17C444B3" w14:textId="77777777" w:rsidR="00A8132F" w:rsidRPr="00CF0F1D" w:rsidRDefault="00A8132F" w:rsidP="00A8132F">
      <w:pPr>
        <w:pStyle w:val="Citas"/>
      </w:pPr>
      <w:r w:rsidRPr="00CF0F1D">
        <w:rPr>
          <w:bCs/>
        </w:rPr>
        <w:t>(..</w:t>
      </w:r>
      <w:r w:rsidRPr="00CF0F1D">
        <w:t>.)</w:t>
      </w:r>
    </w:p>
    <w:p w14:paraId="5F8C3482" w14:textId="77777777" w:rsidR="00A8132F" w:rsidRPr="00BD6BE1" w:rsidRDefault="00A8132F" w:rsidP="00A8132F">
      <w:pPr>
        <w:pStyle w:val="Citas"/>
        <w:rPr>
          <w:b/>
        </w:rPr>
      </w:pPr>
      <w:r w:rsidRPr="00CF0F1D">
        <w:rPr>
          <w:bCs/>
        </w:rPr>
        <w:t>XI. Dar acceso a la información pública que le sea requerida, en los términos de la Ley General, esta Ley y demás disposiciones jurídicas aplicables;</w:t>
      </w:r>
      <w:r>
        <w:rPr>
          <w:bCs/>
        </w:rPr>
        <w:t xml:space="preserve">” </w:t>
      </w:r>
      <w:r>
        <w:rPr>
          <w:b/>
        </w:rPr>
        <w:t>(Sic)</w:t>
      </w:r>
    </w:p>
    <w:p w14:paraId="20C742E2" w14:textId="77777777" w:rsidR="00A8132F" w:rsidRPr="00CF0F1D" w:rsidRDefault="00A8132F" w:rsidP="00A8132F">
      <w:pPr>
        <w:pStyle w:val="Prrafodelista"/>
        <w:autoSpaceDE w:val="0"/>
        <w:autoSpaceDN w:val="0"/>
        <w:adjustRightInd w:val="0"/>
        <w:spacing w:line="360" w:lineRule="auto"/>
        <w:ind w:left="0"/>
        <w:jc w:val="both"/>
        <w:rPr>
          <w:rFonts w:ascii="Palatino Linotype" w:hAnsi="Palatino Linotype" w:cs="Arial"/>
        </w:rPr>
      </w:pPr>
    </w:p>
    <w:p w14:paraId="175DA1E9" w14:textId="77777777" w:rsidR="00A8132F" w:rsidRPr="00CF0F1D" w:rsidRDefault="00A8132F" w:rsidP="00A8132F">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375FF37" w14:textId="77777777" w:rsidR="00A8132F" w:rsidRDefault="00A8132F" w:rsidP="00CF0EC0">
      <w:pPr>
        <w:pStyle w:val="Sinespaciado"/>
        <w:spacing w:line="360" w:lineRule="auto"/>
        <w:jc w:val="both"/>
        <w:rPr>
          <w:rFonts w:ascii="Palatino Linotype" w:hAnsi="Palatino Linotype"/>
        </w:rPr>
      </w:pPr>
    </w:p>
    <w:p w14:paraId="4F2C2043" w14:textId="2975B38D" w:rsidR="000B08A4" w:rsidRDefault="00CF0EC0" w:rsidP="00CF0EC0">
      <w:pPr>
        <w:pStyle w:val="Sinespaciado"/>
        <w:spacing w:line="360" w:lineRule="auto"/>
        <w:jc w:val="both"/>
        <w:rPr>
          <w:rFonts w:ascii="Palatino Linotype" w:hAnsi="Palatino Linotype"/>
        </w:rPr>
      </w:pPr>
      <w:r w:rsidRPr="004614C3">
        <w:rPr>
          <w:rFonts w:ascii="Palatino Linotype" w:hAnsi="Palatino Linotype"/>
        </w:rPr>
        <w:t xml:space="preserve">Ahora bien, en una aproximación inicial, con relación a </w:t>
      </w:r>
      <w:r>
        <w:rPr>
          <w:rFonts w:ascii="Palatino Linotype" w:hAnsi="Palatino Linotype"/>
        </w:rPr>
        <w:t>la solicitud de información</w:t>
      </w:r>
      <w:r w:rsidR="000B08A4">
        <w:rPr>
          <w:rFonts w:ascii="Palatino Linotype" w:hAnsi="Palatino Linotype"/>
        </w:rPr>
        <w:t xml:space="preserve"> </w:t>
      </w:r>
      <w:r w:rsidR="000B08A4">
        <w:rPr>
          <w:rFonts w:ascii="Palatino Linotype" w:hAnsi="Palatino Linotype"/>
          <w:b/>
          <w:bCs/>
        </w:rPr>
        <w:t xml:space="preserve">00340/TEOLOYU/IP/2025 </w:t>
      </w:r>
      <w:r w:rsidR="000B08A4">
        <w:rPr>
          <w:rFonts w:ascii="Palatino Linotype" w:hAnsi="Palatino Linotype"/>
        </w:rPr>
        <w:t>se desprende que fue requerido lo siguiente:</w:t>
      </w:r>
    </w:p>
    <w:p w14:paraId="612CF864" w14:textId="21888651" w:rsidR="000B08A4" w:rsidRPr="000B08A4" w:rsidRDefault="000B08A4" w:rsidP="000B08A4">
      <w:pPr>
        <w:pStyle w:val="Citas"/>
        <w:rPr>
          <w:b/>
          <w:bCs/>
        </w:rPr>
      </w:pPr>
      <w:r>
        <w:t>“</w:t>
      </w:r>
      <w:r w:rsidRPr="000B08A4">
        <w:t>Solicito la información que integra el Paquete Presupuestal Municipal 2025, es decir, los documentos en los formatos que se especifican en los Lineamientos que regulan su entrega. Lo anterior porque la información es de interés público porque contribuye a la transparencia y rendición de cuentas, fortalece la correcta aplicación y manejo de los recursos. Esta información deberá entregarse completa, íntegra y legible</w:t>
      </w:r>
      <w:r>
        <w:t xml:space="preserve">” </w:t>
      </w:r>
      <w:r>
        <w:rPr>
          <w:b/>
          <w:bCs/>
        </w:rPr>
        <w:t>(Sic)</w:t>
      </w:r>
    </w:p>
    <w:p w14:paraId="487E4397" w14:textId="77777777" w:rsidR="00A8132F" w:rsidRDefault="00A8132F" w:rsidP="00CF0EC0">
      <w:pPr>
        <w:autoSpaceDE w:val="0"/>
        <w:autoSpaceDN w:val="0"/>
        <w:adjustRightInd w:val="0"/>
        <w:spacing w:before="240" w:line="360" w:lineRule="auto"/>
        <w:jc w:val="both"/>
        <w:rPr>
          <w:rFonts w:ascii="Palatino Linotype" w:hAnsi="Palatino Linotype" w:cs="Arial"/>
          <w:sz w:val="24"/>
          <w:szCs w:val="24"/>
        </w:rPr>
      </w:pPr>
    </w:p>
    <w:p w14:paraId="306CA99D" w14:textId="00CCB667" w:rsidR="00CF0EC0" w:rsidRPr="008D038F" w:rsidRDefault="00CF0EC0" w:rsidP="00CF0EC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53B3B17E"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24. Para el cumplimiento de los objetivos de esta Ley, los sujetos obligados deberán cumplir con las siguientes obligaciones, según corresponda, de acuerdo a su naturaleza:</w:t>
      </w:r>
    </w:p>
    <w:p w14:paraId="2FAD173A"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01D1E1D4" w14:textId="77777777" w:rsidR="00CF0EC0" w:rsidRDefault="00CF0EC0" w:rsidP="00CF0EC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B38ED4"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07B482F" w14:textId="77777777" w:rsidR="00CF0EC0" w:rsidRPr="006E31E6" w:rsidRDefault="00CF0EC0" w:rsidP="00CF0EC0">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t xml:space="preserve">(…)” </w:t>
      </w:r>
      <w:r>
        <w:rPr>
          <w:rFonts w:ascii="Palatino Linotype" w:hAnsi="Palatino Linotype"/>
          <w:b/>
          <w:bCs/>
          <w:i/>
          <w:iCs/>
        </w:rPr>
        <w:t>(Sic)</w:t>
      </w:r>
    </w:p>
    <w:p w14:paraId="647FC570" w14:textId="77777777" w:rsidR="00EB4BF4" w:rsidRDefault="00EB4BF4" w:rsidP="00CF0EC0">
      <w:pPr>
        <w:pStyle w:val="Sinespaciado"/>
        <w:spacing w:line="360" w:lineRule="auto"/>
        <w:jc w:val="both"/>
        <w:rPr>
          <w:rFonts w:ascii="Palatino Linotype" w:hAnsi="Palatino Linotype" w:cs="Arial"/>
        </w:rPr>
      </w:pPr>
    </w:p>
    <w:p w14:paraId="49A40420" w14:textId="52B77E94" w:rsidR="00CF0EC0" w:rsidRDefault="00CF0EC0" w:rsidP="00CF0EC0">
      <w:pPr>
        <w:pStyle w:val="Sinespaciado"/>
        <w:spacing w:line="360" w:lineRule="auto"/>
        <w:jc w:val="both"/>
        <w:rPr>
          <w:rFonts w:ascii="Palatino Linotype" w:hAnsi="Palatino Linotype" w:cs="Arial"/>
          <w:b/>
          <w:bCs/>
        </w:rPr>
      </w:pPr>
      <w:r w:rsidRPr="00CA2E97">
        <w:rPr>
          <w:rFonts w:ascii="Palatino Linotype" w:hAnsi="Palatino Linotype" w:cs="Arial"/>
        </w:rPr>
        <w:t xml:space="preserve">A mayor abundamiento, en alusión a la normatividad previamente plasmada, sirven de sustento las siguientes imágenes ilustrativas, correspondientes al organigrama del </w:t>
      </w:r>
      <w:r w:rsidRPr="00CA2E97">
        <w:rPr>
          <w:rFonts w:ascii="Palatino Linotype" w:hAnsi="Palatino Linotype" w:cs="Arial"/>
          <w:b/>
          <w:bCs/>
        </w:rPr>
        <w:t>Sujeto Obligado</w:t>
      </w:r>
      <w:r>
        <w:rPr>
          <w:rFonts w:ascii="Palatino Linotype" w:hAnsi="Palatino Linotype" w:cs="Arial"/>
          <w:b/>
          <w:bCs/>
        </w:rPr>
        <w:t>:</w:t>
      </w:r>
    </w:p>
    <w:p w14:paraId="74EBAE73" w14:textId="77777777" w:rsidR="00CF0EC0" w:rsidRDefault="00CF0EC0" w:rsidP="00CF0EC0">
      <w:pPr>
        <w:pStyle w:val="Sinespaciado"/>
        <w:spacing w:line="360" w:lineRule="auto"/>
        <w:jc w:val="both"/>
        <w:rPr>
          <w:rFonts w:ascii="Palatino Linotype" w:hAnsi="Palatino Linotype" w:cs="Arial"/>
          <w:b/>
          <w:bCs/>
        </w:rPr>
      </w:pPr>
    </w:p>
    <w:p w14:paraId="5465B568" w14:textId="6F2F6BA7" w:rsidR="00CF0EC0" w:rsidRDefault="000B08A4" w:rsidP="00CF0EC0">
      <w:pPr>
        <w:pStyle w:val="Sinespaciado"/>
        <w:spacing w:line="360" w:lineRule="auto"/>
        <w:jc w:val="both"/>
        <w:rPr>
          <w:rFonts w:ascii="Palatino Linotype" w:hAnsi="Palatino Linotype"/>
        </w:rPr>
      </w:pPr>
      <w:r>
        <w:rPr>
          <w:rFonts w:ascii="Palatino Linotype" w:hAnsi="Palatino Linotype" w:cs="Arial"/>
          <w:noProof/>
          <w:color w:val="000000"/>
          <w:lang w:eastAsia="es-MX"/>
        </w:rPr>
        <w:lastRenderedPageBreak/>
        <mc:AlternateContent>
          <mc:Choice Requires="wps">
            <w:drawing>
              <wp:anchor distT="0" distB="0" distL="114300" distR="114300" simplePos="0" relativeHeight="251853813" behindDoc="0" locked="0" layoutInCell="1" allowOverlap="1" wp14:anchorId="260F8A76" wp14:editId="0941D1A5">
                <wp:simplePos x="0" y="0"/>
                <wp:positionH relativeFrom="column">
                  <wp:posOffset>543511</wp:posOffset>
                </wp:positionH>
                <wp:positionV relativeFrom="paragraph">
                  <wp:posOffset>5750804</wp:posOffset>
                </wp:positionV>
                <wp:extent cx="4882662" cy="328246"/>
                <wp:effectExtent l="0" t="0" r="13335" b="15240"/>
                <wp:wrapNone/>
                <wp:docPr id="1529580956" name="Rectangle 2"/>
                <wp:cNvGraphicFramePr/>
                <a:graphic xmlns:a="http://schemas.openxmlformats.org/drawingml/2006/main">
                  <a:graphicData uri="http://schemas.microsoft.com/office/word/2010/wordprocessingShape">
                    <wps:wsp>
                      <wps:cNvSpPr/>
                      <wps:spPr>
                        <a:xfrm>
                          <a:off x="0" y="0"/>
                          <a:ext cx="4882662" cy="328246"/>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9DBB1" id="Rectangle 2" o:spid="_x0000_s1026" style="position:absolute;margin-left:42.8pt;margin-top:452.8pt;width:384.45pt;height:25.85pt;z-index:251853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" filled="f" strokecolor="#e00" strokeweight="1.5pt"/>
            </w:pict>
          </mc:Fallback>
        </mc:AlternateContent>
      </w:r>
      <w:r w:rsidRPr="000B08A4">
        <w:rPr>
          <w:rFonts w:ascii="Palatino Linotype" w:hAnsi="Palatino Linotype" w:cs="Arial"/>
          <w:noProof/>
          <w:color w:val="000000"/>
          <w:lang w:eastAsia="es-MX"/>
        </w:rPr>
        <w:drawing>
          <wp:anchor distT="0" distB="0" distL="114300" distR="114300" simplePos="0" relativeHeight="251852789" behindDoc="0" locked="0" layoutInCell="1" allowOverlap="1" wp14:anchorId="5FB053A0" wp14:editId="5221EC9D">
            <wp:simplePos x="0" y="0"/>
            <wp:positionH relativeFrom="page">
              <wp:align>center</wp:align>
            </wp:positionH>
            <wp:positionV relativeFrom="paragraph">
              <wp:posOffset>3800036</wp:posOffset>
            </wp:positionV>
            <wp:extent cx="5760720" cy="3479800"/>
            <wp:effectExtent l="19050" t="19050" r="11430" b="25400"/>
            <wp:wrapThrough wrapText="bothSides">
              <wp:wrapPolygon edited="0">
                <wp:start x="-71" y="-118"/>
                <wp:lineTo x="-71" y="21639"/>
                <wp:lineTo x="21571" y="21639"/>
                <wp:lineTo x="21571" y="-118"/>
                <wp:lineTo x="-71" y="-118"/>
              </wp:wrapPolygon>
            </wp:wrapThrough>
            <wp:docPr id="1126010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10847"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7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B08A4">
        <w:rPr>
          <w:rFonts w:ascii="Palatino Linotype" w:hAnsi="Palatino Linotype" w:cs="Arial"/>
          <w:noProof/>
          <w:color w:val="000000"/>
          <w:lang w:eastAsia="es-MX"/>
        </w:rPr>
        <w:drawing>
          <wp:anchor distT="0" distB="0" distL="114300" distR="114300" simplePos="0" relativeHeight="251847668" behindDoc="0" locked="0" layoutInCell="1" allowOverlap="1" wp14:anchorId="7F9E19A5" wp14:editId="7D8B41C0">
            <wp:simplePos x="0" y="0"/>
            <wp:positionH relativeFrom="page">
              <wp:align>center</wp:align>
            </wp:positionH>
            <wp:positionV relativeFrom="paragraph">
              <wp:posOffset>19197</wp:posOffset>
            </wp:positionV>
            <wp:extent cx="5760720" cy="3497580"/>
            <wp:effectExtent l="19050" t="19050" r="11430" b="26670"/>
            <wp:wrapThrough wrapText="bothSides">
              <wp:wrapPolygon edited="0">
                <wp:start x="-71" y="-118"/>
                <wp:lineTo x="-71" y="21647"/>
                <wp:lineTo x="21571" y="21647"/>
                <wp:lineTo x="21571" y="-118"/>
                <wp:lineTo x="-71" y="-118"/>
              </wp:wrapPolygon>
            </wp:wrapThrough>
            <wp:docPr id="1381531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31286"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97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F0EC0">
        <w:rPr>
          <w:rFonts w:ascii="Palatino Linotype" w:hAnsi="Palatino Linotype"/>
        </w:rPr>
        <w:tab/>
      </w:r>
    </w:p>
    <w:p w14:paraId="15D82D21" w14:textId="1D99D533" w:rsidR="00EB0C4D" w:rsidRDefault="00EB0C4D" w:rsidP="00EB0C4D">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Pr>
          <w:rFonts w:ascii="Palatino Linotype" w:hAnsi="Palatino Linotype"/>
          <w:sz w:val="24"/>
          <w:szCs w:val="24"/>
        </w:rPr>
        <w:t xml:space="preserve">la </w:t>
      </w:r>
      <w:r w:rsidR="000B08A4">
        <w:rPr>
          <w:rFonts w:ascii="Palatino Linotype" w:hAnsi="Palatino Linotype"/>
          <w:sz w:val="24"/>
          <w:szCs w:val="24"/>
        </w:rPr>
        <w:t xml:space="preserve">tesorería municipal. </w:t>
      </w:r>
      <w:r>
        <w:rPr>
          <w:rFonts w:ascii="Palatino Linotype" w:hAnsi="Palatino Linotype"/>
          <w:sz w:val="24"/>
          <w:szCs w:val="24"/>
        </w:rPr>
        <w:t xml:space="preserve">  </w:t>
      </w:r>
    </w:p>
    <w:p w14:paraId="38A70725" w14:textId="7956FF35" w:rsidR="00EB0C4D" w:rsidRDefault="00EB0C4D" w:rsidP="00EB0C4D">
      <w:pPr>
        <w:spacing w:after="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w:t>
      </w:r>
      <w:r>
        <w:rPr>
          <w:rFonts w:ascii="Palatino Linotype" w:hAnsi="Palatino Linotype"/>
          <w:iCs/>
          <w:sz w:val="24"/>
          <w:szCs w:val="24"/>
        </w:rPr>
        <w:t xml:space="preserve">la unidad administrativa en cita, resulta oportuno traer a colación el artículo 92 del Bando Municipal de Toluca; </w:t>
      </w:r>
      <w:r w:rsidR="00804619">
        <w:rPr>
          <w:rFonts w:ascii="Palatino Linotype" w:hAnsi="Palatino Linotype"/>
          <w:iCs/>
          <w:sz w:val="24"/>
          <w:szCs w:val="24"/>
        </w:rPr>
        <w:t xml:space="preserve">numeral 3.20 </w:t>
      </w:r>
      <w:r w:rsidR="00A8132F">
        <w:rPr>
          <w:rFonts w:ascii="Palatino Linotype" w:hAnsi="Palatino Linotype"/>
          <w:iCs/>
          <w:sz w:val="24"/>
          <w:szCs w:val="24"/>
        </w:rPr>
        <w:t>del Código</w:t>
      </w:r>
      <w:r w:rsidR="00804619">
        <w:rPr>
          <w:rFonts w:ascii="Palatino Linotype" w:hAnsi="Palatino Linotype"/>
          <w:iCs/>
          <w:sz w:val="24"/>
          <w:szCs w:val="24"/>
        </w:rPr>
        <w:t xml:space="preserve"> reglamentario de Toluca; así como el artículo 31 de la Ley Orgánica municipal del Estado de México, porciones normativas que disponen a la literalidad lo siguiente: </w:t>
      </w:r>
    </w:p>
    <w:p w14:paraId="30D511F4" w14:textId="7A77F257" w:rsidR="00EB0C4D" w:rsidRPr="00EB0C4D" w:rsidRDefault="00EB0C4D" w:rsidP="00EB0C4D">
      <w:pPr>
        <w:pStyle w:val="Citas"/>
        <w:jc w:val="center"/>
        <w:rPr>
          <w:b/>
          <w:bCs/>
          <w:i w:val="0"/>
          <w:iCs/>
        </w:rPr>
      </w:pPr>
      <w:r w:rsidRPr="00EB0C4D">
        <w:rPr>
          <w:b/>
          <w:bCs/>
          <w:i w:val="0"/>
          <w:iCs/>
        </w:rPr>
        <w:t>BANDO MUNICIPAL DE TOLUCA 2025</w:t>
      </w:r>
    </w:p>
    <w:p w14:paraId="650CB238" w14:textId="46561E4F" w:rsidR="00EB0C4D" w:rsidRDefault="00951D08" w:rsidP="00EB0C4D">
      <w:pPr>
        <w:pStyle w:val="Citas"/>
      </w:pPr>
      <w:r>
        <w:t>“</w:t>
      </w:r>
      <w:r w:rsidR="00EB0C4D" w:rsidRPr="00EB0C4D">
        <w:t>Artículo 92. La administración pública municipal será centralizada, descentralizada y</w:t>
      </w:r>
      <w:r w:rsidR="00EB0C4D">
        <w:t xml:space="preserve"> </w:t>
      </w:r>
      <w:r w:rsidR="00EB0C4D" w:rsidRPr="00EB0C4D">
        <w:t>autónoma. Para el ejercicio del poder público municipal, las personas titulares de las</w:t>
      </w:r>
      <w:r w:rsidR="00EB0C4D">
        <w:t xml:space="preserve"> </w:t>
      </w:r>
      <w:r w:rsidR="00EB0C4D" w:rsidRPr="00EB0C4D">
        <w:t>Direcciones Generales, los Organismos Descentralizados y el Órgano Autónomo tendrán</w:t>
      </w:r>
      <w:r w:rsidR="00EB0C4D">
        <w:t xml:space="preserve"> </w:t>
      </w:r>
      <w:r w:rsidR="00EB0C4D" w:rsidRPr="00EB0C4D">
        <w:t>las atribuciones y facultades que le otorguen las disposiciones legales aplicables a su</w:t>
      </w:r>
      <w:r w:rsidR="00EB0C4D">
        <w:t xml:space="preserve"> </w:t>
      </w:r>
      <w:r w:rsidR="00EB0C4D" w:rsidRPr="00EB0C4D">
        <w:t>campo de actuación y las que este Bando y el Código Reglamentario les confiera</w:t>
      </w:r>
      <w:r w:rsidR="00EB0C4D">
        <w:t>.</w:t>
      </w:r>
    </w:p>
    <w:p w14:paraId="359E451D" w14:textId="41C759CE" w:rsidR="00EB0C4D" w:rsidRDefault="00EB0C4D" w:rsidP="00EB0C4D">
      <w:pPr>
        <w:pStyle w:val="Citas"/>
      </w:pPr>
      <w:r>
        <w:t>(…)</w:t>
      </w:r>
    </w:p>
    <w:p w14:paraId="35FC79D3" w14:textId="07846FFE" w:rsidR="000B08A4" w:rsidRPr="009A3677" w:rsidRDefault="000B08A4" w:rsidP="000B08A4">
      <w:pPr>
        <w:pStyle w:val="Citas"/>
        <w:rPr>
          <w:b/>
          <w:bCs/>
        </w:rPr>
      </w:pPr>
      <w:r>
        <w:t>II. La persona titular de la Tesorería Municipal es responsable de la administración y</w:t>
      </w:r>
      <w:r w:rsidR="009A3677">
        <w:t xml:space="preserve"> </w:t>
      </w:r>
      <w:r>
        <w:t>control de los recursos financieros del municipio, asegurando el cumplimiento de</w:t>
      </w:r>
      <w:r w:rsidR="009A3677">
        <w:t xml:space="preserve"> </w:t>
      </w:r>
      <w:r>
        <w:t>las disposiciones fiscales y presupuestales. Sus funciones incluyen la recaudación,</w:t>
      </w:r>
      <w:r w:rsidR="009A3677">
        <w:t xml:space="preserve"> </w:t>
      </w:r>
      <w:r>
        <w:t>fiscalización y administración de ingresos municipales, así como la elaboración</w:t>
      </w:r>
      <w:r w:rsidR="009A3677">
        <w:t xml:space="preserve"> </w:t>
      </w:r>
      <w:r>
        <w:t>y supervisión de los informes financieros y la cuenta pública. Además, coordina</w:t>
      </w:r>
      <w:r w:rsidR="009A3677">
        <w:t xml:space="preserve"> </w:t>
      </w:r>
      <w:r>
        <w:t>la aplicación de políticas de racionalidad y austeridad presupuestal, otorga</w:t>
      </w:r>
      <w:r w:rsidR="009A3677">
        <w:t xml:space="preserve"> </w:t>
      </w:r>
      <w:r>
        <w:t xml:space="preserve">suficiencia </w:t>
      </w:r>
      <w:r>
        <w:lastRenderedPageBreak/>
        <w:t>presupuestaria a las dependencias municipales, y gestiona la nómina</w:t>
      </w:r>
      <w:r w:rsidR="009A3677">
        <w:t xml:space="preserve"> </w:t>
      </w:r>
      <w:r>
        <w:t>del personal, garantizando su pago oportuno.</w:t>
      </w:r>
      <w:r w:rsidR="009A3677">
        <w:t xml:space="preserve">” </w:t>
      </w:r>
      <w:r w:rsidR="009A3677">
        <w:rPr>
          <w:b/>
          <w:bCs/>
        </w:rPr>
        <w:t>(Sic)</w:t>
      </w:r>
    </w:p>
    <w:p w14:paraId="24A31B0E" w14:textId="77777777" w:rsidR="00EB0C4D" w:rsidRDefault="00EB0C4D" w:rsidP="00EB0C4D">
      <w:pPr>
        <w:spacing w:after="0" w:line="360" w:lineRule="auto"/>
        <w:jc w:val="both"/>
        <w:rPr>
          <w:rFonts w:ascii="Palatino Linotype" w:hAnsi="Palatino Linotype"/>
          <w:iCs/>
          <w:sz w:val="24"/>
          <w:szCs w:val="24"/>
        </w:rPr>
      </w:pPr>
    </w:p>
    <w:p w14:paraId="2CBB325E" w14:textId="0B35016F" w:rsidR="00EB0C4D" w:rsidRPr="00951D08" w:rsidRDefault="00951D08" w:rsidP="00951D08">
      <w:pPr>
        <w:pStyle w:val="Citas"/>
        <w:jc w:val="center"/>
        <w:rPr>
          <w:b/>
          <w:bCs/>
          <w:i w:val="0"/>
          <w:iCs/>
        </w:rPr>
      </w:pPr>
      <w:r>
        <w:rPr>
          <w:b/>
          <w:bCs/>
          <w:i w:val="0"/>
          <w:iCs/>
        </w:rPr>
        <w:t>CÓDIGO</w:t>
      </w:r>
      <w:r w:rsidRPr="00951D08">
        <w:rPr>
          <w:b/>
          <w:bCs/>
          <w:i w:val="0"/>
          <w:iCs/>
        </w:rPr>
        <w:t xml:space="preserve"> REGLAMENTARIO DE TOLUCA</w:t>
      </w:r>
    </w:p>
    <w:p w14:paraId="312DD43A" w14:textId="29804079" w:rsidR="00951D08" w:rsidRDefault="009A3677" w:rsidP="009A3677">
      <w:pPr>
        <w:pStyle w:val="Citas"/>
      </w:pPr>
      <w:r>
        <w:t>“</w:t>
      </w:r>
      <w:r w:rsidRPr="009A3677">
        <w:t>Artículo 3.20. La o el titular de la Tesorería Municipal tendrá las siguientes</w:t>
      </w:r>
      <w:r>
        <w:t xml:space="preserve"> </w:t>
      </w:r>
      <w:r w:rsidRPr="009A3677">
        <w:t>atribuciones:</w:t>
      </w:r>
    </w:p>
    <w:p w14:paraId="0EE9891A" w14:textId="6CAA5090" w:rsidR="009A3677" w:rsidRDefault="009A3677" w:rsidP="009A3677">
      <w:pPr>
        <w:pStyle w:val="Citas"/>
      </w:pPr>
      <w:r>
        <w:t>(…)</w:t>
      </w:r>
    </w:p>
    <w:p w14:paraId="5348D258" w14:textId="1B657CDE" w:rsidR="009A3677" w:rsidRDefault="009A3677" w:rsidP="009A3677">
      <w:pPr>
        <w:pStyle w:val="Citas"/>
      </w:pPr>
      <w:r>
        <w:t>V</w:t>
      </w:r>
      <w:r w:rsidRPr="009A3677">
        <w:t>II. Supervisar el registro y control de las operaciones financieras presupuestales y</w:t>
      </w:r>
      <w:r>
        <w:t xml:space="preserve"> </w:t>
      </w:r>
      <w:r w:rsidRPr="009A3677">
        <w:t>contables, revisar y autorizar la integración de los informes mensuales y la cuenta</w:t>
      </w:r>
      <w:r>
        <w:t xml:space="preserve"> </w:t>
      </w:r>
      <w:r w:rsidRPr="009A3677">
        <w:t>pública anual del Municipio para que se entregue de manera oportuna y con</w:t>
      </w:r>
      <w:r>
        <w:t xml:space="preserve"> </w:t>
      </w:r>
      <w:r w:rsidRPr="009A3677">
        <w:t>apego a los lineamientos establecidos en los ordenamientos jurídicos aplicables;</w:t>
      </w:r>
    </w:p>
    <w:p w14:paraId="26759956" w14:textId="74425A54" w:rsidR="009A3677" w:rsidRDefault="009A3677" w:rsidP="009A3677">
      <w:pPr>
        <w:pStyle w:val="Citas"/>
      </w:pPr>
      <w:r>
        <w:t>(…)</w:t>
      </w:r>
    </w:p>
    <w:p w14:paraId="22C2ADCE" w14:textId="330FC349" w:rsidR="009A3677" w:rsidRPr="009A3677" w:rsidRDefault="009A3677" w:rsidP="009A3677">
      <w:pPr>
        <w:pStyle w:val="Citas"/>
      </w:pPr>
      <w:r w:rsidRPr="009A3677">
        <w:t>XVI. Proponer al Ayuntamiento los presupuestos de ingresos y egresos los cuales</w:t>
      </w:r>
      <w:r>
        <w:t xml:space="preserve"> </w:t>
      </w:r>
      <w:r w:rsidRPr="009A3677">
        <w:t>deberán ser elaborados y etiquetados con perspectiva de género, informar de su</w:t>
      </w:r>
      <w:r>
        <w:t xml:space="preserve"> </w:t>
      </w:r>
      <w:r w:rsidRPr="009A3677">
        <w:t>ejercicio y sugerir las modificaciones, en caso necesario;</w:t>
      </w:r>
    </w:p>
    <w:p w14:paraId="2B7BDE6C" w14:textId="7B7BE2CD" w:rsidR="009A3677" w:rsidRDefault="009A3677" w:rsidP="009A3677">
      <w:pPr>
        <w:pStyle w:val="Citas"/>
      </w:pPr>
      <w:r w:rsidRPr="009A3677">
        <w:t>XVII. Emitir los criterios y políticas para la aplicación de los ordenamientos fiscales, así</w:t>
      </w:r>
      <w:r>
        <w:t xml:space="preserve"> </w:t>
      </w:r>
      <w:r w:rsidRPr="009A3677">
        <w:t>como resolver las diferencias que se susciten en la interpretación de los mismos,</w:t>
      </w:r>
      <w:r>
        <w:t xml:space="preserve"> </w:t>
      </w:r>
      <w:r w:rsidRPr="009A3677">
        <w:t>en términos de lo que dispone el Código Financiero</w:t>
      </w:r>
    </w:p>
    <w:p w14:paraId="35F759CF" w14:textId="6A2CA258" w:rsidR="009A3677" w:rsidRDefault="009A3677" w:rsidP="009A3677">
      <w:pPr>
        <w:pStyle w:val="Citas"/>
      </w:pPr>
      <w:r>
        <w:t>(…)</w:t>
      </w:r>
    </w:p>
    <w:p w14:paraId="03C6BDE5" w14:textId="27E341D9" w:rsidR="009A3677" w:rsidRPr="00804619" w:rsidRDefault="009A3677" w:rsidP="009A3677">
      <w:pPr>
        <w:pStyle w:val="Citas"/>
        <w:rPr>
          <w:b/>
          <w:bCs/>
        </w:rPr>
      </w:pPr>
      <w:r w:rsidRPr="009A3677">
        <w:t>XXVI. Las demás que le confieran otros ordenamientos jurídicos, el H. Ayuntamiento y</w:t>
      </w:r>
      <w:r>
        <w:t xml:space="preserve"> </w:t>
      </w:r>
      <w:r w:rsidRPr="009A3677">
        <w:t>el presidente municipal.</w:t>
      </w:r>
      <w:r w:rsidR="00804619">
        <w:t xml:space="preserve">” </w:t>
      </w:r>
      <w:r w:rsidR="00804619">
        <w:rPr>
          <w:b/>
          <w:bCs/>
        </w:rPr>
        <w:t>(Sic)</w:t>
      </w:r>
    </w:p>
    <w:p w14:paraId="59DA8C14" w14:textId="25BD7297" w:rsidR="009A3677" w:rsidRPr="00041EFF" w:rsidRDefault="00804619" w:rsidP="00804619">
      <w:pPr>
        <w:pStyle w:val="Citas"/>
        <w:jc w:val="center"/>
        <w:rPr>
          <w:b/>
          <w:bCs/>
          <w:i w:val="0"/>
          <w:iCs/>
        </w:rPr>
      </w:pPr>
      <w:r w:rsidRPr="00041EFF">
        <w:rPr>
          <w:b/>
          <w:bCs/>
          <w:i w:val="0"/>
          <w:iCs/>
        </w:rPr>
        <w:lastRenderedPageBreak/>
        <w:t>LEY ORGÁNICA MUNICIPAL DEL ESTADO DE MÉXICO</w:t>
      </w:r>
    </w:p>
    <w:p w14:paraId="27C552E6" w14:textId="3693EF68" w:rsidR="009A3677" w:rsidRDefault="00804619" w:rsidP="00804619">
      <w:pPr>
        <w:pStyle w:val="Citas"/>
      </w:pPr>
      <w:r>
        <w:t>“</w:t>
      </w:r>
      <w:r w:rsidRPr="00804619">
        <w:t>Artículo 31.- Son atribuciones de los ayuntamientos:</w:t>
      </w:r>
    </w:p>
    <w:p w14:paraId="0EA3C9EA" w14:textId="5AB9BD33" w:rsidR="00804619" w:rsidRDefault="00804619" w:rsidP="00804619">
      <w:pPr>
        <w:pStyle w:val="Citas"/>
      </w:pPr>
      <w:r>
        <w:t>(…)</w:t>
      </w:r>
    </w:p>
    <w:p w14:paraId="4BBBF863" w14:textId="5F64E75D" w:rsidR="00804619" w:rsidRPr="00804619" w:rsidRDefault="00804619" w:rsidP="00804619">
      <w:pPr>
        <w:pStyle w:val="Citas"/>
      </w:pPr>
      <w:r w:rsidRPr="00804619">
        <w:t>XVIII. Administrar su hacienda en términos de ley, y controlar a través del presidente y síndico</w:t>
      </w:r>
      <w:r>
        <w:t xml:space="preserve"> </w:t>
      </w:r>
      <w:r w:rsidRPr="00804619">
        <w:t>la aplicación del presupuesto de egresos del municipio;</w:t>
      </w:r>
    </w:p>
    <w:p w14:paraId="4A2CE9AF" w14:textId="01C3BD51" w:rsidR="00804619" w:rsidRPr="00804619" w:rsidRDefault="00804619" w:rsidP="00804619">
      <w:pPr>
        <w:pStyle w:val="Citas"/>
      </w:pPr>
      <w:r w:rsidRPr="00804619">
        <w:t>XIX. Aprobar anualmente a más tardar el 20 de diciembre, su Presupuesto de Egresos, en base</w:t>
      </w:r>
      <w:r>
        <w:t xml:space="preserve"> </w:t>
      </w:r>
      <w:r w:rsidRPr="00804619">
        <w:t>a los ingresos presupuestados para el ejercicio que corresponda, el cual podrá ser adecuado en</w:t>
      </w:r>
      <w:r>
        <w:t xml:space="preserve"> </w:t>
      </w:r>
      <w:r w:rsidRPr="00804619">
        <w:t>función de las implicaciones que deriven de la aprobación de la Ley de Ingresos Municipal que</w:t>
      </w:r>
      <w:r>
        <w:t xml:space="preserve"> </w:t>
      </w:r>
      <w:r w:rsidRPr="00804619">
        <w:t>haga la Legislatura, así como por la asignación de las participaciones y aportaciones federales y</w:t>
      </w:r>
      <w:r>
        <w:t xml:space="preserve"> </w:t>
      </w:r>
      <w:r w:rsidRPr="00804619">
        <w:t>estatales.</w:t>
      </w:r>
    </w:p>
    <w:p w14:paraId="65311A51" w14:textId="52CCB060" w:rsidR="00804619" w:rsidRPr="00804619" w:rsidRDefault="00804619" w:rsidP="00804619">
      <w:pPr>
        <w:pStyle w:val="Citas"/>
      </w:pPr>
      <w:r w:rsidRPr="00804619">
        <w:t>Si cumplido el plazo que corresponda no se hubiere aprobado el Presupuesto de Egresos</w:t>
      </w:r>
      <w:r>
        <w:t xml:space="preserve"> </w:t>
      </w:r>
      <w:r w:rsidRPr="00804619">
        <w:t>referido, seguirá en vigor hasta el 28 o 29 de febrero del ejercicio fiscal inmediato siguiente, el</w:t>
      </w:r>
      <w:r>
        <w:t xml:space="preserve"> </w:t>
      </w:r>
      <w:r w:rsidRPr="00804619">
        <w:t>expedido para el ejercicio inmediato anterior al de la iniciativa en discusión, únicamente</w:t>
      </w:r>
      <w:r>
        <w:t xml:space="preserve"> </w:t>
      </w:r>
      <w:r w:rsidRPr="00804619">
        <w:t>respecto del gasto corriente.</w:t>
      </w:r>
    </w:p>
    <w:p w14:paraId="32DBD928" w14:textId="47A93A09" w:rsidR="00804619" w:rsidRPr="00804619" w:rsidRDefault="00804619" w:rsidP="00804619">
      <w:pPr>
        <w:pStyle w:val="Citas"/>
      </w:pPr>
      <w:r w:rsidRPr="00804619">
        <w:t>Los Ayuntamientos al aprobar su presupuesto de egresos, deberán señalar la remuneración de</w:t>
      </w:r>
      <w:r>
        <w:t xml:space="preserve"> </w:t>
      </w:r>
      <w:r w:rsidRPr="00804619">
        <w:t>todo tipo que corresponda a un empleo, cargo o comisión de cualquier naturaleza, determinada</w:t>
      </w:r>
      <w:r>
        <w:t xml:space="preserve"> </w:t>
      </w:r>
      <w:r w:rsidRPr="00804619">
        <w:t>conforme a principios de racionalidad, austeridad, disciplina financiera, equidad, legalidad,</w:t>
      </w:r>
      <w:r>
        <w:t xml:space="preserve"> </w:t>
      </w:r>
      <w:r w:rsidRPr="00804619">
        <w:t>igualdad y transparencia, sujetándose a lo dispuesto por el Código Financiero y demás</w:t>
      </w:r>
      <w:r>
        <w:t xml:space="preserve"> </w:t>
      </w:r>
      <w:r w:rsidRPr="00804619">
        <w:t>disposiciones legales aplicables.</w:t>
      </w:r>
    </w:p>
    <w:p w14:paraId="750BDF48" w14:textId="370A35AB" w:rsidR="00804619" w:rsidRPr="00804619" w:rsidRDefault="00804619" w:rsidP="00804619">
      <w:pPr>
        <w:pStyle w:val="Citas"/>
      </w:pPr>
      <w:r w:rsidRPr="00804619">
        <w:t>Las remuneraciones de todo tipo del Presidente Municipal, Síndicos, Regidores y servidores</w:t>
      </w:r>
      <w:r>
        <w:t xml:space="preserve"> </w:t>
      </w:r>
      <w:r w:rsidRPr="00804619">
        <w:t>públicos en general, incluyendo mandos medios y superiores de la administración municipal,</w:t>
      </w:r>
      <w:r>
        <w:t xml:space="preserve"> </w:t>
      </w:r>
      <w:r w:rsidRPr="00804619">
        <w:t xml:space="preserve">serán determinadas anualmente en el presupuesto de </w:t>
      </w:r>
      <w:r w:rsidRPr="00804619">
        <w:lastRenderedPageBreak/>
        <w:t>egresos correspondiente y se sujetarán a</w:t>
      </w:r>
      <w:r>
        <w:t xml:space="preserve"> </w:t>
      </w:r>
      <w:r w:rsidRPr="00804619">
        <w:t>los lineamientos legales establecidos para todos los servidores públicos municipales.</w:t>
      </w:r>
    </w:p>
    <w:p w14:paraId="15907176" w14:textId="45FF1DA4" w:rsidR="009A3677" w:rsidRPr="00804619" w:rsidRDefault="00804619" w:rsidP="00804619">
      <w:pPr>
        <w:pStyle w:val="Citas"/>
        <w:rPr>
          <w:b/>
          <w:bCs/>
        </w:rPr>
      </w:pPr>
      <w:r w:rsidRPr="00804619">
        <w:t>Los ayuntamientos podrán promover el financiamiento de proyectos productivos de las mujeres</w:t>
      </w:r>
      <w:r>
        <w:t xml:space="preserve"> </w:t>
      </w:r>
      <w:r w:rsidRPr="00804619">
        <w:t>emprendedoras.</w:t>
      </w:r>
      <w:r>
        <w:t xml:space="preserve">” </w:t>
      </w:r>
      <w:r>
        <w:rPr>
          <w:b/>
          <w:bCs/>
        </w:rPr>
        <w:t>(Sic)</w:t>
      </w:r>
    </w:p>
    <w:p w14:paraId="1459D096" w14:textId="77777777" w:rsidR="00EB0C4D" w:rsidRDefault="00EB0C4D" w:rsidP="00EB0C4D">
      <w:pPr>
        <w:spacing w:after="0" w:line="360" w:lineRule="auto"/>
        <w:jc w:val="both"/>
        <w:rPr>
          <w:rFonts w:ascii="Palatino Linotype" w:hAnsi="Palatino Linotype"/>
          <w:iCs/>
          <w:sz w:val="24"/>
          <w:szCs w:val="24"/>
        </w:rPr>
      </w:pPr>
    </w:p>
    <w:p w14:paraId="107EB2DF" w14:textId="53BA7544" w:rsidR="00804619" w:rsidRDefault="00951D08" w:rsidP="00951D08">
      <w:pPr>
        <w:spacing w:line="360" w:lineRule="auto"/>
        <w:jc w:val="both"/>
        <w:rPr>
          <w:rFonts w:ascii="Palatino Linotype" w:hAnsi="Palatino Linotype"/>
          <w:bCs/>
          <w:sz w:val="24"/>
          <w:szCs w:val="24"/>
        </w:rPr>
      </w:pPr>
      <w:r>
        <w:rPr>
          <w:rFonts w:ascii="Palatino Linotype" w:hAnsi="Palatino Linotype"/>
          <w:bCs/>
          <w:sz w:val="24"/>
          <w:szCs w:val="24"/>
        </w:rPr>
        <w:t>De ahí que deba arribarse a la premisa de que la</w:t>
      </w:r>
      <w:r w:rsidR="00804619">
        <w:rPr>
          <w:rFonts w:ascii="Palatino Linotype" w:hAnsi="Palatino Linotype"/>
          <w:bCs/>
          <w:sz w:val="24"/>
          <w:szCs w:val="24"/>
        </w:rPr>
        <w:t xml:space="preserve"> Tesorería </w:t>
      </w:r>
      <w:r w:rsidR="00E338FE">
        <w:rPr>
          <w:rFonts w:ascii="Palatino Linotype" w:hAnsi="Palatino Linotype"/>
          <w:bCs/>
          <w:sz w:val="24"/>
          <w:szCs w:val="24"/>
        </w:rPr>
        <w:t xml:space="preserve">municipal tiene atribuciones para regular diversas aristas tales como altas, bajas, ingresos, egresos, pago de remuneraciones, directorio de servidores públicos, presupuesto de egresos, presupuesto de ingresos, entre otros. </w:t>
      </w:r>
    </w:p>
    <w:p w14:paraId="3774A9F7" w14:textId="6EDCFABD" w:rsidR="00E338FE" w:rsidRPr="005D1F7E" w:rsidRDefault="00E338FE" w:rsidP="00E338FE">
      <w:pPr>
        <w:autoSpaceDE w:val="0"/>
        <w:autoSpaceDN w:val="0"/>
        <w:adjustRightInd w:val="0"/>
        <w:spacing w:before="240" w:line="360" w:lineRule="auto"/>
        <w:jc w:val="both"/>
        <w:rPr>
          <w:rFonts w:ascii="Palatino Linotype" w:hAnsi="Palatino Linotype" w:cs="Arial"/>
          <w:sz w:val="24"/>
          <w:szCs w:val="24"/>
        </w:rPr>
      </w:pPr>
      <w:r w:rsidRPr="005D1F7E">
        <w:rPr>
          <w:rFonts w:ascii="Palatino Linotype" w:hAnsi="Palatino Linotype" w:cs="Arial"/>
          <w:sz w:val="24"/>
          <w:szCs w:val="24"/>
        </w:rPr>
        <w:t>De manera complementaria, para comprender los límites y alcances del paquete presupuestal 2025 resulta menester señalar que el veintidos de enero de</w:t>
      </w:r>
      <w:r>
        <w:rPr>
          <w:rFonts w:ascii="Palatino Linotype" w:hAnsi="Palatino Linotype" w:cs="Arial"/>
          <w:sz w:val="24"/>
          <w:szCs w:val="24"/>
        </w:rPr>
        <w:t xml:space="preserve"> </w:t>
      </w:r>
      <w:r w:rsidR="005D1F7E">
        <w:rPr>
          <w:rFonts w:ascii="Palatino Linotype" w:hAnsi="Palatino Linotype" w:cs="Arial"/>
          <w:sz w:val="24"/>
          <w:szCs w:val="24"/>
        </w:rPr>
        <w:t xml:space="preserve">dos mil veinticinco, fue publicado en el Periódico Oficial </w:t>
      </w:r>
      <w:r w:rsidR="005D1F7E" w:rsidRPr="005D1F7E">
        <w:rPr>
          <w:rFonts w:ascii="Palatino Linotype" w:hAnsi="Palatino Linotype" w:cs="Arial"/>
          <w:i/>
          <w:iCs/>
          <w:sz w:val="24"/>
          <w:szCs w:val="24"/>
        </w:rPr>
        <w:t>“Gaceta del Gobierno”</w:t>
      </w:r>
      <w:r w:rsidR="005D1F7E">
        <w:rPr>
          <w:rFonts w:ascii="Palatino Linotype" w:hAnsi="Palatino Linotype" w:cs="Arial"/>
          <w:sz w:val="24"/>
          <w:szCs w:val="24"/>
        </w:rPr>
        <w:t xml:space="preserve"> del Estado de México, el </w:t>
      </w:r>
      <w:r w:rsidR="005D1F7E">
        <w:rPr>
          <w:rFonts w:ascii="Palatino Linotype" w:hAnsi="Palatino Linotype" w:cs="Arial"/>
          <w:i/>
          <w:iCs/>
          <w:sz w:val="24"/>
          <w:szCs w:val="24"/>
        </w:rPr>
        <w:t xml:space="preserve">“Acuerdo 3/2025 por el que se emiten los lineamientos para la integración, envío y recepción electrónica del paquete presupuestal municipal 2025”, </w:t>
      </w:r>
      <w:r w:rsidR="005D1F7E">
        <w:rPr>
          <w:rFonts w:ascii="Palatino Linotype" w:hAnsi="Palatino Linotype" w:cs="Arial"/>
          <w:sz w:val="24"/>
          <w:szCs w:val="24"/>
        </w:rPr>
        <w:t xml:space="preserve">susceptible de consulta en la siguiente dirección electrónica: </w:t>
      </w:r>
    </w:p>
    <w:p w14:paraId="0210948D" w14:textId="7A982CE1" w:rsidR="00804619" w:rsidRDefault="00990AB7" w:rsidP="00951D08">
      <w:pPr>
        <w:spacing w:line="360" w:lineRule="auto"/>
        <w:jc w:val="both"/>
        <w:rPr>
          <w:rFonts w:ascii="Palatino Linotype" w:hAnsi="Palatino Linotype"/>
          <w:bCs/>
          <w:sz w:val="24"/>
          <w:szCs w:val="24"/>
        </w:rPr>
      </w:pPr>
      <w:hyperlink r:id="rId10" w:history="1">
        <w:r w:rsidR="005D1F7E" w:rsidRPr="00E3053A">
          <w:rPr>
            <w:rStyle w:val="Hipervnculo"/>
            <w:rFonts w:ascii="Palatino Linotype" w:hAnsi="Palatino Linotype"/>
            <w:bCs/>
            <w:sz w:val="24"/>
            <w:szCs w:val="24"/>
          </w:rPr>
          <w:t>https://legislacion.edomex.gob.mx/sites/legislacion.edomex.gob.mx/files/files/pdf/gct/2025/enero/ene221/ene221a.pdf</w:t>
        </w:r>
      </w:hyperlink>
      <w:r w:rsidR="005D1F7E">
        <w:rPr>
          <w:rFonts w:ascii="Palatino Linotype" w:hAnsi="Palatino Linotype"/>
          <w:bCs/>
          <w:sz w:val="24"/>
          <w:szCs w:val="24"/>
        </w:rPr>
        <w:t xml:space="preserve"> </w:t>
      </w:r>
    </w:p>
    <w:p w14:paraId="46BE5F58" w14:textId="77777777" w:rsidR="00804619" w:rsidRDefault="00804619" w:rsidP="00951D08">
      <w:pPr>
        <w:spacing w:line="360" w:lineRule="auto"/>
        <w:jc w:val="both"/>
        <w:rPr>
          <w:rFonts w:ascii="Palatino Linotype" w:hAnsi="Palatino Linotype"/>
          <w:bCs/>
          <w:sz w:val="24"/>
          <w:szCs w:val="24"/>
        </w:rPr>
      </w:pPr>
    </w:p>
    <w:p w14:paraId="77797E75" w14:textId="7092BDCB" w:rsidR="005D1F7E" w:rsidRDefault="005D1F7E" w:rsidP="00951D08">
      <w:pPr>
        <w:spacing w:line="360" w:lineRule="auto"/>
        <w:jc w:val="both"/>
        <w:rPr>
          <w:rFonts w:ascii="Palatino Linotype" w:hAnsi="Palatino Linotype"/>
          <w:bCs/>
          <w:sz w:val="24"/>
          <w:szCs w:val="24"/>
        </w:rPr>
      </w:pPr>
      <w:r>
        <w:rPr>
          <w:rFonts w:ascii="Palatino Linotype" w:hAnsi="Palatino Linotype"/>
          <w:bCs/>
          <w:sz w:val="24"/>
          <w:szCs w:val="24"/>
        </w:rPr>
        <w:t xml:space="preserve">En función de lo planteado, los municipios se encuentran constreñidos a remitir la siguiente información con motivo del paquete presupuestal 2025: </w:t>
      </w:r>
    </w:p>
    <w:p w14:paraId="006EC0C8" w14:textId="77777777" w:rsidR="005D1F7E" w:rsidRDefault="005D1F7E" w:rsidP="00951D08">
      <w:pPr>
        <w:spacing w:line="360" w:lineRule="auto"/>
        <w:jc w:val="both"/>
        <w:rPr>
          <w:rFonts w:ascii="Palatino Linotype" w:hAnsi="Palatino Linotype"/>
          <w:bCs/>
          <w:sz w:val="24"/>
          <w:szCs w:val="24"/>
        </w:rPr>
      </w:pPr>
    </w:p>
    <w:p w14:paraId="4EA9106F" w14:textId="77777777" w:rsidR="005D1F7E" w:rsidRDefault="005D1F7E" w:rsidP="00951D08">
      <w:pPr>
        <w:spacing w:line="360" w:lineRule="auto"/>
        <w:jc w:val="both"/>
        <w:rPr>
          <w:rFonts w:ascii="Palatino Linotype" w:hAnsi="Palatino Linotype"/>
          <w:bCs/>
          <w:sz w:val="24"/>
          <w:szCs w:val="24"/>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112"/>
        <w:gridCol w:w="2546"/>
        <w:gridCol w:w="2415"/>
        <w:gridCol w:w="1969"/>
      </w:tblGrid>
      <w:tr w:rsidR="005D1F7E" w:rsidRPr="005D1F7E" w14:paraId="0FF1347F" w14:textId="77777777" w:rsidTr="005D1F7E">
        <w:tc>
          <w:tcPr>
            <w:tcW w:w="2112" w:type="dxa"/>
            <w:shd w:val="clear" w:color="auto" w:fill="000000" w:themeFill="text1"/>
            <w:vAlign w:val="center"/>
          </w:tcPr>
          <w:p w14:paraId="5C05D1E3" w14:textId="74984893" w:rsidR="005D1F7E" w:rsidRPr="005D1F7E" w:rsidRDefault="005D1F7E" w:rsidP="005D1F7E">
            <w:pPr>
              <w:pStyle w:val="Prrafodelista"/>
              <w:autoSpaceDE w:val="0"/>
              <w:autoSpaceDN w:val="0"/>
              <w:adjustRightInd w:val="0"/>
              <w:spacing w:line="360" w:lineRule="auto"/>
              <w:ind w:left="0"/>
              <w:jc w:val="center"/>
              <w:rPr>
                <w:rFonts w:ascii="Palatino Linotype" w:hAnsi="Palatino Linotype" w:cs="Arial"/>
                <w:b/>
                <w:bCs/>
                <w:color w:val="FFFFFF" w:themeColor="background1"/>
                <w:lang w:val="es-MX"/>
              </w:rPr>
            </w:pPr>
            <w:r w:rsidRPr="005D1F7E">
              <w:rPr>
                <w:rFonts w:ascii="Palatino Linotype" w:hAnsi="Palatino Linotype" w:cs="Arial"/>
                <w:b/>
                <w:bCs/>
                <w:color w:val="FFFFFF" w:themeColor="background1"/>
                <w:lang w:val="es-MX"/>
              </w:rPr>
              <w:t>TIPO DE INFORMACIÓN</w:t>
            </w:r>
          </w:p>
        </w:tc>
        <w:tc>
          <w:tcPr>
            <w:tcW w:w="2546" w:type="dxa"/>
            <w:shd w:val="clear" w:color="auto" w:fill="000000" w:themeFill="text1"/>
            <w:vAlign w:val="center"/>
          </w:tcPr>
          <w:p w14:paraId="6651E8F9" w14:textId="59866BBA" w:rsidR="005D1F7E" w:rsidRPr="005D1F7E" w:rsidRDefault="005D1F7E" w:rsidP="005D1F7E">
            <w:pPr>
              <w:pStyle w:val="Prrafodelista"/>
              <w:autoSpaceDE w:val="0"/>
              <w:autoSpaceDN w:val="0"/>
              <w:adjustRightInd w:val="0"/>
              <w:spacing w:line="360" w:lineRule="auto"/>
              <w:ind w:left="0"/>
              <w:jc w:val="center"/>
              <w:rPr>
                <w:rFonts w:ascii="Palatino Linotype" w:hAnsi="Palatino Linotype" w:cs="Arial"/>
                <w:b/>
                <w:bCs/>
                <w:color w:val="FFFFFF" w:themeColor="background1"/>
                <w:lang w:val="es-ES_tradnl"/>
              </w:rPr>
            </w:pPr>
            <w:r w:rsidRPr="005D1F7E">
              <w:rPr>
                <w:rFonts w:ascii="Palatino Linotype" w:hAnsi="Palatino Linotype" w:cs="Arial"/>
                <w:b/>
                <w:bCs/>
                <w:color w:val="FFFFFF" w:themeColor="background1"/>
                <w:lang w:val="es-ES_tradnl"/>
              </w:rPr>
              <w:t>DOCUMENTO</w:t>
            </w:r>
          </w:p>
        </w:tc>
        <w:tc>
          <w:tcPr>
            <w:tcW w:w="2415" w:type="dxa"/>
            <w:shd w:val="clear" w:color="auto" w:fill="000000" w:themeFill="text1"/>
            <w:vAlign w:val="center"/>
          </w:tcPr>
          <w:p w14:paraId="6F638DCB" w14:textId="64E8F7A5" w:rsidR="005D1F7E" w:rsidRPr="005D1F7E" w:rsidRDefault="005D1F7E" w:rsidP="005D1F7E">
            <w:pPr>
              <w:pStyle w:val="Prrafodelista"/>
              <w:autoSpaceDE w:val="0"/>
              <w:autoSpaceDN w:val="0"/>
              <w:adjustRightInd w:val="0"/>
              <w:spacing w:line="360" w:lineRule="auto"/>
              <w:ind w:left="0"/>
              <w:jc w:val="center"/>
              <w:rPr>
                <w:rFonts w:ascii="Palatino Linotype" w:hAnsi="Palatino Linotype" w:cs="Arial"/>
                <w:b/>
                <w:bCs/>
                <w:color w:val="FFFFFF" w:themeColor="background1"/>
                <w:lang w:val="es-ES_tradnl"/>
              </w:rPr>
            </w:pPr>
            <w:r w:rsidRPr="005D1F7E">
              <w:rPr>
                <w:rFonts w:ascii="Palatino Linotype" w:hAnsi="Palatino Linotype" w:cs="Arial"/>
                <w:b/>
                <w:bCs/>
                <w:color w:val="FFFFFF" w:themeColor="background1"/>
                <w:lang w:val="es-ES_tradnl"/>
              </w:rPr>
              <w:t>NOMENCLATURA</w:t>
            </w:r>
          </w:p>
        </w:tc>
        <w:tc>
          <w:tcPr>
            <w:tcW w:w="1969" w:type="dxa"/>
            <w:shd w:val="clear" w:color="auto" w:fill="000000" w:themeFill="text1"/>
            <w:vAlign w:val="center"/>
          </w:tcPr>
          <w:p w14:paraId="59438FD1" w14:textId="1B4277D0" w:rsidR="005D1F7E" w:rsidRPr="005D1F7E" w:rsidRDefault="005D1F7E" w:rsidP="005D1F7E">
            <w:pPr>
              <w:pStyle w:val="Prrafodelista"/>
              <w:autoSpaceDE w:val="0"/>
              <w:autoSpaceDN w:val="0"/>
              <w:adjustRightInd w:val="0"/>
              <w:spacing w:line="360" w:lineRule="auto"/>
              <w:ind w:left="0"/>
              <w:jc w:val="center"/>
              <w:rPr>
                <w:rFonts w:ascii="Palatino Linotype" w:hAnsi="Palatino Linotype" w:cs="Arial"/>
                <w:b/>
                <w:bCs/>
                <w:color w:val="FFFFFF" w:themeColor="background1"/>
                <w:lang w:val="es-ES_tradnl"/>
              </w:rPr>
            </w:pPr>
            <w:r w:rsidRPr="005D1F7E">
              <w:rPr>
                <w:rFonts w:ascii="Palatino Linotype" w:hAnsi="Palatino Linotype" w:cs="Arial"/>
                <w:b/>
                <w:bCs/>
                <w:color w:val="FFFFFF" w:themeColor="background1"/>
                <w:lang w:val="es-ES_tradnl"/>
              </w:rPr>
              <w:t>EXTENSIÓN</w:t>
            </w:r>
          </w:p>
        </w:tc>
      </w:tr>
      <w:tr w:rsidR="005D1F7E" w:rsidRPr="005D1F7E" w14:paraId="633D2B53" w14:textId="77777777" w:rsidTr="005D1F7E">
        <w:tc>
          <w:tcPr>
            <w:tcW w:w="2112" w:type="dxa"/>
            <w:vAlign w:val="center"/>
          </w:tcPr>
          <w:p w14:paraId="3377B15F" w14:textId="00BF55C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Aprobación del Paquete Presupuestal</w:t>
            </w:r>
          </w:p>
        </w:tc>
        <w:tc>
          <w:tcPr>
            <w:tcW w:w="2546" w:type="dxa"/>
          </w:tcPr>
          <w:p w14:paraId="11DC5D0F"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Acta del Órgano Máximo de Gobierno donde se autoriza el Presupuesto de Ingresos y el Presupuesto de Egresos</w:t>
            </w:r>
          </w:p>
        </w:tc>
        <w:tc>
          <w:tcPr>
            <w:tcW w:w="2415" w:type="dxa"/>
            <w:vAlign w:val="center"/>
          </w:tcPr>
          <w:p w14:paraId="4DEAD03B"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ACOMG00002025</w:t>
            </w:r>
          </w:p>
        </w:tc>
        <w:tc>
          <w:tcPr>
            <w:tcW w:w="1969" w:type="dxa"/>
            <w:vAlign w:val="center"/>
          </w:tcPr>
          <w:p w14:paraId="444341B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tc>
      </w:tr>
      <w:tr w:rsidR="005D1F7E" w:rsidRPr="005D1F7E" w14:paraId="0F47C903" w14:textId="77777777" w:rsidTr="005D1F7E">
        <w:tc>
          <w:tcPr>
            <w:tcW w:w="2112" w:type="dxa"/>
            <w:vMerge w:val="restart"/>
            <w:vAlign w:val="center"/>
          </w:tcPr>
          <w:p w14:paraId="3CB3F62E"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 Planeación</w:t>
            </w:r>
          </w:p>
        </w:tc>
        <w:tc>
          <w:tcPr>
            <w:tcW w:w="2546" w:type="dxa"/>
          </w:tcPr>
          <w:p w14:paraId="5EF8132F"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Alineación del Plan de Desarrollo Municipal con el Plan Nacional de Desarrollo y Plan Estatal de Desarrollo</w:t>
            </w:r>
          </w:p>
        </w:tc>
        <w:tc>
          <w:tcPr>
            <w:tcW w:w="2415" w:type="dxa"/>
            <w:vAlign w:val="center"/>
          </w:tcPr>
          <w:p w14:paraId="6E04CF0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APDM00002025</w:t>
            </w:r>
          </w:p>
        </w:tc>
        <w:tc>
          <w:tcPr>
            <w:tcW w:w="1969" w:type="dxa"/>
            <w:vAlign w:val="center"/>
          </w:tcPr>
          <w:p w14:paraId="49885C3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1AD47C60" w14:textId="77777777" w:rsidTr="005D1F7E">
        <w:tc>
          <w:tcPr>
            <w:tcW w:w="2112" w:type="dxa"/>
            <w:vMerge/>
            <w:vAlign w:val="center"/>
          </w:tcPr>
          <w:p w14:paraId="4FF72FB0"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58ED443C"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Asignación de Recurso por Programa Presupuestario PDM</w:t>
            </w:r>
          </w:p>
        </w:tc>
        <w:tc>
          <w:tcPr>
            <w:tcW w:w="2415" w:type="dxa"/>
            <w:vAlign w:val="center"/>
          </w:tcPr>
          <w:p w14:paraId="215F8EB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ARPPPDM00002025</w:t>
            </w:r>
          </w:p>
        </w:tc>
        <w:tc>
          <w:tcPr>
            <w:tcW w:w="1969" w:type="dxa"/>
            <w:vAlign w:val="center"/>
          </w:tcPr>
          <w:p w14:paraId="69F29895"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04E38080" w14:textId="77777777" w:rsidTr="005D1F7E">
        <w:tc>
          <w:tcPr>
            <w:tcW w:w="2112" w:type="dxa"/>
            <w:vMerge/>
            <w:vAlign w:val="center"/>
          </w:tcPr>
          <w:p w14:paraId="64B42618"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6E2661E6"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Programación de Metas del Plan de Desarrollo Municipal</w:t>
            </w:r>
          </w:p>
        </w:tc>
        <w:tc>
          <w:tcPr>
            <w:tcW w:w="2415" w:type="dxa"/>
            <w:vAlign w:val="center"/>
          </w:tcPr>
          <w:p w14:paraId="5186A61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PMPDM00002025</w:t>
            </w:r>
          </w:p>
        </w:tc>
        <w:tc>
          <w:tcPr>
            <w:tcW w:w="1969" w:type="dxa"/>
            <w:vAlign w:val="center"/>
          </w:tcPr>
          <w:p w14:paraId="359DE19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43F128BE" w14:textId="77777777" w:rsidTr="005D1F7E">
        <w:tc>
          <w:tcPr>
            <w:tcW w:w="2112" w:type="dxa"/>
            <w:vMerge w:val="restart"/>
            <w:vAlign w:val="center"/>
          </w:tcPr>
          <w:p w14:paraId="26C5558A" w14:textId="474A6CC3"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B) Programa Operativo Anual</w:t>
            </w:r>
          </w:p>
        </w:tc>
        <w:tc>
          <w:tcPr>
            <w:tcW w:w="2546" w:type="dxa"/>
          </w:tcPr>
          <w:p w14:paraId="7B6F5AF5"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Dimensión Administrativa del Gasto</w:t>
            </w:r>
          </w:p>
        </w:tc>
        <w:tc>
          <w:tcPr>
            <w:tcW w:w="2415" w:type="dxa"/>
            <w:vAlign w:val="center"/>
          </w:tcPr>
          <w:p w14:paraId="7A01624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PADAG00002025</w:t>
            </w:r>
          </w:p>
        </w:tc>
        <w:tc>
          <w:tcPr>
            <w:tcW w:w="1969" w:type="dxa"/>
            <w:vAlign w:val="center"/>
          </w:tcPr>
          <w:p w14:paraId="222573E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11DC1A7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51BC428A" w14:textId="77777777" w:rsidTr="005D1F7E">
        <w:tc>
          <w:tcPr>
            <w:tcW w:w="2112" w:type="dxa"/>
            <w:vMerge/>
            <w:vAlign w:val="center"/>
          </w:tcPr>
          <w:p w14:paraId="15B4DA1E"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56206340"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Descripción del Programa Presupuestario</w:t>
            </w:r>
          </w:p>
        </w:tc>
        <w:tc>
          <w:tcPr>
            <w:tcW w:w="2415" w:type="dxa"/>
            <w:vAlign w:val="center"/>
          </w:tcPr>
          <w:p w14:paraId="338C6A7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PADPP00002025</w:t>
            </w:r>
          </w:p>
        </w:tc>
        <w:tc>
          <w:tcPr>
            <w:tcW w:w="1969" w:type="dxa"/>
            <w:vAlign w:val="center"/>
          </w:tcPr>
          <w:p w14:paraId="2CDE07E4"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CE17E6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5C315F1E" w14:textId="77777777" w:rsidTr="005D1F7E">
        <w:tc>
          <w:tcPr>
            <w:tcW w:w="2112" w:type="dxa"/>
            <w:vMerge/>
            <w:vAlign w:val="center"/>
          </w:tcPr>
          <w:p w14:paraId="3E517649"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5633934D"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de Metas de Actividad por Proyecto</w:t>
            </w:r>
          </w:p>
        </w:tc>
        <w:tc>
          <w:tcPr>
            <w:tcW w:w="2415" w:type="dxa"/>
            <w:vAlign w:val="center"/>
          </w:tcPr>
          <w:p w14:paraId="13A6E770"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PAMAP00002025</w:t>
            </w:r>
          </w:p>
        </w:tc>
        <w:tc>
          <w:tcPr>
            <w:tcW w:w="1969" w:type="dxa"/>
            <w:vAlign w:val="center"/>
          </w:tcPr>
          <w:p w14:paraId="05096DD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5C75C6B"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58AEBA7E" w14:textId="77777777" w:rsidTr="005D1F7E">
        <w:tc>
          <w:tcPr>
            <w:tcW w:w="2112" w:type="dxa"/>
            <w:vMerge/>
            <w:vAlign w:val="center"/>
          </w:tcPr>
          <w:p w14:paraId="6D1AF177"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3DAE4DD4"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Calendarización de Metas de</w:t>
            </w:r>
          </w:p>
          <w:p w14:paraId="62EC918F"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Actividad por Proyecto</w:t>
            </w:r>
          </w:p>
        </w:tc>
        <w:tc>
          <w:tcPr>
            <w:tcW w:w="2415" w:type="dxa"/>
            <w:vAlign w:val="center"/>
          </w:tcPr>
          <w:p w14:paraId="2899091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CMAP00002025</w:t>
            </w:r>
          </w:p>
        </w:tc>
        <w:tc>
          <w:tcPr>
            <w:tcW w:w="1969" w:type="dxa"/>
            <w:vAlign w:val="center"/>
          </w:tcPr>
          <w:p w14:paraId="11FEB80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73E5F9D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6C1B6881" w14:textId="77777777" w:rsidTr="005D1F7E">
        <w:tc>
          <w:tcPr>
            <w:tcW w:w="2112" w:type="dxa"/>
            <w:vMerge w:val="restart"/>
            <w:vAlign w:val="center"/>
          </w:tcPr>
          <w:p w14:paraId="42356AAF" w14:textId="0D3B5AE6"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 Indicadores y Matrices</w:t>
            </w:r>
          </w:p>
        </w:tc>
        <w:tc>
          <w:tcPr>
            <w:tcW w:w="2546" w:type="dxa"/>
          </w:tcPr>
          <w:p w14:paraId="164A9F88"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Ficha Técnica de Diseño de Indicadores Estratégicos de</w:t>
            </w:r>
          </w:p>
          <w:p w14:paraId="47D6E3B8"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Gestión 2025</w:t>
            </w:r>
          </w:p>
        </w:tc>
        <w:tc>
          <w:tcPr>
            <w:tcW w:w="2415" w:type="dxa"/>
            <w:vAlign w:val="center"/>
          </w:tcPr>
          <w:p w14:paraId="19EAF65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FTDIEG00002025</w:t>
            </w:r>
          </w:p>
        </w:tc>
        <w:tc>
          <w:tcPr>
            <w:tcW w:w="1969" w:type="dxa"/>
            <w:vAlign w:val="center"/>
          </w:tcPr>
          <w:p w14:paraId="65F9420B"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2667830E"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6B52FD02" w14:textId="77777777" w:rsidTr="005D1F7E">
        <w:tc>
          <w:tcPr>
            <w:tcW w:w="2112" w:type="dxa"/>
            <w:vMerge/>
            <w:vAlign w:val="center"/>
          </w:tcPr>
          <w:p w14:paraId="72851472"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766E55B8"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Matriz de Indicadores para Resultados por Programa Presupuestario y Dependencia</w:t>
            </w:r>
          </w:p>
          <w:p w14:paraId="01DB5AE0"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General</w:t>
            </w:r>
          </w:p>
        </w:tc>
        <w:tc>
          <w:tcPr>
            <w:tcW w:w="2415" w:type="dxa"/>
            <w:vAlign w:val="center"/>
          </w:tcPr>
          <w:p w14:paraId="5739ED8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MIRPPDG00002025</w:t>
            </w:r>
          </w:p>
        </w:tc>
        <w:tc>
          <w:tcPr>
            <w:tcW w:w="1969" w:type="dxa"/>
            <w:vAlign w:val="center"/>
          </w:tcPr>
          <w:p w14:paraId="645B6AE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22211C9A"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3D0CB46B" w14:textId="77777777" w:rsidTr="005D1F7E">
        <w:tc>
          <w:tcPr>
            <w:tcW w:w="2112" w:type="dxa"/>
            <w:vMerge w:val="restart"/>
            <w:vAlign w:val="center"/>
          </w:tcPr>
          <w:p w14:paraId="69C1375A" w14:textId="391AD144"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lastRenderedPageBreak/>
              <w:t>D) Ingresos</w:t>
            </w:r>
          </w:p>
        </w:tc>
        <w:tc>
          <w:tcPr>
            <w:tcW w:w="2546" w:type="dxa"/>
          </w:tcPr>
          <w:p w14:paraId="34755AD4"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Presupuesto de Ingresos</w:t>
            </w:r>
          </w:p>
        </w:tc>
        <w:tc>
          <w:tcPr>
            <w:tcW w:w="2415" w:type="dxa"/>
            <w:vAlign w:val="center"/>
          </w:tcPr>
          <w:p w14:paraId="152A366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PI00002025</w:t>
            </w:r>
          </w:p>
        </w:tc>
        <w:tc>
          <w:tcPr>
            <w:tcW w:w="1969" w:type="dxa"/>
            <w:vAlign w:val="center"/>
          </w:tcPr>
          <w:p w14:paraId="0F7600E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253EF284" w14:textId="77777777" w:rsidTr="005D1F7E">
        <w:tc>
          <w:tcPr>
            <w:tcW w:w="2112" w:type="dxa"/>
            <w:vMerge/>
            <w:vAlign w:val="center"/>
          </w:tcPr>
          <w:p w14:paraId="2B72504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5B7F753C"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Presupuesto de Ingresos Detallado</w:t>
            </w:r>
          </w:p>
        </w:tc>
        <w:tc>
          <w:tcPr>
            <w:tcW w:w="2415" w:type="dxa"/>
            <w:vAlign w:val="center"/>
          </w:tcPr>
          <w:p w14:paraId="43C161C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PID00002025</w:t>
            </w:r>
          </w:p>
        </w:tc>
        <w:tc>
          <w:tcPr>
            <w:tcW w:w="1969" w:type="dxa"/>
            <w:vAlign w:val="center"/>
          </w:tcPr>
          <w:p w14:paraId="6CD0E71B"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tc>
      </w:tr>
      <w:tr w:rsidR="005D1F7E" w:rsidRPr="005D1F7E" w14:paraId="43812507" w14:textId="77777777" w:rsidTr="005D1F7E">
        <w:tc>
          <w:tcPr>
            <w:tcW w:w="2112" w:type="dxa"/>
            <w:vMerge/>
            <w:vAlign w:val="center"/>
          </w:tcPr>
          <w:p w14:paraId="7AEA879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1260C3AA"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Carátula de Presupuesto de</w:t>
            </w:r>
          </w:p>
          <w:p w14:paraId="253F0489"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Ingresos</w:t>
            </w:r>
          </w:p>
        </w:tc>
        <w:tc>
          <w:tcPr>
            <w:tcW w:w="2415" w:type="dxa"/>
            <w:vAlign w:val="center"/>
          </w:tcPr>
          <w:p w14:paraId="7D9DC2F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CPI00002025</w:t>
            </w:r>
          </w:p>
        </w:tc>
        <w:tc>
          <w:tcPr>
            <w:tcW w:w="1969" w:type="dxa"/>
            <w:vAlign w:val="center"/>
          </w:tcPr>
          <w:p w14:paraId="284CD38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265C71A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0A81D7E7" w14:textId="77777777" w:rsidTr="005D1F7E">
        <w:tc>
          <w:tcPr>
            <w:tcW w:w="2112" w:type="dxa"/>
            <w:vMerge w:val="restart"/>
            <w:vAlign w:val="center"/>
          </w:tcPr>
          <w:p w14:paraId="4C766611" w14:textId="50954402"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E) Egresos</w:t>
            </w:r>
          </w:p>
        </w:tc>
        <w:tc>
          <w:tcPr>
            <w:tcW w:w="2546" w:type="dxa"/>
          </w:tcPr>
          <w:p w14:paraId="753682EC"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Presupuesto de Egresos Detallado</w:t>
            </w:r>
          </w:p>
        </w:tc>
        <w:tc>
          <w:tcPr>
            <w:tcW w:w="2415" w:type="dxa"/>
            <w:vAlign w:val="center"/>
          </w:tcPr>
          <w:p w14:paraId="47499564"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PED00002025</w:t>
            </w:r>
          </w:p>
        </w:tc>
        <w:tc>
          <w:tcPr>
            <w:tcW w:w="1969" w:type="dxa"/>
            <w:vAlign w:val="center"/>
          </w:tcPr>
          <w:p w14:paraId="6CF4E854"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6FBFC27F" w14:textId="77777777" w:rsidTr="005D1F7E">
        <w:tc>
          <w:tcPr>
            <w:tcW w:w="2112" w:type="dxa"/>
            <w:vMerge/>
            <w:vAlign w:val="center"/>
          </w:tcPr>
          <w:p w14:paraId="3244764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063DD2BF" w14:textId="4F74C45D"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Presupuesto de Egresos Global</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Calendarizado</w:t>
            </w:r>
          </w:p>
        </w:tc>
        <w:tc>
          <w:tcPr>
            <w:tcW w:w="2415" w:type="dxa"/>
            <w:vAlign w:val="center"/>
          </w:tcPr>
          <w:p w14:paraId="0CCA9C5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PEGC00002025</w:t>
            </w:r>
          </w:p>
        </w:tc>
        <w:tc>
          <w:tcPr>
            <w:tcW w:w="1969" w:type="dxa"/>
            <w:vAlign w:val="center"/>
          </w:tcPr>
          <w:p w14:paraId="53DC7CD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4CAEFA2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7A73F96F" w14:textId="77777777" w:rsidTr="005D1F7E">
        <w:tc>
          <w:tcPr>
            <w:tcW w:w="2112" w:type="dxa"/>
            <w:vMerge/>
            <w:vAlign w:val="center"/>
          </w:tcPr>
          <w:p w14:paraId="2A95668B"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484FA8BF" w14:textId="412BD3E4"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Carátula de Presupuesto de</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Egresos</w:t>
            </w:r>
          </w:p>
        </w:tc>
        <w:tc>
          <w:tcPr>
            <w:tcW w:w="2415" w:type="dxa"/>
            <w:vAlign w:val="center"/>
          </w:tcPr>
          <w:p w14:paraId="3309841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CPE00002025</w:t>
            </w:r>
          </w:p>
        </w:tc>
        <w:tc>
          <w:tcPr>
            <w:tcW w:w="1969" w:type="dxa"/>
            <w:vAlign w:val="center"/>
          </w:tcPr>
          <w:p w14:paraId="0F1C9AD5"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76C8D4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7ABC1AF7" w14:textId="77777777" w:rsidTr="005D1F7E">
        <w:tc>
          <w:tcPr>
            <w:tcW w:w="2112" w:type="dxa"/>
            <w:vMerge/>
            <w:vAlign w:val="center"/>
          </w:tcPr>
          <w:p w14:paraId="4E351D1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66A91E38"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Tabulador de Sueldos</w:t>
            </w:r>
          </w:p>
        </w:tc>
        <w:tc>
          <w:tcPr>
            <w:tcW w:w="2415" w:type="dxa"/>
            <w:vAlign w:val="center"/>
          </w:tcPr>
          <w:p w14:paraId="00F92CA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TS00002025</w:t>
            </w:r>
          </w:p>
        </w:tc>
        <w:tc>
          <w:tcPr>
            <w:tcW w:w="1969" w:type="dxa"/>
            <w:vAlign w:val="center"/>
          </w:tcPr>
          <w:p w14:paraId="7232C221"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204E666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29486FDF" w14:textId="77777777" w:rsidTr="005D1F7E">
        <w:tc>
          <w:tcPr>
            <w:tcW w:w="2112" w:type="dxa"/>
            <w:vMerge/>
            <w:vAlign w:val="center"/>
          </w:tcPr>
          <w:p w14:paraId="1D637EDA"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0D063442"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de Adquisiciones</w:t>
            </w:r>
          </w:p>
        </w:tc>
        <w:tc>
          <w:tcPr>
            <w:tcW w:w="2415" w:type="dxa"/>
            <w:vAlign w:val="center"/>
          </w:tcPr>
          <w:p w14:paraId="420F914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PAA00002025</w:t>
            </w:r>
          </w:p>
        </w:tc>
        <w:tc>
          <w:tcPr>
            <w:tcW w:w="1969" w:type="dxa"/>
            <w:vAlign w:val="center"/>
          </w:tcPr>
          <w:p w14:paraId="6A445D2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BB77D22"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1CCFEAAA" w14:textId="77777777" w:rsidTr="005D1F7E">
        <w:tc>
          <w:tcPr>
            <w:tcW w:w="2112" w:type="dxa"/>
            <w:vMerge/>
            <w:vAlign w:val="center"/>
          </w:tcPr>
          <w:p w14:paraId="5AF894C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0D707D2C"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de Obra</w:t>
            </w:r>
          </w:p>
        </w:tc>
        <w:tc>
          <w:tcPr>
            <w:tcW w:w="2415" w:type="dxa"/>
            <w:vAlign w:val="center"/>
          </w:tcPr>
          <w:p w14:paraId="2F7EC38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PAO00002025</w:t>
            </w:r>
          </w:p>
        </w:tc>
        <w:tc>
          <w:tcPr>
            <w:tcW w:w="1969" w:type="dxa"/>
            <w:vAlign w:val="center"/>
          </w:tcPr>
          <w:p w14:paraId="2D1FAA8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32DE7F8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24945E0E" w14:textId="77777777" w:rsidTr="005D1F7E">
        <w:tc>
          <w:tcPr>
            <w:tcW w:w="2112" w:type="dxa"/>
            <w:vMerge/>
            <w:vAlign w:val="center"/>
          </w:tcPr>
          <w:p w14:paraId="6F6A363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p>
        </w:tc>
        <w:tc>
          <w:tcPr>
            <w:tcW w:w="2546" w:type="dxa"/>
          </w:tcPr>
          <w:p w14:paraId="58AE3671"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de Obra (Reparaciones y Mantenimiento)</w:t>
            </w:r>
          </w:p>
        </w:tc>
        <w:tc>
          <w:tcPr>
            <w:tcW w:w="2415" w:type="dxa"/>
            <w:vAlign w:val="center"/>
          </w:tcPr>
          <w:p w14:paraId="2E6B66E4"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PAORM00002025</w:t>
            </w:r>
          </w:p>
        </w:tc>
        <w:tc>
          <w:tcPr>
            <w:tcW w:w="1969" w:type="dxa"/>
            <w:vAlign w:val="center"/>
          </w:tcPr>
          <w:p w14:paraId="69570A7F"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4B3AA9E4"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470407BD" w14:textId="77777777" w:rsidTr="005D1F7E">
        <w:tc>
          <w:tcPr>
            <w:tcW w:w="2112" w:type="dxa"/>
            <w:vMerge w:val="restart"/>
            <w:vAlign w:val="center"/>
          </w:tcPr>
          <w:p w14:paraId="4385B9DA" w14:textId="7143C97A"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F) Ley de Disciplina</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Financiera de las</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 xml:space="preserve">Entidades </w:t>
            </w:r>
            <w:r>
              <w:rPr>
                <w:rFonts w:ascii="Palatino Linotype" w:hAnsi="Palatino Linotype" w:cs="Arial"/>
                <w:color w:val="000000"/>
                <w:sz w:val="20"/>
                <w:szCs w:val="20"/>
                <w:lang w:val="es-ES_tradnl"/>
              </w:rPr>
              <w:t>F</w:t>
            </w:r>
            <w:r w:rsidRPr="005D1F7E">
              <w:rPr>
                <w:rFonts w:ascii="Palatino Linotype" w:hAnsi="Palatino Linotype" w:cs="Arial"/>
                <w:color w:val="000000"/>
                <w:sz w:val="20"/>
                <w:szCs w:val="20"/>
                <w:lang w:val="es-ES_tradnl"/>
              </w:rPr>
              <w:t>ederativas y</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los Municipios</w:t>
            </w:r>
          </w:p>
        </w:tc>
        <w:tc>
          <w:tcPr>
            <w:tcW w:w="2546" w:type="dxa"/>
          </w:tcPr>
          <w:p w14:paraId="7C37AD98"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Proyecciones de Ingresos – LDF</w:t>
            </w:r>
          </w:p>
        </w:tc>
        <w:tc>
          <w:tcPr>
            <w:tcW w:w="2415" w:type="dxa"/>
            <w:vAlign w:val="center"/>
          </w:tcPr>
          <w:p w14:paraId="7F0B9268"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PILDF00002025</w:t>
            </w:r>
          </w:p>
        </w:tc>
        <w:tc>
          <w:tcPr>
            <w:tcW w:w="1969" w:type="dxa"/>
            <w:vAlign w:val="center"/>
          </w:tcPr>
          <w:p w14:paraId="79FC991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6A89E430"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137E57C5" w14:textId="77777777" w:rsidTr="005D1F7E">
        <w:tc>
          <w:tcPr>
            <w:tcW w:w="2112" w:type="dxa"/>
            <w:vMerge/>
          </w:tcPr>
          <w:p w14:paraId="00A9B2A2"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0936A395"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Proyecciones de Egresos – LDF</w:t>
            </w:r>
          </w:p>
        </w:tc>
        <w:tc>
          <w:tcPr>
            <w:tcW w:w="2415" w:type="dxa"/>
            <w:vAlign w:val="center"/>
          </w:tcPr>
          <w:p w14:paraId="102E3D7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PELDF00002025</w:t>
            </w:r>
          </w:p>
        </w:tc>
        <w:tc>
          <w:tcPr>
            <w:tcW w:w="1969" w:type="dxa"/>
            <w:vAlign w:val="center"/>
          </w:tcPr>
          <w:p w14:paraId="58F97F6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769A2B5C"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0D75836A" w14:textId="77777777" w:rsidTr="005D1F7E">
        <w:tc>
          <w:tcPr>
            <w:tcW w:w="2112" w:type="dxa"/>
            <w:vMerge/>
          </w:tcPr>
          <w:p w14:paraId="70F9D10B"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3AD580D7"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Resultado de Ingresos – LDF</w:t>
            </w:r>
          </w:p>
        </w:tc>
        <w:tc>
          <w:tcPr>
            <w:tcW w:w="2415" w:type="dxa"/>
            <w:vAlign w:val="center"/>
          </w:tcPr>
          <w:p w14:paraId="2BBC9D0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RILDF00002025</w:t>
            </w:r>
          </w:p>
        </w:tc>
        <w:tc>
          <w:tcPr>
            <w:tcW w:w="1969" w:type="dxa"/>
            <w:vAlign w:val="center"/>
          </w:tcPr>
          <w:p w14:paraId="7DE12F71"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42E605B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56384E4C" w14:textId="77777777" w:rsidTr="005D1F7E">
        <w:tc>
          <w:tcPr>
            <w:tcW w:w="2112" w:type="dxa"/>
            <w:vMerge/>
          </w:tcPr>
          <w:p w14:paraId="703F35BF"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43FDE216"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Resultado de Egresos – LDF</w:t>
            </w:r>
          </w:p>
        </w:tc>
        <w:tc>
          <w:tcPr>
            <w:tcW w:w="2415" w:type="dxa"/>
            <w:vAlign w:val="center"/>
          </w:tcPr>
          <w:p w14:paraId="7DD75003"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RELDF00002025</w:t>
            </w:r>
          </w:p>
        </w:tc>
        <w:tc>
          <w:tcPr>
            <w:tcW w:w="1969" w:type="dxa"/>
            <w:vAlign w:val="center"/>
          </w:tcPr>
          <w:p w14:paraId="4825841E"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624A44A5"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39088D1F" w14:textId="77777777" w:rsidTr="005D1F7E">
        <w:tc>
          <w:tcPr>
            <w:tcW w:w="2112" w:type="dxa"/>
            <w:vMerge/>
          </w:tcPr>
          <w:p w14:paraId="4920AA14"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26222426" w14:textId="769815FD"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Remuneraciones de Servidores</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Públicos</w:t>
            </w:r>
          </w:p>
        </w:tc>
        <w:tc>
          <w:tcPr>
            <w:tcW w:w="2415" w:type="dxa"/>
            <w:vAlign w:val="center"/>
          </w:tcPr>
          <w:p w14:paraId="06D1921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RSP00002025</w:t>
            </w:r>
          </w:p>
        </w:tc>
        <w:tc>
          <w:tcPr>
            <w:tcW w:w="1969" w:type="dxa"/>
            <w:vAlign w:val="center"/>
          </w:tcPr>
          <w:p w14:paraId="30DE0606"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099D83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r w:rsidR="005D1F7E" w:rsidRPr="005D1F7E" w14:paraId="612219BF" w14:textId="77777777" w:rsidTr="005D1F7E">
        <w:tc>
          <w:tcPr>
            <w:tcW w:w="2112" w:type="dxa"/>
            <w:vMerge/>
          </w:tcPr>
          <w:p w14:paraId="181AC19F"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p>
        </w:tc>
        <w:tc>
          <w:tcPr>
            <w:tcW w:w="2546" w:type="dxa"/>
          </w:tcPr>
          <w:p w14:paraId="55829EB1"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Descripción de los riesgos</w:t>
            </w:r>
          </w:p>
          <w:p w14:paraId="46D0EDDC" w14:textId="6A5E6124"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relevantes para las finanzas</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públicas, incluyendo los montos de</w:t>
            </w:r>
          </w:p>
          <w:p w14:paraId="73B2AE31" w14:textId="3C6D167A"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deuda contingente, acompañados</w:t>
            </w:r>
            <w:r>
              <w:rPr>
                <w:rFonts w:ascii="Palatino Linotype" w:hAnsi="Palatino Linotype" w:cs="Arial"/>
                <w:color w:val="000000"/>
                <w:sz w:val="20"/>
                <w:szCs w:val="20"/>
                <w:lang w:val="es-ES_tradnl"/>
              </w:rPr>
              <w:t xml:space="preserve"> </w:t>
            </w:r>
            <w:r w:rsidRPr="005D1F7E">
              <w:rPr>
                <w:rFonts w:ascii="Palatino Linotype" w:hAnsi="Palatino Linotype" w:cs="Arial"/>
                <w:color w:val="000000"/>
                <w:sz w:val="20"/>
                <w:szCs w:val="20"/>
                <w:lang w:val="es-ES_tradnl"/>
              </w:rPr>
              <w:t>de propuestas de acción para</w:t>
            </w:r>
          </w:p>
          <w:p w14:paraId="28D17667"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enfrentarlos-LDF (Formato Libre)</w:t>
            </w:r>
          </w:p>
        </w:tc>
        <w:tc>
          <w:tcPr>
            <w:tcW w:w="2415" w:type="dxa"/>
            <w:vAlign w:val="center"/>
          </w:tcPr>
          <w:p w14:paraId="06B816C7"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DRRFP00002025</w:t>
            </w:r>
          </w:p>
        </w:tc>
        <w:tc>
          <w:tcPr>
            <w:tcW w:w="1969" w:type="dxa"/>
            <w:vAlign w:val="center"/>
          </w:tcPr>
          <w:p w14:paraId="5F4E7D19"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tc>
      </w:tr>
      <w:tr w:rsidR="005D1F7E" w:rsidRPr="005D1F7E" w14:paraId="00E4D077" w14:textId="77777777" w:rsidTr="005D1F7E">
        <w:tc>
          <w:tcPr>
            <w:tcW w:w="2112" w:type="dxa"/>
          </w:tcPr>
          <w:p w14:paraId="7442A347" w14:textId="77777777" w:rsidR="005D1F7E" w:rsidRPr="005D1F7E" w:rsidRDefault="005D1F7E" w:rsidP="005D1F7E">
            <w:pPr>
              <w:pStyle w:val="Prrafodelista"/>
              <w:autoSpaceDE w:val="0"/>
              <w:autoSpaceDN w:val="0"/>
              <w:adjustRightInd w:val="0"/>
              <w:ind w:left="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lastRenderedPageBreak/>
              <w:t xml:space="preserve">G) Bienes Muebles </w:t>
            </w:r>
          </w:p>
        </w:tc>
        <w:tc>
          <w:tcPr>
            <w:tcW w:w="2546" w:type="dxa"/>
          </w:tcPr>
          <w:p w14:paraId="3B7ED467"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Programa Anual para la Disposición</w:t>
            </w:r>
          </w:p>
          <w:p w14:paraId="0BA745C5" w14:textId="77777777" w:rsidR="005D1F7E" w:rsidRPr="005D1F7E" w:rsidRDefault="005D1F7E" w:rsidP="005D1F7E">
            <w:pPr>
              <w:autoSpaceDE w:val="0"/>
              <w:autoSpaceDN w:val="0"/>
              <w:adjustRightInd w:val="0"/>
              <w:jc w:val="both"/>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Final de Bienes Muebles</w:t>
            </w:r>
          </w:p>
        </w:tc>
        <w:tc>
          <w:tcPr>
            <w:tcW w:w="2415" w:type="dxa"/>
            <w:vAlign w:val="center"/>
          </w:tcPr>
          <w:p w14:paraId="2B2C3B95"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PADFBM00002025</w:t>
            </w:r>
          </w:p>
        </w:tc>
        <w:tc>
          <w:tcPr>
            <w:tcW w:w="1969" w:type="dxa"/>
            <w:vAlign w:val="center"/>
          </w:tcPr>
          <w:p w14:paraId="5AF692A0"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Excel</w:t>
            </w:r>
          </w:p>
          <w:p w14:paraId="4063F99D"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PDF</w:t>
            </w:r>
          </w:p>
          <w:p w14:paraId="566BCEAE" w14:textId="77777777" w:rsidR="005D1F7E" w:rsidRPr="005D1F7E" w:rsidRDefault="005D1F7E" w:rsidP="005D1F7E">
            <w:pPr>
              <w:pStyle w:val="Prrafodelista"/>
              <w:autoSpaceDE w:val="0"/>
              <w:autoSpaceDN w:val="0"/>
              <w:adjustRightInd w:val="0"/>
              <w:ind w:left="0"/>
              <w:jc w:val="center"/>
              <w:rPr>
                <w:rFonts w:ascii="Palatino Linotype" w:hAnsi="Palatino Linotype" w:cs="Arial"/>
                <w:color w:val="000000"/>
                <w:sz w:val="20"/>
                <w:szCs w:val="20"/>
                <w:lang w:val="es-ES_tradnl"/>
              </w:rPr>
            </w:pPr>
            <w:r w:rsidRPr="005D1F7E">
              <w:rPr>
                <w:rFonts w:ascii="Palatino Linotype" w:hAnsi="Palatino Linotype" w:cs="Arial"/>
                <w:color w:val="000000"/>
                <w:sz w:val="20"/>
                <w:szCs w:val="20"/>
                <w:lang w:val="es-ES_tradnl"/>
              </w:rPr>
              <w:t>TXT</w:t>
            </w:r>
          </w:p>
        </w:tc>
      </w:tr>
    </w:tbl>
    <w:p w14:paraId="5AEC5FD7" w14:textId="77777777" w:rsidR="005D1F7E" w:rsidRDefault="005D1F7E" w:rsidP="00951D08">
      <w:pPr>
        <w:spacing w:line="360" w:lineRule="auto"/>
        <w:jc w:val="both"/>
        <w:rPr>
          <w:rFonts w:ascii="Palatino Linotype" w:hAnsi="Palatino Linotype"/>
          <w:bCs/>
          <w:sz w:val="24"/>
          <w:szCs w:val="24"/>
        </w:rPr>
      </w:pPr>
    </w:p>
    <w:p w14:paraId="72AA4FC1" w14:textId="77777777" w:rsidR="005D1F7E" w:rsidRDefault="005D1F7E" w:rsidP="00951D08">
      <w:pPr>
        <w:spacing w:line="360" w:lineRule="auto"/>
        <w:jc w:val="both"/>
        <w:rPr>
          <w:rFonts w:ascii="Palatino Linotype" w:hAnsi="Palatino Linotype"/>
          <w:bCs/>
          <w:sz w:val="24"/>
          <w:szCs w:val="24"/>
        </w:rPr>
      </w:pPr>
    </w:p>
    <w:p w14:paraId="5A126AE4" w14:textId="037F51E3" w:rsidR="00E47F81" w:rsidRPr="003721AF" w:rsidRDefault="00E47F81" w:rsidP="0078025C">
      <w:pPr>
        <w:pStyle w:val="Sinespaciado"/>
        <w:spacing w:line="360" w:lineRule="auto"/>
        <w:jc w:val="both"/>
        <w:rPr>
          <w:rFonts w:ascii="Palatino Linotype" w:hAnsi="Palatino Linotype" w:cs="Arial"/>
        </w:rPr>
      </w:pPr>
      <w:r>
        <w:rPr>
          <w:rFonts w:ascii="Palatino Linotype" w:hAnsi="Palatino Linotype" w:cs="Arial"/>
        </w:rPr>
        <w:t>Se quiere con ello significar</w:t>
      </w:r>
      <w:r w:rsidRPr="00EC5B60">
        <w:rPr>
          <w:rFonts w:ascii="Palatino Linotype" w:hAnsi="Palatino Linotype" w:cs="Arial"/>
        </w:rPr>
        <w:t>, en términos de los</w:t>
      </w:r>
      <w:r w:rsidRPr="003721AF">
        <w:rPr>
          <w:rFonts w:ascii="Palatino Linotype" w:hAnsi="Palatino Linotype" w:cs="Arial"/>
        </w:rPr>
        <w:t xml:space="preserve">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9B99DA" w14:textId="77777777" w:rsidR="00E47F81" w:rsidRPr="003721AF" w:rsidRDefault="00E47F81" w:rsidP="00E47F81">
      <w:pPr>
        <w:pStyle w:val="Citas"/>
      </w:pPr>
      <w:r w:rsidRPr="003721AF">
        <w:t xml:space="preserve">“Artículo 18. Los sujetos obligados deberán documentar todo acto que derive del ejercicio de sus facultades, competencias o funciones, considerando desde su origen la eventual publicidad y reutilización de la información que generen. </w:t>
      </w:r>
    </w:p>
    <w:p w14:paraId="5F69FEAF" w14:textId="77777777" w:rsidR="00E47F81" w:rsidRPr="003721AF" w:rsidRDefault="00E47F81" w:rsidP="00E47F81">
      <w:pPr>
        <w:pStyle w:val="Citas"/>
      </w:pPr>
      <w:r w:rsidRPr="003721AF">
        <w:t xml:space="preserve">Artículo 19. Se presume que la información debe existir si se refiere a las facultades, competencias y funciones que los ordenamientos jurídicos aplicables otorgan a los sujetos obligados. </w:t>
      </w:r>
    </w:p>
    <w:p w14:paraId="005C6C26" w14:textId="77777777" w:rsidR="00E47F81" w:rsidRPr="003721AF" w:rsidRDefault="00E47F81" w:rsidP="00E47F81">
      <w:pPr>
        <w:pStyle w:val="Citas"/>
      </w:pPr>
      <w:r w:rsidRPr="003721AF">
        <w:t xml:space="preserve">En los casos en que ciertas facultades, competencias o funciones no se hayan ejercido, se debe motivar la respuesta en función de las causas que motiven tal circunstancia. </w:t>
      </w:r>
    </w:p>
    <w:p w14:paraId="74ADA8D8" w14:textId="77777777" w:rsidR="00E47F81" w:rsidRPr="003721AF" w:rsidRDefault="00E47F81" w:rsidP="00E47F81">
      <w:pPr>
        <w:pStyle w:val="Citas"/>
        <w:rPr>
          <w:b/>
          <w:bCs/>
          <w:sz w:val="24"/>
          <w:szCs w:val="24"/>
        </w:rPr>
      </w:pPr>
      <w:r w:rsidRPr="003721A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721AF">
        <w:rPr>
          <w:b/>
          <w:bCs/>
        </w:rPr>
        <w:t>(Sic)</w:t>
      </w:r>
    </w:p>
    <w:p w14:paraId="45336BC5" w14:textId="77777777" w:rsidR="00E47F81" w:rsidRDefault="00E47F81" w:rsidP="00E47F81">
      <w:pPr>
        <w:spacing w:before="240" w:line="360" w:lineRule="auto"/>
        <w:jc w:val="both"/>
        <w:rPr>
          <w:rFonts w:ascii="Palatino Linotype" w:hAnsi="Palatino Linotype"/>
          <w:sz w:val="24"/>
          <w:szCs w:val="24"/>
        </w:rPr>
      </w:pPr>
    </w:p>
    <w:p w14:paraId="7BA86D6A" w14:textId="0E3DFD3A" w:rsidR="008200B2" w:rsidRPr="0078025C" w:rsidRDefault="00E47F81" w:rsidP="0078025C">
      <w:pPr>
        <w:spacing w:before="240" w:line="360" w:lineRule="auto"/>
        <w:jc w:val="both"/>
        <w:rPr>
          <w:rFonts w:ascii="Palatino Linotype" w:hAnsi="Palatino Linotype"/>
          <w:sz w:val="24"/>
          <w:szCs w:val="24"/>
        </w:rPr>
      </w:pPr>
      <w:r w:rsidRPr="0078025C">
        <w:rPr>
          <w:rFonts w:ascii="Palatino Linotype" w:hAnsi="Palatino Linotype"/>
          <w:sz w:val="24"/>
          <w:szCs w:val="24"/>
        </w:rPr>
        <w:lastRenderedPageBreak/>
        <w:t xml:space="preserve">Una vez sentado lo anterior, como se mencionó en el antecedente segundo, </w:t>
      </w:r>
      <w:r w:rsidRPr="0078025C">
        <w:rPr>
          <w:rFonts w:ascii="Palatino Linotype" w:hAnsi="Palatino Linotype"/>
          <w:b/>
          <w:bCs/>
          <w:sz w:val="24"/>
          <w:szCs w:val="24"/>
        </w:rPr>
        <w:t xml:space="preserve">El Sujeto Obligado </w:t>
      </w:r>
      <w:r w:rsidR="008200B2" w:rsidRPr="0078025C">
        <w:rPr>
          <w:rFonts w:ascii="Palatino Linotype" w:hAnsi="Palatino Linotype"/>
          <w:sz w:val="24"/>
          <w:szCs w:val="24"/>
        </w:rPr>
        <w:t xml:space="preserve">fue omiso en rendir respuesta a </w:t>
      </w:r>
      <w:r w:rsidR="00951D08">
        <w:rPr>
          <w:rFonts w:ascii="Palatino Linotype" w:hAnsi="Palatino Linotype"/>
          <w:sz w:val="24"/>
          <w:szCs w:val="24"/>
        </w:rPr>
        <w:t xml:space="preserve">la solicitud de información. En este tenor, resulta evidente que las razones o motivos de inconformidad hechos valer por </w:t>
      </w:r>
      <w:r w:rsidR="00951D08">
        <w:rPr>
          <w:rFonts w:ascii="Palatino Linotype" w:hAnsi="Palatino Linotype"/>
          <w:b/>
          <w:bCs/>
          <w:sz w:val="24"/>
          <w:szCs w:val="24"/>
        </w:rPr>
        <w:t xml:space="preserve">El Recurrente, </w:t>
      </w:r>
      <w:r w:rsidR="00951D08">
        <w:rPr>
          <w:rFonts w:ascii="Palatino Linotype" w:hAnsi="Palatino Linotype"/>
          <w:sz w:val="24"/>
          <w:szCs w:val="24"/>
        </w:rPr>
        <w:t xml:space="preserve">resultan fundados y procedentes, </w:t>
      </w:r>
      <w:r w:rsidR="008200B2" w:rsidRPr="0078025C">
        <w:rPr>
          <w:rFonts w:ascii="Palatino Linotype" w:hAnsi="Palatino Linotype" w:cs="Arial"/>
          <w:sz w:val="24"/>
          <w:szCs w:val="24"/>
        </w:rPr>
        <w:t xml:space="preserve">en virtud de que, como consta en el expediente electrónico del </w:t>
      </w:r>
      <w:r w:rsidR="008200B2" w:rsidRPr="0078025C">
        <w:rPr>
          <w:rFonts w:ascii="Palatino Linotype" w:hAnsi="Palatino Linotype" w:cs="Arial"/>
          <w:b/>
          <w:sz w:val="24"/>
          <w:szCs w:val="24"/>
        </w:rPr>
        <w:t xml:space="preserve">SAIMEX, </w:t>
      </w:r>
      <w:r w:rsidR="008200B2" w:rsidRPr="0078025C">
        <w:rPr>
          <w:rFonts w:ascii="Palatino Linotype" w:hAnsi="Palatino Linotype" w:cs="Arial"/>
          <w:sz w:val="24"/>
          <w:szCs w:val="24"/>
        </w:rPr>
        <w:t xml:space="preserve">se acredita que </w:t>
      </w:r>
      <w:r w:rsidR="008200B2" w:rsidRPr="0078025C">
        <w:rPr>
          <w:rFonts w:ascii="Palatino Linotype" w:hAnsi="Palatino Linotype" w:cs="Arial"/>
          <w:b/>
          <w:sz w:val="24"/>
          <w:szCs w:val="24"/>
        </w:rPr>
        <w:t xml:space="preserve">El Sujeto Obligado </w:t>
      </w:r>
      <w:r w:rsidR="008200B2" w:rsidRPr="0078025C">
        <w:rPr>
          <w:rFonts w:ascii="Palatino Linotype" w:hAnsi="Palatino Linotype" w:cs="Arial"/>
          <w:sz w:val="24"/>
          <w:szCs w:val="24"/>
        </w:rPr>
        <w:t xml:space="preserve">fue omiso en responder la solicitud de información hecha por </w:t>
      </w:r>
      <w:r w:rsidR="008200B2" w:rsidRPr="0078025C">
        <w:rPr>
          <w:rFonts w:ascii="Palatino Linotype" w:hAnsi="Palatino Linotype" w:cs="Arial"/>
          <w:b/>
          <w:bCs/>
          <w:sz w:val="24"/>
          <w:szCs w:val="24"/>
        </w:rPr>
        <w:t>El Recurrente</w:t>
      </w:r>
      <w:r w:rsidR="00EB4BF4">
        <w:rPr>
          <w:rFonts w:ascii="Palatino Linotype" w:hAnsi="Palatino Linotype" w:cs="Arial"/>
          <w:b/>
          <w:bCs/>
          <w:sz w:val="24"/>
          <w:szCs w:val="24"/>
        </w:rPr>
        <w:t>.</w:t>
      </w:r>
      <w:r w:rsidR="008200B2" w:rsidRPr="0078025C">
        <w:rPr>
          <w:rFonts w:ascii="Palatino Linotype" w:hAnsi="Palatino Linotype" w:cstheme="minorHAnsi"/>
          <w:bCs/>
          <w:sz w:val="24"/>
          <w:szCs w:val="24"/>
          <w:lang w:val="es-ES_tradnl"/>
        </w:rPr>
        <w:t xml:space="preserve">  </w:t>
      </w:r>
    </w:p>
    <w:p w14:paraId="077A64B6" w14:textId="77777777" w:rsidR="008200B2" w:rsidRDefault="008200B2" w:rsidP="008200B2">
      <w:pPr>
        <w:pStyle w:val="Prrafodelista"/>
        <w:autoSpaceDE w:val="0"/>
        <w:autoSpaceDN w:val="0"/>
        <w:adjustRightInd w:val="0"/>
        <w:spacing w:line="360" w:lineRule="auto"/>
        <w:ind w:left="0"/>
        <w:jc w:val="both"/>
        <w:rPr>
          <w:rFonts w:ascii="Palatino Linotype" w:hAnsi="Palatino Linotype" w:cs="Arial"/>
        </w:rPr>
      </w:pPr>
    </w:p>
    <w:p w14:paraId="7D764E7D" w14:textId="77777777" w:rsidR="008200B2" w:rsidRPr="00CF0F1D" w:rsidRDefault="008200B2" w:rsidP="008200B2">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t xml:space="preserve">Por otra parte, al referirnos al acto impugnado por </w:t>
      </w:r>
      <w:r>
        <w:rPr>
          <w:rFonts w:ascii="Palatino Linotype" w:hAnsi="Palatino Linotype" w:cs="Arial"/>
          <w:b/>
        </w:rPr>
        <w:t>El</w:t>
      </w:r>
      <w:r w:rsidRPr="00CF0F1D">
        <w:rPr>
          <w:rFonts w:ascii="Palatino Linotype" w:hAnsi="Palatino Linotype" w:cs="Arial"/>
          <w:b/>
        </w:rPr>
        <w:t xml:space="preserve"> Recurrente</w:t>
      </w:r>
      <w:r w:rsidRPr="00CF0F1D">
        <w:rPr>
          <w:rFonts w:ascii="Palatino Linotype" w:hAnsi="Palatino Linotype" w:cs="Arial"/>
        </w:rPr>
        <w:t xml:space="preserve">, </w:t>
      </w:r>
      <w:r w:rsidRPr="009F5B38">
        <w:rPr>
          <w:rFonts w:ascii="Palatino Linotype" w:hAnsi="Palatino Linotype" w:cs="Arial"/>
        </w:rPr>
        <w:t>concatenado con los motivos o razones de inconformidad emitidos</w:t>
      </w:r>
      <w:r>
        <w:rPr>
          <w:rFonts w:ascii="Palatino Linotype" w:hAnsi="Palatino Linotype" w:cs="Arial"/>
        </w:rPr>
        <w:t>,</w:t>
      </w:r>
      <w:r w:rsidRPr="009F5B38">
        <w:rPr>
          <w:rFonts w:ascii="Palatino Linotype" w:hAnsi="Palatino Linotype" w:cs="Arial"/>
        </w:rPr>
        <w:t xml:space="preserve"> </w:t>
      </w:r>
      <w:r w:rsidRPr="00CF0F1D">
        <w:rPr>
          <w:rFonts w:ascii="Palatino Linotype" w:hAnsi="Palatino Linotype" w:cs="Arial"/>
        </w:rPr>
        <w:t>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3EAE1057" w14:textId="77777777" w:rsidR="008200B2" w:rsidRPr="00CF0F1D" w:rsidRDefault="008200B2" w:rsidP="008200B2">
      <w:pPr>
        <w:pStyle w:val="Citas"/>
      </w:pPr>
      <w:r w:rsidRPr="00CF0F1D">
        <w:rPr>
          <w:b/>
          <w:bCs/>
        </w:rPr>
        <w:t xml:space="preserve">“Artículo 179. </w:t>
      </w:r>
      <w:r w:rsidRPr="00CF0F1D">
        <w:t>El recurso de revisión es un medio de protección que la Ley otorga a los particulares, para hacer valer su derecho de acceso a la información pública, y procederá en contra de las siguientes causas:</w:t>
      </w:r>
    </w:p>
    <w:p w14:paraId="36B5A80E" w14:textId="77777777" w:rsidR="008200B2" w:rsidRPr="00CF0F1D" w:rsidRDefault="008200B2" w:rsidP="008200B2">
      <w:pPr>
        <w:pStyle w:val="Citas"/>
      </w:pPr>
      <w:r w:rsidRPr="00CF0F1D">
        <w:rPr>
          <w:b/>
          <w:bCs/>
        </w:rPr>
        <w:t>(…</w:t>
      </w:r>
      <w:r w:rsidRPr="00CF0F1D">
        <w:t>)</w:t>
      </w:r>
    </w:p>
    <w:p w14:paraId="71FD01BE" w14:textId="77777777" w:rsidR="008200B2" w:rsidRPr="00CF0F1D" w:rsidRDefault="008200B2" w:rsidP="008200B2">
      <w:pPr>
        <w:pStyle w:val="Citas"/>
      </w:pPr>
      <w:r w:rsidRPr="00CF0F1D">
        <w:rPr>
          <w:b/>
          <w:bCs/>
        </w:rPr>
        <w:t xml:space="preserve">VII. </w:t>
      </w:r>
      <w:r w:rsidRPr="00CF0F1D">
        <w:t>La falta de respuesta a una solicitud de acceso a la información</w:t>
      </w:r>
    </w:p>
    <w:p w14:paraId="1238BC01" w14:textId="77777777" w:rsidR="008200B2" w:rsidRPr="00CF0F1D" w:rsidRDefault="008200B2" w:rsidP="008200B2">
      <w:pPr>
        <w:pStyle w:val="Citas"/>
        <w:rPr>
          <w:b/>
        </w:rPr>
      </w:pPr>
      <w:r w:rsidRPr="00CF0F1D">
        <w:rPr>
          <w:b/>
        </w:rPr>
        <w:t>(…)”</w:t>
      </w:r>
      <w:r w:rsidRPr="00CF0F1D">
        <w:t xml:space="preserve"> </w:t>
      </w:r>
      <w:r>
        <w:rPr>
          <w:b/>
        </w:rPr>
        <w:t>(Sic)</w:t>
      </w:r>
    </w:p>
    <w:p w14:paraId="7C45DAFB" w14:textId="77777777" w:rsidR="008200B2" w:rsidRDefault="008200B2" w:rsidP="00E47F81">
      <w:pPr>
        <w:spacing w:before="240" w:line="360" w:lineRule="auto"/>
        <w:jc w:val="both"/>
        <w:rPr>
          <w:rFonts w:ascii="Palatino Linotype" w:hAnsi="Palatino Linotype"/>
          <w:sz w:val="24"/>
          <w:szCs w:val="24"/>
        </w:rPr>
      </w:pPr>
    </w:p>
    <w:p w14:paraId="50039C42" w14:textId="33E632CF" w:rsidR="00951D08" w:rsidRDefault="008200B2"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rPr>
        <w:lastRenderedPageBreak/>
        <w:t xml:space="preserve">En contraste, </w:t>
      </w:r>
      <w:r>
        <w:rPr>
          <w:rFonts w:ascii="Palatino Linotype" w:hAnsi="Palatino Linotype" w:cs="Arial"/>
          <w:color w:val="000000"/>
          <w:lang w:val="es-ES_tradnl"/>
        </w:rPr>
        <w:t xml:space="preserve">conforme fue mencionado en el antecedente quinto, </w:t>
      </w:r>
      <w:r>
        <w:rPr>
          <w:rFonts w:ascii="Palatino Linotype" w:hAnsi="Palatino Linotype" w:cs="Arial"/>
          <w:b/>
          <w:color w:val="000000"/>
          <w:lang w:val="es-ES_tradnl"/>
        </w:rPr>
        <w:t xml:space="preserve">El Sujeto Obligado </w:t>
      </w:r>
      <w:r>
        <w:rPr>
          <w:rFonts w:ascii="Palatino Linotype" w:hAnsi="Palatino Linotype" w:cs="Arial"/>
          <w:color w:val="000000"/>
          <w:lang w:val="es-ES_tradnl"/>
        </w:rPr>
        <w:t>rindió su</w:t>
      </w:r>
      <w:r w:rsidR="00951D08">
        <w:rPr>
          <w:rFonts w:ascii="Palatino Linotype" w:hAnsi="Palatino Linotype" w:cs="Arial"/>
          <w:color w:val="000000"/>
          <w:lang w:val="es-ES_tradnl"/>
        </w:rPr>
        <w:t xml:space="preserve"> informe justificado</w:t>
      </w:r>
      <w:r w:rsidR="00D41DD6">
        <w:rPr>
          <w:rFonts w:ascii="Palatino Linotype" w:hAnsi="Palatino Linotype" w:cs="Arial"/>
          <w:color w:val="000000"/>
          <w:lang w:val="es-ES_tradnl"/>
        </w:rPr>
        <w:t xml:space="preserve">, mismo que fue puesto a la vista, sin </w:t>
      </w:r>
      <w:r w:rsidR="00EF191E">
        <w:rPr>
          <w:rFonts w:ascii="Palatino Linotype" w:hAnsi="Palatino Linotype" w:cs="Arial"/>
          <w:color w:val="000000"/>
          <w:lang w:val="es-ES_tradnl"/>
        </w:rPr>
        <w:t>embargo,</w:t>
      </w:r>
      <w:r w:rsidR="00D41DD6">
        <w:rPr>
          <w:rFonts w:ascii="Palatino Linotype" w:hAnsi="Palatino Linotype" w:cs="Arial"/>
          <w:color w:val="000000"/>
          <w:lang w:val="es-ES_tradnl"/>
        </w:rPr>
        <w:t xml:space="preserve"> su contenido se describe a continuación: </w:t>
      </w:r>
    </w:p>
    <w:p w14:paraId="42E07070" w14:textId="7816658F" w:rsidR="00BB6A25" w:rsidRPr="005D1F7E" w:rsidRDefault="005D1F7E" w:rsidP="00990AB7">
      <w:pPr>
        <w:pStyle w:val="Prrafodelista"/>
        <w:numPr>
          <w:ilvl w:val="0"/>
          <w:numId w:val="3"/>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“Entrega de información rr.06590 Sol.340.2025.zip”: </w:t>
      </w:r>
      <w:r>
        <w:rPr>
          <w:rFonts w:ascii="Palatino Linotype" w:hAnsi="Palatino Linotype" w:cs="Arial"/>
          <w:color w:val="000000"/>
          <w:lang w:val="es-ES_tradnl"/>
        </w:rPr>
        <w:t>Compila las siguientes carpetas:</w:t>
      </w:r>
    </w:p>
    <w:p w14:paraId="6D79DDE9" w14:textId="77777777" w:rsidR="00625D69" w:rsidRPr="00625D69" w:rsidRDefault="005D1F7E"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5D1F7E">
        <w:rPr>
          <w:rFonts w:ascii="Palatino Linotype" w:hAnsi="Palatino Linotype" w:cs="Arial"/>
          <w:b/>
          <w:bCs/>
          <w:color w:val="000000"/>
          <w:lang w:val="es-ES_tradnl"/>
        </w:rPr>
        <w:t>ACOMG00042025</w:t>
      </w:r>
      <w:r>
        <w:rPr>
          <w:rFonts w:ascii="Palatino Linotype" w:hAnsi="Palatino Linotype" w:cs="Arial"/>
          <w:b/>
          <w:bCs/>
          <w:color w:val="000000"/>
          <w:lang w:val="es-ES_tradnl"/>
        </w:rPr>
        <w:t>”:</w:t>
      </w:r>
      <w:r w:rsidR="000271B9">
        <w:rPr>
          <w:rFonts w:ascii="Palatino Linotype" w:hAnsi="Palatino Linotype" w:cs="Arial"/>
          <w:b/>
          <w:bCs/>
          <w:color w:val="000000"/>
          <w:lang w:val="es-ES_tradnl"/>
        </w:rPr>
        <w:t xml:space="preserve"> </w:t>
      </w:r>
      <w:r w:rsidR="000271B9">
        <w:rPr>
          <w:rFonts w:ascii="Palatino Linotype" w:hAnsi="Palatino Linotype" w:cs="Arial"/>
          <w:color w:val="000000"/>
          <w:lang w:val="es-ES_tradnl"/>
        </w:rPr>
        <w:t xml:space="preserve">A su vez recopila </w:t>
      </w:r>
      <w:r w:rsidR="00625D69">
        <w:rPr>
          <w:rFonts w:ascii="Palatino Linotype" w:hAnsi="Palatino Linotype" w:cs="Arial"/>
          <w:color w:val="000000"/>
          <w:lang w:val="es-ES_tradnl"/>
        </w:rPr>
        <w:t>lo siguiente:</w:t>
      </w:r>
    </w:p>
    <w:p w14:paraId="03923F79" w14:textId="4C7D0947" w:rsidR="00625D69" w:rsidRPr="00625D69" w:rsidRDefault="00625D69" w:rsidP="00990AB7">
      <w:pPr>
        <w:pStyle w:val="Prrafodelista"/>
        <w:numPr>
          <w:ilvl w:val="0"/>
          <w:numId w:val="5"/>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Certificación del acuerdo </w:t>
      </w:r>
      <w:r>
        <w:rPr>
          <w:rFonts w:ascii="Palatino Linotype" w:hAnsi="Palatino Linotype" w:cs="Arial"/>
          <w:b/>
          <w:bCs/>
          <w:color w:val="000000"/>
          <w:lang w:val="es-ES_tradnl"/>
        </w:rPr>
        <w:t xml:space="preserve">03-EXT/24-02-25/ACUERDO-04 </w:t>
      </w:r>
      <w:r>
        <w:rPr>
          <w:rFonts w:ascii="Palatino Linotype" w:hAnsi="Palatino Linotype" w:cs="Arial"/>
          <w:color w:val="000000"/>
          <w:lang w:val="es-ES_tradnl"/>
        </w:rPr>
        <w:t>correspondiente a la tercera sesión extraordinaria de cabildo 2025, en donde se autoriza el presupuesto definitivo de ingresos y egresos del ejercicio fiscal 2025.</w:t>
      </w:r>
    </w:p>
    <w:p w14:paraId="075C8C60" w14:textId="12088751" w:rsidR="00625D69" w:rsidRPr="00625D69" w:rsidRDefault="00625D69" w:rsidP="00990AB7">
      <w:pPr>
        <w:pStyle w:val="Prrafodelista"/>
        <w:numPr>
          <w:ilvl w:val="0"/>
          <w:numId w:val="5"/>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PbRM-03b “Caratula de presupuesto de ingresos”</w:t>
      </w:r>
    </w:p>
    <w:p w14:paraId="535B69CD" w14:textId="35233D0C" w:rsidR="00625D69" w:rsidRPr="00625D69" w:rsidRDefault="00625D69" w:rsidP="00990AB7">
      <w:pPr>
        <w:pStyle w:val="Prrafodelista"/>
        <w:numPr>
          <w:ilvl w:val="0"/>
          <w:numId w:val="5"/>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PbRM-04d “Caratula de presupuesto de egresos”</w:t>
      </w:r>
    </w:p>
    <w:p w14:paraId="3E2642E7" w14:textId="66E53E41" w:rsidR="005D1F7E" w:rsidRDefault="000271B9" w:rsidP="00625D69">
      <w:pPr>
        <w:pStyle w:val="Prrafodelista"/>
        <w:autoSpaceDE w:val="0"/>
        <w:autoSpaceDN w:val="0"/>
        <w:adjustRightInd w:val="0"/>
        <w:spacing w:line="360" w:lineRule="auto"/>
        <w:ind w:left="1800"/>
        <w:jc w:val="both"/>
        <w:rPr>
          <w:rFonts w:ascii="Palatino Linotype" w:hAnsi="Palatino Linotype" w:cs="Arial"/>
          <w:b/>
          <w:bCs/>
          <w:color w:val="000000"/>
          <w:lang w:val="es-ES_tradnl"/>
        </w:rPr>
      </w:pPr>
      <w:r>
        <w:rPr>
          <w:rFonts w:ascii="Palatino Linotype" w:hAnsi="Palatino Linotype" w:cs="Arial"/>
          <w:color w:val="000000"/>
          <w:lang w:val="es-ES_tradnl"/>
        </w:rPr>
        <w:t xml:space="preserve">  </w:t>
      </w:r>
    </w:p>
    <w:p w14:paraId="6CEBBFAE" w14:textId="4C409271" w:rsidR="005D1F7E" w:rsidRPr="00625D69" w:rsidRDefault="000271B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APDM00042025</w:t>
      </w:r>
      <w:r>
        <w:rPr>
          <w:rFonts w:ascii="Palatino Linotype" w:hAnsi="Palatino Linotype" w:cs="Arial"/>
          <w:b/>
          <w:bCs/>
          <w:color w:val="000000"/>
          <w:lang w:val="es-ES_tradnl"/>
        </w:rPr>
        <w:t>”</w:t>
      </w:r>
      <w:r w:rsidR="00625D69">
        <w:rPr>
          <w:rFonts w:ascii="Palatino Linotype" w:hAnsi="Palatino Linotype" w:cs="Arial"/>
          <w:b/>
          <w:bCs/>
          <w:color w:val="000000"/>
          <w:lang w:val="es-ES_tradnl"/>
        </w:rPr>
        <w:t xml:space="preserve">: </w:t>
      </w:r>
      <w:r w:rsidR="00625D69">
        <w:rPr>
          <w:rFonts w:ascii="Palatino Linotype" w:hAnsi="Palatino Linotype" w:cs="Arial"/>
          <w:color w:val="000000"/>
          <w:lang w:val="es-ES_tradnl"/>
        </w:rPr>
        <w:t xml:space="preserve">Alineación del Plan de Desarrollo Municipal con el Plan Nacional de Desarrollo y Plan Estatal de Desarrollo, en formato TXT. </w:t>
      </w:r>
    </w:p>
    <w:p w14:paraId="5BF3468E" w14:textId="77777777" w:rsidR="00625D69" w:rsidRDefault="00625D69" w:rsidP="00625D69">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274716E5" w14:textId="5FC181AC" w:rsidR="005D1F7E" w:rsidRDefault="00625D6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ARPPPDM00042025</w:t>
      </w:r>
      <w:r>
        <w:rPr>
          <w:rFonts w:ascii="Palatino Linotype" w:hAnsi="Palatino Linotype" w:cs="Arial"/>
          <w:b/>
          <w:bCs/>
          <w:color w:val="000000"/>
          <w:lang w:val="es-ES_tradnl"/>
        </w:rPr>
        <w:t xml:space="preserve">”: </w:t>
      </w:r>
      <w:r w:rsidR="009747DF">
        <w:rPr>
          <w:rFonts w:ascii="Palatino Linotype" w:hAnsi="Palatino Linotype" w:cs="Arial"/>
          <w:color w:val="000000"/>
          <w:lang w:val="es-ES_tradnl"/>
        </w:rPr>
        <w:t xml:space="preserve">Asignación de recurso por programa presupuestario PDM en formato TXT. </w:t>
      </w:r>
    </w:p>
    <w:p w14:paraId="6A79B407" w14:textId="77777777" w:rsidR="00403937" w:rsidRPr="00403937" w:rsidRDefault="00403937" w:rsidP="00403937">
      <w:pPr>
        <w:pStyle w:val="Prrafodelista"/>
        <w:rPr>
          <w:rFonts w:ascii="Palatino Linotype" w:hAnsi="Palatino Linotype" w:cs="Arial"/>
          <w:b/>
          <w:bCs/>
          <w:color w:val="000000"/>
          <w:lang w:val="es-ES_tradnl"/>
        </w:rPr>
      </w:pPr>
    </w:p>
    <w:p w14:paraId="62E0F090" w14:textId="77777777" w:rsidR="00403937" w:rsidRDefault="00403937" w:rsidP="00403937">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44F85FDF" w14:textId="08664CCB" w:rsidR="005D1F7E" w:rsidRPr="009747DF" w:rsidRDefault="009747DF"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CMAP00042025</w:t>
      </w:r>
      <w:r>
        <w:rPr>
          <w:rFonts w:ascii="Palatino Linotype" w:hAnsi="Palatino Linotype" w:cs="Arial"/>
          <w:b/>
          <w:bCs/>
          <w:color w:val="000000"/>
          <w:lang w:val="es-ES_tradnl"/>
        </w:rPr>
        <w:t xml:space="preserve">”: </w:t>
      </w:r>
      <w:r w:rsidR="009D615E">
        <w:rPr>
          <w:rFonts w:ascii="Palatino Linotype" w:hAnsi="Palatino Linotype" w:cs="Arial"/>
          <w:color w:val="000000"/>
          <w:lang w:val="es-ES_tradnl"/>
        </w:rPr>
        <w:t>Compila dos documentos en formato PDF y TXT,</w:t>
      </w:r>
      <w:r>
        <w:rPr>
          <w:rFonts w:ascii="Palatino Linotype" w:hAnsi="Palatino Linotype" w:cs="Arial"/>
          <w:color w:val="000000"/>
          <w:lang w:val="es-ES_tradnl"/>
        </w:rPr>
        <w:t xml:space="preserve"> relativos a</w:t>
      </w:r>
      <w:r w:rsidR="007A5DE6">
        <w:rPr>
          <w:rFonts w:ascii="Palatino Linotype" w:hAnsi="Palatino Linotype" w:cs="Arial"/>
          <w:color w:val="000000"/>
          <w:lang w:val="es-ES_tradnl"/>
        </w:rPr>
        <w:t xml:space="preserve">l PbRM-02a “Calendarización de metas de actividad por proyecto”. </w:t>
      </w:r>
    </w:p>
    <w:p w14:paraId="0D5E1067" w14:textId="37C74975" w:rsidR="009747DF" w:rsidRPr="009747DF" w:rsidRDefault="009747DF" w:rsidP="007A5DE6">
      <w:pPr>
        <w:pStyle w:val="Prrafodelista"/>
        <w:autoSpaceDE w:val="0"/>
        <w:autoSpaceDN w:val="0"/>
        <w:adjustRightInd w:val="0"/>
        <w:spacing w:line="360" w:lineRule="auto"/>
        <w:ind w:left="1800"/>
        <w:jc w:val="both"/>
        <w:rPr>
          <w:rFonts w:ascii="Palatino Linotype" w:hAnsi="Palatino Linotype" w:cs="Arial"/>
          <w:color w:val="000000"/>
          <w:lang w:val="es-ES_tradnl"/>
        </w:rPr>
      </w:pPr>
    </w:p>
    <w:p w14:paraId="31B08AE8" w14:textId="6758CCC9" w:rsidR="005D1F7E" w:rsidRDefault="007A5DE6"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CPE00042025</w:t>
      </w:r>
      <w:r>
        <w:rPr>
          <w:rFonts w:ascii="Palatino Linotype" w:hAnsi="Palatino Linotype" w:cs="Arial"/>
          <w:b/>
          <w:bCs/>
          <w:color w:val="000000"/>
          <w:lang w:val="es-ES_tradnl"/>
        </w:rPr>
        <w:t xml:space="preserve">”: </w:t>
      </w:r>
      <w:r w:rsidR="009D615E">
        <w:rPr>
          <w:rFonts w:ascii="Palatino Linotype" w:hAnsi="Palatino Linotype" w:cs="Arial"/>
          <w:color w:val="000000"/>
          <w:lang w:val="es-ES_tradnl"/>
        </w:rPr>
        <w:t>Compila dos documentos en formato PDF y TXT,</w:t>
      </w:r>
      <w:r>
        <w:rPr>
          <w:rFonts w:ascii="Palatino Linotype" w:hAnsi="Palatino Linotype" w:cs="Arial"/>
          <w:color w:val="000000"/>
          <w:lang w:val="es-ES_tradnl"/>
        </w:rPr>
        <w:t xml:space="preserve"> relativos al PbRM-04d “Caratula de presupuesto de egresos”. </w:t>
      </w:r>
    </w:p>
    <w:p w14:paraId="27DFCE67" w14:textId="77777777" w:rsidR="007A5DE6" w:rsidRPr="007A5DE6" w:rsidRDefault="007A5DE6" w:rsidP="007A5DE6">
      <w:pPr>
        <w:autoSpaceDE w:val="0"/>
        <w:autoSpaceDN w:val="0"/>
        <w:adjustRightInd w:val="0"/>
        <w:spacing w:line="360" w:lineRule="auto"/>
        <w:jc w:val="both"/>
        <w:rPr>
          <w:rFonts w:ascii="Palatino Linotype" w:hAnsi="Palatino Linotype" w:cs="Arial"/>
          <w:b/>
          <w:bCs/>
          <w:color w:val="000000"/>
          <w:lang w:val="es-ES_tradnl"/>
        </w:rPr>
      </w:pPr>
    </w:p>
    <w:p w14:paraId="3FD93A12" w14:textId="3D1191AF" w:rsidR="005D1F7E" w:rsidRPr="007A5DE6" w:rsidRDefault="007A5DE6"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CPI00042025</w:t>
      </w:r>
      <w:r>
        <w:rPr>
          <w:rFonts w:ascii="Palatino Linotype" w:hAnsi="Palatino Linotype" w:cs="Arial"/>
          <w:b/>
          <w:bCs/>
          <w:color w:val="000000"/>
          <w:lang w:val="es-ES_tradnl"/>
        </w:rPr>
        <w:t xml:space="preserve">”: </w:t>
      </w:r>
      <w:r w:rsidR="009D615E">
        <w:rPr>
          <w:rFonts w:ascii="Palatino Linotype" w:hAnsi="Palatino Linotype" w:cs="Arial"/>
          <w:color w:val="000000"/>
          <w:lang w:val="es-ES_tradnl"/>
        </w:rPr>
        <w:t>Compila dos documentos en formato PDF y TXT,</w:t>
      </w:r>
      <w:r>
        <w:rPr>
          <w:rFonts w:ascii="Palatino Linotype" w:hAnsi="Palatino Linotype" w:cs="Arial"/>
          <w:color w:val="000000"/>
          <w:lang w:val="es-ES_tradnl"/>
        </w:rPr>
        <w:t xml:space="preserve"> relativos al PbRM-03b “Caratula de presupuesto de ingresos”.</w:t>
      </w:r>
    </w:p>
    <w:p w14:paraId="7627999D" w14:textId="77777777" w:rsidR="007A5DE6" w:rsidRPr="007A5DE6" w:rsidRDefault="007A5DE6" w:rsidP="007A5DE6">
      <w:pPr>
        <w:pStyle w:val="Prrafodelista"/>
        <w:rPr>
          <w:rFonts w:ascii="Palatino Linotype" w:hAnsi="Palatino Linotype" w:cs="Arial"/>
          <w:b/>
          <w:bCs/>
          <w:color w:val="000000"/>
          <w:lang w:val="es-ES_tradnl"/>
        </w:rPr>
      </w:pPr>
    </w:p>
    <w:p w14:paraId="6319A801" w14:textId="0079C54A" w:rsidR="007A5DE6" w:rsidRPr="007A5DE6" w:rsidRDefault="007A5DE6"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sidRPr="007A5DE6">
        <w:rPr>
          <w:rFonts w:ascii="Palatino Linotype" w:hAnsi="Palatino Linotype" w:cs="Arial"/>
          <w:b/>
          <w:bCs/>
          <w:color w:val="000000"/>
          <w:lang w:val="es-ES_tradnl"/>
        </w:rPr>
        <w:t>“</w:t>
      </w:r>
      <w:r w:rsidR="005D1F7E" w:rsidRPr="007A5DE6">
        <w:rPr>
          <w:rFonts w:ascii="Palatino Linotype" w:hAnsi="Palatino Linotype" w:cs="Arial"/>
          <w:b/>
          <w:bCs/>
          <w:color w:val="000000"/>
          <w:lang w:val="es-ES_tradnl"/>
        </w:rPr>
        <w:t>DRRFP00042025</w:t>
      </w:r>
      <w:r w:rsidRPr="007A5DE6">
        <w:rPr>
          <w:rFonts w:ascii="Palatino Linotype" w:hAnsi="Palatino Linotype" w:cs="Arial"/>
          <w:b/>
          <w:bCs/>
          <w:color w:val="000000"/>
          <w:lang w:val="es-ES_tradnl"/>
        </w:rPr>
        <w:t xml:space="preserve">”: </w:t>
      </w:r>
      <w:r w:rsidRPr="007A5DE6">
        <w:rPr>
          <w:rFonts w:ascii="Palatino Linotype" w:hAnsi="Palatino Linotype" w:cs="Arial"/>
          <w:color w:val="000000"/>
          <w:lang w:val="es-ES_tradnl"/>
        </w:rPr>
        <w:t xml:space="preserve">Descripción de riesgos relevantes para las finanzas públicas, consistente en 1 -una- foja. </w:t>
      </w:r>
    </w:p>
    <w:p w14:paraId="77969130" w14:textId="77777777" w:rsidR="007A5DE6" w:rsidRPr="007A5DE6" w:rsidRDefault="007A5DE6" w:rsidP="007A5DE6">
      <w:pPr>
        <w:autoSpaceDE w:val="0"/>
        <w:autoSpaceDN w:val="0"/>
        <w:adjustRightInd w:val="0"/>
        <w:spacing w:line="360" w:lineRule="auto"/>
        <w:jc w:val="both"/>
        <w:rPr>
          <w:rFonts w:ascii="Palatino Linotype" w:hAnsi="Palatino Linotype" w:cs="Arial"/>
          <w:b/>
          <w:bCs/>
          <w:color w:val="000000"/>
          <w:lang w:val="es-ES_tradnl"/>
        </w:rPr>
      </w:pPr>
    </w:p>
    <w:p w14:paraId="5ADE7852" w14:textId="3D553491" w:rsidR="005D1F7E" w:rsidRDefault="007A5DE6"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FTDIEG00042025</w:t>
      </w:r>
      <w:r>
        <w:rPr>
          <w:rFonts w:ascii="Palatino Linotype" w:hAnsi="Palatino Linotype" w:cs="Arial"/>
          <w:b/>
          <w:bCs/>
          <w:color w:val="000000"/>
          <w:lang w:val="es-ES_tradnl"/>
        </w:rPr>
        <w:t xml:space="preserve">”: </w:t>
      </w:r>
      <w:r w:rsidR="009D615E">
        <w:rPr>
          <w:rFonts w:ascii="Palatino Linotype" w:hAnsi="Palatino Linotype" w:cs="Arial"/>
          <w:color w:val="000000"/>
          <w:lang w:val="es-ES_tradnl"/>
        </w:rPr>
        <w:t>Compila dos documentos en formato PDF y TXT,</w:t>
      </w:r>
      <w:r>
        <w:rPr>
          <w:rFonts w:ascii="Palatino Linotype" w:hAnsi="Palatino Linotype" w:cs="Arial"/>
          <w:color w:val="000000"/>
          <w:lang w:val="es-ES_tradnl"/>
        </w:rPr>
        <w:t xml:space="preserve"> relativos al formato PbRM-01d “</w:t>
      </w:r>
      <w:r w:rsidR="009D615E">
        <w:rPr>
          <w:rFonts w:ascii="Palatino Linotype" w:hAnsi="Palatino Linotype" w:cs="Arial"/>
          <w:color w:val="000000"/>
          <w:lang w:val="es-ES_tradnl"/>
        </w:rPr>
        <w:t xml:space="preserve">Ficha técnica de diseño de indicadores estratégicos o de gestión 2025”. </w:t>
      </w:r>
    </w:p>
    <w:p w14:paraId="13831ADB" w14:textId="77777777" w:rsidR="007A5DE6" w:rsidRPr="007A5DE6" w:rsidRDefault="007A5DE6" w:rsidP="007A5DE6">
      <w:pPr>
        <w:pStyle w:val="Prrafodelista"/>
        <w:rPr>
          <w:rFonts w:ascii="Palatino Linotype" w:hAnsi="Palatino Linotype" w:cs="Arial"/>
          <w:b/>
          <w:bCs/>
          <w:color w:val="000000"/>
          <w:lang w:val="es-ES_tradnl"/>
        </w:rPr>
      </w:pPr>
    </w:p>
    <w:p w14:paraId="0CD64789" w14:textId="77777777" w:rsidR="007A5DE6" w:rsidRDefault="007A5DE6" w:rsidP="007A5DE6">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52255418" w14:textId="56242618" w:rsidR="005D1F7E" w:rsidRDefault="009D615E"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5D1F7E" w:rsidRPr="005D1F7E">
        <w:rPr>
          <w:rFonts w:ascii="Palatino Linotype" w:hAnsi="Palatino Linotype" w:cs="Arial"/>
          <w:b/>
          <w:bCs/>
          <w:color w:val="000000"/>
          <w:lang w:val="es-ES_tradnl"/>
        </w:rPr>
        <w:t>MIRPPDG00042025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PbRM-01e “Matriz de indicadores para resultados 2025 por programa presupuestario y dependencia general. </w:t>
      </w:r>
    </w:p>
    <w:p w14:paraId="0FFDF1D0" w14:textId="77777777" w:rsidR="009D615E" w:rsidRPr="009D615E" w:rsidRDefault="009D615E" w:rsidP="009D615E">
      <w:pPr>
        <w:autoSpaceDE w:val="0"/>
        <w:autoSpaceDN w:val="0"/>
        <w:adjustRightInd w:val="0"/>
        <w:spacing w:line="360" w:lineRule="auto"/>
        <w:jc w:val="both"/>
        <w:rPr>
          <w:rFonts w:ascii="Palatino Linotype" w:hAnsi="Palatino Linotype" w:cs="Arial"/>
          <w:b/>
          <w:bCs/>
          <w:color w:val="000000"/>
          <w:lang w:val="es-ES_tradnl"/>
        </w:rPr>
      </w:pPr>
    </w:p>
    <w:p w14:paraId="6A64400C" w14:textId="688C5330" w:rsidR="005D1F7E" w:rsidRDefault="009D615E"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PAA00042025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PbRM-06 “Programa anual de adquisiciones”. </w:t>
      </w:r>
    </w:p>
    <w:p w14:paraId="4A74213A" w14:textId="77777777" w:rsidR="009D615E" w:rsidRPr="009D615E" w:rsidRDefault="009D615E" w:rsidP="009D615E">
      <w:pPr>
        <w:pStyle w:val="Prrafodelista"/>
        <w:rPr>
          <w:rFonts w:ascii="Palatino Linotype" w:hAnsi="Palatino Linotype" w:cs="Arial"/>
          <w:b/>
          <w:bCs/>
          <w:color w:val="000000"/>
          <w:lang w:val="es-ES_tradnl"/>
        </w:rPr>
      </w:pPr>
    </w:p>
    <w:p w14:paraId="2727157A" w14:textId="24C3D1E7" w:rsidR="000271B9" w:rsidRDefault="009D615E"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w:t>
      </w:r>
      <w:r w:rsidR="000271B9" w:rsidRPr="000271B9">
        <w:rPr>
          <w:rFonts w:ascii="Palatino Linotype" w:hAnsi="Palatino Linotype" w:cs="Arial"/>
          <w:b/>
          <w:bCs/>
          <w:color w:val="000000"/>
          <w:lang w:val="es-ES_tradnl"/>
        </w:rPr>
        <w:t>PADAG00042025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w:t>
      </w:r>
      <w:r w:rsidR="004A2ADA">
        <w:rPr>
          <w:rFonts w:ascii="Palatino Linotype" w:hAnsi="Palatino Linotype" w:cs="Arial"/>
          <w:color w:val="000000"/>
          <w:lang w:val="es-ES_tradnl"/>
        </w:rPr>
        <w:t xml:space="preserve">PbRM-01a “Programa anual dimensión administrativa del gasto”. </w:t>
      </w:r>
    </w:p>
    <w:p w14:paraId="0D7A3FA4" w14:textId="77777777" w:rsidR="009D615E" w:rsidRPr="009D615E" w:rsidRDefault="009D615E" w:rsidP="009D615E">
      <w:pPr>
        <w:pStyle w:val="Prrafodelista"/>
        <w:rPr>
          <w:rFonts w:ascii="Palatino Linotype" w:hAnsi="Palatino Linotype" w:cs="Arial"/>
          <w:b/>
          <w:bCs/>
          <w:color w:val="000000"/>
          <w:lang w:val="es-ES_tradnl"/>
        </w:rPr>
      </w:pPr>
    </w:p>
    <w:p w14:paraId="6F6B9684" w14:textId="77777777" w:rsidR="009D615E" w:rsidRDefault="009D615E" w:rsidP="009D615E">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4BAAAC44" w14:textId="162FFD37" w:rsidR="000271B9" w:rsidRDefault="004A2ADA"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PADFBM00042025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tres documentos en formato PDF, TXT y Excel relativos al Programa Anual para la Disposición Final de Bienes Muebles. </w:t>
      </w:r>
    </w:p>
    <w:p w14:paraId="544A26BC" w14:textId="77777777" w:rsidR="004A2ADA" w:rsidRPr="004A2ADA" w:rsidRDefault="004A2ADA" w:rsidP="004A2ADA">
      <w:pPr>
        <w:autoSpaceDE w:val="0"/>
        <w:autoSpaceDN w:val="0"/>
        <w:adjustRightInd w:val="0"/>
        <w:spacing w:line="360" w:lineRule="auto"/>
        <w:jc w:val="both"/>
        <w:rPr>
          <w:rFonts w:ascii="Palatino Linotype" w:hAnsi="Palatino Linotype" w:cs="Arial"/>
          <w:b/>
          <w:bCs/>
          <w:color w:val="000000"/>
          <w:lang w:val="es-ES_tradnl"/>
        </w:rPr>
      </w:pPr>
    </w:p>
    <w:p w14:paraId="709D99FA" w14:textId="63466582" w:rsidR="000271B9" w:rsidRDefault="004A2ADA"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PADPP00042025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PbRM-01b “Programa anual descripción del programa presupuestario”. </w:t>
      </w:r>
    </w:p>
    <w:p w14:paraId="77A4AB80" w14:textId="77777777" w:rsidR="004A2ADA" w:rsidRPr="004A2ADA" w:rsidRDefault="004A2ADA" w:rsidP="004A2ADA">
      <w:pPr>
        <w:pStyle w:val="Prrafodelista"/>
        <w:rPr>
          <w:rFonts w:ascii="Palatino Linotype" w:hAnsi="Palatino Linotype" w:cs="Arial"/>
          <w:b/>
          <w:bCs/>
          <w:color w:val="000000"/>
          <w:lang w:val="es-ES_tradnl"/>
        </w:rPr>
      </w:pPr>
    </w:p>
    <w:p w14:paraId="2E185C96" w14:textId="77777777" w:rsidR="004A2ADA" w:rsidRDefault="004A2ADA" w:rsidP="004A2ADA">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0CF2E874" w14:textId="1A987605" w:rsidR="000271B9" w:rsidRDefault="004A2ADA"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PAMAP00042025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Compila dos documentos en formato PDF y TXT relativos al PbRM-01c “Programa anual de metas de actividad por proyecto”.</w:t>
      </w:r>
    </w:p>
    <w:p w14:paraId="0B02CC2B" w14:textId="77777777" w:rsidR="004A2ADA" w:rsidRDefault="004A2ADA" w:rsidP="004A2ADA">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45282212" w14:textId="715EBDBB"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PAO00042025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PBRM-07a “Programa Anual de Obras”. </w:t>
      </w:r>
    </w:p>
    <w:p w14:paraId="1142DDCB" w14:textId="77777777" w:rsidR="00DA573B" w:rsidRPr="00DA573B" w:rsidRDefault="00DA573B" w:rsidP="00DA573B">
      <w:pPr>
        <w:pStyle w:val="Prrafodelista"/>
        <w:rPr>
          <w:rFonts w:ascii="Palatino Linotype" w:hAnsi="Palatino Linotype" w:cs="Arial"/>
          <w:b/>
          <w:bCs/>
          <w:color w:val="000000"/>
          <w:lang w:val="es-ES_tradnl"/>
        </w:rPr>
      </w:pPr>
    </w:p>
    <w:p w14:paraId="366F1D3E" w14:textId="23D9DC59" w:rsidR="00DA573B" w:rsidRPr="00DA573B"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sidRPr="00DA573B">
        <w:rPr>
          <w:rFonts w:ascii="Palatino Linotype" w:hAnsi="Palatino Linotype" w:cs="Arial"/>
          <w:b/>
          <w:bCs/>
          <w:color w:val="000000"/>
          <w:lang w:val="es-ES_tradnl"/>
        </w:rPr>
        <w:t>“</w:t>
      </w:r>
      <w:r w:rsidR="000271B9" w:rsidRPr="00DA573B">
        <w:rPr>
          <w:rFonts w:ascii="Palatino Linotype" w:hAnsi="Palatino Linotype" w:cs="Arial"/>
          <w:b/>
          <w:bCs/>
          <w:color w:val="000000"/>
          <w:lang w:val="es-ES_tradnl"/>
        </w:rPr>
        <w:t>PAORM00042025</w:t>
      </w:r>
      <w:r w:rsidRPr="00DA573B">
        <w:rPr>
          <w:rFonts w:ascii="Palatino Linotype" w:hAnsi="Palatino Linotype" w:cs="Arial"/>
          <w:b/>
          <w:bCs/>
          <w:color w:val="000000"/>
          <w:lang w:val="es-ES_tradnl"/>
        </w:rPr>
        <w:t xml:space="preserve">”: </w:t>
      </w:r>
      <w:r w:rsidRPr="00DA573B">
        <w:rPr>
          <w:rFonts w:ascii="Palatino Linotype" w:hAnsi="Palatino Linotype" w:cs="Arial"/>
          <w:color w:val="000000"/>
          <w:lang w:val="es-ES_tradnl"/>
        </w:rPr>
        <w:t xml:space="preserve">Compila dos documentos en formato PDF y TXT relativos al PbRM “Programa anual de obra, reparaciones y mantenimiento”. </w:t>
      </w:r>
    </w:p>
    <w:p w14:paraId="15108947" w14:textId="77777777" w:rsidR="00DA573B" w:rsidRPr="00DA573B" w:rsidRDefault="00DA573B" w:rsidP="00DA573B">
      <w:pPr>
        <w:autoSpaceDE w:val="0"/>
        <w:autoSpaceDN w:val="0"/>
        <w:adjustRightInd w:val="0"/>
        <w:spacing w:line="360" w:lineRule="auto"/>
        <w:jc w:val="both"/>
        <w:rPr>
          <w:rFonts w:ascii="Palatino Linotype" w:hAnsi="Palatino Linotype" w:cs="Arial"/>
          <w:b/>
          <w:bCs/>
          <w:color w:val="000000"/>
          <w:lang w:val="es-ES_tradnl"/>
        </w:rPr>
      </w:pPr>
    </w:p>
    <w:p w14:paraId="5076C394" w14:textId="77434A89"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w:t>
      </w:r>
      <w:r w:rsidR="000271B9" w:rsidRPr="000271B9">
        <w:rPr>
          <w:rFonts w:ascii="Palatino Linotype" w:hAnsi="Palatino Linotype" w:cs="Arial"/>
          <w:b/>
          <w:bCs/>
          <w:color w:val="000000"/>
          <w:lang w:val="es-ES_tradnl"/>
        </w:rPr>
        <w:t>PED00042025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un documento en formato TXT relativo al presupuesto de egresos detallado. </w:t>
      </w:r>
    </w:p>
    <w:p w14:paraId="5494CD94" w14:textId="77777777" w:rsidR="00DA573B" w:rsidRPr="00DA573B" w:rsidRDefault="00DA573B" w:rsidP="00DA573B">
      <w:pPr>
        <w:pStyle w:val="Prrafodelista"/>
        <w:rPr>
          <w:rFonts w:ascii="Palatino Linotype" w:hAnsi="Palatino Linotype" w:cs="Arial"/>
          <w:b/>
          <w:bCs/>
          <w:color w:val="000000"/>
          <w:lang w:val="es-ES_tradnl"/>
        </w:rPr>
      </w:pPr>
    </w:p>
    <w:p w14:paraId="15395C40" w14:textId="77777777" w:rsidR="00DA573B" w:rsidRDefault="00DA573B" w:rsidP="00DA573B">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449B4509" w14:textId="2BC44C4C"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PEGC00042025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PbRM-04c “Presupuesto de egresos global calendarizado”. </w:t>
      </w:r>
    </w:p>
    <w:p w14:paraId="161DDFC6" w14:textId="77777777" w:rsidR="00DA573B" w:rsidRPr="00DA573B" w:rsidRDefault="00DA573B" w:rsidP="00DA573B">
      <w:pPr>
        <w:autoSpaceDE w:val="0"/>
        <w:autoSpaceDN w:val="0"/>
        <w:adjustRightInd w:val="0"/>
        <w:spacing w:line="360" w:lineRule="auto"/>
        <w:jc w:val="both"/>
        <w:rPr>
          <w:rFonts w:ascii="Palatino Linotype" w:hAnsi="Palatino Linotype" w:cs="Arial"/>
          <w:b/>
          <w:bCs/>
          <w:color w:val="000000"/>
          <w:lang w:val="es-ES_tradnl"/>
        </w:rPr>
      </w:pPr>
    </w:p>
    <w:p w14:paraId="47EF0EB8" w14:textId="76DD4AB6"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PELDF00042025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 la Proyecciones de Egresos LDF. </w:t>
      </w:r>
    </w:p>
    <w:p w14:paraId="780FC89D" w14:textId="77777777" w:rsidR="00DA573B" w:rsidRPr="00DA573B" w:rsidRDefault="00DA573B" w:rsidP="00DA573B">
      <w:pPr>
        <w:pStyle w:val="Prrafodelista"/>
        <w:rPr>
          <w:rFonts w:ascii="Palatino Linotype" w:hAnsi="Palatino Linotype" w:cs="Arial"/>
          <w:b/>
          <w:bCs/>
          <w:color w:val="000000"/>
          <w:lang w:val="es-ES_tradnl"/>
        </w:rPr>
      </w:pPr>
    </w:p>
    <w:p w14:paraId="3E3450E2" w14:textId="77777777" w:rsidR="00DA573B" w:rsidRDefault="00DA573B" w:rsidP="00DA573B">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602FA71A" w14:textId="0E3C7801"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PI00042025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un documento en formato TXT relativo al Presupuesto de Ingresos. </w:t>
      </w:r>
    </w:p>
    <w:p w14:paraId="53A0BE36" w14:textId="77777777" w:rsidR="00DA573B" w:rsidRDefault="00DA573B" w:rsidP="00DA573B">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21A32B3F" w14:textId="1529909D" w:rsidR="000271B9" w:rsidRDefault="00DA573B"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PID00042025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un documento en formato PDF relativo al </w:t>
      </w:r>
      <w:r w:rsidR="00D85A19">
        <w:rPr>
          <w:rFonts w:ascii="Palatino Linotype" w:hAnsi="Palatino Linotype" w:cs="Arial"/>
          <w:color w:val="000000"/>
          <w:lang w:val="es-ES_tradnl"/>
        </w:rPr>
        <w:t xml:space="preserve">PbRM-03a “Presupuesto de ingresos detallado”. </w:t>
      </w:r>
    </w:p>
    <w:p w14:paraId="45821E37" w14:textId="77777777" w:rsidR="00DA573B" w:rsidRPr="00DA573B" w:rsidRDefault="00DA573B" w:rsidP="00DA573B">
      <w:pPr>
        <w:pStyle w:val="Prrafodelista"/>
        <w:rPr>
          <w:rFonts w:ascii="Palatino Linotype" w:hAnsi="Palatino Linotype" w:cs="Arial"/>
          <w:b/>
          <w:bCs/>
          <w:color w:val="000000"/>
          <w:lang w:val="es-ES_tradnl"/>
        </w:rPr>
      </w:pPr>
    </w:p>
    <w:p w14:paraId="325E6AF6" w14:textId="0B00BEA4" w:rsidR="000271B9" w:rsidRDefault="00D85A1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PILDF00042025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 las Proyecciones de Ingresos LDF. </w:t>
      </w:r>
    </w:p>
    <w:p w14:paraId="25A650B2" w14:textId="77777777" w:rsidR="00D85A19" w:rsidRPr="00D85A19" w:rsidRDefault="00D85A19" w:rsidP="00D85A19">
      <w:pPr>
        <w:pStyle w:val="Prrafodelista"/>
        <w:rPr>
          <w:rFonts w:ascii="Palatino Linotype" w:hAnsi="Palatino Linotype" w:cs="Arial"/>
          <w:b/>
          <w:bCs/>
          <w:color w:val="000000"/>
          <w:lang w:val="es-ES_tradnl"/>
        </w:rPr>
      </w:pPr>
    </w:p>
    <w:p w14:paraId="0B6F7218" w14:textId="7DA33685" w:rsidR="000271B9" w:rsidRPr="00D85A19" w:rsidRDefault="00D85A1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PMPDM00042025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un documento en formato TXT relativo a la Programación de Metas del Plan de Desarrollo Municipal. </w:t>
      </w:r>
    </w:p>
    <w:p w14:paraId="3BB0635D" w14:textId="77777777" w:rsidR="00D85A19" w:rsidRPr="00D85A19" w:rsidRDefault="00D85A19" w:rsidP="00D85A19">
      <w:pPr>
        <w:pStyle w:val="Prrafodelista"/>
        <w:rPr>
          <w:rFonts w:ascii="Palatino Linotype" w:hAnsi="Palatino Linotype" w:cs="Arial"/>
          <w:b/>
          <w:bCs/>
          <w:color w:val="000000"/>
          <w:lang w:val="es-ES_tradnl"/>
        </w:rPr>
      </w:pPr>
    </w:p>
    <w:p w14:paraId="7959E38F" w14:textId="1A76F7C6" w:rsidR="00D85A19" w:rsidRPr="00D85A19" w:rsidRDefault="00D85A1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sidRPr="00D85A19">
        <w:rPr>
          <w:rFonts w:ascii="Palatino Linotype" w:hAnsi="Palatino Linotype" w:cs="Arial"/>
          <w:b/>
          <w:bCs/>
          <w:color w:val="000000"/>
          <w:lang w:val="es-ES_tradnl"/>
        </w:rPr>
        <w:t>“</w:t>
      </w:r>
      <w:r w:rsidR="000271B9" w:rsidRPr="00D85A19">
        <w:rPr>
          <w:rFonts w:ascii="Palatino Linotype" w:hAnsi="Palatino Linotype" w:cs="Arial"/>
          <w:b/>
          <w:bCs/>
          <w:color w:val="000000"/>
          <w:lang w:val="es-ES_tradnl"/>
        </w:rPr>
        <w:t>RELDF00042025</w:t>
      </w:r>
      <w:r w:rsidRPr="00D85A19">
        <w:rPr>
          <w:rFonts w:ascii="Palatino Linotype" w:hAnsi="Palatino Linotype" w:cs="Arial"/>
          <w:b/>
          <w:bCs/>
          <w:color w:val="000000"/>
          <w:lang w:val="es-ES_tradnl"/>
        </w:rPr>
        <w:t xml:space="preserve">”: </w:t>
      </w:r>
      <w:r w:rsidRPr="00D85A19">
        <w:rPr>
          <w:rFonts w:ascii="Palatino Linotype" w:hAnsi="Palatino Linotype" w:cs="Arial"/>
          <w:color w:val="000000"/>
          <w:lang w:val="es-ES_tradnl"/>
        </w:rPr>
        <w:t xml:space="preserve">Compila dos documentos en formato PDF y TXT relativos al Resultado de Egresos LDF. </w:t>
      </w:r>
    </w:p>
    <w:p w14:paraId="02BF20CC" w14:textId="77777777" w:rsidR="00D85A19" w:rsidRDefault="00D85A19" w:rsidP="00D85A19">
      <w:pPr>
        <w:pStyle w:val="Prrafodelista"/>
        <w:autoSpaceDE w:val="0"/>
        <w:autoSpaceDN w:val="0"/>
        <w:adjustRightInd w:val="0"/>
        <w:spacing w:line="360" w:lineRule="auto"/>
        <w:ind w:left="1440"/>
        <w:jc w:val="both"/>
        <w:rPr>
          <w:rFonts w:ascii="Palatino Linotype" w:hAnsi="Palatino Linotype" w:cs="Arial"/>
          <w:b/>
          <w:bCs/>
          <w:color w:val="000000"/>
          <w:lang w:val="es-ES_tradnl"/>
        </w:rPr>
      </w:pPr>
    </w:p>
    <w:p w14:paraId="6CF015DC" w14:textId="0D8E798E" w:rsidR="000271B9" w:rsidRDefault="00D85A1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w:t>
      </w:r>
      <w:r w:rsidR="000271B9" w:rsidRPr="000271B9">
        <w:rPr>
          <w:rFonts w:ascii="Palatino Linotype" w:hAnsi="Palatino Linotype" w:cs="Arial"/>
          <w:b/>
          <w:bCs/>
          <w:color w:val="000000"/>
          <w:lang w:val="es-ES_tradnl"/>
        </w:rPr>
        <w:t>RILDF00042025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 los Resultados de Ingresos LDF. </w:t>
      </w:r>
    </w:p>
    <w:p w14:paraId="66A5C08B" w14:textId="2CFBF2ED" w:rsidR="000271B9" w:rsidRPr="005D1F7E" w:rsidRDefault="00D85A19" w:rsidP="00990AB7">
      <w:pPr>
        <w:pStyle w:val="Prrafodelista"/>
        <w:numPr>
          <w:ilvl w:val="0"/>
          <w:numId w:val="4"/>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0271B9" w:rsidRPr="000271B9">
        <w:rPr>
          <w:rFonts w:ascii="Palatino Linotype" w:hAnsi="Palatino Linotype" w:cs="Arial"/>
          <w:b/>
          <w:bCs/>
          <w:color w:val="000000"/>
          <w:lang w:val="es-ES_tradnl"/>
        </w:rPr>
        <w:t>TS00042025</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Compila dos documentos en formato PDF y TXT relativos al formato PbRM-05 “Tabulador de sueldos”. </w:t>
      </w:r>
    </w:p>
    <w:p w14:paraId="2173E439" w14:textId="77777777" w:rsidR="00BB6A25" w:rsidRDefault="00BB6A25"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44F9955F" w14:textId="2B012C88" w:rsidR="00D41DD6" w:rsidRDefault="0078025C" w:rsidP="0078025C">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En las generalizaciones anteriores, </w:t>
      </w:r>
      <w:r w:rsidR="00D67A40">
        <w:rPr>
          <w:rFonts w:ascii="Palatino Linotype" w:hAnsi="Palatino Linotype"/>
          <w:sz w:val="24"/>
          <w:szCs w:val="24"/>
        </w:rPr>
        <w:t>con relación al contenido de</w:t>
      </w:r>
      <w:r w:rsidR="00D85A19">
        <w:rPr>
          <w:rFonts w:ascii="Palatino Linotype" w:hAnsi="Palatino Linotype"/>
          <w:sz w:val="24"/>
          <w:szCs w:val="24"/>
        </w:rPr>
        <w:t xml:space="preserve">l informe justificado, se destaca que </w:t>
      </w:r>
      <w:r w:rsidR="00D85A19">
        <w:rPr>
          <w:rFonts w:ascii="Palatino Linotype" w:hAnsi="Palatino Linotype"/>
          <w:b/>
          <w:bCs/>
          <w:sz w:val="24"/>
          <w:szCs w:val="24"/>
        </w:rPr>
        <w:t xml:space="preserve">El Sujeto Obligado </w:t>
      </w:r>
      <w:r w:rsidR="00D41DD6">
        <w:rPr>
          <w:rFonts w:ascii="Palatino Linotype" w:hAnsi="Palatino Linotype"/>
          <w:sz w:val="24"/>
          <w:szCs w:val="24"/>
        </w:rPr>
        <w:t>pretendió subsanar la violación al derecho de acceso a la información pública, sin embargo, algunos documentos son susceptibles de reflejar las especificaciones técnicas respecto de bienes o equipos utilizados por la dirección de seguridad pública y tránsito, tales como armamento, equipos de defensa</w:t>
      </w:r>
      <w:r w:rsidR="00EF191E">
        <w:rPr>
          <w:rFonts w:ascii="Palatino Linotype" w:hAnsi="Palatino Linotype"/>
          <w:sz w:val="24"/>
          <w:szCs w:val="24"/>
        </w:rPr>
        <w:t xml:space="preserve"> o incluso de vigilancia</w:t>
      </w:r>
      <w:r w:rsidR="00695175">
        <w:rPr>
          <w:rFonts w:ascii="Palatino Linotype" w:hAnsi="Palatino Linotype"/>
          <w:sz w:val="24"/>
          <w:szCs w:val="24"/>
        </w:rPr>
        <w:t xml:space="preserve">, información que es susceptible de ser clasificada como reservada previa prueba de daño, en términos de la normatividad aplicable. </w:t>
      </w:r>
    </w:p>
    <w:p w14:paraId="5BCC43B0" w14:textId="44B1672E" w:rsidR="00EF191E" w:rsidRPr="00EF191E" w:rsidRDefault="00EF191E" w:rsidP="0078025C">
      <w:pPr>
        <w:spacing w:before="100" w:beforeAutospacing="1" w:after="100" w:afterAutospacing="1" w:line="360" w:lineRule="auto"/>
        <w:jc w:val="both"/>
        <w:rPr>
          <w:rFonts w:ascii="Palatino Linotype" w:hAnsi="Palatino Linotype"/>
          <w:i/>
          <w:iCs/>
          <w:sz w:val="24"/>
          <w:szCs w:val="24"/>
        </w:rPr>
      </w:pPr>
      <w:r>
        <w:rPr>
          <w:rFonts w:ascii="Palatino Linotype" w:hAnsi="Palatino Linotype"/>
          <w:sz w:val="24"/>
          <w:szCs w:val="24"/>
        </w:rPr>
        <w:t xml:space="preserve">De manera complementaria, con relación al informe justificado resulta óbice señalar que no fue remitido el documento en formato PDF y TXT relativo a </w:t>
      </w:r>
      <w:r>
        <w:rPr>
          <w:rFonts w:ascii="Palatino Linotype" w:hAnsi="Palatino Linotype"/>
          <w:i/>
          <w:iCs/>
          <w:sz w:val="24"/>
          <w:szCs w:val="24"/>
        </w:rPr>
        <w:t xml:space="preserve">“Remuneraciones de Servidores Públicos”. </w:t>
      </w:r>
    </w:p>
    <w:p w14:paraId="3C5DE62D" w14:textId="3EC3F640" w:rsidR="00EF191E" w:rsidRDefault="00EF191E" w:rsidP="0078025C">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En suma, resulta procedente ordenar la entrega en versión pública respecto de los documentos que integran el paquete presupuestal municipal 2025. </w:t>
      </w:r>
    </w:p>
    <w:p w14:paraId="50436090" w14:textId="099E574F" w:rsidR="00D85A19" w:rsidRDefault="00D85A19" w:rsidP="0078025C">
      <w:pPr>
        <w:spacing w:before="100" w:beforeAutospacing="1" w:after="100" w:afterAutospacing="1" w:line="360" w:lineRule="auto"/>
        <w:jc w:val="both"/>
        <w:rPr>
          <w:rFonts w:ascii="Palatino Linotype" w:hAnsi="Palatino Linotype"/>
          <w:sz w:val="24"/>
          <w:szCs w:val="24"/>
        </w:rPr>
      </w:pPr>
    </w:p>
    <w:p w14:paraId="618A571B" w14:textId="77777777" w:rsidR="004A62E2" w:rsidRPr="00226C3E" w:rsidRDefault="004A62E2" w:rsidP="004A62E2">
      <w:pPr>
        <w:autoSpaceDE w:val="0"/>
        <w:autoSpaceDN w:val="0"/>
        <w:adjustRightInd w:val="0"/>
        <w:spacing w:line="360" w:lineRule="auto"/>
        <w:jc w:val="both"/>
        <w:rPr>
          <w:rFonts w:ascii="Palatino Linotype" w:hAnsi="Palatino Linotype"/>
          <w:b/>
          <w:iCs/>
          <w:sz w:val="24"/>
          <w:szCs w:val="24"/>
        </w:rPr>
      </w:pPr>
      <w:r w:rsidRPr="00226C3E">
        <w:rPr>
          <w:rFonts w:ascii="Palatino Linotype" w:hAnsi="Palatino Linotype"/>
          <w:b/>
          <w:iCs/>
          <w:sz w:val="24"/>
          <w:szCs w:val="24"/>
        </w:rPr>
        <w:t xml:space="preserve">VISTA A LOS ÓRGANOS DE CONTROL INTERNO COMPETENTES </w:t>
      </w:r>
    </w:p>
    <w:p w14:paraId="133C81D9" w14:textId="77777777" w:rsidR="004A62E2" w:rsidRPr="00624ED4" w:rsidRDefault="004A62E2" w:rsidP="004A62E2">
      <w:pPr>
        <w:spacing w:line="360" w:lineRule="auto"/>
        <w:contextualSpacing/>
        <w:jc w:val="both"/>
        <w:rPr>
          <w:rFonts w:ascii="Palatino Linotype" w:eastAsia="MS Mincho" w:hAnsi="Palatino Linotype"/>
          <w:sz w:val="24"/>
          <w:szCs w:val="24"/>
          <w:lang w:val="es-ES_tradnl"/>
        </w:rPr>
      </w:pPr>
      <w:r w:rsidRPr="00624ED4">
        <w:rPr>
          <w:rFonts w:ascii="Palatino Linotype" w:eastAsia="MS Mincho" w:hAnsi="Palatino Linotype"/>
          <w:sz w:val="24"/>
          <w:szCs w:val="24"/>
          <w:lang w:val="es-ES_tradnl"/>
        </w:rPr>
        <w:t xml:space="preserve">Finalmente, resulta imprescindible denotar que el recurso de revisión previsto en la Ley de transparencia local no es la vía idónea para investigar y sancionar a servidores </w:t>
      </w:r>
      <w:r w:rsidRPr="00624ED4">
        <w:rPr>
          <w:rFonts w:ascii="Palatino Linotype" w:eastAsia="MS Mincho" w:hAnsi="Palatino Linotype"/>
          <w:sz w:val="24"/>
          <w:szCs w:val="24"/>
          <w:lang w:val="es-ES_tradnl"/>
        </w:rPr>
        <w:lastRenderedPageBreak/>
        <w:t xml:space="preserve">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134E2FE9" w14:textId="77777777" w:rsidR="004A62E2" w:rsidRPr="00624ED4" w:rsidRDefault="004A62E2" w:rsidP="004A62E2">
      <w:pPr>
        <w:spacing w:line="360" w:lineRule="auto"/>
        <w:contextualSpacing/>
        <w:jc w:val="both"/>
        <w:rPr>
          <w:rFonts w:ascii="Palatino Linotype" w:eastAsia="MS Mincho" w:hAnsi="Palatino Linotype"/>
          <w:sz w:val="24"/>
          <w:szCs w:val="24"/>
          <w:lang w:val="es-ES_tradnl"/>
        </w:rPr>
      </w:pPr>
    </w:p>
    <w:p w14:paraId="3990BB76" w14:textId="77777777" w:rsidR="004A62E2" w:rsidRPr="00624ED4" w:rsidRDefault="004A62E2" w:rsidP="004A62E2">
      <w:pPr>
        <w:spacing w:line="360" w:lineRule="auto"/>
        <w:contextualSpacing/>
        <w:jc w:val="both"/>
        <w:rPr>
          <w:rFonts w:ascii="Palatino Linotype" w:eastAsia="MS Mincho" w:hAnsi="Palatino Linotype" w:cs="Arial"/>
          <w:sz w:val="24"/>
          <w:szCs w:val="24"/>
        </w:rPr>
      </w:pPr>
      <w:r w:rsidRPr="00624ED4">
        <w:rPr>
          <w:rFonts w:ascii="Palatino Linotype" w:eastAsia="MS Mincho" w:hAnsi="Palatino Linotype"/>
          <w:sz w:val="24"/>
          <w:szCs w:val="24"/>
          <w:lang w:val="es-ES_tradnl"/>
        </w:rPr>
        <w:t xml:space="preserve">En efecto, la Secretaría Técnica del Pleno hará del conocimiento del </w:t>
      </w:r>
      <w:r w:rsidRPr="00624ED4">
        <w:rPr>
          <w:rFonts w:ascii="Palatino Linotype" w:eastAsia="MS Mincho" w:hAnsi="Palatino Linotype"/>
          <w:sz w:val="24"/>
          <w:szCs w:val="24"/>
        </w:rPr>
        <w:t xml:space="preserve">órgano interno de control competente de las infracciones en que el </w:t>
      </w:r>
      <w:r w:rsidRPr="00624ED4">
        <w:rPr>
          <w:rFonts w:ascii="Palatino Linotype" w:eastAsia="MS Mincho" w:hAnsi="Palatino Linotype"/>
          <w:b/>
          <w:sz w:val="24"/>
          <w:szCs w:val="24"/>
        </w:rPr>
        <w:t>Sujeto Obligado</w:t>
      </w:r>
      <w:r w:rsidRPr="00624ED4">
        <w:rPr>
          <w:rFonts w:ascii="Palatino Linotype" w:eastAsia="MS Mincho"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624ED4">
        <w:rPr>
          <w:rFonts w:ascii="Palatino Linotype" w:eastAsia="MS Mincho" w:hAnsi="Palatino Linotype" w:cs="Arial"/>
          <w:sz w:val="24"/>
          <w:szCs w:val="24"/>
        </w:rPr>
        <w:t>en la Ley de Transparencia Acceso a la Información Pública del Estado de México y Municipios específicamente en sus artículos 190 y 222, que señalan lo siguiente:</w:t>
      </w:r>
    </w:p>
    <w:p w14:paraId="00747217" w14:textId="77777777" w:rsidR="004A62E2" w:rsidRPr="00A952FD" w:rsidRDefault="004A62E2" w:rsidP="004A62E2">
      <w:pPr>
        <w:pStyle w:val="Citas"/>
      </w:pPr>
      <w:r w:rsidRPr="00A952FD">
        <w:rPr>
          <w:b/>
        </w:rPr>
        <w:t>“Artículo 190.</w:t>
      </w:r>
      <w:r w:rsidRPr="00A952FD">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E499621" w14:textId="77777777" w:rsidR="004A62E2" w:rsidRPr="00A952FD" w:rsidRDefault="004A62E2" w:rsidP="004A62E2">
      <w:pPr>
        <w:pStyle w:val="Citas"/>
      </w:pPr>
      <w:r w:rsidRPr="00A952FD">
        <w:rPr>
          <w:b/>
        </w:rPr>
        <w:lastRenderedPageBreak/>
        <w:t>Artículo 222.</w:t>
      </w:r>
      <w:r w:rsidRPr="00A952FD">
        <w:t xml:space="preserve"> Son causas de responsabilidad administrativa de los servidores públicos de los sujetos obligados, por incumplimiento de las obligaciones establecidas en la materia de la presente Ley, las siguientes:</w:t>
      </w:r>
    </w:p>
    <w:p w14:paraId="38112530" w14:textId="77777777" w:rsidR="004A62E2" w:rsidRPr="00A952FD" w:rsidRDefault="004A62E2" w:rsidP="004A62E2">
      <w:pPr>
        <w:pStyle w:val="Citas"/>
      </w:pPr>
      <w:r w:rsidRPr="00A952FD">
        <w:t>(…)</w:t>
      </w:r>
    </w:p>
    <w:p w14:paraId="04CC866F" w14:textId="77777777" w:rsidR="004A62E2" w:rsidRPr="00A952FD" w:rsidRDefault="004A62E2" w:rsidP="004A62E2">
      <w:pPr>
        <w:pStyle w:val="Citas"/>
        <w:rPr>
          <w:b/>
        </w:rPr>
      </w:pPr>
      <w:r w:rsidRPr="00A952FD">
        <w:rPr>
          <w:b/>
        </w:rPr>
        <w:t xml:space="preserve">I. Cualquier acto u </w:t>
      </w:r>
      <w:r w:rsidRPr="00A952FD">
        <w:rPr>
          <w:b/>
          <w:u w:val="single"/>
        </w:rPr>
        <w:t>omisión</w:t>
      </w:r>
      <w:r w:rsidRPr="00A952FD">
        <w:rPr>
          <w:b/>
        </w:rPr>
        <w:t xml:space="preserve"> que provoque la suspensión o deficiencia en la atención de las solicitudes de información;</w:t>
      </w:r>
    </w:p>
    <w:p w14:paraId="354DFFFB" w14:textId="77777777" w:rsidR="004A62E2" w:rsidRPr="00A952FD" w:rsidRDefault="004A62E2" w:rsidP="004A62E2">
      <w:pPr>
        <w:pStyle w:val="Citas"/>
      </w:pPr>
      <w:r w:rsidRPr="00A952FD">
        <w:rPr>
          <w:b/>
          <w:u w:val="single"/>
        </w:rPr>
        <w:t>II. La falta de respuesta a las solicitudes de información en los plazos señalados en la normatividad aplicable</w:t>
      </w:r>
      <w:r w:rsidRPr="00A952FD">
        <w:t>;</w:t>
      </w:r>
    </w:p>
    <w:p w14:paraId="0C6207BE" w14:textId="77777777" w:rsidR="004A62E2" w:rsidRPr="00A952FD" w:rsidRDefault="004A62E2" w:rsidP="004A62E2">
      <w:pPr>
        <w:pStyle w:val="Citas"/>
        <w:rPr>
          <w:b/>
          <w:bCs/>
        </w:rPr>
      </w:pPr>
      <w:r w:rsidRPr="00A952FD">
        <w:t xml:space="preserve">(…)” </w:t>
      </w:r>
      <w:r w:rsidRPr="00A952FD">
        <w:rPr>
          <w:b/>
          <w:bCs/>
        </w:rPr>
        <w:t>(Sic)</w:t>
      </w:r>
    </w:p>
    <w:p w14:paraId="27CFC969" w14:textId="77777777" w:rsidR="004A62E2" w:rsidRPr="00A952FD" w:rsidRDefault="004A62E2" w:rsidP="004A62E2">
      <w:pPr>
        <w:spacing w:line="360" w:lineRule="auto"/>
        <w:contextualSpacing/>
        <w:jc w:val="both"/>
        <w:rPr>
          <w:rFonts w:ascii="Palatino Linotype" w:eastAsia="MS Mincho" w:hAnsi="Palatino Linotype"/>
          <w:lang w:val="es-ES_tradnl"/>
        </w:rPr>
      </w:pPr>
    </w:p>
    <w:p w14:paraId="696E7C43" w14:textId="77777777" w:rsidR="004A62E2" w:rsidRPr="00624ED4" w:rsidRDefault="004A62E2" w:rsidP="004A62E2">
      <w:pPr>
        <w:spacing w:line="360" w:lineRule="auto"/>
        <w:contextualSpacing/>
        <w:jc w:val="both"/>
        <w:rPr>
          <w:rFonts w:ascii="Palatino Linotype" w:eastAsia="MS Mincho" w:hAnsi="Palatino Linotype"/>
          <w:sz w:val="24"/>
          <w:szCs w:val="24"/>
          <w:lang w:val="es-ES_tradnl"/>
        </w:rPr>
      </w:pPr>
      <w:r w:rsidRPr="00624ED4">
        <w:rPr>
          <w:rFonts w:ascii="Palatino Linotype" w:eastAsia="MS Mincho" w:hAnsi="Palatino Linotype"/>
          <w:sz w:val="24"/>
          <w:szCs w:val="24"/>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4EA1FC3E" w14:textId="77777777" w:rsidR="004A62E2" w:rsidRPr="00A952FD" w:rsidRDefault="004A62E2" w:rsidP="004A62E2">
      <w:pPr>
        <w:pStyle w:val="Citas"/>
      </w:pPr>
      <w:r w:rsidRPr="00A952FD">
        <w:t>“Artículo 19. Corresponde a la Secretaría Técnica del Pleno ejercer las atribuciones siguientes:</w:t>
      </w:r>
    </w:p>
    <w:p w14:paraId="3756B190" w14:textId="77777777" w:rsidR="004A62E2" w:rsidRPr="00A952FD" w:rsidRDefault="004A62E2" w:rsidP="004A62E2">
      <w:pPr>
        <w:pStyle w:val="Citas"/>
      </w:pPr>
      <w:r w:rsidRPr="00A952FD">
        <w:t>(…)</w:t>
      </w:r>
    </w:p>
    <w:p w14:paraId="13E6AF64" w14:textId="77777777" w:rsidR="004A62E2" w:rsidRPr="00A952FD" w:rsidRDefault="004A62E2" w:rsidP="004A62E2">
      <w:pPr>
        <w:pStyle w:val="Citas"/>
        <w:rPr>
          <w:rFonts w:eastAsia="MS Mincho"/>
          <w:b/>
          <w:bCs/>
          <w:sz w:val="24"/>
          <w:szCs w:val="24"/>
          <w:lang w:val="es-ES_tradnl"/>
        </w:rPr>
      </w:pPr>
      <w:r w:rsidRPr="00A952FD">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A952FD">
        <w:rPr>
          <w:b/>
          <w:bCs/>
        </w:rPr>
        <w:t>(Sic)</w:t>
      </w:r>
    </w:p>
    <w:p w14:paraId="13E34D26" w14:textId="77777777" w:rsidR="004A62E2" w:rsidRPr="00A952FD" w:rsidRDefault="004A62E2" w:rsidP="004A62E2">
      <w:pPr>
        <w:spacing w:line="360" w:lineRule="auto"/>
        <w:contextualSpacing/>
        <w:jc w:val="both"/>
        <w:rPr>
          <w:rFonts w:ascii="Palatino Linotype" w:eastAsia="MS Mincho" w:hAnsi="Palatino Linotype"/>
          <w:lang w:val="es-ES_tradnl"/>
        </w:rPr>
      </w:pPr>
    </w:p>
    <w:p w14:paraId="121358AA" w14:textId="77777777" w:rsidR="004A62E2" w:rsidRPr="00624ED4" w:rsidRDefault="004A62E2" w:rsidP="004A62E2">
      <w:pPr>
        <w:spacing w:line="360" w:lineRule="auto"/>
        <w:contextualSpacing/>
        <w:jc w:val="both"/>
        <w:rPr>
          <w:rFonts w:ascii="Palatino Linotype" w:hAnsi="Palatino Linotype" w:cs="Arial"/>
          <w:color w:val="222222"/>
          <w:sz w:val="24"/>
          <w:szCs w:val="24"/>
        </w:rPr>
      </w:pPr>
      <w:r w:rsidRPr="00624ED4">
        <w:rPr>
          <w:rFonts w:ascii="Palatino Linotype" w:hAnsi="Palatino Linotype" w:cs="Arial"/>
          <w:color w:val="000000"/>
          <w:sz w:val="24"/>
          <w:szCs w:val="24"/>
        </w:rPr>
        <w:t xml:space="preserve">Por lo que es menester en este asunto, </w:t>
      </w:r>
      <w:r w:rsidRPr="00624ED4">
        <w:rPr>
          <w:rFonts w:ascii="Palatino Linotype" w:hAnsi="Palatino Linotype" w:cs="Arial"/>
          <w:color w:val="222222"/>
          <w:sz w:val="24"/>
          <w:szCs w:val="24"/>
        </w:rPr>
        <w:t>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14:paraId="1D343850" w14:textId="77777777" w:rsidR="004A62E2" w:rsidRDefault="004A62E2" w:rsidP="0078025C">
      <w:pPr>
        <w:spacing w:before="100" w:beforeAutospacing="1" w:after="100" w:afterAutospacing="1" w:line="360" w:lineRule="auto"/>
        <w:jc w:val="both"/>
        <w:rPr>
          <w:rFonts w:ascii="Palatino Linotype" w:hAnsi="Palatino Linotype"/>
          <w:sz w:val="24"/>
          <w:szCs w:val="24"/>
        </w:rPr>
      </w:pPr>
    </w:p>
    <w:p w14:paraId="344F0D2D" w14:textId="5E6A27B1" w:rsidR="004A62E2" w:rsidRPr="004A62E2" w:rsidRDefault="004A62E2" w:rsidP="004A62E2">
      <w:pPr>
        <w:autoSpaceDE w:val="0"/>
        <w:autoSpaceDN w:val="0"/>
        <w:adjustRightInd w:val="0"/>
        <w:spacing w:before="240" w:line="360" w:lineRule="auto"/>
        <w:jc w:val="both"/>
        <w:rPr>
          <w:rFonts w:ascii="Palatino Linotype" w:hAnsi="Palatino Linotype"/>
          <w:b/>
          <w:sz w:val="24"/>
          <w:szCs w:val="24"/>
        </w:rPr>
      </w:pPr>
      <w:r w:rsidRPr="004A62E2">
        <w:rPr>
          <w:rFonts w:ascii="Palatino Linotype" w:hAnsi="Palatino Linotype"/>
          <w:b/>
          <w:sz w:val="24"/>
          <w:szCs w:val="24"/>
        </w:rPr>
        <w:t xml:space="preserve">DE LA VERSIÓN PÚBLICA </w:t>
      </w:r>
    </w:p>
    <w:p w14:paraId="57B9481F" w14:textId="77777777" w:rsidR="004A62E2" w:rsidRDefault="004A62E2" w:rsidP="004A62E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A109FC1" w14:textId="77777777" w:rsidR="004A62E2" w:rsidRPr="00E60DEF" w:rsidRDefault="004A62E2" w:rsidP="004A62E2">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6ACDAECA" w14:textId="77777777" w:rsidR="004A62E2" w:rsidRPr="00E60DEF" w:rsidRDefault="004A62E2" w:rsidP="004A62E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FB76900" w14:textId="77777777" w:rsidR="004A62E2" w:rsidRPr="001571EB" w:rsidRDefault="004A62E2" w:rsidP="004A62E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A441B4F" w14:textId="77777777" w:rsidR="004A62E2" w:rsidRPr="001571EB" w:rsidRDefault="004A62E2" w:rsidP="004A62E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1D89EB5" w14:textId="77777777" w:rsidR="004A62E2" w:rsidRPr="001571EB" w:rsidRDefault="004A62E2" w:rsidP="004A62E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E4D6D00" w14:textId="77777777" w:rsidR="004A62E2" w:rsidRPr="001571EB" w:rsidRDefault="004A62E2" w:rsidP="004A62E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B5BA4BD" w14:textId="77777777" w:rsidR="004A62E2" w:rsidRPr="001571EB" w:rsidRDefault="004A62E2" w:rsidP="004A62E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5CBDDBA" w14:textId="77777777" w:rsidR="004A62E2" w:rsidRPr="001571EB" w:rsidRDefault="004A62E2" w:rsidP="004A62E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905CDCE" w14:textId="77777777" w:rsidR="004A62E2" w:rsidRPr="001571EB" w:rsidRDefault="004A62E2" w:rsidP="004A62E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EB5629A" w14:textId="77777777" w:rsidR="004A62E2" w:rsidRPr="00E60DEF" w:rsidRDefault="004A62E2" w:rsidP="004A62E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F949712" w14:textId="77777777" w:rsidR="004A62E2" w:rsidRPr="001571EB" w:rsidRDefault="004A62E2" w:rsidP="004A62E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2746162" w14:textId="77777777" w:rsidR="004A62E2" w:rsidRDefault="004A62E2" w:rsidP="004A62E2">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5C8D043" w14:textId="77777777" w:rsidR="004A62E2" w:rsidRDefault="004A62E2" w:rsidP="004A62E2">
      <w:pPr>
        <w:spacing w:after="0" w:line="360" w:lineRule="auto"/>
        <w:ind w:right="51"/>
        <w:jc w:val="both"/>
        <w:rPr>
          <w:rFonts w:ascii="Palatino Linotype" w:eastAsia="Arial Unicode MS" w:hAnsi="Palatino Linotype" w:cs="Arial"/>
          <w:sz w:val="24"/>
          <w:szCs w:val="24"/>
        </w:rPr>
      </w:pPr>
    </w:p>
    <w:p w14:paraId="03EA3DC9" w14:textId="77777777" w:rsidR="004A62E2" w:rsidRPr="001571EB" w:rsidRDefault="004A62E2" w:rsidP="004A62E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4C50F846" w14:textId="77777777" w:rsidR="004A62E2" w:rsidRPr="001571EB" w:rsidRDefault="004A62E2" w:rsidP="004A62E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9516E5E" w14:textId="77777777" w:rsidR="004A62E2" w:rsidRPr="001571EB" w:rsidRDefault="004A62E2" w:rsidP="004A62E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403FD4B" w14:textId="77777777" w:rsidR="004A62E2" w:rsidRDefault="004A62E2" w:rsidP="004A62E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818E45D" w14:textId="77777777" w:rsidR="004A62E2" w:rsidRDefault="004A62E2" w:rsidP="004A62E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7DFD8D83"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32AD09B"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C918115"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511D402"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7FEFEE1" w14:textId="77777777" w:rsidR="004A62E2" w:rsidRPr="00EE0180"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C84F9BF" w14:textId="77777777" w:rsidR="004A62E2" w:rsidRPr="001571EB" w:rsidRDefault="004A62E2" w:rsidP="004A62E2">
      <w:pPr>
        <w:autoSpaceDE w:val="0"/>
        <w:autoSpaceDN w:val="0"/>
        <w:adjustRightInd w:val="0"/>
        <w:spacing w:before="120" w:after="120"/>
        <w:ind w:left="567" w:right="850"/>
        <w:jc w:val="both"/>
        <w:rPr>
          <w:rFonts w:ascii="Palatino Linotype" w:eastAsia="Times New Roman" w:hAnsi="Palatino Linotype" w:cs="Arial"/>
          <w:i/>
        </w:rPr>
      </w:pPr>
    </w:p>
    <w:p w14:paraId="546DDF77" w14:textId="77777777" w:rsidR="004A62E2" w:rsidRPr="009738E1" w:rsidRDefault="004A62E2" w:rsidP="004A62E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1622B239" w14:textId="77777777" w:rsidR="004A62E2" w:rsidRPr="001571EB" w:rsidRDefault="004A62E2" w:rsidP="004A62E2">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4C1BEDF4" w14:textId="77777777" w:rsidR="004A62E2" w:rsidRDefault="004A62E2" w:rsidP="004A62E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6847AC9" w14:textId="77777777" w:rsidR="004A62E2" w:rsidRDefault="004A62E2" w:rsidP="004A62E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367665C"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0CE9C22"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01488D7C"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57688C50" w14:textId="77777777" w:rsidR="004A62E2" w:rsidRPr="001571EB"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0DBB0BA" w14:textId="77777777" w:rsidR="004A62E2" w:rsidRDefault="004A62E2" w:rsidP="004A62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717C8CD" w14:textId="77777777" w:rsidR="004A62E2" w:rsidRDefault="004A62E2" w:rsidP="004A62E2">
      <w:pPr>
        <w:spacing w:after="0" w:line="360" w:lineRule="auto"/>
        <w:ind w:right="51"/>
        <w:jc w:val="both"/>
        <w:rPr>
          <w:rFonts w:ascii="Palatino Linotype" w:hAnsi="Palatino Linotype" w:cs="Arial"/>
          <w:sz w:val="24"/>
          <w:szCs w:val="24"/>
        </w:rPr>
      </w:pPr>
    </w:p>
    <w:p w14:paraId="167F5CA2" w14:textId="77777777" w:rsidR="004A62E2" w:rsidRPr="0070449C" w:rsidRDefault="004A62E2" w:rsidP="004A62E2">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w:t>
      </w:r>
      <w:r w:rsidRPr="0070449C">
        <w:rPr>
          <w:rFonts w:ascii="Palatino Linotype" w:hAnsi="Palatino Linotype" w:cs="Arial"/>
          <w:sz w:val="24"/>
          <w:szCs w:val="24"/>
        </w:rPr>
        <w:lastRenderedPageBreak/>
        <w:t xml:space="preserve">restringido excepcionalmente, cuando ésta sea clasificada como reservada o confidencial. </w:t>
      </w:r>
    </w:p>
    <w:p w14:paraId="2F116581" w14:textId="77777777" w:rsidR="004A62E2" w:rsidRPr="0070449C" w:rsidRDefault="004A62E2" w:rsidP="004A62E2">
      <w:pPr>
        <w:spacing w:after="0" w:line="360" w:lineRule="auto"/>
        <w:jc w:val="both"/>
        <w:rPr>
          <w:rFonts w:ascii="Palatino Linotype" w:hAnsi="Palatino Linotype" w:cs="Arial"/>
          <w:sz w:val="24"/>
          <w:szCs w:val="24"/>
        </w:rPr>
      </w:pPr>
    </w:p>
    <w:p w14:paraId="496FD79C" w14:textId="77777777" w:rsidR="004A62E2" w:rsidRPr="0070449C" w:rsidRDefault="004A62E2" w:rsidP="004A62E2">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62AF5C07" w14:textId="77777777" w:rsidR="004A62E2" w:rsidRPr="0070449C" w:rsidRDefault="004A62E2" w:rsidP="004A62E2">
      <w:pPr>
        <w:spacing w:after="0" w:line="360" w:lineRule="auto"/>
        <w:jc w:val="both"/>
        <w:rPr>
          <w:rFonts w:ascii="Palatino Linotype" w:hAnsi="Palatino Linotype"/>
          <w:sz w:val="24"/>
          <w:szCs w:val="24"/>
        </w:rPr>
      </w:pPr>
    </w:p>
    <w:p w14:paraId="7C6A6902" w14:textId="77777777" w:rsidR="004A62E2" w:rsidRPr="0070449C" w:rsidRDefault="004A62E2" w:rsidP="004A62E2">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Ello, conforme al propio concepto de versión pública contenido en el artículo 3, fracción XXIV, de la multicitada Ley se define como:</w:t>
      </w:r>
    </w:p>
    <w:p w14:paraId="194B6438" w14:textId="77777777" w:rsidR="004A62E2" w:rsidRPr="0070449C" w:rsidRDefault="004A62E2" w:rsidP="004A62E2">
      <w:pPr>
        <w:spacing w:after="0" w:line="360" w:lineRule="auto"/>
        <w:jc w:val="both"/>
        <w:rPr>
          <w:rFonts w:ascii="Palatino Linotype" w:hAnsi="Palatino Linotype"/>
          <w:sz w:val="24"/>
          <w:szCs w:val="24"/>
        </w:rPr>
      </w:pPr>
    </w:p>
    <w:p w14:paraId="7C5080CC" w14:textId="77777777" w:rsidR="004A62E2" w:rsidRPr="0070449C" w:rsidRDefault="004A62E2" w:rsidP="004A62E2">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376A04C0"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p>
    <w:p w14:paraId="7945104A" w14:textId="77777777" w:rsidR="004A62E2" w:rsidRPr="008265B6" w:rsidRDefault="004A62E2" w:rsidP="004A62E2">
      <w:pPr>
        <w:autoSpaceDE w:val="0"/>
        <w:autoSpaceDN w:val="0"/>
        <w:adjustRightInd w:val="0"/>
        <w:spacing w:after="0" w:line="360" w:lineRule="auto"/>
        <w:jc w:val="both"/>
        <w:rPr>
          <w:rFonts w:ascii="Palatino Linotype" w:hAnsi="Palatino Linotype" w:cs="Arial"/>
          <w:i/>
          <w:sz w:val="24"/>
          <w:szCs w:val="24"/>
        </w:rPr>
      </w:pPr>
      <w:r w:rsidRPr="0070449C">
        <w:rPr>
          <w:rFonts w:ascii="Palatino Linotype" w:hAnsi="Palatino Linotype" w:cs="Arial"/>
          <w:sz w:val="24"/>
          <w:szCs w:val="24"/>
        </w:rPr>
        <w:t xml:space="preserve">No obstante que si bien, por regla general dentro </w:t>
      </w:r>
      <w:r>
        <w:rPr>
          <w:rFonts w:ascii="Palatino Linotype" w:hAnsi="Palatino Linotype" w:cs="Arial"/>
          <w:sz w:val="24"/>
          <w:szCs w:val="24"/>
        </w:rPr>
        <w:t>de los documentos</w:t>
      </w:r>
      <w:r w:rsidRPr="0070449C">
        <w:rPr>
          <w:rFonts w:ascii="Palatino Linotype" w:hAnsi="Palatino Linotype" w:cs="Arial"/>
          <w:i/>
          <w:sz w:val="24"/>
          <w:szCs w:val="24"/>
        </w:rPr>
        <w:t xml:space="preserve"> </w:t>
      </w:r>
      <w:r w:rsidRPr="0070449C">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w:t>
      </w:r>
      <w:r>
        <w:rPr>
          <w:rFonts w:ascii="Palatino Linotype" w:hAnsi="Palatino Linotype" w:cs="Arial"/>
          <w:sz w:val="24"/>
          <w:szCs w:val="24"/>
        </w:rPr>
        <w:t>documentos</w:t>
      </w:r>
      <w:r w:rsidRPr="0070449C">
        <w:rPr>
          <w:rFonts w:ascii="Palatino Linotype" w:hAnsi="Palatino Linotype" w:cs="Arial"/>
          <w:b/>
          <w:bCs/>
          <w:sz w:val="24"/>
          <w:szCs w:val="24"/>
          <w:u w:val="single"/>
        </w:rPr>
        <w:t xml:space="preserve"> </w:t>
      </w:r>
      <w:r w:rsidRPr="008265B6">
        <w:rPr>
          <w:rFonts w:ascii="Palatino Linotype" w:hAnsi="Palatino Linotype" w:cs="Arial"/>
          <w:sz w:val="24"/>
          <w:szCs w:val="24"/>
        </w:rPr>
        <w:t>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698EDF37"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p>
    <w:p w14:paraId="29163665"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54318C5E"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p>
    <w:p w14:paraId="0BE2DD86" w14:textId="77777777" w:rsidR="004A62E2" w:rsidRPr="0070449C" w:rsidRDefault="004A62E2" w:rsidP="004A62E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19591C53" w14:textId="77777777" w:rsidR="004A62E2" w:rsidRPr="0070449C" w:rsidRDefault="004A62E2" w:rsidP="004A62E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0AA049F0" w14:textId="77777777" w:rsidR="004A62E2" w:rsidRPr="0070449C" w:rsidRDefault="004A62E2" w:rsidP="004A62E2">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42412EFD" w14:textId="77777777" w:rsidR="004A62E2" w:rsidRPr="0070449C" w:rsidRDefault="004A62E2" w:rsidP="004A62E2">
      <w:pPr>
        <w:autoSpaceDE w:val="0"/>
        <w:autoSpaceDN w:val="0"/>
        <w:adjustRightInd w:val="0"/>
        <w:spacing w:after="0" w:line="360" w:lineRule="auto"/>
        <w:ind w:left="567" w:right="616"/>
        <w:jc w:val="both"/>
        <w:rPr>
          <w:rFonts w:ascii="Palatino Linotype" w:hAnsi="Palatino Linotype" w:cs="Arial"/>
          <w:sz w:val="24"/>
          <w:szCs w:val="24"/>
        </w:rPr>
      </w:pPr>
    </w:p>
    <w:p w14:paraId="59B47F98"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C8FC255"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p>
    <w:p w14:paraId="321F2819" w14:textId="77777777" w:rsidR="004A62E2" w:rsidRDefault="004A62E2" w:rsidP="004A62E2">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0520C3D" w14:textId="77777777" w:rsidR="004A62E2" w:rsidRPr="0070449C" w:rsidRDefault="004A62E2" w:rsidP="004A62E2">
      <w:pPr>
        <w:autoSpaceDE w:val="0"/>
        <w:autoSpaceDN w:val="0"/>
        <w:adjustRightInd w:val="0"/>
        <w:spacing w:after="0" w:line="360" w:lineRule="auto"/>
        <w:jc w:val="both"/>
        <w:rPr>
          <w:rFonts w:ascii="Palatino Linotype" w:hAnsi="Palatino Linotype" w:cs="Arial"/>
          <w:sz w:val="24"/>
          <w:szCs w:val="24"/>
        </w:rPr>
      </w:pPr>
    </w:p>
    <w:p w14:paraId="16AC731A" w14:textId="77777777" w:rsidR="004A62E2" w:rsidRPr="0070449C" w:rsidRDefault="004A62E2" w:rsidP="004A62E2">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0C8787F" w14:textId="77777777" w:rsidR="004A62E2" w:rsidRPr="0070449C" w:rsidRDefault="004A62E2" w:rsidP="004A62E2">
      <w:pPr>
        <w:spacing w:after="0" w:line="360" w:lineRule="auto"/>
        <w:jc w:val="both"/>
        <w:rPr>
          <w:rFonts w:ascii="Palatino Linotype" w:hAnsi="Palatino Linotype" w:cs="Arial"/>
          <w:sz w:val="24"/>
          <w:szCs w:val="24"/>
        </w:rPr>
      </w:pPr>
    </w:p>
    <w:p w14:paraId="55C387FD" w14:textId="77777777" w:rsidR="004A62E2" w:rsidRPr="0070449C" w:rsidRDefault="004A62E2" w:rsidP="004A62E2">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06/09 emitido </w:t>
      </w:r>
      <w:r w:rsidRPr="0070449C">
        <w:rPr>
          <w:rFonts w:ascii="Palatino Linotype" w:hAnsi="Palatino Linotype"/>
          <w:sz w:val="24"/>
          <w:szCs w:val="24"/>
        </w:rPr>
        <w:t>por el entonces IFAI, ahora INAI que a la letra dice:</w:t>
      </w:r>
    </w:p>
    <w:p w14:paraId="4944C575" w14:textId="77777777" w:rsidR="004A62E2" w:rsidRPr="0070449C" w:rsidRDefault="004A62E2" w:rsidP="004A62E2">
      <w:pPr>
        <w:spacing w:after="0" w:line="360" w:lineRule="auto"/>
        <w:jc w:val="both"/>
        <w:rPr>
          <w:rFonts w:ascii="Palatino Linotype" w:hAnsi="Palatino Linotype"/>
          <w:sz w:val="24"/>
          <w:szCs w:val="24"/>
        </w:rPr>
      </w:pPr>
    </w:p>
    <w:p w14:paraId="6E57FD75" w14:textId="77777777" w:rsidR="004A62E2" w:rsidRPr="00D8026A" w:rsidRDefault="004A62E2" w:rsidP="004A62E2">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lastRenderedPageBreak/>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(Sic)</w:t>
      </w:r>
    </w:p>
    <w:p w14:paraId="40A3572F" w14:textId="77777777" w:rsidR="004A62E2" w:rsidRDefault="004A62E2" w:rsidP="004A62E2">
      <w:pPr>
        <w:spacing w:after="0" w:line="360" w:lineRule="auto"/>
        <w:ind w:right="51"/>
        <w:jc w:val="both"/>
        <w:rPr>
          <w:rFonts w:ascii="Palatino Linotype" w:hAnsi="Palatino Linotype" w:cs="Arial"/>
          <w:sz w:val="24"/>
          <w:szCs w:val="24"/>
        </w:rPr>
      </w:pPr>
    </w:p>
    <w:p w14:paraId="55546C48" w14:textId="77777777" w:rsidR="004A62E2" w:rsidRDefault="004A62E2" w:rsidP="004A62E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CAD8AD7" w14:textId="77777777" w:rsidR="004A62E2" w:rsidRDefault="004A62E2" w:rsidP="004A62E2">
      <w:pPr>
        <w:autoSpaceDE w:val="0"/>
        <w:autoSpaceDN w:val="0"/>
        <w:adjustRightInd w:val="0"/>
        <w:spacing w:line="360" w:lineRule="auto"/>
        <w:jc w:val="both"/>
        <w:rPr>
          <w:rFonts w:ascii="Palatino Linotype" w:hAnsi="Palatino Linotype" w:cs="Arial"/>
          <w:sz w:val="24"/>
          <w:szCs w:val="24"/>
        </w:rPr>
      </w:pPr>
    </w:p>
    <w:p w14:paraId="728D4FDA" w14:textId="1BBCC4FD" w:rsidR="004A62E2" w:rsidRPr="004A62E2" w:rsidRDefault="004A62E2" w:rsidP="004A62E2">
      <w:pPr>
        <w:autoSpaceDE w:val="0"/>
        <w:autoSpaceDN w:val="0"/>
        <w:adjustRightInd w:val="0"/>
        <w:spacing w:line="360" w:lineRule="auto"/>
        <w:jc w:val="both"/>
        <w:rPr>
          <w:rFonts w:ascii="Palatino Linotype" w:hAnsi="Palatino Linotype" w:cs="Arial"/>
          <w:sz w:val="24"/>
          <w:szCs w:val="24"/>
        </w:rPr>
      </w:pPr>
      <w:r w:rsidRPr="00A720C4">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A720C4">
        <w:rPr>
          <w:rFonts w:ascii="Palatino Linotype" w:hAnsi="Palatino Linotype" w:cs="Arial"/>
          <w:b/>
          <w:sz w:val="24"/>
          <w:szCs w:val="24"/>
        </w:rPr>
        <w:t>ORDENA</w:t>
      </w:r>
      <w:r w:rsidRPr="00A720C4">
        <w:rPr>
          <w:rFonts w:ascii="Palatino Linotype" w:hAnsi="Palatino Linotype" w:cs="Arial"/>
          <w:sz w:val="24"/>
          <w:szCs w:val="24"/>
        </w:rPr>
        <w:t xml:space="preserve"> al </w:t>
      </w:r>
      <w:r w:rsidRPr="00A720C4">
        <w:rPr>
          <w:rFonts w:ascii="Palatino Linotype" w:hAnsi="Palatino Linotype" w:cs="Arial"/>
          <w:b/>
          <w:sz w:val="24"/>
          <w:szCs w:val="24"/>
        </w:rPr>
        <w:t>Sujeto Obligado</w:t>
      </w:r>
      <w:r w:rsidRPr="00A720C4">
        <w:rPr>
          <w:rFonts w:ascii="Palatino Linotype" w:hAnsi="Palatino Linotype" w:cs="Arial"/>
          <w:sz w:val="24"/>
          <w:szCs w:val="24"/>
        </w:rPr>
        <w:t>, atienda la solicitud de información</w:t>
      </w:r>
      <w:r>
        <w:rPr>
          <w:rFonts w:ascii="Palatino Linotype" w:hAnsi="Palatino Linotype" w:cs="Arial"/>
          <w:sz w:val="24"/>
          <w:szCs w:val="24"/>
        </w:rPr>
        <w:t xml:space="preserve"> </w:t>
      </w:r>
      <w:r>
        <w:rPr>
          <w:rFonts w:ascii="Palatino Linotype" w:hAnsi="Palatino Linotype" w:cs="Arial"/>
          <w:b/>
          <w:bCs/>
          <w:sz w:val="24"/>
          <w:szCs w:val="24"/>
        </w:rPr>
        <w:t xml:space="preserve">00340/TEOLOYU/IP/2025, </w:t>
      </w:r>
      <w:r>
        <w:rPr>
          <w:rFonts w:ascii="Palatino Linotype" w:hAnsi="Palatino Linotype" w:cs="Arial"/>
          <w:sz w:val="24"/>
          <w:szCs w:val="24"/>
        </w:rPr>
        <w:t xml:space="preserve">que ha sido materia del presente fallo. </w:t>
      </w:r>
    </w:p>
    <w:p w14:paraId="617C82A1" w14:textId="77777777" w:rsidR="004A62E2" w:rsidRPr="0077248B" w:rsidRDefault="004A62E2" w:rsidP="004A62E2">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P</w:t>
      </w:r>
      <w:r w:rsidRPr="0077248B">
        <w:rPr>
          <w:rFonts w:ascii="Palatino Linotype" w:hAnsi="Palatino Linotype"/>
          <w:sz w:val="24"/>
          <w:szCs w:val="24"/>
        </w:rPr>
        <w:t>or lo antes expuesto y fundado es de resolverse y;</w:t>
      </w:r>
    </w:p>
    <w:p w14:paraId="00AC4EEE" w14:textId="77777777" w:rsidR="004A62E2" w:rsidRDefault="004A62E2" w:rsidP="004A62E2">
      <w:pPr>
        <w:spacing w:after="0" w:line="360" w:lineRule="auto"/>
        <w:jc w:val="center"/>
        <w:rPr>
          <w:rFonts w:ascii="Palatino Linotype" w:hAnsi="Palatino Linotype" w:cstheme="minorHAnsi"/>
          <w:b/>
          <w:sz w:val="28"/>
          <w:szCs w:val="28"/>
        </w:rPr>
      </w:pPr>
    </w:p>
    <w:p w14:paraId="6D5CBE46" w14:textId="77777777" w:rsidR="004A62E2" w:rsidRPr="00883102" w:rsidRDefault="004A62E2" w:rsidP="004A62E2">
      <w:pPr>
        <w:spacing w:after="0" w:line="360" w:lineRule="auto"/>
        <w:jc w:val="center"/>
        <w:rPr>
          <w:rFonts w:ascii="Palatino Linotype" w:hAnsi="Palatino Linotype" w:cstheme="minorHAnsi"/>
          <w:b/>
          <w:sz w:val="28"/>
          <w:szCs w:val="28"/>
          <w:lang w:val="es-ES_tradnl"/>
        </w:rPr>
      </w:pPr>
      <w:r w:rsidRPr="00883102">
        <w:rPr>
          <w:rFonts w:ascii="Palatino Linotype" w:hAnsi="Palatino Linotype" w:cstheme="minorHAnsi"/>
          <w:b/>
          <w:sz w:val="28"/>
          <w:szCs w:val="28"/>
          <w:lang w:val="es-ES_tradnl"/>
        </w:rPr>
        <w:t>R E S U E L V E</w:t>
      </w:r>
    </w:p>
    <w:p w14:paraId="067B24C4" w14:textId="77777777" w:rsidR="004A62E2" w:rsidRPr="00883102" w:rsidRDefault="004A62E2" w:rsidP="004A62E2">
      <w:pPr>
        <w:spacing w:after="0" w:line="360" w:lineRule="auto"/>
        <w:jc w:val="both"/>
        <w:rPr>
          <w:rFonts w:ascii="Palatino Linotype" w:hAnsi="Palatino Linotype" w:cstheme="minorHAnsi"/>
          <w:sz w:val="24"/>
          <w:szCs w:val="24"/>
          <w:lang w:val="es-ES_tradnl"/>
        </w:rPr>
      </w:pPr>
      <w:r w:rsidRPr="00883102">
        <w:rPr>
          <w:rFonts w:ascii="Palatino Linotype" w:hAnsi="Palatino Linotype" w:cstheme="minorHAnsi"/>
          <w:b/>
          <w:sz w:val="24"/>
          <w:szCs w:val="24"/>
          <w:lang w:val="es-ES_tradnl"/>
        </w:rPr>
        <w:t>PRIMERO.</w:t>
      </w:r>
      <w:r w:rsidRPr="00883102">
        <w:rPr>
          <w:rFonts w:ascii="Palatino Linotype" w:hAnsi="Palatino Linotype" w:cstheme="minorHAnsi"/>
          <w:sz w:val="24"/>
          <w:szCs w:val="24"/>
          <w:lang w:val="es-ES_tradnl"/>
        </w:rPr>
        <w:t xml:space="preserve"> Resultan fundadas las razones o motivos de inconformidad hechos valer por </w:t>
      </w:r>
      <w:r>
        <w:rPr>
          <w:rFonts w:ascii="Palatino Linotype" w:hAnsi="Palatino Linotype" w:cstheme="minorHAnsi"/>
          <w:b/>
          <w:bCs/>
          <w:sz w:val="24"/>
          <w:szCs w:val="24"/>
          <w:lang w:val="es-ES_tradnl"/>
        </w:rPr>
        <w:t>EL</w:t>
      </w:r>
      <w:r w:rsidRPr="005345E7">
        <w:rPr>
          <w:rFonts w:ascii="Palatino Linotype" w:hAnsi="Palatino Linotype" w:cstheme="minorHAnsi"/>
          <w:b/>
          <w:bCs/>
          <w:sz w:val="24"/>
          <w:szCs w:val="24"/>
          <w:lang w:val="es-ES_tradnl"/>
        </w:rPr>
        <w:t xml:space="preserve"> RECURRENTE,</w:t>
      </w:r>
      <w:r w:rsidRPr="00883102">
        <w:rPr>
          <w:rFonts w:ascii="Palatino Linotype" w:hAnsi="Palatino Linotype" w:cstheme="minorHAnsi"/>
          <w:sz w:val="24"/>
          <w:szCs w:val="24"/>
          <w:lang w:val="es-ES_tradnl"/>
        </w:rPr>
        <w:t xml:space="preserve"> en términos del </w:t>
      </w:r>
      <w:r w:rsidRPr="00883102">
        <w:rPr>
          <w:rFonts w:ascii="Palatino Linotype" w:hAnsi="Palatino Linotype" w:cstheme="minorHAnsi"/>
          <w:b/>
          <w:sz w:val="24"/>
          <w:szCs w:val="24"/>
          <w:lang w:val="es-ES_tradnl"/>
        </w:rPr>
        <w:t xml:space="preserve">Considerando </w:t>
      </w:r>
      <w:r>
        <w:rPr>
          <w:rFonts w:ascii="Palatino Linotype" w:hAnsi="Palatino Linotype" w:cstheme="minorHAnsi"/>
          <w:b/>
          <w:sz w:val="24"/>
          <w:szCs w:val="24"/>
          <w:lang w:val="es-ES_tradnl"/>
        </w:rPr>
        <w:t>CUAR</w:t>
      </w:r>
      <w:r w:rsidRPr="00883102">
        <w:rPr>
          <w:rFonts w:ascii="Palatino Linotype" w:hAnsi="Palatino Linotype" w:cstheme="minorHAnsi"/>
          <w:b/>
          <w:sz w:val="24"/>
          <w:szCs w:val="24"/>
          <w:lang w:val="es-ES_tradnl"/>
        </w:rPr>
        <w:t xml:space="preserve">TO </w:t>
      </w:r>
      <w:r w:rsidRPr="00883102">
        <w:rPr>
          <w:rFonts w:ascii="Palatino Linotype" w:hAnsi="Palatino Linotype" w:cstheme="minorHAnsi"/>
          <w:sz w:val="24"/>
          <w:szCs w:val="24"/>
          <w:lang w:val="es-ES_tradnl"/>
        </w:rPr>
        <w:t>de la presente resolución.</w:t>
      </w:r>
    </w:p>
    <w:p w14:paraId="3D3E275B" w14:textId="77777777" w:rsidR="004A62E2" w:rsidRPr="00883102" w:rsidRDefault="004A62E2" w:rsidP="004A62E2">
      <w:pPr>
        <w:spacing w:after="0" w:line="360" w:lineRule="auto"/>
        <w:jc w:val="both"/>
        <w:rPr>
          <w:rFonts w:ascii="Palatino Linotype" w:hAnsi="Palatino Linotype" w:cstheme="minorHAnsi"/>
          <w:sz w:val="24"/>
          <w:szCs w:val="24"/>
          <w:lang w:val="es-ES_tradnl"/>
        </w:rPr>
      </w:pPr>
    </w:p>
    <w:p w14:paraId="147891B9" w14:textId="67161B5F" w:rsidR="004A62E2" w:rsidRDefault="004A62E2" w:rsidP="004A62E2">
      <w:pPr>
        <w:spacing w:after="0" w:line="360" w:lineRule="auto"/>
        <w:jc w:val="both"/>
        <w:rPr>
          <w:rFonts w:ascii="Palatino Linotype" w:hAnsi="Palatino Linotype"/>
          <w:color w:val="222222"/>
          <w:sz w:val="24"/>
          <w:szCs w:val="24"/>
          <w:lang w:val="es-ES_tradnl"/>
        </w:rPr>
      </w:pPr>
      <w:r w:rsidRPr="00883102">
        <w:rPr>
          <w:rFonts w:ascii="Palatino Linotype" w:hAnsi="Palatino Linotype" w:cstheme="minorHAnsi"/>
          <w:b/>
          <w:sz w:val="24"/>
          <w:szCs w:val="24"/>
          <w:lang w:val="es-ES_tradnl"/>
        </w:rPr>
        <w:t xml:space="preserve">SEGUNDO. </w:t>
      </w:r>
      <w:r w:rsidRPr="00883102">
        <w:rPr>
          <w:rFonts w:ascii="Palatino Linotype" w:hAnsi="Palatino Linotype"/>
          <w:color w:val="222222"/>
          <w:sz w:val="24"/>
          <w:szCs w:val="24"/>
          <w:lang w:val="es-ES_tradnl"/>
        </w:rPr>
        <w:t>Se</w:t>
      </w:r>
      <w:r w:rsidRPr="00883102">
        <w:rPr>
          <w:rFonts w:ascii="Palatino Linotype" w:hAnsi="Palatino Linotype"/>
          <w:b/>
          <w:bCs/>
          <w:color w:val="222222"/>
          <w:sz w:val="24"/>
          <w:szCs w:val="24"/>
          <w:lang w:val="es-ES_tradnl"/>
        </w:rPr>
        <w:t xml:space="preserve"> ORDENA </w:t>
      </w:r>
      <w:r w:rsidRPr="00883102">
        <w:rPr>
          <w:rFonts w:ascii="Palatino Linotype" w:hAnsi="Palatino Linotype"/>
          <w:color w:val="222222"/>
          <w:sz w:val="24"/>
          <w:szCs w:val="24"/>
          <w:lang w:val="es-ES_tradnl"/>
        </w:rPr>
        <w:t xml:space="preserve">al </w:t>
      </w:r>
      <w:r w:rsidRPr="006215C1">
        <w:rPr>
          <w:rFonts w:ascii="Palatino Linotype" w:hAnsi="Palatino Linotype"/>
          <w:b/>
          <w:bCs/>
          <w:color w:val="222222"/>
          <w:sz w:val="24"/>
          <w:szCs w:val="24"/>
          <w:lang w:val="es-ES_tradnl"/>
        </w:rPr>
        <w:t>SUJETO OBLIGADO</w:t>
      </w:r>
      <w:r w:rsidRPr="00883102">
        <w:rPr>
          <w:rFonts w:ascii="Palatino Linotype" w:hAnsi="Palatino Linotype"/>
          <w:color w:val="222222"/>
          <w:sz w:val="24"/>
          <w:szCs w:val="24"/>
          <w:lang w:val="es-ES_tradnl"/>
        </w:rPr>
        <w:t xml:space="preserve"> que</w:t>
      </w:r>
      <w:r w:rsidRPr="00883102">
        <w:rPr>
          <w:rFonts w:ascii="Palatino Linotype" w:hAnsi="Palatino Linotype"/>
          <w:b/>
          <w:bCs/>
          <w:color w:val="222222"/>
          <w:sz w:val="24"/>
          <w:szCs w:val="24"/>
          <w:lang w:val="es-ES_tradnl"/>
        </w:rPr>
        <w:t xml:space="preserve"> </w:t>
      </w:r>
      <w:r w:rsidRPr="00883102">
        <w:rPr>
          <w:rFonts w:ascii="Palatino Linotype" w:hAnsi="Palatino Linotype"/>
          <w:bCs/>
          <w:color w:val="222222"/>
          <w:sz w:val="24"/>
          <w:szCs w:val="24"/>
          <w:lang w:val="es-ES_tradnl"/>
        </w:rPr>
        <w:t>atienda la solicitud de información</w:t>
      </w:r>
      <w:r>
        <w:rPr>
          <w:rFonts w:ascii="Palatino Linotype" w:hAnsi="Palatino Linotype"/>
          <w:bCs/>
          <w:color w:val="222222"/>
          <w:sz w:val="24"/>
          <w:szCs w:val="24"/>
          <w:lang w:val="es-ES_tradnl"/>
        </w:rPr>
        <w:t xml:space="preserve"> </w:t>
      </w:r>
      <w:r>
        <w:rPr>
          <w:rFonts w:ascii="Palatino Linotype" w:hAnsi="Palatino Linotype" w:cs="Arial"/>
          <w:b/>
          <w:bCs/>
          <w:sz w:val="24"/>
          <w:szCs w:val="24"/>
        </w:rPr>
        <w:t xml:space="preserve">00340/TEOLOYU/IP/2025, </w:t>
      </w:r>
      <w:r>
        <w:rPr>
          <w:rFonts w:ascii="Palatino Linotype" w:hAnsi="Palatino Linotype" w:cs="Arial"/>
          <w:sz w:val="24"/>
          <w:szCs w:val="24"/>
        </w:rPr>
        <w:t>y</w:t>
      </w:r>
      <w:r>
        <w:rPr>
          <w:rFonts w:ascii="Palatino Linotype" w:hAnsi="Palatino Linotype" w:cs="Arial"/>
          <w:b/>
          <w:bCs/>
          <w:sz w:val="24"/>
          <w:szCs w:val="24"/>
        </w:rPr>
        <w:t xml:space="preserve"> </w:t>
      </w:r>
      <w:r w:rsidRPr="00883102">
        <w:rPr>
          <w:rFonts w:ascii="Palatino Linotype" w:hAnsi="Palatino Linotype"/>
          <w:bCs/>
          <w:color w:val="222222"/>
          <w:sz w:val="24"/>
          <w:szCs w:val="24"/>
          <w:lang w:val="es-ES_tradnl"/>
        </w:rPr>
        <w:t>en</w:t>
      </w:r>
      <w:r>
        <w:rPr>
          <w:rFonts w:ascii="Palatino Linotype" w:hAnsi="Palatino Linotype" w:cs="Arial"/>
          <w:sz w:val="24"/>
          <w:szCs w:val="24"/>
        </w:rPr>
        <w:t xml:space="preserve"> términos del </w:t>
      </w:r>
      <w:r w:rsidRPr="00883102">
        <w:rPr>
          <w:rFonts w:ascii="Palatino Linotype" w:hAnsi="Palatino Linotype"/>
          <w:b/>
          <w:color w:val="222222"/>
          <w:sz w:val="24"/>
          <w:szCs w:val="24"/>
          <w:lang w:val="es-ES_tradnl"/>
        </w:rPr>
        <w:t xml:space="preserve">Considerando </w:t>
      </w:r>
      <w:r>
        <w:rPr>
          <w:rFonts w:ascii="Palatino Linotype" w:hAnsi="Palatino Linotype"/>
          <w:b/>
          <w:bCs/>
          <w:color w:val="222222"/>
          <w:sz w:val="24"/>
          <w:szCs w:val="24"/>
          <w:lang w:val="es-ES_tradnl"/>
        </w:rPr>
        <w:t>CUAR</w:t>
      </w:r>
      <w:r w:rsidRPr="00883102">
        <w:rPr>
          <w:rFonts w:ascii="Palatino Linotype" w:hAnsi="Palatino Linotype"/>
          <w:b/>
          <w:bCs/>
          <w:color w:val="222222"/>
          <w:sz w:val="24"/>
          <w:szCs w:val="24"/>
          <w:lang w:val="es-ES_tradnl"/>
        </w:rPr>
        <w:t xml:space="preserve">TO </w:t>
      </w:r>
      <w:r>
        <w:rPr>
          <w:rFonts w:ascii="Palatino Linotype" w:hAnsi="Palatino Linotype"/>
          <w:color w:val="222222"/>
          <w:sz w:val="24"/>
          <w:szCs w:val="24"/>
          <w:lang w:val="es-ES_tradnl"/>
        </w:rPr>
        <w:t xml:space="preserve">de la presente resolución haga entrega al </w:t>
      </w:r>
      <w:r>
        <w:rPr>
          <w:rFonts w:ascii="Palatino Linotype" w:hAnsi="Palatino Linotype"/>
          <w:b/>
          <w:bCs/>
          <w:color w:val="222222"/>
          <w:sz w:val="24"/>
          <w:szCs w:val="24"/>
          <w:lang w:val="es-ES_tradnl"/>
        </w:rPr>
        <w:t xml:space="preserve">RECURRENTE, </w:t>
      </w:r>
      <w:r>
        <w:rPr>
          <w:rFonts w:ascii="Palatino Linotype" w:hAnsi="Palatino Linotype"/>
          <w:color w:val="222222"/>
          <w:sz w:val="24"/>
          <w:szCs w:val="24"/>
          <w:lang w:val="es-ES_tradnl"/>
        </w:rPr>
        <w:t>en versión pública</w:t>
      </w:r>
      <w:r w:rsidR="00EF191E">
        <w:rPr>
          <w:rFonts w:ascii="Palatino Linotype" w:hAnsi="Palatino Linotype"/>
          <w:color w:val="222222"/>
          <w:sz w:val="24"/>
          <w:szCs w:val="24"/>
          <w:lang w:val="es-ES_tradnl"/>
        </w:rPr>
        <w:t xml:space="preserve">, </w:t>
      </w:r>
      <w:r>
        <w:rPr>
          <w:rFonts w:ascii="Palatino Linotype" w:hAnsi="Palatino Linotype"/>
          <w:color w:val="222222"/>
          <w:sz w:val="24"/>
          <w:szCs w:val="24"/>
          <w:lang w:val="es-ES_tradnl"/>
        </w:rPr>
        <w:t xml:space="preserve">a través del </w:t>
      </w:r>
      <w:r w:rsidRPr="00883102">
        <w:rPr>
          <w:rFonts w:ascii="Palatino Linotype" w:hAnsi="Palatino Linotype"/>
          <w:color w:val="222222"/>
          <w:sz w:val="24"/>
          <w:szCs w:val="24"/>
          <w:lang w:val="es-ES_tradnl"/>
        </w:rPr>
        <w:t xml:space="preserve">Sistema de Acceso a la Información Mexiquense </w:t>
      </w:r>
      <w:r w:rsidRPr="008B7C81">
        <w:rPr>
          <w:rFonts w:ascii="Palatino Linotype" w:hAnsi="Palatino Linotype"/>
          <w:b/>
          <w:color w:val="222222"/>
          <w:sz w:val="24"/>
          <w:szCs w:val="24"/>
          <w:lang w:val="es-ES_tradnl"/>
        </w:rPr>
        <w:t>(SAIMEX)</w:t>
      </w:r>
      <w:r>
        <w:rPr>
          <w:rFonts w:ascii="Palatino Linotype" w:hAnsi="Palatino Linotype"/>
          <w:b/>
          <w:bCs/>
          <w:color w:val="222222"/>
          <w:sz w:val="24"/>
          <w:szCs w:val="24"/>
          <w:lang w:val="es-ES_tradnl"/>
        </w:rPr>
        <w:t xml:space="preserve">, </w:t>
      </w:r>
      <w:r>
        <w:rPr>
          <w:rFonts w:ascii="Palatino Linotype" w:hAnsi="Palatino Linotype"/>
          <w:color w:val="222222"/>
          <w:sz w:val="24"/>
          <w:szCs w:val="24"/>
          <w:lang w:val="es-ES_tradnl"/>
        </w:rPr>
        <w:t>de lo siguiente:</w:t>
      </w:r>
    </w:p>
    <w:p w14:paraId="2E379EBA" w14:textId="22409C38" w:rsidR="00F51E9B" w:rsidRPr="00F51E9B" w:rsidRDefault="00EF191E" w:rsidP="00990AB7">
      <w:pPr>
        <w:pStyle w:val="Prrafodelista"/>
        <w:numPr>
          <w:ilvl w:val="0"/>
          <w:numId w:val="6"/>
        </w:numPr>
        <w:spacing w:before="100" w:beforeAutospacing="1" w:after="100" w:afterAutospacing="1" w:line="360" w:lineRule="auto"/>
        <w:jc w:val="both"/>
        <w:rPr>
          <w:rFonts w:ascii="Palatino Linotype" w:hAnsi="Palatino Linotype"/>
          <w:i/>
          <w:iCs/>
        </w:rPr>
      </w:pPr>
      <w:r>
        <w:rPr>
          <w:rFonts w:ascii="Palatino Linotype" w:hAnsi="Palatino Linotype"/>
          <w:i/>
          <w:iCs/>
        </w:rPr>
        <w:lastRenderedPageBreak/>
        <w:t xml:space="preserve">El o los documentos que integran el paquete presupuestal municipal 2025. </w:t>
      </w:r>
    </w:p>
    <w:p w14:paraId="5A097726" w14:textId="77777777" w:rsidR="004A62E2" w:rsidRDefault="004A62E2" w:rsidP="004A62E2">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82CC61F" w14:textId="77777777" w:rsidR="004A62E2" w:rsidRPr="00090EFA" w:rsidRDefault="004A62E2" w:rsidP="004A62E2">
      <w:pPr>
        <w:spacing w:after="0" w:line="360" w:lineRule="auto"/>
        <w:jc w:val="both"/>
        <w:rPr>
          <w:rFonts w:ascii="Palatino Linotype" w:hAnsi="Palatino Linotype"/>
          <w:color w:val="222222"/>
          <w:sz w:val="24"/>
          <w:szCs w:val="24"/>
        </w:rPr>
      </w:pPr>
    </w:p>
    <w:p w14:paraId="28B95A85" w14:textId="77777777" w:rsidR="004A62E2" w:rsidRDefault="004A62E2" w:rsidP="004A62E2">
      <w:pPr>
        <w:spacing w:after="0" w:line="360" w:lineRule="auto"/>
        <w:jc w:val="both"/>
        <w:rPr>
          <w:rFonts w:ascii="Palatino Linotype" w:hAnsi="Palatino Linotype"/>
          <w:bCs/>
          <w:color w:val="222222"/>
          <w:sz w:val="24"/>
          <w:szCs w:val="24"/>
          <w:lang w:val="es-ES_tradnl"/>
        </w:rPr>
      </w:pPr>
    </w:p>
    <w:p w14:paraId="69D27030" w14:textId="60A2D292" w:rsidR="004A62E2" w:rsidRPr="00883102" w:rsidRDefault="004A62E2" w:rsidP="004A62E2">
      <w:pPr>
        <w:spacing w:after="0" w:line="360" w:lineRule="auto"/>
        <w:jc w:val="both"/>
        <w:rPr>
          <w:rFonts w:ascii="Palatino Linotype" w:hAnsi="Palatino Linotype" w:cstheme="minorHAnsi"/>
          <w:sz w:val="24"/>
          <w:szCs w:val="24"/>
          <w:lang w:val="es-ES_tradnl"/>
        </w:rPr>
      </w:pPr>
      <w:r w:rsidRPr="00883102">
        <w:rPr>
          <w:rFonts w:ascii="Palatino Linotype" w:hAnsi="Palatino Linotype" w:cstheme="minorHAnsi"/>
          <w:b/>
          <w:sz w:val="24"/>
          <w:szCs w:val="24"/>
          <w:lang w:val="es-ES_tradnl"/>
        </w:rPr>
        <w:t>TERCERO. Notifíquese</w:t>
      </w:r>
      <w:r w:rsidRPr="00883102">
        <w:rPr>
          <w:rFonts w:ascii="Palatino Linotype" w:hAnsi="Palatino Linotype" w:cstheme="minorHAnsi"/>
          <w:i/>
          <w:sz w:val="24"/>
          <w:szCs w:val="24"/>
          <w:lang w:val="es-ES_tradnl"/>
        </w:rPr>
        <w:t xml:space="preserve"> </w:t>
      </w:r>
      <w:r w:rsidRPr="0077248B">
        <w:rPr>
          <w:rFonts w:ascii="Palatino Linotype" w:hAnsi="Palatino Linotype" w:cstheme="minorHAnsi"/>
          <w:sz w:val="24"/>
          <w:szCs w:val="24"/>
          <w:lang w:val="es-ES_tradnl"/>
        </w:rPr>
        <w:t>la presente resolución al Titular de la Unidad de Transparencia del Sujeto Obligado</w:t>
      </w:r>
      <w:r>
        <w:rPr>
          <w:rFonts w:ascii="Palatino Linotype" w:hAnsi="Palatino Linotype" w:cstheme="minorHAnsi"/>
          <w:sz w:val="24"/>
          <w:szCs w:val="24"/>
          <w:lang w:val="es-ES_tradnl"/>
        </w:rPr>
        <w:t xml:space="preserve"> </w:t>
      </w:r>
      <w:r w:rsidRPr="00C3737F">
        <w:rPr>
          <w:rFonts w:ascii="Palatino Linotype" w:hAnsi="Palatino Linotype" w:cstheme="minorHAnsi"/>
          <w:b/>
          <w:bCs/>
          <w:sz w:val="24"/>
          <w:szCs w:val="24"/>
          <w:lang w:val="es-ES_tradnl"/>
        </w:rPr>
        <w:t>vía SAIMEX,</w:t>
      </w:r>
      <w:r w:rsidRPr="0077248B">
        <w:rPr>
          <w:rFonts w:ascii="Palatino Linotype" w:hAnsi="Palatino Linotype" w:cstheme="minorHAnsi"/>
          <w:sz w:val="24"/>
          <w:szCs w:val="24"/>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26D367" w14:textId="77777777" w:rsidR="004A62E2" w:rsidRPr="00883102" w:rsidRDefault="004A62E2" w:rsidP="004A62E2">
      <w:pPr>
        <w:spacing w:after="0" w:line="360" w:lineRule="auto"/>
        <w:jc w:val="both"/>
        <w:rPr>
          <w:rFonts w:ascii="Palatino Linotype" w:hAnsi="Palatino Linotype" w:cstheme="minorHAnsi"/>
          <w:sz w:val="24"/>
          <w:szCs w:val="24"/>
          <w:lang w:val="es-ES_tradnl"/>
        </w:rPr>
      </w:pPr>
    </w:p>
    <w:p w14:paraId="7188FAD2" w14:textId="77777777" w:rsidR="004A62E2" w:rsidRDefault="004A62E2" w:rsidP="004A62E2">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83102">
        <w:rPr>
          <w:rFonts w:ascii="Palatino Linotype" w:hAnsi="Palatino Linotype" w:cstheme="minorHAnsi"/>
          <w:b/>
          <w:sz w:val="24"/>
          <w:szCs w:val="24"/>
          <w:lang w:val="es-ES_tradnl"/>
        </w:rPr>
        <w:t xml:space="preserve">CUARTO.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w:t>
      </w:r>
      <w:r w:rsidRPr="00B12642">
        <w:rPr>
          <w:rFonts w:ascii="Palatino Linotype" w:eastAsia="Times New Roman" w:hAnsi="Palatino Linotype" w:cs="Times New Roman"/>
          <w:color w:val="222222"/>
          <w:sz w:val="24"/>
          <w:szCs w:val="24"/>
          <w:lang w:eastAsia="es-ES"/>
        </w:rPr>
        <w:t>las leyes aplicables.</w:t>
      </w:r>
    </w:p>
    <w:p w14:paraId="2F0B336A" w14:textId="77777777" w:rsidR="004A62E2" w:rsidRPr="00883102" w:rsidRDefault="004A62E2" w:rsidP="004A62E2">
      <w:pPr>
        <w:spacing w:after="0" w:line="360" w:lineRule="auto"/>
        <w:jc w:val="both"/>
        <w:rPr>
          <w:rFonts w:ascii="Palatino Linotype" w:hAnsi="Palatino Linotype" w:cstheme="minorHAnsi"/>
          <w:sz w:val="24"/>
          <w:szCs w:val="24"/>
          <w:lang w:val="es-ES_tradnl"/>
        </w:rPr>
      </w:pPr>
    </w:p>
    <w:p w14:paraId="5BC03D5A" w14:textId="77777777" w:rsidR="004A62E2" w:rsidRPr="006544D5" w:rsidRDefault="004A62E2" w:rsidP="004A62E2">
      <w:pPr>
        <w:spacing w:after="0" w:line="360" w:lineRule="auto"/>
        <w:jc w:val="both"/>
        <w:rPr>
          <w:rFonts w:ascii="Palatino Linotype" w:hAnsi="Palatino Linotype" w:cstheme="minorHAnsi"/>
          <w:bCs/>
          <w:sz w:val="24"/>
          <w:szCs w:val="24"/>
          <w:lang w:val="es-ES_tradnl"/>
        </w:rPr>
      </w:pPr>
      <w:r w:rsidRPr="006544D5">
        <w:rPr>
          <w:rFonts w:ascii="Palatino Linotype" w:hAnsi="Palatino Linotype" w:cstheme="minorHAnsi"/>
          <w:b/>
          <w:sz w:val="24"/>
          <w:szCs w:val="24"/>
          <w:lang w:val="es-ES_tradnl"/>
        </w:rPr>
        <w:t xml:space="preserve">QUINTO. Gírese </w:t>
      </w:r>
      <w:r w:rsidRPr="006544D5">
        <w:rPr>
          <w:rFonts w:ascii="Palatino Linotype" w:hAnsi="Palatino Linotype" w:cstheme="minorHAnsi"/>
          <w:bCs/>
          <w:sz w:val="24"/>
          <w:szCs w:val="24"/>
          <w:lang w:val="es-ES_tradnl"/>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6544D5">
        <w:rPr>
          <w:rFonts w:ascii="Palatino Linotype" w:hAnsi="Palatino Linotype" w:cstheme="minorHAnsi"/>
          <w:b/>
          <w:sz w:val="24"/>
          <w:szCs w:val="24"/>
          <w:lang w:val="es-ES_tradnl"/>
        </w:rPr>
        <w:t>CUARTO</w:t>
      </w:r>
      <w:r w:rsidRPr="006544D5">
        <w:rPr>
          <w:rFonts w:ascii="Palatino Linotype" w:hAnsi="Palatino Linotype" w:cstheme="minorHAnsi"/>
          <w:bCs/>
          <w:sz w:val="24"/>
          <w:szCs w:val="24"/>
          <w:lang w:val="es-ES_tradnl"/>
        </w:rPr>
        <w:t xml:space="preserve"> de la presente resolución.</w:t>
      </w:r>
    </w:p>
    <w:p w14:paraId="78FE8959" w14:textId="77777777" w:rsidR="004A62E2" w:rsidRPr="00883102" w:rsidRDefault="004A62E2" w:rsidP="004A62E2">
      <w:pPr>
        <w:spacing w:after="0" w:line="360" w:lineRule="auto"/>
        <w:jc w:val="both"/>
        <w:rPr>
          <w:rFonts w:ascii="Palatino Linotype" w:hAnsi="Palatino Linotype" w:cstheme="minorHAnsi"/>
          <w:sz w:val="24"/>
          <w:szCs w:val="24"/>
          <w:lang w:val="es-ES_tradnl"/>
        </w:rPr>
      </w:pPr>
    </w:p>
    <w:p w14:paraId="57E80B80" w14:textId="77777777" w:rsidR="004A62E2" w:rsidRDefault="004A62E2" w:rsidP="004A62E2">
      <w:pPr>
        <w:pBdr>
          <w:top w:val="nil"/>
          <w:left w:val="nil"/>
          <w:bottom w:val="nil"/>
          <w:right w:val="nil"/>
          <w:between w:val="nil"/>
        </w:pBdr>
        <w:spacing w:after="0" w:line="360" w:lineRule="auto"/>
        <w:jc w:val="both"/>
        <w:rPr>
          <w:rFonts w:ascii="Palatino Linotype" w:hAnsi="Palatino Linotype" w:cstheme="minorHAnsi"/>
          <w:color w:val="222222"/>
          <w:sz w:val="24"/>
          <w:szCs w:val="24"/>
          <w:lang w:val="es-ES_tradnl" w:eastAsia="es-ES_tradnl"/>
        </w:rPr>
      </w:pPr>
      <w:r w:rsidRPr="00883102">
        <w:rPr>
          <w:rFonts w:ascii="Palatino Linotype" w:hAnsi="Palatino Linotype" w:cstheme="minorHAnsi"/>
          <w:b/>
          <w:sz w:val="24"/>
          <w:szCs w:val="24"/>
          <w:lang w:val="es-ES_tradnl"/>
        </w:rPr>
        <w:t>SEXTO.</w:t>
      </w:r>
      <w:r w:rsidRPr="00883102">
        <w:rPr>
          <w:rFonts w:ascii="Palatino Linotype" w:hAnsi="Palatino Linotype" w:cstheme="minorHAnsi"/>
          <w:sz w:val="24"/>
          <w:szCs w:val="24"/>
          <w:lang w:val="es-ES_tradnl"/>
        </w:rPr>
        <w:t xml:space="preserve"> </w:t>
      </w:r>
      <w:r w:rsidRPr="00883102">
        <w:rPr>
          <w:rFonts w:ascii="Palatino Linotype" w:hAnsi="Palatino Linotype" w:cstheme="minorHAnsi"/>
          <w:color w:val="222222"/>
          <w:sz w:val="24"/>
          <w:szCs w:val="24"/>
          <w:lang w:val="es-ES_tradnl" w:eastAsia="es-ES_tradnl"/>
        </w:rPr>
        <w:t xml:space="preserve">Se hace del conocimiento </w:t>
      </w:r>
      <w:r>
        <w:rPr>
          <w:rFonts w:ascii="Palatino Linotype" w:hAnsi="Palatino Linotype" w:cstheme="minorHAnsi"/>
          <w:color w:val="222222"/>
          <w:sz w:val="24"/>
          <w:szCs w:val="24"/>
          <w:lang w:val="es-ES_tradnl" w:eastAsia="es-ES_tradnl"/>
        </w:rPr>
        <w:t>del</w:t>
      </w:r>
      <w:r w:rsidRPr="0039731D">
        <w:rPr>
          <w:rFonts w:ascii="Palatino Linotype" w:hAnsi="Palatino Linotype" w:cstheme="minorHAnsi"/>
          <w:b/>
          <w:bCs/>
          <w:color w:val="222222"/>
          <w:sz w:val="24"/>
          <w:szCs w:val="24"/>
          <w:lang w:val="es-ES_tradnl" w:eastAsia="es-ES_tradnl"/>
        </w:rPr>
        <w:t xml:space="preserve"> RECURRENTE</w:t>
      </w:r>
      <w:r w:rsidRPr="00883102">
        <w:rPr>
          <w:rFonts w:ascii="Palatino Linotype" w:hAnsi="Palatino Linotype" w:cstheme="minorHAnsi"/>
          <w:color w:val="222222"/>
          <w:sz w:val="24"/>
          <w:szCs w:val="24"/>
          <w:lang w:val="es-ES_tradnl"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596C73C9" w14:textId="77777777" w:rsidR="00F51E9B" w:rsidRDefault="00F51E9B" w:rsidP="004A62E2">
      <w:pPr>
        <w:pStyle w:val="Prrafodelista"/>
        <w:autoSpaceDE w:val="0"/>
        <w:autoSpaceDN w:val="0"/>
        <w:adjustRightInd w:val="0"/>
        <w:spacing w:before="240" w:after="160" w:line="360" w:lineRule="auto"/>
        <w:ind w:left="0"/>
        <w:jc w:val="both"/>
        <w:rPr>
          <w:rFonts w:ascii="Palatino Linotype" w:hAnsi="Palatino Linotype" w:cs="Arial"/>
        </w:rPr>
      </w:pPr>
    </w:p>
    <w:p w14:paraId="3F751226" w14:textId="051001CE" w:rsidR="009076D7" w:rsidRPr="00837C20" w:rsidRDefault="009076D7" w:rsidP="009076D7">
      <w:pPr>
        <w:spacing w:line="360" w:lineRule="auto"/>
        <w:contextualSpacing/>
        <w:jc w:val="both"/>
        <w:rPr>
          <w:rFonts w:ascii="Palatino Linotype" w:eastAsia="MS Mincho" w:hAnsi="Palatino Linotype"/>
          <w:sz w:val="24"/>
          <w:szCs w:val="24"/>
          <w:lang w:val="es-ES"/>
        </w:rPr>
      </w:pPr>
      <w:r w:rsidRPr="00837C20">
        <w:rPr>
          <w:rFonts w:ascii="Palatino Linotype" w:eastAsia="MS Mincho" w:hAnsi="Palatino Linotype"/>
          <w:sz w:val="24"/>
          <w:szCs w:val="24"/>
          <w:lang w:val="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F5FFD" w:rsidRPr="00837C20">
        <w:rPr>
          <w:rFonts w:ascii="Palatino Linotype" w:eastAsia="MS Mincho" w:hAnsi="Palatino Linotype"/>
          <w:sz w:val="24"/>
          <w:szCs w:val="24"/>
          <w:lang w:val="es-ES"/>
        </w:rPr>
        <w:t>PEÑA</w:t>
      </w:r>
      <w:r w:rsidR="002F5FFD">
        <w:rPr>
          <w:rFonts w:ascii="Palatino Linotype" w:eastAsia="MS Mincho" w:hAnsi="Palatino Linotype"/>
          <w:sz w:val="24"/>
          <w:szCs w:val="24"/>
          <w:lang w:val="es-ES"/>
        </w:rPr>
        <w:t xml:space="preserve"> (AUSENCIA JUSTIFICADA)</w:t>
      </w:r>
      <w:r w:rsidR="002F5FFD" w:rsidRPr="00837C20">
        <w:rPr>
          <w:rFonts w:ascii="Palatino Linotype" w:eastAsia="MS Mincho" w:hAnsi="Palatino Linotype"/>
          <w:sz w:val="24"/>
          <w:szCs w:val="24"/>
          <w:lang w:val="es-ES"/>
        </w:rPr>
        <w:t xml:space="preserve"> EN LA VIGÉSIMA CUARTA SESIÓN ORDINARIA CELEBRADA EL DOS DE JULIO </w:t>
      </w:r>
      <w:r w:rsidRPr="00837C20">
        <w:rPr>
          <w:rFonts w:ascii="Palatino Linotype" w:eastAsia="MS Mincho" w:hAnsi="Palatino Linotype"/>
          <w:sz w:val="24"/>
          <w:szCs w:val="24"/>
          <w:lang w:val="es-ES"/>
        </w:rPr>
        <w:t xml:space="preserve">DE DOS MIL VEINTICINCO, ANTE EL SECRETARIO TÉCNICO DEL PLENO, ALEXIS TAPIA RAMÍREZ. </w:t>
      </w:r>
    </w:p>
    <w:p w14:paraId="40C3ABB6" w14:textId="77777777" w:rsidR="004A62E2" w:rsidRPr="0006186D" w:rsidRDefault="004A62E2" w:rsidP="004A62E2">
      <w:pPr>
        <w:pStyle w:val="INFOEM0"/>
        <w:ind w:left="0"/>
        <w:rPr>
          <w:i w:val="0"/>
          <w:iCs/>
          <w:sz w:val="20"/>
          <w:szCs w:val="20"/>
        </w:rPr>
      </w:pPr>
      <w:r w:rsidRPr="0006186D">
        <w:rPr>
          <w:i w:val="0"/>
          <w:iCs/>
          <w:sz w:val="20"/>
          <w:szCs w:val="20"/>
        </w:rPr>
        <w:t>CCR/JCMA</w:t>
      </w:r>
    </w:p>
    <w:p w14:paraId="2D9F2BC7" w14:textId="3401ADCB" w:rsidR="004A62E2" w:rsidRPr="00C11EEA" w:rsidRDefault="004A62E2" w:rsidP="004A62E2">
      <w:pPr>
        <w:pStyle w:val="Prrafodelista"/>
        <w:autoSpaceDE w:val="0"/>
        <w:autoSpaceDN w:val="0"/>
        <w:adjustRightInd w:val="0"/>
        <w:spacing w:before="240" w:after="160" w:line="360" w:lineRule="auto"/>
        <w:ind w:left="0"/>
        <w:jc w:val="both"/>
        <w:rPr>
          <w:rFonts w:ascii="Palatino Linotype" w:hAnsi="Palatino Linotype" w:cs="Arial"/>
          <w:sz w:val="23"/>
          <w:szCs w:val="23"/>
          <w:lang w:val="es-ES_tradnl"/>
        </w:rPr>
      </w:pPr>
    </w:p>
    <w:p w14:paraId="6BDEE5C5" w14:textId="77777777" w:rsidR="004A62E2" w:rsidRDefault="004A62E2" w:rsidP="0078025C">
      <w:pPr>
        <w:spacing w:before="100" w:beforeAutospacing="1" w:after="100" w:afterAutospacing="1" w:line="360" w:lineRule="auto"/>
        <w:jc w:val="both"/>
        <w:rPr>
          <w:rFonts w:ascii="Palatino Linotype" w:hAnsi="Palatino Linotype"/>
          <w:sz w:val="24"/>
          <w:szCs w:val="24"/>
        </w:rPr>
      </w:pPr>
    </w:p>
    <w:p w14:paraId="5B292E44" w14:textId="77777777" w:rsidR="004F6803" w:rsidRDefault="004F6803" w:rsidP="0078025C">
      <w:pPr>
        <w:spacing w:before="100" w:beforeAutospacing="1" w:after="100" w:afterAutospacing="1" w:line="360" w:lineRule="auto"/>
        <w:jc w:val="both"/>
        <w:rPr>
          <w:rFonts w:ascii="Palatino Linotype" w:hAnsi="Palatino Linotype"/>
          <w:sz w:val="24"/>
          <w:szCs w:val="24"/>
        </w:rPr>
      </w:pPr>
    </w:p>
    <w:p w14:paraId="254E073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A5687F6"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566D76FA"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2AA1D7F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D76B1C5"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2318938"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7545E6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319A09B"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BF72C64"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7AE908A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4B535D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B2DED5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sectPr w:rsidR="00216D2B" w:rsidSect="00193BE6">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83F02" w14:textId="77777777" w:rsidR="00235080" w:rsidRDefault="00235080" w:rsidP="006168E4">
      <w:pPr>
        <w:spacing w:after="0" w:line="240" w:lineRule="auto"/>
      </w:pPr>
      <w:r>
        <w:separator/>
      </w:r>
    </w:p>
  </w:endnote>
  <w:endnote w:type="continuationSeparator" w:id="0">
    <w:p w14:paraId="1912D6B6" w14:textId="77777777" w:rsidR="00235080" w:rsidRDefault="0023508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0AB7">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0AB7">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0AB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0AB7">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7147C" w14:textId="77777777" w:rsidR="00235080" w:rsidRDefault="00235080" w:rsidP="006168E4">
      <w:pPr>
        <w:spacing w:after="0" w:line="240" w:lineRule="auto"/>
      </w:pPr>
      <w:r>
        <w:separator/>
      </w:r>
    </w:p>
  </w:footnote>
  <w:footnote w:type="continuationSeparator" w:id="0">
    <w:p w14:paraId="4D5E1058" w14:textId="77777777" w:rsidR="00235080" w:rsidRDefault="00235080" w:rsidP="006168E4">
      <w:pPr>
        <w:spacing w:after="0" w:line="240" w:lineRule="auto"/>
      </w:pPr>
      <w:r>
        <w:continuationSeparator/>
      </w:r>
    </w:p>
  </w:footnote>
  <w:footnote w:id="1">
    <w:p w14:paraId="42AFE941" w14:textId="77777777" w:rsidR="00A8132F" w:rsidRPr="005552A8" w:rsidRDefault="00A8132F" w:rsidP="00A8132F">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943748" w14:textId="77777777" w:rsidR="00A8132F" w:rsidRPr="005552A8" w:rsidRDefault="00A8132F" w:rsidP="00A8132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rPr>
        <w:t> </w:t>
      </w:r>
      <w:r w:rsidRPr="005552A8">
        <w:rPr>
          <w:rFonts w:ascii="Palatino Linotype" w:hAnsi="Palatino Linotype"/>
          <w:i/>
          <w:sz w:val="16"/>
          <w:szCs w:val="16"/>
        </w:rPr>
        <w:t>con el artículo</w:t>
      </w:r>
      <w:r w:rsidRPr="005552A8">
        <w:rPr>
          <w:rStyle w:val="apple-converted-space"/>
          <w:rFonts w:ascii="Palatino Linotype" w:hAnsi="Palatino Linotype"/>
          <w:i/>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3D3051B"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47ABC">
            <w:rPr>
              <w:rFonts w:ascii="Palatino Linotype" w:hAnsi="Palatino Linotype" w:cs="Arial"/>
              <w:bCs/>
              <w:sz w:val="24"/>
              <w:lang w:eastAsia="es-MX"/>
            </w:rPr>
            <w:t>6590</w:t>
          </w:r>
          <w:r w:rsidR="00F37770">
            <w:rPr>
              <w:rFonts w:ascii="Palatino Linotype" w:hAnsi="Palatino Linotype" w:cs="Arial"/>
              <w:bCs/>
              <w:sz w:val="24"/>
              <w:lang w:eastAsia="es-MX"/>
            </w:rPr>
            <w:t>/INFOEM/IP/RR/202</w:t>
          </w:r>
          <w:r w:rsidR="00702D6B">
            <w:rPr>
              <w:rFonts w:ascii="Palatino Linotype" w:hAnsi="Palatino Linotype" w:cs="Arial"/>
              <w:bCs/>
              <w:sz w:val="24"/>
              <w:lang w:eastAsia="es-MX"/>
            </w:rPr>
            <w:t>5</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BD932E5" w:rsidR="00F37770" w:rsidRPr="00F06FED" w:rsidRDefault="00702D6B"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347ABC">
            <w:rPr>
              <w:rFonts w:ascii="Palatino Linotype" w:hAnsi="Palatino Linotype" w:cs="Arial"/>
            </w:rPr>
            <w:t>Teoloyucan</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25DAC20"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47ABC">
            <w:rPr>
              <w:rFonts w:ascii="Palatino Linotype" w:hAnsi="Palatino Linotype" w:cs="Arial"/>
              <w:bCs/>
              <w:sz w:val="24"/>
              <w:lang w:eastAsia="es-MX"/>
            </w:rPr>
            <w:t>6590</w:t>
          </w:r>
          <w:r w:rsidR="00F37770">
            <w:rPr>
              <w:rFonts w:ascii="Palatino Linotype" w:hAnsi="Palatino Linotype" w:cs="Arial"/>
              <w:bCs/>
              <w:sz w:val="24"/>
              <w:lang w:eastAsia="es-MX"/>
            </w:rPr>
            <w:t>/INFOEM/IP/RR/202</w:t>
          </w:r>
          <w:r w:rsidR="00702D6B">
            <w:rPr>
              <w:rFonts w:ascii="Palatino Linotype" w:hAnsi="Palatino Linotype" w:cs="Arial"/>
              <w:bCs/>
              <w:sz w:val="24"/>
              <w:lang w:eastAsia="es-MX"/>
            </w:rPr>
            <w:t>5</w:t>
          </w:r>
          <w:r w:rsidR="00F37770">
            <w:rPr>
              <w:rFonts w:ascii="Palatino Linotype" w:hAnsi="Palatino Linotype" w:cs="Arial"/>
              <w:bCs/>
              <w:sz w:val="24"/>
              <w:lang w:eastAsia="es-MX"/>
            </w:rPr>
            <w:t xml:space="preserve"> </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61FE18E" w:rsidR="00F37770" w:rsidRPr="00E93E68" w:rsidRDefault="00F37770" w:rsidP="00990AB7">
          <w:pPr>
            <w:spacing w:after="120" w:line="256" w:lineRule="auto"/>
            <w:ind w:right="214"/>
            <w:jc w:val="both"/>
            <w:rPr>
              <w:rFonts w:ascii="Palatino Linotype" w:hAnsi="Palatino Linotype" w:cs="Arial"/>
            </w:rPr>
          </w:pPr>
          <w:r>
            <w:rPr>
              <w:rFonts w:ascii="Palatino Linotype" w:hAnsi="Palatino Linotype" w:cs="Arial"/>
            </w:rPr>
            <w:t xml:space="preserve">           </w:t>
          </w:r>
          <w:r w:rsidR="00990AB7">
            <w:rPr>
              <w:rFonts w:ascii="Palatino Linotype" w:hAnsi="Palatino Linotype" w:cs="Arial"/>
            </w:rPr>
            <w:t>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2C1C805" w:rsidR="00F37770" w:rsidRDefault="00702D6B"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47ABC">
            <w:rPr>
              <w:rFonts w:ascii="Palatino Linotype" w:hAnsi="Palatino Linotype" w:cs="Arial"/>
              <w:szCs w:val="20"/>
            </w:rPr>
            <w:t>Teoloyucan</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04B08"/>
    <w:multiLevelType w:val="hybridMultilevel"/>
    <w:tmpl w:val="E9B2EB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907193"/>
    <w:multiLevelType w:val="hybridMultilevel"/>
    <w:tmpl w:val="81CA9154"/>
    <w:lvl w:ilvl="0" w:tplc="8966715E">
      <w:numFmt w:val="bullet"/>
      <w:lvlText w:val="-"/>
      <w:lvlJc w:val="left"/>
      <w:pPr>
        <w:ind w:left="1800" w:hanging="360"/>
      </w:pPr>
      <w:rPr>
        <w:rFonts w:ascii="Palatino Linotype" w:eastAsia="Times New Roman" w:hAnsi="Palatino Linotype"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6F525FA4"/>
    <w:multiLevelType w:val="hybridMultilevel"/>
    <w:tmpl w:val="A32E959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46DE"/>
    <w:rsid w:val="00015141"/>
    <w:rsid w:val="000158D2"/>
    <w:rsid w:val="000171B7"/>
    <w:rsid w:val="00020C6B"/>
    <w:rsid w:val="00020E74"/>
    <w:rsid w:val="000240C8"/>
    <w:rsid w:val="0002560B"/>
    <w:rsid w:val="000271B9"/>
    <w:rsid w:val="000306A7"/>
    <w:rsid w:val="000308B6"/>
    <w:rsid w:val="000316DC"/>
    <w:rsid w:val="00031B3B"/>
    <w:rsid w:val="00032762"/>
    <w:rsid w:val="00032896"/>
    <w:rsid w:val="000329BE"/>
    <w:rsid w:val="00037EBF"/>
    <w:rsid w:val="0004186E"/>
    <w:rsid w:val="00041EFF"/>
    <w:rsid w:val="000420E2"/>
    <w:rsid w:val="00044D01"/>
    <w:rsid w:val="000451BE"/>
    <w:rsid w:val="00045379"/>
    <w:rsid w:val="00045CB8"/>
    <w:rsid w:val="0005080D"/>
    <w:rsid w:val="000508FA"/>
    <w:rsid w:val="0005171D"/>
    <w:rsid w:val="000518AC"/>
    <w:rsid w:val="00051AD7"/>
    <w:rsid w:val="00053936"/>
    <w:rsid w:val="00055224"/>
    <w:rsid w:val="000569A5"/>
    <w:rsid w:val="00056D2A"/>
    <w:rsid w:val="00057E37"/>
    <w:rsid w:val="000612BD"/>
    <w:rsid w:val="00061821"/>
    <w:rsid w:val="000623F9"/>
    <w:rsid w:val="00062908"/>
    <w:rsid w:val="00063035"/>
    <w:rsid w:val="00063A10"/>
    <w:rsid w:val="00064EA6"/>
    <w:rsid w:val="000662F8"/>
    <w:rsid w:val="00066E86"/>
    <w:rsid w:val="00070E99"/>
    <w:rsid w:val="000720CA"/>
    <w:rsid w:val="00073321"/>
    <w:rsid w:val="00073E78"/>
    <w:rsid w:val="00073FC2"/>
    <w:rsid w:val="000740DB"/>
    <w:rsid w:val="00076AE0"/>
    <w:rsid w:val="0007756F"/>
    <w:rsid w:val="0008151E"/>
    <w:rsid w:val="000821BF"/>
    <w:rsid w:val="0008548C"/>
    <w:rsid w:val="00085EA6"/>
    <w:rsid w:val="00086AF1"/>
    <w:rsid w:val="00086BE9"/>
    <w:rsid w:val="00087AC4"/>
    <w:rsid w:val="00090174"/>
    <w:rsid w:val="00091552"/>
    <w:rsid w:val="00091C3A"/>
    <w:rsid w:val="000944B9"/>
    <w:rsid w:val="00095CD4"/>
    <w:rsid w:val="00096C6C"/>
    <w:rsid w:val="0009704F"/>
    <w:rsid w:val="000A18F1"/>
    <w:rsid w:val="000A2E75"/>
    <w:rsid w:val="000A32E3"/>
    <w:rsid w:val="000A3486"/>
    <w:rsid w:val="000A3612"/>
    <w:rsid w:val="000A369F"/>
    <w:rsid w:val="000A4601"/>
    <w:rsid w:val="000A46EB"/>
    <w:rsid w:val="000A5195"/>
    <w:rsid w:val="000A535D"/>
    <w:rsid w:val="000A5980"/>
    <w:rsid w:val="000A79DA"/>
    <w:rsid w:val="000B03E0"/>
    <w:rsid w:val="000B08A4"/>
    <w:rsid w:val="000B1C4F"/>
    <w:rsid w:val="000B313F"/>
    <w:rsid w:val="000B43A0"/>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9B4"/>
    <w:rsid w:val="000F3F8D"/>
    <w:rsid w:val="000F5153"/>
    <w:rsid w:val="000F6D5B"/>
    <w:rsid w:val="00100C19"/>
    <w:rsid w:val="00100F8E"/>
    <w:rsid w:val="0010154B"/>
    <w:rsid w:val="00104A18"/>
    <w:rsid w:val="00104B9D"/>
    <w:rsid w:val="00105A17"/>
    <w:rsid w:val="00105F91"/>
    <w:rsid w:val="00106372"/>
    <w:rsid w:val="001108D8"/>
    <w:rsid w:val="00111DCD"/>
    <w:rsid w:val="00112C29"/>
    <w:rsid w:val="0011400D"/>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47361"/>
    <w:rsid w:val="00151373"/>
    <w:rsid w:val="0015205D"/>
    <w:rsid w:val="001522E7"/>
    <w:rsid w:val="00152AB2"/>
    <w:rsid w:val="00152C2B"/>
    <w:rsid w:val="001552A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3BE1"/>
    <w:rsid w:val="00184E8E"/>
    <w:rsid w:val="001854E1"/>
    <w:rsid w:val="0018577F"/>
    <w:rsid w:val="00185D2C"/>
    <w:rsid w:val="0018644A"/>
    <w:rsid w:val="00192661"/>
    <w:rsid w:val="00193784"/>
    <w:rsid w:val="00193BE6"/>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220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07F"/>
    <w:rsid w:val="002138D5"/>
    <w:rsid w:val="0021501E"/>
    <w:rsid w:val="00215192"/>
    <w:rsid w:val="00216628"/>
    <w:rsid w:val="00216D2B"/>
    <w:rsid w:val="002205C0"/>
    <w:rsid w:val="00220EA5"/>
    <w:rsid w:val="002214A5"/>
    <w:rsid w:val="00221889"/>
    <w:rsid w:val="002227C6"/>
    <w:rsid w:val="002248AC"/>
    <w:rsid w:val="00224F20"/>
    <w:rsid w:val="00225FB3"/>
    <w:rsid w:val="00226AF5"/>
    <w:rsid w:val="00230F7C"/>
    <w:rsid w:val="002315A1"/>
    <w:rsid w:val="002317D3"/>
    <w:rsid w:val="0023373D"/>
    <w:rsid w:val="00233904"/>
    <w:rsid w:val="0023423C"/>
    <w:rsid w:val="00235080"/>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567"/>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4A7B"/>
    <w:rsid w:val="002B5DBD"/>
    <w:rsid w:val="002B710C"/>
    <w:rsid w:val="002B7AC8"/>
    <w:rsid w:val="002C07C4"/>
    <w:rsid w:val="002C18E1"/>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5FFD"/>
    <w:rsid w:val="002F6424"/>
    <w:rsid w:val="00300966"/>
    <w:rsid w:val="00300D0B"/>
    <w:rsid w:val="003034C0"/>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17D"/>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ABC"/>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4EC8"/>
    <w:rsid w:val="003B5455"/>
    <w:rsid w:val="003B58C0"/>
    <w:rsid w:val="003B5FFE"/>
    <w:rsid w:val="003B63C0"/>
    <w:rsid w:val="003C2632"/>
    <w:rsid w:val="003C2A8E"/>
    <w:rsid w:val="003C564A"/>
    <w:rsid w:val="003C7873"/>
    <w:rsid w:val="003C78F7"/>
    <w:rsid w:val="003C7C12"/>
    <w:rsid w:val="003D0226"/>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83E"/>
    <w:rsid w:val="00400A2B"/>
    <w:rsid w:val="00400E16"/>
    <w:rsid w:val="004012CF"/>
    <w:rsid w:val="004012E1"/>
    <w:rsid w:val="004028F5"/>
    <w:rsid w:val="00402FF3"/>
    <w:rsid w:val="00403116"/>
    <w:rsid w:val="00403937"/>
    <w:rsid w:val="00404445"/>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6B30"/>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26A"/>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2ADA"/>
    <w:rsid w:val="004A5FFD"/>
    <w:rsid w:val="004A62E2"/>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393"/>
    <w:rsid w:val="004D1FB9"/>
    <w:rsid w:val="004D2D13"/>
    <w:rsid w:val="004D6029"/>
    <w:rsid w:val="004D647B"/>
    <w:rsid w:val="004E0679"/>
    <w:rsid w:val="004E0B32"/>
    <w:rsid w:val="004E1E0C"/>
    <w:rsid w:val="004E2371"/>
    <w:rsid w:val="004E59D7"/>
    <w:rsid w:val="004E5A14"/>
    <w:rsid w:val="004E60EE"/>
    <w:rsid w:val="004E680D"/>
    <w:rsid w:val="004E6BE9"/>
    <w:rsid w:val="004E78B8"/>
    <w:rsid w:val="004E79A4"/>
    <w:rsid w:val="004F26CF"/>
    <w:rsid w:val="004F3071"/>
    <w:rsid w:val="004F41DA"/>
    <w:rsid w:val="004F4792"/>
    <w:rsid w:val="004F4DF1"/>
    <w:rsid w:val="004F6476"/>
    <w:rsid w:val="004F6803"/>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2258"/>
    <w:rsid w:val="00532AEC"/>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0E42"/>
    <w:rsid w:val="00581064"/>
    <w:rsid w:val="00581A22"/>
    <w:rsid w:val="005833A8"/>
    <w:rsid w:val="00583431"/>
    <w:rsid w:val="0058483E"/>
    <w:rsid w:val="00585740"/>
    <w:rsid w:val="0058661B"/>
    <w:rsid w:val="00586CD3"/>
    <w:rsid w:val="00593E91"/>
    <w:rsid w:val="00595600"/>
    <w:rsid w:val="0059597D"/>
    <w:rsid w:val="00596DC4"/>
    <w:rsid w:val="00597589"/>
    <w:rsid w:val="00597A23"/>
    <w:rsid w:val="005A0B49"/>
    <w:rsid w:val="005A13CC"/>
    <w:rsid w:val="005A2394"/>
    <w:rsid w:val="005A52D9"/>
    <w:rsid w:val="005A5A6E"/>
    <w:rsid w:val="005A694B"/>
    <w:rsid w:val="005A6D57"/>
    <w:rsid w:val="005A6D6E"/>
    <w:rsid w:val="005B0424"/>
    <w:rsid w:val="005B0575"/>
    <w:rsid w:val="005B37EF"/>
    <w:rsid w:val="005B451E"/>
    <w:rsid w:val="005B5B70"/>
    <w:rsid w:val="005B5F05"/>
    <w:rsid w:val="005B60F5"/>
    <w:rsid w:val="005B686E"/>
    <w:rsid w:val="005B6D44"/>
    <w:rsid w:val="005B77A6"/>
    <w:rsid w:val="005B79E7"/>
    <w:rsid w:val="005C2999"/>
    <w:rsid w:val="005C35A8"/>
    <w:rsid w:val="005C3E35"/>
    <w:rsid w:val="005C40CB"/>
    <w:rsid w:val="005C4991"/>
    <w:rsid w:val="005C6982"/>
    <w:rsid w:val="005D08BD"/>
    <w:rsid w:val="005D0901"/>
    <w:rsid w:val="005D14EB"/>
    <w:rsid w:val="005D16DD"/>
    <w:rsid w:val="005D197C"/>
    <w:rsid w:val="005D1E9D"/>
    <w:rsid w:val="005D1EDA"/>
    <w:rsid w:val="005D1F7E"/>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D69"/>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5175"/>
    <w:rsid w:val="00696B2F"/>
    <w:rsid w:val="00697281"/>
    <w:rsid w:val="00697EB4"/>
    <w:rsid w:val="006A2C7F"/>
    <w:rsid w:val="006A3E53"/>
    <w:rsid w:val="006A4322"/>
    <w:rsid w:val="006A4575"/>
    <w:rsid w:val="006A5961"/>
    <w:rsid w:val="006A6FF3"/>
    <w:rsid w:val="006B03E9"/>
    <w:rsid w:val="006B1953"/>
    <w:rsid w:val="006B1BF1"/>
    <w:rsid w:val="006B1C95"/>
    <w:rsid w:val="006B26E3"/>
    <w:rsid w:val="006B2A6C"/>
    <w:rsid w:val="006B32E4"/>
    <w:rsid w:val="006B3302"/>
    <w:rsid w:val="006B37EA"/>
    <w:rsid w:val="006B3A2B"/>
    <w:rsid w:val="006B3B00"/>
    <w:rsid w:val="006B43DF"/>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2D6B"/>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1B80"/>
    <w:rsid w:val="007234D1"/>
    <w:rsid w:val="00724441"/>
    <w:rsid w:val="00725B1D"/>
    <w:rsid w:val="0072666C"/>
    <w:rsid w:val="00731428"/>
    <w:rsid w:val="0073157A"/>
    <w:rsid w:val="00731690"/>
    <w:rsid w:val="007338D5"/>
    <w:rsid w:val="00735209"/>
    <w:rsid w:val="00740E74"/>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5C"/>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5DE6"/>
    <w:rsid w:val="007A7354"/>
    <w:rsid w:val="007B2C77"/>
    <w:rsid w:val="007B34C6"/>
    <w:rsid w:val="007B7A6F"/>
    <w:rsid w:val="007C2C6B"/>
    <w:rsid w:val="007C368A"/>
    <w:rsid w:val="007C520E"/>
    <w:rsid w:val="007C7F7F"/>
    <w:rsid w:val="007C7FF1"/>
    <w:rsid w:val="007D15EF"/>
    <w:rsid w:val="007D1A27"/>
    <w:rsid w:val="007D1B24"/>
    <w:rsid w:val="007D1F15"/>
    <w:rsid w:val="007D25B1"/>
    <w:rsid w:val="007D2878"/>
    <w:rsid w:val="007D300A"/>
    <w:rsid w:val="007D661B"/>
    <w:rsid w:val="007E00E1"/>
    <w:rsid w:val="007E02D4"/>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619"/>
    <w:rsid w:val="00804BD9"/>
    <w:rsid w:val="00805270"/>
    <w:rsid w:val="00810845"/>
    <w:rsid w:val="008111EB"/>
    <w:rsid w:val="00811205"/>
    <w:rsid w:val="00811D16"/>
    <w:rsid w:val="00812C48"/>
    <w:rsid w:val="008146F9"/>
    <w:rsid w:val="00814D55"/>
    <w:rsid w:val="00816506"/>
    <w:rsid w:val="008170EF"/>
    <w:rsid w:val="00817BFB"/>
    <w:rsid w:val="008200B2"/>
    <w:rsid w:val="008230AE"/>
    <w:rsid w:val="00823267"/>
    <w:rsid w:val="0082382A"/>
    <w:rsid w:val="00824DCD"/>
    <w:rsid w:val="00824DDB"/>
    <w:rsid w:val="008257A6"/>
    <w:rsid w:val="00831346"/>
    <w:rsid w:val="00831D3F"/>
    <w:rsid w:val="00832986"/>
    <w:rsid w:val="00833DB5"/>
    <w:rsid w:val="00833FA4"/>
    <w:rsid w:val="00834BBB"/>
    <w:rsid w:val="00834E50"/>
    <w:rsid w:val="00834EFA"/>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0EF"/>
    <w:rsid w:val="00905422"/>
    <w:rsid w:val="00905BEF"/>
    <w:rsid w:val="00906374"/>
    <w:rsid w:val="00906E60"/>
    <w:rsid w:val="009076D7"/>
    <w:rsid w:val="009104EB"/>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190"/>
    <w:rsid w:val="0094145F"/>
    <w:rsid w:val="0094160B"/>
    <w:rsid w:val="00943F2E"/>
    <w:rsid w:val="00944355"/>
    <w:rsid w:val="00944898"/>
    <w:rsid w:val="009449B8"/>
    <w:rsid w:val="00944DC9"/>
    <w:rsid w:val="00946C4B"/>
    <w:rsid w:val="0094795E"/>
    <w:rsid w:val="00951D08"/>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47DF"/>
    <w:rsid w:val="009772A0"/>
    <w:rsid w:val="0098182D"/>
    <w:rsid w:val="009845ED"/>
    <w:rsid w:val="00985C4C"/>
    <w:rsid w:val="0098704B"/>
    <w:rsid w:val="0099059B"/>
    <w:rsid w:val="00990AB7"/>
    <w:rsid w:val="009911E6"/>
    <w:rsid w:val="00991E43"/>
    <w:rsid w:val="00993821"/>
    <w:rsid w:val="00994280"/>
    <w:rsid w:val="009970B5"/>
    <w:rsid w:val="009A0D0A"/>
    <w:rsid w:val="009A0FAE"/>
    <w:rsid w:val="009A1D94"/>
    <w:rsid w:val="009A200B"/>
    <w:rsid w:val="009A2418"/>
    <w:rsid w:val="009A3677"/>
    <w:rsid w:val="009A5659"/>
    <w:rsid w:val="009A64BD"/>
    <w:rsid w:val="009A686F"/>
    <w:rsid w:val="009A6ACC"/>
    <w:rsid w:val="009B1636"/>
    <w:rsid w:val="009B33A8"/>
    <w:rsid w:val="009B3487"/>
    <w:rsid w:val="009B3978"/>
    <w:rsid w:val="009B4510"/>
    <w:rsid w:val="009B5F5A"/>
    <w:rsid w:val="009B7C61"/>
    <w:rsid w:val="009B7CDD"/>
    <w:rsid w:val="009C0DC9"/>
    <w:rsid w:val="009C1104"/>
    <w:rsid w:val="009C3269"/>
    <w:rsid w:val="009C3793"/>
    <w:rsid w:val="009C451F"/>
    <w:rsid w:val="009C5E96"/>
    <w:rsid w:val="009C726D"/>
    <w:rsid w:val="009D317E"/>
    <w:rsid w:val="009D3186"/>
    <w:rsid w:val="009D3697"/>
    <w:rsid w:val="009D5F9E"/>
    <w:rsid w:val="009D615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0A3"/>
    <w:rsid w:val="00A22E00"/>
    <w:rsid w:val="00A24194"/>
    <w:rsid w:val="00A26994"/>
    <w:rsid w:val="00A27C95"/>
    <w:rsid w:val="00A30B55"/>
    <w:rsid w:val="00A30C44"/>
    <w:rsid w:val="00A328AE"/>
    <w:rsid w:val="00A33460"/>
    <w:rsid w:val="00A355A6"/>
    <w:rsid w:val="00A36F3E"/>
    <w:rsid w:val="00A40DDC"/>
    <w:rsid w:val="00A4131E"/>
    <w:rsid w:val="00A41694"/>
    <w:rsid w:val="00A419D1"/>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191B"/>
    <w:rsid w:val="00A625E2"/>
    <w:rsid w:val="00A62AA3"/>
    <w:rsid w:val="00A62B55"/>
    <w:rsid w:val="00A64C80"/>
    <w:rsid w:val="00A65143"/>
    <w:rsid w:val="00A67EF9"/>
    <w:rsid w:val="00A70411"/>
    <w:rsid w:val="00A70B69"/>
    <w:rsid w:val="00A72465"/>
    <w:rsid w:val="00A7406D"/>
    <w:rsid w:val="00A802CB"/>
    <w:rsid w:val="00A80C92"/>
    <w:rsid w:val="00A80F08"/>
    <w:rsid w:val="00A8132F"/>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225"/>
    <w:rsid w:val="00A97D27"/>
    <w:rsid w:val="00AA1687"/>
    <w:rsid w:val="00AA1F1C"/>
    <w:rsid w:val="00AA285C"/>
    <w:rsid w:val="00AA327E"/>
    <w:rsid w:val="00AA4542"/>
    <w:rsid w:val="00AA5D62"/>
    <w:rsid w:val="00AA6C23"/>
    <w:rsid w:val="00AB14BD"/>
    <w:rsid w:val="00AB1D6A"/>
    <w:rsid w:val="00AB252B"/>
    <w:rsid w:val="00AB3710"/>
    <w:rsid w:val="00AB4B0F"/>
    <w:rsid w:val="00AB4FA1"/>
    <w:rsid w:val="00AB50BC"/>
    <w:rsid w:val="00AB6BF9"/>
    <w:rsid w:val="00AB6C3B"/>
    <w:rsid w:val="00AC0516"/>
    <w:rsid w:val="00AC0D96"/>
    <w:rsid w:val="00AC1266"/>
    <w:rsid w:val="00AC1CF9"/>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16B"/>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4D24"/>
    <w:rsid w:val="00B160F4"/>
    <w:rsid w:val="00B163D5"/>
    <w:rsid w:val="00B2037B"/>
    <w:rsid w:val="00B20F15"/>
    <w:rsid w:val="00B2231D"/>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69D"/>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341"/>
    <w:rsid w:val="00B77811"/>
    <w:rsid w:val="00B80129"/>
    <w:rsid w:val="00B80734"/>
    <w:rsid w:val="00B813AC"/>
    <w:rsid w:val="00B8224B"/>
    <w:rsid w:val="00B8376C"/>
    <w:rsid w:val="00B84260"/>
    <w:rsid w:val="00B8655B"/>
    <w:rsid w:val="00B8738D"/>
    <w:rsid w:val="00B90248"/>
    <w:rsid w:val="00B90F23"/>
    <w:rsid w:val="00B91B89"/>
    <w:rsid w:val="00B91F0B"/>
    <w:rsid w:val="00B9223B"/>
    <w:rsid w:val="00B9263F"/>
    <w:rsid w:val="00B929F0"/>
    <w:rsid w:val="00B92D47"/>
    <w:rsid w:val="00B9498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6A25"/>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4E6A"/>
    <w:rsid w:val="00BE54B8"/>
    <w:rsid w:val="00BE55D6"/>
    <w:rsid w:val="00BE71D7"/>
    <w:rsid w:val="00BE734B"/>
    <w:rsid w:val="00BF2ABC"/>
    <w:rsid w:val="00BF2EA1"/>
    <w:rsid w:val="00BF3B35"/>
    <w:rsid w:val="00BF4805"/>
    <w:rsid w:val="00BF4CC6"/>
    <w:rsid w:val="00BF5321"/>
    <w:rsid w:val="00BF543F"/>
    <w:rsid w:val="00BF5918"/>
    <w:rsid w:val="00BF6902"/>
    <w:rsid w:val="00BF7421"/>
    <w:rsid w:val="00C01E2A"/>
    <w:rsid w:val="00C024E0"/>
    <w:rsid w:val="00C02989"/>
    <w:rsid w:val="00C03536"/>
    <w:rsid w:val="00C03793"/>
    <w:rsid w:val="00C06E2B"/>
    <w:rsid w:val="00C07650"/>
    <w:rsid w:val="00C104DD"/>
    <w:rsid w:val="00C1331F"/>
    <w:rsid w:val="00C15275"/>
    <w:rsid w:val="00C15B88"/>
    <w:rsid w:val="00C15E31"/>
    <w:rsid w:val="00C16479"/>
    <w:rsid w:val="00C2058D"/>
    <w:rsid w:val="00C233EF"/>
    <w:rsid w:val="00C25084"/>
    <w:rsid w:val="00C250CB"/>
    <w:rsid w:val="00C261C7"/>
    <w:rsid w:val="00C26216"/>
    <w:rsid w:val="00C2768B"/>
    <w:rsid w:val="00C27ABF"/>
    <w:rsid w:val="00C31122"/>
    <w:rsid w:val="00C316A8"/>
    <w:rsid w:val="00C322F2"/>
    <w:rsid w:val="00C32F80"/>
    <w:rsid w:val="00C337F9"/>
    <w:rsid w:val="00C34705"/>
    <w:rsid w:val="00C35EE4"/>
    <w:rsid w:val="00C36DCE"/>
    <w:rsid w:val="00C3737F"/>
    <w:rsid w:val="00C3746F"/>
    <w:rsid w:val="00C3768A"/>
    <w:rsid w:val="00C37D9D"/>
    <w:rsid w:val="00C4139D"/>
    <w:rsid w:val="00C420B6"/>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055"/>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0CA2"/>
    <w:rsid w:val="00CA190D"/>
    <w:rsid w:val="00CA1C79"/>
    <w:rsid w:val="00CA30DB"/>
    <w:rsid w:val="00CA3159"/>
    <w:rsid w:val="00CA491B"/>
    <w:rsid w:val="00CA5081"/>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1708"/>
    <w:rsid w:val="00CE2ADF"/>
    <w:rsid w:val="00CE33FC"/>
    <w:rsid w:val="00CE410A"/>
    <w:rsid w:val="00CE4B84"/>
    <w:rsid w:val="00CE68C7"/>
    <w:rsid w:val="00CE74B0"/>
    <w:rsid w:val="00CE74DF"/>
    <w:rsid w:val="00CF00DE"/>
    <w:rsid w:val="00CF0213"/>
    <w:rsid w:val="00CF052D"/>
    <w:rsid w:val="00CF0EC0"/>
    <w:rsid w:val="00CF181D"/>
    <w:rsid w:val="00CF1D7D"/>
    <w:rsid w:val="00CF3998"/>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D9F"/>
    <w:rsid w:val="00D06321"/>
    <w:rsid w:val="00D0642F"/>
    <w:rsid w:val="00D06CA0"/>
    <w:rsid w:val="00D06DB7"/>
    <w:rsid w:val="00D0707C"/>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1DD6"/>
    <w:rsid w:val="00D427A6"/>
    <w:rsid w:val="00D42AFE"/>
    <w:rsid w:val="00D45390"/>
    <w:rsid w:val="00D46323"/>
    <w:rsid w:val="00D47571"/>
    <w:rsid w:val="00D475A2"/>
    <w:rsid w:val="00D5015D"/>
    <w:rsid w:val="00D5152D"/>
    <w:rsid w:val="00D52355"/>
    <w:rsid w:val="00D52AC7"/>
    <w:rsid w:val="00D53360"/>
    <w:rsid w:val="00D54CA9"/>
    <w:rsid w:val="00D5571D"/>
    <w:rsid w:val="00D55EA9"/>
    <w:rsid w:val="00D563D9"/>
    <w:rsid w:val="00D6188C"/>
    <w:rsid w:val="00D61959"/>
    <w:rsid w:val="00D62168"/>
    <w:rsid w:val="00D632A4"/>
    <w:rsid w:val="00D6340F"/>
    <w:rsid w:val="00D63705"/>
    <w:rsid w:val="00D64BDF"/>
    <w:rsid w:val="00D6781D"/>
    <w:rsid w:val="00D67A40"/>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5A19"/>
    <w:rsid w:val="00D8619F"/>
    <w:rsid w:val="00D86764"/>
    <w:rsid w:val="00D91271"/>
    <w:rsid w:val="00D91F4E"/>
    <w:rsid w:val="00D93AF6"/>
    <w:rsid w:val="00D93F28"/>
    <w:rsid w:val="00D95998"/>
    <w:rsid w:val="00D95C7F"/>
    <w:rsid w:val="00D969C9"/>
    <w:rsid w:val="00DA0DAE"/>
    <w:rsid w:val="00DA1A98"/>
    <w:rsid w:val="00DA2E2B"/>
    <w:rsid w:val="00DA3DE4"/>
    <w:rsid w:val="00DA573B"/>
    <w:rsid w:val="00DA69DE"/>
    <w:rsid w:val="00DB1083"/>
    <w:rsid w:val="00DB1F2D"/>
    <w:rsid w:val="00DB322C"/>
    <w:rsid w:val="00DB4BB7"/>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E5F2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616"/>
    <w:rsid w:val="00E07CC2"/>
    <w:rsid w:val="00E10093"/>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18F"/>
    <w:rsid w:val="00E25242"/>
    <w:rsid w:val="00E25AAC"/>
    <w:rsid w:val="00E2730D"/>
    <w:rsid w:val="00E279B9"/>
    <w:rsid w:val="00E301D0"/>
    <w:rsid w:val="00E30CA9"/>
    <w:rsid w:val="00E31B09"/>
    <w:rsid w:val="00E31D0F"/>
    <w:rsid w:val="00E338FE"/>
    <w:rsid w:val="00E33AAA"/>
    <w:rsid w:val="00E33CB8"/>
    <w:rsid w:val="00E33F0E"/>
    <w:rsid w:val="00E3619E"/>
    <w:rsid w:val="00E368E3"/>
    <w:rsid w:val="00E36C8F"/>
    <w:rsid w:val="00E371EC"/>
    <w:rsid w:val="00E379D8"/>
    <w:rsid w:val="00E37EB7"/>
    <w:rsid w:val="00E37F6B"/>
    <w:rsid w:val="00E40095"/>
    <w:rsid w:val="00E40388"/>
    <w:rsid w:val="00E404C5"/>
    <w:rsid w:val="00E40A10"/>
    <w:rsid w:val="00E41CCA"/>
    <w:rsid w:val="00E4238A"/>
    <w:rsid w:val="00E42DA5"/>
    <w:rsid w:val="00E4736B"/>
    <w:rsid w:val="00E47558"/>
    <w:rsid w:val="00E47F81"/>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0FB2"/>
    <w:rsid w:val="00E71FCE"/>
    <w:rsid w:val="00E7206B"/>
    <w:rsid w:val="00E72707"/>
    <w:rsid w:val="00E72AE3"/>
    <w:rsid w:val="00E7349C"/>
    <w:rsid w:val="00E73B51"/>
    <w:rsid w:val="00E75790"/>
    <w:rsid w:val="00E80180"/>
    <w:rsid w:val="00E8129E"/>
    <w:rsid w:val="00E814CD"/>
    <w:rsid w:val="00E8178E"/>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0C4D"/>
    <w:rsid w:val="00EB117B"/>
    <w:rsid w:val="00EB2E85"/>
    <w:rsid w:val="00EB4095"/>
    <w:rsid w:val="00EB40D6"/>
    <w:rsid w:val="00EB49F7"/>
    <w:rsid w:val="00EB4BF4"/>
    <w:rsid w:val="00EB5F75"/>
    <w:rsid w:val="00EB685E"/>
    <w:rsid w:val="00EB74D1"/>
    <w:rsid w:val="00EB7852"/>
    <w:rsid w:val="00EB79CD"/>
    <w:rsid w:val="00EC060D"/>
    <w:rsid w:val="00EC2174"/>
    <w:rsid w:val="00EC2525"/>
    <w:rsid w:val="00EC3E9E"/>
    <w:rsid w:val="00EC4481"/>
    <w:rsid w:val="00EC49A4"/>
    <w:rsid w:val="00ED31FA"/>
    <w:rsid w:val="00ED4BC1"/>
    <w:rsid w:val="00ED50C1"/>
    <w:rsid w:val="00ED5A50"/>
    <w:rsid w:val="00ED5DF8"/>
    <w:rsid w:val="00ED6A44"/>
    <w:rsid w:val="00EE066D"/>
    <w:rsid w:val="00EE0713"/>
    <w:rsid w:val="00EE07A6"/>
    <w:rsid w:val="00EE0F2E"/>
    <w:rsid w:val="00EE2A41"/>
    <w:rsid w:val="00EE3337"/>
    <w:rsid w:val="00EE4E10"/>
    <w:rsid w:val="00EE520C"/>
    <w:rsid w:val="00EE525B"/>
    <w:rsid w:val="00EE633C"/>
    <w:rsid w:val="00EE7287"/>
    <w:rsid w:val="00EE7CB5"/>
    <w:rsid w:val="00EF09FB"/>
    <w:rsid w:val="00EF0CFD"/>
    <w:rsid w:val="00EF0DE2"/>
    <w:rsid w:val="00EF191E"/>
    <w:rsid w:val="00EF28A1"/>
    <w:rsid w:val="00EF4DFA"/>
    <w:rsid w:val="00EF4E6C"/>
    <w:rsid w:val="00EF5D1D"/>
    <w:rsid w:val="00EF5F08"/>
    <w:rsid w:val="00EF6A92"/>
    <w:rsid w:val="00F00ACE"/>
    <w:rsid w:val="00F02923"/>
    <w:rsid w:val="00F0304F"/>
    <w:rsid w:val="00F0351B"/>
    <w:rsid w:val="00F03B6A"/>
    <w:rsid w:val="00F04089"/>
    <w:rsid w:val="00F05B66"/>
    <w:rsid w:val="00F05C2F"/>
    <w:rsid w:val="00F06275"/>
    <w:rsid w:val="00F06472"/>
    <w:rsid w:val="00F068E1"/>
    <w:rsid w:val="00F07362"/>
    <w:rsid w:val="00F1169F"/>
    <w:rsid w:val="00F123EC"/>
    <w:rsid w:val="00F15FB1"/>
    <w:rsid w:val="00F16331"/>
    <w:rsid w:val="00F20198"/>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1E9B"/>
    <w:rsid w:val="00F5260F"/>
    <w:rsid w:val="00F546CD"/>
    <w:rsid w:val="00F5595C"/>
    <w:rsid w:val="00F5694B"/>
    <w:rsid w:val="00F571D4"/>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69F5"/>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D7FAE"/>
    <w:rsid w:val="00FE0FAF"/>
    <w:rsid w:val="00FE35B1"/>
    <w:rsid w:val="00FE3C36"/>
    <w:rsid w:val="00FE427F"/>
    <w:rsid w:val="00FE45DB"/>
    <w:rsid w:val="00FE72EA"/>
    <w:rsid w:val="00FF0402"/>
    <w:rsid w:val="00FF0483"/>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8991">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egislacion.edomex.gob.mx/sites/legislacion.edomex.gob.mx/files/files/pdf/gct/2025/enero/ene221/ene221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CFF46-9A78-467B-AF8B-AAEACC62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40</Pages>
  <Words>7829</Words>
  <Characters>43062</Characters>
  <Application>Microsoft Office Word</Application>
  <DocSecurity>0</DocSecurity>
  <Lines>358</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18</cp:revision>
  <cp:lastPrinted>2018-12-04T20:35:00Z</cp:lastPrinted>
  <dcterms:created xsi:type="dcterms:W3CDTF">2025-04-21T15:45:00Z</dcterms:created>
  <dcterms:modified xsi:type="dcterms:W3CDTF">2025-07-16T21:13:00Z</dcterms:modified>
</cp:coreProperties>
</file>