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94BE0" w14:textId="77777777" w:rsidR="00F316EC" w:rsidRDefault="00F316EC" w:rsidP="00F316EC">
      <w:pPr>
        <w:spacing w:line="360" w:lineRule="auto"/>
        <w:ind w:right="-28"/>
        <w:contextualSpacing/>
        <w:jc w:val="both"/>
        <w:rPr>
          <w:rFonts w:ascii="Palatino Linotype" w:hAnsi="Palatino Linotype" w:cs="Tahoma"/>
          <w:bCs/>
          <w:sz w:val="22"/>
          <w:szCs w:val="22"/>
        </w:rPr>
      </w:pPr>
    </w:p>
    <w:p w14:paraId="40AD9985" w14:textId="77777777" w:rsidR="00CD6011" w:rsidRDefault="00CD6011" w:rsidP="00F316EC">
      <w:pPr>
        <w:spacing w:line="360" w:lineRule="auto"/>
        <w:ind w:right="-28"/>
        <w:contextualSpacing/>
        <w:jc w:val="both"/>
        <w:rPr>
          <w:rFonts w:ascii="Palatino Linotype" w:hAnsi="Palatino Linotype" w:cs="Tahoma"/>
          <w:bCs/>
          <w:sz w:val="22"/>
          <w:szCs w:val="22"/>
        </w:rPr>
      </w:pPr>
    </w:p>
    <w:sdt>
      <w:sdtPr>
        <w:rPr>
          <w:rFonts w:ascii="Times New Roman" w:eastAsia="Times New Roman" w:hAnsi="Times New Roman" w:cs="Times New Roman"/>
          <w:color w:val="auto"/>
          <w:sz w:val="20"/>
          <w:szCs w:val="20"/>
          <w:lang w:val="es-ES" w:eastAsia="es-ES"/>
        </w:rPr>
        <w:id w:val="923763784"/>
        <w:docPartObj>
          <w:docPartGallery w:val="Table of Contents"/>
          <w:docPartUnique/>
        </w:docPartObj>
      </w:sdtPr>
      <w:sdtEndPr>
        <w:rPr>
          <w:b/>
          <w:bCs/>
        </w:rPr>
      </w:sdtEndPr>
      <w:sdtContent>
        <w:p w14:paraId="1290D454" w14:textId="31010B55" w:rsidR="00F316EC" w:rsidRPr="00EB3D68" w:rsidRDefault="00F316EC" w:rsidP="00F316EC">
          <w:pPr>
            <w:pStyle w:val="TtulodeTDC"/>
            <w:spacing w:before="0" w:line="360" w:lineRule="auto"/>
            <w:contextualSpacing/>
            <w:jc w:val="center"/>
            <w:rPr>
              <w:rFonts w:ascii="Palatino Linotype" w:hAnsi="Palatino Linotype"/>
              <w:color w:val="000000" w:themeColor="text1"/>
              <w:sz w:val="22"/>
              <w:szCs w:val="22"/>
            </w:rPr>
          </w:pPr>
          <w:r w:rsidRPr="00EB3D68">
            <w:rPr>
              <w:rFonts w:ascii="Palatino Linotype" w:hAnsi="Palatino Linotype"/>
              <w:color w:val="000000" w:themeColor="text1"/>
              <w:sz w:val="22"/>
              <w:szCs w:val="22"/>
              <w:lang w:val="es-ES"/>
            </w:rPr>
            <w:t>RESOLUCIÓN DEL RECURSO DE REVISIÓN 01</w:t>
          </w:r>
          <w:r w:rsidR="005A255E" w:rsidRPr="00EB3D68">
            <w:rPr>
              <w:rFonts w:ascii="Palatino Linotype" w:hAnsi="Palatino Linotype"/>
              <w:color w:val="000000" w:themeColor="text1"/>
              <w:sz w:val="22"/>
              <w:szCs w:val="22"/>
              <w:lang w:val="es-ES"/>
            </w:rPr>
            <w:t>866</w:t>
          </w:r>
          <w:r w:rsidRPr="00EB3D68">
            <w:rPr>
              <w:rFonts w:ascii="Palatino Linotype" w:hAnsi="Palatino Linotype"/>
              <w:color w:val="000000" w:themeColor="text1"/>
              <w:sz w:val="22"/>
              <w:szCs w:val="22"/>
              <w:lang w:val="es-ES"/>
            </w:rPr>
            <w:t>/INFOEM/IP/RR/2025</w:t>
          </w:r>
        </w:p>
        <w:p w14:paraId="592E490B" w14:textId="77777777" w:rsidR="00F316EC" w:rsidRPr="00EB3D68" w:rsidRDefault="00F316EC" w:rsidP="00F316EC">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r w:rsidRPr="00EB3D68">
            <w:rPr>
              <w:rFonts w:ascii="Palatino Linotype" w:hAnsi="Palatino Linotype"/>
              <w:color w:val="000000" w:themeColor="text1"/>
              <w:sz w:val="22"/>
              <w:szCs w:val="22"/>
            </w:rPr>
            <w:fldChar w:fldCharType="begin"/>
          </w:r>
          <w:r w:rsidRPr="00EB3D68">
            <w:rPr>
              <w:rFonts w:ascii="Palatino Linotype" w:hAnsi="Palatino Linotype"/>
              <w:color w:val="000000" w:themeColor="text1"/>
              <w:sz w:val="22"/>
              <w:szCs w:val="22"/>
            </w:rPr>
            <w:instrText xml:space="preserve"> TOC \o "1-3" \h \z \u </w:instrText>
          </w:r>
          <w:r w:rsidRPr="00EB3D68">
            <w:rPr>
              <w:rFonts w:ascii="Palatino Linotype" w:hAnsi="Palatino Linotype"/>
              <w:color w:val="000000" w:themeColor="text1"/>
              <w:sz w:val="22"/>
              <w:szCs w:val="22"/>
            </w:rPr>
            <w:fldChar w:fldCharType="separate"/>
          </w:r>
          <w:hyperlink w:anchor="_Toc190350679" w:history="1">
            <w:r w:rsidRPr="00EB3D68">
              <w:rPr>
                <w:rStyle w:val="Hipervnculo"/>
                <w:rFonts w:ascii="Palatino Linotype" w:hAnsi="Palatino Linotype"/>
                <w:noProof/>
                <w:color w:val="000000" w:themeColor="text1"/>
                <w:sz w:val="22"/>
                <w:szCs w:val="22"/>
              </w:rPr>
              <w:t>A N T E C E D E N T E S</w:t>
            </w:r>
            <w:r w:rsidRPr="00EB3D68">
              <w:rPr>
                <w:rFonts w:ascii="Palatino Linotype" w:hAnsi="Palatino Linotype"/>
                <w:noProof/>
                <w:webHidden/>
                <w:color w:val="000000" w:themeColor="text1"/>
                <w:sz w:val="22"/>
                <w:szCs w:val="22"/>
              </w:rPr>
              <w:tab/>
            </w:r>
            <w:r w:rsidRPr="00EB3D68">
              <w:rPr>
                <w:rFonts w:ascii="Palatino Linotype" w:hAnsi="Palatino Linotype"/>
                <w:noProof/>
                <w:webHidden/>
                <w:color w:val="000000" w:themeColor="text1"/>
                <w:sz w:val="22"/>
                <w:szCs w:val="22"/>
              </w:rPr>
              <w:fldChar w:fldCharType="begin"/>
            </w:r>
            <w:r w:rsidRPr="00EB3D68">
              <w:rPr>
                <w:rFonts w:ascii="Palatino Linotype" w:hAnsi="Palatino Linotype"/>
                <w:noProof/>
                <w:webHidden/>
                <w:color w:val="000000" w:themeColor="text1"/>
                <w:sz w:val="22"/>
                <w:szCs w:val="22"/>
              </w:rPr>
              <w:instrText xml:space="preserve"> PAGEREF _Toc190350679 \h </w:instrText>
            </w:r>
            <w:r w:rsidRPr="00EB3D68">
              <w:rPr>
                <w:rFonts w:ascii="Palatino Linotype" w:hAnsi="Palatino Linotype"/>
                <w:noProof/>
                <w:webHidden/>
                <w:color w:val="000000" w:themeColor="text1"/>
                <w:sz w:val="22"/>
                <w:szCs w:val="22"/>
              </w:rPr>
            </w:r>
            <w:r w:rsidRPr="00EB3D68">
              <w:rPr>
                <w:rFonts w:ascii="Palatino Linotype" w:hAnsi="Palatino Linotype"/>
                <w:noProof/>
                <w:webHidden/>
                <w:color w:val="000000" w:themeColor="text1"/>
                <w:sz w:val="22"/>
                <w:szCs w:val="22"/>
              </w:rPr>
              <w:fldChar w:fldCharType="separate"/>
            </w:r>
            <w:r w:rsidR="009E7E2A">
              <w:rPr>
                <w:rFonts w:ascii="Palatino Linotype" w:hAnsi="Palatino Linotype"/>
                <w:noProof/>
                <w:webHidden/>
                <w:color w:val="000000" w:themeColor="text1"/>
                <w:sz w:val="22"/>
                <w:szCs w:val="22"/>
              </w:rPr>
              <w:t>2</w:t>
            </w:r>
            <w:r w:rsidRPr="00EB3D68">
              <w:rPr>
                <w:rFonts w:ascii="Palatino Linotype" w:hAnsi="Palatino Linotype"/>
                <w:noProof/>
                <w:webHidden/>
                <w:color w:val="000000" w:themeColor="text1"/>
                <w:sz w:val="22"/>
                <w:szCs w:val="22"/>
              </w:rPr>
              <w:fldChar w:fldCharType="end"/>
            </w:r>
          </w:hyperlink>
        </w:p>
        <w:p w14:paraId="5FB5237B" w14:textId="77777777" w:rsidR="00F316EC" w:rsidRPr="00EB3D68" w:rsidRDefault="00184974" w:rsidP="00F316EC">
          <w:pPr>
            <w:pStyle w:val="TDC2"/>
            <w:rPr>
              <w:noProof/>
            </w:rPr>
          </w:pPr>
          <w:hyperlink w:anchor="_Toc190350680" w:history="1">
            <w:r w:rsidR="00F316EC" w:rsidRPr="00EB3D68">
              <w:rPr>
                <w:rStyle w:val="Hipervnculo"/>
                <w:rFonts w:ascii="Palatino Linotype" w:hAnsi="Palatino Linotype"/>
                <w:noProof/>
                <w:color w:val="000000" w:themeColor="text1"/>
                <w:sz w:val="22"/>
                <w:szCs w:val="22"/>
              </w:rPr>
              <w:t>I. Presentación de la solicitud de información</w:t>
            </w:r>
            <w:r w:rsidR="00F316EC" w:rsidRPr="00EB3D68">
              <w:rPr>
                <w:noProof/>
                <w:webHidden/>
              </w:rPr>
              <w:tab/>
            </w:r>
            <w:r w:rsidR="00F316EC" w:rsidRPr="00EB3D68">
              <w:rPr>
                <w:noProof/>
                <w:webHidden/>
              </w:rPr>
              <w:fldChar w:fldCharType="begin"/>
            </w:r>
            <w:r w:rsidR="00F316EC" w:rsidRPr="00EB3D68">
              <w:rPr>
                <w:noProof/>
                <w:webHidden/>
              </w:rPr>
              <w:instrText xml:space="preserve"> PAGEREF _Toc190350680 \h </w:instrText>
            </w:r>
            <w:r w:rsidR="00F316EC" w:rsidRPr="00EB3D68">
              <w:rPr>
                <w:noProof/>
                <w:webHidden/>
              </w:rPr>
            </w:r>
            <w:r w:rsidR="00F316EC" w:rsidRPr="00EB3D68">
              <w:rPr>
                <w:noProof/>
                <w:webHidden/>
              </w:rPr>
              <w:fldChar w:fldCharType="separate"/>
            </w:r>
            <w:r w:rsidR="009E7E2A">
              <w:rPr>
                <w:noProof/>
                <w:webHidden/>
              </w:rPr>
              <w:t>2</w:t>
            </w:r>
            <w:r w:rsidR="00F316EC" w:rsidRPr="00EB3D68">
              <w:rPr>
                <w:noProof/>
                <w:webHidden/>
              </w:rPr>
              <w:fldChar w:fldCharType="end"/>
            </w:r>
          </w:hyperlink>
        </w:p>
        <w:p w14:paraId="431F0285" w14:textId="77777777" w:rsidR="00F316EC" w:rsidRPr="00EB3D68" w:rsidRDefault="00184974" w:rsidP="00F316EC">
          <w:pPr>
            <w:pStyle w:val="TDC2"/>
            <w:rPr>
              <w:noProof/>
            </w:rPr>
          </w:pPr>
          <w:hyperlink w:anchor="_Toc190350681" w:history="1">
            <w:r w:rsidR="00F316EC" w:rsidRPr="00EB3D68">
              <w:rPr>
                <w:rStyle w:val="Hipervnculo"/>
                <w:rFonts w:ascii="Palatino Linotype" w:hAnsi="Palatino Linotype"/>
                <w:noProof/>
                <w:color w:val="000000" w:themeColor="text1"/>
                <w:sz w:val="22"/>
                <w:szCs w:val="22"/>
              </w:rPr>
              <w:t>II. Respuesta del Sujeto Obligado</w:t>
            </w:r>
            <w:r w:rsidR="00F316EC" w:rsidRPr="00EB3D68">
              <w:rPr>
                <w:noProof/>
                <w:webHidden/>
              </w:rPr>
              <w:tab/>
            </w:r>
            <w:r w:rsidR="00F316EC" w:rsidRPr="00EB3D68">
              <w:rPr>
                <w:noProof/>
                <w:webHidden/>
              </w:rPr>
              <w:fldChar w:fldCharType="begin"/>
            </w:r>
            <w:r w:rsidR="00F316EC" w:rsidRPr="00EB3D68">
              <w:rPr>
                <w:noProof/>
                <w:webHidden/>
              </w:rPr>
              <w:instrText xml:space="preserve"> PAGEREF _Toc190350681 \h </w:instrText>
            </w:r>
            <w:r w:rsidR="00F316EC" w:rsidRPr="00EB3D68">
              <w:rPr>
                <w:noProof/>
                <w:webHidden/>
              </w:rPr>
            </w:r>
            <w:r w:rsidR="00F316EC" w:rsidRPr="00EB3D68">
              <w:rPr>
                <w:noProof/>
                <w:webHidden/>
              </w:rPr>
              <w:fldChar w:fldCharType="separate"/>
            </w:r>
            <w:r w:rsidR="009E7E2A">
              <w:rPr>
                <w:noProof/>
                <w:webHidden/>
              </w:rPr>
              <w:t>3</w:t>
            </w:r>
            <w:r w:rsidR="00F316EC" w:rsidRPr="00EB3D68">
              <w:rPr>
                <w:noProof/>
                <w:webHidden/>
              </w:rPr>
              <w:fldChar w:fldCharType="end"/>
            </w:r>
          </w:hyperlink>
        </w:p>
        <w:p w14:paraId="17B0842E" w14:textId="3A7AA7F8" w:rsidR="00F316EC" w:rsidRPr="00EB3D68" w:rsidRDefault="00184974" w:rsidP="00F316EC">
          <w:pPr>
            <w:pStyle w:val="TDC2"/>
            <w:rPr>
              <w:noProof/>
            </w:rPr>
          </w:pPr>
          <w:hyperlink w:anchor="_Toc190350682" w:history="1">
            <w:r w:rsidR="00F316EC" w:rsidRPr="00EB3D68">
              <w:rPr>
                <w:rStyle w:val="Hipervnculo"/>
                <w:rFonts w:ascii="Palatino Linotype" w:hAnsi="Palatino Linotype"/>
                <w:noProof/>
                <w:color w:val="000000" w:themeColor="text1"/>
                <w:sz w:val="22"/>
                <w:szCs w:val="22"/>
              </w:rPr>
              <w:t>III. Interposición del Recurso de Revisión</w:t>
            </w:r>
            <w:r w:rsidR="00F316EC" w:rsidRPr="00EB3D68">
              <w:rPr>
                <w:noProof/>
                <w:webHidden/>
              </w:rPr>
              <w:tab/>
            </w:r>
            <w:r w:rsidR="004B3227" w:rsidRPr="00EB3D68">
              <w:rPr>
                <w:noProof/>
                <w:webHidden/>
              </w:rPr>
              <w:t>3</w:t>
            </w:r>
          </w:hyperlink>
        </w:p>
        <w:p w14:paraId="69CBA6B6" w14:textId="77777777" w:rsidR="00F316EC" w:rsidRPr="00EB3D68" w:rsidRDefault="00184974" w:rsidP="00F316EC">
          <w:pPr>
            <w:pStyle w:val="TDC2"/>
            <w:rPr>
              <w:noProof/>
            </w:rPr>
          </w:pPr>
          <w:hyperlink w:anchor="_Toc190350683" w:history="1">
            <w:r w:rsidR="00F316EC" w:rsidRPr="00EB3D68">
              <w:rPr>
                <w:rStyle w:val="Hipervnculo"/>
                <w:rFonts w:ascii="Palatino Linotype" w:hAnsi="Palatino Linotype"/>
                <w:noProof/>
                <w:color w:val="000000" w:themeColor="text1"/>
                <w:sz w:val="22"/>
                <w:szCs w:val="22"/>
              </w:rPr>
              <w:t xml:space="preserve">IV. </w:t>
            </w:r>
            <w:r w:rsidR="00F316EC" w:rsidRPr="00EB3D68">
              <w:rPr>
                <w:rStyle w:val="Hipervnculo"/>
                <w:rFonts w:ascii="Palatino Linotype" w:eastAsia="Batang" w:hAnsi="Palatino Linotype"/>
                <w:noProof/>
                <w:color w:val="000000" w:themeColor="text1"/>
                <w:sz w:val="22"/>
                <w:szCs w:val="22"/>
              </w:rPr>
              <w:t xml:space="preserve">Trámite del </w:t>
            </w:r>
            <w:r w:rsidR="00F316EC" w:rsidRPr="00EB3D68">
              <w:rPr>
                <w:rStyle w:val="Hipervnculo"/>
                <w:rFonts w:ascii="Palatino Linotype" w:hAnsi="Palatino Linotype"/>
                <w:noProof/>
                <w:color w:val="000000" w:themeColor="text1"/>
                <w:sz w:val="22"/>
                <w:szCs w:val="22"/>
              </w:rPr>
              <w:t xml:space="preserve">Recurso de Revisión </w:t>
            </w:r>
            <w:r w:rsidR="00F316EC" w:rsidRPr="00EB3D68">
              <w:rPr>
                <w:rStyle w:val="Hipervnculo"/>
                <w:rFonts w:ascii="Palatino Linotype" w:eastAsia="Batang" w:hAnsi="Palatino Linotype"/>
                <w:noProof/>
                <w:color w:val="000000" w:themeColor="text1"/>
                <w:sz w:val="22"/>
                <w:szCs w:val="22"/>
              </w:rPr>
              <w:t>ante el Instituto</w:t>
            </w:r>
            <w:r w:rsidR="00F316EC" w:rsidRPr="00EB3D68">
              <w:rPr>
                <w:noProof/>
                <w:webHidden/>
              </w:rPr>
              <w:tab/>
              <w:t>4</w:t>
            </w:r>
          </w:hyperlink>
        </w:p>
        <w:p w14:paraId="44C77154" w14:textId="3F0929CC" w:rsidR="00F316EC" w:rsidRPr="00EB3D68" w:rsidRDefault="00184974" w:rsidP="00F316EC">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hyperlink w:anchor="_Toc190350684" w:history="1">
            <w:r w:rsidR="00F316EC" w:rsidRPr="00EB3D68">
              <w:rPr>
                <w:rStyle w:val="Hipervnculo"/>
                <w:rFonts w:ascii="Palatino Linotype" w:hAnsi="Palatino Linotype"/>
                <w:noProof/>
                <w:color w:val="000000" w:themeColor="text1"/>
                <w:sz w:val="22"/>
                <w:szCs w:val="22"/>
                <w:lang w:val="es-ES"/>
              </w:rPr>
              <w:t>C O N S I D E R A N D O S</w:t>
            </w:r>
            <w:r w:rsidR="00F316EC" w:rsidRPr="00EB3D68">
              <w:rPr>
                <w:rFonts w:ascii="Palatino Linotype" w:hAnsi="Palatino Linotype"/>
                <w:noProof/>
                <w:webHidden/>
                <w:color w:val="000000" w:themeColor="text1"/>
                <w:sz w:val="22"/>
                <w:szCs w:val="22"/>
              </w:rPr>
              <w:tab/>
            </w:r>
            <w:r w:rsidR="003201A9" w:rsidRPr="00EB3D68">
              <w:rPr>
                <w:rFonts w:ascii="Palatino Linotype" w:hAnsi="Palatino Linotype"/>
                <w:noProof/>
                <w:webHidden/>
                <w:color w:val="000000" w:themeColor="text1"/>
                <w:sz w:val="22"/>
                <w:szCs w:val="22"/>
              </w:rPr>
              <w:t>5</w:t>
            </w:r>
          </w:hyperlink>
        </w:p>
        <w:p w14:paraId="32537BDB" w14:textId="42F09BBA" w:rsidR="00F316EC" w:rsidRPr="00EB3D68" w:rsidRDefault="00184974" w:rsidP="00F316EC">
          <w:pPr>
            <w:pStyle w:val="TDC2"/>
            <w:rPr>
              <w:rFonts w:ascii="Palatino Linotype" w:hAnsi="Palatino Linotype"/>
              <w:noProof/>
              <w:color w:val="000000" w:themeColor="text1"/>
              <w:sz w:val="22"/>
              <w:szCs w:val="22"/>
            </w:rPr>
          </w:pPr>
          <w:hyperlink w:anchor="_Toc190350685" w:history="1">
            <w:r w:rsidR="00F316EC" w:rsidRPr="00EB3D68">
              <w:rPr>
                <w:rStyle w:val="Hipervnculo"/>
                <w:rFonts w:ascii="Palatino Linotype" w:eastAsia="Calibri" w:hAnsi="Palatino Linotype"/>
                <w:noProof/>
                <w:color w:val="000000" w:themeColor="text1"/>
                <w:sz w:val="22"/>
                <w:szCs w:val="22"/>
                <w:lang w:val="es-ES" w:eastAsia="es-MX"/>
              </w:rPr>
              <w:t xml:space="preserve">PRIMERO. </w:t>
            </w:r>
            <w:r w:rsidR="00F316EC" w:rsidRPr="00EB3D68">
              <w:rPr>
                <w:rStyle w:val="Hipervnculo"/>
                <w:rFonts w:ascii="Palatino Linotype" w:hAnsi="Palatino Linotype"/>
                <w:noProof/>
                <w:color w:val="000000" w:themeColor="text1"/>
                <w:sz w:val="22"/>
                <w:szCs w:val="22"/>
                <w:lang w:val="es-ES"/>
              </w:rPr>
              <w:t>Competencia</w:t>
            </w:r>
            <w:r w:rsidR="00F316EC" w:rsidRPr="00EB3D68">
              <w:rPr>
                <w:rFonts w:ascii="Palatino Linotype" w:hAnsi="Palatino Linotype"/>
                <w:noProof/>
                <w:webHidden/>
                <w:color w:val="000000" w:themeColor="text1"/>
                <w:sz w:val="22"/>
                <w:szCs w:val="22"/>
              </w:rPr>
              <w:tab/>
            </w:r>
            <w:r w:rsidR="003201A9" w:rsidRPr="00EB3D68">
              <w:rPr>
                <w:rFonts w:ascii="Palatino Linotype" w:hAnsi="Palatino Linotype"/>
                <w:noProof/>
                <w:webHidden/>
                <w:color w:val="000000" w:themeColor="text1"/>
                <w:sz w:val="22"/>
                <w:szCs w:val="22"/>
              </w:rPr>
              <w:t>5</w:t>
            </w:r>
          </w:hyperlink>
        </w:p>
        <w:p w14:paraId="47C36051" w14:textId="5B406F9B" w:rsidR="00F316EC" w:rsidRPr="00EB3D68" w:rsidRDefault="00184974" w:rsidP="00F316EC">
          <w:pPr>
            <w:pStyle w:val="TDC2"/>
            <w:rPr>
              <w:noProof/>
            </w:rPr>
          </w:pPr>
          <w:hyperlink w:anchor="_Toc190350686" w:history="1">
            <w:r w:rsidR="00F316EC" w:rsidRPr="00EB3D68">
              <w:rPr>
                <w:rStyle w:val="Hipervnculo"/>
                <w:rFonts w:ascii="Palatino Linotype" w:eastAsia="Calibri" w:hAnsi="Palatino Linotype"/>
                <w:noProof/>
                <w:color w:val="000000" w:themeColor="text1"/>
                <w:sz w:val="22"/>
                <w:szCs w:val="22"/>
                <w:lang w:val="es-ES" w:eastAsia="es-MX"/>
              </w:rPr>
              <w:t>SEGUNDO. Causales de improcedencia y sobreseimiento</w:t>
            </w:r>
            <w:r w:rsidR="00F316EC" w:rsidRPr="00EB3D68">
              <w:rPr>
                <w:noProof/>
                <w:webHidden/>
              </w:rPr>
              <w:tab/>
            </w:r>
            <w:r w:rsidR="003201A9" w:rsidRPr="00EB3D68">
              <w:rPr>
                <w:noProof/>
                <w:webHidden/>
              </w:rPr>
              <w:t>6</w:t>
            </w:r>
          </w:hyperlink>
        </w:p>
        <w:p w14:paraId="2D52E283" w14:textId="3A3265B9" w:rsidR="00F316EC" w:rsidRPr="00EB3D68" w:rsidRDefault="00184974" w:rsidP="00F316EC">
          <w:pPr>
            <w:pStyle w:val="TDC2"/>
            <w:rPr>
              <w:noProof/>
            </w:rPr>
          </w:pPr>
          <w:hyperlink w:anchor="_Toc190350687" w:history="1">
            <w:r w:rsidR="00F316EC" w:rsidRPr="00EB3D68">
              <w:rPr>
                <w:rStyle w:val="Hipervnculo"/>
                <w:rFonts w:ascii="Palatino Linotype" w:hAnsi="Palatino Linotype"/>
                <w:noProof/>
                <w:color w:val="000000" w:themeColor="text1"/>
                <w:sz w:val="22"/>
                <w:szCs w:val="22"/>
                <w:lang w:val="es-ES" w:eastAsia="es-ES_tradnl"/>
              </w:rPr>
              <w:t>TERCERO. Determinación de la Controversia</w:t>
            </w:r>
            <w:r w:rsidR="00F316EC" w:rsidRPr="00EB3D68">
              <w:rPr>
                <w:noProof/>
                <w:webHidden/>
              </w:rPr>
              <w:tab/>
            </w:r>
            <w:r w:rsidR="003201A9" w:rsidRPr="00EB3D68">
              <w:rPr>
                <w:noProof/>
                <w:webHidden/>
              </w:rPr>
              <w:t>9</w:t>
            </w:r>
          </w:hyperlink>
        </w:p>
        <w:p w14:paraId="5FC88252" w14:textId="77777777" w:rsidR="00F316EC" w:rsidRPr="00EB3D68" w:rsidRDefault="00184974" w:rsidP="00F316EC">
          <w:pPr>
            <w:pStyle w:val="TDC2"/>
            <w:rPr>
              <w:noProof/>
            </w:rPr>
          </w:pPr>
          <w:hyperlink w:anchor="_Toc190350688" w:history="1">
            <w:r w:rsidR="00F316EC" w:rsidRPr="00EB3D68">
              <w:rPr>
                <w:rStyle w:val="Hipervnculo"/>
                <w:rFonts w:ascii="Palatino Linotype" w:hAnsi="Palatino Linotype"/>
                <w:noProof/>
                <w:color w:val="000000" w:themeColor="text1"/>
                <w:sz w:val="22"/>
                <w:szCs w:val="22"/>
                <w:lang w:val="es-ES"/>
              </w:rPr>
              <w:t xml:space="preserve">CUARTO. </w:t>
            </w:r>
            <w:r w:rsidR="00F316EC" w:rsidRPr="00EB3D68">
              <w:rPr>
                <w:rStyle w:val="Hipervnculo"/>
                <w:rFonts w:ascii="Palatino Linotype" w:hAnsi="Palatino Linotype"/>
                <w:noProof/>
                <w:color w:val="000000" w:themeColor="text1"/>
                <w:sz w:val="22"/>
                <w:szCs w:val="22"/>
              </w:rPr>
              <w:t>Marco normativo aplicable en materia de transparencia y acceso a la información pública</w:t>
            </w:r>
            <w:r w:rsidR="00F316EC" w:rsidRPr="00EB3D68">
              <w:rPr>
                <w:noProof/>
                <w:webHidden/>
              </w:rPr>
              <w:tab/>
            </w:r>
            <w:r w:rsidR="00F316EC" w:rsidRPr="00EB3D68">
              <w:rPr>
                <w:noProof/>
                <w:webHidden/>
              </w:rPr>
              <w:fldChar w:fldCharType="begin"/>
            </w:r>
            <w:r w:rsidR="00F316EC" w:rsidRPr="00EB3D68">
              <w:rPr>
                <w:noProof/>
                <w:webHidden/>
              </w:rPr>
              <w:instrText xml:space="preserve"> PAGEREF _Toc190350688 \h </w:instrText>
            </w:r>
            <w:r w:rsidR="00F316EC" w:rsidRPr="00EB3D68">
              <w:rPr>
                <w:noProof/>
                <w:webHidden/>
              </w:rPr>
              <w:fldChar w:fldCharType="separate"/>
            </w:r>
            <w:r w:rsidR="009E7E2A">
              <w:rPr>
                <w:b/>
                <w:bCs/>
                <w:noProof/>
                <w:webHidden/>
                <w:lang w:val="es-ES"/>
              </w:rPr>
              <w:t>¡Error! Marcador no definido.</w:t>
            </w:r>
            <w:r w:rsidR="00F316EC" w:rsidRPr="00EB3D68">
              <w:rPr>
                <w:noProof/>
                <w:webHidden/>
              </w:rPr>
              <w:fldChar w:fldCharType="end"/>
            </w:r>
          </w:hyperlink>
        </w:p>
        <w:p w14:paraId="2A3C6F9D" w14:textId="3D08B154" w:rsidR="00F316EC" w:rsidRPr="00EB3D68" w:rsidRDefault="00184974" w:rsidP="00F316EC">
          <w:pPr>
            <w:pStyle w:val="TDC2"/>
            <w:rPr>
              <w:rFonts w:ascii="Palatino Linotype" w:hAnsi="Palatino Linotype"/>
              <w:noProof/>
              <w:color w:val="000000" w:themeColor="text1"/>
              <w:sz w:val="22"/>
              <w:szCs w:val="22"/>
            </w:rPr>
          </w:pPr>
          <w:hyperlink w:anchor="_Toc190350689" w:history="1">
            <w:r w:rsidR="00F316EC" w:rsidRPr="00EB3D68">
              <w:rPr>
                <w:rStyle w:val="Hipervnculo"/>
                <w:rFonts w:ascii="Palatino Linotype" w:hAnsi="Palatino Linotype"/>
                <w:noProof/>
                <w:color w:val="000000" w:themeColor="text1"/>
                <w:sz w:val="22"/>
                <w:szCs w:val="22"/>
                <w:lang w:val="es-ES"/>
              </w:rPr>
              <w:t>QUINTO. Estudio de Fondo</w:t>
            </w:r>
            <w:r w:rsidR="00F316EC" w:rsidRPr="00EB3D68">
              <w:rPr>
                <w:rFonts w:ascii="Palatino Linotype" w:hAnsi="Palatino Linotype"/>
                <w:noProof/>
                <w:webHidden/>
                <w:color w:val="000000" w:themeColor="text1"/>
                <w:sz w:val="22"/>
                <w:szCs w:val="22"/>
              </w:rPr>
              <w:tab/>
              <w:t>1</w:t>
            </w:r>
            <w:r w:rsidR="003201A9" w:rsidRPr="00EB3D68">
              <w:rPr>
                <w:rFonts w:ascii="Palatino Linotype" w:hAnsi="Palatino Linotype"/>
                <w:noProof/>
                <w:webHidden/>
                <w:color w:val="000000" w:themeColor="text1"/>
                <w:sz w:val="22"/>
                <w:szCs w:val="22"/>
              </w:rPr>
              <w:t>0</w:t>
            </w:r>
          </w:hyperlink>
        </w:p>
        <w:p w14:paraId="21BF087C" w14:textId="1EBF781F" w:rsidR="00F316EC" w:rsidRPr="00EB3D68" w:rsidRDefault="00184974" w:rsidP="003201A9">
          <w:pPr>
            <w:pStyle w:val="TDC2"/>
          </w:pPr>
          <w:hyperlink w:anchor="_Toc190350690" w:history="1">
            <w:r w:rsidR="00F316EC" w:rsidRPr="00EB3D68">
              <w:rPr>
                <w:rStyle w:val="Hipervnculo"/>
                <w:rFonts w:ascii="Palatino Linotype" w:hAnsi="Palatino Linotype"/>
                <w:noProof/>
                <w:color w:val="000000" w:themeColor="text1"/>
                <w:sz w:val="22"/>
                <w:szCs w:val="22"/>
              </w:rPr>
              <w:t>SEXTO. Decisión</w:t>
            </w:r>
            <w:r w:rsidR="00F316EC" w:rsidRPr="00EB3D68">
              <w:rPr>
                <w:rFonts w:ascii="Palatino Linotype" w:hAnsi="Palatino Linotype"/>
                <w:noProof/>
                <w:webHidden/>
                <w:color w:val="000000" w:themeColor="text1"/>
                <w:sz w:val="22"/>
                <w:szCs w:val="22"/>
              </w:rPr>
              <w:tab/>
            </w:r>
            <w:r w:rsidR="003201A9" w:rsidRPr="00EB3D68">
              <w:rPr>
                <w:rFonts w:ascii="Palatino Linotype" w:hAnsi="Palatino Linotype"/>
                <w:noProof/>
                <w:webHidden/>
                <w:color w:val="000000" w:themeColor="text1"/>
                <w:sz w:val="22"/>
                <w:szCs w:val="22"/>
              </w:rPr>
              <w:t>21</w:t>
            </w:r>
          </w:hyperlink>
        </w:p>
        <w:p w14:paraId="38B54EA5" w14:textId="5B2DBC39" w:rsidR="00F316EC" w:rsidRPr="00EB3D68" w:rsidRDefault="00184974" w:rsidP="00F316EC">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hyperlink w:anchor="_Toc190350691" w:history="1">
            <w:r w:rsidR="00F316EC" w:rsidRPr="00EB3D68">
              <w:rPr>
                <w:rStyle w:val="Hipervnculo"/>
                <w:rFonts w:ascii="Palatino Linotype" w:eastAsia="Calibri" w:hAnsi="Palatino Linotype"/>
                <w:noProof/>
                <w:color w:val="000000" w:themeColor="text1"/>
                <w:sz w:val="22"/>
                <w:szCs w:val="22"/>
              </w:rPr>
              <w:t>R E S U E L V E</w:t>
            </w:r>
            <w:r w:rsidR="00F316EC" w:rsidRPr="00EB3D68">
              <w:rPr>
                <w:rFonts w:ascii="Palatino Linotype" w:hAnsi="Palatino Linotype"/>
                <w:noProof/>
                <w:webHidden/>
                <w:color w:val="000000" w:themeColor="text1"/>
                <w:sz w:val="22"/>
                <w:szCs w:val="22"/>
              </w:rPr>
              <w:tab/>
            </w:r>
            <w:r w:rsidR="003201A9" w:rsidRPr="00EB3D68">
              <w:rPr>
                <w:rFonts w:ascii="Palatino Linotype" w:hAnsi="Palatino Linotype"/>
                <w:noProof/>
                <w:webHidden/>
                <w:color w:val="000000" w:themeColor="text1"/>
                <w:sz w:val="22"/>
                <w:szCs w:val="22"/>
              </w:rPr>
              <w:t>22</w:t>
            </w:r>
          </w:hyperlink>
        </w:p>
        <w:p w14:paraId="1E96E25D" w14:textId="77777777" w:rsidR="00F316EC" w:rsidRPr="00EB3D68" w:rsidRDefault="00F316EC" w:rsidP="00F316EC">
          <w:pPr>
            <w:spacing w:line="360" w:lineRule="auto"/>
            <w:contextualSpacing/>
          </w:pPr>
          <w:r w:rsidRPr="00EB3D68">
            <w:rPr>
              <w:rFonts w:ascii="Palatino Linotype" w:hAnsi="Palatino Linotype"/>
              <w:b/>
              <w:bCs/>
              <w:color w:val="000000" w:themeColor="text1"/>
              <w:sz w:val="22"/>
              <w:szCs w:val="22"/>
              <w:lang w:val="es-ES"/>
            </w:rPr>
            <w:fldChar w:fldCharType="end"/>
          </w:r>
        </w:p>
      </w:sdtContent>
    </w:sdt>
    <w:p w14:paraId="1D76DC22" w14:textId="77777777" w:rsidR="00F316EC" w:rsidRPr="00EB3D68" w:rsidRDefault="00F316EC" w:rsidP="00F316EC">
      <w:pPr>
        <w:spacing w:line="360" w:lineRule="auto"/>
        <w:ind w:right="-28"/>
        <w:contextualSpacing/>
        <w:jc w:val="both"/>
        <w:rPr>
          <w:rFonts w:ascii="Palatino Linotype" w:hAnsi="Palatino Linotype" w:cs="Tahoma"/>
          <w:sz w:val="22"/>
          <w:szCs w:val="22"/>
        </w:rPr>
      </w:pPr>
    </w:p>
    <w:p w14:paraId="73E7CFBA" w14:textId="77777777" w:rsidR="00F316EC" w:rsidRPr="00EB3D68" w:rsidRDefault="00F316EC" w:rsidP="00F316EC">
      <w:pPr>
        <w:spacing w:line="360" w:lineRule="auto"/>
        <w:ind w:right="-28"/>
        <w:contextualSpacing/>
        <w:jc w:val="both"/>
        <w:rPr>
          <w:rFonts w:ascii="Palatino Linotype" w:hAnsi="Palatino Linotype" w:cs="Tahoma"/>
          <w:sz w:val="22"/>
          <w:szCs w:val="22"/>
        </w:rPr>
      </w:pPr>
    </w:p>
    <w:p w14:paraId="1F19086F" w14:textId="77777777" w:rsidR="00F316EC" w:rsidRPr="00EB3D68" w:rsidRDefault="00F316EC" w:rsidP="00F316EC">
      <w:pPr>
        <w:spacing w:line="360" w:lineRule="auto"/>
        <w:ind w:right="-28"/>
        <w:contextualSpacing/>
        <w:jc w:val="both"/>
        <w:rPr>
          <w:rFonts w:ascii="Palatino Linotype" w:hAnsi="Palatino Linotype" w:cs="Tahoma"/>
          <w:sz w:val="22"/>
          <w:szCs w:val="22"/>
        </w:rPr>
      </w:pPr>
    </w:p>
    <w:p w14:paraId="1E655987" w14:textId="77777777" w:rsidR="00F316EC" w:rsidRPr="00EB3D68" w:rsidRDefault="00F316EC" w:rsidP="00F316EC">
      <w:pPr>
        <w:spacing w:line="360" w:lineRule="auto"/>
        <w:ind w:right="-28"/>
        <w:contextualSpacing/>
        <w:jc w:val="both"/>
        <w:rPr>
          <w:rFonts w:ascii="Palatino Linotype" w:hAnsi="Palatino Linotype" w:cs="Tahoma"/>
          <w:sz w:val="22"/>
          <w:szCs w:val="22"/>
        </w:rPr>
      </w:pPr>
    </w:p>
    <w:p w14:paraId="3128434C" w14:textId="77777777" w:rsidR="00F316EC" w:rsidRPr="00EB3D68" w:rsidRDefault="00F316EC" w:rsidP="00F316EC">
      <w:pPr>
        <w:spacing w:line="360" w:lineRule="auto"/>
        <w:ind w:right="-28"/>
        <w:contextualSpacing/>
        <w:jc w:val="both"/>
        <w:rPr>
          <w:rFonts w:ascii="Palatino Linotype" w:hAnsi="Palatino Linotype" w:cs="Tahoma"/>
          <w:sz w:val="22"/>
          <w:szCs w:val="22"/>
        </w:rPr>
      </w:pPr>
    </w:p>
    <w:p w14:paraId="70AA7760" w14:textId="77777777" w:rsidR="00F316EC" w:rsidRPr="00EB3D68" w:rsidRDefault="00F316EC" w:rsidP="00F316EC">
      <w:pPr>
        <w:spacing w:line="360" w:lineRule="auto"/>
        <w:ind w:right="-28"/>
        <w:contextualSpacing/>
        <w:jc w:val="both"/>
        <w:rPr>
          <w:rFonts w:ascii="Palatino Linotype" w:hAnsi="Palatino Linotype" w:cs="Tahoma"/>
          <w:sz w:val="22"/>
          <w:szCs w:val="22"/>
        </w:rPr>
      </w:pPr>
    </w:p>
    <w:p w14:paraId="56B283A0" w14:textId="77777777" w:rsidR="00F316EC" w:rsidRPr="00EB3D68" w:rsidRDefault="00F316EC" w:rsidP="00F316EC">
      <w:pPr>
        <w:spacing w:line="360" w:lineRule="auto"/>
        <w:ind w:right="-28"/>
        <w:contextualSpacing/>
        <w:jc w:val="both"/>
        <w:rPr>
          <w:rFonts w:ascii="Palatino Linotype" w:hAnsi="Palatino Linotype" w:cs="Tahoma"/>
          <w:sz w:val="22"/>
          <w:szCs w:val="22"/>
        </w:rPr>
      </w:pPr>
    </w:p>
    <w:p w14:paraId="106AFEC9" w14:textId="77777777" w:rsidR="004627C3" w:rsidRPr="00EB3D68" w:rsidRDefault="004627C3" w:rsidP="00F316EC">
      <w:pPr>
        <w:spacing w:line="360" w:lineRule="auto"/>
        <w:ind w:right="-28"/>
        <w:contextualSpacing/>
        <w:jc w:val="both"/>
        <w:rPr>
          <w:rFonts w:ascii="Palatino Linotype" w:hAnsi="Palatino Linotype" w:cs="Tahoma"/>
          <w:bCs/>
          <w:sz w:val="22"/>
          <w:szCs w:val="22"/>
        </w:rPr>
      </w:pPr>
    </w:p>
    <w:p w14:paraId="197084BE" w14:textId="2F314684" w:rsidR="00F316EC" w:rsidRPr="00EB3D68" w:rsidRDefault="00F316EC" w:rsidP="00F316EC">
      <w:pPr>
        <w:spacing w:line="360" w:lineRule="auto"/>
        <w:ind w:right="-28"/>
        <w:contextualSpacing/>
        <w:jc w:val="both"/>
        <w:rPr>
          <w:rFonts w:ascii="Palatino Linotype" w:hAnsi="Palatino Linotype" w:cs="Tahoma"/>
          <w:sz w:val="22"/>
          <w:szCs w:val="22"/>
        </w:rPr>
      </w:pPr>
      <w:r w:rsidRPr="00EB3D68">
        <w:rPr>
          <w:rFonts w:ascii="Palatino Linotype" w:hAnsi="Palatino Linotype" w:cs="Tahoma"/>
          <w:bCs/>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sidR="00B07847" w:rsidRPr="00EB3D68">
        <w:rPr>
          <w:rFonts w:ascii="Palatino Linotype" w:hAnsi="Palatino Linotype" w:cs="Tahoma"/>
          <w:bCs/>
          <w:sz w:val="22"/>
          <w:szCs w:val="22"/>
        </w:rPr>
        <w:t>veintitrés</w:t>
      </w:r>
      <w:r w:rsidRPr="00EB3D68">
        <w:rPr>
          <w:rFonts w:ascii="Palatino Linotype" w:hAnsi="Palatino Linotype" w:cs="Tahoma"/>
          <w:bCs/>
          <w:sz w:val="22"/>
          <w:szCs w:val="22"/>
        </w:rPr>
        <w:t xml:space="preserve"> de abril de dos mil veinticinco.</w:t>
      </w:r>
    </w:p>
    <w:p w14:paraId="0CA12AEB" w14:textId="77777777" w:rsidR="00F316EC" w:rsidRPr="00EB3D68" w:rsidRDefault="00F316EC" w:rsidP="00F316EC">
      <w:pPr>
        <w:spacing w:line="360" w:lineRule="auto"/>
        <w:ind w:right="-28"/>
        <w:contextualSpacing/>
        <w:jc w:val="both"/>
        <w:rPr>
          <w:rFonts w:ascii="Palatino Linotype" w:hAnsi="Palatino Linotype"/>
          <w:noProof/>
          <w:sz w:val="22"/>
          <w:szCs w:val="22"/>
          <w:lang w:val="es-ES"/>
        </w:rPr>
      </w:pPr>
    </w:p>
    <w:p w14:paraId="1DF82E33" w14:textId="5488473D" w:rsidR="00F316EC" w:rsidRPr="00EB3D68" w:rsidRDefault="00F316EC" w:rsidP="00F316EC">
      <w:pPr>
        <w:spacing w:line="360" w:lineRule="auto"/>
        <w:ind w:right="-28"/>
        <w:contextualSpacing/>
        <w:jc w:val="both"/>
        <w:rPr>
          <w:rFonts w:ascii="Palatino Linotype" w:hAnsi="Palatino Linotype" w:cs="Tahoma"/>
          <w:bCs/>
          <w:sz w:val="22"/>
          <w:szCs w:val="22"/>
        </w:rPr>
      </w:pPr>
      <w:r w:rsidRPr="00EB3D68">
        <w:rPr>
          <w:rFonts w:ascii="Palatino Linotype" w:hAnsi="Palatino Linotype" w:cs="Tahoma"/>
          <w:b/>
          <w:bCs/>
          <w:sz w:val="22"/>
          <w:szCs w:val="22"/>
        </w:rPr>
        <w:t xml:space="preserve">VISTO </w:t>
      </w:r>
      <w:r w:rsidRPr="00EB3D68">
        <w:rPr>
          <w:rFonts w:ascii="Palatino Linotype" w:hAnsi="Palatino Linotype" w:cs="Tahoma"/>
          <w:bCs/>
          <w:sz w:val="22"/>
          <w:szCs w:val="22"/>
        </w:rPr>
        <w:t xml:space="preserve">el expediente conformado con motivo del Recurso de Revisión </w:t>
      </w:r>
      <w:r w:rsidRPr="00EB3D68">
        <w:rPr>
          <w:rFonts w:ascii="Palatino Linotype" w:hAnsi="Palatino Linotype" w:cs="Tahoma"/>
          <w:b/>
          <w:bCs/>
          <w:color w:val="0D0D0D" w:themeColor="text1" w:themeTint="F2"/>
          <w:sz w:val="22"/>
          <w:szCs w:val="22"/>
        </w:rPr>
        <w:t>01</w:t>
      </w:r>
      <w:r w:rsidR="005A255E" w:rsidRPr="00EB3D68">
        <w:rPr>
          <w:rFonts w:ascii="Palatino Linotype" w:hAnsi="Palatino Linotype" w:cs="Tahoma"/>
          <w:b/>
          <w:bCs/>
          <w:color w:val="0D0D0D" w:themeColor="text1" w:themeTint="F2"/>
          <w:sz w:val="22"/>
          <w:szCs w:val="22"/>
        </w:rPr>
        <w:t>866</w:t>
      </w:r>
      <w:r w:rsidRPr="00EB3D68">
        <w:rPr>
          <w:rFonts w:ascii="Palatino Linotype" w:hAnsi="Palatino Linotype" w:cs="Tahoma"/>
          <w:b/>
          <w:bCs/>
          <w:color w:val="0D0D0D" w:themeColor="text1" w:themeTint="F2"/>
          <w:sz w:val="22"/>
          <w:szCs w:val="22"/>
        </w:rPr>
        <w:t>/INFOEM/IP/RR/2025</w:t>
      </w:r>
      <w:r w:rsidRPr="00EB3D68">
        <w:rPr>
          <w:rFonts w:ascii="Palatino Linotype" w:hAnsi="Palatino Linotype" w:cs="Tahoma"/>
          <w:sz w:val="22"/>
          <w:szCs w:val="22"/>
        </w:rPr>
        <w:t xml:space="preserve">, interpuesto por el Recurrente o Particular, en contra de la respuesta del Sujeto Obligado, </w:t>
      </w:r>
      <w:r w:rsidR="005A255E" w:rsidRPr="00362E2D">
        <w:rPr>
          <w:rFonts w:ascii="Palatino Linotype" w:hAnsi="Palatino Linotype"/>
          <w:b/>
          <w:color w:val="000000"/>
          <w:sz w:val="22"/>
          <w:szCs w:val="22"/>
        </w:rPr>
        <w:t xml:space="preserve">Ayuntamiento de </w:t>
      </w:r>
      <w:proofErr w:type="spellStart"/>
      <w:r w:rsidR="005A255E" w:rsidRPr="00362E2D">
        <w:rPr>
          <w:rFonts w:ascii="Palatino Linotype" w:hAnsi="Palatino Linotype"/>
          <w:b/>
          <w:color w:val="000000"/>
          <w:sz w:val="22"/>
          <w:szCs w:val="22"/>
        </w:rPr>
        <w:t>Jilotzingo</w:t>
      </w:r>
      <w:proofErr w:type="spellEnd"/>
      <w:r w:rsidRPr="00362E2D">
        <w:rPr>
          <w:rFonts w:ascii="Palatino Linotype" w:hAnsi="Palatino Linotype" w:cs="Tahoma"/>
          <w:b/>
          <w:sz w:val="22"/>
          <w:szCs w:val="22"/>
        </w:rPr>
        <w:t>,</w:t>
      </w:r>
      <w:r w:rsidRPr="00EB3D68">
        <w:rPr>
          <w:rFonts w:ascii="Palatino Linotype" w:hAnsi="Palatino Linotype" w:cs="Tahoma"/>
          <w:sz w:val="22"/>
          <w:szCs w:val="22"/>
        </w:rPr>
        <w:t xml:space="preserve"> a la solicitud de acceso a la información pública</w:t>
      </w:r>
      <w:r w:rsidRPr="00EB3D68">
        <w:rPr>
          <w:rFonts w:ascii="Palatino Linotype" w:hAnsi="Palatino Linotype" w:cs="Tahoma"/>
          <w:bCs/>
          <w:sz w:val="22"/>
          <w:szCs w:val="22"/>
        </w:rPr>
        <w:t xml:space="preserve"> con número de folio</w:t>
      </w:r>
      <w:r w:rsidRPr="00EB3D68">
        <w:rPr>
          <w:rFonts w:ascii="Verdana" w:hAnsi="Verdana"/>
          <w:b/>
          <w:bCs/>
          <w:color w:val="FF0000"/>
        </w:rPr>
        <w:t> </w:t>
      </w:r>
      <w:r w:rsidR="005A255E" w:rsidRPr="00EB3D68">
        <w:rPr>
          <w:rFonts w:ascii="Palatino Linotype" w:hAnsi="Palatino Linotype"/>
          <w:sz w:val="22"/>
          <w:szCs w:val="22"/>
        </w:rPr>
        <w:t>00070/JILOTZIN/IP/2025</w:t>
      </w:r>
      <w:r w:rsidRPr="00EB3D68">
        <w:rPr>
          <w:rFonts w:ascii="Palatino Linotype" w:hAnsi="Palatino Linotype" w:cs="Tahoma"/>
          <w:bCs/>
          <w:sz w:val="22"/>
          <w:szCs w:val="22"/>
        </w:rPr>
        <w:t>, se emite la presente Resolución, con base en los Antecedentes y Considerandos que se exponen a continuación:</w:t>
      </w:r>
    </w:p>
    <w:p w14:paraId="5511102D" w14:textId="77777777" w:rsidR="00F316EC" w:rsidRPr="00EB3D68" w:rsidRDefault="00F316EC" w:rsidP="00F316EC">
      <w:pPr>
        <w:spacing w:line="360" w:lineRule="auto"/>
        <w:ind w:right="-28"/>
        <w:contextualSpacing/>
        <w:jc w:val="both"/>
        <w:rPr>
          <w:rFonts w:ascii="Palatino Linotype" w:hAnsi="Palatino Linotype" w:cs="Tahoma"/>
          <w:bCs/>
          <w:sz w:val="22"/>
          <w:szCs w:val="22"/>
        </w:rPr>
      </w:pPr>
    </w:p>
    <w:p w14:paraId="0AA66A4A" w14:textId="77777777" w:rsidR="00F316EC" w:rsidRPr="00EB3D68" w:rsidRDefault="00F316EC" w:rsidP="00F316EC">
      <w:pPr>
        <w:pStyle w:val="Ttulo1"/>
        <w:spacing w:before="0" w:after="0" w:line="360" w:lineRule="auto"/>
        <w:contextualSpacing/>
        <w:jc w:val="center"/>
        <w:rPr>
          <w:rFonts w:ascii="Palatino Linotype" w:hAnsi="Palatino Linotype"/>
          <w:b/>
          <w:bCs/>
          <w:color w:val="auto"/>
          <w:sz w:val="22"/>
          <w:szCs w:val="22"/>
        </w:rPr>
      </w:pPr>
      <w:bookmarkStart w:id="0" w:name="_Toc190350679"/>
      <w:r w:rsidRPr="00EB3D68">
        <w:rPr>
          <w:rFonts w:ascii="Palatino Linotype" w:hAnsi="Palatino Linotype"/>
          <w:b/>
          <w:bCs/>
          <w:color w:val="auto"/>
          <w:sz w:val="22"/>
          <w:szCs w:val="22"/>
        </w:rPr>
        <w:t>A N T E C E D E N T E S</w:t>
      </w:r>
      <w:bookmarkEnd w:id="0"/>
    </w:p>
    <w:p w14:paraId="2D48477D" w14:textId="77777777" w:rsidR="00F316EC" w:rsidRPr="00EB3D68" w:rsidRDefault="00F316EC" w:rsidP="00F316EC">
      <w:pPr>
        <w:tabs>
          <w:tab w:val="center" w:pos="4522"/>
          <w:tab w:val="left" w:pos="7245"/>
          <w:tab w:val="right" w:pos="9044"/>
        </w:tabs>
        <w:spacing w:line="360" w:lineRule="auto"/>
        <w:ind w:right="-28"/>
        <w:contextualSpacing/>
        <w:rPr>
          <w:rFonts w:ascii="Palatino Linotype" w:hAnsi="Palatino Linotype" w:cs="Tahoma"/>
          <w:b/>
          <w:bCs/>
          <w:sz w:val="22"/>
          <w:szCs w:val="22"/>
        </w:rPr>
      </w:pPr>
    </w:p>
    <w:p w14:paraId="48EB5F80" w14:textId="77777777" w:rsidR="00F316EC" w:rsidRPr="00EB3D68" w:rsidRDefault="00F316EC" w:rsidP="00F316EC">
      <w:pPr>
        <w:pStyle w:val="Ttulo2"/>
        <w:spacing w:before="0" w:after="0" w:line="360" w:lineRule="auto"/>
        <w:contextualSpacing/>
        <w:rPr>
          <w:rFonts w:ascii="Palatino Linotype" w:hAnsi="Palatino Linotype"/>
          <w:b/>
          <w:bCs/>
          <w:color w:val="auto"/>
          <w:sz w:val="22"/>
          <w:szCs w:val="22"/>
        </w:rPr>
      </w:pPr>
      <w:bookmarkStart w:id="1" w:name="_Toc190350680"/>
      <w:r w:rsidRPr="00EB3D68">
        <w:rPr>
          <w:rFonts w:ascii="Palatino Linotype" w:hAnsi="Palatino Linotype"/>
          <w:b/>
          <w:bCs/>
          <w:color w:val="auto"/>
          <w:sz w:val="22"/>
          <w:szCs w:val="22"/>
        </w:rPr>
        <w:t>I. Presentación de la solicitud de información</w:t>
      </w:r>
      <w:bookmarkEnd w:id="1"/>
    </w:p>
    <w:p w14:paraId="08BB8A38" w14:textId="77777777" w:rsidR="00F316EC" w:rsidRPr="00EB3D68" w:rsidRDefault="00F316EC" w:rsidP="00F316EC">
      <w:pPr>
        <w:autoSpaceDE w:val="0"/>
        <w:autoSpaceDN w:val="0"/>
        <w:adjustRightInd w:val="0"/>
        <w:spacing w:line="360" w:lineRule="auto"/>
        <w:contextualSpacing/>
        <w:jc w:val="both"/>
        <w:rPr>
          <w:rFonts w:ascii="Palatino Linotype" w:hAnsi="Palatino Linotype" w:cs="Tahoma"/>
          <w:sz w:val="22"/>
          <w:szCs w:val="22"/>
        </w:rPr>
      </w:pPr>
    </w:p>
    <w:p w14:paraId="1DB23C38" w14:textId="4BDC726F" w:rsidR="00F316EC" w:rsidRPr="00EB3D68" w:rsidRDefault="00F316EC" w:rsidP="00F316EC">
      <w:pPr>
        <w:autoSpaceDE w:val="0"/>
        <w:autoSpaceDN w:val="0"/>
        <w:adjustRightInd w:val="0"/>
        <w:spacing w:line="360" w:lineRule="auto"/>
        <w:contextualSpacing/>
        <w:jc w:val="both"/>
        <w:rPr>
          <w:rFonts w:ascii="Palatino Linotype" w:hAnsi="Palatino Linotype" w:cs="Tahoma"/>
          <w:sz w:val="22"/>
          <w:szCs w:val="22"/>
          <w:lang w:val="es-ES"/>
        </w:rPr>
      </w:pPr>
      <w:r w:rsidRPr="00EB3D68">
        <w:rPr>
          <w:rFonts w:ascii="Palatino Linotype" w:hAnsi="Palatino Linotype" w:cs="Tahoma"/>
          <w:sz w:val="22"/>
          <w:szCs w:val="22"/>
        </w:rPr>
        <w:t xml:space="preserve">Con fecha </w:t>
      </w:r>
      <w:r w:rsidR="005A255E" w:rsidRPr="00EB3D68">
        <w:rPr>
          <w:rFonts w:ascii="Palatino Linotype" w:hAnsi="Palatino Linotype" w:cs="Tahoma"/>
          <w:sz w:val="22"/>
          <w:szCs w:val="22"/>
        </w:rPr>
        <w:t>veinti</w:t>
      </w:r>
      <w:r w:rsidRPr="00EB3D68">
        <w:rPr>
          <w:rFonts w:ascii="Palatino Linotype" w:hAnsi="Palatino Linotype" w:cs="Tahoma"/>
          <w:sz w:val="22"/>
          <w:szCs w:val="22"/>
        </w:rPr>
        <w:t xml:space="preserve">cuatro de </w:t>
      </w:r>
      <w:r w:rsidR="005A255E" w:rsidRPr="00EB3D68">
        <w:rPr>
          <w:rFonts w:ascii="Palatino Linotype" w:hAnsi="Palatino Linotype" w:cs="Tahoma"/>
          <w:sz w:val="22"/>
          <w:szCs w:val="22"/>
        </w:rPr>
        <w:t xml:space="preserve">enero </w:t>
      </w:r>
      <w:r w:rsidRPr="00EB3D68">
        <w:rPr>
          <w:rFonts w:ascii="Palatino Linotype" w:hAnsi="Palatino Linotype" w:cs="Tahoma"/>
          <w:sz w:val="22"/>
          <w:szCs w:val="22"/>
        </w:rPr>
        <w:t>de dos mil veinticinco, el Particular presentó una solicitud de acceso a la información pública, a través del Sistema de Acceso a la Información Mexiquense</w:t>
      </w:r>
      <w:r w:rsidR="00B07847" w:rsidRPr="00EB3D68">
        <w:rPr>
          <w:rFonts w:ascii="Palatino Linotype" w:hAnsi="Palatino Linotype" w:cs="Tahoma"/>
          <w:sz w:val="22"/>
          <w:szCs w:val="22"/>
        </w:rPr>
        <w:t>, en lo sucesivo</w:t>
      </w:r>
      <w:r w:rsidRPr="00EB3D68">
        <w:rPr>
          <w:rFonts w:ascii="Palatino Linotype" w:hAnsi="Palatino Linotype" w:cs="Tahoma"/>
          <w:sz w:val="22"/>
          <w:szCs w:val="22"/>
        </w:rPr>
        <w:t xml:space="preserve"> </w:t>
      </w:r>
      <w:r w:rsidR="00B07847" w:rsidRPr="00EB3D68">
        <w:rPr>
          <w:rFonts w:ascii="Palatino Linotype" w:hAnsi="Palatino Linotype" w:cs="Tahoma"/>
          <w:sz w:val="22"/>
          <w:szCs w:val="22"/>
        </w:rPr>
        <w:t xml:space="preserve">el </w:t>
      </w:r>
      <w:r w:rsidRPr="00EB3D68">
        <w:rPr>
          <w:rFonts w:ascii="Palatino Linotype" w:hAnsi="Palatino Linotype" w:cs="Tahoma"/>
          <w:sz w:val="22"/>
          <w:szCs w:val="22"/>
        </w:rPr>
        <w:t xml:space="preserve">SAIMEX, ante el </w:t>
      </w:r>
      <w:r w:rsidR="005A255E" w:rsidRPr="00EB3D68">
        <w:rPr>
          <w:rFonts w:ascii="Palatino Linotype" w:hAnsi="Palatino Linotype"/>
          <w:color w:val="000000"/>
          <w:sz w:val="22"/>
          <w:szCs w:val="22"/>
        </w:rPr>
        <w:t xml:space="preserve">Ayuntamiento de </w:t>
      </w:r>
      <w:proofErr w:type="spellStart"/>
      <w:r w:rsidR="005A255E" w:rsidRPr="00EB3D68">
        <w:rPr>
          <w:rFonts w:ascii="Palatino Linotype" w:hAnsi="Palatino Linotype"/>
          <w:color w:val="000000"/>
          <w:sz w:val="22"/>
          <w:szCs w:val="22"/>
        </w:rPr>
        <w:t>Jilotzingo</w:t>
      </w:r>
      <w:proofErr w:type="spellEnd"/>
      <w:r w:rsidRPr="00EB3D68">
        <w:rPr>
          <w:rFonts w:ascii="Palatino Linotype" w:hAnsi="Palatino Linotype"/>
          <w:b/>
          <w:color w:val="000000"/>
          <w:sz w:val="22"/>
          <w:szCs w:val="22"/>
        </w:rPr>
        <w:t>,</w:t>
      </w:r>
      <w:r w:rsidRPr="00EB3D68">
        <w:rPr>
          <w:rFonts w:ascii="Palatino Linotype" w:hAnsi="Palatino Linotype" w:cs="Tahoma"/>
          <w:b/>
          <w:bCs/>
          <w:sz w:val="22"/>
          <w:szCs w:val="22"/>
        </w:rPr>
        <w:t xml:space="preserve"> </w:t>
      </w:r>
      <w:r w:rsidRPr="00EB3D68">
        <w:rPr>
          <w:rFonts w:ascii="Palatino Linotype" w:hAnsi="Palatino Linotype" w:cs="Tahoma"/>
          <w:sz w:val="22"/>
          <w:szCs w:val="22"/>
          <w:lang w:val="es-ES"/>
        </w:rPr>
        <w:t>mediante la cual requirió lo siguiente:</w:t>
      </w:r>
    </w:p>
    <w:p w14:paraId="59BCFAD2" w14:textId="77777777" w:rsidR="00F316EC" w:rsidRPr="00EB3D68" w:rsidRDefault="00F316EC" w:rsidP="00F316EC">
      <w:pPr>
        <w:tabs>
          <w:tab w:val="left" w:pos="4667"/>
        </w:tabs>
        <w:spacing w:line="360" w:lineRule="auto"/>
        <w:ind w:right="567"/>
        <w:contextualSpacing/>
        <w:jc w:val="both"/>
        <w:rPr>
          <w:rFonts w:ascii="Palatino Linotype" w:hAnsi="Palatino Linotype" w:cs="Tahoma"/>
          <w:b/>
          <w:bCs/>
          <w:i/>
        </w:rPr>
      </w:pPr>
    </w:p>
    <w:p w14:paraId="41EF3942" w14:textId="77777777" w:rsidR="00F316EC" w:rsidRPr="00EB3D68" w:rsidRDefault="00F316EC" w:rsidP="00F316EC">
      <w:pPr>
        <w:tabs>
          <w:tab w:val="left" w:pos="4667"/>
        </w:tabs>
        <w:spacing w:line="360" w:lineRule="auto"/>
        <w:ind w:left="567" w:right="567"/>
        <w:contextualSpacing/>
        <w:jc w:val="both"/>
        <w:rPr>
          <w:rFonts w:ascii="Palatino Linotype" w:hAnsi="Palatino Linotype" w:cs="Tahoma"/>
          <w:b/>
          <w:bCs/>
          <w:i/>
        </w:rPr>
      </w:pPr>
      <w:bookmarkStart w:id="2" w:name="_Hlk182343885"/>
      <w:r w:rsidRPr="00EB3D68">
        <w:rPr>
          <w:rFonts w:ascii="Palatino Linotype" w:hAnsi="Palatino Linotype" w:cs="Tahoma"/>
          <w:b/>
          <w:bCs/>
          <w:i/>
        </w:rPr>
        <w:t>“DESCRIPCIÓN CLARA Y PRECISA DE LA INFORMACIÓN SOLICITADA:</w:t>
      </w:r>
    </w:p>
    <w:p w14:paraId="635A5BB7" w14:textId="77777777" w:rsidR="00232E27" w:rsidRPr="00EB3D68" w:rsidRDefault="005A255E" w:rsidP="00232E27">
      <w:pPr>
        <w:spacing w:line="360" w:lineRule="auto"/>
        <w:ind w:left="567" w:right="567"/>
        <w:contextualSpacing/>
        <w:jc w:val="both"/>
        <w:rPr>
          <w:rFonts w:ascii="Palatino Linotype" w:hAnsi="Palatino Linotype" w:cs="Tahoma"/>
          <w:bCs/>
          <w:i/>
        </w:rPr>
      </w:pPr>
      <w:r w:rsidRPr="00EB3D68">
        <w:rPr>
          <w:rFonts w:ascii="Palatino Linotype" w:hAnsi="Palatino Linotype"/>
          <w:i/>
          <w:color w:val="000000"/>
        </w:rPr>
        <w:t xml:space="preserve">Solicito saber cuántos trámites se han ingresado hasta hoy al área de desarrollo urbano y el estatus de cada uno de </w:t>
      </w:r>
      <w:proofErr w:type="gramStart"/>
      <w:r w:rsidRPr="00EB3D68">
        <w:rPr>
          <w:rFonts w:ascii="Palatino Linotype" w:hAnsi="Palatino Linotype"/>
          <w:i/>
          <w:color w:val="000000"/>
        </w:rPr>
        <w:t>ellos ,</w:t>
      </w:r>
      <w:proofErr w:type="gramEnd"/>
      <w:r w:rsidRPr="00EB3D68">
        <w:rPr>
          <w:rFonts w:ascii="Palatino Linotype" w:hAnsi="Palatino Linotype"/>
          <w:i/>
          <w:color w:val="000000"/>
        </w:rPr>
        <w:t xml:space="preserve"> en un listado. Así como el nombre de los solicitantes en versión </w:t>
      </w:r>
      <w:proofErr w:type="spellStart"/>
      <w:r w:rsidRPr="00EB3D68">
        <w:rPr>
          <w:rFonts w:ascii="Palatino Linotype" w:hAnsi="Palatino Linotype"/>
          <w:i/>
          <w:color w:val="000000"/>
        </w:rPr>
        <w:t>publica</w:t>
      </w:r>
      <w:proofErr w:type="spellEnd"/>
      <w:r w:rsidR="00F316EC" w:rsidRPr="00EB3D68">
        <w:rPr>
          <w:rFonts w:ascii="Palatino Linotype" w:hAnsi="Palatino Linotype"/>
          <w:i/>
          <w:color w:val="000000"/>
        </w:rPr>
        <w:t>.</w:t>
      </w:r>
      <w:r w:rsidR="00F316EC" w:rsidRPr="00EB3D68">
        <w:rPr>
          <w:rFonts w:ascii="Palatino Linotype" w:hAnsi="Palatino Linotype" w:cs="Tahoma"/>
          <w:bCs/>
          <w:i/>
        </w:rPr>
        <w:t>”</w:t>
      </w:r>
      <w:r w:rsidR="00232E27" w:rsidRPr="00EB3D68">
        <w:rPr>
          <w:rFonts w:ascii="Palatino Linotype" w:hAnsi="Palatino Linotype" w:cs="Tahoma"/>
          <w:bCs/>
          <w:i/>
        </w:rPr>
        <w:t xml:space="preserve"> </w:t>
      </w:r>
    </w:p>
    <w:p w14:paraId="3B73ECF4" w14:textId="53F7C556" w:rsidR="00F316EC" w:rsidRPr="00EB3D68" w:rsidRDefault="00F316EC" w:rsidP="00232E27">
      <w:pPr>
        <w:spacing w:line="360" w:lineRule="auto"/>
        <w:ind w:left="567" w:right="567"/>
        <w:contextualSpacing/>
        <w:jc w:val="both"/>
        <w:rPr>
          <w:rFonts w:ascii="Palatino Linotype" w:hAnsi="Palatino Linotype" w:cs="Tahoma"/>
          <w:bCs/>
          <w:i/>
        </w:rPr>
      </w:pPr>
      <w:r w:rsidRPr="00EB3D68">
        <w:rPr>
          <w:rFonts w:ascii="Palatino Linotype" w:hAnsi="Palatino Linotype" w:cs="Tahoma"/>
          <w:bCs/>
          <w:i/>
        </w:rPr>
        <w:t>(Sic).</w:t>
      </w:r>
    </w:p>
    <w:bookmarkEnd w:id="2"/>
    <w:p w14:paraId="6956116C" w14:textId="77777777" w:rsidR="00F316EC" w:rsidRPr="00EB3D68" w:rsidRDefault="00F316EC" w:rsidP="00F316EC">
      <w:pPr>
        <w:tabs>
          <w:tab w:val="left" w:pos="4667"/>
        </w:tabs>
        <w:spacing w:line="360" w:lineRule="auto"/>
        <w:ind w:left="567" w:right="567"/>
        <w:contextualSpacing/>
        <w:jc w:val="both"/>
        <w:rPr>
          <w:rFonts w:ascii="Palatino Linotype" w:hAnsi="Palatino Linotype" w:cs="Tahoma"/>
          <w:b/>
          <w:bCs/>
          <w:i/>
        </w:rPr>
      </w:pPr>
    </w:p>
    <w:p w14:paraId="0F890B07" w14:textId="33DB0625" w:rsidR="00F316EC" w:rsidRPr="00EB3D68" w:rsidRDefault="00F316EC" w:rsidP="004627C3">
      <w:pPr>
        <w:tabs>
          <w:tab w:val="left" w:pos="4667"/>
        </w:tabs>
        <w:spacing w:line="360" w:lineRule="auto"/>
        <w:ind w:left="567" w:right="567"/>
        <w:contextualSpacing/>
        <w:jc w:val="both"/>
        <w:rPr>
          <w:rFonts w:ascii="Palatino Linotype" w:hAnsi="Palatino Linotype" w:cs="Tahoma"/>
          <w:bCs/>
          <w:i/>
        </w:rPr>
      </w:pPr>
      <w:r w:rsidRPr="00EB3D68">
        <w:rPr>
          <w:rFonts w:ascii="Palatino Linotype" w:hAnsi="Palatino Linotype" w:cs="Tahoma"/>
          <w:b/>
          <w:bCs/>
          <w:i/>
        </w:rPr>
        <w:t>Modalidad de Entrega</w:t>
      </w:r>
      <w:r w:rsidR="00B07847" w:rsidRPr="00EB3D68">
        <w:rPr>
          <w:rFonts w:ascii="Palatino Linotype" w:hAnsi="Palatino Linotype" w:cs="Tahoma"/>
          <w:b/>
          <w:bCs/>
          <w:i/>
        </w:rPr>
        <w:t xml:space="preserve"> </w:t>
      </w:r>
      <w:r w:rsidR="00B07847" w:rsidRPr="00EB3D68">
        <w:rPr>
          <w:rFonts w:ascii="Palatino Linotype" w:hAnsi="Palatino Linotype" w:cs="Tahoma"/>
          <w:bCs/>
          <w:i/>
        </w:rPr>
        <w:t>“</w:t>
      </w:r>
      <w:r w:rsidRPr="00EB3D68">
        <w:rPr>
          <w:rFonts w:ascii="Palatino Linotype" w:hAnsi="Palatino Linotype" w:cs="Tahoma"/>
          <w:bCs/>
          <w:i/>
        </w:rPr>
        <w:t xml:space="preserve">A través del SAIMEX”  </w:t>
      </w:r>
      <w:bookmarkStart w:id="3" w:name="_Hlk16082333"/>
    </w:p>
    <w:p w14:paraId="1336EDD9" w14:textId="77777777" w:rsidR="005A255E" w:rsidRPr="00EB3D68" w:rsidRDefault="005A255E" w:rsidP="005A255E">
      <w:pPr>
        <w:tabs>
          <w:tab w:val="left" w:pos="567"/>
        </w:tabs>
        <w:spacing w:line="360" w:lineRule="auto"/>
        <w:ind w:left="567" w:right="567"/>
        <w:contextualSpacing/>
        <w:jc w:val="both"/>
        <w:rPr>
          <w:rFonts w:ascii="Palatino Linotype" w:hAnsi="Palatino Linotype" w:cs="Tahoma"/>
          <w:bCs/>
          <w:i/>
        </w:rPr>
      </w:pPr>
    </w:p>
    <w:p w14:paraId="1778CF6E" w14:textId="77777777" w:rsidR="00F316EC" w:rsidRPr="00EB3D68" w:rsidRDefault="00F316EC" w:rsidP="00F316EC">
      <w:pPr>
        <w:pStyle w:val="Ttulo2"/>
        <w:spacing w:before="0" w:after="0" w:line="360" w:lineRule="auto"/>
        <w:contextualSpacing/>
        <w:rPr>
          <w:rFonts w:ascii="Palatino Linotype" w:hAnsi="Palatino Linotype"/>
          <w:b/>
          <w:bCs/>
          <w:color w:val="auto"/>
          <w:sz w:val="22"/>
          <w:szCs w:val="22"/>
        </w:rPr>
      </w:pPr>
      <w:bookmarkStart w:id="4" w:name="_Toc190350681"/>
      <w:r w:rsidRPr="00EB3D68">
        <w:rPr>
          <w:rFonts w:ascii="Palatino Linotype" w:hAnsi="Palatino Linotype"/>
          <w:b/>
          <w:bCs/>
          <w:color w:val="auto"/>
          <w:sz w:val="22"/>
          <w:szCs w:val="22"/>
        </w:rPr>
        <w:lastRenderedPageBreak/>
        <w:t>II. Respuesta del Sujeto Obligado</w:t>
      </w:r>
      <w:bookmarkEnd w:id="4"/>
    </w:p>
    <w:p w14:paraId="10BA782B" w14:textId="77777777" w:rsidR="00F316EC" w:rsidRPr="00EB3D68" w:rsidRDefault="00F316EC" w:rsidP="00F316EC">
      <w:pPr>
        <w:tabs>
          <w:tab w:val="left" w:pos="4667"/>
        </w:tabs>
        <w:spacing w:line="360" w:lineRule="auto"/>
        <w:ind w:right="567"/>
        <w:contextualSpacing/>
        <w:jc w:val="both"/>
        <w:rPr>
          <w:rFonts w:ascii="Palatino Linotype" w:hAnsi="Palatino Linotype" w:cs="Tahoma"/>
          <w:b/>
          <w:bCs/>
          <w:sz w:val="22"/>
          <w:szCs w:val="24"/>
        </w:rPr>
      </w:pPr>
    </w:p>
    <w:bookmarkEnd w:id="3"/>
    <w:p w14:paraId="657B8297" w14:textId="30105336" w:rsidR="00F316EC" w:rsidRPr="00EB3D68" w:rsidRDefault="00F316EC" w:rsidP="00F316EC">
      <w:pPr>
        <w:autoSpaceDE w:val="0"/>
        <w:autoSpaceDN w:val="0"/>
        <w:adjustRightInd w:val="0"/>
        <w:spacing w:line="360" w:lineRule="auto"/>
        <w:contextualSpacing/>
        <w:jc w:val="both"/>
        <w:rPr>
          <w:rFonts w:ascii="Palatino Linotype" w:hAnsi="Palatino Linotype" w:cs="Tahoma"/>
          <w:bCs/>
          <w:sz w:val="22"/>
        </w:rPr>
      </w:pPr>
      <w:r w:rsidRPr="00EB3D68">
        <w:rPr>
          <w:rFonts w:ascii="Palatino Linotype" w:hAnsi="Palatino Linotype" w:cs="Tahoma"/>
          <w:bCs/>
          <w:sz w:val="22"/>
          <w:szCs w:val="22"/>
        </w:rPr>
        <w:t xml:space="preserve">Con fecha </w:t>
      </w:r>
      <w:r w:rsidR="005A255E" w:rsidRPr="00EB3D68">
        <w:rPr>
          <w:rFonts w:ascii="Palatino Linotype" w:hAnsi="Palatino Linotype" w:cs="Tahoma"/>
          <w:bCs/>
          <w:sz w:val="22"/>
          <w:szCs w:val="22"/>
        </w:rPr>
        <w:t xml:space="preserve">diecisiete </w:t>
      </w:r>
      <w:r w:rsidRPr="00EB3D68">
        <w:rPr>
          <w:rFonts w:ascii="Palatino Linotype" w:hAnsi="Palatino Linotype" w:cs="Tahoma"/>
          <w:bCs/>
          <w:sz w:val="22"/>
          <w:szCs w:val="22"/>
        </w:rPr>
        <w:t>de febrero de dos mil veinticinco, el</w:t>
      </w:r>
      <w:r w:rsidRPr="00EB3D68">
        <w:rPr>
          <w:rFonts w:ascii="Palatino Linotype" w:hAnsi="Palatino Linotype" w:cs="Tahoma"/>
          <w:b/>
          <w:sz w:val="22"/>
          <w:szCs w:val="22"/>
        </w:rPr>
        <w:t xml:space="preserve"> </w:t>
      </w:r>
      <w:r w:rsidRPr="00EB3D68">
        <w:rPr>
          <w:rFonts w:ascii="Palatino Linotype" w:hAnsi="Palatino Linotype" w:cs="Tahoma"/>
          <w:sz w:val="22"/>
          <w:szCs w:val="22"/>
        </w:rPr>
        <w:t xml:space="preserve">Sujeto Obligado dio respuesta a la solicitud de acceso a la información a través del </w:t>
      </w:r>
      <w:r w:rsidR="00B07847" w:rsidRPr="00EB3D68">
        <w:rPr>
          <w:rFonts w:ascii="Palatino Linotype" w:hAnsi="Palatino Linotype" w:cs="Tahoma"/>
          <w:sz w:val="22"/>
          <w:szCs w:val="22"/>
        </w:rPr>
        <w:t>SAIMEX</w:t>
      </w:r>
      <w:r w:rsidRPr="00EB3D68">
        <w:rPr>
          <w:rFonts w:ascii="Palatino Linotype" w:hAnsi="Palatino Linotype" w:cs="Tahoma"/>
          <w:sz w:val="22"/>
          <w:szCs w:val="22"/>
        </w:rPr>
        <w:t>, por medio de</w:t>
      </w:r>
      <w:r w:rsidR="005A255E" w:rsidRPr="00EB3D68">
        <w:rPr>
          <w:rFonts w:ascii="Palatino Linotype" w:hAnsi="Palatino Linotype" w:cs="Tahoma"/>
          <w:sz w:val="22"/>
          <w:szCs w:val="22"/>
        </w:rPr>
        <w:t>l</w:t>
      </w:r>
      <w:r w:rsidRPr="00EB3D68">
        <w:rPr>
          <w:rFonts w:ascii="Palatino Linotype" w:hAnsi="Palatino Linotype" w:cs="Tahoma"/>
          <w:sz w:val="22"/>
          <w:szCs w:val="22"/>
        </w:rPr>
        <w:t xml:space="preserve"> </w:t>
      </w:r>
      <w:bookmarkStart w:id="5" w:name="_Hlk192681629"/>
      <w:r w:rsidR="005A255E" w:rsidRPr="00EB3D68">
        <w:rPr>
          <w:rFonts w:ascii="Palatino Linotype" w:hAnsi="Palatino Linotype" w:cs="Tahoma"/>
          <w:bCs/>
          <w:sz w:val="22"/>
        </w:rPr>
        <w:t>o</w:t>
      </w:r>
      <w:r w:rsidRPr="00EB3D68">
        <w:rPr>
          <w:rFonts w:ascii="Palatino Linotype" w:hAnsi="Palatino Linotype" w:cs="Tahoma"/>
          <w:bCs/>
          <w:sz w:val="22"/>
        </w:rPr>
        <w:t xml:space="preserve">ficio número </w:t>
      </w:r>
      <w:r w:rsidR="005A255E" w:rsidRPr="00EB3D68">
        <w:rPr>
          <w:rFonts w:ascii="Palatino Linotype" w:hAnsi="Palatino Linotype" w:cs="Tahoma"/>
          <w:bCs/>
          <w:sz w:val="22"/>
        </w:rPr>
        <w:t>HAJ/</w:t>
      </w:r>
      <w:proofErr w:type="spellStart"/>
      <w:r w:rsidR="005A255E" w:rsidRPr="00EB3D68">
        <w:rPr>
          <w:rFonts w:ascii="Palatino Linotype" w:hAnsi="Palatino Linotype" w:cs="Tahoma"/>
          <w:bCs/>
          <w:sz w:val="22"/>
        </w:rPr>
        <w:t>DGDUEyMA</w:t>
      </w:r>
      <w:proofErr w:type="spellEnd"/>
      <w:r w:rsidR="005A255E" w:rsidRPr="00EB3D68">
        <w:rPr>
          <w:rFonts w:ascii="Palatino Linotype" w:hAnsi="Palatino Linotype" w:cs="Tahoma"/>
          <w:bCs/>
          <w:sz w:val="22"/>
        </w:rPr>
        <w:t>/052</w:t>
      </w:r>
      <w:r w:rsidRPr="00EB3D68">
        <w:rPr>
          <w:rFonts w:ascii="Palatino Linotype" w:hAnsi="Palatino Linotype" w:cs="Tahoma"/>
          <w:bCs/>
          <w:sz w:val="22"/>
        </w:rPr>
        <w:t xml:space="preserve">/2025, suscrito por </w:t>
      </w:r>
      <w:r w:rsidR="005A255E" w:rsidRPr="00EB3D68">
        <w:rPr>
          <w:rFonts w:ascii="Palatino Linotype" w:hAnsi="Palatino Linotype" w:cs="Tahoma"/>
          <w:bCs/>
          <w:sz w:val="22"/>
        </w:rPr>
        <w:t>e</w:t>
      </w:r>
      <w:r w:rsidRPr="00EB3D68">
        <w:rPr>
          <w:rFonts w:ascii="Palatino Linotype" w:hAnsi="Palatino Linotype" w:cs="Tahoma"/>
          <w:bCs/>
          <w:sz w:val="22"/>
        </w:rPr>
        <w:t xml:space="preserve">l </w:t>
      </w:r>
      <w:r w:rsidR="005A255E" w:rsidRPr="00EB3D68">
        <w:rPr>
          <w:rFonts w:ascii="Palatino Linotype" w:hAnsi="Palatino Linotype" w:cs="Tahoma"/>
          <w:bCs/>
          <w:sz w:val="22"/>
        </w:rPr>
        <w:t>Director General de Desarrollo Urbano, Ecología y Medio Ambiente</w:t>
      </w:r>
      <w:r w:rsidRPr="00EB3D68">
        <w:rPr>
          <w:rFonts w:ascii="Palatino Linotype" w:hAnsi="Palatino Linotype" w:cs="Tahoma"/>
          <w:bCs/>
          <w:sz w:val="22"/>
        </w:rPr>
        <w:t xml:space="preserve">, dirigido al </w:t>
      </w:r>
      <w:r w:rsidR="005A255E" w:rsidRPr="00EB3D68">
        <w:rPr>
          <w:rFonts w:ascii="Palatino Linotype" w:hAnsi="Palatino Linotype" w:cs="Tahoma"/>
          <w:bCs/>
          <w:sz w:val="22"/>
        </w:rPr>
        <w:t>Solicitante</w:t>
      </w:r>
      <w:r w:rsidRPr="00EB3D68">
        <w:rPr>
          <w:rFonts w:ascii="Palatino Linotype" w:hAnsi="Palatino Linotype" w:cs="Tahoma"/>
          <w:bCs/>
          <w:sz w:val="22"/>
        </w:rPr>
        <w:t>, por medio del cual manif</w:t>
      </w:r>
      <w:r w:rsidR="00B07847" w:rsidRPr="00EB3D68">
        <w:rPr>
          <w:rFonts w:ascii="Palatino Linotype" w:hAnsi="Palatino Linotype" w:cs="Tahoma"/>
          <w:bCs/>
          <w:sz w:val="22"/>
        </w:rPr>
        <w:t>estó</w:t>
      </w:r>
      <w:r w:rsidRPr="00EB3D68">
        <w:rPr>
          <w:rFonts w:ascii="Palatino Linotype" w:hAnsi="Palatino Linotype" w:cs="Tahoma"/>
          <w:bCs/>
          <w:sz w:val="22"/>
        </w:rPr>
        <w:t xml:space="preserve"> esencialmente lo siguiente:</w:t>
      </w:r>
    </w:p>
    <w:p w14:paraId="4E4DB525" w14:textId="77777777" w:rsidR="00F316EC" w:rsidRPr="00EB3D68" w:rsidRDefault="00F316EC" w:rsidP="00F316EC">
      <w:pPr>
        <w:autoSpaceDE w:val="0"/>
        <w:autoSpaceDN w:val="0"/>
        <w:adjustRightInd w:val="0"/>
        <w:spacing w:line="360" w:lineRule="auto"/>
        <w:contextualSpacing/>
        <w:jc w:val="both"/>
        <w:rPr>
          <w:rFonts w:ascii="Palatino Linotype" w:hAnsi="Palatino Linotype" w:cs="Tahoma"/>
          <w:bCs/>
          <w:sz w:val="22"/>
          <w:szCs w:val="22"/>
        </w:rPr>
      </w:pPr>
    </w:p>
    <w:p w14:paraId="28BC1BC2" w14:textId="77777777" w:rsidR="00232E27" w:rsidRPr="00EB3D68" w:rsidRDefault="00F316EC" w:rsidP="003330AE">
      <w:pPr>
        <w:autoSpaceDE w:val="0"/>
        <w:autoSpaceDN w:val="0"/>
        <w:adjustRightInd w:val="0"/>
        <w:spacing w:line="360" w:lineRule="auto"/>
        <w:ind w:left="567" w:right="567"/>
        <w:contextualSpacing/>
        <w:jc w:val="both"/>
        <w:rPr>
          <w:rFonts w:ascii="Palatino Linotype" w:hAnsi="Palatino Linotype" w:cs="Tahoma"/>
          <w:i/>
        </w:rPr>
      </w:pPr>
      <w:r w:rsidRPr="00EB3D68">
        <w:rPr>
          <w:rFonts w:ascii="Palatino Linotype" w:hAnsi="Palatino Linotype" w:cs="Tahoma"/>
          <w:i/>
        </w:rPr>
        <w:t>“…</w:t>
      </w:r>
    </w:p>
    <w:p w14:paraId="2BED2FDA" w14:textId="77777777" w:rsidR="00232E27" w:rsidRPr="00EB3D68" w:rsidRDefault="005A255E" w:rsidP="00232E27">
      <w:pPr>
        <w:autoSpaceDE w:val="0"/>
        <w:autoSpaceDN w:val="0"/>
        <w:adjustRightInd w:val="0"/>
        <w:spacing w:line="360" w:lineRule="auto"/>
        <w:ind w:left="567" w:right="567"/>
        <w:contextualSpacing/>
        <w:jc w:val="both"/>
        <w:rPr>
          <w:rFonts w:ascii="Palatino Linotype" w:hAnsi="Palatino Linotype" w:cs="Tahoma"/>
          <w:i/>
        </w:rPr>
      </w:pPr>
      <w:r w:rsidRPr="00EB3D68">
        <w:rPr>
          <w:rFonts w:ascii="Palatino Linotype" w:hAnsi="Palatino Linotype" w:cs="Tahoma"/>
          <w:i/>
        </w:rPr>
        <w:t xml:space="preserve">En este sentido, me permito informarle que </w:t>
      </w:r>
      <w:r w:rsidRPr="00EB3D68">
        <w:rPr>
          <w:rFonts w:ascii="Palatino Linotype" w:hAnsi="Palatino Linotype" w:cs="Tahoma"/>
          <w:b/>
          <w:i/>
        </w:rPr>
        <w:t>a la fecha se cuentan 92 trámites, de los cuales 82 están en trámite y 10 concluidos</w:t>
      </w:r>
      <w:r w:rsidR="003330AE" w:rsidRPr="00EB3D68">
        <w:rPr>
          <w:rFonts w:ascii="Palatino Linotype" w:hAnsi="Palatino Linotype" w:cs="Tahoma"/>
          <w:b/>
          <w:i/>
        </w:rPr>
        <w:t>. En cuanto al nombre de las personas que los han presentado, hacemos de su conocimiento que el nombre es un dato personal, considerado confidencial</w:t>
      </w:r>
      <w:r w:rsidR="003330AE" w:rsidRPr="00EB3D68">
        <w:rPr>
          <w:rFonts w:ascii="Palatino Linotype" w:hAnsi="Palatino Linotype" w:cs="Tahoma"/>
          <w:i/>
        </w:rPr>
        <w:t>, pues se trata de un atributo de la personalidad que individualiza a la persona y, por lo tanto, identifica a sus respectivos titulares; lo cual, impide entregar a usted los nombres requeridos</w:t>
      </w:r>
    </w:p>
    <w:p w14:paraId="6D5CB44A" w14:textId="4AB8BB10" w:rsidR="00F316EC" w:rsidRPr="00EB3D68" w:rsidRDefault="00F316EC" w:rsidP="00232E27">
      <w:pPr>
        <w:autoSpaceDE w:val="0"/>
        <w:autoSpaceDN w:val="0"/>
        <w:adjustRightInd w:val="0"/>
        <w:spacing w:line="360" w:lineRule="auto"/>
        <w:ind w:left="567" w:right="567"/>
        <w:contextualSpacing/>
        <w:jc w:val="both"/>
        <w:rPr>
          <w:rFonts w:ascii="Palatino Linotype" w:hAnsi="Palatino Linotype" w:cs="Tahoma"/>
          <w:i/>
        </w:rPr>
      </w:pPr>
      <w:r w:rsidRPr="00EB3D68">
        <w:rPr>
          <w:rFonts w:ascii="Palatino Linotype" w:hAnsi="Palatino Linotype" w:cs="Tahoma"/>
          <w:i/>
        </w:rPr>
        <w:t>…”</w:t>
      </w:r>
      <w:bookmarkEnd w:id="5"/>
    </w:p>
    <w:p w14:paraId="187D7E3C" w14:textId="77777777" w:rsidR="00F316EC" w:rsidRPr="00EB3D68" w:rsidRDefault="00F316EC" w:rsidP="00F316EC">
      <w:pPr>
        <w:autoSpaceDE w:val="0"/>
        <w:autoSpaceDN w:val="0"/>
        <w:adjustRightInd w:val="0"/>
        <w:spacing w:line="360" w:lineRule="auto"/>
        <w:ind w:right="567"/>
        <w:contextualSpacing/>
        <w:jc w:val="both"/>
        <w:rPr>
          <w:rFonts w:ascii="Palatino Linotype" w:hAnsi="Palatino Linotype" w:cs="Tahoma"/>
          <w:iCs/>
        </w:rPr>
      </w:pPr>
    </w:p>
    <w:p w14:paraId="307DA9D4" w14:textId="77777777" w:rsidR="00F316EC" w:rsidRPr="00EB3D68" w:rsidRDefault="00F316EC" w:rsidP="00F316EC">
      <w:pPr>
        <w:pStyle w:val="Ttulo2"/>
        <w:spacing w:before="0" w:after="0" w:line="360" w:lineRule="auto"/>
        <w:contextualSpacing/>
        <w:rPr>
          <w:rFonts w:ascii="Palatino Linotype" w:hAnsi="Palatino Linotype"/>
          <w:b/>
          <w:bCs/>
          <w:sz w:val="22"/>
          <w:szCs w:val="22"/>
        </w:rPr>
      </w:pPr>
      <w:bookmarkStart w:id="6" w:name="_Toc190350682"/>
      <w:r w:rsidRPr="00EB3D68">
        <w:rPr>
          <w:rFonts w:ascii="Palatino Linotype" w:hAnsi="Palatino Linotype"/>
          <w:b/>
          <w:bCs/>
          <w:color w:val="auto"/>
          <w:sz w:val="22"/>
          <w:szCs w:val="22"/>
        </w:rPr>
        <w:t>III. Interposición del Recurso de Revisión</w:t>
      </w:r>
      <w:bookmarkEnd w:id="6"/>
    </w:p>
    <w:p w14:paraId="5FE8EDD3" w14:textId="77777777" w:rsidR="00F316EC" w:rsidRPr="00EB3D68" w:rsidRDefault="00F316EC" w:rsidP="00F316EC">
      <w:pPr>
        <w:autoSpaceDE w:val="0"/>
        <w:autoSpaceDN w:val="0"/>
        <w:adjustRightInd w:val="0"/>
        <w:spacing w:line="360" w:lineRule="auto"/>
        <w:ind w:right="-28"/>
        <w:contextualSpacing/>
        <w:jc w:val="both"/>
        <w:rPr>
          <w:rFonts w:ascii="Palatino Linotype" w:hAnsi="Palatino Linotype" w:cs="Tahoma"/>
          <w:sz w:val="22"/>
          <w:szCs w:val="22"/>
        </w:rPr>
      </w:pPr>
    </w:p>
    <w:p w14:paraId="05F8A042" w14:textId="2BEE4316" w:rsidR="00F316EC" w:rsidRPr="00EB3D68" w:rsidRDefault="00F316EC" w:rsidP="00F316EC">
      <w:pPr>
        <w:spacing w:line="360" w:lineRule="auto"/>
        <w:contextualSpacing/>
        <w:jc w:val="both"/>
        <w:rPr>
          <w:rFonts w:ascii="Palatino Linotype" w:hAnsi="Palatino Linotype" w:cs="Tahoma"/>
          <w:bCs/>
          <w:sz w:val="22"/>
          <w:szCs w:val="22"/>
          <w:lang w:val="es-ES"/>
        </w:rPr>
      </w:pPr>
      <w:r w:rsidRPr="00EB3D68">
        <w:rPr>
          <w:rFonts w:ascii="Palatino Linotype" w:hAnsi="Palatino Linotype" w:cs="Tahoma"/>
          <w:bCs/>
          <w:sz w:val="22"/>
          <w:szCs w:val="22"/>
          <w:lang w:val="es-ES"/>
        </w:rPr>
        <w:t>Con fecha veinti</w:t>
      </w:r>
      <w:r w:rsidR="003330AE" w:rsidRPr="00EB3D68">
        <w:rPr>
          <w:rFonts w:ascii="Palatino Linotype" w:hAnsi="Palatino Linotype" w:cs="Tahoma"/>
          <w:bCs/>
          <w:sz w:val="22"/>
          <w:szCs w:val="22"/>
          <w:lang w:val="es-ES"/>
        </w:rPr>
        <w:t>cuatro</w:t>
      </w:r>
      <w:r w:rsidRPr="00EB3D68">
        <w:rPr>
          <w:rFonts w:ascii="Palatino Linotype" w:hAnsi="Palatino Linotype" w:cs="Tahoma"/>
          <w:bCs/>
          <w:sz w:val="22"/>
          <w:szCs w:val="22"/>
          <w:lang w:val="es-ES"/>
        </w:rPr>
        <w:t xml:space="preserve"> de febrero de dos mil veinticinco, </w:t>
      </w:r>
      <w:r w:rsidRPr="00EB3D68">
        <w:rPr>
          <w:rFonts w:ascii="Palatino Linotype" w:hAnsi="Palatino Linotype" w:cs="Tahoma"/>
          <w:bCs/>
          <w:sz w:val="22"/>
          <w:szCs w:val="22"/>
        </w:rPr>
        <w:t xml:space="preserve">se recibió en este Instituto, a través del </w:t>
      </w:r>
      <w:r w:rsidR="00B07847" w:rsidRPr="00EB3D68">
        <w:rPr>
          <w:rFonts w:ascii="Palatino Linotype" w:hAnsi="Palatino Linotype" w:cs="Tahoma"/>
          <w:bCs/>
          <w:sz w:val="22"/>
          <w:szCs w:val="22"/>
          <w:lang w:val="es-ES"/>
        </w:rPr>
        <w:t>SAIMEX</w:t>
      </w:r>
      <w:r w:rsidRPr="00EB3D68">
        <w:rPr>
          <w:rFonts w:ascii="Palatino Linotype" w:hAnsi="Palatino Linotype" w:cs="Tahoma"/>
          <w:bCs/>
          <w:sz w:val="22"/>
          <w:szCs w:val="22"/>
        </w:rPr>
        <w:t>, el Recurso de Revisión interpuesto por la parte Recurrente, en contra de la respuesta del Sujeto Obligado</w:t>
      </w:r>
      <w:r w:rsidRPr="00EB3D68">
        <w:rPr>
          <w:rFonts w:ascii="Palatino Linotype" w:hAnsi="Palatino Linotype" w:cs="Tahoma"/>
          <w:b/>
          <w:sz w:val="22"/>
          <w:szCs w:val="22"/>
        </w:rPr>
        <w:t>,</w:t>
      </w:r>
      <w:r w:rsidR="003330AE" w:rsidRPr="00EB3D68">
        <w:rPr>
          <w:rFonts w:ascii="Palatino Linotype" w:hAnsi="Palatino Linotype" w:cs="Tahoma"/>
          <w:b/>
          <w:sz w:val="22"/>
          <w:szCs w:val="22"/>
        </w:rPr>
        <w:t xml:space="preserve"> ya que si bien, se interpuso el veintitrés de dicho mes y año, lo cierto es que fue inhábil, por lo que se tuvo por presentado el día hábil subsecuente,</w:t>
      </w:r>
      <w:r w:rsidRPr="00EB3D68">
        <w:rPr>
          <w:rFonts w:ascii="Palatino Linotype" w:hAnsi="Palatino Linotype"/>
          <w:b/>
          <w:color w:val="000000"/>
          <w:sz w:val="22"/>
          <w:szCs w:val="22"/>
        </w:rPr>
        <w:t xml:space="preserve"> </w:t>
      </w:r>
      <w:r w:rsidRPr="00EB3D68">
        <w:rPr>
          <w:rFonts w:ascii="Palatino Linotype" w:hAnsi="Palatino Linotype" w:cs="Tahoma"/>
          <w:bCs/>
          <w:sz w:val="22"/>
          <w:szCs w:val="22"/>
        </w:rPr>
        <w:t>en los siguientes términos:</w:t>
      </w:r>
    </w:p>
    <w:p w14:paraId="2E28A6F8" w14:textId="77777777" w:rsidR="00F316EC" w:rsidRPr="00EB3D68" w:rsidRDefault="00F316EC" w:rsidP="00F316EC">
      <w:pPr>
        <w:autoSpaceDE w:val="0"/>
        <w:autoSpaceDN w:val="0"/>
        <w:adjustRightInd w:val="0"/>
        <w:spacing w:line="360" w:lineRule="auto"/>
        <w:ind w:right="-28"/>
        <w:contextualSpacing/>
        <w:jc w:val="both"/>
        <w:rPr>
          <w:rFonts w:ascii="Palatino Linotype" w:hAnsi="Palatino Linotype" w:cs="Tahoma"/>
          <w:i/>
          <w:iCs/>
          <w:lang w:val="es-ES"/>
        </w:rPr>
      </w:pPr>
    </w:p>
    <w:p w14:paraId="689A4B43" w14:textId="77777777" w:rsidR="00F316EC" w:rsidRPr="00EB3D68" w:rsidRDefault="00F316EC" w:rsidP="00F316EC">
      <w:pPr>
        <w:tabs>
          <w:tab w:val="left" w:pos="4667"/>
        </w:tabs>
        <w:spacing w:line="360" w:lineRule="auto"/>
        <w:ind w:left="567" w:right="567"/>
        <w:contextualSpacing/>
        <w:jc w:val="both"/>
        <w:rPr>
          <w:rFonts w:ascii="Palatino Linotype" w:hAnsi="Palatino Linotype" w:cs="Tahoma"/>
          <w:b/>
          <w:bCs/>
          <w:i/>
          <w:iCs/>
        </w:rPr>
      </w:pPr>
      <w:r w:rsidRPr="00EB3D68">
        <w:rPr>
          <w:rFonts w:ascii="Palatino Linotype" w:hAnsi="Palatino Linotype" w:cs="Tahoma"/>
          <w:b/>
          <w:bCs/>
          <w:i/>
          <w:iCs/>
        </w:rPr>
        <w:t>“ACTO IMPUGNADO</w:t>
      </w:r>
    </w:p>
    <w:p w14:paraId="5B528441" w14:textId="3BD39BCF" w:rsidR="00F316EC" w:rsidRPr="00EB3D68" w:rsidRDefault="003330AE" w:rsidP="00F316EC">
      <w:pPr>
        <w:spacing w:line="360" w:lineRule="auto"/>
        <w:ind w:left="567" w:right="567"/>
        <w:contextualSpacing/>
        <w:jc w:val="both"/>
        <w:rPr>
          <w:rFonts w:ascii="Palatino Linotype" w:hAnsi="Palatino Linotype" w:cs="Tahoma"/>
          <w:bCs/>
          <w:i/>
          <w:iCs/>
        </w:rPr>
      </w:pPr>
      <w:r w:rsidRPr="00EB3D68">
        <w:rPr>
          <w:rFonts w:ascii="Palatino Linotype" w:hAnsi="Palatino Linotype"/>
          <w:i/>
          <w:color w:val="000000"/>
        </w:rPr>
        <w:t xml:space="preserve">Se puede proporcionar un listado de las personas en versión </w:t>
      </w:r>
      <w:proofErr w:type="gramStart"/>
      <w:r w:rsidRPr="00EB3D68">
        <w:rPr>
          <w:rFonts w:ascii="Palatino Linotype" w:hAnsi="Palatino Linotype"/>
          <w:i/>
          <w:color w:val="000000"/>
        </w:rPr>
        <w:t>publica ,</w:t>
      </w:r>
      <w:proofErr w:type="gramEnd"/>
      <w:r w:rsidRPr="00EB3D68">
        <w:rPr>
          <w:rFonts w:ascii="Palatino Linotype" w:hAnsi="Palatino Linotype"/>
          <w:i/>
          <w:color w:val="000000"/>
        </w:rPr>
        <w:t xml:space="preserve"> de forma general protegiendo datos personales como lo asienta la ley de transparencia y Acceso a la información pública del estado de México y Municipios así como la ley de datos personales , por lo cual el listado puede llevar </w:t>
      </w:r>
      <w:r w:rsidRPr="00EB3D68">
        <w:rPr>
          <w:rFonts w:ascii="Palatino Linotype" w:hAnsi="Palatino Linotype"/>
          <w:i/>
          <w:color w:val="000000"/>
        </w:rPr>
        <w:lastRenderedPageBreak/>
        <w:t>nombres ( iniciales) domicilio ( localidad) fecha de ingreso, trámite que se solicita. Favor de enviarlo de esa forma</w:t>
      </w:r>
      <w:proofErr w:type="gramStart"/>
      <w:r w:rsidRPr="00EB3D68">
        <w:rPr>
          <w:rFonts w:ascii="Palatino Linotype" w:hAnsi="Palatino Linotype"/>
          <w:i/>
          <w:color w:val="000000"/>
        </w:rPr>
        <w:t>.</w:t>
      </w:r>
      <w:r w:rsidR="00F316EC" w:rsidRPr="00EB3D68">
        <w:rPr>
          <w:rFonts w:ascii="Palatino Linotype" w:hAnsi="Palatino Linotype"/>
          <w:i/>
          <w:color w:val="000000"/>
        </w:rPr>
        <w:t>.</w:t>
      </w:r>
      <w:r w:rsidR="00F316EC" w:rsidRPr="00EB3D68">
        <w:rPr>
          <w:rFonts w:ascii="Palatino Linotype" w:hAnsi="Palatino Linotype" w:cs="Tahoma"/>
          <w:bCs/>
          <w:i/>
          <w:iCs/>
        </w:rPr>
        <w:t>”</w:t>
      </w:r>
      <w:proofErr w:type="gramEnd"/>
      <w:r w:rsidR="00F316EC" w:rsidRPr="00EB3D68">
        <w:rPr>
          <w:rFonts w:ascii="Palatino Linotype" w:hAnsi="Palatino Linotype" w:cs="Tahoma"/>
          <w:bCs/>
          <w:i/>
          <w:iCs/>
        </w:rPr>
        <w:t xml:space="preserve"> (Sic)</w:t>
      </w:r>
    </w:p>
    <w:p w14:paraId="07A8AB3A" w14:textId="77777777" w:rsidR="00F316EC" w:rsidRPr="00EB3D68" w:rsidRDefault="00F316EC" w:rsidP="00F316EC">
      <w:pPr>
        <w:tabs>
          <w:tab w:val="left" w:pos="4667"/>
        </w:tabs>
        <w:spacing w:line="360" w:lineRule="auto"/>
        <w:ind w:left="567" w:right="567"/>
        <w:contextualSpacing/>
        <w:jc w:val="both"/>
        <w:rPr>
          <w:rFonts w:ascii="Palatino Linotype" w:hAnsi="Palatino Linotype" w:cs="Tahoma"/>
          <w:bCs/>
          <w:i/>
          <w:iCs/>
        </w:rPr>
      </w:pPr>
    </w:p>
    <w:p w14:paraId="6CBD92FB" w14:textId="77777777" w:rsidR="00F316EC" w:rsidRPr="00EB3D68" w:rsidRDefault="00F316EC" w:rsidP="00F316EC">
      <w:pPr>
        <w:tabs>
          <w:tab w:val="left" w:pos="4667"/>
        </w:tabs>
        <w:spacing w:line="360" w:lineRule="auto"/>
        <w:ind w:left="567" w:right="567"/>
        <w:contextualSpacing/>
        <w:jc w:val="both"/>
        <w:rPr>
          <w:rFonts w:ascii="Palatino Linotype" w:hAnsi="Palatino Linotype" w:cs="Tahoma"/>
          <w:b/>
          <w:bCs/>
          <w:i/>
          <w:iCs/>
        </w:rPr>
      </w:pPr>
      <w:r w:rsidRPr="00EB3D68">
        <w:rPr>
          <w:rFonts w:ascii="Palatino Linotype" w:hAnsi="Palatino Linotype" w:cs="Tahoma"/>
          <w:b/>
          <w:bCs/>
          <w:i/>
          <w:iCs/>
        </w:rPr>
        <w:t>“RAZONES O MOTIVOS DE LA INCONFORMIDAD</w:t>
      </w:r>
    </w:p>
    <w:p w14:paraId="3EDC6746" w14:textId="400D1BC2" w:rsidR="00F316EC" w:rsidRPr="00EB3D68" w:rsidRDefault="003201A9" w:rsidP="00F316EC">
      <w:pPr>
        <w:spacing w:line="360" w:lineRule="auto"/>
        <w:ind w:left="567" w:right="567"/>
        <w:contextualSpacing/>
        <w:jc w:val="both"/>
        <w:rPr>
          <w:rFonts w:ascii="Palatino Linotype" w:hAnsi="Palatino Linotype" w:cs="Tahoma"/>
          <w:i/>
          <w:iCs/>
        </w:rPr>
      </w:pPr>
      <w:r w:rsidRPr="00EB3D68">
        <w:rPr>
          <w:rFonts w:ascii="Palatino Linotype" w:hAnsi="Palatino Linotype"/>
          <w:i/>
          <w:color w:val="000000"/>
        </w:rPr>
        <w:t>Es posible enviarlo de forma general sin revelar datos personales</w:t>
      </w:r>
      <w:r w:rsidR="00F316EC" w:rsidRPr="00EB3D68">
        <w:rPr>
          <w:rFonts w:ascii="Palatino Linotype" w:hAnsi="Palatino Linotype"/>
          <w:i/>
          <w:color w:val="000000"/>
        </w:rPr>
        <w:t>.</w:t>
      </w:r>
      <w:r w:rsidR="00F316EC" w:rsidRPr="00EB3D68">
        <w:rPr>
          <w:rFonts w:ascii="Palatino Linotype" w:hAnsi="Palatino Linotype" w:cs="Tahoma"/>
          <w:i/>
          <w:iCs/>
        </w:rPr>
        <w:t xml:space="preserve">” </w:t>
      </w:r>
      <w:r w:rsidR="00F316EC" w:rsidRPr="00EB3D68">
        <w:rPr>
          <w:rFonts w:ascii="Palatino Linotype" w:hAnsi="Palatino Linotype"/>
          <w:i/>
          <w:color w:val="000000"/>
        </w:rPr>
        <w:t>(Sic)</w:t>
      </w:r>
    </w:p>
    <w:p w14:paraId="2872B71B" w14:textId="77777777" w:rsidR="00F316EC" w:rsidRPr="00EB3D68" w:rsidRDefault="00F316EC" w:rsidP="00F316EC">
      <w:pPr>
        <w:spacing w:line="360" w:lineRule="auto"/>
        <w:ind w:right="-28"/>
        <w:contextualSpacing/>
        <w:jc w:val="both"/>
        <w:rPr>
          <w:rFonts w:ascii="Palatino Linotype" w:hAnsi="Palatino Linotype" w:cs="Tahoma"/>
          <w:b/>
          <w:sz w:val="22"/>
          <w:szCs w:val="22"/>
        </w:rPr>
      </w:pPr>
    </w:p>
    <w:p w14:paraId="53E75602" w14:textId="77777777" w:rsidR="00F316EC" w:rsidRPr="00EB3D68" w:rsidRDefault="00F316EC" w:rsidP="00F316EC">
      <w:pPr>
        <w:pStyle w:val="Ttulo2"/>
        <w:spacing w:before="0" w:after="0" w:line="360" w:lineRule="auto"/>
        <w:contextualSpacing/>
        <w:rPr>
          <w:rFonts w:ascii="Palatino Linotype" w:eastAsia="Batang" w:hAnsi="Palatino Linotype"/>
          <w:b/>
          <w:bCs/>
          <w:color w:val="auto"/>
          <w:sz w:val="22"/>
          <w:szCs w:val="22"/>
        </w:rPr>
      </w:pPr>
      <w:bookmarkStart w:id="7" w:name="_Toc190350683"/>
      <w:r w:rsidRPr="00EB3D68">
        <w:rPr>
          <w:rFonts w:ascii="Palatino Linotype" w:hAnsi="Palatino Linotype"/>
          <w:b/>
          <w:bCs/>
          <w:color w:val="auto"/>
          <w:sz w:val="22"/>
          <w:szCs w:val="22"/>
        </w:rPr>
        <w:t xml:space="preserve">IV. </w:t>
      </w:r>
      <w:r w:rsidRPr="00EB3D68">
        <w:rPr>
          <w:rFonts w:ascii="Palatino Linotype" w:eastAsia="Batang" w:hAnsi="Palatino Linotype"/>
          <w:b/>
          <w:bCs/>
          <w:color w:val="auto"/>
          <w:sz w:val="22"/>
          <w:szCs w:val="22"/>
        </w:rPr>
        <w:t xml:space="preserve">Trámite del </w:t>
      </w:r>
      <w:r w:rsidRPr="00EB3D68">
        <w:rPr>
          <w:rFonts w:ascii="Palatino Linotype" w:hAnsi="Palatino Linotype"/>
          <w:b/>
          <w:bCs/>
          <w:color w:val="auto"/>
          <w:sz w:val="22"/>
          <w:szCs w:val="22"/>
        </w:rPr>
        <w:t xml:space="preserve">Recurso de Revisión </w:t>
      </w:r>
      <w:r w:rsidRPr="00EB3D68">
        <w:rPr>
          <w:rFonts w:ascii="Palatino Linotype" w:eastAsia="Batang" w:hAnsi="Palatino Linotype"/>
          <w:b/>
          <w:bCs/>
          <w:color w:val="auto"/>
          <w:sz w:val="22"/>
          <w:szCs w:val="22"/>
        </w:rPr>
        <w:t>ante el Instituto</w:t>
      </w:r>
      <w:bookmarkEnd w:id="7"/>
    </w:p>
    <w:p w14:paraId="6CDB6457" w14:textId="77777777" w:rsidR="00F316EC" w:rsidRPr="00EB3D68" w:rsidRDefault="00F316EC" w:rsidP="00F316EC">
      <w:pPr>
        <w:spacing w:line="360" w:lineRule="auto"/>
        <w:ind w:right="-28"/>
        <w:contextualSpacing/>
        <w:jc w:val="both"/>
        <w:rPr>
          <w:rFonts w:ascii="Palatino Linotype" w:eastAsia="Batang" w:hAnsi="Palatino Linotype" w:cs="Tahoma"/>
          <w:b/>
          <w:bCs/>
          <w:sz w:val="22"/>
          <w:szCs w:val="22"/>
        </w:rPr>
      </w:pPr>
    </w:p>
    <w:p w14:paraId="37A540BD" w14:textId="33C7BA74" w:rsidR="00F316EC" w:rsidRPr="00EB3D68" w:rsidRDefault="00F316EC" w:rsidP="00F316EC">
      <w:pPr>
        <w:spacing w:line="360" w:lineRule="auto"/>
        <w:ind w:right="-28"/>
        <w:contextualSpacing/>
        <w:jc w:val="both"/>
        <w:rPr>
          <w:rFonts w:ascii="Palatino Linotype" w:eastAsia="Calibri" w:hAnsi="Palatino Linotype" w:cs="Tahoma"/>
          <w:bCs/>
          <w:sz w:val="22"/>
          <w:szCs w:val="22"/>
          <w:lang w:eastAsia="en-US"/>
        </w:rPr>
      </w:pPr>
      <w:r w:rsidRPr="00EB3D68">
        <w:rPr>
          <w:rFonts w:ascii="Palatino Linotype" w:eastAsia="Batang" w:hAnsi="Palatino Linotype" w:cs="Tahoma"/>
          <w:b/>
          <w:bCs/>
          <w:sz w:val="22"/>
          <w:szCs w:val="22"/>
        </w:rPr>
        <w:t xml:space="preserve">a) Turno del </w:t>
      </w:r>
      <w:r w:rsidRPr="00EB3D68">
        <w:rPr>
          <w:rFonts w:ascii="Palatino Linotype" w:hAnsi="Palatino Linotype" w:cs="Tahoma"/>
          <w:b/>
          <w:sz w:val="22"/>
          <w:szCs w:val="22"/>
        </w:rPr>
        <w:t>Recurso de Revisión</w:t>
      </w:r>
      <w:r w:rsidRPr="00EB3D68">
        <w:rPr>
          <w:rFonts w:ascii="Palatino Linotype" w:eastAsia="Batang" w:hAnsi="Palatino Linotype" w:cs="Tahoma"/>
          <w:b/>
          <w:bCs/>
          <w:sz w:val="22"/>
          <w:szCs w:val="22"/>
        </w:rPr>
        <w:t xml:space="preserve">. </w:t>
      </w:r>
      <w:r w:rsidRPr="00EB3D68">
        <w:rPr>
          <w:rFonts w:ascii="Palatino Linotype" w:eastAsia="Batang" w:hAnsi="Palatino Linotype" w:cs="Tahoma"/>
          <w:bCs/>
          <w:sz w:val="22"/>
          <w:szCs w:val="22"/>
        </w:rPr>
        <w:t>El veinti</w:t>
      </w:r>
      <w:r w:rsidR="003330AE" w:rsidRPr="00EB3D68">
        <w:rPr>
          <w:rFonts w:ascii="Palatino Linotype" w:eastAsia="Batang" w:hAnsi="Palatino Linotype" w:cs="Tahoma"/>
          <w:bCs/>
          <w:sz w:val="22"/>
          <w:szCs w:val="22"/>
        </w:rPr>
        <w:t>trés</w:t>
      </w:r>
      <w:r w:rsidRPr="00EB3D68">
        <w:rPr>
          <w:rFonts w:ascii="Palatino Linotype" w:eastAsia="Batang" w:hAnsi="Palatino Linotype" w:cs="Tahoma"/>
          <w:bCs/>
          <w:sz w:val="22"/>
          <w:szCs w:val="22"/>
        </w:rPr>
        <w:t xml:space="preserve"> de febrero </w:t>
      </w:r>
      <w:r w:rsidRPr="00EB3D68">
        <w:rPr>
          <w:rFonts w:ascii="Palatino Linotype" w:hAnsi="Palatino Linotype" w:cs="Tahoma"/>
          <w:sz w:val="22"/>
          <w:szCs w:val="22"/>
        </w:rPr>
        <w:t>de dos mil veinticinco</w:t>
      </w:r>
      <w:r w:rsidRPr="00EB3D68">
        <w:rPr>
          <w:rFonts w:ascii="Palatino Linotype" w:eastAsia="Batang" w:hAnsi="Palatino Linotype" w:cs="Tahoma"/>
          <w:bCs/>
          <w:sz w:val="22"/>
          <w:szCs w:val="22"/>
        </w:rPr>
        <w:t xml:space="preserve">, </w:t>
      </w:r>
      <w:r w:rsidRPr="00EB3D68">
        <w:rPr>
          <w:rFonts w:ascii="Palatino Linotype" w:eastAsia="Calibri" w:hAnsi="Palatino Linotype" w:cs="Tahoma"/>
          <w:bCs/>
          <w:sz w:val="22"/>
          <w:szCs w:val="22"/>
          <w:lang w:eastAsia="en-US"/>
        </w:rPr>
        <w:t xml:space="preserve">el </w:t>
      </w:r>
      <w:r w:rsidR="00B07847" w:rsidRPr="00EB3D68">
        <w:rPr>
          <w:rFonts w:ascii="Palatino Linotype" w:eastAsia="Calibri" w:hAnsi="Palatino Linotype" w:cs="Tahoma"/>
          <w:bCs/>
          <w:sz w:val="22"/>
          <w:szCs w:val="22"/>
          <w:lang w:eastAsia="en-US"/>
        </w:rPr>
        <w:t>SAIMEX</w:t>
      </w:r>
      <w:r w:rsidRPr="00EB3D68">
        <w:rPr>
          <w:rFonts w:ascii="Palatino Linotype" w:eastAsia="Calibri" w:hAnsi="Palatino Linotype" w:cs="Tahoma"/>
          <w:bCs/>
          <w:sz w:val="22"/>
          <w:szCs w:val="22"/>
          <w:lang w:eastAsia="en-US"/>
        </w:rPr>
        <w:t xml:space="preserve">, asignó el número de expediente </w:t>
      </w:r>
      <w:r w:rsidRPr="00EB3D68">
        <w:rPr>
          <w:rFonts w:ascii="Palatino Linotype" w:eastAsia="Calibri" w:hAnsi="Palatino Linotype" w:cs="Tahoma"/>
          <w:b/>
          <w:bCs/>
          <w:sz w:val="22"/>
          <w:szCs w:val="22"/>
          <w:lang w:eastAsia="en-US"/>
        </w:rPr>
        <w:t>0</w:t>
      </w:r>
      <w:r w:rsidR="003330AE" w:rsidRPr="00EB3D68">
        <w:rPr>
          <w:rFonts w:ascii="Palatino Linotype" w:eastAsia="Calibri" w:hAnsi="Palatino Linotype" w:cs="Tahoma"/>
          <w:b/>
          <w:bCs/>
          <w:sz w:val="22"/>
          <w:szCs w:val="22"/>
          <w:lang w:eastAsia="en-US"/>
        </w:rPr>
        <w:t>1866</w:t>
      </w:r>
      <w:r w:rsidRPr="00EB3D68">
        <w:rPr>
          <w:rFonts w:ascii="Palatino Linotype" w:eastAsia="Calibri" w:hAnsi="Palatino Linotype" w:cs="Tahoma"/>
          <w:b/>
          <w:bCs/>
          <w:sz w:val="22"/>
          <w:szCs w:val="22"/>
          <w:lang w:eastAsia="en-US"/>
        </w:rPr>
        <w:t xml:space="preserve">/INFOEM/IP/RR/2025, </w:t>
      </w:r>
      <w:r w:rsidRPr="00EB3D68">
        <w:rPr>
          <w:rFonts w:ascii="Palatino Linotype" w:eastAsia="Calibri" w:hAnsi="Palatino Linotype" w:cs="Tahoma"/>
          <w:bCs/>
          <w:sz w:val="22"/>
          <w:szCs w:val="22"/>
          <w:lang w:eastAsia="en-US"/>
        </w:rPr>
        <w:t xml:space="preserve">al Recurso de Revisión y lo turnó al Comisionado Ponente </w:t>
      </w:r>
      <w:r w:rsidRPr="00EB3D68">
        <w:rPr>
          <w:rFonts w:ascii="Palatino Linotype" w:eastAsia="Calibri" w:hAnsi="Palatino Linotype" w:cs="Tahoma"/>
          <w:b/>
          <w:bCs/>
          <w:sz w:val="22"/>
          <w:szCs w:val="22"/>
          <w:lang w:eastAsia="en-US"/>
        </w:rPr>
        <w:t>Luis Gustavo Parra Noriega</w:t>
      </w:r>
      <w:r w:rsidRPr="00EB3D68">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59B15220" w14:textId="77777777" w:rsidR="00F316EC" w:rsidRPr="00EB3D68" w:rsidRDefault="00F316EC" w:rsidP="00F316EC">
      <w:pPr>
        <w:spacing w:line="360" w:lineRule="auto"/>
        <w:ind w:right="-28"/>
        <w:contextualSpacing/>
        <w:jc w:val="both"/>
        <w:rPr>
          <w:rFonts w:ascii="Palatino Linotype" w:eastAsia="Calibri" w:hAnsi="Palatino Linotype" w:cs="Tahoma"/>
          <w:bCs/>
          <w:sz w:val="22"/>
          <w:szCs w:val="22"/>
          <w:lang w:eastAsia="en-US"/>
        </w:rPr>
      </w:pPr>
    </w:p>
    <w:p w14:paraId="02A869B3" w14:textId="1048CEE2"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eastAsia="Batang" w:hAnsi="Palatino Linotype" w:cs="Tahoma"/>
          <w:b/>
          <w:bCs/>
          <w:sz w:val="22"/>
          <w:szCs w:val="22"/>
        </w:rPr>
        <w:t xml:space="preserve">b) Admisión del </w:t>
      </w:r>
      <w:r w:rsidRPr="00EB3D68">
        <w:rPr>
          <w:rFonts w:ascii="Palatino Linotype" w:hAnsi="Palatino Linotype" w:cs="Tahoma"/>
          <w:b/>
          <w:sz w:val="22"/>
          <w:szCs w:val="22"/>
        </w:rPr>
        <w:t>Recurso de Revisión</w:t>
      </w:r>
      <w:r w:rsidRPr="00EB3D68">
        <w:rPr>
          <w:rFonts w:ascii="Palatino Linotype" w:eastAsia="Batang" w:hAnsi="Palatino Linotype" w:cs="Tahoma"/>
          <w:b/>
          <w:bCs/>
          <w:sz w:val="22"/>
          <w:szCs w:val="22"/>
          <w:lang w:val="es-ES_tradnl"/>
        </w:rPr>
        <w:t xml:space="preserve">. </w:t>
      </w:r>
      <w:r w:rsidRPr="00EB3D68">
        <w:rPr>
          <w:rFonts w:ascii="Palatino Linotype" w:eastAsia="Batang" w:hAnsi="Palatino Linotype" w:cs="Tahoma"/>
          <w:bCs/>
          <w:sz w:val="22"/>
          <w:szCs w:val="22"/>
          <w:lang w:val="es-ES_tradnl"/>
        </w:rPr>
        <w:t xml:space="preserve">El </w:t>
      </w:r>
      <w:r w:rsidR="003330AE" w:rsidRPr="00EB3D68">
        <w:rPr>
          <w:rFonts w:ascii="Palatino Linotype" w:eastAsia="Batang" w:hAnsi="Palatino Linotype" w:cs="Tahoma"/>
          <w:bCs/>
          <w:sz w:val="22"/>
          <w:szCs w:val="22"/>
          <w:lang w:val="es-ES_tradnl"/>
        </w:rPr>
        <w:t xml:space="preserve">veintisiete de febrero </w:t>
      </w:r>
      <w:r w:rsidRPr="00EB3D68">
        <w:rPr>
          <w:rFonts w:ascii="Palatino Linotype" w:eastAsia="Batang" w:hAnsi="Palatino Linotype" w:cs="Tahoma"/>
          <w:bCs/>
          <w:sz w:val="22"/>
          <w:szCs w:val="22"/>
          <w:lang w:val="es-ES_tradnl"/>
        </w:rPr>
        <w:t xml:space="preserve">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w:t>
      </w:r>
      <w:r w:rsidR="00B07847" w:rsidRPr="00EB3D68">
        <w:rPr>
          <w:rFonts w:ascii="Palatino Linotype" w:eastAsia="Batang" w:hAnsi="Palatino Linotype" w:cs="Tahoma"/>
          <w:bCs/>
          <w:sz w:val="22"/>
          <w:szCs w:val="22"/>
          <w:lang w:val="es-ES_tradnl"/>
        </w:rPr>
        <w:t>SAIMEX</w:t>
      </w:r>
      <w:r w:rsidRPr="00EB3D68">
        <w:rPr>
          <w:rFonts w:ascii="Palatino Linotype" w:eastAsia="Batang" w:hAnsi="Palatino Linotype" w:cs="Tahoma"/>
          <w:bCs/>
          <w:sz w:val="22"/>
          <w:szCs w:val="22"/>
          <w:lang w:val="es-ES_tradnl"/>
        </w:rPr>
        <w:t>, en el que se les otorgó un plazo de siete días hábiles posteriores a la misma, para que manifestaran lo que a su derecho conviniera y formularan alegatos.</w:t>
      </w:r>
    </w:p>
    <w:p w14:paraId="11EBA3DD" w14:textId="77777777" w:rsidR="00F316EC" w:rsidRPr="00EB3D68" w:rsidRDefault="00F316EC" w:rsidP="00F316EC">
      <w:pPr>
        <w:spacing w:line="360" w:lineRule="auto"/>
        <w:contextualSpacing/>
        <w:jc w:val="both"/>
        <w:rPr>
          <w:rFonts w:ascii="Palatino Linotype" w:hAnsi="Palatino Linotype" w:cs="Tahoma"/>
          <w:bCs/>
          <w:sz w:val="22"/>
          <w:szCs w:val="22"/>
        </w:rPr>
      </w:pPr>
    </w:p>
    <w:p w14:paraId="61D775D5" w14:textId="5435664D" w:rsidR="003330AE" w:rsidRPr="00EB3D68" w:rsidRDefault="003330AE" w:rsidP="003330AE">
      <w:pPr>
        <w:autoSpaceDE w:val="0"/>
        <w:autoSpaceDN w:val="0"/>
        <w:adjustRightInd w:val="0"/>
        <w:spacing w:line="360" w:lineRule="auto"/>
        <w:contextualSpacing/>
        <w:jc w:val="both"/>
        <w:rPr>
          <w:rFonts w:ascii="Palatino Linotype" w:eastAsia="Palatino Linotype" w:hAnsi="Palatino Linotype" w:cs="Palatino Linotype"/>
          <w:bCs/>
          <w:sz w:val="22"/>
          <w:szCs w:val="22"/>
        </w:rPr>
      </w:pPr>
      <w:bookmarkStart w:id="8" w:name="_Hlk192683580"/>
      <w:r w:rsidRPr="00EB3D68">
        <w:rPr>
          <w:rFonts w:ascii="Palatino Linotype" w:eastAsia="Palatino Linotype" w:hAnsi="Palatino Linotype" w:cs="Palatino Linotype"/>
          <w:b/>
          <w:sz w:val="22"/>
          <w:szCs w:val="22"/>
        </w:rPr>
        <w:t xml:space="preserve">c) Informe Justificado. </w:t>
      </w:r>
      <w:r w:rsidRPr="00EB3D68">
        <w:rPr>
          <w:rFonts w:ascii="Palatino Linotype" w:eastAsia="Palatino Linotype" w:hAnsi="Palatino Linotype" w:cs="Palatino Linotype"/>
          <w:bCs/>
          <w:sz w:val="22"/>
          <w:szCs w:val="22"/>
        </w:rPr>
        <w:t xml:space="preserve">Con fecha dieciocho de marzo de dos mil veinticinco, se recibió en este Instituto, a través del </w:t>
      </w:r>
      <w:r w:rsidR="00B07847" w:rsidRPr="00EB3D68">
        <w:rPr>
          <w:rFonts w:ascii="Palatino Linotype" w:eastAsia="Palatino Linotype" w:hAnsi="Palatino Linotype" w:cs="Palatino Linotype"/>
          <w:bCs/>
          <w:sz w:val="22"/>
          <w:szCs w:val="22"/>
        </w:rPr>
        <w:t>SAIMEX</w:t>
      </w:r>
      <w:r w:rsidRPr="00EB3D68">
        <w:rPr>
          <w:rFonts w:ascii="Palatino Linotype" w:eastAsia="Palatino Linotype" w:hAnsi="Palatino Linotype" w:cs="Palatino Linotype"/>
          <w:bCs/>
          <w:sz w:val="22"/>
          <w:szCs w:val="22"/>
        </w:rPr>
        <w:t>, el Informe Justificado, por parte del Sujeto Obligado, a través del oficio número HAJ/</w:t>
      </w:r>
      <w:proofErr w:type="spellStart"/>
      <w:r w:rsidRPr="00EB3D68">
        <w:rPr>
          <w:rFonts w:ascii="Palatino Linotype" w:eastAsia="Palatino Linotype" w:hAnsi="Palatino Linotype" w:cs="Palatino Linotype"/>
          <w:bCs/>
          <w:sz w:val="22"/>
          <w:szCs w:val="22"/>
        </w:rPr>
        <w:t>DGDUEyMA</w:t>
      </w:r>
      <w:proofErr w:type="spellEnd"/>
      <w:r w:rsidRPr="00EB3D68">
        <w:rPr>
          <w:rFonts w:ascii="Palatino Linotype" w:eastAsia="Palatino Linotype" w:hAnsi="Palatino Linotype" w:cs="Palatino Linotype"/>
          <w:bCs/>
          <w:sz w:val="22"/>
          <w:szCs w:val="22"/>
        </w:rPr>
        <w:t xml:space="preserve">/072/2025, del veintiocho de febrero de la presente anualidad, suscrito por el Director General de Desarrollo Urbano, Ecología y Medio Ambiente, </w:t>
      </w:r>
      <w:r w:rsidRPr="00EB3D68">
        <w:rPr>
          <w:rFonts w:ascii="Palatino Linotype" w:eastAsia="Palatino Linotype" w:hAnsi="Palatino Linotype" w:cs="Palatino Linotype"/>
          <w:bCs/>
          <w:sz w:val="22"/>
          <w:szCs w:val="22"/>
        </w:rPr>
        <w:lastRenderedPageBreak/>
        <w:t xml:space="preserve">dirigido al Comisionado Ponente, por medio del cual </w:t>
      </w:r>
      <w:bookmarkEnd w:id="8"/>
      <w:r w:rsidRPr="00EB3D68">
        <w:rPr>
          <w:rFonts w:ascii="Palatino Linotype" w:eastAsia="Palatino Linotype" w:hAnsi="Palatino Linotype" w:cs="Palatino Linotype"/>
          <w:bCs/>
          <w:sz w:val="22"/>
          <w:szCs w:val="22"/>
        </w:rPr>
        <w:t xml:space="preserve">esencialmente </w:t>
      </w:r>
      <w:r w:rsidR="00232E27" w:rsidRPr="00EB3D68">
        <w:rPr>
          <w:rFonts w:ascii="Palatino Linotype" w:eastAsia="Palatino Linotype" w:hAnsi="Palatino Linotype" w:cs="Palatino Linotype"/>
          <w:bCs/>
          <w:sz w:val="22"/>
          <w:szCs w:val="22"/>
        </w:rPr>
        <w:t>ratifica su respuesta inicial.</w:t>
      </w:r>
    </w:p>
    <w:p w14:paraId="1F65AAD8" w14:textId="77777777" w:rsidR="00232E27" w:rsidRPr="00EB3D68" w:rsidRDefault="00232E27" w:rsidP="003330AE">
      <w:pPr>
        <w:autoSpaceDE w:val="0"/>
        <w:autoSpaceDN w:val="0"/>
        <w:adjustRightInd w:val="0"/>
        <w:spacing w:line="360" w:lineRule="auto"/>
        <w:contextualSpacing/>
        <w:jc w:val="both"/>
        <w:rPr>
          <w:rFonts w:ascii="Palatino Linotype" w:eastAsia="Palatino Linotype" w:hAnsi="Palatino Linotype" w:cs="Palatino Linotype"/>
          <w:bCs/>
          <w:i/>
          <w:iCs/>
        </w:rPr>
      </w:pPr>
    </w:p>
    <w:p w14:paraId="2EC2BEEE" w14:textId="5F2CBDB4" w:rsidR="003330AE" w:rsidRPr="00EB3D68" w:rsidRDefault="003330AE" w:rsidP="003330AE">
      <w:pPr>
        <w:autoSpaceDE w:val="0"/>
        <w:autoSpaceDN w:val="0"/>
        <w:adjustRightInd w:val="0"/>
        <w:spacing w:line="360" w:lineRule="auto"/>
        <w:contextualSpacing/>
        <w:jc w:val="both"/>
        <w:rPr>
          <w:rFonts w:ascii="Palatino Linotype" w:eastAsia="Palatino Linotype" w:hAnsi="Palatino Linotype" w:cs="Palatino Linotype"/>
          <w:bCs/>
          <w:sz w:val="22"/>
          <w:szCs w:val="22"/>
        </w:rPr>
      </w:pPr>
      <w:r w:rsidRPr="00EB3D68">
        <w:rPr>
          <w:rFonts w:ascii="Palatino Linotype" w:eastAsia="Palatino Linotype" w:hAnsi="Palatino Linotype" w:cs="Palatino Linotype"/>
          <w:b/>
          <w:sz w:val="22"/>
          <w:szCs w:val="22"/>
        </w:rPr>
        <w:t xml:space="preserve">d) Vista del Informe Justificado. </w:t>
      </w:r>
      <w:r w:rsidRPr="00EB3D68">
        <w:rPr>
          <w:rFonts w:ascii="Palatino Linotype" w:eastAsia="Palatino Linotype" w:hAnsi="Palatino Linotype" w:cs="Palatino Linotype"/>
          <w:bCs/>
          <w:sz w:val="22"/>
          <w:szCs w:val="22"/>
        </w:rPr>
        <w:t xml:space="preserve">El </w:t>
      </w:r>
      <w:r w:rsidR="00232E27" w:rsidRPr="00EB3D68">
        <w:rPr>
          <w:rFonts w:ascii="Palatino Linotype" w:eastAsia="Palatino Linotype" w:hAnsi="Palatino Linotype" w:cs="Palatino Linotype"/>
          <w:bCs/>
          <w:sz w:val="22"/>
          <w:szCs w:val="22"/>
        </w:rPr>
        <w:t xml:space="preserve">veintiséis </w:t>
      </w:r>
      <w:r w:rsidRPr="00EB3D68">
        <w:rPr>
          <w:rFonts w:ascii="Palatino Linotype" w:eastAsia="Palatino Linotype" w:hAnsi="Palatino Linotype" w:cs="Palatino Linotype"/>
          <w:bCs/>
          <w:sz w:val="22"/>
          <w:szCs w:val="22"/>
        </w:rPr>
        <w:t>de marzo de dos mil veinticinco, se notificó a través del SAIMEX, el acuerdo mediante el cual se puso a la vista del Particular el Informe Justificado de manera parcial, proveído por el cual se le otorgó a este último, un término de tres días hábiles contados a partir del día siguiente a la notificación, para que emitiera las manifestaciones que conforme a sus intereses mayor conviniera.</w:t>
      </w:r>
    </w:p>
    <w:p w14:paraId="15CCFB38" w14:textId="77777777" w:rsidR="00F316EC" w:rsidRPr="00EB3D68" w:rsidRDefault="00F316EC" w:rsidP="00F316EC">
      <w:pPr>
        <w:autoSpaceDE w:val="0"/>
        <w:autoSpaceDN w:val="0"/>
        <w:adjustRightInd w:val="0"/>
        <w:spacing w:line="360" w:lineRule="auto"/>
        <w:contextualSpacing/>
        <w:jc w:val="both"/>
        <w:rPr>
          <w:rFonts w:ascii="Palatino Linotype" w:hAnsi="Palatino Linotype" w:cs="Tahoma"/>
          <w:sz w:val="22"/>
          <w:szCs w:val="22"/>
        </w:rPr>
      </w:pPr>
    </w:p>
    <w:p w14:paraId="73CE46BE" w14:textId="18668367" w:rsidR="00F316EC" w:rsidRPr="00EB3D68" w:rsidRDefault="00F316EC" w:rsidP="00F316EC">
      <w:pPr>
        <w:autoSpaceDE w:val="0"/>
        <w:autoSpaceDN w:val="0"/>
        <w:adjustRightInd w:val="0"/>
        <w:spacing w:line="360" w:lineRule="auto"/>
        <w:contextualSpacing/>
        <w:jc w:val="both"/>
        <w:rPr>
          <w:rFonts w:ascii="Palatino Linotype" w:hAnsi="Palatino Linotype" w:cs="Tahoma"/>
          <w:b/>
          <w:bCs/>
          <w:sz w:val="22"/>
          <w:szCs w:val="22"/>
        </w:rPr>
      </w:pPr>
      <w:r w:rsidRPr="00EB3D68">
        <w:rPr>
          <w:rFonts w:ascii="Palatino Linotype" w:hAnsi="Palatino Linotype" w:cs="Tahoma"/>
          <w:b/>
          <w:bCs/>
          <w:sz w:val="22"/>
          <w:szCs w:val="22"/>
        </w:rPr>
        <w:t xml:space="preserve">e) </w:t>
      </w:r>
      <w:r w:rsidRPr="00EB3D68">
        <w:rPr>
          <w:rFonts w:ascii="Palatino Linotype" w:hAnsi="Palatino Linotype" w:cs="Tahoma"/>
          <w:b/>
          <w:sz w:val="22"/>
          <w:szCs w:val="22"/>
        </w:rPr>
        <w:t xml:space="preserve">Cierre de instrucción. </w:t>
      </w:r>
      <w:r w:rsidRPr="00EB3D68">
        <w:rPr>
          <w:rFonts w:ascii="Palatino Linotype" w:hAnsi="Palatino Linotype" w:cs="Tahoma"/>
          <w:sz w:val="22"/>
          <w:szCs w:val="22"/>
        </w:rPr>
        <w:t xml:space="preserve">El </w:t>
      </w:r>
      <w:r w:rsidR="004B3227" w:rsidRPr="00EB3D68">
        <w:rPr>
          <w:rFonts w:ascii="Palatino Linotype" w:hAnsi="Palatino Linotype" w:cs="Tahoma"/>
          <w:sz w:val="22"/>
          <w:szCs w:val="22"/>
        </w:rPr>
        <w:t>veintidós</w:t>
      </w:r>
      <w:r w:rsidRPr="00EB3D68">
        <w:rPr>
          <w:rFonts w:ascii="Palatino Linotype" w:hAnsi="Palatino Linotype" w:cs="Tahoma"/>
          <w:sz w:val="22"/>
          <w:szCs w:val="22"/>
        </w:rPr>
        <w:t xml:space="preserve"> de abril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00B07847" w:rsidRPr="00EB3D68">
        <w:rPr>
          <w:rFonts w:ascii="Palatino Linotype" w:hAnsi="Palatino Linotype" w:cs="Tahoma"/>
          <w:sz w:val="22"/>
          <w:szCs w:val="22"/>
          <w:lang w:val="es-ES"/>
        </w:rPr>
        <w:t>SAIMEX</w:t>
      </w:r>
      <w:r w:rsidRPr="00EB3D68">
        <w:rPr>
          <w:rFonts w:ascii="Palatino Linotype" w:hAnsi="Palatino Linotype" w:cs="Tahoma"/>
          <w:sz w:val="22"/>
          <w:szCs w:val="22"/>
        </w:rPr>
        <w:t>.</w:t>
      </w:r>
    </w:p>
    <w:p w14:paraId="4B7CD817" w14:textId="77777777" w:rsidR="00F316EC" w:rsidRPr="00EB3D68" w:rsidRDefault="00F316EC" w:rsidP="00F316EC">
      <w:pPr>
        <w:spacing w:line="360" w:lineRule="auto"/>
        <w:ind w:right="-28"/>
        <w:contextualSpacing/>
        <w:jc w:val="both"/>
        <w:rPr>
          <w:rFonts w:ascii="Palatino Linotype" w:hAnsi="Palatino Linotype" w:cs="Tahoma"/>
          <w:sz w:val="22"/>
          <w:szCs w:val="22"/>
          <w:lang w:val="es-ES"/>
        </w:rPr>
      </w:pPr>
    </w:p>
    <w:p w14:paraId="0F7AC7F2" w14:textId="77777777" w:rsidR="00F316EC" w:rsidRPr="00EB3D68" w:rsidRDefault="00F316EC" w:rsidP="00F316EC">
      <w:pPr>
        <w:spacing w:line="360" w:lineRule="auto"/>
        <w:ind w:right="-28"/>
        <w:contextualSpacing/>
        <w:jc w:val="both"/>
        <w:rPr>
          <w:rFonts w:ascii="Palatino Linotype" w:hAnsi="Palatino Linotype" w:cs="Tahoma"/>
          <w:color w:val="000000"/>
          <w:sz w:val="22"/>
          <w:szCs w:val="22"/>
        </w:rPr>
      </w:pPr>
      <w:r w:rsidRPr="00EB3D68">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141BA477" w14:textId="77777777" w:rsidR="00232E27" w:rsidRPr="00EB3D68" w:rsidRDefault="00232E27" w:rsidP="00F316EC">
      <w:pPr>
        <w:spacing w:line="360" w:lineRule="auto"/>
        <w:ind w:right="-28"/>
        <w:contextualSpacing/>
        <w:jc w:val="both"/>
        <w:rPr>
          <w:rFonts w:ascii="Palatino Linotype" w:hAnsi="Palatino Linotype" w:cs="Tahoma"/>
          <w:color w:val="000000"/>
          <w:sz w:val="22"/>
          <w:szCs w:val="22"/>
        </w:rPr>
      </w:pPr>
    </w:p>
    <w:p w14:paraId="052030AB" w14:textId="77777777" w:rsidR="00F316EC" w:rsidRPr="00EB3D68" w:rsidRDefault="00F316EC" w:rsidP="00F316EC">
      <w:pPr>
        <w:pStyle w:val="Ttulo1"/>
        <w:spacing w:before="0" w:after="0" w:line="360" w:lineRule="auto"/>
        <w:contextualSpacing/>
        <w:jc w:val="center"/>
        <w:rPr>
          <w:rFonts w:ascii="Palatino Linotype" w:hAnsi="Palatino Linotype"/>
          <w:b/>
          <w:bCs/>
          <w:color w:val="auto"/>
          <w:sz w:val="22"/>
          <w:szCs w:val="22"/>
          <w:lang w:val="es-ES"/>
        </w:rPr>
      </w:pPr>
      <w:bookmarkStart w:id="9" w:name="_Toc190350684"/>
      <w:r w:rsidRPr="00EB3D68">
        <w:rPr>
          <w:rFonts w:ascii="Palatino Linotype" w:hAnsi="Palatino Linotype"/>
          <w:b/>
          <w:bCs/>
          <w:color w:val="auto"/>
          <w:sz w:val="22"/>
          <w:szCs w:val="22"/>
          <w:lang w:val="es-ES"/>
        </w:rPr>
        <w:t>C O N S I D E R A N D O S</w:t>
      </w:r>
      <w:bookmarkEnd w:id="9"/>
    </w:p>
    <w:p w14:paraId="3EF7CACA" w14:textId="77777777" w:rsidR="00F316EC" w:rsidRPr="00EB3D68" w:rsidRDefault="00F316EC" w:rsidP="00F316EC">
      <w:pPr>
        <w:spacing w:line="360" w:lineRule="auto"/>
        <w:contextualSpacing/>
        <w:rPr>
          <w:lang w:val="es-ES"/>
        </w:rPr>
      </w:pPr>
    </w:p>
    <w:p w14:paraId="432B89D7" w14:textId="77777777" w:rsidR="00F316EC" w:rsidRPr="00EB3D68" w:rsidRDefault="00F316EC" w:rsidP="00F316EC">
      <w:pPr>
        <w:pStyle w:val="Ttulo2"/>
        <w:spacing w:before="0" w:after="0" w:line="360" w:lineRule="auto"/>
        <w:contextualSpacing/>
        <w:rPr>
          <w:rFonts w:ascii="Palatino Linotype" w:hAnsi="Palatino Linotype"/>
          <w:b/>
          <w:bCs/>
          <w:color w:val="auto"/>
          <w:sz w:val="22"/>
          <w:szCs w:val="22"/>
          <w:lang w:val="es-ES"/>
        </w:rPr>
      </w:pPr>
      <w:bookmarkStart w:id="10" w:name="_Toc190350685"/>
      <w:r w:rsidRPr="00EB3D68">
        <w:rPr>
          <w:rFonts w:ascii="Palatino Linotype" w:eastAsia="Calibri" w:hAnsi="Palatino Linotype"/>
          <w:b/>
          <w:bCs/>
          <w:color w:val="auto"/>
          <w:sz w:val="22"/>
          <w:szCs w:val="22"/>
          <w:lang w:val="es-ES" w:eastAsia="es-MX"/>
        </w:rPr>
        <w:t xml:space="preserve">PRIMERO. </w:t>
      </w:r>
      <w:r w:rsidRPr="00EB3D68">
        <w:rPr>
          <w:rFonts w:ascii="Palatino Linotype" w:hAnsi="Palatino Linotype"/>
          <w:b/>
          <w:bCs/>
          <w:color w:val="auto"/>
          <w:sz w:val="22"/>
          <w:szCs w:val="22"/>
          <w:lang w:val="es-ES"/>
        </w:rPr>
        <w:t>Competencia</w:t>
      </w:r>
      <w:bookmarkEnd w:id="10"/>
    </w:p>
    <w:p w14:paraId="7853CA81" w14:textId="77777777" w:rsidR="00F316EC" w:rsidRPr="00EB3D68" w:rsidRDefault="00F316EC" w:rsidP="00F316EC">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418CA90E" w14:textId="77777777" w:rsidR="00F316EC" w:rsidRPr="00EB3D68" w:rsidRDefault="00F316EC" w:rsidP="00F316EC">
      <w:pPr>
        <w:spacing w:line="360" w:lineRule="auto"/>
        <w:ind w:right="-28"/>
        <w:contextualSpacing/>
        <w:jc w:val="both"/>
        <w:rPr>
          <w:rFonts w:ascii="Palatino Linotype" w:hAnsi="Palatino Linotype" w:cs="Tahoma"/>
          <w:bCs/>
          <w:color w:val="000000"/>
          <w:sz w:val="22"/>
          <w:szCs w:val="22"/>
        </w:rPr>
      </w:pPr>
      <w:r w:rsidRPr="00EB3D68">
        <w:rPr>
          <w:rFonts w:ascii="Palatino Linotype" w:hAnsi="Palatino Linotype" w:cs="Tahoma"/>
          <w:bCs/>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persona recurrente, conforme a lo dispuesto en </w:t>
      </w:r>
      <w:r w:rsidRPr="00EB3D68">
        <w:rPr>
          <w:rFonts w:ascii="Palatino Linotype" w:hAnsi="Palatino Linotype" w:cs="Tahoma"/>
          <w:bCs/>
          <w:color w:val="000000"/>
          <w:sz w:val="22"/>
          <w:szCs w:val="22"/>
        </w:rPr>
        <w:lastRenderedPageBreak/>
        <w:t>los artículos 5°, párrafo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C3E5108" w14:textId="77777777" w:rsidR="00F316EC" w:rsidRPr="00EB3D68" w:rsidRDefault="00F316EC" w:rsidP="00F316EC">
      <w:pPr>
        <w:spacing w:line="360" w:lineRule="auto"/>
        <w:ind w:right="-28"/>
        <w:contextualSpacing/>
        <w:jc w:val="both"/>
        <w:rPr>
          <w:rFonts w:ascii="Palatino Linotype" w:hAnsi="Palatino Linotype" w:cs="Tahoma"/>
          <w:color w:val="000000"/>
          <w:sz w:val="22"/>
          <w:szCs w:val="22"/>
        </w:rPr>
      </w:pPr>
    </w:p>
    <w:p w14:paraId="0DB77CAC" w14:textId="77777777" w:rsidR="00F316EC" w:rsidRPr="00EB3D68" w:rsidRDefault="00F316EC" w:rsidP="00F316EC">
      <w:pPr>
        <w:pStyle w:val="Ttulo2"/>
        <w:spacing w:before="0" w:after="0" w:line="360" w:lineRule="auto"/>
        <w:contextualSpacing/>
        <w:rPr>
          <w:rFonts w:ascii="Palatino Linotype" w:eastAsia="Calibri" w:hAnsi="Palatino Linotype"/>
          <w:b/>
          <w:bCs/>
          <w:color w:val="auto"/>
          <w:sz w:val="22"/>
          <w:szCs w:val="22"/>
          <w:lang w:val="es-ES" w:eastAsia="es-MX"/>
        </w:rPr>
      </w:pPr>
      <w:bookmarkStart w:id="11" w:name="_Toc190350686"/>
      <w:r w:rsidRPr="00EB3D68">
        <w:rPr>
          <w:rFonts w:ascii="Palatino Linotype" w:eastAsia="Calibri" w:hAnsi="Palatino Linotype"/>
          <w:b/>
          <w:bCs/>
          <w:color w:val="auto"/>
          <w:sz w:val="22"/>
          <w:szCs w:val="22"/>
          <w:lang w:val="es-ES" w:eastAsia="es-MX"/>
        </w:rPr>
        <w:t>SEGUNDO. Causales de improcedencia y sobreseimiento</w:t>
      </w:r>
      <w:bookmarkEnd w:id="11"/>
    </w:p>
    <w:p w14:paraId="53368104" w14:textId="77777777" w:rsidR="00F316EC" w:rsidRPr="00EB3D68" w:rsidRDefault="00F316EC" w:rsidP="00F316EC">
      <w:pPr>
        <w:autoSpaceDE w:val="0"/>
        <w:autoSpaceDN w:val="0"/>
        <w:adjustRightInd w:val="0"/>
        <w:spacing w:line="360" w:lineRule="auto"/>
        <w:contextualSpacing/>
        <w:jc w:val="both"/>
        <w:rPr>
          <w:rFonts w:ascii="Palatino Linotype" w:hAnsi="Palatino Linotype" w:cs="Tahoma"/>
          <w:sz w:val="22"/>
          <w:szCs w:val="22"/>
          <w:lang w:val="es-ES"/>
        </w:rPr>
      </w:pPr>
    </w:p>
    <w:p w14:paraId="6D004892" w14:textId="77777777" w:rsidR="00F316EC" w:rsidRPr="00EB3D68" w:rsidRDefault="00F316EC" w:rsidP="00F316EC">
      <w:pPr>
        <w:autoSpaceDE w:val="0"/>
        <w:autoSpaceDN w:val="0"/>
        <w:adjustRightInd w:val="0"/>
        <w:spacing w:line="360" w:lineRule="auto"/>
        <w:contextualSpacing/>
        <w:jc w:val="both"/>
        <w:rPr>
          <w:rFonts w:ascii="Palatino Linotype" w:hAnsi="Palatino Linotype" w:cs="Tahoma"/>
          <w:sz w:val="22"/>
          <w:szCs w:val="22"/>
          <w:lang w:val="es-ES"/>
        </w:rPr>
      </w:pPr>
      <w:r w:rsidRPr="00EB3D68">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EB3D68">
        <w:rPr>
          <w:rFonts w:ascii="Palatino Linotype" w:hAnsi="Palatino Linotype" w:cs="Tahoma"/>
          <w:i/>
          <w:sz w:val="22"/>
          <w:szCs w:val="22"/>
          <w:lang w:val="es-ES"/>
        </w:rPr>
        <w:t>litis</w:t>
      </w:r>
      <w:proofErr w:type="spellEnd"/>
      <w:r w:rsidRPr="00EB3D68">
        <w:rPr>
          <w:rFonts w:ascii="Palatino Linotype" w:hAnsi="Palatino Linotype" w:cs="Tahoma"/>
          <w:sz w:val="22"/>
          <w:szCs w:val="22"/>
          <w:lang w:val="es-ES"/>
        </w:rPr>
        <w:t>, es necesario estudiar las causales de improcedencia, para determinar lo que en Derecho proceda.</w:t>
      </w:r>
    </w:p>
    <w:p w14:paraId="3EED0C3D" w14:textId="77777777" w:rsidR="00F316EC" w:rsidRPr="00EB3D68" w:rsidRDefault="00F316EC" w:rsidP="00F316EC">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p>
    <w:p w14:paraId="26FB5C19" w14:textId="77777777" w:rsidR="00F316EC" w:rsidRPr="00EB3D68" w:rsidRDefault="00F316EC" w:rsidP="00F316EC">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EB3D68">
        <w:rPr>
          <w:rFonts w:ascii="Palatino Linotype" w:eastAsia="Calibri" w:hAnsi="Palatino Linotype" w:cs="Tahoma"/>
          <w:b/>
          <w:color w:val="000000"/>
          <w:sz w:val="22"/>
          <w:szCs w:val="22"/>
          <w:lang w:val="es-ES" w:eastAsia="es-MX"/>
        </w:rPr>
        <w:t>Causales de improcedencia</w:t>
      </w:r>
    </w:p>
    <w:p w14:paraId="1409000E" w14:textId="77777777" w:rsidR="00F316EC" w:rsidRPr="00EB3D68" w:rsidRDefault="00F316EC" w:rsidP="00F316EC">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3853CBD0" w14:textId="77777777" w:rsidR="00F316EC" w:rsidRPr="00EB3D68" w:rsidRDefault="00F316EC" w:rsidP="00F316EC">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EB3D68">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1BEC348" w14:textId="77777777" w:rsidR="00F316EC" w:rsidRPr="00EB3D68" w:rsidRDefault="00F316EC" w:rsidP="00F316EC">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0E565708" w14:textId="77777777" w:rsidR="00F316EC" w:rsidRPr="00EB3D68" w:rsidRDefault="00F316EC" w:rsidP="00F316EC">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EB3D68">
        <w:rPr>
          <w:rFonts w:ascii="Palatino Linotype" w:hAnsi="Palatino Linotype" w:cs="Tahoma"/>
          <w:sz w:val="22"/>
          <w:szCs w:val="24"/>
        </w:rPr>
        <w:t>En el presente caso, </w:t>
      </w:r>
      <w:r w:rsidRPr="00EB3D68">
        <w:rPr>
          <w:rFonts w:ascii="Palatino Linotype" w:hAnsi="Palatino Linotype" w:cs="Tahoma"/>
          <w:b/>
          <w:bCs/>
          <w:sz w:val="22"/>
          <w:szCs w:val="24"/>
        </w:rPr>
        <w:t>no se actualiza ninguna de las causales de improcedencia</w:t>
      </w:r>
      <w:r w:rsidRPr="00EB3D68">
        <w:rPr>
          <w:rFonts w:ascii="Palatino Linotype" w:hAnsi="Palatino Linotype" w:cs="Tahoma"/>
          <w:sz w:val="22"/>
          <w:szCs w:val="24"/>
        </w:rPr>
        <w:t xml:space="preserve"> establecidas en el ordenamiento jurídico previamente señalado, toda vez que: el recurso fue presentado </w:t>
      </w:r>
      <w:r w:rsidRPr="00EB3D68">
        <w:rPr>
          <w:rFonts w:ascii="Palatino Linotype" w:hAnsi="Palatino Linotype" w:cs="Tahoma"/>
          <w:sz w:val="22"/>
          <w:szCs w:val="24"/>
        </w:rPr>
        <w:lastRenderedPageBreak/>
        <w:t xml:space="preserve">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EB3D68">
        <w:rPr>
          <w:rFonts w:ascii="Palatino Linotype" w:hAnsi="Palatino Linotype" w:cs="Tahoma"/>
          <w:sz w:val="22"/>
          <w:szCs w:val="22"/>
          <w:lang w:val="es-ES"/>
        </w:rPr>
        <w:t xml:space="preserve">además de que </w:t>
      </w:r>
      <w:r w:rsidRPr="00EB3D68">
        <w:rPr>
          <w:rFonts w:ascii="Palatino Linotype" w:eastAsia="Calibri" w:hAnsi="Palatino Linotype" w:cs="Tahoma"/>
          <w:color w:val="000000"/>
          <w:sz w:val="22"/>
          <w:szCs w:val="22"/>
          <w:lang w:val="es-ES" w:eastAsia="es-MX"/>
        </w:rPr>
        <w:t>el medio de impugnación fue presentado en tiempo.</w:t>
      </w:r>
    </w:p>
    <w:p w14:paraId="21559864" w14:textId="77777777" w:rsidR="00F316EC" w:rsidRPr="00EB3D68" w:rsidRDefault="00F316EC" w:rsidP="00F316EC">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6BC3ED92" w14:textId="3EB8B657" w:rsidR="00F316EC" w:rsidRPr="00EB3D68" w:rsidRDefault="00F316EC" w:rsidP="00F316EC">
      <w:pPr>
        <w:widowControl w:val="0"/>
        <w:spacing w:line="360" w:lineRule="auto"/>
        <w:contextualSpacing/>
        <w:jc w:val="both"/>
        <w:rPr>
          <w:rFonts w:ascii="Palatino Linotype" w:hAnsi="Palatino Linotype" w:cs="Tahoma"/>
          <w:sz w:val="22"/>
          <w:szCs w:val="22"/>
        </w:rPr>
      </w:pPr>
      <w:r w:rsidRPr="00EB3D68">
        <w:rPr>
          <w:rFonts w:ascii="Palatino Linotype" w:hAnsi="Palatino Linotype" w:cs="Tahoma"/>
          <w:sz w:val="22"/>
          <w:szCs w:val="22"/>
        </w:rPr>
        <w:t xml:space="preserve">Asimismo, se actualiza la causal de procedencia del Recurso de Revisión señalada en el artículo 179, fracción </w:t>
      </w:r>
      <w:r w:rsidR="00232E27" w:rsidRPr="00EB3D68">
        <w:rPr>
          <w:rFonts w:ascii="Palatino Linotype" w:hAnsi="Palatino Linotype" w:cs="Tahoma"/>
          <w:sz w:val="22"/>
          <w:szCs w:val="22"/>
        </w:rPr>
        <w:t>II</w:t>
      </w:r>
      <w:r w:rsidRPr="00EB3D68">
        <w:rPr>
          <w:rFonts w:ascii="Palatino Linotype" w:hAnsi="Palatino Linotype" w:cs="Tahoma"/>
          <w:sz w:val="22"/>
          <w:szCs w:val="22"/>
        </w:rPr>
        <w:t xml:space="preserve"> de la Ley en cita, </w:t>
      </w:r>
      <w:r w:rsidRPr="00EB3D68">
        <w:rPr>
          <w:rFonts w:ascii="Palatino Linotype" w:eastAsia="Calibri" w:hAnsi="Palatino Linotype" w:cs="Tahoma"/>
          <w:color w:val="000000"/>
          <w:sz w:val="22"/>
          <w:szCs w:val="22"/>
          <w:lang w:eastAsia="es-MX"/>
        </w:rPr>
        <w:t xml:space="preserve">pues el Recurrente se inconformó con </w:t>
      </w:r>
      <w:r w:rsidRPr="00EB3D68">
        <w:rPr>
          <w:rFonts w:ascii="Palatino Linotype" w:hAnsi="Palatino Linotype" w:cs="Tahoma"/>
          <w:sz w:val="22"/>
          <w:szCs w:val="22"/>
        </w:rPr>
        <w:t xml:space="preserve">la </w:t>
      </w:r>
      <w:r w:rsidR="00232E27" w:rsidRPr="00EB3D68">
        <w:rPr>
          <w:rFonts w:ascii="Palatino Linotype" w:hAnsi="Palatino Linotype" w:cs="Tahoma"/>
          <w:sz w:val="22"/>
          <w:szCs w:val="22"/>
        </w:rPr>
        <w:t xml:space="preserve">clasificación de la </w:t>
      </w:r>
      <w:r w:rsidRPr="00EB3D68">
        <w:rPr>
          <w:rFonts w:ascii="Palatino Linotype" w:hAnsi="Palatino Linotype" w:cs="Tahoma"/>
          <w:sz w:val="22"/>
          <w:szCs w:val="22"/>
        </w:rPr>
        <w:t>información</w:t>
      </w:r>
      <w:bookmarkStart w:id="12" w:name="_Toc188529041"/>
      <w:r w:rsidRPr="00EB3D68">
        <w:rPr>
          <w:rFonts w:ascii="Palatino Linotype" w:hAnsi="Palatino Linotype" w:cs="Tahoma"/>
          <w:sz w:val="22"/>
          <w:szCs w:val="22"/>
        </w:rPr>
        <w:t>.</w:t>
      </w:r>
    </w:p>
    <w:bookmarkEnd w:id="12"/>
    <w:p w14:paraId="567DF18C" w14:textId="77777777" w:rsidR="00F316EC" w:rsidRPr="00EB3D68" w:rsidRDefault="00F316EC" w:rsidP="00F316EC">
      <w:pPr>
        <w:spacing w:line="360" w:lineRule="auto"/>
        <w:contextualSpacing/>
        <w:jc w:val="both"/>
        <w:rPr>
          <w:rFonts w:ascii="Palatino Linotype" w:hAnsi="Palatino Linotype" w:cs="Tahoma"/>
          <w:b/>
          <w:bCs/>
          <w:color w:val="0D0D0D" w:themeColor="text1" w:themeTint="F2"/>
          <w:sz w:val="22"/>
          <w:szCs w:val="22"/>
        </w:rPr>
      </w:pPr>
    </w:p>
    <w:p w14:paraId="38A87D46" w14:textId="77777777" w:rsidR="00F316EC" w:rsidRPr="00EB3D68" w:rsidRDefault="00F316EC" w:rsidP="00F316EC">
      <w:pPr>
        <w:spacing w:line="360" w:lineRule="auto"/>
        <w:contextualSpacing/>
        <w:jc w:val="both"/>
        <w:rPr>
          <w:rFonts w:ascii="Palatino Linotype" w:hAnsi="Palatino Linotype" w:cs="Tahoma"/>
          <w:bCs/>
          <w:color w:val="0D0D0D" w:themeColor="text1" w:themeTint="F2"/>
          <w:sz w:val="22"/>
          <w:szCs w:val="22"/>
        </w:rPr>
      </w:pPr>
      <w:r w:rsidRPr="00EB3D68">
        <w:rPr>
          <w:rFonts w:ascii="Palatino Linotype" w:hAnsi="Palatino Linotype" w:cs="Tahoma"/>
          <w:b/>
          <w:bCs/>
          <w:color w:val="0D0D0D" w:themeColor="text1" w:themeTint="F2"/>
          <w:sz w:val="22"/>
          <w:szCs w:val="22"/>
        </w:rPr>
        <w:t>Causales de sobreseimiento</w:t>
      </w:r>
    </w:p>
    <w:p w14:paraId="32DAB21C" w14:textId="77777777" w:rsidR="00F316EC" w:rsidRPr="00EB3D68" w:rsidRDefault="00F316EC" w:rsidP="00F316EC">
      <w:pPr>
        <w:spacing w:line="360" w:lineRule="auto"/>
        <w:contextualSpacing/>
        <w:jc w:val="both"/>
        <w:rPr>
          <w:rFonts w:ascii="Palatino Linotype" w:hAnsi="Palatino Linotype" w:cs="Tahoma"/>
          <w:bCs/>
          <w:color w:val="0D0D0D" w:themeColor="text1" w:themeTint="F2"/>
          <w:sz w:val="22"/>
          <w:szCs w:val="22"/>
        </w:rPr>
      </w:pPr>
    </w:p>
    <w:p w14:paraId="0AEFA12F" w14:textId="77777777" w:rsidR="00F316EC" w:rsidRPr="00EB3D68" w:rsidRDefault="00F316EC" w:rsidP="00F316EC">
      <w:pPr>
        <w:spacing w:line="360" w:lineRule="auto"/>
        <w:contextualSpacing/>
        <w:jc w:val="both"/>
        <w:rPr>
          <w:rFonts w:ascii="Palatino Linotype" w:hAnsi="Palatino Linotype" w:cs="Tahoma"/>
          <w:sz w:val="22"/>
          <w:szCs w:val="22"/>
        </w:rPr>
      </w:pPr>
      <w:r w:rsidRPr="00EB3D68">
        <w:rPr>
          <w:rFonts w:ascii="Palatino Linotype" w:hAnsi="Palatino Linotype" w:cs="Tahoma"/>
          <w:sz w:val="22"/>
          <w:szCs w:val="22"/>
        </w:rPr>
        <w:t>Por ser de previo y especial pronunciamiento, este Instituto analiza si se actualiza alguna causal de sobreseimiento.</w:t>
      </w:r>
    </w:p>
    <w:p w14:paraId="260746B7" w14:textId="77777777" w:rsidR="00F316EC" w:rsidRPr="00EB3D68" w:rsidRDefault="00F316EC" w:rsidP="00F316EC">
      <w:pPr>
        <w:spacing w:line="360" w:lineRule="auto"/>
        <w:contextualSpacing/>
        <w:jc w:val="both"/>
        <w:rPr>
          <w:rFonts w:ascii="Palatino Linotype" w:hAnsi="Palatino Linotype" w:cs="Tahoma"/>
          <w:sz w:val="22"/>
          <w:szCs w:val="22"/>
        </w:rPr>
      </w:pPr>
    </w:p>
    <w:p w14:paraId="0030AEA1" w14:textId="77777777" w:rsidR="00F316EC" w:rsidRPr="00EB3D68" w:rsidRDefault="00F316EC" w:rsidP="00F316EC">
      <w:pPr>
        <w:spacing w:line="360" w:lineRule="auto"/>
        <w:contextualSpacing/>
        <w:jc w:val="both"/>
        <w:rPr>
          <w:rFonts w:ascii="Palatino Linotype" w:hAnsi="Palatino Linotype" w:cs="Tahoma"/>
          <w:sz w:val="22"/>
          <w:szCs w:val="22"/>
        </w:rPr>
      </w:pPr>
      <w:r w:rsidRPr="00EB3D68">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66A8094A" w14:textId="77777777" w:rsidR="00F316EC" w:rsidRPr="00EB3D68" w:rsidRDefault="00F316EC" w:rsidP="00F316EC">
      <w:pPr>
        <w:spacing w:line="360" w:lineRule="auto"/>
        <w:contextualSpacing/>
        <w:jc w:val="both"/>
        <w:rPr>
          <w:rFonts w:ascii="Palatino Linotype" w:hAnsi="Palatino Linotype" w:cs="Tahoma"/>
          <w:sz w:val="22"/>
          <w:szCs w:val="22"/>
        </w:rPr>
      </w:pPr>
    </w:p>
    <w:p w14:paraId="57793B91" w14:textId="77777777" w:rsidR="00F316EC" w:rsidRPr="00EB3D68" w:rsidRDefault="00F316EC" w:rsidP="00F316EC">
      <w:pPr>
        <w:tabs>
          <w:tab w:val="left" w:pos="4962"/>
        </w:tabs>
        <w:spacing w:line="360" w:lineRule="auto"/>
        <w:contextualSpacing/>
        <w:jc w:val="both"/>
        <w:rPr>
          <w:rFonts w:ascii="Palatino Linotype" w:hAnsi="Palatino Linotype" w:cs="Tahoma"/>
          <w:sz w:val="22"/>
          <w:szCs w:val="22"/>
          <w:lang w:val="es-ES"/>
        </w:rPr>
      </w:pPr>
      <w:r w:rsidRPr="00EB3D68">
        <w:rPr>
          <w:rFonts w:ascii="Palatino Linotype" w:hAnsi="Palatino Linotype" w:cs="Tahoma"/>
          <w:bCs/>
          <w:sz w:val="22"/>
          <w:szCs w:val="22"/>
          <w:lang w:val="es-ES"/>
        </w:rPr>
        <w:t xml:space="preserve">Por tales motivos, </w:t>
      </w:r>
      <w:r w:rsidRPr="00EB3D68">
        <w:rPr>
          <w:rFonts w:ascii="Palatino Linotype" w:hAnsi="Palatino Linotype" w:cs="Tahoma"/>
          <w:sz w:val="22"/>
          <w:szCs w:val="22"/>
          <w:lang w:val="es-ES"/>
        </w:rPr>
        <w:t xml:space="preserve">se considera procedente entrar al fondo del presente asunto. </w:t>
      </w:r>
    </w:p>
    <w:p w14:paraId="60EF102D" w14:textId="77777777" w:rsidR="00F316EC" w:rsidRPr="00EB3D68" w:rsidRDefault="00F316EC" w:rsidP="00F316EC">
      <w:pPr>
        <w:tabs>
          <w:tab w:val="left" w:pos="4962"/>
        </w:tabs>
        <w:spacing w:line="360" w:lineRule="auto"/>
        <w:contextualSpacing/>
        <w:jc w:val="both"/>
        <w:rPr>
          <w:rFonts w:ascii="Palatino Linotype" w:hAnsi="Palatino Linotype" w:cs="Tahoma"/>
          <w:sz w:val="22"/>
          <w:szCs w:val="22"/>
          <w:lang w:val="es-ES"/>
        </w:rPr>
      </w:pPr>
    </w:p>
    <w:p w14:paraId="4E4C7AC5" w14:textId="77777777" w:rsidR="00F316EC" w:rsidRPr="00EB3D68" w:rsidRDefault="00F316EC" w:rsidP="00F316EC">
      <w:pPr>
        <w:pStyle w:val="Ttulo2"/>
        <w:spacing w:before="0" w:after="0" w:line="360" w:lineRule="auto"/>
        <w:contextualSpacing/>
        <w:rPr>
          <w:rFonts w:ascii="Palatino Linotype" w:hAnsi="Palatino Linotype"/>
          <w:b/>
          <w:bCs/>
          <w:color w:val="auto"/>
          <w:sz w:val="22"/>
          <w:szCs w:val="22"/>
          <w:lang w:val="es-ES" w:eastAsia="es-ES_tradnl"/>
        </w:rPr>
      </w:pPr>
      <w:bookmarkStart w:id="13" w:name="_Toc190350687"/>
      <w:r w:rsidRPr="00EB3D68">
        <w:rPr>
          <w:rFonts w:ascii="Palatino Linotype" w:hAnsi="Palatino Linotype"/>
          <w:b/>
          <w:bCs/>
          <w:color w:val="auto"/>
          <w:sz w:val="22"/>
          <w:szCs w:val="22"/>
          <w:lang w:val="es-ES" w:eastAsia="es-ES_tradnl"/>
        </w:rPr>
        <w:lastRenderedPageBreak/>
        <w:t>TERCERO. Determinación de la Controversia</w:t>
      </w:r>
      <w:bookmarkEnd w:id="13"/>
    </w:p>
    <w:p w14:paraId="670EAB09" w14:textId="77777777" w:rsidR="00F316EC" w:rsidRPr="00EB3D68" w:rsidRDefault="00F316EC" w:rsidP="00F316EC">
      <w:pPr>
        <w:tabs>
          <w:tab w:val="left" w:pos="4962"/>
        </w:tabs>
        <w:spacing w:line="360" w:lineRule="auto"/>
        <w:contextualSpacing/>
        <w:jc w:val="both"/>
        <w:rPr>
          <w:rFonts w:ascii="Palatino Linotype" w:hAnsi="Palatino Linotype" w:cs="Tahoma"/>
          <w:b/>
          <w:iCs/>
          <w:sz w:val="22"/>
          <w:szCs w:val="22"/>
          <w:lang w:val="es-ES" w:eastAsia="es-ES_tradnl"/>
        </w:rPr>
      </w:pPr>
    </w:p>
    <w:p w14:paraId="5278E8B6" w14:textId="3655BE10" w:rsidR="00232E27" w:rsidRPr="00EB3D68" w:rsidRDefault="00F316EC" w:rsidP="003C024A">
      <w:pPr>
        <w:spacing w:line="360" w:lineRule="auto"/>
        <w:contextualSpacing/>
        <w:jc w:val="both"/>
        <w:rPr>
          <w:rFonts w:ascii="Palatino Linotype" w:hAnsi="Palatino Linotype" w:cs="Tahoma"/>
          <w:sz w:val="22"/>
          <w:szCs w:val="22"/>
        </w:rPr>
      </w:pPr>
      <w:r w:rsidRPr="00EB3D68">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w:t>
      </w:r>
      <w:r w:rsidRPr="00EB3D68">
        <w:rPr>
          <w:rFonts w:ascii="Palatino Linotype" w:hAnsi="Palatino Linotype" w:cs="Tahoma"/>
          <w:sz w:val="22"/>
          <w:szCs w:val="22"/>
        </w:rPr>
        <w:t>que el Particular requirió</w:t>
      </w:r>
      <w:r w:rsidR="00232E27" w:rsidRPr="00EB3D68">
        <w:rPr>
          <w:rFonts w:ascii="Palatino Linotype" w:hAnsi="Palatino Linotype" w:cs="Tahoma"/>
          <w:sz w:val="22"/>
          <w:szCs w:val="22"/>
        </w:rPr>
        <w:t xml:space="preserve"> </w:t>
      </w:r>
      <w:r w:rsidR="003C024A" w:rsidRPr="00EB3D68">
        <w:rPr>
          <w:rFonts w:ascii="Palatino Linotype" w:hAnsi="Palatino Linotype" w:cs="Tahoma"/>
          <w:sz w:val="22"/>
          <w:szCs w:val="22"/>
        </w:rPr>
        <w:t>un listado</w:t>
      </w:r>
      <w:r w:rsidR="009A66B5" w:rsidRPr="00EB3D68">
        <w:rPr>
          <w:rFonts w:ascii="Palatino Linotype" w:hAnsi="Palatino Linotype" w:cs="Tahoma"/>
          <w:sz w:val="22"/>
          <w:szCs w:val="22"/>
        </w:rPr>
        <w:t xml:space="preserve"> de trámites ingresados a la Dirección de Desarrollo Urbano</w:t>
      </w:r>
      <w:r w:rsidR="008649E6" w:rsidRPr="00EB3D68">
        <w:rPr>
          <w:rFonts w:ascii="Palatino Linotype" w:hAnsi="Palatino Linotype" w:cs="Tahoma"/>
          <w:sz w:val="22"/>
          <w:szCs w:val="22"/>
        </w:rPr>
        <w:t>,</w:t>
      </w:r>
      <w:r w:rsidR="009A66B5" w:rsidRPr="00EB3D68">
        <w:rPr>
          <w:rFonts w:ascii="Palatino Linotype" w:hAnsi="Palatino Linotype" w:cs="Tahoma"/>
          <w:sz w:val="22"/>
          <w:szCs w:val="22"/>
        </w:rPr>
        <w:t xml:space="preserve"> con el número de trámite</w:t>
      </w:r>
      <w:r w:rsidR="003C024A" w:rsidRPr="00EB3D68">
        <w:rPr>
          <w:rFonts w:ascii="Palatino Linotype" w:hAnsi="Palatino Linotype" w:cs="Tahoma"/>
          <w:sz w:val="22"/>
          <w:szCs w:val="22"/>
        </w:rPr>
        <w:t>, estatus de avance</w:t>
      </w:r>
      <w:r w:rsidR="009A66B5" w:rsidRPr="00EB3D68">
        <w:rPr>
          <w:rFonts w:ascii="Palatino Linotype" w:hAnsi="Palatino Linotype" w:cs="Tahoma"/>
          <w:sz w:val="22"/>
          <w:szCs w:val="22"/>
        </w:rPr>
        <w:t xml:space="preserve">, y nombre de los solicitantes, </w:t>
      </w:r>
      <w:r w:rsidRPr="00EB3D68">
        <w:rPr>
          <w:rFonts w:ascii="Palatino Linotype" w:hAnsi="Palatino Linotype" w:cs="Tahoma"/>
          <w:sz w:val="22"/>
          <w:szCs w:val="22"/>
        </w:rPr>
        <w:t>al</w:t>
      </w:r>
      <w:r w:rsidR="00232E27" w:rsidRPr="00EB3D68">
        <w:rPr>
          <w:rFonts w:ascii="Palatino Linotype" w:hAnsi="Palatino Linotype" w:cs="Tahoma"/>
          <w:sz w:val="22"/>
          <w:szCs w:val="22"/>
        </w:rPr>
        <w:t xml:space="preserve"> veintic</w:t>
      </w:r>
      <w:r w:rsidRPr="00EB3D68">
        <w:rPr>
          <w:rFonts w:ascii="Palatino Linotype" w:hAnsi="Palatino Linotype" w:cs="Tahoma"/>
          <w:sz w:val="22"/>
          <w:szCs w:val="22"/>
        </w:rPr>
        <w:t xml:space="preserve">uatro de </w:t>
      </w:r>
      <w:r w:rsidR="00232E27" w:rsidRPr="00EB3D68">
        <w:rPr>
          <w:rFonts w:ascii="Palatino Linotype" w:hAnsi="Palatino Linotype" w:cs="Tahoma"/>
          <w:sz w:val="22"/>
          <w:szCs w:val="22"/>
        </w:rPr>
        <w:t xml:space="preserve">enero </w:t>
      </w:r>
      <w:r w:rsidRPr="00EB3D68">
        <w:rPr>
          <w:rFonts w:ascii="Palatino Linotype" w:hAnsi="Palatino Linotype" w:cs="Tahoma"/>
          <w:sz w:val="22"/>
          <w:szCs w:val="22"/>
        </w:rPr>
        <w:t>de dos mil veinticinco</w:t>
      </w:r>
      <w:r w:rsidR="003C024A" w:rsidRPr="00EB3D68">
        <w:rPr>
          <w:rFonts w:ascii="Palatino Linotype" w:hAnsi="Palatino Linotype" w:cs="Tahoma"/>
          <w:sz w:val="22"/>
          <w:szCs w:val="22"/>
        </w:rPr>
        <w:t>.</w:t>
      </w:r>
    </w:p>
    <w:p w14:paraId="608E76D2" w14:textId="77777777" w:rsidR="00F316EC" w:rsidRPr="00EB3D68" w:rsidRDefault="00F316EC" w:rsidP="00F316EC">
      <w:pPr>
        <w:autoSpaceDE w:val="0"/>
        <w:autoSpaceDN w:val="0"/>
        <w:adjustRightInd w:val="0"/>
        <w:spacing w:line="360" w:lineRule="auto"/>
        <w:contextualSpacing/>
        <w:jc w:val="both"/>
        <w:rPr>
          <w:rFonts w:ascii="Palatino Linotype" w:hAnsi="Palatino Linotype" w:cs="Tahoma"/>
          <w:sz w:val="22"/>
          <w:szCs w:val="22"/>
        </w:rPr>
      </w:pPr>
    </w:p>
    <w:p w14:paraId="02FA5B3E" w14:textId="657D2AFB" w:rsidR="00F316EC" w:rsidRPr="00EB3D68" w:rsidRDefault="00F316EC" w:rsidP="00F316EC">
      <w:pPr>
        <w:autoSpaceDE w:val="0"/>
        <w:autoSpaceDN w:val="0"/>
        <w:adjustRightInd w:val="0"/>
        <w:spacing w:line="360" w:lineRule="auto"/>
        <w:contextualSpacing/>
        <w:jc w:val="both"/>
        <w:rPr>
          <w:rFonts w:ascii="Palatino Linotype" w:eastAsia="Calibri" w:hAnsi="Palatino Linotype" w:cs="Tahoma"/>
          <w:sz w:val="22"/>
          <w:szCs w:val="22"/>
        </w:rPr>
      </w:pPr>
      <w:r w:rsidRPr="00EB3D68">
        <w:rPr>
          <w:rFonts w:ascii="Palatino Linotype" w:hAnsi="Palatino Linotype" w:cs="Tahoma"/>
          <w:sz w:val="22"/>
          <w:szCs w:val="22"/>
          <w:lang w:val="es-ES"/>
        </w:rPr>
        <w:t xml:space="preserve">En respuesta, el Sujeto Obligado, </w:t>
      </w:r>
      <w:r w:rsidR="00232E27" w:rsidRPr="00EB3D68">
        <w:rPr>
          <w:rFonts w:ascii="Palatino Linotype" w:hAnsi="Palatino Linotype" w:cs="Tahoma"/>
          <w:sz w:val="22"/>
          <w:szCs w:val="22"/>
          <w:lang w:val="es-ES"/>
        </w:rPr>
        <w:t>a través de la Dirección General de Desarrollo Urbano</w:t>
      </w:r>
      <w:r w:rsidR="008649E6" w:rsidRPr="00EB3D68">
        <w:rPr>
          <w:rFonts w:ascii="Palatino Linotype" w:hAnsi="Palatino Linotype" w:cs="Tahoma"/>
          <w:sz w:val="22"/>
          <w:szCs w:val="22"/>
          <w:lang w:val="es-ES"/>
        </w:rPr>
        <w:t>,</w:t>
      </w:r>
      <w:r w:rsidR="00232E27" w:rsidRPr="00EB3D68">
        <w:rPr>
          <w:rFonts w:ascii="Palatino Linotype" w:hAnsi="Palatino Linotype" w:cs="Tahoma"/>
          <w:sz w:val="22"/>
          <w:szCs w:val="22"/>
          <w:lang w:val="es-ES"/>
        </w:rPr>
        <w:t xml:space="preserve"> Ecología y Medio Ambiente informó la cantidad de trámites </w:t>
      </w:r>
      <w:r w:rsidR="00C6691F" w:rsidRPr="00EB3D68">
        <w:rPr>
          <w:rFonts w:ascii="Palatino Linotype" w:hAnsi="Palatino Linotype" w:cs="Tahoma"/>
          <w:sz w:val="22"/>
          <w:szCs w:val="22"/>
          <w:lang w:val="es-ES"/>
        </w:rPr>
        <w:t xml:space="preserve">en </w:t>
      </w:r>
      <w:r w:rsidR="003C024A" w:rsidRPr="00EB3D68">
        <w:rPr>
          <w:rFonts w:ascii="Palatino Linotype" w:hAnsi="Palatino Linotype" w:cs="Tahoma"/>
          <w:sz w:val="22"/>
          <w:szCs w:val="22"/>
          <w:lang w:val="es-ES"/>
        </w:rPr>
        <w:t>proceso</w:t>
      </w:r>
      <w:r w:rsidR="00C6691F" w:rsidRPr="00EB3D68">
        <w:rPr>
          <w:rFonts w:ascii="Palatino Linotype" w:hAnsi="Palatino Linotype" w:cs="Tahoma"/>
          <w:sz w:val="22"/>
          <w:szCs w:val="22"/>
          <w:lang w:val="es-ES"/>
        </w:rPr>
        <w:t xml:space="preserve"> y concluidos</w:t>
      </w:r>
      <w:r w:rsidR="009A66B5" w:rsidRPr="00EB3D68">
        <w:rPr>
          <w:rFonts w:ascii="Palatino Linotype" w:hAnsi="Palatino Linotype" w:cs="Tahoma"/>
          <w:sz w:val="22"/>
          <w:szCs w:val="22"/>
          <w:lang w:val="es-ES"/>
        </w:rPr>
        <w:t xml:space="preserve"> con los que contaba</w:t>
      </w:r>
      <w:r w:rsidR="00C6691F" w:rsidRPr="00EB3D68">
        <w:rPr>
          <w:rFonts w:ascii="Palatino Linotype" w:hAnsi="Palatino Linotype" w:cs="Tahoma"/>
          <w:sz w:val="22"/>
          <w:szCs w:val="22"/>
          <w:lang w:val="es-ES"/>
        </w:rPr>
        <w:t xml:space="preserve">, por cuanto hace al nombre de particulares indicó que se trataba de información confidencial, por lo que </w:t>
      </w:r>
      <w:r w:rsidR="003C024A" w:rsidRPr="00EB3D68">
        <w:rPr>
          <w:rFonts w:ascii="Palatino Linotype" w:hAnsi="Palatino Linotype" w:cs="Tahoma"/>
          <w:sz w:val="22"/>
          <w:szCs w:val="22"/>
          <w:lang w:val="es-ES"/>
        </w:rPr>
        <w:t>dicho dato no podía</w:t>
      </w:r>
      <w:r w:rsidR="00C6691F" w:rsidRPr="00EB3D68">
        <w:rPr>
          <w:rFonts w:ascii="Palatino Linotype" w:hAnsi="Palatino Linotype" w:cs="Tahoma"/>
          <w:sz w:val="22"/>
          <w:szCs w:val="22"/>
          <w:lang w:val="es-ES"/>
        </w:rPr>
        <w:t xml:space="preserve"> ser p</w:t>
      </w:r>
      <w:r w:rsidR="003C024A" w:rsidRPr="00EB3D68">
        <w:rPr>
          <w:rFonts w:ascii="Palatino Linotype" w:hAnsi="Palatino Linotype" w:cs="Tahoma"/>
          <w:sz w:val="22"/>
          <w:szCs w:val="22"/>
          <w:lang w:val="es-ES"/>
        </w:rPr>
        <w:t>roporcionado</w:t>
      </w:r>
      <w:r w:rsidRPr="00EB3D68">
        <w:rPr>
          <w:rFonts w:ascii="Palatino Linotype" w:eastAsia="Calibri" w:hAnsi="Palatino Linotype" w:cs="Tahoma"/>
          <w:color w:val="000000"/>
          <w:sz w:val="22"/>
          <w:szCs w:val="22"/>
          <w:lang w:val="es-ES"/>
        </w:rPr>
        <w:t>;</w:t>
      </w:r>
      <w:r w:rsidRPr="00EB3D68">
        <w:rPr>
          <w:rFonts w:ascii="Palatino Linotype" w:hAnsi="Palatino Linotype" w:cs="Tahoma"/>
          <w:sz w:val="22"/>
          <w:szCs w:val="22"/>
          <w:lang w:val="es-ES"/>
        </w:rPr>
        <w:t xml:space="preserve"> ante dicha circunstancia, el Particular se agravió de la </w:t>
      </w:r>
      <w:r w:rsidR="00C6691F" w:rsidRPr="00EB3D68">
        <w:rPr>
          <w:rFonts w:ascii="Palatino Linotype" w:hAnsi="Palatino Linotype" w:cs="Tahoma"/>
          <w:sz w:val="22"/>
          <w:szCs w:val="22"/>
          <w:lang w:val="es-ES"/>
        </w:rPr>
        <w:t>clasificación de la información</w:t>
      </w:r>
      <w:r w:rsidRPr="00EB3D68">
        <w:rPr>
          <w:rFonts w:ascii="Palatino Linotype" w:hAnsi="Palatino Linotype" w:cs="Tahoma"/>
          <w:sz w:val="22"/>
          <w:szCs w:val="22"/>
        </w:rPr>
        <w:t xml:space="preserve">; </w:t>
      </w:r>
      <w:r w:rsidRPr="00EB3D68">
        <w:rPr>
          <w:rFonts w:ascii="Palatino Linotype" w:hAnsi="Palatino Linotype" w:cs="Tahoma"/>
          <w:sz w:val="22"/>
          <w:szCs w:val="22"/>
          <w:lang w:val="es-ES"/>
        </w:rPr>
        <w:t xml:space="preserve">circunstancia que </w:t>
      </w:r>
      <w:r w:rsidRPr="00EB3D68">
        <w:rPr>
          <w:rFonts w:ascii="Palatino Linotype" w:eastAsia="Calibri" w:hAnsi="Palatino Linotype" w:cs="Tahoma"/>
          <w:sz w:val="22"/>
          <w:szCs w:val="22"/>
        </w:rPr>
        <w:t>actualiza la</w:t>
      </w:r>
      <w:r w:rsidR="00A17058" w:rsidRPr="00EB3D68">
        <w:rPr>
          <w:rFonts w:ascii="Palatino Linotype" w:eastAsia="Calibri" w:hAnsi="Palatino Linotype" w:cs="Tahoma"/>
          <w:sz w:val="22"/>
          <w:szCs w:val="22"/>
        </w:rPr>
        <w:t>s</w:t>
      </w:r>
      <w:r w:rsidRPr="00EB3D68">
        <w:rPr>
          <w:rFonts w:ascii="Palatino Linotype" w:eastAsia="Calibri" w:hAnsi="Palatino Linotype" w:cs="Tahoma"/>
          <w:sz w:val="22"/>
          <w:szCs w:val="22"/>
        </w:rPr>
        <w:t xml:space="preserve"> causal</w:t>
      </w:r>
      <w:r w:rsidR="00A17058" w:rsidRPr="00EB3D68">
        <w:rPr>
          <w:rFonts w:ascii="Palatino Linotype" w:eastAsia="Calibri" w:hAnsi="Palatino Linotype" w:cs="Tahoma"/>
          <w:sz w:val="22"/>
          <w:szCs w:val="22"/>
        </w:rPr>
        <w:t>es</w:t>
      </w:r>
      <w:r w:rsidRPr="00EB3D68">
        <w:rPr>
          <w:rFonts w:ascii="Palatino Linotype" w:eastAsia="Calibri" w:hAnsi="Palatino Linotype" w:cs="Tahoma"/>
          <w:sz w:val="22"/>
          <w:szCs w:val="22"/>
        </w:rPr>
        <w:t xml:space="preserve"> de procedencia prevista</w:t>
      </w:r>
      <w:r w:rsidR="00A17058" w:rsidRPr="00EB3D68">
        <w:rPr>
          <w:rFonts w:ascii="Palatino Linotype" w:eastAsia="Calibri" w:hAnsi="Palatino Linotype" w:cs="Tahoma"/>
          <w:sz w:val="22"/>
          <w:szCs w:val="22"/>
        </w:rPr>
        <w:t>s</w:t>
      </w:r>
      <w:r w:rsidRPr="00EB3D68">
        <w:rPr>
          <w:rFonts w:ascii="Palatino Linotype" w:eastAsia="Calibri" w:hAnsi="Palatino Linotype" w:cs="Tahoma"/>
          <w:sz w:val="22"/>
          <w:szCs w:val="22"/>
        </w:rPr>
        <w:t xml:space="preserve"> en la fracci</w:t>
      </w:r>
      <w:r w:rsidR="00A17058" w:rsidRPr="00EB3D68">
        <w:rPr>
          <w:rFonts w:ascii="Palatino Linotype" w:eastAsia="Calibri" w:hAnsi="Palatino Linotype" w:cs="Tahoma"/>
          <w:sz w:val="22"/>
          <w:szCs w:val="22"/>
        </w:rPr>
        <w:t>ones</w:t>
      </w:r>
      <w:r w:rsidRPr="00EB3D68">
        <w:rPr>
          <w:rFonts w:ascii="Palatino Linotype" w:eastAsia="Calibri" w:hAnsi="Palatino Linotype" w:cs="Tahoma"/>
          <w:sz w:val="22"/>
          <w:szCs w:val="22"/>
        </w:rPr>
        <w:t xml:space="preserve"> </w:t>
      </w:r>
      <w:r w:rsidR="003C024A" w:rsidRPr="00EB3D68">
        <w:rPr>
          <w:rFonts w:ascii="Palatino Linotype" w:eastAsia="Calibri" w:hAnsi="Palatino Linotype" w:cs="Tahoma"/>
          <w:sz w:val="22"/>
          <w:szCs w:val="22"/>
        </w:rPr>
        <w:t>II</w:t>
      </w:r>
      <w:r w:rsidR="00A17058" w:rsidRPr="00EB3D68">
        <w:rPr>
          <w:rFonts w:ascii="Palatino Linotype" w:eastAsia="Calibri" w:hAnsi="Palatino Linotype" w:cs="Tahoma"/>
          <w:sz w:val="22"/>
          <w:szCs w:val="22"/>
        </w:rPr>
        <w:t xml:space="preserve"> y V</w:t>
      </w:r>
      <w:r w:rsidRPr="00EB3D68">
        <w:rPr>
          <w:rFonts w:ascii="Palatino Linotype" w:eastAsia="Calibri" w:hAnsi="Palatino Linotype" w:cs="Tahoma"/>
          <w:sz w:val="22"/>
          <w:szCs w:val="22"/>
        </w:rPr>
        <w:t>, del artículo 179 de la Ley de Transparencia y Acceso a la Información Pública del</w:t>
      </w:r>
      <w:r w:rsidR="003C024A" w:rsidRPr="00EB3D68">
        <w:rPr>
          <w:rFonts w:ascii="Palatino Linotype" w:eastAsia="Calibri" w:hAnsi="Palatino Linotype" w:cs="Tahoma"/>
          <w:sz w:val="22"/>
          <w:szCs w:val="22"/>
        </w:rPr>
        <w:t xml:space="preserve"> Estado de México y Municipios</w:t>
      </w:r>
      <w:r w:rsidR="00A17058" w:rsidRPr="00EB3D68">
        <w:rPr>
          <w:rFonts w:ascii="Palatino Linotype" w:eastAsia="Calibri" w:hAnsi="Palatino Linotype" w:cs="Tahoma"/>
          <w:sz w:val="22"/>
          <w:szCs w:val="22"/>
        </w:rPr>
        <w:t>, que corresponden a la clasificación de la información y la entrega incompleta</w:t>
      </w:r>
      <w:r w:rsidR="003C024A" w:rsidRPr="00EB3D68">
        <w:rPr>
          <w:rFonts w:ascii="Palatino Linotype" w:eastAsia="Calibri" w:hAnsi="Palatino Linotype" w:cs="Tahoma"/>
          <w:sz w:val="22"/>
          <w:szCs w:val="22"/>
        </w:rPr>
        <w:t xml:space="preserve">. </w:t>
      </w:r>
      <w:r w:rsidRPr="00EB3D68">
        <w:rPr>
          <w:rFonts w:ascii="Palatino Linotype" w:eastAsia="Calibri" w:hAnsi="Palatino Linotype" w:cs="Tahoma"/>
          <w:sz w:val="22"/>
          <w:szCs w:val="22"/>
        </w:rPr>
        <w:t xml:space="preserve">Así, las cosas, una vez admitido y notificado el Recurso de Revisión a las partes, </w:t>
      </w:r>
      <w:r w:rsidR="003C024A" w:rsidRPr="00EB3D68">
        <w:rPr>
          <w:rFonts w:ascii="Palatino Linotype" w:eastAsia="Calibri" w:hAnsi="Palatino Linotype" w:cs="Tahoma"/>
          <w:sz w:val="22"/>
          <w:szCs w:val="22"/>
        </w:rPr>
        <w:t>el Sujeto Obligado ratificó su respuesta inicial.</w:t>
      </w:r>
    </w:p>
    <w:p w14:paraId="598B0E46" w14:textId="77777777" w:rsidR="00F316EC" w:rsidRPr="00EB3D68" w:rsidRDefault="00F316EC" w:rsidP="00F316EC">
      <w:pPr>
        <w:autoSpaceDE w:val="0"/>
        <w:autoSpaceDN w:val="0"/>
        <w:adjustRightInd w:val="0"/>
        <w:spacing w:line="360" w:lineRule="auto"/>
        <w:contextualSpacing/>
        <w:jc w:val="both"/>
        <w:rPr>
          <w:rFonts w:ascii="Palatino Linotype" w:eastAsia="Calibri" w:hAnsi="Palatino Linotype" w:cs="Tahoma"/>
          <w:iCs/>
          <w:sz w:val="22"/>
          <w:szCs w:val="22"/>
          <w:lang w:val="es-ES" w:eastAsia="es-ES_tradnl"/>
        </w:rPr>
      </w:pPr>
    </w:p>
    <w:p w14:paraId="46AF687A" w14:textId="551CDD7B" w:rsidR="00F316EC" w:rsidRPr="00EB3D68" w:rsidRDefault="00F316EC" w:rsidP="00F316EC">
      <w:pPr>
        <w:autoSpaceDE w:val="0"/>
        <w:autoSpaceDN w:val="0"/>
        <w:adjustRightInd w:val="0"/>
        <w:spacing w:line="360" w:lineRule="auto"/>
        <w:contextualSpacing/>
        <w:jc w:val="both"/>
        <w:rPr>
          <w:rFonts w:ascii="Palatino Linotype" w:hAnsi="Palatino Linotype" w:cs="Tahoma"/>
          <w:bCs/>
          <w:sz w:val="22"/>
          <w:szCs w:val="22"/>
        </w:rPr>
      </w:pPr>
      <w:r w:rsidRPr="00EB3D68">
        <w:rPr>
          <w:rFonts w:ascii="Palatino Linotype" w:hAnsi="Palatino Linotype" w:cs="Tahoma"/>
          <w:iCs/>
          <w:sz w:val="22"/>
          <w:szCs w:val="22"/>
          <w:lang w:val="es-ES" w:eastAsia="es-ES_tradnl"/>
        </w:rPr>
        <w:t>Lo anterior, se desprende de las documentales que obran en el expediente de referencia, materia de la presente resolución, consistente en: la solicitud de acceso a la información,</w:t>
      </w:r>
      <w:r w:rsidRPr="00EB3D68">
        <w:rPr>
          <w:rFonts w:ascii="Palatino Linotype" w:hAnsi="Palatino Linotype" w:cs="Tahoma"/>
          <w:iCs/>
          <w:sz w:val="22"/>
          <w:szCs w:val="22"/>
          <w:lang w:eastAsia="es-ES_tradnl"/>
        </w:rPr>
        <w:t xml:space="preserve"> la respuesta proporcionada, el escrito </w:t>
      </w:r>
      <w:proofErr w:type="spellStart"/>
      <w:r w:rsidRPr="00EB3D68">
        <w:rPr>
          <w:rFonts w:ascii="Palatino Linotype" w:hAnsi="Palatino Linotype" w:cs="Tahoma"/>
          <w:iCs/>
          <w:sz w:val="22"/>
          <w:szCs w:val="22"/>
          <w:lang w:eastAsia="es-ES_tradnl"/>
        </w:rPr>
        <w:t>recursal</w:t>
      </w:r>
      <w:proofErr w:type="spellEnd"/>
      <w:r w:rsidRPr="00EB3D68">
        <w:rPr>
          <w:rFonts w:ascii="Palatino Linotype" w:hAnsi="Palatino Linotype" w:cs="Tahoma"/>
          <w:iCs/>
          <w:sz w:val="22"/>
          <w:szCs w:val="22"/>
          <w:lang w:eastAsia="es-ES_tradnl"/>
        </w:rPr>
        <w:t xml:space="preserve">, y </w:t>
      </w:r>
      <w:r w:rsidR="003C024A" w:rsidRPr="00EB3D68">
        <w:rPr>
          <w:rFonts w:ascii="Palatino Linotype" w:hAnsi="Palatino Linotype" w:cs="Tahoma"/>
          <w:iCs/>
          <w:sz w:val="22"/>
          <w:szCs w:val="22"/>
          <w:lang w:eastAsia="es-ES_tradnl"/>
        </w:rPr>
        <w:t>el informe justificado</w:t>
      </w:r>
      <w:r w:rsidRPr="00EB3D68">
        <w:rPr>
          <w:rFonts w:ascii="Palatino Linotype" w:hAnsi="Palatino Linotype" w:cs="Tahoma"/>
          <w:iCs/>
          <w:sz w:val="22"/>
          <w:szCs w:val="22"/>
          <w:lang w:eastAsia="es-ES_tradnl"/>
        </w:rPr>
        <w:t xml:space="preserve">; </w:t>
      </w:r>
      <w:r w:rsidRPr="00EB3D68">
        <w:rPr>
          <w:rFonts w:ascii="Palatino Linotype"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r w:rsidRPr="00EB3D68">
        <w:rPr>
          <w:rFonts w:ascii="Palatino Linotype" w:hAnsi="Palatino Linotype" w:cs="Tahoma"/>
          <w:b/>
          <w:sz w:val="22"/>
          <w:szCs w:val="22"/>
        </w:rPr>
        <w:t xml:space="preserve"> </w:t>
      </w:r>
      <w:r w:rsidR="00212EEF" w:rsidRPr="00EB3D68">
        <w:rPr>
          <w:rFonts w:ascii="Palatino Linotype" w:hAnsi="Palatino Linotype" w:cs="Tahoma"/>
          <w:b/>
          <w:sz w:val="22"/>
          <w:szCs w:val="22"/>
        </w:rPr>
        <w:t>Cabe señalar que el Recurrente fue omiso en realizar manifestaciones o alegatos.</w:t>
      </w:r>
    </w:p>
    <w:p w14:paraId="5247E104" w14:textId="77777777" w:rsidR="00F316EC" w:rsidRPr="00EB3D68" w:rsidRDefault="00F316EC" w:rsidP="00F316EC">
      <w:pPr>
        <w:spacing w:line="360" w:lineRule="auto"/>
        <w:contextualSpacing/>
        <w:jc w:val="both"/>
        <w:rPr>
          <w:rFonts w:ascii="Palatino Linotype" w:hAnsi="Palatino Linotype" w:cs="Tahoma"/>
          <w:b/>
          <w:sz w:val="22"/>
          <w:szCs w:val="22"/>
        </w:rPr>
      </w:pPr>
    </w:p>
    <w:p w14:paraId="2A904859" w14:textId="77777777" w:rsidR="00F316EC" w:rsidRPr="00EB3D68" w:rsidRDefault="00F316EC" w:rsidP="00F316EC">
      <w:pPr>
        <w:spacing w:line="360" w:lineRule="auto"/>
        <w:contextualSpacing/>
        <w:jc w:val="both"/>
        <w:rPr>
          <w:rFonts w:ascii="Palatino Linotype" w:hAnsi="Palatino Linotype" w:cs="Tahoma"/>
          <w:b/>
          <w:sz w:val="22"/>
          <w:szCs w:val="22"/>
        </w:rPr>
      </w:pPr>
      <w:r w:rsidRPr="00EB3D68">
        <w:rPr>
          <w:rFonts w:ascii="Palatino Linotype" w:hAnsi="Palatino Linotype" w:cs="Tahoma"/>
          <w:b/>
          <w:sz w:val="22"/>
          <w:szCs w:val="22"/>
        </w:rPr>
        <w:lastRenderedPageBreak/>
        <w:t>CUARTO. Marco normativo aplicable en materia de transparencia y acceso a la información pública</w:t>
      </w:r>
    </w:p>
    <w:p w14:paraId="7C343567"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 xml:space="preserve"> </w:t>
      </w:r>
    </w:p>
    <w:p w14:paraId="79F19DA9"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53A564E"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 xml:space="preserve"> </w:t>
      </w:r>
    </w:p>
    <w:p w14:paraId="6A0DB631"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La Ley General de Transparencia y Acceso a la Información Pública vigente a la fecha de la solicitud, dispone en su artículo 70, la información que se considera corresponde a las Obligaciones de Transparencia, la cual debe estar disponible para cualquier persona de manera permanente y actualizada.</w:t>
      </w:r>
    </w:p>
    <w:p w14:paraId="2B13570F"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 xml:space="preserve"> </w:t>
      </w:r>
    </w:p>
    <w:p w14:paraId="1FFFAB73"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E611BD1"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 xml:space="preserve"> </w:t>
      </w:r>
    </w:p>
    <w:p w14:paraId="5E74EDE0"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Por su parte, la Ley de Transparencia y Acceso a la Información Pública del Estado de México y Municipios (Reglamentaria del artículo 5° de la Constitución Local), establece lo siguiente:</w:t>
      </w:r>
    </w:p>
    <w:p w14:paraId="46D6991E"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 xml:space="preserve"> </w:t>
      </w:r>
    </w:p>
    <w:p w14:paraId="31BCFF92"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El artículo 12, que, quienes generen, recopilen, administren, manejen, procesen, archiven o conserven información pública serán responsables de la misma.</w:t>
      </w:r>
    </w:p>
    <w:p w14:paraId="3AA55E8E"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 xml:space="preserve"> </w:t>
      </w:r>
    </w:p>
    <w:p w14:paraId="7529313E"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4853188D"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 xml:space="preserve"> </w:t>
      </w:r>
    </w:p>
    <w:p w14:paraId="36E1AAF8" w14:textId="77777777"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A68CC75" w14:textId="77777777" w:rsidR="00F316EC" w:rsidRPr="00EB3D68" w:rsidRDefault="00F316EC" w:rsidP="00F316EC">
      <w:pPr>
        <w:spacing w:line="360" w:lineRule="auto"/>
        <w:contextualSpacing/>
        <w:jc w:val="both"/>
        <w:rPr>
          <w:rFonts w:ascii="Palatino Linotype" w:hAnsi="Palatino Linotype" w:cs="Tahoma"/>
          <w:b/>
          <w:sz w:val="22"/>
          <w:szCs w:val="22"/>
          <w:lang w:val="es-ES"/>
        </w:rPr>
      </w:pPr>
    </w:p>
    <w:p w14:paraId="7178483E" w14:textId="77777777" w:rsidR="00F316EC" w:rsidRPr="00EB3D68" w:rsidRDefault="00F316EC" w:rsidP="00F316EC">
      <w:pPr>
        <w:pStyle w:val="Ttulo2"/>
        <w:spacing w:before="0" w:after="0" w:line="360" w:lineRule="auto"/>
        <w:contextualSpacing/>
        <w:rPr>
          <w:rFonts w:ascii="Palatino Linotype" w:hAnsi="Palatino Linotype"/>
          <w:b/>
          <w:bCs/>
          <w:color w:val="auto"/>
          <w:sz w:val="22"/>
          <w:szCs w:val="22"/>
          <w:lang w:val="es-ES"/>
        </w:rPr>
      </w:pPr>
      <w:bookmarkStart w:id="14" w:name="_Toc190350689"/>
      <w:r w:rsidRPr="00EB3D68">
        <w:rPr>
          <w:rFonts w:ascii="Palatino Linotype" w:hAnsi="Palatino Linotype"/>
          <w:b/>
          <w:bCs/>
          <w:color w:val="auto"/>
          <w:sz w:val="22"/>
          <w:szCs w:val="22"/>
          <w:lang w:val="es-ES"/>
        </w:rPr>
        <w:t>QUINTO. Estudio de Fondo</w:t>
      </w:r>
      <w:bookmarkEnd w:id="14"/>
    </w:p>
    <w:p w14:paraId="2E786504" w14:textId="77777777" w:rsidR="00F316EC" w:rsidRPr="00EB3D68" w:rsidRDefault="00F316EC" w:rsidP="00F316EC">
      <w:pPr>
        <w:spacing w:line="360" w:lineRule="auto"/>
        <w:contextualSpacing/>
        <w:jc w:val="both"/>
        <w:rPr>
          <w:rFonts w:ascii="Palatino Linotype" w:hAnsi="Palatino Linotype" w:cs="Tahoma"/>
          <w:bCs/>
          <w:sz w:val="22"/>
          <w:szCs w:val="22"/>
        </w:rPr>
      </w:pPr>
    </w:p>
    <w:p w14:paraId="73165909" w14:textId="6E2CB828" w:rsidR="009A66B5" w:rsidRPr="00EB3D68" w:rsidRDefault="00F316EC" w:rsidP="009A66B5">
      <w:pPr>
        <w:spacing w:line="360" w:lineRule="auto"/>
        <w:contextualSpacing/>
        <w:jc w:val="both"/>
        <w:rPr>
          <w:rFonts w:ascii="Palatino Linotype" w:hAnsi="Palatino Linotype" w:cs="Tahoma"/>
          <w:sz w:val="22"/>
          <w:szCs w:val="22"/>
        </w:rPr>
      </w:pPr>
      <w:r w:rsidRPr="00EB3D68">
        <w:rPr>
          <w:rFonts w:ascii="Palatino Linotype" w:hAnsi="Palatino Linotype" w:cs="Tahoma"/>
          <w:sz w:val="22"/>
          <w:szCs w:val="22"/>
        </w:rPr>
        <w:t xml:space="preserve">Expuestas las posturas de las partes, se procede a realizar el análisis de los agravios hechos valer por el ahora Recurrente, concernientes a la </w:t>
      </w:r>
      <w:r w:rsidR="00212EEF" w:rsidRPr="00EB3D68">
        <w:rPr>
          <w:rFonts w:ascii="Palatino Linotype" w:hAnsi="Palatino Linotype" w:cs="Tahoma"/>
          <w:sz w:val="22"/>
          <w:szCs w:val="22"/>
        </w:rPr>
        <w:t>clasificación de la información</w:t>
      </w:r>
      <w:r w:rsidRPr="00EB3D68">
        <w:rPr>
          <w:rFonts w:ascii="Palatino Linotype" w:hAnsi="Palatino Linotype" w:cs="Tahoma"/>
          <w:sz w:val="22"/>
          <w:szCs w:val="22"/>
        </w:rPr>
        <w:t>, por lo que en principio se procede a contextualizar la solicitud de información,</w:t>
      </w:r>
      <w:r w:rsidR="00212EEF" w:rsidRPr="00EB3D68">
        <w:rPr>
          <w:rFonts w:ascii="Palatino Linotype" w:hAnsi="Palatino Linotype" w:cs="Tahoma"/>
          <w:sz w:val="22"/>
          <w:szCs w:val="22"/>
        </w:rPr>
        <w:t xml:space="preserve"> por lo que resulta conveniente recordar que el Particular </w:t>
      </w:r>
      <w:r w:rsidR="009A66B5" w:rsidRPr="00EB3D68">
        <w:rPr>
          <w:rFonts w:ascii="Palatino Linotype" w:hAnsi="Palatino Linotype" w:cs="Tahoma"/>
          <w:sz w:val="22"/>
          <w:szCs w:val="22"/>
        </w:rPr>
        <w:t>requirió un listado de trámites ingresados a la Dirección de Desarrollo Urbano con el número de trámite, estatus de avance, y nombre de los solicitantes, generado al veinticuatro de enero de dos mil veinticinco.</w:t>
      </w:r>
    </w:p>
    <w:p w14:paraId="4B140B84" w14:textId="77777777" w:rsidR="00144B0F" w:rsidRPr="00EB3D68" w:rsidRDefault="00144B0F" w:rsidP="009A66B5">
      <w:pPr>
        <w:spacing w:line="360" w:lineRule="auto"/>
        <w:contextualSpacing/>
        <w:jc w:val="both"/>
        <w:rPr>
          <w:rFonts w:ascii="Palatino Linotype" w:hAnsi="Palatino Linotype" w:cs="Tahoma"/>
          <w:sz w:val="22"/>
          <w:szCs w:val="22"/>
        </w:rPr>
      </w:pPr>
    </w:p>
    <w:p w14:paraId="5E468A7E" w14:textId="77597DCC" w:rsidR="00144B0F" w:rsidRPr="00EB3D68" w:rsidRDefault="00144B0F" w:rsidP="00144B0F">
      <w:pPr>
        <w:spacing w:line="360" w:lineRule="auto"/>
        <w:contextualSpacing/>
        <w:jc w:val="both"/>
        <w:rPr>
          <w:rFonts w:ascii="Palatino Linotype" w:hAnsi="Palatino Linotype" w:cs="Tahoma"/>
          <w:sz w:val="22"/>
          <w:szCs w:val="22"/>
        </w:rPr>
      </w:pPr>
      <w:r w:rsidRPr="00EB3D68">
        <w:rPr>
          <w:rFonts w:ascii="Palatino Linotype" w:hAnsi="Palatino Linotype" w:cs="Tahoma"/>
          <w:sz w:val="22"/>
          <w:szCs w:val="22"/>
        </w:rPr>
        <w:t xml:space="preserve">Así, derivado de la respuesta, el Solicitante interpuso Recurso de Revisión, en donde aparte de inconformarse de la clasificación de la información requirió; </w:t>
      </w:r>
      <w:r w:rsidRPr="00EB3D68">
        <w:rPr>
          <w:rFonts w:ascii="Palatino Linotype" w:hAnsi="Palatino Linotype"/>
          <w:i/>
          <w:color w:val="000000"/>
          <w:sz w:val="22"/>
          <w:szCs w:val="22"/>
        </w:rPr>
        <w:t>el listado puede llevar nombres (iniciales) domicilio (localidad) fecha de ingreso</w:t>
      </w:r>
      <w:r w:rsidRPr="00EB3D68">
        <w:rPr>
          <w:rFonts w:ascii="Palatino Linotype" w:hAnsi="Palatino Linotype" w:cs="Tahoma"/>
          <w:sz w:val="22"/>
          <w:szCs w:val="22"/>
        </w:rPr>
        <w:t xml:space="preserve">. En ese sentido, del contraste entre el planteamiento formulado en la solicitud de información y las manifestaciones vertidas por el ahora Recurrente, a través de su escrito </w:t>
      </w:r>
      <w:proofErr w:type="spellStart"/>
      <w:r w:rsidRPr="00EB3D68">
        <w:rPr>
          <w:rFonts w:ascii="Palatino Linotype" w:hAnsi="Palatino Linotype" w:cs="Tahoma"/>
          <w:sz w:val="22"/>
          <w:szCs w:val="22"/>
        </w:rPr>
        <w:t>recursal</w:t>
      </w:r>
      <w:proofErr w:type="spellEnd"/>
      <w:r w:rsidRPr="00EB3D68">
        <w:rPr>
          <w:rFonts w:ascii="Palatino Linotype" w:hAnsi="Palatino Linotype" w:cs="Tahoma"/>
          <w:sz w:val="22"/>
          <w:szCs w:val="22"/>
        </w:rPr>
        <w:t>, se colige que a través de este pretende obtener la información diversa a la originalmente solicitada.</w:t>
      </w:r>
    </w:p>
    <w:p w14:paraId="533BF4D7" w14:textId="77777777" w:rsidR="00144B0F" w:rsidRPr="00EB3D68" w:rsidRDefault="00144B0F" w:rsidP="00144B0F">
      <w:pPr>
        <w:spacing w:line="360" w:lineRule="auto"/>
        <w:contextualSpacing/>
        <w:jc w:val="both"/>
        <w:rPr>
          <w:rFonts w:ascii="Palatino Linotype" w:hAnsi="Palatino Linotype" w:cs="Tahoma"/>
          <w:sz w:val="22"/>
          <w:szCs w:val="22"/>
        </w:rPr>
      </w:pPr>
    </w:p>
    <w:p w14:paraId="3E2CB99E" w14:textId="77777777" w:rsidR="00144B0F" w:rsidRPr="00EB3D68" w:rsidRDefault="00144B0F" w:rsidP="00144B0F">
      <w:pPr>
        <w:spacing w:line="360" w:lineRule="auto"/>
        <w:contextualSpacing/>
        <w:jc w:val="both"/>
        <w:rPr>
          <w:rFonts w:ascii="Palatino Linotype" w:hAnsi="Palatino Linotype" w:cs="Tahoma"/>
          <w:sz w:val="22"/>
          <w:szCs w:val="22"/>
        </w:rPr>
      </w:pPr>
      <w:r w:rsidRPr="00EB3D68">
        <w:rPr>
          <w:rFonts w:ascii="Palatino Linotype" w:hAnsi="Palatino Linotype" w:cs="Tahoma"/>
          <w:sz w:val="22"/>
          <w:szCs w:val="22"/>
        </w:rPr>
        <w:lastRenderedPageBreak/>
        <w:t>En ese orden de ideas, dicha situación no puede constituir materia de estudio del presente Recurso de Revisión, debido a que la solicitud de información debe ser apreciada en los términos en que fue planteada originalmente ante el Sujeto Obligado, sin variar en el fondo la controversia, ni constituir un nuevo requerimiento informativo.</w:t>
      </w:r>
    </w:p>
    <w:p w14:paraId="54D9B03F" w14:textId="77777777" w:rsidR="00144B0F" w:rsidRPr="00EB3D68" w:rsidRDefault="00144B0F" w:rsidP="00144B0F">
      <w:pPr>
        <w:spacing w:line="360" w:lineRule="auto"/>
        <w:contextualSpacing/>
        <w:jc w:val="both"/>
        <w:rPr>
          <w:rFonts w:ascii="Palatino Linotype" w:hAnsi="Palatino Linotype" w:cs="Tahoma"/>
          <w:sz w:val="22"/>
          <w:szCs w:val="22"/>
        </w:rPr>
      </w:pPr>
    </w:p>
    <w:p w14:paraId="3E4B5686" w14:textId="5CC2EB9F" w:rsidR="00144B0F" w:rsidRPr="00EB3D68" w:rsidRDefault="00144B0F" w:rsidP="00144B0F">
      <w:pPr>
        <w:spacing w:line="360" w:lineRule="auto"/>
        <w:contextualSpacing/>
        <w:jc w:val="both"/>
        <w:rPr>
          <w:rFonts w:ascii="Palatino Linotype" w:hAnsi="Palatino Linotype" w:cs="Tahoma"/>
          <w:sz w:val="22"/>
          <w:szCs w:val="22"/>
        </w:rPr>
      </w:pPr>
      <w:r w:rsidRPr="00EB3D68">
        <w:rPr>
          <w:rFonts w:ascii="Palatino Linotype" w:hAnsi="Palatino Linotype" w:cs="Tahoma"/>
          <w:sz w:val="22"/>
          <w:szCs w:val="22"/>
        </w:rPr>
        <w:t xml:space="preserve">Al respecto, resulta pertinente citar, </w:t>
      </w:r>
      <w:r w:rsidR="00A17058" w:rsidRPr="00EB3D68">
        <w:rPr>
          <w:rFonts w:ascii="Palatino Linotype" w:hAnsi="Palatino Linotype" w:cs="Tahoma"/>
          <w:sz w:val="22"/>
          <w:szCs w:val="22"/>
        </w:rPr>
        <w:t>como criterio orientados</w:t>
      </w:r>
      <w:r w:rsidRPr="00EB3D68">
        <w:rPr>
          <w:rFonts w:ascii="Palatino Linotype" w:hAnsi="Palatino Linotype" w:cs="Tahoma"/>
          <w:sz w:val="22"/>
          <w:szCs w:val="22"/>
        </w:rPr>
        <w:t xml:space="preserve"> </w:t>
      </w:r>
      <w:r w:rsidR="00A17058" w:rsidRPr="00EB3D68">
        <w:rPr>
          <w:rFonts w:ascii="Palatino Linotype" w:hAnsi="Palatino Linotype" w:cs="Tahoma"/>
          <w:sz w:val="22"/>
          <w:szCs w:val="22"/>
        </w:rPr>
        <w:t xml:space="preserve">el </w:t>
      </w:r>
      <w:r w:rsidRPr="00EB3D68">
        <w:rPr>
          <w:rFonts w:ascii="Palatino Linotype" w:hAnsi="Palatino Linotype" w:cs="Tahoma"/>
          <w:sz w:val="22"/>
          <w:szCs w:val="22"/>
        </w:rPr>
        <w:t>Criterio de Interpretación, de la Segunda Época, con número de registro SO/001/2017, emitido por</w:t>
      </w:r>
      <w:r w:rsidR="00A17058" w:rsidRPr="00EB3D68">
        <w:rPr>
          <w:rFonts w:ascii="Palatino Linotype" w:hAnsi="Palatino Linotype" w:cs="Tahoma"/>
          <w:sz w:val="22"/>
          <w:szCs w:val="22"/>
        </w:rPr>
        <w:t xml:space="preserve"> extinto</w:t>
      </w:r>
      <w:r w:rsidRPr="00EB3D68">
        <w:rPr>
          <w:rFonts w:ascii="Palatino Linotype" w:hAnsi="Palatino Linotype" w:cs="Tahoma"/>
          <w:sz w:val="22"/>
          <w:szCs w:val="22"/>
        </w:rPr>
        <w:t xml:space="preserve"> Instituto Nacional de Transparencia, Acceso a la Información y Protección de Datos Personales, el cual indica que no resulta procedente ampliar vía recurso de revisión, las solicitudes de información:</w:t>
      </w:r>
    </w:p>
    <w:p w14:paraId="6B433343" w14:textId="77777777" w:rsidR="00144B0F" w:rsidRPr="00EB3D68" w:rsidRDefault="00144B0F" w:rsidP="00144B0F">
      <w:pPr>
        <w:spacing w:line="360" w:lineRule="auto"/>
        <w:contextualSpacing/>
        <w:jc w:val="both"/>
        <w:rPr>
          <w:rFonts w:ascii="Palatino Linotype" w:hAnsi="Palatino Linotype" w:cs="Tahoma"/>
          <w:sz w:val="22"/>
          <w:szCs w:val="22"/>
        </w:rPr>
      </w:pPr>
    </w:p>
    <w:p w14:paraId="0C12705A" w14:textId="77777777" w:rsidR="00144B0F" w:rsidRPr="00EB3D68" w:rsidRDefault="00144B0F" w:rsidP="00144B0F">
      <w:pPr>
        <w:spacing w:line="360" w:lineRule="auto"/>
        <w:ind w:left="567" w:right="567"/>
        <w:contextualSpacing/>
        <w:jc w:val="both"/>
        <w:rPr>
          <w:rFonts w:ascii="Palatino Linotype" w:hAnsi="Palatino Linotype" w:cs="Tahoma"/>
          <w:i/>
        </w:rPr>
      </w:pPr>
      <w:r w:rsidRPr="00EB3D68">
        <w:rPr>
          <w:rFonts w:ascii="Palatino Linotype" w:hAnsi="Palatino Linotype" w:cs="Tahoma"/>
          <w:i/>
        </w:rPr>
        <w:t>“</w:t>
      </w:r>
      <w:r w:rsidRPr="00EB3D68">
        <w:rPr>
          <w:rFonts w:ascii="Palatino Linotype" w:hAnsi="Palatino Linotype" w:cs="Tahoma"/>
          <w:b/>
          <w:i/>
        </w:rPr>
        <w:t>Es improcedente ampliar las solicitudes de acceso a información, a través de la interposición del recurso de revisión.</w:t>
      </w:r>
      <w:r w:rsidRPr="00EB3D68">
        <w:rPr>
          <w:rFonts w:ascii="Palatino Linotype" w:hAnsi="Palatino Linotype" w:cs="Tahoma"/>
          <w:i/>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3A6CEC76" w14:textId="77777777" w:rsidR="00144B0F" w:rsidRPr="00EB3D68" w:rsidRDefault="00144B0F" w:rsidP="00144B0F">
      <w:pPr>
        <w:spacing w:line="360" w:lineRule="auto"/>
        <w:contextualSpacing/>
        <w:jc w:val="both"/>
        <w:rPr>
          <w:rFonts w:ascii="Palatino Linotype" w:hAnsi="Palatino Linotype" w:cs="Tahoma"/>
          <w:sz w:val="22"/>
          <w:szCs w:val="22"/>
        </w:rPr>
      </w:pPr>
    </w:p>
    <w:p w14:paraId="258A40EC" w14:textId="395D9ED0" w:rsidR="00F316EC" w:rsidRPr="00EB3D68" w:rsidRDefault="00144B0F" w:rsidP="00144B0F">
      <w:pPr>
        <w:spacing w:line="360" w:lineRule="auto"/>
        <w:contextualSpacing/>
        <w:jc w:val="both"/>
        <w:rPr>
          <w:rFonts w:ascii="Palatino Linotype" w:hAnsi="Palatino Linotype" w:cs="Tahoma"/>
          <w:sz w:val="22"/>
          <w:szCs w:val="22"/>
        </w:rPr>
      </w:pPr>
      <w:r w:rsidRPr="00EB3D68">
        <w:rPr>
          <w:rFonts w:ascii="Palatino Linotype" w:hAnsi="Palatino Linotype" w:cs="Tahoma"/>
          <w:sz w:val="22"/>
          <w:szCs w:val="22"/>
        </w:rPr>
        <w:t>Además, es importante señalar que el Recurso de Revisión no fue diseñado para impugnar cuestiones que no fueron objeto de la solicitud de información presentada inicialmente, pues de lo contrario tendría que analizarse dicho recurso a la luz de argumentos que no fueron del conocimiento del Sujeto Obligado y, en consecuencia, no fueron comprendidos en la respuesta que se impugna</w:t>
      </w:r>
      <w:r w:rsidR="00A17058" w:rsidRPr="00EB3D68">
        <w:rPr>
          <w:rFonts w:ascii="Palatino Linotype" w:hAnsi="Palatino Linotype" w:cs="Tahoma"/>
          <w:sz w:val="22"/>
          <w:szCs w:val="22"/>
        </w:rPr>
        <w:t xml:space="preserve">, ya que la persona Recurrente no solicitó domicilio ni fecha de ingreso del trámite, además se advierte que cambia su solicitud cuando en lugar de requerir el nombre, desea que este sea sustituido por las iniciales de los nombres, de tal suerte que la información </w:t>
      </w:r>
      <w:r w:rsidR="00A17058" w:rsidRPr="00EB3D68">
        <w:rPr>
          <w:rFonts w:ascii="Palatino Linotype" w:hAnsi="Palatino Linotype" w:cs="Tahoma"/>
          <w:sz w:val="22"/>
          <w:szCs w:val="22"/>
        </w:rPr>
        <w:lastRenderedPageBreak/>
        <w:t>se entregue anonimizada, lo que es opuesto a solicitar el nombre ya que este sí hace identificable al solicitante del trámite.</w:t>
      </w:r>
    </w:p>
    <w:p w14:paraId="77FD4239" w14:textId="77777777" w:rsidR="00144B0F" w:rsidRPr="00EB3D68" w:rsidRDefault="00144B0F" w:rsidP="00F316EC">
      <w:pPr>
        <w:spacing w:line="360" w:lineRule="auto"/>
        <w:ind w:right="-28"/>
        <w:contextualSpacing/>
        <w:jc w:val="both"/>
        <w:rPr>
          <w:rFonts w:ascii="Palatino Linotype" w:eastAsia="Palatino Linotype" w:hAnsi="Palatino Linotype" w:cs="Palatino Linotype"/>
          <w:sz w:val="22"/>
          <w:szCs w:val="22"/>
        </w:rPr>
      </w:pPr>
    </w:p>
    <w:p w14:paraId="43E97420" w14:textId="0A1F4133" w:rsidR="00F316EC" w:rsidRPr="00EB3D68" w:rsidRDefault="00F316EC" w:rsidP="00F316EC">
      <w:pPr>
        <w:spacing w:line="360" w:lineRule="auto"/>
        <w:ind w:right="-28"/>
        <w:contextualSpacing/>
        <w:jc w:val="both"/>
        <w:rPr>
          <w:rFonts w:ascii="Palatino Linotype" w:eastAsia="Palatino Linotype" w:hAnsi="Palatino Linotype" w:cs="Palatino Linotype"/>
          <w:sz w:val="22"/>
          <w:szCs w:val="22"/>
        </w:rPr>
      </w:pPr>
      <w:r w:rsidRPr="00EB3D68">
        <w:rPr>
          <w:rFonts w:ascii="Palatino Linotype" w:eastAsia="Palatino Linotype" w:hAnsi="Palatino Linotype" w:cs="Palatino Linotype"/>
          <w:sz w:val="22"/>
          <w:szCs w:val="22"/>
        </w:rPr>
        <w:t>Establecido lo anterior, se procede analizar la respuesta entregada, para lo cual, es de señalar que de las constancias que de las constancias que obran en el expediente, se logra vislumbrar que el Sujeto Obligado turn</w:t>
      </w:r>
      <w:r w:rsidR="00A17058" w:rsidRPr="00EB3D68">
        <w:rPr>
          <w:rFonts w:ascii="Palatino Linotype" w:eastAsia="Palatino Linotype" w:hAnsi="Palatino Linotype" w:cs="Palatino Linotype"/>
          <w:sz w:val="22"/>
          <w:szCs w:val="22"/>
        </w:rPr>
        <w:t>ó</w:t>
      </w:r>
      <w:r w:rsidRPr="00EB3D68">
        <w:rPr>
          <w:rFonts w:ascii="Palatino Linotype" w:eastAsia="Palatino Linotype" w:hAnsi="Palatino Linotype" w:cs="Palatino Linotype"/>
          <w:sz w:val="22"/>
          <w:szCs w:val="22"/>
        </w:rPr>
        <w:t xml:space="preserve"> la solicitud de información a la </w:t>
      </w:r>
      <w:r w:rsidR="00212EEF" w:rsidRPr="00EB3D68">
        <w:rPr>
          <w:rFonts w:ascii="Palatino Linotype" w:hAnsi="Palatino Linotype" w:cs="Tahoma"/>
          <w:sz w:val="22"/>
          <w:szCs w:val="22"/>
        </w:rPr>
        <w:t>Dirección</w:t>
      </w:r>
      <w:r w:rsidR="00144B0F" w:rsidRPr="00EB3D68">
        <w:rPr>
          <w:rFonts w:ascii="Palatino Linotype" w:hAnsi="Palatino Linotype" w:cs="Tahoma"/>
          <w:sz w:val="22"/>
          <w:szCs w:val="22"/>
        </w:rPr>
        <w:t xml:space="preserve"> General</w:t>
      </w:r>
      <w:r w:rsidR="00212EEF" w:rsidRPr="00EB3D68">
        <w:rPr>
          <w:rFonts w:ascii="Palatino Linotype" w:hAnsi="Palatino Linotype" w:cs="Tahoma"/>
          <w:sz w:val="22"/>
          <w:szCs w:val="22"/>
        </w:rPr>
        <w:t xml:space="preserve"> de Desarrollo Urbano Ecología y Medio Ambiente</w:t>
      </w:r>
      <w:r w:rsidRPr="00EB3D68">
        <w:rPr>
          <w:rFonts w:ascii="Palatino Linotype" w:eastAsia="Palatino Linotype" w:hAnsi="Palatino Linotype" w:cs="Palatino Linotype"/>
          <w:sz w:val="22"/>
          <w:szCs w:val="22"/>
        </w:rPr>
        <w:t>, por lo que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6E18DA05" w14:textId="77777777" w:rsidR="00F316EC" w:rsidRPr="00EB3D68" w:rsidRDefault="00F316EC" w:rsidP="00F316EC">
      <w:pPr>
        <w:spacing w:line="360" w:lineRule="auto"/>
        <w:ind w:right="-28"/>
        <w:contextualSpacing/>
        <w:jc w:val="both"/>
        <w:rPr>
          <w:rFonts w:ascii="Palatino Linotype" w:eastAsia="Palatino Linotype" w:hAnsi="Palatino Linotype" w:cs="Palatino Linotype"/>
          <w:sz w:val="22"/>
          <w:szCs w:val="22"/>
        </w:rPr>
      </w:pPr>
    </w:p>
    <w:p w14:paraId="56F8CFB8" w14:textId="6B669BB8" w:rsidR="00884D73" w:rsidRPr="00EB3D68" w:rsidRDefault="00F316EC" w:rsidP="00884D73">
      <w:pPr>
        <w:spacing w:line="360" w:lineRule="auto"/>
        <w:ind w:right="-28"/>
        <w:contextualSpacing/>
        <w:jc w:val="both"/>
        <w:rPr>
          <w:rFonts w:ascii="Palatino Linotype" w:hAnsi="Palatino Linotype"/>
          <w:sz w:val="22"/>
          <w:szCs w:val="22"/>
        </w:rPr>
      </w:pPr>
      <w:r w:rsidRPr="00EB3D68">
        <w:rPr>
          <w:rFonts w:ascii="Palatino Linotype" w:eastAsia="Calibri" w:hAnsi="Palatino Linotype" w:cs="Tahoma"/>
          <w:bCs/>
          <w:color w:val="000000"/>
          <w:sz w:val="22"/>
          <w:szCs w:val="22"/>
        </w:rPr>
        <w:t xml:space="preserve">Así, a efecto de determinar si el Sujeto Obligado cumplió con el procedimiento de búsqueda, resulta necesario citar los artículos </w:t>
      </w:r>
      <w:r w:rsidR="00144B0F" w:rsidRPr="00EB3D68">
        <w:rPr>
          <w:rFonts w:ascii="Palatino Linotype" w:eastAsia="Calibri" w:hAnsi="Palatino Linotype" w:cs="Tahoma"/>
          <w:bCs/>
          <w:color w:val="000000"/>
          <w:sz w:val="22"/>
          <w:szCs w:val="22"/>
        </w:rPr>
        <w:t xml:space="preserve">49 letra A., </w:t>
      </w:r>
      <w:r w:rsidRPr="00EB3D68">
        <w:rPr>
          <w:rFonts w:ascii="Palatino Linotype" w:eastAsia="Calibri" w:hAnsi="Palatino Linotype" w:cs="Tahoma"/>
          <w:bCs/>
          <w:color w:val="000000"/>
          <w:sz w:val="22"/>
          <w:szCs w:val="22"/>
        </w:rPr>
        <w:t xml:space="preserve">fracción </w:t>
      </w:r>
      <w:r w:rsidR="00144B0F" w:rsidRPr="00EB3D68">
        <w:rPr>
          <w:rFonts w:ascii="Palatino Linotype" w:eastAsia="Calibri" w:hAnsi="Palatino Linotype" w:cs="Tahoma"/>
          <w:bCs/>
          <w:color w:val="000000"/>
          <w:sz w:val="22"/>
          <w:szCs w:val="22"/>
        </w:rPr>
        <w:t>VII</w:t>
      </w:r>
      <w:r w:rsidRPr="00EB3D68">
        <w:rPr>
          <w:rFonts w:ascii="Palatino Linotype" w:eastAsia="Calibri" w:hAnsi="Palatino Linotype" w:cs="Tahoma"/>
          <w:bCs/>
          <w:color w:val="000000"/>
          <w:sz w:val="22"/>
          <w:szCs w:val="22"/>
        </w:rPr>
        <w:t xml:space="preserve">I, </w:t>
      </w:r>
      <w:r w:rsidR="00144B0F" w:rsidRPr="00EB3D68">
        <w:rPr>
          <w:rFonts w:ascii="Palatino Linotype" w:eastAsia="Calibri" w:hAnsi="Palatino Linotype" w:cs="Tahoma"/>
          <w:bCs/>
          <w:color w:val="000000"/>
          <w:sz w:val="22"/>
          <w:szCs w:val="22"/>
        </w:rPr>
        <w:t xml:space="preserve">64, 65 y 66 </w:t>
      </w:r>
      <w:r w:rsidRPr="00EB3D68">
        <w:rPr>
          <w:rFonts w:ascii="Palatino Linotype" w:eastAsia="Calibri" w:hAnsi="Palatino Linotype" w:cs="Tahoma"/>
          <w:bCs/>
          <w:color w:val="000000"/>
          <w:sz w:val="22"/>
          <w:szCs w:val="22"/>
        </w:rPr>
        <w:t xml:space="preserve">del </w:t>
      </w:r>
      <w:r w:rsidR="00144B0F" w:rsidRPr="00EB3D68">
        <w:rPr>
          <w:rFonts w:ascii="Palatino Linotype" w:eastAsia="Calibri" w:hAnsi="Palatino Linotype" w:cs="Tahoma"/>
          <w:bCs/>
          <w:color w:val="000000"/>
          <w:sz w:val="22"/>
          <w:szCs w:val="22"/>
        </w:rPr>
        <w:t xml:space="preserve">Bando </w:t>
      </w:r>
      <w:r w:rsidRPr="00EB3D68">
        <w:rPr>
          <w:rFonts w:ascii="Palatino Linotype" w:eastAsia="Calibri" w:hAnsi="Palatino Linotype" w:cs="Tahoma"/>
          <w:bCs/>
          <w:color w:val="000000"/>
          <w:sz w:val="22"/>
          <w:szCs w:val="22"/>
        </w:rPr>
        <w:t>Municipal</w:t>
      </w:r>
      <w:r w:rsidR="00144B0F" w:rsidRPr="00EB3D68">
        <w:rPr>
          <w:rFonts w:ascii="Palatino Linotype" w:eastAsia="Calibri" w:hAnsi="Palatino Linotype" w:cs="Tahoma"/>
          <w:bCs/>
          <w:color w:val="000000"/>
          <w:sz w:val="22"/>
          <w:szCs w:val="22"/>
        </w:rPr>
        <w:t xml:space="preserve"> de </w:t>
      </w:r>
      <w:proofErr w:type="spellStart"/>
      <w:r w:rsidR="00144B0F" w:rsidRPr="00EB3D68">
        <w:rPr>
          <w:rFonts w:ascii="Palatino Linotype" w:eastAsia="Calibri" w:hAnsi="Palatino Linotype" w:cs="Tahoma"/>
          <w:bCs/>
          <w:color w:val="000000"/>
          <w:sz w:val="22"/>
          <w:szCs w:val="22"/>
        </w:rPr>
        <w:t>Jilotzingo</w:t>
      </w:r>
      <w:proofErr w:type="spellEnd"/>
      <w:r w:rsidR="00144B0F" w:rsidRPr="00EB3D68">
        <w:rPr>
          <w:rFonts w:ascii="Palatino Linotype" w:eastAsia="Calibri" w:hAnsi="Palatino Linotype" w:cs="Tahoma"/>
          <w:bCs/>
          <w:color w:val="000000"/>
          <w:sz w:val="22"/>
          <w:szCs w:val="22"/>
        </w:rPr>
        <w:t>, dos mil veinticinco</w:t>
      </w:r>
      <w:r w:rsidRPr="00EB3D68">
        <w:rPr>
          <w:rFonts w:ascii="Palatino Linotype" w:hAnsi="Palatino Linotype"/>
          <w:iCs/>
          <w:sz w:val="22"/>
          <w:szCs w:val="22"/>
        </w:rPr>
        <w:t xml:space="preserve">, en los cuales se establece que, el Sujeto Obligado se encuentra integrada por diversas unidades administrativas entre las que se localiza la </w:t>
      </w:r>
      <w:r w:rsidR="00884D73" w:rsidRPr="00EB3D68">
        <w:rPr>
          <w:rFonts w:ascii="Palatino Linotype" w:hAnsi="Palatino Linotype" w:cs="Tahoma"/>
          <w:sz w:val="22"/>
          <w:szCs w:val="22"/>
        </w:rPr>
        <w:t>Dirección General de Desarrollo Urbano Ecología y Medio Ambiente</w:t>
      </w:r>
      <w:r w:rsidRPr="00EB3D68">
        <w:rPr>
          <w:rFonts w:ascii="Palatino Linotype" w:hAnsi="Palatino Linotype"/>
          <w:iCs/>
          <w:sz w:val="22"/>
          <w:szCs w:val="22"/>
        </w:rPr>
        <w:t xml:space="preserve">, </w:t>
      </w:r>
      <w:r w:rsidR="00884D73" w:rsidRPr="00EB3D68">
        <w:rPr>
          <w:rFonts w:ascii="Palatino Linotype" w:hAnsi="Palatino Linotype"/>
          <w:sz w:val="22"/>
          <w:szCs w:val="22"/>
        </w:rPr>
        <w:t>encargada de planear, ordenar y regular los asentamientos humanos en el territorio municipal, el desarrollo urbano, la infraestructura vial local a cargo del municipio y anuncios estructurales y luminosos, conforme lo establecen los ordenamientos estatales y federales en materia del desarrollo urbano</w:t>
      </w:r>
      <w:r w:rsidR="00884D73" w:rsidRPr="00EB3D68">
        <w:rPr>
          <w:rFonts w:ascii="Palatino Linotype" w:hAnsi="Palatino Linotype"/>
          <w:iCs/>
          <w:sz w:val="22"/>
          <w:szCs w:val="22"/>
        </w:rPr>
        <w:t xml:space="preserve">, además </w:t>
      </w:r>
      <w:r w:rsidR="00884D73" w:rsidRPr="00EB3D68">
        <w:rPr>
          <w:rFonts w:ascii="Palatino Linotype" w:hAnsi="Palatino Linotype"/>
          <w:sz w:val="22"/>
          <w:szCs w:val="22"/>
        </w:rPr>
        <w:t>otorgará la licencia municipal de construcción con fines habitacionales, comerciales, industriales, ganaderas y de servicios; previo a la autorización de la licencia, cada predio deberá contar con fosa séptica, planta tratadora de aguas residuales o biodigestor.</w:t>
      </w:r>
    </w:p>
    <w:p w14:paraId="5A70E3FE" w14:textId="77777777" w:rsidR="00884D73" w:rsidRPr="00EB3D68" w:rsidRDefault="00884D73" w:rsidP="00884D73">
      <w:pPr>
        <w:spacing w:line="360" w:lineRule="auto"/>
        <w:ind w:right="-28"/>
        <w:contextualSpacing/>
        <w:jc w:val="both"/>
        <w:rPr>
          <w:rFonts w:ascii="Palatino Linotype" w:hAnsi="Palatino Linotype"/>
          <w:iCs/>
          <w:sz w:val="22"/>
          <w:szCs w:val="22"/>
        </w:rPr>
      </w:pPr>
    </w:p>
    <w:p w14:paraId="54073F9B" w14:textId="719B1480" w:rsidR="00F316EC" w:rsidRPr="00EB3D68" w:rsidRDefault="00F316EC" w:rsidP="00F316EC">
      <w:pPr>
        <w:spacing w:line="360" w:lineRule="auto"/>
        <w:ind w:right="-28"/>
        <w:contextualSpacing/>
        <w:jc w:val="both"/>
        <w:rPr>
          <w:rFonts w:ascii="Palatino Linotype" w:eastAsia="Palatino Linotype" w:hAnsi="Palatino Linotype" w:cs="Palatino Linotype"/>
          <w:sz w:val="22"/>
          <w:szCs w:val="22"/>
        </w:rPr>
      </w:pPr>
      <w:r w:rsidRPr="00EB3D68">
        <w:rPr>
          <w:rFonts w:ascii="Palatino Linotype" w:eastAsia="Palatino Linotype" w:hAnsi="Palatino Linotype" w:cs="Palatino Linotype"/>
          <w:sz w:val="22"/>
          <w:szCs w:val="22"/>
        </w:rPr>
        <w:t>Así, se advierte que el Sujeto Obligado cumplió con el procedimiento de búsqueda, pues turn</w:t>
      </w:r>
      <w:r w:rsidR="0029268D" w:rsidRPr="00EB3D68">
        <w:rPr>
          <w:rFonts w:ascii="Palatino Linotype" w:eastAsia="Palatino Linotype" w:hAnsi="Palatino Linotype" w:cs="Palatino Linotype"/>
          <w:sz w:val="22"/>
          <w:szCs w:val="22"/>
        </w:rPr>
        <w:t>ó</w:t>
      </w:r>
      <w:r w:rsidRPr="00EB3D68">
        <w:rPr>
          <w:rFonts w:ascii="Palatino Linotype" w:eastAsia="Palatino Linotype" w:hAnsi="Palatino Linotype" w:cs="Palatino Linotype"/>
          <w:sz w:val="22"/>
          <w:szCs w:val="22"/>
        </w:rPr>
        <w:t xml:space="preserve"> la solicitud de información al </w:t>
      </w:r>
      <w:r w:rsidR="00884D73" w:rsidRPr="00EB3D68">
        <w:rPr>
          <w:rFonts w:ascii="Palatino Linotype" w:hAnsi="Palatino Linotype" w:cs="Tahoma"/>
          <w:sz w:val="22"/>
          <w:szCs w:val="22"/>
        </w:rPr>
        <w:t>Dirección General de Desarrollo Urbano Ecología y Medio Ambiente</w:t>
      </w:r>
      <w:r w:rsidRPr="00EB3D68">
        <w:rPr>
          <w:rFonts w:ascii="Palatino Linotype" w:eastAsia="Palatino Linotype" w:hAnsi="Palatino Linotype" w:cs="Palatino Linotype"/>
          <w:sz w:val="22"/>
          <w:szCs w:val="22"/>
        </w:rPr>
        <w:t xml:space="preserve">, que ve </w:t>
      </w:r>
      <w:r w:rsidR="00FE051B" w:rsidRPr="00EB3D68">
        <w:rPr>
          <w:rFonts w:ascii="Palatino Linotype" w:eastAsia="Palatino Linotype" w:hAnsi="Palatino Linotype" w:cs="Palatino Linotype"/>
          <w:sz w:val="22"/>
          <w:szCs w:val="22"/>
        </w:rPr>
        <w:t>las cuestiones relacionadas con el otorgamiento de licencias para construcción en diversos rubros de la rama urbanística</w:t>
      </w:r>
      <w:r w:rsidRPr="00EB3D68">
        <w:rPr>
          <w:rFonts w:ascii="Palatino Linotype" w:eastAsia="Palatino Linotype" w:hAnsi="Palatino Linotype" w:cs="Palatino Linotype"/>
          <w:sz w:val="22"/>
          <w:szCs w:val="22"/>
        </w:rPr>
        <w:t>.</w:t>
      </w:r>
    </w:p>
    <w:p w14:paraId="717B9A1C" w14:textId="77777777" w:rsidR="00FE051B" w:rsidRPr="00EB3D68" w:rsidRDefault="00FE051B" w:rsidP="00F316EC">
      <w:pPr>
        <w:spacing w:line="360" w:lineRule="auto"/>
        <w:ind w:right="-28"/>
        <w:contextualSpacing/>
        <w:jc w:val="both"/>
        <w:rPr>
          <w:rFonts w:ascii="Palatino Linotype" w:eastAsia="Palatino Linotype" w:hAnsi="Palatino Linotype" w:cs="Palatino Linotype"/>
          <w:sz w:val="22"/>
          <w:szCs w:val="22"/>
        </w:rPr>
      </w:pPr>
    </w:p>
    <w:p w14:paraId="0166BC05" w14:textId="1A0A2F96" w:rsidR="00F316EC" w:rsidRPr="00EB3D68" w:rsidRDefault="00FE051B" w:rsidP="00F316EC">
      <w:pPr>
        <w:spacing w:line="360" w:lineRule="auto"/>
        <w:ind w:right="-28"/>
        <w:contextualSpacing/>
        <w:jc w:val="both"/>
        <w:rPr>
          <w:rFonts w:ascii="Palatino Linotype" w:eastAsia="Palatino Linotype" w:hAnsi="Palatino Linotype" w:cs="Palatino Linotype"/>
          <w:sz w:val="22"/>
          <w:szCs w:val="22"/>
        </w:rPr>
      </w:pPr>
      <w:r w:rsidRPr="00EB3D68">
        <w:rPr>
          <w:rFonts w:ascii="Palatino Linotype" w:eastAsia="Palatino Linotype" w:hAnsi="Palatino Linotype" w:cs="Palatino Linotype"/>
          <w:sz w:val="22"/>
          <w:szCs w:val="22"/>
        </w:rPr>
        <w:t xml:space="preserve">Conforme a lo expuesto y del análisis de la solicitud se logró observar que si bien, la </w:t>
      </w:r>
      <w:r w:rsidRPr="00EB3D68">
        <w:rPr>
          <w:rFonts w:ascii="Palatino Linotype" w:hAnsi="Palatino Linotype" w:cs="Tahoma"/>
          <w:sz w:val="22"/>
          <w:szCs w:val="22"/>
        </w:rPr>
        <w:t>Dirección General de Desarrollo Urbano Ecología y Medio Ambiente, se encarga de diversas funciones en materia ambiental, lo cierto es que únicamente desea acceder a los trámites generados en el ámbito de desarrollo urbano en el municipio.</w:t>
      </w:r>
      <w:r w:rsidR="00174E7C" w:rsidRPr="00EB3D68">
        <w:rPr>
          <w:rFonts w:ascii="Palatino Linotype" w:eastAsia="Palatino Linotype" w:hAnsi="Palatino Linotype" w:cs="Palatino Linotype"/>
          <w:sz w:val="22"/>
          <w:szCs w:val="22"/>
        </w:rPr>
        <w:t xml:space="preserve"> E</w:t>
      </w:r>
      <w:r w:rsidR="00F316EC" w:rsidRPr="00EB3D68">
        <w:rPr>
          <w:rFonts w:ascii="Palatino Linotype" w:eastAsia="Palatino Linotype" w:hAnsi="Palatino Linotype" w:cs="Palatino Linotype"/>
          <w:sz w:val="22"/>
          <w:szCs w:val="22"/>
        </w:rPr>
        <w:t>n respuesta</w:t>
      </w:r>
      <w:r w:rsidRPr="00EB3D68">
        <w:rPr>
          <w:rFonts w:ascii="Palatino Linotype" w:eastAsia="Palatino Linotype" w:hAnsi="Palatino Linotype" w:cs="Palatino Linotype"/>
          <w:sz w:val="22"/>
          <w:szCs w:val="22"/>
        </w:rPr>
        <w:t xml:space="preserve"> dicha área indicó que a la fecha de la solicitud contaba con </w:t>
      </w:r>
      <w:r w:rsidRPr="00EB3D68">
        <w:rPr>
          <w:rFonts w:ascii="Palatino Linotype" w:hAnsi="Palatino Linotype" w:cs="Tahoma"/>
          <w:sz w:val="22"/>
          <w:szCs w:val="22"/>
        </w:rPr>
        <w:t>92 trámites, de los cuales 82 están en trámite y 10 concluidos</w:t>
      </w:r>
      <w:r w:rsidR="0029268D" w:rsidRPr="00EB3D68">
        <w:rPr>
          <w:rFonts w:ascii="Palatino Linotype" w:hAnsi="Palatino Linotype" w:cs="Tahoma"/>
          <w:sz w:val="22"/>
          <w:szCs w:val="22"/>
        </w:rPr>
        <w:t>;</w:t>
      </w:r>
      <w:r w:rsidRPr="00EB3D68">
        <w:rPr>
          <w:rFonts w:ascii="Palatino Linotype" w:hAnsi="Palatino Linotype" w:cs="Tahoma"/>
          <w:sz w:val="22"/>
          <w:szCs w:val="22"/>
        </w:rPr>
        <w:t xml:space="preserve"> sin embargo, los documentos no podían ser entregados al haberse solicitado por particulares los cuales </w:t>
      </w:r>
      <w:r w:rsidR="0029268D" w:rsidRPr="00EB3D68">
        <w:rPr>
          <w:rFonts w:ascii="Palatino Linotype" w:hAnsi="Palatino Linotype" w:cs="Tahoma"/>
          <w:sz w:val="22"/>
          <w:szCs w:val="22"/>
        </w:rPr>
        <w:t xml:space="preserve">corresponden a información </w:t>
      </w:r>
      <w:r w:rsidRPr="00EB3D68">
        <w:rPr>
          <w:rFonts w:ascii="Palatino Linotype" w:hAnsi="Palatino Linotype" w:cs="Tahoma"/>
          <w:sz w:val="22"/>
          <w:szCs w:val="22"/>
        </w:rPr>
        <w:t>clasificad</w:t>
      </w:r>
      <w:r w:rsidR="0029268D" w:rsidRPr="00EB3D68">
        <w:rPr>
          <w:rFonts w:ascii="Palatino Linotype" w:hAnsi="Palatino Linotype" w:cs="Tahoma"/>
          <w:sz w:val="22"/>
          <w:szCs w:val="22"/>
        </w:rPr>
        <w:t>a</w:t>
      </w:r>
      <w:r w:rsidRPr="00EB3D68">
        <w:rPr>
          <w:rFonts w:ascii="Palatino Linotype" w:hAnsi="Palatino Linotype" w:cs="Tahoma"/>
          <w:sz w:val="22"/>
          <w:szCs w:val="22"/>
        </w:rPr>
        <w:t>.</w:t>
      </w:r>
    </w:p>
    <w:p w14:paraId="0815E292" w14:textId="77777777" w:rsidR="00FE051B" w:rsidRPr="00EB3D68" w:rsidRDefault="00FE051B" w:rsidP="00F316EC">
      <w:pPr>
        <w:spacing w:line="360" w:lineRule="auto"/>
        <w:contextualSpacing/>
        <w:jc w:val="both"/>
        <w:rPr>
          <w:rFonts w:ascii="Palatino Linotype" w:hAnsi="Palatino Linotype"/>
          <w:color w:val="000000"/>
          <w:sz w:val="22"/>
          <w:szCs w:val="22"/>
        </w:rPr>
      </w:pPr>
    </w:p>
    <w:p w14:paraId="5D47AD62" w14:textId="18ECD0C1" w:rsidR="00F316EC" w:rsidRPr="00EB3D68" w:rsidRDefault="00F316EC" w:rsidP="00F316EC">
      <w:pPr>
        <w:spacing w:line="360" w:lineRule="auto"/>
        <w:contextualSpacing/>
        <w:jc w:val="both"/>
        <w:rPr>
          <w:rFonts w:ascii="Palatino Linotype" w:hAnsi="Palatino Linotype"/>
          <w:color w:val="000000"/>
          <w:sz w:val="22"/>
          <w:szCs w:val="22"/>
        </w:rPr>
      </w:pPr>
      <w:r w:rsidRPr="00EB3D68">
        <w:rPr>
          <w:rFonts w:ascii="Palatino Linotype" w:hAnsi="Palatino Linotype"/>
          <w:color w:val="000000"/>
          <w:sz w:val="22"/>
          <w:szCs w:val="22"/>
        </w:rPr>
        <w:t xml:space="preserve">Conforme a lo anterior, el Particular no se inconformó de </w:t>
      </w:r>
      <w:r w:rsidR="00FE051B" w:rsidRPr="00EB3D68">
        <w:rPr>
          <w:rFonts w:ascii="Palatino Linotype" w:hAnsi="Palatino Linotype"/>
          <w:color w:val="000000"/>
          <w:sz w:val="22"/>
          <w:szCs w:val="22"/>
        </w:rPr>
        <w:t xml:space="preserve">la cantidad de trámites realizados señalados </w:t>
      </w:r>
      <w:r w:rsidRPr="00EB3D68">
        <w:rPr>
          <w:rFonts w:ascii="Palatino Linotype" w:hAnsi="Palatino Linotype"/>
          <w:color w:val="000000"/>
          <w:sz w:val="22"/>
          <w:szCs w:val="22"/>
        </w:rPr>
        <w:t xml:space="preserve">en respuesta; sino </w:t>
      </w:r>
      <w:r w:rsidR="0029268D" w:rsidRPr="00EB3D68">
        <w:rPr>
          <w:rFonts w:ascii="Palatino Linotype" w:hAnsi="Palatino Linotype"/>
          <w:color w:val="000000"/>
          <w:sz w:val="22"/>
          <w:szCs w:val="22"/>
        </w:rPr>
        <w:t>de que</w:t>
      </w:r>
      <w:r w:rsidRPr="00EB3D68">
        <w:rPr>
          <w:rFonts w:ascii="Palatino Linotype" w:hAnsi="Palatino Linotype"/>
          <w:color w:val="000000"/>
          <w:sz w:val="22"/>
          <w:szCs w:val="22"/>
        </w:rPr>
        <w:t xml:space="preserve"> no </w:t>
      </w:r>
      <w:r w:rsidR="00FE051B" w:rsidRPr="00EB3D68">
        <w:rPr>
          <w:rFonts w:ascii="Palatino Linotype" w:hAnsi="Palatino Linotype"/>
          <w:color w:val="000000"/>
          <w:sz w:val="22"/>
          <w:szCs w:val="22"/>
        </w:rPr>
        <w:t>le proporciona</w:t>
      </w:r>
      <w:r w:rsidR="0029268D" w:rsidRPr="00EB3D68">
        <w:rPr>
          <w:rFonts w:ascii="Palatino Linotype" w:hAnsi="Palatino Linotype"/>
          <w:color w:val="000000"/>
          <w:sz w:val="22"/>
          <w:szCs w:val="22"/>
        </w:rPr>
        <w:t>ron</w:t>
      </w:r>
      <w:r w:rsidR="00FE051B" w:rsidRPr="00EB3D68">
        <w:rPr>
          <w:rFonts w:ascii="Palatino Linotype" w:hAnsi="Palatino Linotype"/>
          <w:color w:val="000000"/>
          <w:sz w:val="22"/>
          <w:szCs w:val="22"/>
        </w:rPr>
        <w:t xml:space="preserve"> el nombre de los particulares en versión pública</w:t>
      </w:r>
      <w:r w:rsidR="00174E7C" w:rsidRPr="00EB3D68">
        <w:rPr>
          <w:rFonts w:ascii="Palatino Linotype" w:hAnsi="Palatino Linotype"/>
          <w:color w:val="000000"/>
          <w:sz w:val="22"/>
          <w:szCs w:val="22"/>
        </w:rPr>
        <w:t xml:space="preserve"> </w:t>
      </w:r>
      <w:r w:rsidRPr="00EB3D68">
        <w:rPr>
          <w:rFonts w:ascii="Palatino Linotype" w:hAnsi="Palatino Linotype"/>
          <w:color w:val="000000"/>
          <w:sz w:val="22"/>
          <w:szCs w:val="22"/>
        </w:rPr>
        <w:t>y porque no había proporcionado el acuerdo de comité que sustentara la clasificación de la información</w:t>
      </w:r>
      <w:r w:rsidR="00174E7C" w:rsidRPr="00EB3D68">
        <w:rPr>
          <w:rFonts w:ascii="Palatino Linotype" w:hAnsi="Palatino Linotype"/>
          <w:color w:val="000000"/>
          <w:sz w:val="22"/>
          <w:szCs w:val="22"/>
        </w:rPr>
        <w:t>. Así,</w:t>
      </w:r>
      <w:r w:rsidRPr="00EB3D68">
        <w:rPr>
          <w:rFonts w:ascii="Palatino Linotype" w:hAnsi="Palatino Linotype"/>
          <w:color w:val="000000"/>
          <w:sz w:val="22"/>
          <w:szCs w:val="22"/>
        </w:rPr>
        <w:t xml:space="preserve">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EB3D68">
        <w:rPr>
          <w:rFonts w:ascii="Palatino Linotype" w:hAnsi="Palatino Linotype"/>
          <w:b/>
          <w:bCs/>
          <w:color w:val="000000"/>
          <w:sz w:val="22"/>
          <w:szCs w:val="22"/>
        </w:rPr>
        <w:t>los actos que se hayan consentido tácitamente,</w:t>
      </w:r>
      <w:r w:rsidRPr="00EB3D68">
        <w:rPr>
          <w:rFonts w:ascii="Palatino Linotype" w:hAnsi="Palatino Linotype"/>
          <w:color w:val="000000"/>
          <w:sz w:val="22"/>
          <w:szCs w:val="22"/>
        </w:rPr>
        <w:t xml:space="preserve"> entendiéndose por estos cuando el agravio no se haya promovido en el plazo señalado para el efecto.</w:t>
      </w:r>
    </w:p>
    <w:p w14:paraId="21D370D5" w14:textId="77777777" w:rsidR="00F316EC" w:rsidRPr="00EB3D68" w:rsidRDefault="00F316EC" w:rsidP="00F316EC">
      <w:pPr>
        <w:autoSpaceDE w:val="0"/>
        <w:autoSpaceDN w:val="0"/>
        <w:adjustRightInd w:val="0"/>
        <w:spacing w:line="360" w:lineRule="auto"/>
        <w:contextualSpacing/>
        <w:jc w:val="both"/>
        <w:rPr>
          <w:rFonts w:ascii="Palatino Linotype" w:hAnsi="Palatino Linotype" w:cs="Tahoma"/>
          <w:bCs/>
          <w:iCs/>
          <w:sz w:val="22"/>
          <w:szCs w:val="22"/>
        </w:rPr>
      </w:pPr>
    </w:p>
    <w:p w14:paraId="479C4D5B" w14:textId="77777777" w:rsidR="00F316EC" w:rsidRPr="00EB3D68" w:rsidRDefault="00F316EC" w:rsidP="00F316EC">
      <w:pPr>
        <w:autoSpaceDE w:val="0"/>
        <w:autoSpaceDN w:val="0"/>
        <w:adjustRightInd w:val="0"/>
        <w:spacing w:line="360" w:lineRule="auto"/>
        <w:contextualSpacing/>
        <w:jc w:val="both"/>
        <w:rPr>
          <w:rFonts w:ascii="Palatino Linotype" w:hAnsi="Palatino Linotype"/>
          <w:color w:val="000000"/>
          <w:sz w:val="22"/>
          <w:szCs w:val="22"/>
        </w:rPr>
      </w:pPr>
      <w:r w:rsidRPr="00EB3D68">
        <w:rPr>
          <w:rFonts w:ascii="Palatino Linotype" w:hAnsi="Palatino Linotype"/>
          <w:color w:val="000000"/>
          <w:sz w:val="22"/>
          <w:szCs w:val="22"/>
        </w:rPr>
        <w:t xml:space="preserve">De la misma manera resulta aplicable el criterio sostenido por el Poder Judicial de la Federación de rubro </w:t>
      </w:r>
      <w:r w:rsidRPr="00EB3D68">
        <w:rPr>
          <w:rFonts w:ascii="Palatino Linotype" w:hAnsi="Palatino Linotype"/>
          <w:b/>
          <w:bCs/>
          <w:color w:val="000000"/>
          <w:sz w:val="22"/>
          <w:szCs w:val="22"/>
        </w:rPr>
        <w:t>ACTOS CONSENTIDOS TÁCITAMENTE</w:t>
      </w:r>
      <w:r w:rsidRPr="00EB3D68">
        <w:rPr>
          <w:rFonts w:ascii="Palatino Linotype" w:hAnsi="Palatino Linotype"/>
          <w:color w:val="000000"/>
          <w:sz w:val="22"/>
          <w:szCs w:val="22"/>
        </w:rPr>
        <w:t xml:space="preserve">, Tesis VI.2o. J/21, emitida en </w:t>
      </w:r>
      <w:r w:rsidRPr="00EB3D68">
        <w:rPr>
          <w:rFonts w:ascii="Palatino Linotype" w:hAnsi="Palatino Linotype"/>
          <w:color w:val="000000"/>
          <w:sz w:val="22"/>
          <w:szCs w:val="22"/>
        </w:rPr>
        <w:lastRenderedPageBreak/>
        <w:t>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52507BD1" w14:textId="77777777" w:rsidR="00F316EC" w:rsidRPr="00EB3D68" w:rsidRDefault="00F316EC" w:rsidP="00F316EC">
      <w:pPr>
        <w:spacing w:line="360" w:lineRule="auto"/>
        <w:contextualSpacing/>
        <w:jc w:val="both"/>
        <w:rPr>
          <w:rFonts w:ascii="Palatino Linotype" w:hAnsi="Palatino Linotype"/>
          <w:color w:val="000000"/>
          <w:sz w:val="22"/>
          <w:szCs w:val="22"/>
        </w:rPr>
      </w:pPr>
      <w:r w:rsidRPr="00EB3D68">
        <w:rPr>
          <w:rFonts w:ascii="Palatino Linotype" w:hAnsi="Palatino Linotype"/>
          <w:color w:val="000000"/>
          <w:sz w:val="22"/>
          <w:szCs w:val="22"/>
        </w:rPr>
        <w:t xml:space="preserve"> </w:t>
      </w:r>
    </w:p>
    <w:p w14:paraId="74AAE002" w14:textId="77777777" w:rsidR="00F316EC" w:rsidRPr="00EB3D68" w:rsidRDefault="00F316EC" w:rsidP="00F316EC">
      <w:pPr>
        <w:spacing w:line="360" w:lineRule="auto"/>
        <w:contextualSpacing/>
        <w:jc w:val="both"/>
        <w:rPr>
          <w:rFonts w:ascii="Palatino Linotype" w:hAnsi="Palatino Linotype"/>
          <w:color w:val="000000"/>
          <w:sz w:val="22"/>
          <w:szCs w:val="22"/>
        </w:rPr>
      </w:pPr>
      <w:r w:rsidRPr="00EB3D68">
        <w:rPr>
          <w:rFonts w:ascii="Palatino Linotype" w:hAnsi="Palatino Linotype"/>
          <w:color w:val="000000"/>
          <w:sz w:val="22"/>
          <w:szCs w:val="22"/>
        </w:rPr>
        <w:t xml:space="preserve">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5A6099D2" w14:textId="77777777" w:rsidR="00F316EC" w:rsidRPr="00EB3D68" w:rsidRDefault="00F316EC" w:rsidP="00F316EC">
      <w:pPr>
        <w:spacing w:line="360" w:lineRule="auto"/>
        <w:contextualSpacing/>
        <w:jc w:val="both"/>
        <w:rPr>
          <w:rFonts w:ascii="Palatino Linotype" w:hAnsi="Palatino Linotype"/>
          <w:color w:val="000000"/>
          <w:sz w:val="22"/>
          <w:szCs w:val="22"/>
        </w:rPr>
      </w:pPr>
    </w:p>
    <w:p w14:paraId="46F9F91C" w14:textId="511C2770" w:rsidR="00F316EC" w:rsidRPr="00EB3D68" w:rsidRDefault="00F316EC" w:rsidP="00F316EC">
      <w:pPr>
        <w:spacing w:line="360" w:lineRule="auto"/>
        <w:contextualSpacing/>
        <w:jc w:val="both"/>
        <w:rPr>
          <w:rFonts w:ascii="Palatino Linotype" w:hAnsi="Palatino Linotype" w:cs="Tahoma"/>
          <w:bCs/>
          <w:sz w:val="22"/>
          <w:szCs w:val="22"/>
        </w:rPr>
      </w:pPr>
      <w:r w:rsidRPr="00EB3D68">
        <w:rPr>
          <w:rFonts w:ascii="Palatino Linotype" w:hAnsi="Palatino Linotype" w:cs="Tahoma"/>
          <w:bCs/>
          <w:sz w:val="22"/>
          <w:szCs w:val="22"/>
        </w:rPr>
        <w:t xml:space="preserve">Asimismo, resulta relevante traer a colación </w:t>
      </w:r>
      <w:r w:rsidR="00174E7C" w:rsidRPr="00EB3D68">
        <w:rPr>
          <w:rFonts w:ascii="Palatino Linotype" w:hAnsi="Palatino Linotype" w:cs="Tahoma"/>
          <w:bCs/>
          <w:sz w:val="22"/>
          <w:szCs w:val="22"/>
        </w:rPr>
        <w:t xml:space="preserve">como criterio orientador, </w:t>
      </w:r>
      <w:r w:rsidRPr="00EB3D68">
        <w:rPr>
          <w:rFonts w:ascii="Palatino Linotype" w:hAnsi="Palatino Linotype" w:cs="Tahoma"/>
          <w:bCs/>
          <w:sz w:val="22"/>
          <w:szCs w:val="22"/>
        </w:rPr>
        <w:t>el Criterio de Interpretación, con clave de control SO/001/2020, de la Segunda Época, emitido por el Instituto Nacional de Transparencia, Acceso a la Información y Protección de Datos Personales, que establece lo siguiente:</w:t>
      </w:r>
    </w:p>
    <w:p w14:paraId="7ED68F9E" w14:textId="77777777" w:rsidR="00F316EC" w:rsidRPr="00EB3D68" w:rsidRDefault="00F316EC" w:rsidP="00F316EC">
      <w:pPr>
        <w:spacing w:line="360" w:lineRule="auto"/>
        <w:contextualSpacing/>
        <w:jc w:val="both"/>
        <w:rPr>
          <w:rFonts w:ascii="Palatino Linotype" w:hAnsi="Palatino Linotype"/>
          <w:color w:val="000000"/>
          <w:sz w:val="22"/>
          <w:szCs w:val="22"/>
        </w:rPr>
      </w:pPr>
      <w:r w:rsidRPr="00EB3D68">
        <w:rPr>
          <w:rFonts w:ascii="Palatino Linotype" w:hAnsi="Palatino Linotype"/>
          <w:color w:val="000000"/>
          <w:sz w:val="22"/>
          <w:szCs w:val="22"/>
        </w:rPr>
        <w:t xml:space="preserve"> </w:t>
      </w:r>
    </w:p>
    <w:p w14:paraId="0850A88C" w14:textId="77777777" w:rsidR="00F316EC" w:rsidRPr="00EB3D68" w:rsidRDefault="00F316EC" w:rsidP="00F316EC">
      <w:pPr>
        <w:spacing w:line="360" w:lineRule="auto"/>
        <w:ind w:left="567" w:right="567"/>
        <w:contextualSpacing/>
        <w:jc w:val="both"/>
        <w:rPr>
          <w:rFonts w:ascii="Palatino Linotype" w:hAnsi="Palatino Linotype"/>
          <w:color w:val="000000"/>
        </w:rPr>
      </w:pPr>
      <w:r w:rsidRPr="00EB3D68">
        <w:rPr>
          <w:rFonts w:ascii="Palatino Linotype" w:hAnsi="Palatino Linotype"/>
          <w:b/>
          <w:bCs/>
          <w:i/>
          <w:iCs/>
          <w:color w:val="000000"/>
        </w:rPr>
        <w:t xml:space="preserve">“Actos consentidos tácitamente. Improcedencia de su análisis. </w:t>
      </w:r>
      <w:r w:rsidRPr="00EB3D68">
        <w:rPr>
          <w:rFonts w:ascii="Palatino Linotype" w:hAnsi="Palatino Linotype"/>
          <w:i/>
          <w:iCs/>
          <w:color w:val="000000"/>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95EB7FC" w14:textId="77777777" w:rsidR="00F316EC" w:rsidRPr="00EB3D68" w:rsidRDefault="00F316EC" w:rsidP="00F316EC">
      <w:pPr>
        <w:spacing w:line="360" w:lineRule="auto"/>
        <w:contextualSpacing/>
        <w:jc w:val="both"/>
        <w:rPr>
          <w:rFonts w:ascii="Palatino Linotype" w:hAnsi="Palatino Linotype"/>
          <w:color w:val="000000"/>
          <w:sz w:val="22"/>
          <w:szCs w:val="22"/>
        </w:rPr>
      </w:pPr>
      <w:r w:rsidRPr="00EB3D68">
        <w:rPr>
          <w:rFonts w:ascii="Palatino Linotype" w:hAnsi="Palatino Linotype"/>
          <w:color w:val="000000"/>
          <w:sz w:val="22"/>
          <w:szCs w:val="22"/>
        </w:rPr>
        <w:t xml:space="preserve"> </w:t>
      </w:r>
    </w:p>
    <w:p w14:paraId="61C51011" w14:textId="6AF07716" w:rsidR="00FE051B" w:rsidRPr="00EB3D68" w:rsidRDefault="003E2F85" w:rsidP="00FE051B">
      <w:pPr>
        <w:autoSpaceDE w:val="0"/>
        <w:autoSpaceDN w:val="0"/>
        <w:adjustRightInd w:val="0"/>
        <w:spacing w:line="360" w:lineRule="auto"/>
        <w:contextualSpacing/>
        <w:jc w:val="both"/>
        <w:rPr>
          <w:rFonts w:ascii="Palatino Linotype" w:hAnsi="Palatino Linotype"/>
          <w:color w:val="000000"/>
          <w:sz w:val="22"/>
          <w:szCs w:val="22"/>
        </w:rPr>
      </w:pPr>
      <w:r w:rsidRPr="00EB3D68">
        <w:rPr>
          <w:rFonts w:ascii="Palatino Linotype" w:hAnsi="Palatino Linotype"/>
          <w:color w:val="000000"/>
          <w:sz w:val="22"/>
          <w:szCs w:val="22"/>
        </w:rPr>
        <w:t>De acuerdo con lo expuesto</w:t>
      </w:r>
      <w:r w:rsidR="00F316EC" w:rsidRPr="00EB3D68">
        <w:rPr>
          <w:rFonts w:ascii="Palatino Linotype" w:hAnsi="Palatino Linotype"/>
          <w:color w:val="000000"/>
          <w:sz w:val="22"/>
          <w:szCs w:val="22"/>
        </w:rPr>
        <w:t xml:space="preserve">, es improcedente entrar al análisis de las partes de la respuesta del Sujeto Obligado que no fueron impugnadas por la Recurrente; por lo que, en el presente caso, se tiene por consentida </w:t>
      </w:r>
      <w:r w:rsidR="00FE051B" w:rsidRPr="00EB3D68">
        <w:rPr>
          <w:rFonts w:ascii="Palatino Linotype" w:hAnsi="Palatino Linotype"/>
          <w:color w:val="000000"/>
          <w:sz w:val="22"/>
          <w:szCs w:val="22"/>
        </w:rPr>
        <w:t>cantidad de trámites señalados</w:t>
      </w:r>
      <w:r w:rsidR="00F316EC" w:rsidRPr="00EB3D68">
        <w:rPr>
          <w:rFonts w:ascii="Palatino Linotype" w:hAnsi="Palatino Linotype"/>
          <w:color w:val="000000"/>
          <w:sz w:val="22"/>
          <w:szCs w:val="22"/>
        </w:rPr>
        <w:t xml:space="preserve"> en respuesta y únicamen</w:t>
      </w:r>
      <w:r w:rsidR="00FE051B" w:rsidRPr="00EB3D68">
        <w:rPr>
          <w:rFonts w:ascii="Palatino Linotype" w:hAnsi="Palatino Linotype"/>
          <w:color w:val="000000"/>
          <w:sz w:val="22"/>
          <w:szCs w:val="22"/>
        </w:rPr>
        <w:t xml:space="preserve">te se entrará al análisis de la clasificación del nombre de particulares en los trámites generados por la </w:t>
      </w:r>
      <w:bookmarkStart w:id="15" w:name="_Hlk195105666"/>
      <w:r w:rsidR="00FE051B" w:rsidRPr="00EB3D68">
        <w:rPr>
          <w:rFonts w:ascii="Palatino Linotype" w:hAnsi="Palatino Linotype" w:cs="Tahoma"/>
          <w:sz w:val="22"/>
          <w:szCs w:val="22"/>
        </w:rPr>
        <w:t>Dirección General de Desarrollo</w:t>
      </w:r>
      <w:r w:rsidR="007B2FD2" w:rsidRPr="00EB3D68">
        <w:rPr>
          <w:rFonts w:ascii="Palatino Linotype" w:hAnsi="Palatino Linotype" w:cs="Tahoma"/>
          <w:sz w:val="22"/>
          <w:szCs w:val="22"/>
        </w:rPr>
        <w:t>,</w:t>
      </w:r>
      <w:r w:rsidR="00FE051B" w:rsidRPr="00EB3D68">
        <w:rPr>
          <w:rFonts w:ascii="Palatino Linotype" w:hAnsi="Palatino Linotype" w:cs="Tahoma"/>
          <w:sz w:val="22"/>
          <w:szCs w:val="22"/>
        </w:rPr>
        <w:t xml:space="preserve"> Urbano Ecología y Medio Ambiente</w:t>
      </w:r>
      <w:bookmarkEnd w:id="15"/>
      <w:r w:rsidR="00FE051B" w:rsidRPr="00EB3D68">
        <w:rPr>
          <w:rFonts w:ascii="Palatino Linotype" w:hAnsi="Palatino Linotype" w:cs="Tahoma"/>
          <w:sz w:val="22"/>
          <w:szCs w:val="22"/>
        </w:rPr>
        <w:t>, en materia de desarrollo urbano.</w:t>
      </w:r>
    </w:p>
    <w:p w14:paraId="1CA1D615" w14:textId="77777777" w:rsidR="006C7234" w:rsidRPr="00EB3D68" w:rsidRDefault="006C7234" w:rsidP="00F316EC">
      <w:pPr>
        <w:spacing w:line="360" w:lineRule="auto"/>
        <w:ind w:right="-28"/>
        <w:contextualSpacing/>
        <w:jc w:val="both"/>
        <w:rPr>
          <w:rFonts w:ascii="Palatino Linotype" w:hAnsi="Palatino Linotype"/>
          <w:color w:val="000000"/>
          <w:sz w:val="22"/>
          <w:szCs w:val="22"/>
        </w:rPr>
      </w:pPr>
    </w:p>
    <w:p w14:paraId="1876DD3B" w14:textId="7D3181AE" w:rsidR="006C7234" w:rsidRPr="00EB3D68" w:rsidRDefault="006C7234" w:rsidP="006C7234">
      <w:pPr>
        <w:spacing w:line="360" w:lineRule="auto"/>
        <w:ind w:right="-28"/>
        <w:contextualSpacing/>
        <w:jc w:val="both"/>
        <w:rPr>
          <w:rFonts w:ascii="Palatino Linotype" w:hAnsi="Palatino Linotype"/>
          <w:bCs/>
          <w:sz w:val="22"/>
          <w:szCs w:val="22"/>
        </w:rPr>
      </w:pPr>
      <w:r w:rsidRPr="00EB3D68">
        <w:rPr>
          <w:rFonts w:ascii="Palatino Linotype" w:hAnsi="Palatino Linotype"/>
          <w:color w:val="000000"/>
          <w:sz w:val="22"/>
          <w:szCs w:val="22"/>
        </w:rPr>
        <w:t xml:space="preserve">Ahora bien respecto al nombre de particulares, </w:t>
      </w:r>
      <w:r w:rsidRPr="00EB3D68">
        <w:rPr>
          <w:rFonts w:ascii="Palatino Linotype" w:eastAsia="Calibri" w:hAnsi="Palatino Linotype" w:cs="Tahoma"/>
          <w:bCs/>
          <w:color w:val="000000"/>
          <w:sz w:val="22"/>
          <w:szCs w:val="22"/>
        </w:rPr>
        <w:t xml:space="preserve">considera que el nombre se integra </w:t>
      </w:r>
      <w:r w:rsidRPr="00EB3D68">
        <w:rPr>
          <w:rFonts w:ascii="Palatino Linotype" w:eastAsia="Calibri" w:hAnsi="Palatino Linotype" w:cs="Tahoma"/>
          <w:bCs/>
          <w:color w:val="000000"/>
          <w:sz w:val="22"/>
          <w:szCs w:val="22"/>
          <w:lang w:val="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EB3D68">
        <w:rPr>
          <w:rFonts w:ascii="Palatino Linotype" w:eastAsia="Calibri" w:hAnsi="Palatino Linotype" w:cs="Tahoma"/>
          <w:bCs/>
          <w:i/>
          <w:color w:val="000000"/>
          <w:sz w:val="22"/>
          <w:szCs w:val="22"/>
          <w:lang w:val="es-ES_tradnl"/>
        </w:rPr>
        <w:t>per se</w:t>
      </w:r>
      <w:r w:rsidRPr="00EB3D68">
        <w:rPr>
          <w:rFonts w:ascii="Palatino Linotype" w:eastAsia="Calibri" w:hAnsi="Palatino Linotype" w:cs="Tahoma"/>
          <w:bCs/>
          <w:color w:val="000000"/>
          <w:sz w:val="22"/>
          <w:szCs w:val="22"/>
          <w:lang w:val="es-ES_tradnl"/>
        </w:rPr>
        <w:t xml:space="preserve"> es un elemento que hace a una persona física identificada o identificable, por lo que, se considera un dato personal.</w:t>
      </w:r>
    </w:p>
    <w:p w14:paraId="2311EA64" w14:textId="77777777" w:rsidR="006C7234" w:rsidRPr="00EB3D68" w:rsidRDefault="006C7234" w:rsidP="006C7234">
      <w:pPr>
        <w:spacing w:line="360" w:lineRule="auto"/>
        <w:jc w:val="both"/>
        <w:rPr>
          <w:rFonts w:ascii="Palatino Linotype" w:eastAsia="Calibri" w:hAnsi="Palatino Linotype" w:cs="Tahoma"/>
          <w:b/>
          <w:bCs/>
          <w:color w:val="000000"/>
          <w:sz w:val="22"/>
          <w:szCs w:val="22"/>
        </w:rPr>
      </w:pPr>
    </w:p>
    <w:p w14:paraId="3A00EB61" w14:textId="7E4EB3FF" w:rsidR="00F316EC" w:rsidRPr="00EB3D68" w:rsidRDefault="003E2F85" w:rsidP="00F316EC">
      <w:pPr>
        <w:spacing w:line="360" w:lineRule="auto"/>
        <w:ind w:right="-28"/>
        <w:contextualSpacing/>
        <w:jc w:val="both"/>
        <w:rPr>
          <w:rFonts w:ascii="Palatino Linotype" w:eastAsia="Calibri" w:hAnsi="Palatino Linotype" w:cs="Tahoma"/>
          <w:bCs/>
          <w:color w:val="000000"/>
          <w:sz w:val="22"/>
          <w:szCs w:val="22"/>
        </w:rPr>
      </w:pPr>
      <w:r w:rsidRPr="00EB3D68">
        <w:rPr>
          <w:rFonts w:ascii="Palatino Linotype" w:eastAsia="Calibri" w:hAnsi="Palatino Linotype" w:cs="Tahoma"/>
          <w:bCs/>
          <w:color w:val="000000"/>
          <w:sz w:val="22"/>
          <w:szCs w:val="22"/>
        </w:rPr>
        <w:t>Sin embargo, este dato personal está vinculado con la realización de un trámite</w:t>
      </w:r>
      <w:r w:rsidR="009A2A37" w:rsidRPr="00EB3D68">
        <w:rPr>
          <w:rFonts w:ascii="Palatino Linotype" w:eastAsia="Calibri" w:hAnsi="Palatino Linotype" w:cs="Tahoma"/>
          <w:bCs/>
          <w:color w:val="000000"/>
          <w:sz w:val="22"/>
          <w:szCs w:val="22"/>
        </w:rPr>
        <w:t xml:space="preserve"> que realiza el Ayuntamiento de </w:t>
      </w:r>
      <w:proofErr w:type="spellStart"/>
      <w:r w:rsidR="009A2A37" w:rsidRPr="00EB3D68">
        <w:rPr>
          <w:rFonts w:ascii="Palatino Linotype" w:eastAsia="Calibri" w:hAnsi="Palatino Linotype" w:cs="Tahoma"/>
          <w:bCs/>
          <w:color w:val="000000"/>
          <w:sz w:val="22"/>
          <w:szCs w:val="22"/>
        </w:rPr>
        <w:t>Jilotzingo</w:t>
      </w:r>
      <w:proofErr w:type="spellEnd"/>
      <w:r w:rsidR="007B2FD2" w:rsidRPr="00EB3D68">
        <w:rPr>
          <w:rFonts w:ascii="Palatino Linotype" w:eastAsia="Calibri" w:hAnsi="Palatino Linotype" w:cs="Tahoma"/>
          <w:bCs/>
          <w:color w:val="000000"/>
          <w:sz w:val="22"/>
          <w:szCs w:val="22"/>
        </w:rPr>
        <w:t xml:space="preserve">, de manera particular los artículos 65 y 66 del Bando Municipal 2025 de </w:t>
      </w:r>
      <w:proofErr w:type="spellStart"/>
      <w:r w:rsidR="007B2FD2" w:rsidRPr="00EB3D68">
        <w:rPr>
          <w:rFonts w:ascii="Palatino Linotype" w:eastAsia="Calibri" w:hAnsi="Palatino Linotype" w:cs="Tahoma"/>
          <w:bCs/>
          <w:color w:val="000000"/>
          <w:sz w:val="22"/>
          <w:szCs w:val="22"/>
        </w:rPr>
        <w:t>Jilotzingo</w:t>
      </w:r>
      <w:proofErr w:type="spellEnd"/>
      <w:r w:rsidR="007B2FD2" w:rsidRPr="00EB3D68">
        <w:rPr>
          <w:rFonts w:ascii="Palatino Linotype" w:eastAsia="Calibri" w:hAnsi="Palatino Linotype" w:cs="Tahoma"/>
          <w:bCs/>
          <w:color w:val="000000"/>
          <w:sz w:val="22"/>
          <w:szCs w:val="22"/>
        </w:rPr>
        <w:t xml:space="preserve"> establecen que a la Dirección General de Desarrollo, Urbano Ecología y Medio Ambiente, emite autorizaciones a los particulares para ejecutar trabajos en las vías públicas y le corresponde la emisión de </w:t>
      </w:r>
      <w:r w:rsidR="007B2FD2" w:rsidRPr="00EB3D68">
        <w:rPr>
          <w:rFonts w:ascii="Palatino Linotype" w:eastAsia="Calibri" w:hAnsi="Palatino Linotype" w:cs="Tahoma"/>
          <w:b/>
          <w:color w:val="000000"/>
          <w:sz w:val="22"/>
          <w:szCs w:val="22"/>
        </w:rPr>
        <w:t>licencias de construcción.</w:t>
      </w:r>
      <w:r w:rsidR="007B2FD2" w:rsidRPr="00EB3D68">
        <w:rPr>
          <w:rFonts w:ascii="Palatino Linotype" w:eastAsia="Calibri" w:hAnsi="Palatino Linotype" w:cs="Tahoma"/>
          <w:bCs/>
          <w:color w:val="000000"/>
          <w:sz w:val="22"/>
          <w:szCs w:val="22"/>
        </w:rPr>
        <w:t xml:space="preserve"> </w:t>
      </w:r>
    </w:p>
    <w:p w14:paraId="6B886507" w14:textId="77777777" w:rsidR="007B2FD2" w:rsidRPr="00EB3D68" w:rsidRDefault="007B2FD2" w:rsidP="00F316EC">
      <w:pPr>
        <w:spacing w:line="360" w:lineRule="auto"/>
        <w:ind w:right="-28"/>
        <w:contextualSpacing/>
        <w:jc w:val="both"/>
        <w:rPr>
          <w:rFonts w:ascii="Palatino Linotype" w:eastAsia="Calibri" w:hAnsi="Palatino Linotype" w:cs="Tahoma"/>
          <w:bCs/>
          <w:color w:val="000000"/>
          <w:sz w:val="22"/>
          <w:szCs w:val="22"/>
        </w:rPr>
      </w:pPr>
    </w:p>
    <w:p w14:paraId="304F76C8" w14:textId="7512C399" w:rsidR="009E117D" w:rsidRPr="00EB3D68" w:rsidRDefault="009E117D" w:rsidP="009E117D">
      <w:pPr>
        <w:spacing w:line="360" w:lineRule="auto"/>
        <w:jc w:val="both"/>
        <w:rPr>
          <w:rFonts w:ascii="Palatino Linotype" w:hAnsi="Palatino Linotype" w:cs="Tahoma"/>
          <w:bCs/>
          <w:iCs/>
          <w:sz w:val="22"/>
          <w:szCs w:val="22"/>
        </w:rPr>
      </w:pPr>
      <w:r w:rsidRPr="00EB3D68">
        <w:rPr>
          <w:rFonts w:ascii="Palatino Linotype" w:eastAsia="Calibri" w:hAnsi="Palatino Linotype" w:cs="Tahoma"/>
          <w:bCs/>
          <w:color w:val="000000"/>
          <w:sz w:val="22"/>
          <w:szCs w:val="22"/>
        </w:rPr>
        <w:t>En este sentido, la persona Recurrente solicitó de manera general los tr</w:t>
      </w:r>
      <w:r w:rsidR="00ED6F0A" w:rsidRPr="00EB3D68">
        <w:rPr>
          <w:rFonts w:ascii="Palatino Linotype" w:eastAsia="Calibri" w:hAnsi="Palatino Linotype" w:cs="Tahoma"/>
          <w:bCs/>
          <w:color w:val="000000"/>
          <w:sz w:val="22"/>
          <w:szCs w:val="22"/>
        </w:rPr>
        <w:t>á</w:t>
      </w:r>
      <w:r w:rsidRPr="00EB3D68">
        <w:rPr>
          <w:rFonts w:ascii="Palatino Linotype" w:eastAsia="Calibri" w:hAnsi="Palatino Linotype" w:cs="Tahoma"/>
          <w:bCs/>
          <w:color w:val="000000"/>
          <w:sz w:val="22"/>
          <w:szCs w:val="22"/>
        </w:rPr>
        <w:t xml:space="preserve">mites que se realicen en la multicitada Dirección General de Desarrollo, Urbano Ecología y Medio Ambiente, por lo que </w:t>
      </w:r>
      <w:r w:rsidRPr="00EB3D68">
        <w:rPr>
          <w:rFonts w:ascii="Palatino Linotype" w:hAnsi="Palatino Linotype" w:cs="Tahoma"/>
          <w:bCs/>
          <w:iCs/>
          <w:sz w:val="22"/>
          <w:szCs w:val="22"/>
        </w:rPr>
        <w:t xml:space="preserve">respecto al tema, Eduardo López Sosa, Natalia López Sosa. (2014). “Derecho Administrativo Mexicano”. (p. 262), establece que </w:t>
      </w:r>
      <w:r w:rsidRPr="00EB3D68">
        <w:rPr>
          <w:rFonts w:ascii="Palatino Linotype" w:hAnsi="Palatino Linotype" w:cs="Tahoma"/>
          <w:b/>
          <w:bCs/>
          <w:iCs/>
          <w:sz w:val="22"/>
          <w:szCs w:val="22"/>
        </w:rPr>
        <w:t>la autorización, la licencia, o el permiso</w:t>
      </w:r>
      <w:r w:rsidRPr="00EB3D68">
        <w:rPr>
          <w:rFonts w:ascii="Palatino Linotype" w:hAnsi="Palatino Linotype" w:cs="Tahoma"/>
          <w:bCs/>
          <w:iCs/>
          <w:sz w:val="22"/>
          <w:szCs w:val="22"/>
        </w:rPr>
        <w:t xml:space="preserve"> es el acto administrativo por medio de los cuales se otorga a un particular, por un órgano administrativo, la facultad o el derecho para realizar una actividad o para hacer alguna cosa.</w:t>
      </w:r>
    </w:p>
    <w:p w14:paraId="0C1007B0" w14:textId="77777777" w:rsidR="00ED6F0A" w:rsidRPr="00EB3D68" w:rsidRDefault="00ED6F0A" w:rsidP="009E117D">
      <w:pPr>
        <w:spacing w:line="360" w:lineRule="auto"/>
        <w:jc w:val="both"/>
        <w:rPr>
          <w:rFonts w:ascii="Palatino Linotype" w:hAnsi="Palatino Linotype" w:cs="Tahoma"/>
          <w:bCs/>
          <w:iCs/>
          <w:sz w:val="22"/>
          <w:szCs w:val="22"/>
        </w:rPr>
      </w:pPr>
    </w:p>
    <w:p w14:paraId="0E1BAB08" w14:textId="2D76F81D" w:rsidR="00ED6F0A" w:rsidRPr="00EB3D68" w:rsidRDefault="00ED6F0A" w:rsidP="00ED6F0A">
      <w:pPr>
        <w:spacing w:line="360" w:lineRule="auto"/>
        <w:jc w:val="both"/>
        <w:rPr>
          <w:rFonts w:ascii="Palatino Linotype" w:eastAsia="Palatino Linotype" w:hAnsi="Palatino Linotype" w:cs="Palatino Linotype"/>
          <w:sz w:val="22"/>
          <w:szCs w:val="22"/>
        </w:rPr>
      </w:pPr>
      <w:r w:rsidRPr="00EB3D68">
        <w:rPr>
          <w:rFonts w:ascii="Palatino Linotype" w:hAnsi="Palatino Linotype" w:cs="Tahoma"/>
          <w:bCs/>
          <w:iCs/>
          <w:sz w:val="22"/>
          <w:szCs w:val="22"/>
        </w:rPr>
        <w:t xml:space="preserve">Sobre esto, indicó que el nombre de las personas que solicitaron el trámite es clasificado como confidencial. </w:t>
      </w:r>
      <w:r w:rsidRPr="00EB3D68">
        <w:rPr>
          <w:rFonts w:ascii="Palatino Linotype" w:eastAsia="Palatino Linotype" w:hAnsi="Palatino Linotype" w:cs="Palatino Linotype"/>
          <w:sz w:val="22"/>
          <w:szCs w:val="22"/>
        </w:rPr>
        <w:t xml:space="preserve">Al respecto, cabe precisar, que conforme al artículo 20 de la Ley de Transparencia y Acceso a la Información Pública del Estado de México y Municipios, </w:t>
      </w:r>
      <w:r w:rsidRPr="00EB3D68">
        <w:rPr>
          <w:rFonts w:ascii="Palatino Linotype" w:eastAsia="Palatino Linotype" w:hAnsi="Palatino Linotype" w:cs="Palatino Linotype"/>
          <w:b/>
          <w:sz w:val="22"/>
          <w:szCs w:val="22"/>
        </w:rPr>
        <w:t>ante la negativa de acceso a la información o su inexistencia, el sujeto obligado deberá demostrar que encuentra en alguna de las excepciones establecidas en la normatividad aplicable.</w:t>
      </w:r>
    </w:p>
    <w:p w14:paraId="567D19C3" w14:textId="77777777" w:rsidR="00ED6F0A" w:rsidRPr="00EB3D68" w:rsidRDefault="00ED6F0A" w:rsidP="00ED6F0A">
      <w:pPr>
        <w:widowControl w:val="0"/>
        <w:spacing w:line="360" w:lineRule="auto"/>
        <w:jc w:val="both"/>
        <w:rPr>
          <w:rFonts w:ascii="Palatino Linotype" w:eastAsia="Palatino Linotype" w:hAnsi="Palatino Linotype" w:cs="Palatino Linotype"/>
          <w:color w:val="FF0000"/>
          <w:szCs w:val="22"/>
        </w:rPr>
      </w:pPr>
    </w:p>
    <w:p w14:paraId="18522F19"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r w:rsidRPr="00EB3D68">
        <w:rPr>
          <w:rFonts w:ascii="Palatino Linotype" w:eastAsiaTheme="minorHAnsi" w:hAnsi="Palatino Linotype" w:cstheme="minorBidi"/>
          <w:color w:val="000000" w:themeColor="text1"/>
          <w:sz w:val="22"/>
          <w:szCs w:val="22"/>
          <w:lang w:eastAsia="en-US"/>
        </w:rPr>
        <w:lastRenderedPageBreak/>
        <w:t xml:space="preserve">En ese sentido, según Trujillo, Humberto (2019), en el “Diccionario de Transparencia y Acceso a la Información Pública” (p. 201), </w:t>
      </w:r>
      <w:r w:rsidRPr="00EB3D68">
        <w:rPr>
          <w:rFonts w:ascii="Palatino Linotype" w:eastAsiaTheme="minorHAnsi" w:hAnsi="Palatino Linotype" w:cstheme="minorBidi"/>
          <w:b/>
          <w:color w:val="000000" w:themeColor="text1"/>
          <w:sz w:val="22"/>
          <w:szCs w:val="22"/>
          <w:lang w:eastAsia="en-US"/>
        </w:rPr>
        <w:t xml:space="preserve">la negativa de acceso a la información </w:t>
      </w:r>
      <w:r w:rsidRPr="00EB3D68">
        <w:rPr>
          <w:rFonts w:ascii="Palatino Linotype" w:eastAsiaTheme="minorHAnsi" w:hAnsi="Palatino Linotype" w:cstheme="minorBidi"/>
          <w:color w:val="000000" w:themeColor="text1"/>
          <w:sz w:val="22"/>
          <w:szCs w:val="22"/>
          <w:lang w:eastAsia="en-US"/>
        </w:rPr>
        <w:t>ocurre cuanto de manera fundada y motivada, una autoridad la niega o la limita, por alguna de las siguientes razones:</w:t>
      </w:r>
    </w:p>
    <w:p w14:paraId="23E5A315"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p>
    <w:p w14:paraId="3BAE1DAB" w14:textId="77777777" w:rsidR="00ED6F0A" w:rsidRPr="00EB3D68" w:rsidRDefault="00ED6F0A" w:rsidP="00ED6F0A">
      <w:pPr>
        <w:numPr>
          <w:ilvl w:val="0"/>
          <w:numId w:val="12"/>
        </w:numPr>
        <w:tabs>
          <w:tab w:val="left" w:pos="4962"/>
        </w:tabs>
        <w:spacing w:line="360" w:lineRule="auto"/>
        <w:contextualSpacing/>
        <w:jc w:val="both"/>
        <w:rPr>
          <w:rFonts w:ascii="Palatino Linotype" w:eastAsiaTheme="minorHAnsi" w:hAnsi="Palatino Linotype" w:cstheme="minorBidi"/>
          <w:color w:val="000000" w:themeColor="text1"/>
          <w:sz w:val="22"/>
          <w:szCs w:val="22"/>
          <w:lang w:eastAsia="en-US"/>
        </w:rPr>
      </w:pPr>
      <w:r w:rsidRPr="00EB3D68">
        <w:rPr>
          <w:rFonts w:ascii="Palatino Linotype" w:eastAsiaTheme="minorHAnsi" w:hAnsi="Palatino Linotype" w:cstheme="minorBidi"/>
          <w:b/>
          <w:color w:val="000000" w:themeColor="text1"/>
          <w:sz w:val="22"/>
          <w:szCs w:val="22"/>
          <w:lang w:eastAsia="en-US"/>
        </w:rPr>
        <w:t>La inexistencia de la información (p. 171):</w:t>
      </w:r>
      <w:r w:rsidRPr="00EB3D68">
        <w:rPr>
          <w:rFonts w:ascii="Palatino Linotype" w:eastAsiaTheme="minorHAnsi" w:hAnsi="Palatino Linotype" w:cstheme="minorBidi"/>
          <w:color w:val="000000" w:themeColor="text1"/>
          <w:sz w:val="22"/>
          <w:szCs w:val="22"/>
          <w:lang w:eastAsia="en-US"/>
        </w:rPr>
        <w:t xml:space="preserve"> Sucede cuando la información solicitada no se encuentra en los archivos públicos o clasificados, de los entes sujetos a las Leyes de Transparencia.</w:t>
      </w:r>
    </w:p>
    <w:p w14:paraId="21B4F613" w14:textId="77777777" w:rsidR="00ED6F0A" w:rsidRPr="00EB3D68" w:rsidRDefault="00ED6F0A" w:rsidP="00ED6F0A">
      <w:pPr>
        <w:tabs>
          <w:tab w:val="left" w:pos="4962"/>
        </w:tabs>
        <w:spacing w:line="360" w:lineRule="auto"/>
        <w:jc w:val="both"/>
        <w:rPr>
          <w:rFonts w:ascii="Palatino Linotype" w:eastAsiaTheme="minorHAnsi" w:hAnsi="Palatino Linotype" w:cstheme="minorBidi"/>
          <w:b/>
          <w:color w:val="000000" w:themeColor="text1"/>
          <w:sz w:val="22"/>
          <w:szCs w:val="22"/>
          <w:lang w:eastAsia="en-US"/>
        </w:rPr>
      </w:pPr>
    </w:p>
    <w:p w14:paraId="3650FF49" w14:textId="77777777" w:rsidR="00ED6F0A" w:rsidRPr="00EB3D68" w:rsidRDefault="00ED6F0A" w:rsidP="00ED6F0A">
      <w:pPr>
        <w:numPr>
          <w:ilvl w:val="0"/>
          <w:numId w:val="12"/>
        </w:numPr>
        <w:tabs>
          <w:tab w:val="left" w:pos="4962"/>
        </w:tabs>
        <w:spacing w:line="360" w:lineRule="auto"/>
        <w:contextualSpacing/>
        <w:jc w:val="both"/>
        <w:rPr>
          <w:rFonts w:ascii="Palatino Linotype" w:eastAsiaTheme="minorHAnsi" w:hAnsi="Palatino Linotype" w:cstheme="minorBidi"/>
          <w:color w:val="000000" w:themeColor="text1"/>
          <w:sz w:val="22"/>
          <w:szCs w:val="22"/>
          <w:lang w:eastAsia="en-US"/>
        </w:rPr>
      </w:pPr>
      <w:r w:rsidRPr="00EB3D68">
        <w:rPr>
          <w:rFonts w:ascii="Palatino Linotype" w:eastAsiaTheme="minorHAnsi" w:hAnsi="Palatino Linotype" w:cstheme="minorBidi"/>
          <w:b/>
          <w:color w:val="000000" w:themeColor="text1"/>
          <w:sz w:val="22"/>
          <w:szCs w:val="22"/>
          <w:lang w:eastAsia="en-US"/>
        </w:rPr>
        <w:t>La incompetencia del Sujeto Obligado (p. 171):</w:t>
      </w:r>
      <w:r w:rsidRPr="00EB3D68">
        <w:rPr>
          <w:rFonts w:ascii="Palatino Linotype" w:eastAsiaTheme="minorHAnsi" w:hAnsi="Palatino Linotype" w:cstheme="minorBidi"/>
          <w:color w:val="000000" w:themeColor="text1"/>
          <w:sz w:val="22"/>
          <w:szCs w:val="22"/>
          <w:lang w:eastAsia="en-US"/>
        </w:rPr>
        <w:t xml:space="preserve"> Ocurre cuando el Sujeto Obligado carece de atribuciones para poseer la información peticionada.</w:t>
      </w:r>
    </w:p>
    <w:p w14:paraId="5C5E58D4"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p>
    <w:p w14:paraId="2A829788" w14:textId="77777777" w:rsidR="00ED6F0A" w:rsidRPr="00EB3D68" w:rsidRDefault="00ED6F0A" w:rsidP="00ED6F0A">
      <w:pPr>
        <w:numPr>
          <w:ilvl w:val="0"/>
          <w:numId w:val="12"/>
        </w:numPr>
        <w:tabs>
          <w:tab w:val="left" w:pos="4962"/>
        </w:tabs>
        <w:spacing w:line="360" w:lineRule="auto"/>
        <w:contextualSpacing/>
        <w:jc w:val="both"/>
        <w:rPr>
          <w:rFonts w:ascii="Palatino Linotype" w:eastAsiaTheme="minorHAnsi" w:hAnsi="Palatino Linotype" w:cstheme="minorBidi"/>
          <w:color w:val="000000" w:themeColor="text1"/>
          <w:sz w:val="22"/>
          <w:szCs w:val="22"/>
          <w:lang w:eastAsia="en-US"/>
        </w:rPr>
      </w:pPr>
      <w:r w:rsidRPr="00EB3D68">
        <w:rPr>
          <w:rFonts w:ascii="Palatino Linotype" w:eastAsiaTheme="minorHAnsi" w:hAnsi="Palatino Linotype" w:cstheme="minorBidi"/>
          <w:b/>
          <w:color w:val="000000" w:themeColor="text1"/>
          <w:sz w:val="22"/>
          <w:szCs w:val="22"/>
          <w:lang w:eastAsia="en-US"/>
        </w:rPr>
        <w:t>La clasificación de la información (p. 70):</w:t>
      </w:r>
      <w:r w:rsidRPr="00EB3D68">
        <w:rPr>
          <w:rFonts w:ascii="Palatino Linotype" w:eastAsiaTheme="minorHAnsi" w:hAnsi="Palatino Linotype" w:cstheme="minorBidi"/>
          <w:color w:val="000000" w:themeColor="text1"/>
          <w:sz w:val="22"/>
          <w:szCs w:val="22"/>
          <w:lang w:eastAsia="en-US"/>
        </w:rPr>
        <w:t xml:space="preserve"> Es el proceso o conjunto de acciones que realizan los sujetos obligados para establecer que determinada información se encuentra en alguno de los supuestos de reserva o confidencialidad establecidos en la legislación en materia de transparencia.</w:t>
      </w:r>
    </w:p>
    <w:p w14:paraId="6EFC0010" w14:textId="77777777" w:rsidR="00ED6F0A" w:rsidRPr="00EB3D68" w:rsidRDefault="00ED6F0A" w:rsidP="00ED6F0A">
      <w:pPr>
        <w:spacing w:line="259" w:lineRule="auto"/>
        <w:jc w:val="both"/>
        <w:rPr>
          <w:rFonts w:ascii="Palatino Linotype" w:eastAsiaTheme="minorHAnsi" w:hAnsi="Palatino Linotype" w:cstheme="minorBidi"/>
          <w:color w:val="000000" w:themeColor="text1"/>
          <w:sz w:val="22"/>
          <w:szCs w:val="22"/>
          <w:lang w:eastAsia="en-US"/>
        </w:rPr>
      </w:pPr>
    </w:p>
    <w:p w14:paraId="549B66D7" w14:textId="77777777" w:rsidR="00ED6F0A" w:rsidRPr="00EB3D68" w:rsidRDefault="00ED6F0A" w:rsidP="00ED6F0A">
      <w:pPr>
        <w:tabs>
          <w:tab w:val="left" w:pos="4962"/>
        </w:tabs>
        <w:spacing w:line="360" w:lineRule="auto"/>
        <w:jc w:val="both"/>
        <w:rPr>
          <w:rFonts w:ascii="Palatino Linotype" w:eastAsiaTheme="minorHAnsi" w:hAnsi="Palatino Linotype" w:cstheme="minorBidi"/>
          <w:b/>
          <w:sz w:val="22"/>
          <w:szCs w:val="22"/>
          <w:lang w:eastAsia="en-US"/>
        </w:rPr>
      </w:pPr>
      <w:r w:rsidRPr="00EB3D68">
        <w:rPr>
          <w:rFonts w:ascii="Palatino Linotype" w:eastAsiaTheme="minorHAnsi" w:hAnsi="Palatino Linotype" w:cstheme="minorBidi"/>
          <w:sz w:val="22"/>
          <w:szCs w:val="22"/>
          <w:lang w:eastAsia="en-US"/>
        </w:rPr>
        <w:t xml:space="preserve">En ese orden de ideas y en atención a lo anterior, es de señalar que las excepciones al derecho de acceso a la información, consisten en que la documentación sea inexistente, se encuentre </w:t>
      </w:r>
      <w:r w:rsidRPr="00EB3D68">
        <w:rPr>
          <w:rFonts w:ascii="Palatino Linotype" w:eastAsiaTheme="minorHAnsi" w:hAnsi="Palatino Linotype" w:cstheme="minorBidi"/>
          <w:b/>
          <w:sz w:val="22"/>
          <w:szCs w:val="22"/>
          <w:lang w:eastAsia="en-US"/>
        </w:rPr>
        <w:t>clasificada,</w:t>
      </w:r>
      <w:r w:rsidRPr="00EB3D68">
        <w:rPr>
          <w:rFonts w:ascii="Palatino Linotype" w:eastAsiaTheme="minorHAnsi" w:hAnsi="Palatino Linotype" w:cstheme="minorBidi"/>
          <w:sz w:val="22"/>
          <w:szCs w:val="22"/>
          <w:lang w:eastAsia="en-US"/>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EB3D68">
        <w:rPr>
          <w:rFonts w:ascii="Palatino Linotype" w:eastAsiaTheme="minorHAnsi" w:hAnsi="Palatino Linotype" w:cstheme="minorBidi"/>
          <w:b/>
          <w:sz w:val="22"/>
          <w:szCs w:val="22"/>
          <w:lang w:eastAsia="en-US"/>
        </w:rPr>
        <w:t>confidenciales o reservados.</w:t>
      </w:r>
    </w:p>
    <w:p w14:paraId="68C517DA" w14:textId="77777777" w:rsidR="00ED6F0A" w:rsidRPr="00EB3D68" w:rsidRDefault="00ED6F0A" w:rsidP="00ED6F0A">
      <w:pPr>
        <w:tabs>
          <w:tab w:val="left" w:pos="4962"/>
        </w:tabs>
        <w:spacing w:line="360" w:lineRule="auto"/>
        <w:jc w:val="both"/>
        <w:rPr>
          <w:rFonts w:ascii="Palatino Linotype" w:eastAsiaTheme="minorHAnsi" w:hAnsi="Palatino Linotype" w:cstheme="minorBidi"/>
          <w:b/>
          <w:sz w:val="22"/>
          <w:szCs w:val="22"/>
          <w:lang w:eastAsia="en-US"/>
        </w:rPr>
      </w:pPr>
    </w:p>
    <w:p w14:paraId="6C30E68D"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r w:rsidRPr="00EB3D68">
        <w:rPr>
          <w:rFonts w:ascii="Palatino Linotype" w:eastAsiaTheme="minorHAnsi" w:hAnsi="Palatino Linotype" w:cstheme="minorBidi"/>
          <w:color w:val="000000" w:themeColor="text1"/>
          <w:sz w:val="22"/>
          <w:szCs w:val="22"/>
          <w:lang w:eastAsia="en-US"/>
        </w:rPr>
        <w:t xml:space="preserve">Así, en los artículos 122, 128 y 130 de la Ley Transparencia y Acceso a la Información Pública del Estado de México y Municipios, se prevé que </w:t>
      </w:r>
      <w:r w:rsidRPr="00EB3D68">
        <w:rPr>
          <w:rFonts w:ascii="Palatino Linotype" w:eastAsiaTheme="minorHAnsi" w:hAnsi="Palatino Linotype" w:cstheme="minorBidi"/>
          <w:b/>
          <w:color w:val="000000" w:themeColor="text1"/>
          <w:sz w:val="22"/>
          <w:szCs w:val="22"/>
          <w:lang w:eastAsia="en-US"/>
        </w:rPr>
        <w:t>la clasificación</w:t>
      </w:r>
      <w:r w:rsidRPr="00EB3D68">
        <w:rPr>
          <w:rFonts w:ascii="Palatino Linotype" w:eastAsiaTheme="minorHAnsi" w:hAnsi="Palatino Linotype" w:cstheme="minorBidi"/>
          <w:color w:val="000000" w:themeColor="text1"/>
          <w:sz w:val="22"/>
          <w:szCs w:val="22"/>
          <w:lang w:eastAsia="en-US"/>
        </w:rPr>
        <w:t xml:space="preserve"> es el proceso mediante el cual los sujetos obligados determinan que la información en su poder, actualiza alguno de los </w:t>
      </w:r>
      <w:r w:rsidRPr="00EB3D68">
        <w:rPr>
          <w:rFonts w:ascii="Palatino Linotype" w:eastAsiaTheme="minorHAnsi" w:hAnsi="Palatino Linotype" w:cstheme="minorBidi"/>
          <w:color w:val="000000" w:themeColor="text1"/>
          <w:sz w:val="22"/>
          <w:szCs w:val="22"/>
          <w:lang w:eastAsia="en-US"/>
        </w:rPr>
        <w:lastRenderedPageBreak/>
        <w:t>supuestos de reserva o confidencialidad. Además, que dichos entes deberán aplicar de manera restrictiva y limitada, las excepciones al derecho de acceso a la información, por lo que, tendrán que acreditar la procedencia.</w:t>
      </w:r>
    </w:p>
    <w:p w14:paraId="2B099FB1" w14:textId="77777777" w:rsidR="00ED6F0A" w:rsidRPr="00EB3D68" w:rsidRDefault="00ED6F0A" w:rsidP="00ED6F0A">
      <w:pPr>
        <w:tabs>
          <w:tab w:val="left" w:pos="4962"/>
        </w:tabs>
        <w:spacing w:line="360" w:lineRule="auto"/>
        <w:jc w:val="both"/>
        <w:rPr>
          <w:rFonts w:ascii="Palatino Linotype" w:eastAsiaTheme="minorHAnsi" w:hAnsi="Palatino Linotype" w:cstheme="minorBidi"/>
          <w:b/>
          <w:color w:val="000000" w:themeColor="text1"/>
          <w:sz w:val="22"/>
          <w:szCs w:val="22"/>
          <w:lang w:eastAsia="en-US"/>
        </w:rPr>
      </w:pPr>
    </w:p>
    <w:p w14:paraId="2B401581"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r w:rsidRPr="00EB3D68">
        <w:rPr>
          <w:rFonts w:ascii="Palatino Linotype" w:eastAsiaTheme="minorHAnsi" w:hAnsi="Palatino Linotype" w:cstheme="minorBidi"/>
          <w:color w:val="000000" w:themeColor="text1"/>
          <w:sz w:val="22"/>
          <w:szCs w:val="22"/>
          <w:lang w:eastAsia="en-US"/>
        </w:rPr>
        <w:t xml:space="preserve">Por lo cual, en los casos en que se niegue el acceso a la información, por actualizarse alguno de los supuestos de clasificación, </w:t>
      </w:r>
      <w:r w:rsidRPr="00EB3D68">
        <w:rPr>
          <w:rFonts w:ascii="Palatino Linotype" w:eastAsiaTheme="minorHAnsi" w:hAnsi="Palatino Linotype" w:cstheme="minorBidi"/>
          <w:b/>
          <w:color w:val="000000" w:themeColor="text1"/>
          <w:sz w:val="22"/>
          <w:szCs w:val="22"/>
          <w:lang w:eastAsia="en-US"/>
        </w:rPr>
        <w:t>el Comité de Transparencia deberá confirmar, modificar o revocar la decisión;</w:t>
      </w:r>
      <w:r w:rsidRPr="00EB3D68">
        <w:rPr>
          <w:rFonts w:ascii="Palatino Linotype" w:eastAsiaTheme="minorHAnsi" w:hAnsi="Palatino Linotype" w:cstheme="minorBidi"/>
          <w:color w:val="000000" w:themeColor="text1"/>
          <w:sz w:val="22"/>
          <w:szCs w:val="22"/>
          <w:lang w:eastAsia="en-US"/>
        </w:rPr>
        <w:t xml:space="preserve"> 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5485C549" w14:textId="77777777" w:rsidR="00ED6F0A" w:rsidRPr="00EB3D68" w:rsidRDefault="00ED6F0A" w:rsidP="00ED6F0A">
      <w:pPr>
        <w:tabs>
          <w:tab w:val="left" w:pos="4962"/>
        </w:tabs>
        <w:spacing w:line="360" w:lineRule="auto"/>
        <w:jc w:val="both"/>
        <w:rPr>
          <w:rFonts w:ascii="Palatino Linotype" w:eastAsiaTheme="minorHAnsi" w:hAnsi="Palatino Linotype" w:cstheme="minorBidi"/>
          <w:b/>
          <w:color w:val="000000" w:themeColor="text1"/>
          <w:sz w:val="22"/>
          <w:szCs w:val="22"/>
          <w:lang w:eastAsia="en-US"/>
        </w:rPr>
      </w:pPr>
    </w:p>
    <w:p w14:paraId="2AEE700A" w14:textId="0878CDE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r w:rsidRPr="00EB3D68">
        <w:rPr>
          <w:rFonts w:ascii="Palatino Linotype" w:eastAsiaTheme="minorHAnsi" w:hAnsi="Palatino Linotype" w:cstheme="minorBidi"/>
          <w:color w:val="000000" w:themeColor="text1"/>
          <w:sz w:val="22"/>
          <w:szCs w:val="22"/>
          <w:lang w:eastAsia="en-US"/>
        </w:rPr>
        <w:t>En ese contexto, de la interpretación del artículo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14:paraId="184D0667"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p>
    <w:p w14:paraId="5DFB5DEE"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r w:rsidRPr="00EB3D68">
        <w:rPr>
          <w:rFonts w:ascii="Palatino Linotype" w:eastAsiaTheme="minorHAnsi" w:hAnsi="Palatino Linotype" w:cstheme="minorBidi"/>
          <w:color w:val="000000" w:themeColor="text1"/>
          <w:sz w:val="22"/>
          <w:szCs w:val="22"/>
          <w:lang w:eastAsia="en-US"/>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0F4F5C5D"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p>
    <w:p w14:paraId="72971AA6"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r w:rsidRPr="00EB3D68">
        <w:rPr>
          <w:rFonts w:ascii="Palatino Linotype" w:eastAsiaTheme="minorHAnsi" w:hAnsi="Palatino Linotype" w:cstheme="minorBidi"/>
          <w:color w:val="000000" w:themeColor="text1"/>
          <w:sz w:val="22"/>
          <w:szCs w:val="22"/>
          <w:lang w:eastAsia="en-US"/>
        </w:rPr>
        <w:t xml:space="preserve">Además,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cuales se encontraban vigentes a la fecha de la solicitud, los sujetos obligados no podrán emitir acuerdos de carácter general que </w:t>
      </w:r>
      <w:r w:rsidRPr="00EB3D68">
        <w:rPr>
          <w:rFonts w:ascii="Palatino Linotype" w:eastAsiaTheme="minorHAnsi" w:hAnsi="Palatino Linotype" w:cstheme="minorBidi"/>
          <w:color w:val="000000" w:themeColor="text1"/>
          <w:sz w:val="22"/>
          <w:szCs w:val="22"/>
          <w:lang w:eastAsia="en-US"/>
        </w:rPr>
        <w:lastRenderedPageBreak/>
        <w:t>clasifiquen documentos o expedientes; por lo que, la clasificación de información se llevará a cabo mediante un análisis caso por caso.</w:t>
      </w:r>
    </w:p>
    <w:p w14:paraId="29E63B5B"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p>
    <w:p w14:paraId="007FDF04"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r w:rsidRPr="00EB3D68">
        <w:rPr>
          <w:rFonts w:ascii="Palatino Linotype" w:eastAsiaTheme="minorHAnsi" w:hAnsi="Palatino Linotype" w:cstheme="minorBidi"/>
          <w:color w:val="000000" w:themeColor="text1"/>
          <w:sz w:val="22"/>
          <w:szCs w:val="22"/>
          <w:lang w:eastAsia="en-US"/>
        </w:rPr>
        <w:t xml:space="preserve">Sobre lo anterior, el artículo 131 de la Ley referida, así como el Quinto de los Lineamientos Generales vigentes a la fecha de la solicitud, establecen que los sujetos obligados </w:t>
      </w:r>
      <w:r w:rsidRPr="00EB3D68">
        <w:rPr>
          <w:rFonts w:ascii="Palatino Linotype" w:eastAsiaTheme="minorHAnsi" w:hAnsi="Palatino Linotype" w:cstheme="minorBidi"/>
          <w:b/>
          <w:color w:val="000000" w:themeColor="text1"/>
          <w:sz w:val="22"/>
          <w:szCs w:val="22"/>
          <w:lang w:eastAsia="en-US"/>
        </w:rPr>
        <w:t>deberán fundar y motivar</w:t>
      </w:r>
      <w:r w:rsidRPr="00EB3D68">
        <w:rPr>
          <w:rFonts w:ascii="Palatino Linotype" w:eastAsiaTheme="minorHAnsi" w:hAnsi="Palatino Linotype" w:cstheme="minorBidi"/>
          <w:color w:val="000000" w:themeColor="text1"/>
          <w:sz w:val="22"/>
          <w:szCs w:val="22"/>
          <w:lang w:eastAsia="en-US"/>
        </w:rPr>
        <w:t xml:space="preserve"> debidamente la clasificación de la información.</w:t>
      </w:r>
    </w:p>
    <w:p w14:paraId="449B3E78"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p>
    <w:p w14:paraId="12B86D45"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r w:rsidRPr="00EB3D68">
        <w:rPr>
          <w:rFonts w:ascii="Palatino Linotype" w:eastAsiaTheme="minorHAnsi" w:hAnsi="Palatino Linotype" w:cstheme="minorBidi"/>
          <w:color w:val="000000" w:themeColor="text1"/>
          <w:sz w:val="22"/>
          <w:szCs w:val="22"/>
          <w:lang w:eastAsia="en-US"/>
        </w:rPr>
        <w:t>Al respecto, el Octavo de los Lineamientos Generales en comento, precisa lo siguiente:</w:t>
      </w:r>
    </w:p>
    <w:p w14:paraId="4844AFAE"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p>
    <w:p w14:paraId="0E148838" w14:textId="77777777" w:rsidR="00ED6F0A" w:rsidRPr="00EB3D68" w:rsidRDefault="00ED6F0A" w:rsidP="00ED6F0A">
      <w:pPr>
        <w:numPr>
          <w:ilvl w:val="0"/>
          <w:numId w:val="13"/>
        </w:numPr>
        <w:tabs>
          <w:tab w:val="left" w:pos="4962"/>
        </w:tabs>
        <w:spacing w:line="360" w:lineRule="auto"/>
        <w:contextualSpacing/>
        <w:jc w:val="both"/>
        <w:rPr>
          <w:rFonts w:ascii="Palatino Linotype" w:eastAsiaTheme="minorHAnsi" w:hAnsi="Palatino Linotype" w:cstheme="minorBidi"/>
          <w:color w:val="000000" w:themeColor="text1"/>
          <w:sz w:val="22"/>
          <w:szCs w:val="22"/>
          <w:lang w:eastAsia="en-US"/>
        </w:rPr>
      </w:pPr>
      <w:r w:rsidRPr="00EB3D68">
        <w:rPr>
          <w:rFonts w:ascii="Palatino Linotype" w:eastAsiaTheme="minorHAnsi" w:hAnsi="Palatino Linotype" w:cstheme="minorBidi"/>
          <w:b/>
          <w:color w:val="000000" w:themeColor="text1"/>
          <w:sz w:val="22"/>
          <w:szCs w:val="22"/>
          <w:lang w:eastAsia="en-US"/>
        </w:rPr>
        <w:t>Para fundar la clasificación</w:t>
      </w:r>
      <w:r w:rsidRPr="00EB3D68">
        <w:rPr>
          <w:rFonts w:ascii="Palatino Linotype" w:eastAsiaTheme="minorHAnsi" w:hAnsi="Palatino Linotype" w:cstheme="minorBidi"/>
          <w:color w:val="000000" w:themeColor="text1"/>
          <w:sz w:val="22"/>
          <w:szCs w:val="22"/>
          <w:lang w:eastAsia="en-US"/>
        </w:rPr>
        <w:t xml:space="preserve"> de la información se deberán señalar el artículo, fracción, inciso, párrafo o numeral de la Ley aplicable;</w:t>
      </w:r>
    </w:p>
    <w:p w14:paraId="44BA964C" w14:textId="77777777" w:rsidR="00ED6F0A" w:rsidRPr="00EB3D68" w:rsidRDefault="00ED6F0A" w:rsidP="00ED6F0A">
      <w:pPr>
        <w:tabs>
          <w:tab w:val="left" w:pos="4962"/>
        </w:tabs>
        <w:spacing w:line="360" w:lineRule="auto"/>
        <w:jc w:val="both"/>
        <w:rPr>
          <w:rFonts w:ascii="Palatino Linotype" w:eastAsiaTheme="minorHAnsi" w:hAnsi="Palatino Linotype" w:cstheme="minorBidi"/>
          <w:color w:val="000000" w:themeColor="text1"/>
          <w:sz w:val="22"/>
          <w:szCs w:val="22"/>
          <w:lang w:eastAsia="en-US"/>
        </w:rPr>
      </w:pPr>
    </w:p>
    <w:p w14:paraId="4524C62A" w14:textId="77777777" w:rsidR="00ED6F0A" w:rsidRPr="00EB3D68" w:rsidRDefault="00ED6F0A" w:rsidP="00ED6F0A">
      <w:pPr>
        <w:numPr>
          <w:ilvl w:val="0"/>
          <w:numId w:val="13"/>
        </w:numPr>
        <w:tabs>
          <w:tab w:val="left" w:pos="4962"/>
        </w:tabs>
        <w:spacing w:line="360" w:lineRule="auto"/>
        <w:contextualSpacing/>
        <w:jc w:val="both"/>
        <w:rPr>
          <w:rFonts w:ascii="Palatino Linotype" w:eastAsiaTheme="minorHAnsi" w:hAnsi="Palatino Linotype" w:cstheme="minorBidi"/>
          <w:color w:val="000000" w:themeColor="text1"/>
          <w:sz w:val="22"/>
          <w:szCs w:val="22"/>
          <w:lang w:eastAsia="en-US"/>
        </w:rPr>
      </w:pPr>
      <w:r w:rsidRPr="00EB3D68">
        <w:rPr>
          <w:rFonts w:ascii="Palatino Linotype" w:eastAsiaTheme="minorHAnsi" w:hAnsi="Palatino Linotype" w:cstheme="minorBidi"/>
          <w:b/>
          <w:color w:val="000000" w:themeColor="text1"/>
          <w:sz w:val="22"/>
          <w:szCs w:val="22"/>
          <w:lang w:eastAsia="en-US"/>
        </w:rPr>
        <w:t>Para motivar la clasificación</w:t>
      </w:r>
      <w:r w:rsidRPr="00EB3D68">
        <w:rPr>
          <w:rFonts w:ascii="Palatino Linotype" w:eastAsiaTheme="minorHAnsi" w:hAnsi="Palatino Linotype" w:cstheme="minorBidi"/>
          <w:color w:val="000000" w:themeColor="text1"/>
          <w:sz w:val="22"/>
          <w:szCs w:val="22"/>
          <w:lang w:eastAsia="en-US"/>
        </w:rPr>
        <w:t xml:space="preserve"> se deberán indicar las razones y circunstancias especiales que lo llevaron a concluir que el caso particular se ajusta al supuesto previsto por la norma legal invocada.</w:t>
      </w:r>
    </w:p>
    <w:p w14:paraId="2860369B" w14:textId="77777777" w:rsidR="00ED6F0A" w:rsidRPr="00EB3D68" w:rsidRDefault="00ED6F0A" w:rsidP="009E117D">
      <w:pPr>
        <w:spacing w:line="360" w:lineRule="auto"/>
        <w:jc w:val="both"/>
        <w:rPr>
          <w:rFonts w:ascii="Palatino Linotype" w:hAnsi="Palatino Linotype" w:cs="Tahoma"/>
          <w:bCs/>
          <w:iCs/>
          <w:sz w:val="22"/>
          <w:szCs w:val="22"/>
        </w:rPr>
      </w:pPr>
    </w:p>
    <w:p w14:paraId="38D70874" w14:textId="4EE47419" w:rsidR="00ED6F0A" w:rsidRPr="00EB3D68" w:rsidRDefault="00ED6F0A" w:rsidP="00F316EC">
      <w:pPr>
        <w:spacing w:line="360" w:lineRule="auto"/>
        <w:ind w:right="-28"/>
        <w:contextualSpacing/>
        <w:jc w:val="both"/>
        <w:rPr>
          <w:rFonts w:ascii="Palatino Linotype" w:eastAsia="Calibri" w:hAnsi="Palatino Linotype" w:cs="Tahoma"/>
          <w:bCs/>
          <w:color w:val="000000"/>
          <w:sz w:val="22"/>
          <w:szCs w:val="22"/>
        </w:rPr>
      </w:pPr>
      <w:r w:rsidRPr="00EB3D68">
        <w:rPr>
          <w:rFonts w:ascii="Palatino Linotype" w:eastAsia="Calibri" w:hAnsi="Palatino Linotype" w:cs="Tahoma"/>
          <w:bCs/>
          <w:color w:val="000000"/>
          <w:sz w:val="22"/>
          <w:szCs w:val="22"/>
        </w:rPr>
        <w:t xml:space="preserve">En este sentido, el Ayuntamiento no entregó el acuerdo de clasificación en donde se fundara y motivara la clasificación del nombre de los solicitantes de trámites como un dato personal confidencial, además dejó de observar lo previsto en el artículo 92, fracción XXXII, de la Ley de Transparencia y Acceso a la Información Pública del Estado de México y Municipios, el cual dispone que </w:t>
      </w:r>
      <w:r w:rsidRPr="00EB3D68">
        <w:rPr>
          <w:rFonts w:ascii="Palatino Linotype" w:eastAsia="Calibri" w:hAnsi="Palatino Linotype" w:cs="Tahoma"/>
          <w:b/>
          <w:color w:val="000000"/>
          <w:sz w:val="22"/>
          <w:szCs w:val="22"/>
        </w:rPr>
        <w:t>corresponde a las obligaciones de transparencia los permisos, licencias o autorizaciones otorgados</w:t>
      </w:r>
      <w:r w:rsidR="000B786F" w:rsidRPr="00EB3D68">
        <w:rPr>
          <w:rFonts w:ascii="Palatino Linotype" w:eastAsia="Calibri" w:hAnsi="Palatino Linotype" w:cs="Tahoma"/>
          <w:b/>
          <w:color w:val="000000"/>
          <w:sz w:val="22"/>
          <w:szCs w:val="22"/>
        </w:rPr>
        <w:t xml:space="preserve"> en los que se especifique a los titulares. </w:t>
      </w:r>
      <w:r w:rsidR="000B786F" w:rsidRPr="00EB3D68">
        <w:rPr>
          <w:rFonts w:ascii="Palatino Linotype" w:eastAsia="Calibri" w:hAnsi="Palatino Linotype" w:cs="Tahoma"/>
          <w:bCs/>
          <w:color w:val="000000"/>
          <w:sz w:val="22"/>
          <w:szCs w:val="22"/>
        </w:rPr>
        <w:t xml:space="preserve">De tal suerte que, la regla general indica que, el </w:t>
      </w:r>
      <w:proofErr w:type="gramStart"/>
      <w:r w:rsidR="000B786F" w:rsidRPr="00EB3D68">
        <w:rPr>
          <w:rFonts w:ascii="Palatino Linotype" w:eastAsia="Calibri" w:hAnsi="Palatino Linotype" w:cs="Tahoma"/>
          <w:bCs/>
          <w:color w:val="000000"/>
          <w:sz w:val="22"/>
          <w:szCs w:val="22"/>
        </w:rPr>
        <w:t>nombres</w:t>
      </w:r>
      <w:proofErr w:type="gramEnd"/>
      <w:r w:rsidR="000B786F" w:rsidRPr="00EB3D68">
        <w:rPr>
          <w:rFonts w:ascii="Palatino Linotype" w:eastAsia="Calibri" w:hAnsi="Palatino Linotype" w:cs="Tahoma"/>
          <w:bCs/>
          <w:color w:val="000000"/>
          <w:sz w:val="22"/>
          <w:szCs w:val="22"/>
        </w:rPr>
        <w:t xml:space="preserve"> de las personas a quienes se les haya emitido un permiso, licencia o autorización es información de naturaleza pública.</w:t>
      </w:r>
    </w:p>
    <w:p w14:paraId="1F611EC4" w14:textId="77777777" w:rsidR="003201A9" w:rsidRPr="00EB3D68" w:rsidRDefault="003201A9" w:rsidP="00F316EC">
      <w:pPr>
        <w:spacing w:line="360" w:lineRule="auto"/>
        <w:ind w:right="-28"/>
        <w:contextualSpacing/>
        <w:jc w:val="both"/>
        <w:rPr>
          <w:rFonts w:ascii="Palatino Linotype" w:eastAsia="Calibri" w:hAnsi="Palatino Linotype" w:cs="Tahoma"/>
          <w:bCs/>
          <w:color w:val="000000"/>
          <w:sz w:val="22"/>
          <w:szCs w:val="22"/>
        </w:rPr>
      </w:pPr>
    </w:p>
    <w:p w14:paraId="1947B138" w14:textId="1E457603" w:rsidR="000B786F" w:rsidRPr="00EB3D68" w:rsidRDefault="000B786F" w:rsidP="00F316EC">
      <w:pPr>
        <w:spacing w:line="360" w:lineRule="auto"/>
        <w:ind w:right="-28"/>
        <w:contextualSpacing/>
        <w:jc w:val="both"/>
        <w:rPr>
          <w:rFonts w:ascii="Palatino Linotype" w:eastAsia="Calibri" w:hAnsi="Palatino Linotype" w:cs="Tahoma"/>
          <w:bCs/>
          <w:color w:val="000000"/>
          <w:sz w:val="22"/>
          <w:szCs w:val="22"/>
        </w:rPr>
      </w:pPr>
      <w:r w:rsidRPr="00EB3D68">
        <w:rPr>
          <w:rFonts w:ascii="Palatino Linotype" w:eastAsia="Calibri" w:hAnsi="Palatino Linotype" w:cs="Tahoma"/>
          <w:bCs/>
          <w:color w:val="000000"/>
          <w:sz w:val="22"/>
          <w:szCs w:val="22"/>
        </w:rPr>
        <w:lastRenderedPageBreak/>
        <w:t>No obstante, no se debe dejar de lado que existen permisos, licencias y autorizaciones que puedes estar vinculados con el patrimonio de las personas, en cuyo caso proporcionar el nombre en la licencia si refleja no solamente el actuar del Sujeto Obligado, sino que revela datos del patrimonio de las personas como en el caso de las licencias de construcción y de uso de suelo en donde el contenido de los documentos revela esta información que forma parte de la vida privada de los particulares.</w:t>
      </w:r>
    </w:p>
    <w:p w14:paraId="7E4B25C2" w14:textId="77777777" w:rsidR="000B786F" w:rsidRPr="00EB3D68" w:rsidRDefault="000B786F" w:rsidP="00F316EC">
      <w:pPr>
        <w:spacing w:line="360" w:lineRule="auto"/>
        <w:ind w:right="-28"/>
        <w:contextualSpacing/>
        <w:jc w:val="both"/>
        <w:rPr>
          <w:rFonts w:ascii="Palatino Linotype" w:eastAsia="Calibri" w:hAnsi="Palatino Linotype" w:cs="Tahoma"/>
          <w:bCs/>
          <w:color w:val="000000"/>
          <w:sz w:val="22"/>
          <w:szCs w:val="22"/>
        </w:rPr>
      </w:pPr>
    </w:p>
    <w:p w14:paraId="784C866F" w14:textId="4F79BA4F" w:rsidR="000B786F" w:rsidRPr="00EB3D68" w:rsidRDefault="000B786F" w:rsidP="00F316EC">
      <w:pPr>
        <w:spacing w:line="360" w:lineRule="auto"/>
        <w:ind w:right="-28"/>
        <w:contextualSpacing/>
        <w:jc w:val="both"/>
        <w:rPr>
          <w:rFonts w:ascii="Palatino Linotype" w:eastAsia="Calibri" w:hAnsi="Palatino Linotype" w:cs="Tahoma"/>
          <w:bCs/>
          <w:color w:val="000000"/>
          <w:sz w:val="22"/>
          <w:szCs w:val="22"/>
        </w:rPr>
      </w:pPr>
      <w:r w:rsidRPr="00EB3D68">
        <w:rPr>
          <w:rFonts w:ascii="Palatino Linotype" w:eastAsia="Calibri" w:hAnsi="Palatino Linotype" w:cs="Tahoma"/>
          <w:bCs/>
          <w:color w:val="000000"/>
          <w:sz w:val="22"/>
          <w:szCs w:val="22"/>
        </w:rPr>
        <w:t xml:space="preserve">En este sentido, para favorecer la transparencia y la rendición de cuentas, lo que conviene es dejar visibles aquellos datos que permiten verificar el cumplimiento de los requisitos legales y dejar testado el nombre del titular del inmueble, sustenta lo anterior el Criterio Relevante 01/18  de la Segunda </w:t>
      </w:r>
      <w:r w:rsidRPr="00EB3D68">
        <w:rPr>
          <w:rFonts w:ascii="Palatino Linotype" w:eastAsia="Calibri" w:hAnsi="Palatino Linotype" w:cs="Tahoma"/>
          <w:bCs/>
          <w:caps/>
          <w:color w:val="000000"/>
          <w:sz w:val="22"/>
          <w:szCs w:val="22"/>
        </w:rPr>
        <w:t>é</w:t>
      </w:r>
      <w:r w:rsidRPr="00EB3D68">
        <w:rPr>
          <w:rFonts w:ascii="Palatino Linotype" w:eastAsia="Calibri" w:hAnsi="Palatino Linotype" w:cs="Tahoma"/>
          <w:bCs/>
          <w:color w:val="000000"/>
          <w:sz w:val="22"/>
          <w:szCs w:val="22"/>
        </w:rPr>
        <w:t>poca, mismo que dispone lo siguiente:</w:t>
      </w:r>
    </w:p>
    <w:p w14:paraId="2A0A03B1" w14:textId="77777777" w:rsidR="000B786F" w:rsidRPr="00EB3D68" w:rsidRDefault="000B786F" w:rsidP="00F316EC">
      <w:pPr>
        <w:spacing w:line="360" w:lineRule="auto"/>
        <w:ind w:right="-28"/>
        <w:contextualSpacing/>
        <w:jc w:val="both"/>
        <w:rPr>
          <w:rFonts w:ascii="Palatino Linotype" w:eastAsia="Calibri" w:hAnsi="Palatino Linotype" w:cs="Tahoma"/>
          <w:bCs/>
          <w:color w:val="000000"/>
          <w:sz w:val="22"/>
          <w:szCs w:val="22"/>
        </w:rPr>
      </w:pPr>
    </w:p>
    <w:p w14:paraId="7182EAF7" w14:textId="4DD587E9" w:rsidR="000B786F" w:rsidRPr="00EB3D68" w:rsidRDefault="000B786F" w:rsidP="000B786F">
      <w:pPr>
        <w:spacing w:line="360" w:lineRule="auto"/>
        <w:ind w:left="567" w:right="567"/>
        <w:contextualSpacing/>
        <w:jc w:val="both"/>
        <w:rPr>
          <w:rFonts w:ascii="Palatino Linotype" w:eastAsia="Calibri" w:hAnsi="Palatino Linotype" w:cs="Tahoma"/>
          <w:bCs/>
          <w:i/>
          <w:iCs/>
          <w:color w:val="000000"/>
        </w:rPr>
      </w:pPr>
      <w:r w:rsidRPr="00EB3D68">
        <w:rPr>
          <w:rFonts w:ascii="Palatino Linotype" w:eastAsia="Calibri" w:hAnsi="Palatino Linotype" w:cs="Tahoma"/>
          <w:bCs/>
          <w:i/>
          <w:iCs/>
          <w:color w:val="000000"/>
        </w:rPr>
        <w:t xml:space="preserve">Nombre del titular de una licencia que no involucre el aprovechamiento de bienes, servicios y/o recursos públicos, constituye un dato personal susceptible de clasificar como confidencial.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w:t>
      </w:r>
      <w:r w:rsidRPr="00EB3D68">
        <w:rPr>
          <w:rFonts w:ascii="Palatino Linotype" w:eastAsia="Calibri" w:hAnsi="Palatino Linotype" w:cs="Tahoma"/>
          <w:bCs/>
          <w:i/>
          <w:iCs/>
          <w:color w:val="000000"/>
        </w:rPr>
        <w:lastRenderedPageBreak/>
        <w:t>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383A1314" w14:textId="540AAE8C" w:rsidR="007B2FD2" w:rsidRPr="00EB3D68" w:rsidRDefault="00ED6F0A" w:rsidP="00F316EC">
      <w:pPr>
        <w:spacing w:line="360" w:lineRule="auto"/>
        <w:ind w:right="-28"/>
        <w:contextualSpacing/>
        <w:jc w:val="both"/>
        <w:rPr>
          <w:rFonts w:ascii="Palatino Linotype" w:eastAsia="Calibri" w:hAnsi="Palatino Linotype" w:cs="Tahoma"/>
          <w:bCs/>
          <w:color w:val="000000"/>
          <w:sz w:val="22"/>
          <w:szCs w:val="22"/>
        </w:rPr>
      </w:pPr>
      <w:r w:rsidRPr="00EB3D68">
        <w:rPr>
          <w:rFonts w:ascii="Palatino Linotype" w:eastAsia="Calibri" w:hAnsi="Palatino Linotype" w:cs="Tahoma"/>
          <w:bCs/>
          <w:color w:val="000000"/>
          <w:sz w:val="22"/>
          <w:szCs w:val="22"/>
        </w:rPr>
        <w:t xml:space="preserve"> </w:t>
      </w:r>
    </w:p>
    <w:p w14:paraId="31826C51" w14:textId="46497F32" w:rsidR="000B786F" w:rsidRPr="00EB3D68" w:rsidRDefault="000B786F" w:rsidP="00F316EC">
      <w:pPr>
        <w:spacing w:line="360" w:lineRule="auto"/>
        <w:ind w:right="-28"/>
        <w:contextualSpacing/>
        <w:jc w:val="both"/>
        <w:rPr>
          <w:rFonts w:ascii="Palatino Linotype" w:eastAsia="Calibri" w:hAnsi="Palatino Linotype" w:cs="Tahoma"/>
          <w:bCs/>
          <w:color w:val="000000"/>
          <w:sz w:val="22"/>
          <w:szCs w:val="22"/>
        </w:rPr>
      </w:pPr>
      <w:r w:rsidRPr="00EB3D68">
        <w:rPr>
          <w:rFonts w:ascii="Palatino Linotype" w:eastAsia="Calibri" w:hAnsi="Palatino Linotype" w:cs="Tahoma"/>
          <w:bCs/>
          <w:color w:val="000000"/>
          <w:sz w:val="22"/>
          <w:szCs w:val="22"/>
        </w:rPr>
        <w:t>En consecuencia, no procede entregar el nombre de las personas que han obtenido una licencia de construcción o uso de suelo y, toda vez que el resto de los trámites se encuentran en proceso y no se han concluido, esto es, a la fecha de la solicitud no han obtenido ni permiso, ni licencia, ni autorización, también es dable ordenar su clasificación como dato personal confidencial, de acuerdo con el artículo 143, fracción I, de la Ley de Transparencia y Acceso a la Información Pública del Estado de México y Municipios.</w:t>
      </w:r>
    </w:p>
    <w:p w14:paraId="2C098F3E" w14:textId="77777777" w:rsidR="000B786F" w:rsidRPr="00EB3D68" w:rsidRDefault="000B786F" w:rsidP="00F316EC">
      <w:pPr>
        <w:spacing w:line="360" w:lineRule="auto"/>
        <w:ind w:right="-28"/>
        <w:contextualSpacing/>
        <w:jc w:val="both"/>
        <w:rPr>
          <w:rFonts w:ascii="Palatino Linotype" w:eastAsia="Palatino Linotype" w:hAnsi="Palatino Linotype" w:cs="Palatino Linotype"/>
          <w:sz w:val="22"/>
          <w:szCs w:val="22"/>
        </w:rPr>
      </w:pPr>
    </w:p>
    <w:p w14:paraId="5052B411" w14:textId="0C534EC7" w:rsidR="00F316EC" w:rsidRPr="00EB3D68" w:rsidRDefault="00F316EC" w:rsidP="00F316EC">
      <w:pPr>
        <w:spacing w:line="360" w:lineRule="auto"/>
        <w:ind w:right="-28"/>
        <w:contextualSpacing/>
        <w:jc w:val="both"/>
        <w:rPr>
          <w:rFonts w:ascii="Palatino Linotype" w:hAnsi="Palatino Linotype" w:cs="Tahoma"/>
          <w:sz w:val="22"/>
          <w:szCs w:val="22"/>
        </w:rPr>
      </w:pPr>
      <w:r w:rsidRPr="00EB3D68">
        <w:rPr>
          <w:rFonts w:ascii="Palatino Linotype" w:eastAsia="Palatino Linotype" w:hAnsi="Palatino Linotype" w:cs="Palatino Linotype"/>
          <w:sz w:val="22"/>
          <w:szCs w:val="22"/>
        </w:rPr>
        <w:t xml:space="preserve">De esta manera se concluye, que el </w:t>
      </w:r>
      <w:r w:rsidR="006C7234" w:rsidRPr="00EB3D68">
        <w:rPr>
          <w:rFonts w:ascii="Palatino Linotype" w:eastAsia="Palatino Linotype" w:hAnsi="Palatino Linotype" w:cs="Palatino Linotype"/>
          <w:sz w:val="22"/>
          <w:szCs w:val="22"/>
        </w:rPr>
        <w:t xml:space="preserve">Ayuntamiento de </w:t>
      </w:r>
      <w:proofErr w:type="spellStart"/>
      <w:r w:rsidR="006C7234" w:rsidRPr="00EB3D68">
        <w:rPr>
          <w:rFonts w:ascii="Palatino Linotype" w:eastAsia="Palatino Linotype" w:hAnsi="Palatino Linotype" w:cs="Palatino Linotype"/>
          <w:sz w:val="22"/>
          <w:szCs w:val="22"/>
        </w:rPr>
        <w:t>Jilotzingo</w:t>
      </w:r>
      <w:proofErr w:type="spellEnd"/>
      <w:r w:rsidR="006C7234" w:rsidRPr="00EB3D68">
        <w:rPr>
          <w:rFonts w:ascii="Palatino Linotype" w:eastAsia="Palatino Linotype" w:hAnsi="Palatino Linotype" w:cs="Palatino Linotype"/>
          <w:sz w:val="22"/>
          <w:szCs w:val="22"/>
        </w:rPr>
        <w:t>, no satisfizo en su totalidad la solicitud de información, por lo que se considera</w:t>
      </w:r>
      <w:r w:rsidR="00537AEC" w:rsidRPr="00EB3D68">
        <w:rPr>
          <w:rFonts w:ascii="Palatino Linotype" w:eastAsia="Palatino Linotype" w:hAnsi="Palatino Linotype" w:cs="Palatino Linotype"/>
          <w:sz w:val="22"/>
          <w:szCs w:val="22"/>
        </w:rPr>
        <w:t xml:space="preserve"> que deberá</w:t>
      </w:r>
      <w:r w:rsidR="006C7234" w:rsidRPr="00EB3D68">
        <w:rPr>
          <w:rFonts w:ascii="Palatino Linotype" w:eastAsia="Palatino Linotype" w:hAnsi="Palatino Linotype" w:cs="Palatino Linotype"/>
          <w:sz w:val="22"/>
          <w:szCs w:val="22"/>
        </w:rPr>
        <w:t xml:space="preserve"> </w:t>
      </w:r>
      <w:r w:rsidR="00537AEC" w:rsidRPr="00EB3D68">
        <w:rPr>
          <w:rFonts w:ascii="Palatino Linotype" w:eastAsia="Palatino Linotype" w:hAnsi="Palatino Linotype" w:cs="Palatino Linotype"/>
          <w:sz w:val="22"/>
          <w:szCs w:val="22"/>
        </w:rPr>
        <w:t>entregar</w:t>
      </w:r>
      <w:r w:rsidR="006C7234" w:rsidRPr="00EB3D68">
        <w:rPr>
          <w:rFonts w:ascii="Palatino Linotype" w:eastAsia="Palatino Linotype" w:hAnsi="Palatino Linotype" w:cs="Palatino Linotype"/>
          <w:sz w:val="22"/>
          <w:szCs w:val="22"/>
        </w:rPr>
        <w:t xml:space="preserve"> </w:t>
      </w:r>
      <w:r w:rsidR="00537AEC" w:rsidRPr="00EB3D68">
        <w:rPr>
          <w:rFonts w:ascii="Palatino Linotype" w:eastAsia="Palatino Linotype" w:hAnsi="Palatino Linotype" w:cs="Palatino Linotype"/>
          <w:sz w:val="22"/>
          <w:szCs w:val="22"/>
        </w:rPr>
        <w:t>respecto de los</w:t>
      </w:r>
      <w:r w:rsidR="006C7234" w:rsidRPr="00EB3D68">
        <w:rPr>
          <w:rFonts w:ascii="Palatino Linotype" w:eastAsia="Palatino Linotype" w:hAnsi="Palatino Linotype" w:cs="Palatino Linotype"/>
          <w:sz w:val="22"/>
          <w:szCs w:val="22"/>
        </w:rPr>
        <w:t xml:space="preserve"> diez trámites concluidos referidos en respuesta por la </w:t>
      </w:r>
      <w:r w:rsidR="006C7234" w:rsidRPr="00EB3D68">
        <w:rPr>
          <w:rFonts w:ascii="Palatino Linotype" w:hAnsi="Palatino Linotype" w:cs="Tahoma"/>
          <w:sz w:val="22"/>
          <w:szCs w:val="22"/>
        </w:rPr>
        <w:t>Dirección General de Desarrollo Urbano</w:t>
      </w:r>
      <w:r w:rsidR="00537AEC" w:rsidRPr="00EB3D68">
        <w:rPr>
          <w:rFonts w:ascii="Palatino Linotype" w:hAnsi="Palatino Linotype" w:cs="Tahoma"/>
          <w:sz w:val="22"/>
          <w:szCs w:val="22"/>
        </w:rPr>
        <w:t>,</w:t>
      </w:r>
      <w:r w:rsidR="006C7234" w:rsidRPr="00EB3D68">
        <w:rPr>
          <w:rFonts w:ascii="Palatino Linotype" w:hAnsi="Palatino Linotype" w:cs="Tahoma"/>
          <w:sz w:val="22"/>
          <w:szCs w:val="22"/>
        </w:rPr>
        <w:t xml:space="preserve"> Ecología y Medio Ambiente, </w:t>
      </w:r>
      <w:r w:rsidR="00537AEC" w:rsidRPr="00EB3D68">
        <w:rPr>
          <w:rFonts w:ascii="Palatino Linotype" w:hAnsi="Palatino Linotype" w:cs="Tahoma"/>
          <w:sz w:val="22"/>
          <w:szCs w:val="22"/>
        </w:rPr>
        <w:t>el nombres de quienes realizaron los trámites, con excepción de aquellos que correspondan a licencias de construcción o uso de suelo; de estos últimos y de los ochenta y dos que están en trámite, deberá entregar el acuerdo emitido por el Comité de Transparencia en donde se clasifiquen los nombres como datos personales confidenciales.</w:t>
      </w:r>
    </w:p>
    <w:p w14:paraId="6A0E816C" w14:textId="77777777" w:rsidR="00EF1C47" w:rsidRPr="00EB3D68" w:rsidRDefault="00EF1C47" w:rsidP="00F316EC">
      <w:pPr>
        <w:spacing w:line="360" w:lineRule="auto"/>
        <w:ind w:right="-28"/>
        <w:contextualSpacing/>
        <w:jc w:val="both"/>
        <w:rPr>
          <w:rFonts w:ascii="Palatino Linotype" w:hAnsi="Palatino Linotype" w:cs="Tahoma"/>
          <w:sz w:val="22"/>
          <w:szCs w:val="22"/>
        </w:rPr>
      </w:pPr>
    </w:p>
    <w:p w14:paraId="45383E7C" w14:textId="77777777" w:rsidR="00EF1C47" w:rsidRPr="00EB3D68" w:rsidRDefault="00EF1C47" w:rsidP="00EF1C47">
      <w:pPr>
        <w:spacing w:line="360" w:lineRule="auto"/>
        <w:jc w:val="both"/>
        <w:rPr>
          <w:rFonts w:ascii="Palatino Linotype" w:hAnsi="Palatino Linotype" w:cs="Tahoma"/>
          <w:bCs/>
          <w:sz w:val="22"/>
          <w:szCs w:val="22"/>
          <w:lang w:val="es-ES"/>
        </w:rPr>
      </w:pPr>
      <w:r w:rsidRPr="00EB3D68">
        <w:rPr>
          <w:rFonts w:ascii="Palatino Linotype" w:hAnsi="Palatino Linotype" w:cs="Tahoma"/>
          <w:bCs/>
          <w:sz w:val="22"/>
          <w:szCs w:val="22"/>
          <w:lang w:val="es-ES_tradnl"/>
        </w:rPr>
        <w:t>Finalmente, no pasa desapercibido para este Instituto que los documentos que den cuenta de lo solicitado, pudieran contener datos o información clasificada; por lo que, en el supuesto, deberá elaborar la versión pública respectiva; a</w:t>
      </w:r>
      <w:r w:rsidRPr="00EB3D68">
        <w:rPr>
          <w:rFonts w:ascii="Palatino Linotype" w:hAnsi="Palatino Linotype" w:cs="Tahoma"/>
          <w:b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w:t>
      </w:r>
      <w:r w:rsidRPr="00EB3D68">
        <w:rPr>
          <w:rFonts w:ascii="Palatino Linotype" w:hAnsi="Palatino Linotype" w:cs="Tahoma"/>
          <w:bCs/>
          <w:sz w:val="22"/>
          <w:szCs w:val="22"/>
          <w:lang w:val="es-ES"/>
        </w:rPr>
        <w:lastRenderedPageBreak/>
        <w:t>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19C1EA66" w14:textId="77777777" w:rsidR="00EF1C47" w:rsidRPr="00EB3D68" w:rsidRDefault="00EF1C47" w:rsidP="00EF1C47">
      <w:pPr>
        <w:spacing w:line="360" w:lineRule="auto"/>
        <w:jc w:val="both"/>
        <w:rPr>
          <w:rFonts w:ascii="Palatino Linotype" w:hAnsi="Palatino Linotype" w:cs="Tahoma"/>
          <w:bCs/>
          <w:sz w:val="22"/>
          <w:szCs w:val="22"/>
          <w:lang w:val="es-ES"/>
        </w:rPr>
      </w:pPr>
    </w:p>
    <w:p w14:paraId="035A95FA" w14:textId="34B8932D" w:rsidR="00EF1C47" w:rsidRPr="00EB3D68" w:rsidRDefault="00EF1C47" w:rsidP="00EF1C47">
      <w:pPr>
        <w:spacing w:line="360" w:lineRule="auto"/>
        <w:jc w:val="both"/>
        <w:rPr>
          <w:rFonts w:ascii="Palatino Linotype" w:hAnsi="Palatino Linotype" w:cs="Tahoma"/>
          <w:bCs/>
          <w:sz w:val="22"/>
          <w:szCs w:val="22"/>
          <w:lang w:val="es-ES"/>
        </w:rPr>
      </w:pPr>
      <w:r w:rsidRPr="00EB3D68">
        <w:rPr>
          <w:rFonts w:ascii="Palatino Linotype" w:hAnsi="Palatino Linotype" w:cs="Tahoma"/>
          <w:b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FD2C320" w14:textId="77777777" w:rsidR="00F316EC" w:rsidRPr="00EB3D68" w:rsidRDefault="00F316EC" w:rsidP="00F316EC">
      <w:pPr>
        <w:spacing w:line="360" w:lineRule="auto"/>
        <w:ind w:right="-28"/>
        <w:contextualSpacing/>
        <w:jc w:val="both"/>
        <w:rPr>
          <w:rFonts w:ascii="Palatino Linotype" w:eastAsia="Palatino Linotype" w:hAnsi="Palatino Linotype" w:cs="Palatino Linotype"/>
          <w:sz w:val="22"/>
          <w:szCs w:val="22"/>
        </w:rPr>
      </w:pPr>
    </w:p>
    <w:p w14:paraId="565AB6F7" w14:textId="77777777" w:rsidR="00F316EC" w:rsidRPr="00EB3D68" w:rsidRDefault="00F316EC" w:rsidP="00F316EC">
      <w:pPr>
        <w:pStyle w:val="Ttulo2"/>
        <w:spacing w:before="0" w:after="0" w:line="360" w:lineRule="auto"/>
        <w:contextualSpacing/>
        <w:rPr>
          <w:rFonts w:ascii="Palatino Linotype" w:hAnsi="Palatino Linotype"/>
          <w:b/>
          <w:bCs/>
          <w:color w:val="auto"/>
          <w:sz w:val="22"/>
          <w:szCs w:val="22"/>
        </w:rPr>
      </w:pPr>
      <w:bookmarkStart w:id="16" w:name="_Toc190350690"/>
      <w:r w:rsidRPr="00EB3D68">
        <w:rPr>
          <w:rFonts w:ascii="Palatino Linotype" w:hAnsi="Palatino Linotype"/>
          <w:b/>
          <w:bCs/>
          <w:color w:val="auto"/>
          <w:sz w:val="22"/>
          <w:szCs w:val="22"/>
        </w:rPr>
        <w:t>SEXTO. Decisión</w:t>
      </w:r>
      <w:bookmarkEnd w:id="16"/>
      <w:r w:rsidRPr="00EB3D68">
        <w:rPr>
          <w:rFonts w:ascii="Palatino Linotype" w:hAnsi="Palatino Linotype"/>
          <w:b/>
          <w:bCs/>
          <w:color w:val="auto"/>
          <w:sz w:val="22"/>
          <w:szCs w:val="22"/>
        </w:rPr>
        <w:t xml:space="preserve"> </w:t>
      </w:r>
    </w:p>
    <w:p w14:paraId="7129FBCB" w14:textId="77777777" w:rsidR="00F316EC" w:rsidRPr="00EB3D68" w:rsidRDefault="00F316EC" w:rsidP="00F316EC">
      <w:pPr>
        <w:spacing w:line="360" w:lineRule="auto"/>
        <w:contextualSpacing/>
        <w:jc w:val="both"/>
        <w:rPr>
          <w:rFonts w:ascii="Palatino Linotype" w:hAnsi="Palatino Linotype" w:cs="Tahoma"/>
          <w:b/>
          <w:sz w:val="22"/>
          <w:szCs w:val="22"/>
        </w:rPr>
      </w:pPr>
      <w:r w:rsidRPr="00EB3D68">
        <w:rPr>
          <w:rFonts w:ascii="Palatino Linotype" w:hAnsi="Palatino Linotype" w:cs="Tahoma"/>
          <w:b/>
          <w:sz w:val="22"/>
          <w:szCs w:val="22"/>
        </w:rPr>
        <w:t xml:space="preserve"> </w:t>
      </w:r>
    </w:p>
    <w:p w14:paraId="72AD8152" w14:textId="47B82B3E" w:rsidR="00F316EC" w:rsidRPr="00EB3D68" w:rsidRDefault="00F316EC" w:rsidP="00F316EC">
      <w:pPr>
        <w:spacing w:line="360" w:lineRule="auto"/>
        <w:contextualSpacing/>
        <w:jc w:val="both"/>
        <w:rPr>
          <w:rFonts w:ascii="Palatino Linotype" w:eastAsia="Calibri" w:hAnsi="Palatino Linotype" w:cs="Tahoma"/>
          <w:color w:val="000000"/>
          <w:sz w:val="22"/>
          <w:szCs w:val="22"/>
          <w:lang w:eastAsia="en-US"/>
        </w:rPr>
      </w:pPr>
      <w:r w:rsidRPr="00EB3D68">
        <w:rPr>
          <w:rFonts w:ascii="Palatino Linotype" w:eastAsia="Calibri" w:hAnsi="Palatino Linotype" w:cs="Tahoma"/>
          <w:color w:val="000000"/>
          <w:sz w:val="22"/>
          <w:szCs w:val="22"/>
          <w:lang w:eastAsia="en-US"/>
        </w:rPr>
        <w:t xml:space="preserve">De acuerdo con lo expuesto y, con fundamento en el artículo 186, fracción III, de la Ley de Transparencia y Acceso a la Información Pública del Estado de México y Municipios, este Instituto considera procedente </w:t>
      </w:r>
      <w:r w:rsidRPr="00EB3D68">
        <w:rPr>
          <w:rFonts w:ascii="Palatino Linotype" w:eastAsia="Calibri" w:hAnsi="Palatino Linotype" w:cs="Tahoma"/>
          <w:b/>
          <w:color w:val="000000"/>
          <w:sz w:val="22"/>
          <w:szCs w:val="22"/>
          <w:lang w:eastAsia="en-US"/>
        </w:rPr>
        <w:t xml:space="preserve">MODIFICAR </w:t>
      </w:r>
      <w:r w:rsidRPr="00EB3D68">
        <w:rPr>
          <w:rFonts w:ascii="Palatino Linotype" w:eastAsia="Calibri" w:hAnsi="Palatino Linotype" w:cs="Tahoma"/>
          <w:color w:val="000000"/>
          <w:sz w:val="22"/>
          <w:szCs w:val="22"/>
          <w:lang w:eastAsia="en-US"/>
        </w:rPr>
        <w:t xml:space="preserve">la respuesta del </w:t>
      </w:r>
      <w:r w:rsidR="006C7234" w:rsidRPr="00EB3D68">
        <w:rPr>
          <w:rFonts w:ascii="Palatino Linotype" w:hAnsi="Palatino Linotype"/>
          <w:color w:val="000000"/>
          <w:sz w:val="22"/>
          <w:szCs w:val="22"/>
        </w:rPr>
        <w:t xml:space="preserve">Ayuntamiento de </w:t>
      </w:r>
      <w:proofErr w:type="spellStart"/>
      <w:r w:rsidR="006C7234" w:rsidRPr="00EB3D68">
        <w:rPr>
          <w:rFonts w:ascii="Palatino Linotype" w:hAnsi="Palatino Linotype"/>
          <w:color w:val="000000"/>
          <w:sz w:val="22"/>
          <w:szCs w:val="22"/>
        </w:rPr>
        <w:t>Jilotzingo</w:t>
      </w:r>
      <w:proofErr w:type="spellEnd"/>
      <w:r w:rsidRPr="00EB3D68">
        <w:rPr>
          <w:rFonts w:ascii="Palatino Linotype" w:eastAsia="Calibri" w:hAnsi="Palatino Linotype" w:cs="Tahoma"/>
          <w:color w:val="000000"/>
          <w:sz w:val="22"/>
          <w:szCs w:val="22"/>
          <w:lang w:eastAsia="en-US"/>
        </w:rPr>
        <w:t>, a efecto de que entregue</w:t>
      </w:r>
      <w:r w:rsidR="006C7234" w:rsidRPr="00EB3D68">
        <w:rPr>
          <w:rFonts w:ascii="Palatino Linotype" w:eastAsia="Calibri" w:hAnsi="Palatino Linotype" w:cs="Tahoma"/>
          <w:color w:val="000000"/>
          <w:sz w:val="22"/>
          <w:szCs w:val="22"/>
          <w:lang w:eastAsia="en-US"/>
        </w:rPr>
        <w:t xml:space="preserve"> los</w:t>
      </w:r>
      <w:r w:rsidRPr="00EB3D68">
        <w:rPr>
          <w:rFonts w:ascii="Palatino Linotype" w:eastAsia="Calibri" w:hAnsi="Palatino Linotype" w:cs="Tahoma"/>
          <w:color w:val="000000"/>
          <w:sz w:val="22"/>
          <w:szCs w:val="22"/>
          <w:lang w:eastAsia="en-US"/>
        </w:rPr>
        <w:t xml:space="preserve"> </w:t>
      </w:r>
      <w:r w:rsidR="006C7234" w:rsidRPr="00EB3D68">
        <w:rPr>
          <w:rFonts w:ascii="Palatino Linotype" w:eastAsia="Calibri" w:hAnsi="Palatino Linotype" w:cs="Tahoma"/>
          <w:color w:val="000000"/>
          <w:sz w:val="22"/>
          <w:szCs w:val="22"/>
          <w:lang w:eastAsia="en-US"/>
        </w:rPr>
        <w:t>documentos que den cuenta de</w:t>
      </w:r>
      <w:r w:rsidR="00537AEC" w:rsidRPr="00EB3D68">
        <w:rPr>
          <w:rFonts w:ascii="Palatino Linotype" w:eastAsia="Calibri" w:hAnsi="Palatino Linotype" w:cs="Tahoma"/>
          <w:color w:val="000000"/>
          <w:sz w:val="22"/>
          <w:szCs w:val="22"/>
          <w:lang w:eastAsia="en-US"/>
        </w:rPr>
        <w:t xml:space="preserve">l nombre de las personas que realizaron trámites y se encuentran concluidos, así como el acuerdo de clasificación del nombre de </w:t>
      </w:r>
      <w:r w:rsidR="006C7234" w:rsidRPr="00EB3D68">
        <w:rPr>
          <w:rFonts w:ascii="Palatino Linotype" w:eastAsia="Calibri" w:hAnsi="Palatino Linotype" w:cs="Tahoma"/>
          <w:color w:val="000000"/>
          <w:sz w:val="22"/>
          <w:szCs w:val="22"/>
          <w:lang w:eastAsia="en-US"/>
        </w:rPr>
        <w:t xml:space="preserve">los trámites </w:t>
      </w:r>
      <w:r w:rsidR="00537AEC" w:rsidRPr="00EB3D68">
        <w:rPr>
          <w:rFonts w:ascii="Palatino Linotype" w:eastAsia="Calibri" w:hAnsi="Palatino Linotype" w:cs="Tahoma"/>
          <w:color w:val="000000"/>
          <w:sz w:val="22"/>
          <w:szCs w:val="22"/>
          <w:lang w:eastAsia="en-US"/>
        </w:rPr>
        <w:t>que a la fecha de la solicitud se encontraban en proceso, así como de quienes hayan obtenido licencias de construcción o uso de suelo</w:t>
      </w:r>
      <w:r w:rsidRPr="00EB3D68">
        <w:rPr>
          <w:rFonts w:ascii="Palatino Linotype" w:eastAsia="Calibri" w:hAnsi="Palatino Linotype" w:cs="Tahoma"/>
          <w:color w:val="000000"/>
          <w:sz w:val="22"/>
          <w:szCs w:val="22"/>
          <w:lang w:eastAsia="en-US"/>
        </w:rPr>
        <w:t>.</w:t>
      </w:r>
    </w:p>
    <w:p w14:paraId="3608DFB3" w14:textId="77777777" w:rsidR="00F316EC" w:rsidRPr="00EB3D68" w:rsidRDefault="00F316EC" w:rsidP="00F316EC">
      <w:pPr>
        <w:spacing w:line="360" w:lineRule="auto"/>
        <w:contextualSpacing/>
        <w:rPr>
          <w:rFonts w:cs="Tahoma"/>
          <w:iCs/>
        </w:rPr>
      </w:pPr>
    </w:p>
    <w:p w14:paraId="0D7AAD79" w14:textId="3808F715" w:rsidR="00F316EC" w:rsidRPr="00EB3D68" w:rsidRDefault="00F316EC" w:rsidP="00F316EC">
      <w:pPr>
        <w:autoSpaceDE w:val="0"/>
        <w:autoSpaceDN w:val="0"/>
        <w:adjustRightInd w:val="0"/>
        <w:spacing w:line="360" w:lineRule="auto"/>
        <w:contextualSpacing/>
        <w:jc w:val="both"/>
        <w:rPr>
          <w:rFonts w:ascii="Palatino Linotype" w:eastAsia="Calibri" w:hAnsi="Palatino Linotype" w:cs="Tahoma"/>
          <w:b/>
          <w:bCs/>
          <w:iCs/>
          <w:color w:val="000000"/>
          <w:sz w:val="22"/>
          <w:szCs w:val="22"/>
          <w:lang w:val="es-ES" w:eastAsia="en-US"/>
        </w:rPr>
      </w:pPr>
      <w:r w:rsidRPr="00EB3D68">
        <w:rPr>
          <w:rFonts w:ascii="Palatino Linotype" w:eastAsia="Calibri" w:hAnsi="Palatino Linotype" w:cs="Tahoma"/>
          <w:b/>
          <w:bCs/>
          <w:iCs/>
          <w:color w:val="000000"/>
          <w:sz w:val="22"/>
          <w:szCs w:val="22"/>
          <w:lang w:val="es-ES" w:eastAsia="en-US"/>
        </w:rPr>
        <w:t>Términos de la Resolución para conocimiento del Particular</w:t>
      </w:r>
    </w:p>
    <w:p w14:paraId="365DAD76" w14:textId="77777777" w:rsidR="00F316EC" w:rsidRPr="00EB3D68" w:rsidRDefault="00F316EC" w:rsidP="00F316EC">
      <w:pPr>
        <w:autoSpaceDE w:val="0"/>
        <w:autoSpaceDN w:val="0"/>
        <w:adjustRightInd w:val="0"/>
        <w:spacing w:line="360" w:lineRule="auto"/>
        <w:contextualSpacing/>
        <w:jc w:val="both"/>
        <w:rPr>
          <w:rFonts w:ascii="Palatino Linotype" w:eastAsia="Calibri" w:hAnsi="Palatino Linotype" w:cs="Tahoma"/>
          <w:b/>
          <w:bCs/>
          <w:iCs/>
          <w:color w:val="000000"/>
          <w:sz w:val="22"/>
          <w:szCs w:val="22"/>
          <w:lang w:val="es-ES" w:eastAsia="en-US"/>
        </w:rPr>
      </w:pPr>
    </w:p>
    <w:p w14:paraId="42D44BAD" w14:textId="37B0CCDC" w:rsidR="00F316EC" w:rsidRPr="00EB3D68" w:rsidRDefault="00F316EC" w:rsidP="00F316EC">
      <w:pPr>
        <w:spacing w:line="360" w:lineRule="auto"/>
        <w:ind w:right="-28"/>
        <w:contextualSpacing/>
        <w:jc w:val="both"/>
        <w:rPr>
          <w:rFonts w:ascii="Palatino Linotype" w:hAnsi="Palatino Linotype" w:cs="Tahoma"/>
          <w:bCs/>
          <w:iCs/>
          <w:sz w:val="22"/>
          <w:szCs w:val="22"/>
        </w:rPr>
      </w:pPr>
      <w:r w:rsidRPr="00EB3D68">
        <w:rPr>
          <w:rFonts w:ascii="Palatino Linotype" w:eastAsia="Calibri" w:hAnsi="Palatino Linotype"/>
          <w:color w:val="000000"/>
          <w:sz w:val="22"/>
          <w:szCs w:val="22"/>
          <w:lang w:eastAsia="es-MX"/>
        </w:rPr>
        <w:t xml:space="preserve">Se le hace del conocimiento al Particular, que, en el presente caso, se le concede parcialmente la razón, pues el </w:t>
      </w:r>
      <w:r w:rsidRPr="00EB3D68">
        <w:rPr>
          <w:rFonts w:ascii="Palatino Linotype" w:eastAsia="Calibri" w:hAnsi="Palatino Linotype" w:cs="Tahoma"/>
          <w:color w:val="000000"/>
          <w:sz w:val="22"/>
          <w:szCs w:val="22"/>
          <w:lang w:eastAsia="en-US"/>
        </w:rPr>
        <w:t>Sujet</w:t>
      </w:r>
      <w:r w:rsidR="006723A7" w:rsidRPr="00EB3D68">
        <w:rPr>
          <w:rFonts w:ascii="Palatino Linotype" w:eastAsia="Calibri" w:hAnsi="Palatino Linotype" w:cs="Tahoma"/>
          <w:color w:val="000000"/>
          <w:sz w:val="22"/>
          <w:szCs w:val="22"/>
          <w:lang w:eastAsia="en-US"/>
        </w:rPr>
        <w:t>o</w:t>
      </w:r>
      <w:r w:rsidRPr="00EB3D68">
        <w:rPr>
          <w:rFonts w:ascii="Palatino Linotype" w:eastAsia="Calibri" w:hAnsi="Palatino Linotype" w:cs="Tahoma"/>
          <w:color w:val="000000"/>
          <w:sz w:val="22"/>
          <w:szCs w:val="22"/>
          <w:lang w:eastAsia="en-US"/>
        </w:rPr>
        <w:t xml:space="preserve"> Obligado om</w:t>
      </w:r>
      <w:r w:rsidR="006C7234" w:rsidRPr="00EB3D68">
        <w:rPr>
          <w:rFonts w:ascii="Palatino Linotype" w:eastAsia="Calibri" w:hAnsi="Palatino Linotype" w:cs="Tahoma"/>
          <w:color w:val="000000"/>
          <w:sz w:val="22"/>
          <w:szCs w:val="22"/>
          <w:lang w:eastAsia="en-US"/>
        </w:rPr>
        <w:t>itió entregar los documentos que dan cuenta de</w:t>
      </w:r>
      <w:r w:rsidR="006723A7" w:rsidRPr="00EB3D68">
        <w:rPr>
          <w:rFonts w:ascii="Palatino Linotype" w:eastAsia="Calibri" w:hAnsi="Palatino Linotype" w:cs="Tahoma"/>
          <w:color w:val="000000"/>
          <w:sz w:val="22"/>
          <w:szCs w:val="22"/>
          <w:lang w:eastAsia="en-US"/>
        </w:rPr>
        <w:t xml:space="preserve">l nombre de las personas que obtuvieron autorizaciones, licencias o permisos y el acuerdo de clasificación de aquellos que se encuentran en trámite o corresponden a licencias de </w:t>
      </w:r>
      <w:r w:rsidR="006723A7" w:rsidRPr="00EB3D68">
        <w:rPr>
          <w:rFonts w:ascii="Palatino Linotype" w:eastAsia="Calibri" w:hAnsi="Palatino Linotype" w:cs="Tahoma"/>
          <w:color w:val="000000"/>
          <w:sz w:val="22"/>
          <w:szCs w:val="22"/>
          <w:lang w:eastAsia="en-US"/>
        </w:rPr>
        <w:lastRenderedPageBreak/>
        <w:t>construcción o uso de suelo.</w:t>
      </w:r>
      <w:r w:rsidRPr="00EB3D68">
        <w:rPr>
          <w:rFonts w:ascii="Palatino Linotype" w:eastAsia="Calibri" w:hAnsi="Palatino Linotype" w:cs="Tahoma"/>
          <w:color w:val="000000"/>
          <w:sz w:val="22"/>
          <w:szCs w:val="22"/>
          <w:lang w:eastAsia="en-US"/>
        </w:rPr>
        <w:t xml:space="preserve"> </w:t>
      </w:r>
      <w:r w:rsidRPr="00EB3D68">
        <w:rPr>
          <w:rFonts w:ascii="Palatino Linotype" w:eastAsia="Calibri" w:hAnsi="Palatino Linotype" w:cs="Tahoma"/>
          <w:bCs/>
          <w:iCs/>
          <w:color w:val="000000" w:themeColor="text1"/>
          <w:sz w:val="22"/>
          <w:szCs w:val="22"/>
          <w:lang w:eastAsia="en-US"/>
        </w:rPr>
        <w:t>La labor del Instituto es apoyar a la población a acceder a la información pública y garantizar la protección de los datos personales.</w:t>
      </w:r>
    </w:p>
    <w:p w14:paraId="65681472" w14:textId="77777777" w:rsidR="00F316EC" w:rsidRPr="00EB3D68" w:rsidRDefault="00F316EC" w:rsidP="00F316EC">
      <w:pPr>
        <w:spacing w:line="360" w:lineRule="auto"/>
        <w:ind w:right="-28"/>
        <w:contextualSpacing/>
        <w:jc w:val="both"/>
        <w:rPr>
          <w:rFonts w:ascii="Palatino Linotype" w:hAnsi="Palatino Linotype" w:cs="Tahoma"/>
          <w:bCs/>
          <w:iCs/>
          <w:sz w:val="22"/>
          <w:szCs w:val="22"/>
        </w:rPr>
      </w:pPr>
    </w:p>
    <w:p w14:paraId="64E54921" w14:textId="77777777" w:rsidR="00F316EC" w:rsidRPr="00EB3D68" w:rsidRDefault="00F316EC" w:rsidP="00F316EC">
      <w:pPr>
        <w:spacing w:line="360" w:lineRule="auto"/>
        <w:contextualSpacing/>
        <w:jc w:val="both"/>
        <w:rPr>
          <w:rFonts w:ascii="Palatino Linotype" w:eastAsia="Calibri" w:hAnsi="Palatino Linotype"/>
          <w:sz w:val="22"/>
          <w:szCs w:val="22"/>
        </w:rPr>
      </w:pPr>
      <w:r w:rsidRPr="00EB3D68">
        <w:rPr>
          <w:rFonts w:ascii="Palatino Linotype" w:eastAsia="Calibri" w:hAnsi="Palatino Linotype"/>
          <w:sz w:val="22"/>
          <w:szCs w:val="22"/>
        </w:rPr>
        <w:t>Por lo expuesto y fundado, este Pleno:</w:t>
      </w:r>
    </w:p>
    <w:p w14:paraId="2D1E29AD" w14:textId="77777777" w:rsidR="00EF1C47" w:rsidRPr="00EB3D68" w:rsidRDefault="00EF1C47" w:rsidP="00F316EC">
      <w:pPr>
        <w:pStyle w:val="Ttulo1"/>
        <w:spacing w:before="0" w:after="0" w:line="360" w:lineRule="auto"/>
        <w:contextualSpacing/>
        <w:jc w:val="center"/>
        <w:rPr>
          <w:rFonts w:ascii="Palatino Linotype" w:eastAsia="Calibri" w:hAnsi="Palatino Linotype"/>
          <w:b/>
          <w:bCs/>
          <w:color w:val="auto"/>
          <w:sz w:val="22"/>
          <w:szCs w:val="22"/>
        </w:rPr>
      </w:pPr>
      <w:bookmarkStart w:id="17" w:name="_Toc190350691"/>
    </w:p>
    <w:p w14:paraId="4B337086" w14:textId="27F2EA95" w:rsidR="00F316EC" w:rsidRPr="00EB3D68" w:rsidRDefault="00F316EC" w:rsidP="00F316EC">
      <w:pPr>
        <w:pStyle w:val="Ttulo1"/>
        <w:spacing w:before="0" w:after="0" w:line="360" w:lineRule="auto"/>
        <w:contextualSpacing/>
        <w:jc w:val="center"/>
        <w:rPr>
          <w:rFonts w:ascii="Palatino Linotype" w:eastAsia="Calibri" w:hAnsi="Palatino Linotype"/>
          <w:b/>
          <w:bCs/>
          <w:color w:val="auto"/>
          <w:sz w:val="22"/>
          <w:szCs w:val="22"/>
        </w:rPr>
      </w:pPr>
      <w:r w:rsidRPr="00EB3D68">
        <w:rPr>
          <w:rFonts w:ascii="Palatino Linotype" w:eastAsia="Calibri" w:hAnsi="Palatino Linotype"/>
          <w:b/>
          <w:bCs/>
          <w:color w:val="auto"/>
          <w:sz w:val="22"/>
          <w:szCs w:val="22"/>
        </w:rPr>
        <w:t>R E S U E L V E</w:t>
      </w:r>
      <w:bookmarkEnd w:id="17"/>
    </w:p>
    <w:p w14:paraId="0F708FFC" w14:textId="77777777" w:rsidR="00F316EC" w:rsidRPr="00EB3D68" w:rsidRDefault="00F316EC" w:rsidP="00F316EC">
      <w:pPr>
        <w:spacing w:line="360" w:lineRule="auto"/>
        <w:contextualSpacing/>
        <w:jc w:val="both"/>
        <w:rPr>
          <w:rFonts w:ascii="Palatino Linotype" w:eastAsia="Calibri" w:hAnsi="Palatino Linotype"/>
          <w:sz w:val="22"/>
          <w:szCs w:val="22"/>
        </w:rPr>
      </w:pPr>
      <w:r w:rsidRPr="00EB3D68">
        <w:rPr>
          <w:rFonts w:ascii="Palatino Linotype" w:eastAsia="Calibri" w:hAnsi="Palatino Linotype"/>
          <w:sz w:val="22"/>
          <w:szCs w:val="22"/>
        </w:rPr>
        <w:t xml:space="preserve"> </w:t>
      </w:r>
    </w:p>
    <w:p w14:paraId="6C507F13" w14:textId="3679982B" w:rsidR="00F316EC" w:rsidRPr="00EB3D68" w:rsidRDefault="00F316EC" w:rsidP="00F316EC">
      <w:pPr>
        <w:spacing w:line="360" w:lineRule="auto"/>
        <w:contextualSpacing/>
        <w:jc w:val="both"/>
        <w:rPr>
          <w:rFonts w:ascii="Palatino Linotype" w:eastAsia="Calibri" w:hAnsi="Palatino Linotype" w:cs="Tahoma"/>
          <w:bCs/>
          <w:color w:val="000000"/>
          <w:sz w:val="22"/>
          <w:szCs w:val="22"/>
          <w:lang w:eastAsia="en-US"/>
        </w:rPr>
      </w:pPr>
      <w:r w:rsidRPr="00EB3D68">
        <w:rPr>
          <w:rFonts w:ascii="Palatino Linotype" w:eastAsia="Calibri" w:hAnsi="Palatino Linotype" w:cs="Tahoma"/>
          <w:b/>
          <w:bCs/>
          <w:iCs/>
          <w:sz w:val="22"/>
          <w:szCs w:val="22"/>
          <w:lang w:eastAsia="en-US"/>
        </w:rPr>
        <w:t xml:space="preserve">PRIMERO. </w:t>
      </w:r>
      <w:r w:rsidRPr="00EB3D68">
        <w:rPr>
          <w:rFonts w:ascii="Palatino Linotype" w:eastAsia="Calibri" w:hAnsi="Palatino Linotype" w:cs="Tahoma"/>
          <w:bCs/>
          <w:color w:val="000000"/>
          <w:sz w:val="22"/>
          <w:szCs w:val="22"/>
          <w:lang w:eastAsia="en-US"/>
        </w:rPr>
        <w:t xml:space="preserve">Se </w:t>
      </w:r>
      <w:r w:rsidRPr="00EB3D68">
        <w:rPr>
          <w:rFonts w:ascii="Palatino Linotype" w:eastAsia="Calibri" w:hAnsi="Palatino Linotype" w:cs="Tahoma"/>
          <w:b/>
          <w:bCs/>
          <w:color w:val="000000"/>
          <w:sz w:val="22"/>
          <w:szCs w:val="22"/>
          <w:lang w:eastAsia="en-US"/>
        </w:rPr>
        <w:t xml:space="preserve">MODIFICA </w:t>
      </w:r>
      <w:r w:rsidRPr="00EB3D68">
        <w:rPr>
          <w:rFonts w:ascii="Palatino Linotype" w:eastAsia="Calibri" w:hAnsi="Palatino Linotype" w:cs="Tahoma"/>
          <w:bCs/>
          <w:color w:val="000000"/>
          <w:sz w:val="22"/>
          <w:szCs w:val="22"/>
          <w:lang w:eastAsia="en-US"/>
        </w:rPr>
        <w:t xml:space="preserve">la respuesta entregada por </w:t>
      </w:r>
      <w:r w:rsidR="006C7234" w:rsidRPr="00EB3D68">
        <w:rPr>
          <w:rFonts w:ascii="Palatino Linotype" w:eastAsia="Calibri" w:hAnsi="Palatino Linotype" w:cs="Tahoma"/>
          <w:bCs/>
          <w:color w:val="000000"/>
          <w:sz w:val="22"/>
          <w:szCs w:val="22"/>
          <w:lang w:eastAsia="en-US"/>
        </w:rPr>
        <w:t xml:space="preserve">Ayuntamiento de </w:t>
      </w:r>
      <w:proofErr w:type="spellStart"/>
      <w:r w:rsidR="006C7234" w:rsidRPr="00EB3D68">
        <w:rPr>
          <w:rFonts w:ascii="Palatino Linotype" w:eastAsia="Calibri" w:hAnsi="Palatino Linotype" w:cs="Tahoma"/>
          <w:bCs/>
          <w:color w:val="000000"/>
          <w:sz w:val="22"/>
          <w:szCs w:val="22"/>
          <w:lang w:eastAsia="en-US"/>
        </w:rPr>
        <w:t>Jilotzingo</w:t>
      </w:r>
      <w:proofErr w:type="spellEnd"/>
      <w:r w:rsidRPr="00EB3D68">
        <w:rPr>
          <w:rFonts w:ascii="Palatino Linotype" w:eastAsia="Calibri" w:hAnsi="Palatino Linotype" w:cs="Tahoma"/>
          <w:bCs/>
          <w:color w:val="000000"/>
          <w:sz w:val="22"/>
          <w:szCs w:val="22"/>
          <w:lang w:eastAsia="en-US"/>
        </w:rPr>
        <w:t xml:space="preserve">, a la solicitud de </w:t>
      </w:r>
      <w:r w:rsidRPr="00EB3D68">
        <w:rPr>
          <w:rFonts w:ascii="Palatino Linotype" w:eastAsia="Calibri" w:hAnsi="Palatino Linotype" w:cs="Tahoma"/>
          <w:color w:val="000000"/>
          <w:sz w:val="22"/>
          <w:szCs w:val="22"/>
          <w:lang w:eastAsia="en-US"/>
        </w:rPr>
        <w:t xml:space="preserve">información </w:t>
      </w:r>
      <w:r w:rsidR="006C7234" w:rsidRPr="00EB3D68">
        <w:rPr>
          <w:rFonts w:ascii="Palatino Linotype" w:hAnsi="Palatino Linotype"/>
          <w:sz w:val="22"/>
          <w:szCs w:val="22"/>
        </w:rPr>
        <w:t>00070/JILOTZIN/IP/2025</w:t>
      </w:r>
      <w:r w:rsidRPr="00EB3D68">
        <w:rPr>
          <w:rFonts w:ascii="Palatino Linotype" w:eastAsia="Calibri" w:hAnsi="Palatino Linotype" w:cs="Tahoma"/>
          <w:bCs/>
          <w:color w:val="000000"/>
          <w:sz w:val="22"/>
          <w:szCs w:val="22"/>
          <w:lang w:eastAsia="en-US"/>
        </w:rPr>
        <w:t xml:space="preserve">, </w:t>
      </w:r>
      <w:r w:rsidRPr="00EB3D68">
        <w:rPr>
          <w:rFonts w:ascii="Palatino Linotype" w:eastAsia="Calibri" w:hAnsi="Palatino Linotype"/>
          <w:bCs/>
          <w:color w:val="000000"/>
          <w:sz w:val="22"/>
          <w:szCs w:val="22"/>
          <w:lang w:eastAsia="en-US"/>
        </w:rPr>
        <w:t>por</w:t>
      </w:r>
      <w:r w:rsidRPr="00EB3D68">
        <w:rPr>
          <w:rFonts w:ascii="Palatino Linotype" w:eastAsia="Calibri" w:hAnsi="Palatino Linotype"/>
          <w:color w:val="000000"/>
          <w:sz w:val="22"/>
          <w:szCs w:val="22"/>
          <w:lang w:eastAsia="en-US"/>
        </w:rPr>
        <w:t xml:space="preserve"> resultar </w:t>
      </w:r>
      <w:r w:rsidRPr="00EB3D68">
        <w:rPr>
          <w:rFonts w:ascii="Palatino Linotype" w:eastAsia="Calibri" w:hAnsi="Palatino Linotype"/>
          <w:b/>
          <w:bCs/>
          <w:caps/>
          <w:color w:val="000000"/>
          <w:sz w:val="22"/>
          <w:szCs w:val="22"/>
          <w:lang w:eastAsia="en-US"/>
        </w:rPr>
        <w:t>parcialmente</w:t>
      </w:r>
      <w:r w:rsidRPr="00EB3D68">
        <w:rPr>
          <w:rFonts w:ascii="Palatino Linotype" w:eastAsia="Calibri" w:hAnsi="Palatino Linotype"/>
          <w:color w:val="000000"/>
          <w:sz w:val="22"/>
          <w:szCs w:val="22"/>
          <w:lang w:eastAsia="en-US"/>
        </w:rPr>
        <w:t xml:space="preserve"> </w:t>
      </w:r>
      <w:r w:rsidRPr="00EB3D68">
        <w:rPr>
          <w:rFonts w:ascii="Palatino Linotype" w:eastAsia="Calibri" w:hAnsi="Palatino Linotype"/>
          <w:b/>
          <w:color w:val="000000"/>
          <w:sz w:val="22"/>
          <w:szCs w:val="22"/>
          <w:lang w:eastAsia="en-US"/>
        </w:rPr>
        <w:t>FUNDADAS</w:t>
      </w:r>
      <w:r w:rsidRPr="00EB3D68">
        <w:rPr>
          <w:rFonts w:ascii="Palatino Linotype" w:eastAsia="Calibri" w:hAnsi="Palatino Linotype" w:cs="Tahoma"/>
          <w:color w:val="000000"/>
          <w:sz w:val="22"/>
          <w:szCs w:val="22"/>
          <w:lang w:eastAsia="en-US"/>
        </w:rPr>
        <w:t xml:space="preserve"> las razones o motivos de inconformidad hechos valer por la Particular, en</w:t>
      </w:r>
      <w:r w:rsidRPr="00EB3D68">
        <w:rPr>
          <w:rFonts w:ascii="Palatino Linotype" w:eastAsia="Calibri" w:hAnsi="Palatino Linotype" w:cs="Tahoma"/>
          <w:bCs/>
          <w:color w:val="000000"/>
          <w:sz w:val="22"/>
          <w:szCs w:val="22"/>
          <w:lang w:eastAsia="en-US"/>
        </w:rPr>
        <w:t xml:space="preserve"> términos de los considerandos </w:t>
      </w:r>
      <w:r w:rsidRPr="00EB3D68">
        <w:rPr>
          <w:rFonts w:ascii="Palatino Linotype" w:eastAsia="Calibri" w:hAnsi="Palatino Linotype" w:cs="Tahoma"/>
          <w:color w:val="000000"/>
          <w:sz w:val="22"/>
          <w:szCs w:val="22"/>
          <w:lang w:eastAsia="en-US"/>
        </w:rPr>
        <w:t>QUINTO y SEXTO</w:t>
      </w:r>
      <w:r w:rsidRPr="00EB3D68">
        <w:rPr>
          <w:rFonts w:ascii="Palatino Linotype" w:eastAsia="Calibri" w:hAnsi="Palatino Linotype" w:cs="Tahoma"/>
          <w:bCs/>
          <w:color w:val="000000"/>
          <w:sz w:val="22"/>
          <w:szCs w:val="22"/>
          <w:lang w:eastAsia="en-US"/>
        </w:rPr>
        <w:t xml:space="preserve"> de la presente Resolución.</w:t>
      </w:r>
    </w:p>
    <w:p w14:paraId="6727F582" w14:textId="77777777" w:rsidR="00F316EC" w:rsidRPr="00EB3D68" w:rsidRDefault="00F316EC" w:rsidP="00F316EC">
      <w:pPr>
        <w:spacing w:line="360" w:lineRule="auto"/>
        <w:contextualSpacing/>
        <w:jc w:val="both"/>
        <w:rPr>
          <w:rFonts w:ascii="Palatino Linotype" w:eastAsia="Calibri" w:hAnsi="Palatino Linotype" w:cs="Tahoma"/>
          <w:b/>
          <w:bCs/>
          <w:iCs/>
          <w:sz w:val="22"/>
          <w:szCs w:val="22"/>
          <w:lang w:eastAsia="en-US"/>
        </w:rPr>
      </w:pPr>
    </w:p>
    <w:p w14:paraId="02B1B53A" w14:textId="77777777" w:rsidR="008649E6" w:rsidRPr="00EB3D68" w:rsidRDefault="00F316EC" w:rsidP="00F316EC">
      <w:pPr>
        <w:spacing w:line="360" w:lineRule="auto"/>
        <w:contextualSpacing/>
        <w:jc w:val="both"/>
        <w:rPr>
          <w:rFonts w:ascii="Palatino Linotype" w:hAnsi="Palatino Linotype" w:cs="Tahoma"/>
          <w:sz w:val="22"/>
          <w:szCs w:val="22"/>
        </w:rPr>
      </w:pPr>
      <w:r w:rsidRPr="00EB3D68">
        <w:rPr>
          <w:rFonts w:ascii="Palatino Linotype" w:eastAsia="Calibri" w:hAnsi="Palatino Linotype" w:cs="Tahoma"/>
          <w:b/>
          <w:bCs/>
          <w:iCs/>
          <w:sz w:val="22"/>
          <w:szCs w:val="22"/>
          <w:lang w:eastAsia="en-US"/>
        </w:rPr>
        <w:t xml:space="preserve">SEGUNDO. </w:t>
      </w:r>
      <w:r w:rsidRPr="00EB3D68">
        <w:rPr>
          <w:rFonts w:ascii="Palatino Linotype" w:eastAsia="Calibri" w:hAnsi="Palatino Linotype" w:cs="Tahoma"/>
          <w:bCs/>
          <w:iCs/>
          <w:sz w:val="22"/>
          <w:szCs w:val="22"/>
          <w:lang w:eastAsia="en-US"/>
        </w:rPr>
        <w:t xml:space="preserve">Se </w:t>
      </w:r>
      <w:r w:rsidRPr="00EB3D68">
        <w:rPr>
          <w:rFonts w:ascii="Palatino Linotype" w:eastAsia="Calibri" w:hAnsi="Palatino Linotype" w:cs="Tahoma"/>
          <w:b/>
          <w:bCs/>
          <w:iCs/>
          <w:sz w:val="22"/>
          <w:szCs w:val="22"/>
          <w:lang w:eastAsia="en-US"/>
        </w:rPr>
        <w:t xml:space="preserve">ORDENA </w:t>
      </w:r>
      <w:r w:rsidRPr="00EB3D68">
        <w:rPr>
          <w:rFonts w:ascii="Palatino Linotype" w:eastAsia="Calibri" w:hAnsi="Palatino Linotype" w:cs="Tahoma"/>
          <w:bCs/>
          <w:iCs/>
          <w:sz w:val="22"/>
          <w:szCs w:val="22"/>
          <w:lang w:eastAsia="en-US"/>
        </w:rPr>
        <w:t xml:space="preserve">al Ente Recurrido, </w:t>
      </w:r>
      <w:r w:rsidRPr="00EB3D68">
        <w:rPr>
          <w:rFonts w:ascii="Palatino Linotype" w:hAnsi="Palatino Linotype"/>
          <w:sz w:val="22"/>
          <w:szCs w:val="22"/>
        </w:rPr>
        <w:t xml:space="preserve">a efecto de que entregue a través del </w:t>
      </w:r>
      <w:r w:rsidR="00B07847" w:rsidRPr="00EB3D68">
        <w:rPr>
          <w:rFonts w:ascii="Palatino Linotype" w:hAnsi="Palatino Linotype"/>
          <w:sz w:val="22"/>
          <w:szCs w:val="22"/>
        </w:rPr>
        <w:t>SAIMEX</w:t>
      </w:r>
      <w:r w:rsidRPr="00EB3D68">
        <w:rPr>
          <w:rFonts w:ascii="Palatino Linotype" w:hAnsi="Palatino Linotype" w:cs="Tahoma"/>
          <w:sz w:val="22"/>
          <w:szCs w:val="22"/>
        </w:rPr>
        <w:t xml:space="preserve">, </w:t>
      </w:r>
      <w:r w:rsidR="008649E6" w:rsidRPr="00EB3D68">
        <w:rPr>
          <w:rFonts w:ascii="Palatino Linotype" w:hAnsi="Palatino Linotype" w:cs="Tahoma"/>
          <w:sz w:val="22"/>
          <w:szCs w:val="22"/>
        </w:rPr>
        <w:t>lo siguiente:</w:t>
      </w:r>
    </w:p>
    <w:p w14:paraId="77CAD5D8" w14:textId="77777777" w:rsidR="008649E6" w:rsidRPr="00EB3D68" w:rsidRDefault="008649E6" w:rsidP="00F316EC">
      <w:pPr>
        <w:spacing w:line="360" w:lineRule="auto"/>
        <w:contextualSpacing/>
        <w:jc w:val="both"/>
        <w:rPr>
          <w:rFonts w:ascii="Palatino Linotype" w:hAnsi="Palatino Linotype" w:cs="Tahoma"/>
          <w:sz w:val="22"/>
          <w:szCs w:val="22"/>
        </w:rPr>
      </w:pPr>
    </w:p>
    <w:p w14:paraId="59D0AC8E" w14:textId="5A489F1D" w:rsidR="008649E6" w:rsidRPr="00EB3D68" w:rsidRDefault="008649E6" w:rsidP="008649E6">
      <w:pPr>
        <w:pStyle w:val="Prrafodelista"/>
        <w:numPr>
          <w:ilvl w:val="0"/>
          <w:numId w:val="14"/>
        </w:numPr>
        <w:spacing w:line="360" w:lineRule="auto"/>
        <w:jc w:val="both"/>
        <w:rPr>
          <w:rFonts w:ascii="Palatino Linotype" w:hAnsi="Palatino Linotype"/>
          <w:color w:val="000000"/>
          <w:sz w:val="22"/>
          <w:szCs w:val="22"/>
        </w:rPr>
      </w:pPr>
      <w:r w:rsidRPr="00EB3D68">
        <w:rPr>
          <w:rFonts w:ascii="Palatino Linotype" w:hAnsi="Palatino Linotype" w:cs="Tahoma"/>
          <w:sz w:val="22"/>
          <w:szCs w:val="22"/>
        </w:rPr>
        <w:t>E</w:t>
      </w:r>
      <w:r w:rsidR="00F316EC" w:rsidRPr="00EB3D68">
        <w:rPr>
          <w:rFonts w:ascii="Palatino Linotype" w:hAnsi="Palatino Linotype" w:cs="Tahoma"/>
          <w:sz w:val="22"/>
          <w:szCs w:val="22"/>
        </w:rPr>
        <w:t>n su caso, versión pública</w:t>
      </w:r>
      <w:r w:rsidR="005B3444" w:rsidRPr="00EB3D68">
        <w:rPr>
          <w:rFonts w:ascii="Palatino Linotype" w:hAnsi="Palatino Linotype" w:cs="Tahoma"/>
          <w:sz w:val="22"/>
          <w:szCs w:val="22"/>
        </w:rPr>
        <w:t xml:space="preserve"> </w:t>
      </w:r>
      <w:r w:rsidR="006C7234" w:rsidRPr="00EB3D68">
        <w:rPr>
          <w:rFonts w:ascii="Palatino Linotype" w:hAnsi="Palatino Linotype" w:cs="Tahoma"/>
          <w:sz w:val="22"/>
          <w:szCs w:val="22"/>
        </w:rPr>
        <w:t xml:space="preserve">los documentos que </w:t>
      </w:r>
      <w:r w:rsidRPr="00EB3D68">
        <w:rPr>
          <w:rFonts w:ascii="Palatino Linotype" w:hAnsi="Palatino Linotype" w:cs="Tahoma"/>
          <w:sz w:val="22"/>
          <w:szCs w:val="22"/>
        </w:rPr>
        <w:t>contengan</w:t>
      </w:r>
      <w:r w:rsidR="006C7234" w:rsidRPr="00EB3D68">
        <w:rPr>
          <w:rFonts w:ascii="Palatino Linotype" w:hAnsi="Palatino Linotype" w:cs="Tahoma"/>
          <w:sz w:val="22"/>
          <w:szCs w:val="22"/>
        </w:rPr>
        <w:t xml:space="preserve"> e</w:t>
      </w:r>
      <w:r w:rsidRPr="00EB3D68">
        <w:rPr>
          <w:rFonts w:ascii="Palatino Linotype" w:hAnsi="Palatino Linotype" w:cs="Tahoma"/>
          <w:sz w:val="22"/>
          <w:szCs w:val="22"/>
        </w:rPr>
        <w:t>l nombre de las personas físicas o jurídico-colectivas que obtuvieron algún permiso, licencia o autorización de la Dirección General de Desarrollo Urbano, Ecología y Medio Ambiente</w:t>
      </w:r>
      <w:r w:rsidRPr="00EB3D68">
        <w:rPr>
          <w:rFonts w:ascii="Palatino Linotype" w:hAnsi="Palatino Linotype"/>
          <w:color w:val="000000"/>
          <w:sz w:val="22"/>
          <w:szCs w:val="22"/>
        </w:rPr>
        <w:t xml:space="preserve">, </w:t>
      </w:r>
      <w:r w:rsidR="005B3444" w:rsidRPr="00EB3D68">
        <w:rPr>
          <w:rFonts w:ascii="Palatino Linotype" w:hAnsi="Palatino Linotype"/>
          <w:color w:val="000000"/>
          <w:sz w:val="22"/>
          <w:szCs w:val="22"/>
        </w:rPr>
        <w:t xml:space="preserve">de los diez </w:t>
      </w:r>
      <w:r w:rsidRPr="00EB3D68">
        <w:rPr>
          <w:rFonts w:ascii="Palatino Linotype" w:hAnsi="Palatino Linotype"/>
          <w:color w:val="000000"/>
          <w:sz w:val="22"/>
          <w:szCs w:val="22"/>
        </w:rPr>
        <w:t>referidos en respuesta, con excepción de aquellos que correspondan a licencias de construcción o uso de suelo.</w:t>
      </w:r>
    </w:p>
    <w:p w14:paraId="315608EB" w14:textId="77777777" w:rsidR="005B3444" w:rsidRPr="00EB3D68" w:rsidRDefault="005B3444" w:rsidP="005B3444">
      <w:pPr>
        <w:pStyle w:val="Prrafodelista"/>
        <w:spacing w:line="360" w:lineRule="auto"/>
        <w:jc w:val="both"/>
        <w:rPr>
          <w:rFonts w:ascii="Palatino Linotype" w:hAnsi="Palatino Linotype"/>
          <w:color w:val="000000"/>
          <w:sz w:val="22"/>
          <w:szCs w:val="22"/>
        </w:rPr>
      </w:pPr>
    </w:p>
    <w:p w14:paraId="030274F1" w14:textId="6BDFF9EB" w:rsidR="00F316EC" w:rsidRPr="00EB3D68" w:rsidRDefault="008649E6" w:rsidP="00EF1C47">
      <w:pPr>
        <w:pStyle w:val="Prrafodelista"/>
        <w:numPr>
          <w:ilvl w:val="0"/>
          <w:numId w:val="14"/>
        </w:numPr>
        <w:spacing w:line="360" w:lineRule="auto"/>
        <w:jc w:val="both"/>
        <w:rPr>
          <w:rFonts w:ascii="Palatino Linotype" w:hAnsi="Palatino Linotype"/>
          <w:color w:val="000000"/>
          <w:sz w:val="22"/>
          <w:szCs w:val="22"/>
        </w:rPr>
      </w:pPr>
      <w:r w:rsidRPr="00EB3D68">
        <w:rPr>
          <w:rFonts w:ascii="Palatino Linotype" w:hAnsi="Palatino Linotype"/>
          <w:color w:val="000000"/>
          <w:sz w:val="22"/>
          <w:szCs w:val="22"/>
        </w:rPr>
        <w:t>El acuerdo que emita el Comité de Transparencia en donde se clasifi</w:t>
      </w:r>
      <w:r w:rsidR="005B3444" w:rsidRPr="00EB3D68">
        <w:rPr>
          <w:rFonts w:ascii="Palatino Linotype" w:hAnsi="Palatino Linotype"/>
          <w:color w:val="000000"/>
          <w:sz w:val="22"/>
          <w:szCs w:val="22"/>
        </w:rPr>
        <w:t>que como confidencial</w:t>
      </w:r>
      <w:r w:rsidR="00EF1C47" w:rsidRPr="00EB3D68">
        <w:rPr>
          <w:rFonts w:ascii="Palatino Linotype" w:hAnsi="Palatino Linotype"/>
          <w:color w:val="000000"/>
          <w:sz w:val="22"/>
          <w:szCs w:val="22"/>
        </w:rPr>
        <w:t>,</w:t>
      </w:r>
      <w:r w:rsidR="005B3444" w:rsidRPr="00EB3D68">
        <w:rPr>
          <w:rFonts w:ascii="Palatino Linotype" w:hAnsi="Palatino Linotype"/>
          <w:color w:val="000000"/>
          <w:sz w:val="22"/>
          <w:szCs w:val="22"/>
        </w:rPr>
        <w:t xml:space="preserve"> de conformidad con los artículos 49, fracciones II y VIII, 132, fracción II, 143, fracción I y 149 de la Ley de Transparencia y Acceso a la Información Pública del Estado de México y Municipios, el nombre de las </w:t>
      </w:r>
      <w:r w:rsidR="00EF1C47" w:rsidRPr="00EB3D68">
        <w:rPr>
          <w:rFonts w:ascii="Palatino Linotype" w:hAnsi="Palatino Linotype"/>
          <w:color w:val="000000"/>
          <w:sz w:val="22"/>
          <w:szCs w:val="22"/>
        </w:rPr>
        <w:t xml:space="preserve">ochenta y dos </w:t>
      </w:r>
      <w:r w:rsidR="00EF1C47" w:rsidRPr="00EB3D68">
        <w:rPr>
          <w:rFonts w:ascii="Palatino Linotype" w:hAnsi="Palatino Linotype" w:cs="Tahoma"/>
          <w:sz w:val="22"/>
          <w:szCs w:val="22"/>
        </w:rPr>
        <w:t>personas físicas o jurídico-colectivas que realizaron algún trámite</w:t>
      </w:r>
      <w:r w:rsidR="001B234E" w:rsidRPr="00EB3D68">
        <w:rPr>
          <w:rFonts w:ascii="Palatino Linotype" w:hAnsi="Palatino Linotype" w:cs="Tahoma"/>
          <w:sz w:val="22"/>
          <w:szCs w:val="22"/>
        </w:rPr>
        <w:t xml:space="preserve"> </w:t>
      </w:r>
      <w:r w:rsidR="00EF1C47" w:rsidRPr="00EB3D68">
        <w:rPr>
          <w:rFonts w:ascii="Palatino Linotype" w:hAnsi="Palatino Linotype" w:cs="Tahoma"/>
          <w:sz w:val="22"/>
          <w:szCs w:val="22"/>
        </w:rPr>
        <w:t xml:space="preserve">para permiso, licencia o autorización </w:t>
      </w:r>
      <w:r w:rsidR="00EF1C47" w:rsidRPr="00EB3D68">
        <w:rPr>
          <w:rFonts w:ascii="Palatino Linotype" w:hAnsi="Palatino Linotype" w:cs="Tahoma"/>
          <w:sz w:val="22"/>
          <w:szCs w:val="22"/>
        </w:rPr>
        <w:lastRenderedPageBreak/>
        <w:t>de la Dirección General de Desarrollo Urbano, Ecología y Medio Ambiente</w:t>
      </w:r>
      <w:r w:rsidR="00EF1C47" w:rsidRPr="00EB3D68">
        <w:rPr>
          <w:rFonts w:ascii="Palatino Linotype" w:hAnsi="Palatino Linotype"/>
          <w:color w:val="000000"/>
          <w:sz w:val="22"/>
          <w:szCs w:val="22"/>
        </w:rPr>
        <w:t>,</w:t>
      </w:r>
      <w:r w:rsidR="001B234E" w:rsidRPr="00EB3D68">
        <w:rPr>
          <w:rFonts w:ascii="Palatino Linotype" w:hAnsi="Palatino Linotype"/>
          <w:color w:val="000000"/>
          <w:sz w:val="22"/>
          <w:szCs w:val="22"/>
        </w:rPr>
        <w:t xml:space="preserve"> que al </w:t>
      </w:r>
      <w:r w:rsidR="001B234E" w:rsidRPr="00EB3D68">
        <w:rPr>
          <w:rFonts w:ascii="Palatino Linotype" w:hAnsi="Palatino Linotype" w:cs="Tahoma"/>
          <w:sz w:val="22"/>
          <w:szCs w:val="22"/>
        </w:rPr>
        <w:t>veinticuatro de enero de dos mil veinticinco se encontraba pendiente,</w:t>
      </w:r>
      <w:r w:rsidR="00EF1C47" w:rsidRPr="00EB3D68">
        <w:rPr>
          <w:rFonts w:ascii="Palatino Linotype" w:hAnsi="Palatino Linotype"/>
          <w:color w:val="000000"/>
          <w:sz w:val="22"/>
          <w:szCs w:val="22"/>
        </w:rPr>
        <w:t xml:space="preserve"> referidos en respuesta, así como, en su caso de aquellos nombres que correspondan a licencias expedidas de construcción o uso de suelo.</w:t>
      </w:r>
    </w:p>
    <w:p w14:paraId="104CE692" w14:textId="77777777" w:rsidR="00F316EC" w:rsidRPr="00EB3D68" w:rsidRDefault="00F316EC" w:rsidP="00F316EC">
      <w:pPr>
        <w:spacing w:line="360" w:lineRule="auto"/>
        <w:contextualSpacing/>
        <w:jc w:val="both"/>
        <w:rPr>
          <w:rFonts w:ascii="Palatino Linotype" w:hAnsi="Palatino Linotype" w:cs="Tahoma"/>
          <w:bCs/>
          <w:iCs/>
          <w:sz w:val="22"/>
          <w:szCs w:val="22"/>
          <w:lang w:val="es-ES"/>
        </w:rPr>
      </w:pPr>
    </w:p>
    <w:p w14:paraId="7136182D" w14:textId="49FB5572" w:rsidR="00F316EC" w:rsidRPr="00EB3D68" w:rsidRDefault="00F316EC" w:rsidP="00F316EC">
      <w:pPr>
        <w:spacing w:line="360" w:lineRule="auto"/>
        <w:contextualSpacing/>
        <w:jc w:val="both"/>
        <w:rPr>
          <w:rFonts w:ascii="Palatino Linotype" w:hAnsi="Palatino Linotype"/>
          <w:color w:val="000000"/>
          <w:sz w:val="22"/>
          <w:szCs w:val="22"/>
        </w:rPr>
      </w:pPr>
      <w:r w:rsidRPr="00EB3D68">
        <w:rPr>
          <w:rFonts w:ascii="Palatino Linotype" w:hAnsi="Palatino Linotype"/>
          <w:color w:val="000000"/>
          <w:sz w:val="22"/>
          <w:szCs w:val="22"/>
        </w:rPr>
        <w:t>Además, de ser necesario</w:t>
      </w:r>
      <w:r w:rsidR="00EF1C47" w:rsidRPr="00EB3D68">
        <w:rPr>
          <w:rFonts w:ascii="Palatino Linotype" w:hAnsi="Palatino Linotype"/>
          <w:color w:val="000000"/>
          <w:sz w:val="22"/>
          <w:szCs w:val="22"/>
        </w:rPr>
        <w:t xml:space="preserve"> para la información que se ordena en el punto 1, el acuerdo de</w:t>
      </w:r>
      <w:r w:rsidRPr="00EB3D68">
        <w:rPr>
          <w:rFonts w:ascii="Palatino Linotype" w:hAnsi="Palatino Linotype"/>
          <w:color w:val="000000"/>
          <w:sz w:val="22"/>
          <w:szCs w:val="22"/>
        </w:rPr>
        <w:t xml:space="preserve"> Clasificación donde el Comité de Transparencia, confirme la eliminación de los datos, en la versión pública, de conformidad con los artículos 49, fracciones II y VIII, 132, fracción II, </w:t>
      </w:r>
      <w:r w:rsidR="00EF1C47" w:rsidRPr="00EB3D68">
        <w:rPr>
          <w:rFonts w:ascii="Palatino Linotype" w:hAnsi="Palatino Linotype"/>
          <w:color w:val="000000"/>
          <w:sz w:val="22"/>
          <w:szCs w:val="22"/>
        </w:rPr>
        <w:t xml:space="preserve">143, fracción I y 149 </w:t>
      </w:r>
      <w:r w:rsidRPr="00EB3D68">
        <w:rPr>
          <w:rFonts w:ascii="Palatino Linotype" w:hAnsi="Palatino Linotype"/>
          <w:color w:val="000000"/>
          <w:sz w:val="22"/>
          <w:szCs w:val="22"/>
        </w:rPr>
        <w:t>de la Ley de Transparencia y Acceso a la Información Pública del Estado de México y Municipios.</w:t>
      </w:r>
    </w:p>
    <w:p w14:paraId="434A5C7A" w14:textId="77777777" w:rsidR="00F316EC" w:rsidRPr="00EB3D68" w:rsidRDefault="00F316EC" w:rsidP="00F316EC">
      <w:pPr>
        <w:spacing w:line="360" w:lineRule="auto"/>
        <w:contextualSpacing/>
        <w:jc w:val="both"/>
        <w:rPr>
          <w:rFonts w:ascii="Palatino Linotype" w:eastAsia="Calibri" w:hAnsi="Palatino Linotype" w:cs="Tahoma"/>
          <w:color w:val="000000"/>
          <w:sz w:val="22"/>
          <w:szCs w:val="22"/>
          <w:lang w:eastAsia="en-US"/>
        </w:rPr>
      </w:pPr>
    </w:p>
    <w:p w14:paraId="16CA7DFA" w14:textId="77777777" w:rsidR="00F316EC" w:rsidRPr="00EB3D68" w:rsidRDefault="00F316EC" w:rsidP="00F316EC">
      <w:pPr>
        <w:spacing w:line="360" w:lineRule="auto"/>
        <w:ind w:right="-28"/>
        <w:contextualSpacing/>
        <w:jc w:val="both"/>
        <w:rPr>
          <w:rFonts w:ascii="Palatino Linotype" w:eastAsia="Palatino Linotype" w:hAnsi="Palatino Linotype" w:cs="Palatino Linotype"/>
          <w:color w:val="000000"/>
          <w:sz w:val="22"/>
          <w:szCs w:val="22"/>
          <w:lang w:eastAsia="en-US"/>
        </w:rPr>
      </w:pPr>
      <w:r w:rsidRPr="00EB3D68">
        <w:rPr>
          <w:rFonts w:ascii="Palatino Linotype" w:hAnsi="Palatino Linotype" w:cs="Tahoma"/>
          <w:b/>
          <w:bCs/>
          <w:iCs/>
          <w:sz w:val="22"/>
          <w:szCs w:val="22"/>
          <w:lang w:val="es-ES"/>
        </w:rPr>
        <w:t>TERCERO</w:t>
      </w:r>
      <w:r w:rsidRPr="00EB3D68">
        <w:rPr>
          <w:rFonts w:ascii="Palatino Linotype" w:hAnsi="Palatino Linotype" w:cs="Tahoma"/>
          <w:b/>
          <w:bCs/>
          <w:iCs/>
          <w:sz w:val="22"/>
          <w:szCs w:val="22"/>
        </w:rPr>
        <w:t xml:space="preserve">. </w:t>
      </w:r>
      <w:r w:rsidRPr="00EB3D68">
        <w:rPr>
          <w:rFonts w:ascii="Palatino Linotype" w:eastAsia="Palatino Linotype" w:hAnsi="Palatino Linotype" w:cs="Palatino Linotype"/>
          <w:b/>
          <w:sz w:val="22"/>
          <w:szCs w:val="22"/>
          <w:lang w:eastAsia="en-US"/>
        </w:rPr>
        <w:t xml:space="preserve">NOTIFÍQUESE POR SAIMEX </w:t>
      </w:r>
      <w:r w:rsidRPr="00EB3D68">
        <w:rPr>
          <w:rFonts w:ascii="Palatino Linotype" w:eastAsia="Palatino Linotype" w:hAnsi="Palatino Linotype" w:cs="Palatino Linotype"/>
          <w:sz w:val="22"/>
          <w:szCs w:val="22"/>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r w:rsidRPr="00EB3D68">
        <w:rPr>
          <w:rFonts w:ascii="Palatino Linotype" w:eastAsia="Palatino Linotype" w:hAnsi="Palatino Linotype" w:cs="Palatino Linotype"/>
          <w:color w:val="000000"/>
          <w:sz w:val="22"/>
          <w:szCs w:val="22"/>
          <w:lang w:eastAsia="en-US"/>
        </w:rPr>
        <w:t xml:space="preserve">De conformidad con el artículo 198 de la </w:t>
      </w:r>
      <w:r w:rsidRPr="00EB3D68">
        <w:rPr>
          <w:rFonts w:ascii="Palatino Linotype" w:eastAsia="Palatino Linotype" w:hAnsi="Palatino Linotype" w:cs="Palatino Linotype"/>
          <w:sz w:val="22"/>
          <w:szCs w:val="22"/>
          <w:lang w:eastAsia="en-US"/>
        </w:rPr>
        <w:t>Ley de la materia</w:t>
      </w:r>
      <w:r w:rsidRPr="00EB3D68">
        <w:rPr>
          <w:rFonts w:ascii="Palatino Linotype" w:eastAsia="Palatino Linotype" w:hAnsi="Palatino Linotype" w:cs="Palatino Linotype"/>
          <w:color w:val="000000"/>
          <w:sz w:val="22"/>
          <w:szCs w:val="22"/>
          <w:lang w:eastAsia="en-US"/>
        </w:rPr>
        <w:t>, de considerarlo procedente, el Sujeto Obligado de manera fundada y motivada, podrá solicitar una ampliación de plazo para el cumplimiento de la presente resolución.</w:t>
      </w:r>
    </w:p>
    <w:p w14:paraId="714FA880" w14:textId="77777777" w:rsidR="00F316EC" w:rsidRPr="00EB3D68" w:rsidRDefault="00F316EC" w:rsidP="00F316EC">
      <w:pPr>
        <w:spacing w:line="360" w:lineRule="auto"/>
        <w:ind w:right="-28"/>
        <w:contextualSpacing/>
        <w:jc w:val="both"/>
        <w:rPr>
          <w:rFonts w:ascii="Palatino Linotype" w:eastAsia="Palatino Linotype" w:hAnsi="Palatino Linotype" w:cs="Palatino Linotype"/>
          <w:b/>
          <w:sz w:val="22"/>
          <w:szCs w:val="22"/>
          <w:lang w:val="es-ES_tradnl" w:eastAsia="en-US"/>
        </w:rPr>
      </w:pPr>
    </w:p>
    <w:p w14:paraId="180017AF" w14:textId="77777777" w:rsidR="00F316EC" w:rsidRPr="00EB3D68" w:rsidRDefault="00F316EC" w:rsidP="00F316EC">
      <w:pPr>
        <w:spacing w:line="360" w:lineRule="auto"/>
        <w:contextualSpacing/>
        <w:jc w:val="both"/>
        <w:rPr>
          <w:rFonts w:ascii="Palatino Linotype" w:eastAsia="Palatino Linotype" w:hAnsi="Palatino Linotype" w:cs="Palatino Linotype"/>
          <w:sz w:val="22"/>
          <w:szCs w:val="22"/>
          <w:lang w:eastAsia="en-US"/>
        </w:rPr>
      </w:pPr>
      <w:r w:rsidRPr="00EB3D68">
        <w:rPr>
          <w:rFonts w:ascii="Palatino Linotype" w:eastAsia="Palatino Linotype" w:hAnsi="Palatino Linotype" w:cs="Palatino Linotype"/>
          <w:b/>
          <w:sz w:val="22"/>
          <w:szCs w:val="22"/>
          <w:lang w:eastAsia="en-US"/>
        </w:rPr>
        <w:t>CUARTO. NOTIFÍQUESE POR SAIMEX</w:t>
      </w:r>
      <w:r w:rsidRPr="00EB3D68">
        <w:rPr>
          <w:rFonts w:ascii="Palatino Linotype" w:eastAsia="Palatino Linotype" w:hAnsi="Palatino Linotype" w:cs="Palatino Linotype"/>
          <w:sz w:val="22"/>
          <w:szCs w:val="22"/>
          <w:lang w:eastAsia="en-US"/>
        </w:rPr>
        <w:t xml:space="preserve"> al Recurrente la presente Resolución, asimismo, se hace de su conocimiento que de conformidad con lo establecido en el artículo 196 de la Ley de </w:t>
      </w:r>
      <w:r w:rsidRPr="00EB3D68">
        <w:rPr>
          <w:rFonts w:ascii="Palatino Linotype" w:eastAsia="Palatino Linotype" w:hAnsi="Palatino Linotype" w:cs="Palatino Linotype"/>
          <w:sz w:val="22"/>
          <w:szCs w:val="22"/>
          <w:lang w:eastAsia="en-US"/>
        </w:rPr>
        <w:lastRenderedPageBreak/>
        <w:t>Transparencia y Acceso a la Información Pública del Estado de México y Municipios podrá promover el Juicio de Amparo en los términos de las leyes aplicables.</w:t>
      </w:r>
    </w:p>
    <w:p w14:paraId="1823A310" w14:textId="77777777" w:rsidR="00F316EC" w:rsidRPr="00EB3D68" w:rsidRDefault="00F316EC" w:rsidP="00F316EC">
      <w:pPr>
        <w:spacing w:line="360" w:lineRule="auto"/>
        <w:ind w:right="-28"/>
        <w:contextualSpacing/>
        <w:jc w:val="both"/>
        <w:rPr>
          <w:rFonts w:ascii="Palatino Linotype" w:eastAsia="Palatino Linotype" w:hAnsi="Palatino Linotype" w:cs="Palatino Linotype"/>
          <w:color w:val="000000"/>
          <w:sz w:val="22"/>
          <w:szCs w:val="22"/>
          <w:lang w:eastAsia="en-US"/>
        </w:rPr>
      </w:pPr>
    </w:p>
    <w:p w14:paraId="2A336917" w14:textId="30C1CC52" w:rsidR="00F316EC" w:rsidRPr="00081C74" w:rsidRDefault="00F316EC" w:rsidP="00F316EC">
      <w:pPr>
        <w:spacing w:line="360" w:lineRule="auto"/>
        <w:contextualSpacing/>
        <w:jc w:val="both"/>
        <w:rPr>
          <w:rFonts w:ascii="Palatino Linotype" w:eastAsia="Calibri" w:hAnsi="Palatino Linotype"/>
          <w:sz w:val="22"/>
          <w:szCs w:val="22"/>
        </w:rPr>
      </w:pPr>
      <w:r w:rsidRPr="00EB3D68">
        <w:rPr>
          <w:rFonts w:ascii="Palatino Linotype" w:eastAsia="Calibri" w:hAnsi="Palatino Linotype"/>
          <w:sz w:val="22"/>
          <w:szCs w:val="22"/>
        </w:rPr>
        <w:t xml:space="preserve">ASÍ LO RESUELVE, POR </w:t>
      </w:r>
      <w:bookmarkStart w:id="18" w:name="_GoBack"/>
      <w:r w:rsidRPr="00362E2D">
        <w:rPr>
          <w:rFonts w:ascii="Palatino Linotype" w:eastAsia="Calibri" w:hAnsi="Palatino Linotype"/>
          <w:b/>
          <w:sz w:val="22"/>
          <w:szCs w:val="22"/>
        </w:rPr>
        <w:t>UNANIMIDAD</w:t>
      </w:r>
      <w:bookmarkEnd w:id="18"/>
      <w:r w:rsidRPr="00EB3D68">
        <w:rPr>
          <w:rFonts w:ascii="Palatino Linotype" w:eastAsia="Calibri"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081C74" w:rsidRPr="00EB3D68">
        <w:rPr>
          <w:rFonts w:ascii="Palatino Linotype" w:eastAsia="Calibri" w:hAnsi="Palatino Linotype"/>
          <w:sz w:val="22"/>
          <w:szCs w:val="22"/>
        </w:rPr>
        <w:t xml:space="preserve">CUARTA </w:t>
      </w:r>
      <w:r w:rsidRPr="00EB3D68">
        <w:rPr>
          <w:rFonts w:ascii="Palatino Linotype" w:eastAsia="Calibri" w:hAnsi="Palatino Linotype"/>
          <w:sz w:val="22"/>
          <w:szCs w:val="22"/>
        </w:rPr>
        <w:t xml:space="preserve">SESIÓN ORDINARIA, CELEBRADA EL </w:t>
      </w:r>
      <w:r w:rsidR="00B50DA4" w:rsidRPr="00EB3D68">
        <w:rPr>
          <w:rFonts w:ascii="Palatino Linotype" w:eastAsia="Calibri" w:hAnsi="Palatino Linotype"/>
          <w:sz w:val="22"/>
          <w:szCs w:val="22"/>
        </w:rPr>
        <w:t>VEINTITRÉS</w:t>
      </w:r>
      <w:r w:rsidRPr="00EB3D68">
        <w:rPr>
          <w:rFonts w:ascii="Palatino Linotype" w:eastAsia="Calibri" w:hAnsi="Palatino Linotype"/>
          <w:sz w:val="22"/>
          <w:szCs w:val="22"/>
        </w:rPr>
        <w:t xml:space="preserve"> DE ABRIL DE DOS MIL VEINTICINCO, ANTE EL SECRETARIO TÉCNICO DEL PLENO, ALEXIS TAPIA RAMÍREZ.</w:t>
      </w:r>
    </w:p>
    <w:p w14:paraId="11536DC0" w14:textId="77777777" w:rsidR="00F316EC" w:rsidRPr="0017161F" w:rsidRDefault="00F316EC" w:rsidP="00F316EC">
      <w:pPr>
        <w:spacing w:line="360" w:lineRule="auto"/>
        <w:ind w:right="-28"/>
        <w:contextualSpacing/>
        <w:jc w:val="both"/>
        <w:rPr>
          <w:rFonts w:ascii="Palatino Linotype" w:eastAsia="Batang" w:hAnsi="Palatino Linotype" w:cs="Tahoma"/>
          <w:bCs/>
          <w:sz w:val="22"/>
          <w:szCs w:val="22"/>
        </w:rPr>
      </w:pPr>
    </w:p>
    <w:p w14:paraId="48A622C9" w14:textId="77777777" w:rsidR="00F316EC" w:rsidRPr="0017161F" w:rsidRDefault="00F316EC" w:rsidP="00F316EC">
      <w:pPr>
        <w:spacing w:line="360" w:lineRule="auto"/>
        <w:contextualSpacing/>
        <w:rPr>
          <w:rFonts w:ascii="Palatino Linotype" w:hAnsi="Palatino Linotype"/>
        </w:rPr>
      </w:pPr>
    </w:p>
    <w:p w14:paraId="2891502A" w14:textId="77777777" w:rsidR="00F316EC" w:rsidRPr="0017161F" w:rsidRDefault="00F316EC" w:rsidP="00F316EC">
      <w:pPr>
        <w:spacing w:line="360" w:lineRule="auto"/>
        <w:contextualSpacing/>
        <w:rPr>
          <w:rFonts w:ascii="Palatino Linotype" w:hAnsi="Palatino Linotype"/>
        </w:rPr>
      </w:pPr>
    </w:p>
    <w:p w14:paraId="69BD183F" w14:textId="77777777" w:rsidR="00F316EC" w:rsidRPr="0017161F" w:rsidRDefault="00F316EC" w:rsidP="00F316EC">
      <w:pPr>
        <w:spacing w:line="360" w:lineRule="auto"/>
        <w:contextualSpacing/>
        <w:rPr>
          <w:rFonts w:ascii="Palatino Linotype" w:hAnsi="Palatino Linotype"/>
        </w:rPr>
      </w:pPr>
    </w:p>
    <w:p w14:paraId="1658238C" w14:textId="77777777" w:rsidR="00F316EC" w:rsidRPr="0017161F" w:rsidRDefault="00F316EC" w:rsidP="00F316EC">
      <w:pPr>
        <w:spacing w:line="360" w:lineRule="auto"/>
        <w:contextualSpacing/>
        <w:rPr>
          <w:rFonts w:ascii="Palatino Linotype" w:hAnsi="Palatino Linotype"/>
        </w:rPr>
      </w:pPr>
    </w:p>
    <w:p w14:paraId="4E587299" w14:textId="77777777" w:rsidR="00F316EC" w:rsidRPr="0017161F" w:rsidRDefault="00F316EC" w:rsidP="00F316EC">
      <w:pPr>
        <w:spacing w:line="360" w:lineRule="auto"/>
        <w:contextualSpacing/>
        <w:rPr>
          <w:rFonts w:ascii="Palatino Linotype" w:hAnsi="Palatino Linotype"/>
        </w:rPr>
      </w:pPr>
    </w:p>
    <w:p w14:paraId="32312F06" w14:textId="77777777" w:rsidR="00F316EC" w:rsidRPr="0017161F" w:rsidRDefault="00F316EC" w:rsidP="00F316EC">
      <w:pPr>
        <w:spacing w:line="360" w:lineRule="auto"/>
        <w:contextualSpacing/>
        <w:rPr>
          <w:rFonts w:ascii="Palatino Linotype" w:hAnsi="Palatino Linotype"/>
        </w:rPr>
      </w:pPr>
    </w:p>
    <w:p w14:paraId="23E5D20C" w14:textId="77777777" w:rsidR="00F316EC" w:rsidRPr="0017161F" w:rsidRDefault="00F316EC" w:rsidP="00F316EC">
      <w:pPr>
        <w:spacing w:line="360" w:lineRule="auto"/>
        <w:contextualSpacing/>
        <w:rPr>
          <w:rFonts w:ascii="Palatino Linotype" w:hAnsi="Palatino Linotype"/>
        </w:rPr>
      </w:pPr>
    </w:p>
    <w:p w14:paraId="42B7DA2B" w14:textId="77777777" w:rsidR="00F316EC" w:rsidRPr="0017161F" w:rsidRDefault="00F316EC" w:rsidP="00F316EC">
      <w:pPr>
        <w:spacing w:line="360" w:lineRule="auto"/>
        <w:contextualSpacing/>
        <w:rPr>
          <w:rFonts w:ascii="Palatino Linotype" w:hAnsi="Palatino Linotype"/>
        </w:rPr>
      </w:pPr>
    </w:p>
    <w:p w14:paraId="22398C39" w14:textId="77777777" w:rsidR="00F316EC" w:rsidRPr="0017161F" w:rsidRDefault="00F316EC" w:rsidP="00F316EC">
      <w:pPr>
        <w:spacing w:line="360" w:lineRule="auto"/>
        <w:contextualSpacing/>
        <w:rPr>
          <w:rFonts w:ascii="Palatino Linotype" w:hAnsi="Palatino Linotype"/>
        </w:rPr>
      </w:pPr>
    </w:p>
    <w:p w14:paraId="14C53011" w14:textId="77777777" w:rsidR="00F316EC" w:rsidRPr="0017161F" w:rsidRDefault="00F316EC" w:rsidP="00F316EC">
      <w:pPr>
        <w:spacing w:line="360" w:lineRule="auto"/>
        <w:contextualSpacing/>
        <w:rPr>
          <w:rFonts w:ascii="Palatino Linotype" w:hAnsi="Palatino Linotype"/>
        </w:rPr>
      </w:pPr>
    </w:p>
    <w:p w14:paraId="6BD1A8FB" w14:textId="77777777" w:rsidR="00F316EC" w:rsidRPr="0017161F" w:rsidRDefault="00F316EC" w:rsidP="00F316EC">
      <w:pPr>
        <w:spacing w:line="360" w:lineRule="auto"/>
        <w:contextualSpacing/>
        <w:rPr>
          <w:rFonts w:ascii="Palatino Linotype" w:hAnsi="Palatino Linotype"/>
        </w:rPr>
      </w:pPr>
    </w:p>
    <w:p w14:paraId="654C96D9" w14:textId="77777777" w:rsidR="00F316EC" w:rsidRPr="0017161F" w:rsidRDefault="00F316EC" w:rsidP="00F316EC">
      <w:pPr>
        <w:spacing w:line="360" w:lineRule="auto"/>
        <w:contextualSpacing/>
        <w:rPr>
          <w:rFonts w:ascii="Palatino Linotype" w:hAnsi="Palatino Linotype"/>
        </w:rPr>
      </w:pPr>
    </w:p>
    <w:p w14:paraId="4643F1CD" w14:textId="77777777" w:rsidR="00F316EC" w:rsidRPr="0017161F" w:rsidRDefault="00F316EC" w:rsidP="00F316EC">
      <w:pPr>
        <w:spacing w:line="360" w:lineRule="auto"/>
        <w:contextualSpacing/>
        <w:rPr>
          <w:rFonts w:ascii="Palatino Linotype" w:hAnsi="Palatino Linotype"/>
        </w:rPr>
      </w:pPr>
    </w:p>
    <w:p w14:paraId="37A01FB0" w14:textId="77777777" w:rsidR="00F316EC" w:rsidRPr="0017161F" w:rsidRDefault="00F316EC" w:rsidP="00F316EC">
      <w:pPr>
        <w:spacing w:line="360" w:lineRule="auto"/>
        <w:contextualSpacing/>
        <w:rPr>
          <w:rFonts w:ascii="Palatino Linotype" w:hAnsi="Palatino Linotype"/>
        </w:rPr>
      </w:pPr>
    </w:p>
    <w:p w14:paraId="14EC7117" w14:textId="77777777" w:rsidR="00F316EC" w:rsidRPr="0017161F" w:rsidRDefault="00F316EC" w:rsidP="00F316EC">
      <w:pPr>
        <w:spacing w:line="360" w:lineRule="auto"/>
        <w:contextualSpacing/>
        <w:rPr>
          <w:rFonts w:ascii="Palatino Linotype" w:hAnsi="Palatino Linotype"/>
        </w:rPr>
      </w:pPr>
    </w:p>
    <w:p w14:paraId="4DBB4424" w14:textId="77777777" w:rsidR="00F316EC" w:rsidRPr="0017161F" w:rsidRDefault="00F316EC" w:rsidP="00F316EC">
      <w:pPr>
        <w:spacing w:line="360" w:lineRule="auto"/>
        <w:contextualSpacing/>
        <w:rPr>
          <w:rFonts w:ascii="Palatino Linotype" w:hAnsi="Palatino Linotype"/>
        </w:rPr>
      </w:pPr>
    </w:p>
    <w:p w14:paraId="2431E92E" w14:textId="77777777" w:rsidR="00F316EC" w:rsidRPr="0017161F" w:rsidRDefault="00F316EC" w:rsidP="00F316EC">
      <w:pPr>
        <w:spacing w:line="360" w:lineRule="auto"/>
        <w:contextualSpacing/>
        <w:rPr>
          <w:rFonts w:ascii="Palatino Linotype" w:hAnsi="Palatino Linotype"/>
        </w:rPr>
      </w:pPr>
    </w:p>
    <w:p w14:paraId="29CB43DB" w14:textId="77777777" w:rsidR="00F316EC" w:rsidRPr="0017161F" w:rsidRDefault="00F316EC" w:rsidP="00F316EC">
      <w:pPr>
        <w:spacing w:line="360" w:lineRule="auto"/>
        <w:contextualSpacing/>
        <w:rPr>
          <w:rFonts w:ascii="Palatino Linotype" w:hAnsi="Palatino Linotype"/>
        </w:rPr>
      </w:pPr>
    </w:p>
    <w:p w14:paraId="75F70099" w14:textId="77777777" w:rsidR="00F316EC" w:rsidRPr="0017161F" w:rsidRDefault="00F316EC" w:rsidP="00F316EC">
      <w:pPr>
        <w:spacing w:line="360" w:lineRule="auto"/>
        <w:contextualSpacing/>
        <w:rPr>
          <w:rFonts w:ascii="Palatino Linotype" w:hAnsi="Palatino Linotype"/>
        </w:rPr>
      </w:pPr>
    </w:p>
    <w:p w14:paraId="1FDED7D5" w14:textId="77777777" w:rsidR="00F316EC" w:rsidRPr="0017161F" w:rsidRDefault="00F316EC" w:rsidP="00F316EC">
      <w:pPr>
        <w:spacing w:line="360" w:lineRule="auto"/>
        <w:contextualSpacing/>
        <w:rPr>
          <w:rFonts w:ascii="Palatino Linotype" w:hAnsi="Palatino Linotype"/>
        </w:rPr>
      </w:pPr>
    </w:p>
    <w:p w14:paraId="430ACFBC" w14:textId="77777777" w:rsidR="00F316EC" w:rsidRPr="0017161F" w:rsidRDefault="00F316EC" w:rsidP="00F316EC">
      <w:pPr>
        <w:spacing w:line="360" w:lineRule="auto"/>
        <w:contextualSpacing/>
        <w:rPr>
          <w:rFonts w:ascii="Palatino Linotype" w:hAnsi="Palatino Linotype"/>
        </w:rPr>
      </w:pPr>
    </w:p>
    <w:p w14:paraId="10D03278" w14:textId="77777777" w:rsidR="00F316EC" w:rsidRDefault="00F316EC" w:rsidP="00F316EC">
      <w:pPr>
        <w:spacing w:line="360" w:lineRule="auto"/>
        <w:contextualSpacing/>
      </w:pPr>
    </w:p>
    <w:p w14:paraId="1E2CF0E6" w14:textId="77777777" w:rsidR="00F316EC" w:rsidRDefault="00F316EC" w:rsidP="00F316EC">
      <w:pPr>
        <w:spacing w:line="360" w:lineRule="auto"/>
        <w:contextualSpacing/>
      </w:pPr>
    </w:p>
    <w:p w14:paraId="3D227016" w14:textId="77777777" w:rsidR="00F316EC" w:rsidRDefault="00F316EC" w:rsidP="00F316EC">
      <w:pPr>
        <w:spacing w:line="360" w:lineRule="auto"/>
        <w:contextualSpacing/>
      </w:pPr>
    </w:p>
    <w:p w14:paraId="6D32CF3C" w14:textId="77777777" w:rsidR="00F316EC" w:rsidRDefault="00F316EC" w:rsidP="00F316EC">
      <w:pPr>
        <w:spacing w:line="360" w:lineRule="auto"/>
        <w:contextualSpacing/>
      </w:pPr>
    </w:p>
    <w:p w14:paraId="5145296E" w14:textId="77777777" w:rsidR="00F316EC" w:rsidRDefault="00F316EC" w:rsidP="00F316EC"/>
    <w:p w14:paraId="0337F606" w14:textId="77777777" w:rsidR="00B01980" w:rsidRDefault="00B01980"/>
    <w:sectPr w:rsidR="00B01980" w:rsidSect="00F316EC">
      <w:headerReference w:type="even" r:id="rId7"/>
      <w:headerReference w:type="default" r:id="rId8"/>
      <w:footerReference w:type="default" r:id="rId9"/>
      <w:headerReference w:type="first" r:id="rId10"/>
      <w:footerReference w:type="first" r:id="rId11"/>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8D7C7" w14:textId="77777777" w:rsidR="00184974" w:rsidRDefault="00184974" w:rsidP="00A55B60">
      <w:r>
        <w:separator/>
      </w:r>
    </w:p>
  </w:endnote>
  <w:endnote w:type="continuationSeparator" w:id="0">
    <w:p w14:paraId="670CB35B" w14:textId="77777777" w:rsidR="00184974" w:rsidRDefault="00184974" w:rsidP="00A5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3C02F1B5" w14:textId="77777777" w:rsidR="00FE051B" w:rsidRPr="00C13895" w:rsidRDefault="00FE051B">
            <w:pPr>
              <w:pStyle w:val="Piedepgina"/>
              <w:jc w:val="right"/>
              <w:rPr>
                <w:sz w:val="26"/>
                <w:szCs w:val="26"/>
              </w:rPr>
            </w:pPr>
          </w:p>
          <w:p w14:paraId="57FF859E" w14:textId="77777777" w:rsidR="00FE051B" w:rsidRDefault="00FE051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7E2A">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7E2A">
              <w:rPr>
                <w:b/>
                <w:bCs/>
                <w:noProof/>
              </w:rPr>
              <w:t>25</w:t>
            </w:r>
            <w:r>
              <w:rPr>
                <w:b/>
                <w:bCs/>
                <w:sz w:val="24"/>
                <w:szCs w:val="24"/>
              </w:rPr>
              <w:fldChar w:fldCharType="end"/>
            </w:r>
          </w:p>
        </w:sdtContent>
      </w:sdt>
    </w:sdtContent>
  </w:sdt>
  <w:p w14:paraId="00B5E893" w14:textId="77777777" w:rsidR="00FE051B" w:rsidRDefault="00FE05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0AD4CD48" w14:textId="77777777" w:rsidR="00FE051B" w:rsidRDefault="00FE051B">
            <w:pPr>
              <w:pStyle w:val="Piedepgina"/>
              <w:jc w:val="right"/>
            </w:pPr>
          </w:p>
          <w:p w14:paraId="20D40073" w14:textId="77777777" w:rsidR="00FE051B" w:rsidRDefault="00FE051B">
            <w:pPr>
              <w:pStyle w:val="Piedepgina"/>
              <w:jc w:val="right"/>
            </w:pPr>
          </w:p>
          <w:p w14:paraId="00220596" w14:textId="77777777" w:rsidR="00FE051B" w:rsidRDefault="00FE051B">
            <w:pPr>
              <w:pStyle w:val="Piedepgina"/>
              <w:jc w:val="right"/>
            </w:pPr>
          </w:p>
          <w:p w14:paraId="343CFBBF" w14:textId="77777777" w:rsidR="00FE051B" w:rsidRDefault="00FE051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7E2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7E2A">
              <w:rPr>
                <w:b/>
                <w:bCs/>
                <w:noProof/>
              </w:rPr>
              <w:t>25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3243B" w14:textId="77777777" w:rsidR="00184974" w:rsidRDefault="00184974" w:rsidP="00A55B60">
      <w:r>
        <w:separator/>
      </w:r>
    </w:p>
  </w:footnote>
  <w:footnote w:type="continuationSeparator" w:id="0">
    <w:p w14:paraId="44C0A928" w14:textId="77777777" w:rsidR="00184974" w:rsidRDefault="00184974" w:rsidP="00A55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9035" w14:textId="77777777" w:rsidR="00FE051B" w:rsidRDefault="00184974">
    <w:pPr>
      <w:pStyle w:val="Encabezado"/>
    </w:pPr>
    <w:r>
      <w:rPr>
        <w:noProof/>
        <w:lang w:eastAsia="es-MX"/>
      </w:rPr>
      <w:pict w14:anchorId="58016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7216;mso-wrap-edited:f;mso-position-horizontal:center;mso-position-horizontal-relative:margin;mso-position-vertical:center;mso-position-vertical-relative:margin"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1928A" w14:textId="77777777" w:rsidR="00FE051B" w:rsidRPr="009E6858" w:rsidRDefault="00184974">
    <w:pPr>
      <w:tabs>
        <w:tab w:val="left" w:pos="3416"/>
      </w:tabs>
      <w:rPr>
        <w:sz w:val="22"/>
        <w:szCs w:val="22"/>
      </w:rPr>
    </w:pPr>
    <w:r>
      <w:rPr>
        <w:noProof/>
        <w:sz w:val="14"/>
        <w:lang w:eastAsia="es-MX"/>
      </w:rPr>
      <w:pict w14:anchorId="47FCD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94.7pt;margin-top:-137.5pt;width:663.5pt;height:12in;z-index:-251656192;mso-wrap-edited:f;mso-position-horizontal-relative:margin;mso-position-vertical-relative:margin"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FE051B" w:rsidRPr="005C106F" w14:paraId="5F5DF2A8" w14:textId="77777777">
      <w:trPr>
        <w:trHeight w:val="70"/>
      </w:trPr>
      <w:tc>
        <w:tcPr>
          <w:tcW w:w="2268" w:type="dxa"/>
          <w:shd w:val="clear" w:color="auto" w:fill="auto"/>
        </w:tcPr>
        <w:p w14:paraId="42CF76EC" w14:textId="77777777" w:rsidR="00FE051B" w:rsidRPr="005C106F" w:rsidRDefault="00FE051B">
          <w:pPr>
            <w:tabs>
              <w:tab w:val="right" w:pos="4273"/>
            </w:tabs>
            <w:rPr>
              <w:rFonts w:ascii="Garamond" w:eastAsia="Calibri" w:hAnsi="Garamond"/>
              <w:sz w:val="16"/>
              <w:szCs w:val="16"/>
            </w:rPr>
          </w:pPr>
        </w:p>
      </w:tc>
      <w:tc>
        <w:tcPr>
          <w:tcW w:w="7193" w:type="dxa"/>
          <w:shd w:val="clear" w:color="auto" w:fill="auto"/>
        </w:tcPr>
        <w:tbl>
          <w:tblPr>
            <w:tblStyle w:val="Tablaconcuadrcula"/>
            <w:tblW w:w="7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60"/>
            <w:gridCol w:w="3905"/>
          </w:tblGrid>
          <w:tr w:rsidR="00FE051B" w14:paraId="2755FC90" w14:textId="77777777" w:rsidTr="005A255E">
            <w:trPr>
              <w:trHeight w:val="139"/>
            </w:trPr>
            <w:tc>
              <w:tcPr>
                <w:tcW w:w="3860" w:type="dxa"/>
                <w:vAlign w:val="bottom"/>
              </w:tcPr>
              <w:p w14:paraId="2C121DD2" w14:textId="700A51CF" w:rsidR="00FE051B" w:rsidRPr="008B41A2" w:rsidRDefault="00FE051B">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3905" w:type="dxa"/>
              </w:tcPr>
              <w:p w14:paraId="4E0EC2DA" w14:textId="22B3B00E" w:rsidR="00FE051B" w:rsidRPr="00651A13" w:rsidRDefault="00FE051B">
                <w:pPr>
                  <w:tabs>
                    <w:tab w:val="right" w:pos="8838"/>
                  </w:tabs>
                  <w:ind w:left="-28" w:right="683"/>
                  <w:rPr>
                    <w:rFonts w:ascii="Palatino Linotype" w:eastAsia="Calibri" w:hAnsi="Palatino Linotype" w:cs="Tahoma"/>
                    <w:sz w:val="22"/>
                    <w:szCs w:val="22"/>
                  </w:rPr>
                </w:pPr>
                <w:r w:rsidRPr="00504BF3">
                  <w:rPr>
                    <w:rFonts w:ascii="Palatino Linotype" w:eastAsia="Calibri" w:hAnsi="Palatino Linotype" w:cs="Tahoma"/>
                    <w:sz w:val="22"/>
                    <w:szCs w:val="22"/>
                    <w:lang w:val="es-MX"/>
                  </w:rPr>
                  <w:t>0</w:t>
                </w:r>
                <w:r>
                  <w:rPr>
                    <w:rFonts w:ascii="Palatino Linotype" w:eastAsia="Calibri" w:hAnsi="Palatino Linotype" w:cs="Tahoma"/>
                    <w:sz w:val="22"/>
                    <w:szCs w:val="22"/>
                    <w:lang w:val="es-MX"/>
                  </w:rPr>
                  <w:t>1866</w:t>
                </w:r>
                <w:r w:rsidRPr="00504BF3">
                  <w:rPr>
                    <w:rFonts w:ascii="Palatino Linotype" w:eastAsia="Calibri" w:hAnsi="Palatino Linotype" w:cs="Tahoma"/>
                    <w:sz w:val="22"/>
                    <w:szCs w:val="22"/>
                    <w:lang w:val="es-MX"/>
                  </w:rPr>
                  <w:t>/INFOEM/IP/RR/2025</w:t>
                </w:r>
              </w:p>
            </w:tc>
          </w:tr>
          <w:tr w:rsidR="00FE051B" w14:paraId="7DAEE815" w14:textId="77777777" w:rsidTr="005A255E">
            <w:trPr>
              <w:trHeight w:val="275"/>
            </w:trPr>
            <w:tc>
              <w:tcPr>
                <w:tcW w:w="3860" w:type="dxa"/>
              </w:tcPr>
              <w:p w14:paraId="28C6F236" w14:textId="03D07AF9" w:rsidR="00FE051B" w:rsidRPr="008B41A2" w:rsidRDefault="00FE051B">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3905" w:type="dxa"/>
              </w:tcPr>
              <w:p w14:paraId="7346C98C" w14:textId="757D0EB1" w:rsidR="00FE051B" w:rsidRPr="008B41A2" w:rsidRDefault="00FE051B" w:rsidP="00212EEF">
                <w:pPr>
                  <w:tabs>
                    <w:tab w:val="right" w:pos="8838"/>
                  </w:tabs>
                  <w:ind w:right="1008"/>
                  <w:jc w:val="both"/>
                  <w:rPr>
                    <w:rFonts w:ascii="Palatino Linotype" w:eastAsia="Calibri" w:hAnsi="Palatino Linotype" w:cs="Tahoma"/>
                    <w:sz w:val="22"/>
                    <w:szCs w:val="22"/>
                    <w:lang w:val="es-MX"/>
                  </w:rPr>
                </w:pPr>
                <w:r>
                  <w:rPr>
                    <w:rFonts w:ascii="Palatino Linotype" w:hAnsi="Palatino Linotype"/>
                    <w:color w:val="000000"/>
                    <w:sz w:val="22"/>
                    <w:szCs w:val="22"/>
                    <w:lang w:val="es-MX"/>
                  </w:rPr>
                  <w:t xml:space="preserve">Ayuntamiento de </w:t>
                </w:r>
                <w:proofErr w:type="spellStart"/>
                <w:r>
                  <w:rPr>
                    <w:rFonts w:ascii="Palatino Linotype" w:hAnsi="Palatino Linotype"/>
                    <w:color w:val="000000"/>
                    <w:sz w:val="22"/>
                    <w:szCs w:val="22"/>
                    <w:lang w:val="es-MX"/>
                  </w:rPr>
                  <w:t>Jilotzingo</w:t>
                </w:r>
                <w:proofErr w:type="spellEnd"/>
              </w:p>
            </w:tc>
          </w:tr>
          <w:tr w:rsidR="00FE051B" w14:paraId="57BF4FC6" w14:textId="77777777" w:rsidTr="005A255E">
            <w:trPr>
              <w:trHeight w:val="275"/>
            </w:trPr>
            <w:tc>
              <w:tcPr>
                <w:tcW w:w="3860" w:type="dxa"/>
              </w:tcPr>
              <w:p w14:paraId="3A0A60F2" w14:textId="3B982F1C" w:rsidR="00FE051B" w:rsidRPr="008B41A2" w:rsidRDefault="00FE051B">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3905" w:type="dxa"/>
              </w:tcPr>
              <w:p w14:paraId="3B35EC5F" w14:textId="77777777" w:rsidR="00FE051B" w:rsidRDefault="00FE051B">
                <w:pPr>
                  <w:tabs>
                    <w:tab w:val="right" w:pos="8838"/>
                  </w:tabs>
                  <w:ind w:left="-28" w:right="-32"/>
                  <w:rPr>
                    <w:rFonts w:ascii="Palatino Linotype" w:eastAsia="Calibri" w:hAnsi="Palatino Linotype" w:cs="Tahoma"/>
                    <w:sz w:val="22"/>
                    <w:szCs w:val="22"/>
                    <w:lang w:val="es-MX"/>
                  </w:rPr>
                </w:pPr>
                <w:r w:rsidRPr="008B41A2">
                  <w:rPr>
                    <w:rFonts w:ascii="Palatino Linotype" w:eastAsia="Calibri" w:hAnsi="Palatino Linotype" w:cs="Tahoma"/>
                    <w:sz w:val="22"/>
                    <w:szCs w:val="22"/>
                    <w:lang w:val="es-MX"/>
                  </w:rPr>
                  <w:t>Luis Gustavo Parra Noriega</w:t>
                </w:r>
              </w:p>
              <w:p w14:paraId="1EB9C4CB" w14:textId="77777777" w:rsidR="00FE051B" w:rsidRPr="008B41A2" w:rsidRDefault="00FE051B">
                <w:pPr>
                  <w:tabs>
                    <w:tab w:val="right" w:pos="8838"/>
                  </w:tabs>
                  <w:ind w:left="-28" w:right="-32"/>
                  <w:rPr>
                    <w:rFonts w:ascii="Palatino Linotype" w:eastAsia="Calibri" w:hAnsi="Palatino Linotype" w:cs="Tahoma"/>
                    <w:b/>
                    <w:sz w:val="22"/>
                    <w:szCs w:val="22"/>
                    <w:lang w:val="es-MX"/>
                  </w:rPr>
                </w:pPr>
              </w:p>
            </w:tc>
          </w:tr>
        </w:tbl>
        <w:p w14:paraId="61644953" w14:textId="77777777" w:rsidR="00FE051B" w:rsidRPr="005C106F" w:rsidRDefault="00FE051B">
          <w:pPr>
            <w:tabs>
              <w:tab w:val="right" w:pos="8838"/>
            </w:tabs>
            <w:ind w:left="-28"/>
            <w:rPr>
              <w:rFonts w:ascii="Arial" w:eastAsia="Calibri" w:hAnsi="Arial" w:cs="Arial"/>
              <w:b/>
            </w:rPr>
          </w:pPr>
        </w:p>
      </w:tc>
    </w:tr>
  </w:tbl>
  <w:p w14:paraId="3232FA63" w14:textId="77777777" w:rsidR="00FE051B" w:rsidRDefault="00FE051B">
    <w:pPr>
      <w:pStyle w:val="Encabezado"/>
      <w:rPr>
        <w:sz w:val="14"/>
      </w:rPr>
    </w:pPr>
  </w:p>
  <w:p w14:paraId="68BC7C42" w14:textId="77777777" w:rsidR="00FE051B" w:rsidRPr="00443C6B" w:rsidRDefault="00FE051B">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234"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4116"/>
      <w:gridCol w:w="3118"/>
    </w:tblGrid>
    <w:tr w:rsidR="00FE051B" w:rsidRPr="00264223" w14:paraId="63999627" w14:textId="77777777" w:rsidTr="00A55B60">
      <w:trPr>
        <w:trHeight w:val="302"/>
      </w:trPr>
      <w:tc>
        <w:tcPr>
          <w:tcW w:w="4116" w:type="dxa"/>
        </w:tcPr>
        <w:p w14:paraId="13B989F0" w14:textId="525978E6" w:rsidR="00FE051B" w:rsidRPr="00D3618F" w:rsidRDefault="00FE051B">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118" w:type="dxa"/>
        </w:tcPr>
        <w:p w14:paraId="4FED7475" w14:textId="682427CE" w:rsidR="00FE051B" w:rsidRPr="00651A13" w:rsidRDefault="00FE051B">
          <w:pPr>
            <w:tabs>
              <w:tab w:val="right" w:pos="8838"/>
            </w:tabs>
            <w:jc w:val="both"/>
            <w:rPr>
              <w:rFonts w:ascii="Palatino Linotype" w:eastAsia="Calibri" w:hAnsi="Palatino Linotype" w:cs="Tahoma"/>
              <w:sz w:val="22"/>
              <w:szCs w:val="22"/>
              <w:lang w:eastAsia="en-US"/>
            </w:rPr>
          </w:pPr>
          <w:r w:rsidRPr="008555C4">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1866</w:t>
          </w:r>
          <w:r w:rsidRPr="008555C4">
            <w:rPr>
              <w:rFonts w:ascii="Palatino Linotype" w:eastAsia="Calibri" w:hAnsi="Palatino Linotype" w:cs="Tahoma"/>
              <w:sz w:val="22"/>
              <w:szCs w:val="22"/>
              <w:lang w:val="es-MX" w:eastAsia="en-US"/>
            </w:rPr>
            <w:t>/INFOEM/IP/RR/2025</w:t>
          </w:r>
        </w:p>
      </w:tc>
    </w:tr>
    <w:tr w:rsidR="00FE051B" w:rsidRPr="00264223" w14:paraId="4B8FB61A" w14:textId="77777777" w:rsidTr="00A55B60">
      <w:trPr>
        <w:trHeight w:val="110"/>
      </w:trPr>
      <w:tc>
        <w:tcPr>
          <w:tcW w:w="4116" w:type="dxa"/>
        </w:tcPr>
        <w:p w14:paraId="1622345B" w14:textId="18B3A79B" w:rsidR="00FE051B" w:rsidRPr="00D3618F" w:rsidRDefault="00FE051B">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118" w:type="dxa"/>
        </w:tcPr>
        <w:p w14:paraId="393F46E6" w14:textId="77777777" w:rsidR="00FE051B" w:rsidRPr="00E22A9C" w:rsidRDefault="00FE051B">
          <w:pPr>
            <w:jc w:val="both"/>
            <w:rPr>
              <w:rFonts w:ascii="Palatino Linotype" w:hAnsi="Palatino Linotype"/>
              <w:sz w:val="22"/>
              <w:szCs w:val="22"/>
              <w:lang w:eastAsia="es-MX"/>
            </w:rPr>
          </w:pPr>
        </w:p>
      </w:tc>
    </w:tr>
    <w:tr w:rsidR="00FE051B" w:rsidRPr="00264223" w14:paraId="00CB076F" w14:textId="77777777" w:rsidTr="00A55B60">
      <w:trPr>
        <w:trHeight w:val="248"/>
      </w:trPr>
      <w:tc>
        <w:tcPr>
          <w:tcW w:w="4116" w:type="dxa"/>
        </w:tcPr>
        <w:p w14:paraId="6349E766" w14:textId="189967ED" w:rsidR="00FE051B" w:rsidRPr="00D3618F" w:rsidRDefault="00FE051B">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118" w:type="dxa"/>
        </w:tcPr>
        <w:p w14:paraId="253F19BC" w14:textId="711DA73F" w:rsidR="00FE051B" w:rsidRPr="00722A8D" w:rsidRDefault="00FE051B">
          <w:pPr>
            <w:tabs>
              <w:tab w:val="right" w:pos="8838"/>
            </w:tabs>
            <w:jc w:val="both"/>
            <w:rPr>
              <w:rFonts w:ascii="Palatino Linotype" w:eastAsia="Calibri" w:hAnsi="Palatino Linotype" w:cs="Tahoma"/>
              <w:sz w:val="22"/>
              <w:szCs w:val="22"/>
              <w:lang w:val="es-MX" w:eastAsia="en-US"/>
            </w:rPr>
          </w:pPr>
          <w:r>
            <w:rPr>
              <w:rFonts w:ascii="Palatino Linotype" w:hAnsi="Palatino Linotype"/>
              <w:color w:val="000000"/>
              <w:sz w:val="22"/>
              <w:szCs w:val="22"/>
              <w:lang w:val="es-MX"/>
            </w:rPr>
            <w:t xml:space="preserve">Ayuntamiento de </w:t>
          </w:r>
          <w:proofErr w:type="spellStart"/>
          <w:r>
            <w:rPr>
              <w:rFonts w:ascii="Palatino Linotype" w:hAnsi="Palatino Linotype"/>
              <w:color w:val="000000"/>
              <w:sz w:val="22"/>
              <w:szCs w:val="22"/>
              <w:lang w:val="es-MX"/>
            </w:rPr>
            <w:t>Jilotzingo</w:t>
          </w:r>
          <w:proofErr w:type="spellEnd"/>
          <w:r>
            <w:rPr>
              <w:rFonts w:ascii="Palatino Linotype" w:hAnsi="Palatino Linotype"/>
              <w:color w:val="000000"/>
              <w:sz w:val="22"/>
              <w:szCs w:val="22"/>
              <w:lang w:val="es-MX"/>
            </w:rPr>
            <w:t xml:space="preserve"> </w:t>
          </w:r>
        </w:p>
      </w:tc>
    </w:tr>
    <w:tr w:rsidR="00FE051B" w:rsidRPr="00264223" w14:paraId="25CAC176" w14:textId="77777777" w:rsidTr="00A55B60">
      <w:trPr>
        <w:trHeight w:val="248"/>
      </w:trPr>
      <w:tc>
        <w:tcPr>
          <w:tcW w:w="4116" w:type="dxa"/>
        </w:tcPr>
        <w:p w14:paraId="07E8E167" w14:textId="49242FE3" w:rsidR="00FE051B" w:rsidRPr="00D3618F" w:rsidRDefault="00FE051B">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118" w:type="dxa"/>
        </w:tcPr>
        <w:p w14:paraId="0C1BE91D" w14:textId="77777777" w:rsidR="00FE051B" w:rsidRPr="00D3618F" w:rsidRDefault="00FE051B">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6E6C855F" w14:textId="77777777" w:rsidR="00FE051B" w:rsidRDefault="00184974">
    <w:pPr>
      <w:ind w:right="-312"/>
    </w:pPr>
    <w:r>
      <w:rPr>
        <w:noProof/>
        <w:lang w:eastAsia="es-MX"/>
      </w:rPr>
      <w:pict w14:anchorId="4B0D2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2.55pt;margin-top:-120.95pt;width:663.5pt;height:12in;z-index:-25165516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5088"/>
    <w:multiLevelType w:val="hybridMultilevel"/>
    <w:tmpl w:val="6994F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0237C9"/>
    <w:multiLevelType w:val="hybridMultilevel"/>
    <w:tmpl w:val="95DECCCE"/>
    <w:lvl w:ilvl="0" w:tplc="AB4C1F2E">
      <w:start w:val="1"/>
      <w:numFmt w:val="upperRoman"/>
      <w:lvlText w:val="%1."/>
      <w:lvlJc w:val="left"/>
      <w:pPr>
        <w:ind w:left="1425" w:hanging="720"/>
      </w:pPr>
      <w:rPr>
        <w:rFonts w:ascii="Palatino Linotype" w:eastAsia="Palatino Linotype" w:hAnsi="Palatino Linotype" w:cs="Palatino Linotype"/>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189E2902"/>
    <w:multiLevelType w:val="hybridMultilevel"/>
    <w:tmpl w:val="2F2ADC0E"/>
    <w:lvl w:ilvl="0" w:tplc="58D2DE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6647FA"/>
    <w:multiLevelType w:val="hybridMultilevel"/>
    <w:tmpl w:val="99EA27A0"/>
    <w:lvl w:ilvl="0" w:tplc="71C86A68">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AD7776"/>
    <w:multiLevelType w:val="hybridMultilevel"/>
    <w:tmpl w:val="B5228E90"/>
    <w:lvl w:ilvl="0" w:tplc="D4848758">
      <w:start w:val="1"/>
      <w:numFmt w:val="decimal"/>
      <w:lvlText w:val="%1."/>
      <w:lvlJc w:val="left"/>
      <w:pPr>
        <w:ind w:left="720" w:hanging="360"/>
      </w:pPr>
      <w:rPr>
        <w:rFonts w:cs="Tahom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BA7A66"/>
    <w:multiLevelType w:val="multilevel"/>
    <w:tmpl w:val="BC8837E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30EB6AC4"/>
    <w:multiLevelType w:val="hybridMultilevel"/>
    <w:tmpl w:val="3AAC4EAE"/>
    <w:lvl w:ilvl="0" w:tplc="A0266568">
      <w:start w:val="2"/>
      <w:numFmt w:val="bullet"/>
      <w:lvlText w:val="-"/>
      <w:lvlJc w:val="left"/>
      <w:pPr>
        <w:ind w:left="720" w:hanging="360"/>
      </w:pPr>
      <w:rPr>
        <w:rFonts w:ascii="Palatino Linotype" w:eastAsia="Times New Roman" w:hAnsi="Palatino Linotype"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C04096"/>
    <w:multiLevelType w:val="multilevel"/>
    <w:tmpl w:val="FBF0E2BE"/>
    <w:lvl w:ilvl="0">
      <w:start w:val="1"/>
      <w:numFmt w:val="bullet"/>
      <w:lvlText w:val="●"/>
      <w:lvlJc w:val="left"/>
      <w:pPr>
        <w:ind w:left="780" w:hanging="360"/>
      </w:pPr>
      <w:rPr>
        <w:rFonts w:ascii="Noto Sans Symbols" w:hAnsi="Noto Sans Symbol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Noto Sans Symbols" w:hAnsi="Noto Sans Symbols" w:hint="default"/>
      </w:rPr>
    </w:lvl>
    <w:lvl w:ilvl="3">
      <w:start w:val="1"/>
      <w:numFmt w:val="bullet"/>
      <w:lvlText w:val="●"/>
      <w:lvlJc w:val="left"/>
      <w:pPr>
        <w:ind w:left="2940" w:hanging="360"/>
      </w:pPr>
      <w:rPr>
        <w:rFonts w:ascii="Noto Sans Symbols" w:hAnsi="Noto Sans Symbols"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Noto Sans Symbols" w:hAnsi="Noto Sans Symbols" w:hint="default"/>
      </w:rPr>
    </w:lvl>
    <w:lvl w:ilvl="6">
      <w:start w:val="1"/>
      <w:numFmt w:val="bullet"/>
      <w:lvlText w:val="●"/>
      <w:lvlJc w:val="left"/>
      <w:pPr>
        <w:ind w:left="5100" w:hanging="360"/>
      </w:pPr>
      <w:rPr>
        <w:rFonts w:ascii="Noto Sans Symbols" w:hAnsi="Noto Sans Symbols"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Noto Sans Symbols" w:hAnsi="Noto Sans Symbols" w:hint="default"/>
      </w:rPr>
    </w:lvl>
  </w:abstractNum>
  <w:abstractNum w:abstractNumId="9" w15:restartNumberingAfterBreak="0">
    <w:nsid w:val="4DD10593"/>
    <w:multiLevelType w:val="hybridMultilevel"/>
    <w:tmpl w:val="3A10DB88"/>
    <w:lvl w:ilvl="0" w:tplc="15E2CEE2">
      <w:start w:val="6"/>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E16772"/>
    <w:multiLevelType w:val="hybridMultilevel"/>
    <w:tmpl w:val="2E9C8D2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B31B81"/>
    <w:multiLevelType w:val="hybridMultilevel"/>
    <w:tmpl w:val="A8289A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9272E6"/>
    <w:multiLevelType w:val="hybridMultilevel"/>
    <w:tmpl w:val="67D27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35049E"/>
    <w:multiLevelType w:val="hybridMultilevel"/>
    <w:tmpl w:val="858CD6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7"/>
  </w:num>
  <w:num w:numId="3">
    <w:abstractNumId w:val="8"/>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11"/>
  </w:num>
  <w:num w:numId="10">
    <w:abstractNumId w:val="9"/>
  </w:num>
  <w:num w:numId="11">
    <w:abstractNumId w:val="4"/>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EC"/>
    <w:rsid w:val="000160B6"/>
    <w:rsid w:val="00081C74"/>
    <w:rsid w:val="000B786F"/>
    <w:rsid w:val="00144B0F"/>
    <w:rsid w:val="00174E7C"/>
    <w:rsid w:val="00183EE3"/>
    <w:rsid w:val="00184974"/>
    <w:rsid w:val="001906FD"/>
    <w:rsid w:val="001B234E"/>
    <w:rsid w:val="00212EEF"/>
    <w:rsid w:val="00232E27"/>
    <w:rsid w:val="0029268D"/>
    <w:rsid w:val="00316CDC"/>
    <w:rsid w:val="003201A9"/>
    <w:rsid w:val="003330AE"/>
    <w:rsid w:val="00362E2D"/>
    <w:rsid w:val="003A0223"/>
    <w:rsid w:val="003C024A"/>
    <w:rsid w:val="003E2F85"/>
    <w:rsid w:val="004627C3"/>
    <w:rsid w:val="004B3227"/>
    <w:rsid w:val="00537AEC"/>
    <w:rsid w:val="00543563"/>
    <w:rsid w:val="005A255E"/>
    <w:rsid w:val="005B3444"/>
    <w:rsid w:val="005B630B"/>
    <w:rsid w:val="00654542"/>
    <w:rsid w:val="006723A7"/>
    <w:rsid w:val="006C1D06"/>
    <w:rsid w:val="006C7234"/>
    <w:rsid w:val="007B2FD2"/>
    <w:rsid w:val="007D0A06"/>
    <w:rsid w:val="007F6463"/>
    <w:rsid w:val="00837EA5"/>
    <w:rsid w:val="0085574A"/>
    <w:rsid w:val="008649E6"/>
    <w:rsid w:val="00884D73"/>
    <w:rsid w:val="009A2A37"/>
    <w:rsid w:val="009A66B5"/>
    <w:rsid w:val="009E117D"/>
    <w:rsid w:val="009E7E2A"/>
    <w:rsid w:val="00A17058"/>
    <w:rsid w:val="00A55B60"/>
    <w:rsid w:val="00AA0262"/>
    <w:rsid w:val="00AC2E22"/>
    <w:rsid w:val="00B01980"/>
    <w:rsid w:val="00B07847"/>
    <w:rsid w:val="00B50DA4"/>
    <w:rsid w:val="00C6691F"/>
    <w:rsid w:val="00CD6011"/>
    <w:rsid w:val="00CF3805"/>
    <w:rsid w:val="00D160D6"/>
    <w:rsid w:val="00E776BA"/>
    <w:rsid w:val="00EB3D68"/>
    <w:rsid w:val="00ED6F0A"/>
    <w:rsid w:val="00EF1C47"/>
    <w:rsid w:val="00F316EC"/>
    <w:rsid w:val="00FD6D53"/>
    <w:rsid w:val="00FE05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B32688"/>
  <w15:chartTrackingRefBased/>
  <w15:docId w15:val="{BACEBD4E-E8E0-4B13-87B7-06FE9C5D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EC"/>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F316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F316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316E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316E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316E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316E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316E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316E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316E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16E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F316E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316E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316E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316E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316E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16E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16E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16EC"/>
    <w:rPr>
      <w:rFonts w:eastAsiaTheme="majorEastAsia" w:cstheme="majorBidi"/>
      <w:color w:val="272727" w:themeColor="text1" w:themeTint="D8"/>
    </w:rPr>
  </w:style>
  <w:style w:type="paragraph" w:styleId="Puesto">
    <w:name w:val="Title"/>
    <w:basedOn w:val="Normal"/>
    <w:next w:val="Normal"/>
    <w:link w:val="PuestoCar"/>
    <w:uiPriority w:val="10"/>
    <w:qFormat/>
    <w:rsid w:val="00F316EC"/>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316E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16E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16E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16EC"/>
    <w:pPr>
      <w:spacing w:before="160"/>
      <w:jc w:val="center"/>
    </w:pPr>
    <w:rPr>
      <w:i/>
      <w:iCs/>
      <w:color w:val="404040" w:themeColor="text1" w:themeTint="BF"/>
    </w:rPr>
  </w:style>
  <w:style w:type="character" w:customStyle="1" w:styleId="CitaCar">
    <w:name w:val="Cita Car"/>
    <w:basedOn w:val="Fuentedeprrafopredeter"/>
    <w:link w:val="Cita"/>
    <w:uiPriority w:val="29"/>
    <w:rsid w:val="00F316EC"/>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316EC"/>
    <w:pPr>
      <w:ind w:left="720"/>
      <w:contextualSpacing/>
    </w:pPr>
  </w:style>
  <w:style w:type="character" w:styleId="nfasisintenso">
    <w:name w:val="Intense Emphasis"/>
    <w:basedOn w:val="Fuentedeprrafopredeter"/>
    <w:uiPriority w:val="21"/>
    <w:qFormat/>
    <w:rsid w:val="00F316EC"/>
    <w:rPr>
      <w:i/>
      <w:iCs/>
      <w:color w:val="2F5496" w:themeColor="accent1" w:themeShade="BF"/>
    </w:rPr>
  </w:style>
  <w:style w:type="paragraph" w:styleId="Citadestacada">
    <w:name w:val="Intense Quote"/>
    <w:basedOn w:val="Normal"/>
    <w:next w:val="Normal"/>
    <w:link w:val="CitadestacadaCar"/>
    <w:uiPriority w:val="30"/>
    <w:qFormat/>
    <w:rsid w:val="00F31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316EC"/>
    <w:rPr>
      <w:i/>
      <w:iCs/>
      <w:color w:val="2F5496" w:themeColor="accent1" w:themeShade="BF"/>
    </w:rPr>
  </w:style>
  <w:style w:type="character" w:styleId="Referenciaintensa">
    <w:name w:val="Intense Reference"/>
    <w:basedOn w:val="Fuentedeprrafopredeter"/>
    <w:uiPriority w:val="32"/>
    <w:qFormat/>
    <w:rsid w:val="00F316EC"/>
    <w:rPr>
      <w:b/>
      <w:bCs/>
      <w:smallCaps/>
      <w:color w:val="2F5496" w:themeColor="accent1" w:themeShade="BF"/>
      <w:spacing w:val="5"/>
    </w:rPr>
  </w:style>
  <w:style w:type="paragraph" w:styleId="Encabezado">
    <w:name w:val="header"/>
    <w:basedOn w:val="Normal"/>
    <w:link w:val="EncabezadoCar"/>
    <w:uiPriority w:val="99"/>
    <w:unhideWhenUsed/>
    <w:rsid w:val="00F316EC"/>
    <w:pPr>
      <w:tabs>
        <w:tab w:val="center" w:pos="4419"/>
        <w:tab w:val="right" w:pos="8838"/>
      </w:tabs>
    </w:pPr>
  </w:style>
  <w:style w:type="character" w:customStyle="1" w:styleId="EncabezadoCar">
    <w:name w:val="Encabezado Car"/>
    <w:basedOn w:val="Fuentedeprrafopredeter"/>
    <w:link w:val="Encabezado"/>
    <w:uiPriority w:val="99"/>
    <w:rsid w:val="00F316EC"/>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F316EC"/>
    <w:pPr>
      <w:tabs>
        <w:tab w:val="center" w:pos="4419"/>
        <w:tab w:val="right" w:pos="8838"/>
      </w:tabs>
    </w:pPr>
  </w:style>
  <w:style w:type="character" w:customStyle="1" w:styleId="PiedepginaCar">
    <w:name w:val="Pie de página Car"/>
    <w:basedOn w:val="Fuentedeprrafopredeter"/>
    <w:link w:val="Piedepgina"/>
    <w:uiPriority w:val="99"/>
    <w:rsid w:val="00F316EC"/>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316EC"/>
  </w:style>
  <w:style w:type="table" w:styleId="Tablaconcuadrcula">
    <w:name w:val="Table Grid"/>
    <w:basedOn w:val="Tablanormal"/>
    <w:uiPriority w:val="39"/>
    <w:rsid w:val="00F316E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316EC"/>
    <w:rPr>
      <w:color w:val="0563C1" w:themeColor="hyperlink"/>
      <w:u w:val="single"/>
    </w:rPr>
  </w:style>
  <w:style w:type="paragraph" w:styleId="TDC1">
    <w:name w:val="toc 1"/>
    <w:basedOn w:val="Normal"/>
    <w:next w:val="Normal"/>
    <w:autoRedefine/>
    <w:uiPriority w:val="39"/>
    <w:unhideWhenUsed/>
    <w:rsid w:val="00F316EC"/>
    <w:pPr>
      <w:spacing w:after="100"/>
    </w:pPr>
  </w:style>
  <w:style w:type="paragraph" w:styleId="TtulodeTDC">
    <w:name w:val="TOC Heading"/>
    <w:basedOn w:val="Ttulo1"/>
    <w:next w:val="Normal"/>
    <w:uiPriority w:val="39"/>
    <w:unhideWhenUsed/>
    <w:qFormat/>
    <w:rsid w:val="00F316EC"/>
    <w:pPr>
      <w:spacing w:before="240" w:after="0"/>
      <w:outlineLvl w:val="9"/>
    </w:pPr>
    <w:rPr>
      <w:sz w:val="32"/>
      <w:szCs w:val="32"/>
      <w:lang w:eastAsia="es-MX"/>
    </w:rPr>
  </w:style>
  <w:style w:type="paragraph" w:styleId="TDC2">
    <w:name w:val="toc 2"/>
    <w:basedOn w:val="Normal"/>
    <w:next w:val="Normal"/>
    <w:autoRedefine/>
    <w:uiPriority w:val="39"/>
    <w:unhideWhenUsed/>
    <w:rsid w:val="00F316EC"/>
    <w:pPr>
      <w:tabs>
        <w:tab w:val="right" w:leader="dot" w:pos="9034"/>
      </w:tabs>
      <w:spacing w:line="360" w:lineRule="auto"/>
      <w:ind w:left="200"/>
      <w:contextualSpacing/>
      <w:jc w:val="both"/>
    </w:pPr>
  </w:style>
  <w:style w:type="paragraph" w:styleId="Revisin">
    <w:name w:val="Revision"/>
    <w:hidden/>
    <w:uiPriority w:val="99"/>
    <w:semiHidden/>
    <w:rsid w:val="00B07847"/>
    <w:pPr>
      <w:spacing w:after="0" w:line="240" w:lineRule="auto"/>
    </w:pPr>
    <w:rPr>
      <w:rFonts w:ascii="Times New Roman" w:eastAsia="Times New Roman"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6242</Words>
  <Characters>34336</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2025-04-25T16:05:00Z</cp:lastPrinted>
  <dcterms:created xsi:type="dcterms:W3CDTF">2025-04-25T16:05:00Z</dcterms:created>
  <dcterms:modified xsi:type="dcterms:W3CDTF">2025-04-25T16:06:00Z</dcterms:modified>
</cp:coreProperties>
</file>