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842070B" w14:textId="77777777" w:rsidR="00342378" w:rsidRPr="00AB0C54" w:rsidRDefault="00342378" w:rsidP="000B54EE">
          <w:pPr>
            <w:pStyle w:val="TtulodeTDC"/>
            <w:spacing w:before="0" w:line="360" w:lineRule="auto"/>
            <w:rPr>
              <w:rFonts w:ascii="Palatino Linotype" w:hAnsi="Palatino Linotype"/>
              <w:bCs/>
              <w:color w:val="auto"/>
              <w:sz w:val="22"/>
              <w:szCs w:val="22"/>
            </w:rPr>
          </w:pPr>
          <w:r w:rsidRPr="00AB0C54">
            <w:rPr>
              <w:rFonts w:ascii="Palatino Linotype" w:hAnsi="Palatino Linotype"/>
              <w:bCs/>
              <w:color w:val="auto"/>
              <w:sz w:val="22"/>
              <w:szCs w:val="22"/>
              <w:lang w:val="es-ES"/>
            </w:rPr>
            <w:t>Contenido</w:t>
          </w:r>
        </w:p>
        <w:p w14:paraId="0814F2F0" w14:textId="77777777" w:rsidR="00A11C5C" w:rsidRPr="00AB0C54" w:rsidRDefault="00342378" w:rsidP="000B54EE">
          <w:pPr>
            <w:pStyle w:val="TDC1"/>
            <w:tabs>
              <w:tab w:val="right" w:leader="dot" w:pos="9034"/>
            </w:tabs>
            <w:spacing w:after="0" w:line="360" w:lineRule="auto"/>
            <w:rPr>
              <w:rFonts w:asciiTheme="minorHAnsi" w:eastAsiaTheme="minorEastAsia" w:hAnsiTheme="minorHAnsi" w:cstheme="minorBidi"/>
              <w:bCs/>
              <w:noProof/>
              <w:sz w:val="22"/>
              <w:szCs w:val="22"/>
              <w:lang w:eastAsia="es-MX"/>
            </w:rPr>
          </w:pPr>
          <w:r w:rsidRPr="00AB0C54">
            <w:rPr>
              <w:rFonts w:ascii="Palatino Linotype" w:hAnsi="Palatino Linotype"/>
              <w:bCs/>
              <w:sz w:val="22"/>
              <w:szCs w:val="22"/>
              <w:lang w:val="es-ES"/>
            </w:rPr>
            <w:fldChar w:fldCharType="begin"/>
          </w:r>
          <w:r w:rsidRPr="00AB0C54">
            <w:rPr>
              <w:rFonts w:ascii="Palatino Linotype" w:hAnsi="Palatino Linotype"/>
              <w:bCs/>
              <w:sz w:val="22"/>
              <w:szCs w:val="22"/>
              <w:lang w:val="es-ES"/>
            </w:rPr>
            <w:instrText xml:space="preserve"> TOC \o "1-3" \h \z \u </w:instrText>
          </w:r>
          <w:r w:rsidRPr="00AB0C54">
            <w:rPr>
              <w:rFonts w:ascii="Palatino Linotype" w:hAnsi="Palatino Linotype"/>
              <w:bCs/>
              <w:sz w:val="22"/>
              <w:szCs w:val="22"/>
              <w:lang w:val="es-ES"/>
            </w:rPr>
            <w:fldChar w:fldCharType="separate"/>
          </w:r>
          <w:hyperlink w:anchor="_Toc205306983" w:history="1">
            <w:r w:rsidR="00A11C5C" w:rsidRPr="00AB0C54">
              <w:rPr>
                <w:rStyle w:val="Hipervnculo"/>
                <w:rFonts w:ascii="Palatino Linotype" w:hAnsi="Palatino Linotype"/>
                <w:bCs/>
                <w:noProof/>
              </w:rPr>
              <w:t>A N T E C E D E N T E S</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_Toc205306983 \h </w:instrText>
            </w:r>
            <w:r w:rsidR="00A11C5C" w:rsidRPr="00AB0C54">
              <w:rPr>
                <w:bCs/>
                <w:noProof/>
                <w:webHidden/>
              </w:rPr>
            </w:r>
            <w:r w:rsidR="00A11C5C" w:rsidRPr="00AB0C54">
              <w:rPr>
                <w:bCs/>
                <w:noProof/>
                <w:webHidden/>
              </w:rPr>
              <w:fldChar w:fldCharType="separate"/>
            </w:r>
            <w:r w:rsidR="00D804A1">
              <w:rPr>
                <w:bCs/>
                <w:noProof/>
                <w:webHidden/>
              </w:rPr>
              <w:t>2</w:t>
            </w:r>
            <w:r w:rsidR="00A11C5C" w:rsidRPr="00AB0C54">
              <w:rPr>
                <w:bCs/>
                <w:noProof/>
                <w:webHidden/>
              </w:rPr>
              <w:fldChar w:fldCharType="end"/>
            </w:r>
          </w:hyperlink>
        </w:p>
        <w:p w14:paraId="26B88EAC"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84" w:history="1">
            <w:r w:rsidR="00A11C5C" w:rsidRPr="00AB0C54">
              <w:rPr>
                <w:rStyle w:val="Hipervnculo"/>
                <w:rFonts w:ascii="Palatino Linotype" w:hAnsi="Palatino Linotype"/>
                <w:bCs/>
                <w:noProof/>
              </w:rPr>
              <w:t>I. Presentación de la solicitud de información</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_Toc205306984 \h </w:instrText>
            </w:r>
            <w:r w:rsidR="00A11C5C" w:rsidRPr="00AB0C54">
              <w:rPr>
                <w:bCs/>
                <w:noProof/>
                <w:webHidden/>
              </w:rPr>
            </w:r>
            <w:r w:rsidR="00A11C5C" w:rsidRPr="00AB0C54">
              <w:rPr>
                <w:bCs/>
                <w:noProof/>
                <w:webHidden/>
              </w:rPr>
              <w:fldChar w:fldCharType="separate"/>
            </w:r>
            <w:r w:rsidR="00D804A1">
              <w:rPr>
                <w:bCs/>
                <w:noProof/>
                <w:webHidden/>
              </w:rPr>
              <w:t>2</w:t>
            </w:r>
            <w:r w:rsidR="00A11C5C" w:rsidRPr="00AB0C54">
              <w:rPr>
                <w:bCs/>
                <w:noProof/>
                <w:webHidden/>
              </w:rPr>
              <w:fldChar w:fldCharType="end"/>
            </w:r>
          </w:hyperlink>
        </w:p>
        <w:p w14:paraId="114619C7"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85" w:history="1">
            <w:r w:rsidR="00A11C5C" w:rsidRPr="00AB0C54">
              <w:rPr>
                <w:rStyle w:val="Hipervnculo"/>
                <w:rFonts w:ascii="Palatino Linotype" w:hAnsi="Palatino Linotype" w:cs="Tahoma"/>
                <w:bCs/>
                <w:noProof/>
              </w:rPr>
              <w:t>II. Respuesta del Sujeto Obligado</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_Toc205306985 \h </w:instrText>
            </w:r>
            <w:r w:rsidR="00A11C5C" w:rsidRPr="00AB0C54">
              <w:rPr>
                <w:bCs/>
                <w:noProof/>
                <w:webHidden/>
              </w:rPr>
            </w:r>
            <w:r w:rsidR="00A11C5C" w:rsidRPr="00AB0C54">
              <w:rPr>
                <w:bCs/>
                <w:noProof/>
                <w:webHidden/>
              </w:rPr>
              <w:fldChar w:fldCharType="separate"/>
            </w:r>
            <w:r w:rsidR="00D804A1">
              <w:rPr>
                <w:bCs/>
                <w:noProof/>
                <w:webHidden/>
              </w:rPr>
              <w:t>3</w:t>
            </w:r>
            <w:r w:rsidR="00A11C5C" w:rsidRPr="00AB0C54">
              <w:rPr>
                <w:bCs/>
                <w:noProof/>
                <w:webHidden/>
              </w:rPr>
              <w:fldChar w:fldCharType="end"/>
            </w:r>
          </w:hyperlink>
        </w:p>
        <w:p w14:paraId="4957B119"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86" w:history="1">
            <w:r w:rsidR="00A11C5C" w:rsidRPr="00AB0C54">
              <w:rPr>
                <w:rStyle w:val="Hipervnculo"/>
                <w:rFonts w:ascii="Palatino Linotype" w:hAnsi="Palatino Linotype" w:cs="Tahoma"/>
                <w:bCs/>
                <w:noProof/>
              </w:rPr>
              <w:t>III. Interposición del Recurso de Revisión</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_Toc205306986 \h </w:instrText>
            </w:r>
            <w:r w:rsidR="00A11C5C" w:rsidRPr="00AB0C54">
              <w:rPr>
                <w:bCs/>
                <w:noProof/>
                <w:webHidden/>
              </w:rPr>
            </w:r>
            <w:r w:rsidR="00A11C5C" w:rsidRPr="00AB0C54">
              <w:rPr>
                <w:bCs/>
                <w:noProof/>
                <w:webHidden/>
              </w:rPr>
              <w:fldChar w:fldCharType="separate"/>
            </w:r>
            <w:r w:rsidR="00D804A1">
              <w:rPr>
                <w:bCs/>
                <w:noProof/>
                <w:webHidden/>
              </w:rPr>
              <w:t>3</w:t>
            </w:r>
            <w:r w:rsidR="00A11C5C" w:rsidRPr="00AB0C54">
              <w:rPr>
                <w:bCs/>
                <w:noProof/>
                <w:webHidden/>
              </w:rPr>
              <w:fldChar w:fldCharType="end"/>
            </w:r>
          </w:hyperlink>
        </w:p>
        <w:p w14:paraId="4431E2B3"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87" w:history="1">
            <w:r w:rsidR="00A11C5C" w:rsidRPr="00AB0C54">
              <w:rPr>
                <w:rStyle w:val="Hipervnculo"/>
                <w:rFonts w:ascii="Palatino Linotype" w:hAnsi="Palatino Linotype"/>
                <w:bCs/>
                <w:noProof/>
              </w:rPr>
              <w:t>IV. Trámite del Recurso de Revisión ante el Instituto</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_Toc205306987 \h </w:instrText>
            </w:r>
            <w:r w:rsidR="00A11C5C" w:rsidRPr="00AB0C54">
              <w:rPr>
                <w:bCs/>
                <w:noProof/>
                <w:webHidden/>
              </w:rPr>
            </w:r>
            <w:r w:rsidR="00A11C5C" w:rsidRPr="00AB0C54">
              <w:rPr>
                <w:bCs/>
                <w:noProof/>
                <w:webHidden/>
              </w:rPr>
              <w:fldChar w:fldCharType="separate"/>
            </w:r>
            <w:r w:rsidR="00D804A1">
              <w:rPr>
                <w:bCs/>
                <w:noProof/>
                <w:webHidden/>
              </w:rPr>
              <w:t>5</w:t>
            </w:r>
            <w:r w:rsidR="00A11C5C" w:rsidRPr="00AB0C54">
              <w:rPr>
                <w:bCs/>
                <w:noProof/>
                <w:webHidden/>
              </w:rPr>
              <w:fldChar w:fldCharType="end"/>
            </w:r>
          </w:hyperlink>
        </w:p>
        <w:p w14:paraId="48D2C5F8" w14:textId="77777777" w:rsidR="00A11C5C" w:rsidRPr="00AB0C54" w:rsidRDefault="00FF4664" w:rsidP="000B54EE">
          <w:pPr>
            <w:pStyle w:val="TDC1"/>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3" w:history="1">
            <w:r w:rsidR="00A11C5C" w:rsidRPr="00AB0C54">
              <w:rPr>
                <w:rStyle w:val="Hipervnculo"/>
                <w:rFonts w:ascii="Palatino Linotype" w:hAnsi="Palatino Linotype"/>
                <w:bCs/>
                <w:noProof/>
              </w:rPr>
              <w:t>C O N S I D E R A N D O S</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_Toc205306993 \h </w:instrText>
            </w:r>
            <w:r w:rsidR="00A11C5C" w:rsidRPr="00AB0C54">
              <w:rPr>
                <w:bCs/>
                <w:noProof/>
                <w:webHidden/>
              </w:rPr>
            </w:r>
            <w:r w:rsidR="00A11C5C" w:rsidRPr="00AB0C54">
              <w:rPr>
                <w:bCs/>
                <w:noProof/>
                <w:webHidden/>
              </w:rPr>
              <w:fldChar w:fldCharType="separate"/>
            </w:r>
            <w:r w:rsidR="00D804A1">
              <w:rPr>
                <w:bCs/>
                <w:noProof/>
                <w:webHidden/>
              </w:rPr>
              <w:t>9</w:t>
            </w:r>
            <w:r w:rsidR="00A11C5C" w:rsidRPr="00AB0C54">
              <w:rPr>
                <w:bCs/>
                <w:noProof/>
                <w:webHidden/>
              </w:rPr>
              <w:fldChar w:fldCharType="end"/>
            </w:r>
          </w:hyperlink>
        </w:p>
        <w:p w14:paraId="590185DF"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4" w:history="1">
            <w:r w:rsidR="00A11C5C" w:rsidRPr="00AB0C54">
              <w:rPr>
                <w:rStyle w:val="Hipervnculo"/>
                <w:rFonts w:ascii="Palatino Linotype" w:eastAsia="Calibri" w:hAnsi="Palatino Linotype"/>
                <w:bCs/>
                <w:noProof/>
                <w:lang w:eastAsia="es-MX"/>
              </w:rPr>
              <w:t xml:space="preserve">PRIMERO. </w:t>
            </w:r>
            <w:r w:rsidR="00A11C5C" w:rsidRPr="00AB0C54">
              <w:rPr>
                <w:rStyle w:val="Hipervnculo"/>
                <w:rFonts w:ascii="Palatino Linotype" w:hAnsi="Palatino Linotype"/>
                <w:bCs/>
                <w:noProof/>
              </w:rPr>
              <w:t>Competencia</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_Toc205306994 \h </w:instrText>
            </w:r>
            <w:r w:rsidR="00A11C5C" w:rsidRPr="00AB0C54">
              <w:rPr>
                <w:bCs/>
                <w:noProof/>
                <w:webHidden/>
              </w:rPr>
            </w:r>
            <w:r w:rsidR="00A11C5C" w:rsidRPr="00AB0C54">
              <w:rPr>
                <w:bCs/>
                <w:noProof/>
                <w:webHidden/>
              </w:rPr>
              <w:fldChar w:fldCharType="separate"/>
            </w:r>
            <w:r w:rsidR="00D804A1">
              <w:rPr>
                <w:bCs/>
                <w:noProof/>
                <w:webHidden/>
              </w:rPr>
              <w:t>9</w:t>
            </w:r>
            <w:r w:rsidR="00A11C5C" w:rsidRPr="00AB0C54">
              <w:rPr>
                <w:bCs/>
                <w:noProof/>
                <w:webHidden/>
              </w:rPr>
              <w:fldChar w:fldCharType="end"/>
            </w:r>
          </w:hyperlink>
        </w:p>
        <w:p w14:paraId="2A79A07E"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5" w:history="1">
            <w:r w:rsidR="00A11C5C" w:rsidRPr="00AB0C54">
              <w:rPr>
                <w:rStyle w:val="Hipervnculo"/>
                <w:rFonts w:ascii="Palatino Linotype" w:eastAsia="Calibri" w:hAnsi="Palatino Linotype"/>
                <w:bCs/>
                <w:noProof/>
                <w:lang w:eastAsia="es-MX"/>
              </w:rPr>
              <w:t>SEGUNDO. Causales de improcedencia y sobreseimiento</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_Toc205306995 \h </w:instrText>
            </w:r>
            <w:r w:rsidR="00A11C5C" w:rsidRPr="00AB0C54">
              <w:rPr>
                <w:bCs/>
                <w:noProof/>
                <w:webHidden/>
              </w:rPr>
            </w:r>
            <w:r w:rsidR="00A11C5C" w:rsidRPr="00AB0C54">
              <w:rPr>
                <w:bCs/>
                <w:noProof/>
                <w:webHidden/>
              </w:rPr>
              <w:fldChar w:fldCharType="separate"/>
            </w:r>
            <w:r w:rsidR="00D804A1">
              <w:rPr>
                <w:bCs/>
                <w:noProof/>
                <w:webHidden/>
              </w:rPr>
              <w:t>10</w:t>
            </w:r>
            <w:r w:rsidR="00A11C5C" w:rsidRPr="00AB0C54">
              <w:rPr>
                <w:bCs/>
                <w:noProof/>
                <w:webHidden/>
              </w:rPr>
              <w:fldChar w:fldCharType="end"/>
            </w:r>
          </w:hyperlink>
        </w:p>
        <w:p w14:paraId="170ECB81" w14:textId="77777777" w:rsidR="00A11C5C" w:rsidRPr="00AB0C54" w:rsidRDefault="00FF4664" w:rsidP="000B54EE">
          <w:pPr>
            <w:pStyle w:val="TDC3"/>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6" w:history="1">
            <w:r w:rsidR="00A11C5C" w:rsidRPr="00AB0C54">
              <w:rPr>
                <w:rStyle w:val="Hipervnculo"/>
                <w:rFonts w:ascii="Palatino Linotype" w:eastAsia="Calibri" w:hAnsi="Palatino Linotype" w:cs="Arial"/>
                <w:bCs/>
                <w:noProof/>
                <w:lang w:eastAsia="es-ES_tradnl"/>
              </w:rPr>
              <w:t>Causales de sobreseimiento</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_Toc205306996 \h </w:instrText>
            </w:r>
            <w:r w:rsidR="00A11C5C" w:rsidRPr="00AB0C54">
              <w:rPr>
                <w:bCs/>
                <w:noProof/>
                <w:webHidden/>
              </w:rPr>
            </w:r>
            <w:r w:rsidR="00A11C5C" w:rsidRPr="00AB0C54">
              <w:rPr>
                <w:bCs/>
                <w:noProof/>
                <w:webHidden/>
              </w:rPr>
              <w:fldChar w:fldCharType="separate"/>
            </w:r>
            <w:r w:rsidR="00D804A1">
              <w:rPr>
                <w:bCs/>
                <w:noProof/>
                <w:webHidden/>
              </w:rPr>
              <w:t>11</w:t>
            </w:r>
            <w:r w:rsidR="00A11C5C" w:rsidRPr="00AB0C54">
              <w:rPr>
                <w:bCs/>
                <w:noProof/>
                <w:webHidden/>
              </w:rPr>
              <w:fldChar w:fldCharType="end"/>
            </w:r>
          </w:hyperlink>
        </w:p>
        <w:p w14:paraId="2DA1E383"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7" w:history="1">
            <w:r w:rsidR="00A11C5C" w:rsidRPr="00AB0C54">
              <w:rPr>
                <w:rStyle w:val="Hipervnculo"/>
                <w:rFonts w:ascii="Palatino Linotype" w:eastAsia="Calibri" w:hAnsi="Palatino Linotype"/>
                <w:bCs/>
                <w:noProof/>
                <w:lang w:eastAsia="es-ES_tradnl"/>
              </w:rPr>
              <w:t>TERCERO. Determinación de la Controversia</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_Toc205306997 \h </w:instrText>
            </w:r>
            <w:r w:rsidR="00A11C5C" w:rsidRPr="00AB0C54">
              <w:rPr>
                <w:bCs/>
                <w:noProof/>
                <w:webHidden/>
              </w:rPr>
            </w:r>
            <w:r w:rsidR="00A11C5C" w:rsidRPr="00AB0C54">
              <w:rPr>
                <w:bCs/>
                <w:noProof/>
                <w:webHidden/>
              </w:rPr>
              <w:fldChar w:fldCharType="separate"/>
            </w:r>
            <w:r w:rsidR="00D804A1">
              <w:rPr>
                <w:bCs/>
                <w:noProof/>
                <w:webHidden/>
              </w:rPr>
              <w:t>11</w:t>
            </w:r>
            <w:r w:rsidR="00A11C5C" w:rsidRPr="00AB0C54">
              <w:rPr>
                <w:bCs/>
                <w:noProof/>
                <w:webHidden/>
              </w:rPr>
              <w:fldChar w:fldCharType="end"/>
            </w:r>
          </w:hyperlink>
        </w:p>
        <w:p w14:paraId="36A1F5A7"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8" w:history="1">
            <w:r w:rsidR="00A11C5C" w:rsidRPr="00AB0C54">
              <w:rPr>
                <w:rStyle w:val="Hipervnculo"/>
                <w:rFonts w:ascii="Palatino Linotype" w:eastAsia="Calibri" w:hAnsi="Palatino Linotype" w:cs="Arial"/>
                <w:bCs/>
                <w:noProof/>
                <w:lang w:eastAsia="es-ES_tradnl"/>
              </w:rPr>
              <w:t>CUARTO. Marco normativo aplicable en materia de transparencia y acceso a la información pública</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_Toc205306998 \h </w:instrText>
            </w:r>
            <w:r w:rsidR="00A11C5C" w:rsidRPr="00AB0C54">
              <w:rPr>
                <w:bCs/>
                <w:noProof/>
                <w:webHidden/>
              </w:rPr>
            </w:r>
            <w:r w:rsidR="00A11C5C" w:rsidRPr="00AB0C54">
              <w:rPr>
                <w:bCs/>
                <w:noProof/>
                <w:webHidden/>
              </w:rPr>
              <w:fldChar w:fldCharType="separate"/>
            </w:r>
            <w:r w:rsidR="00D804A1">
              <w:rPr>
                <w:bCs/>
                <w:noProof/>
                <w:webHidden/>
              </w:rPr>
              <w:t>12</w:t>
            </w:r>
            <w:r w:rsidR="00A11C5C" w:rsidRPr="00AB0C54">
              <w:rPr>
                <w:bCs/>
                <w:noProof/>
                <w:webHidden/>
              </w:rPr>
              <w:fldChar w:fldCharType="end"/>
            </w:r>
          </w:hyperlink>
        </w:p>
        <w:p w14:paraId="7E59D211"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6999" w:history="1">
            <w:r w:rsidR="00A11C5C" w:rsidRPr="00AB0C54">
              <w:rPr>
                <w:rStyle w:val="Hipervnculo"/>
                <w:rFonts w:ascii="Palatino Linotype" w:eastAsia="Calibri" w:hAnsi="Palatino Linotype"/>
                <w:bCs/>
                <w:noProof/>
                <w:lang w:eastAsia="es-ES_tradnl"/>
              </w:rPr>
              <w:t>QUINTO. Estudio de Fondo</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_Toc205306999 \h </w:instrText>
            </w:r>
            <w:r w:rsidR="00A11C5C" w:rsidRPr="00AB0C54">
              <w:rPr>
                <w:bCs/>
                <w:noProof/>
                <w:webHidden/>
              </w:rPr>
            </w:r>
            <w:r w:rsidR="00A11C5C" w:rsidRPr="00AB0C54">
              <w:rPr>
                <w:bCs/>
                <w:noProof/>
                <w:webHidden/>
              </w:rPr>
              <w:fldChar w:fldCharType="separate"/>
            </w:r>
            <w:r w:rsidR="00D804A1">
              <w:rPr>
                <w:bCs/>
                <w:noProof/>
                <w:webHidden/>
              </w:rPr>
              <w:t>13</w:t>
            </w:r>
            <w:r w:rsidR="00A11C5C" w:rsidRPr="00AB0C54">
              <w:rPr>
                <w:bCs/>
                <w:noProof/>
                <w:webHidden/>
              </w:rPr>
              <w:fldChar w:fldCharType="end"/>
            </w:r>
          </w:hyperlink>
        </w:p>
        <w:p w14:paraId="56DCE48A" w14:textId="77777777" w:rsidR="00A11C5C" w:rsidRPr="00AB0C54" w:rsidRDefault="00FF4664" w:rsidP="000B54EE">
          <w:pPr>
            <w:pStyle w:val="TDC2"/>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7000" w:history="1">
            <w:r w:rsidR="00A11C5C" w:rsidRPr="00AB0C54">
              <w:rPr>
                <w:rStyle w:val="Hipervnculo"/>
                <w:rFonts w:ascii="Palatino Linotype" w:hAnsi="Palatino Linotype"/>
                <w:bCs/>
                <w:noProof/>
              </w:rPr>
              <w:t>SEXTO. Decisión</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_Toc205307000 \h </w:instrText>
            </w:r>
            <w:r w:rsidR="00A11C5C" w:rsidRPr="00AB0C54">
              <w:rPr>
                <w:bCs/>
                <w:noProof/>
                <w:webHidden/>
              </w:rPr>
            </w:r>
            <w:r w:rsidR="00A11C5C" w:rsidRPr="00AB0C54">
              <w:rPr>
                <w:bCs/>
                <w:noProof/>
                <w:webHidden/>
              </w:rPr>
              <w:fldChar w:fldCharType="separate"/>
            </w:r>
            <w:r w:rsidR="00D804A1">
              <w:rPr>
                <w:bCs/>
                <w:noProof/>
                <w:webHidden/>
              </w:rPr>
              <w:t>22</w:t>
            </w:r>
            <w:r w:rsidR="00A11C5C" w:rsidRPr="00AB0C54">
              <w:rPr>
                <w:bCs/>
                <w:noProof/>
                <w:webHidden/>
              </w:rPr>
              <w:fldChar w:fldCharType="end"/>
            </w:r>
          </w:hyperlink>
        </w:p>
        <w:p w14:paraId="73386077" w14:textId="77777777" w:rsidR="00A11C5C" w:rsidRPr="00AB0C54" w:rsidRDefault="00FF4664" w:rsidP="000B54EE">
          <w:pPr>
            <w:pStyle w:val="TDC1"/>
            <w:tabs>
              <w:tab w:val="right" w:leader="dot" w:pos="9034"/>
            </w:tabs>
            <w:spacing w:after="0" w:line="360" w:lineRule="auto"/>
            <w:rPr>
              <w:rFonts w:asciiTheme="minorHAnsi" w:eastAsiaTheme="minorEastAsia" w:hAnsiTheme="minorHAnsi" w:cstheme="minorBidi"/>
              <w:bCs/>
              <w:noProof/>
              <w:sz w:val="22"/>
              <w:szCs w:val="22"/>
              <w:lang w:eastAsia="es-MX"/>
            </w:rPr>
          </w:pPr>
          <w:hyperlink w:anchor="_Toc205307001" w:history="1">
            <w:r w:rsidR="00A11C5C" w:rsidRPr="00AB0C54">
              <w:rPr>
                <w:rStyle w:val="Hipervnculo"/>
                <w:rFonts w:ascii="Palatino Linotype" w:eastAsia="Calibri" w:hAnsi="Palatino Linotype"/>
                <w:bCs/>
                <w:noProof/>
                <w:lang w:eastAsia="en-US"/>
              </w:rPr>
              <w:t>R E S U E L V E</w:t>
            </w:r>
            <w:r w:rsidR="00A11C5C" w:rsidRPr="00AB0C54">
              <w:rPr>
                <w:bCs/>
                <w:noProof/>
                <w:webHidden/>
              </w:rPr>
              <w:tab/>
            </w:r>
            <w:r w:rsidR="00A11C5C" w:rsidRPr="00AB0C54">
              <w:rPr>
                <w:bCs/>
                <w:noProof/>
                <w:webHidden/>
              </w:rPr>
              <w:fldChar w:fldCharType="begin"/>
            </w:r>
            <w:r w:rsidR="00A11C5C" w:rsidRPr="00AB0C54">
              <w:rPr>
                <w:bCs/>
                <w:noProof/>
                <w:webHidden/>
              </w:rPr>
              <w:instrText xml:space="preserve"> PAGEREF _Toc205307001 \h </w:instrText>
            </w:r>
            <w:r w:rsidR="00A11C5C" w:rsidRPr="00AB0C54">
              <w:rPr>
                <w:bCs/>
                <w:noProof/>
                <w:webHidden/>
              </w:rPr>
            </w:r>
            <w:r w:rsidR="00A11C5C" w:rsidRPr="00AB0C54">
              <w:rPr>
                <w:bCs/>
                <w:noProof/>
                <w:webHidden/>
              </w:rPr>
              <w:fldChar w:fldCharType="separate"/>
            </w:r>
            <w:r w:rsidR="00D804A1">
              <w:rPr>
                <w:bCs/>
                <w:noProof/>
                <w:webHidden/>
              </w:rPr>
              <w:t>23</w:t>
            </w:r>
            <w:r w:rsidR="00A11C5C" w:rsidRPr="00AB0C54">
              <w:rPr>
                <w:bCs/>
                <w:noProof/>
                <w:webHidden/>
              </w:rPr>
              <w:fldChar w:fldCharType="end"/>
            </w:r>
          </w:hyperlink>
        </w:p>
        <w:p w14:paraId="54D9A95E" w14:textId="77777777" w:rsidR="00342378" w:rsidRPr="00FB571A" w:rsidRDefault="00342378" w:rsidP="000B54EE">
          <w:pPr>
            <w:spacing w:line="360" w:lineRule="auto"/>
          </w:pPr>
          <w:r w:rsidRPr="00AB0C54">
            <w:rPr>
              <w:rFonts w:ascii="Palatino Linotype" w:hAnsi="Palatino Linotype"/>
              <w:bCs/>
              <w:sz w:val="22"/>
              <w:szCs w:val="22"/>
              <w:lang w:val="es-ES"/>
            </w:rPr>
            <w:fldChar w:fldCharType="end"/>
          </w:r>
        </w:p>
      </w:sdtContent>
    </w:sdt>
    <w:p w14:paraId="3D4369F8" w14:textId="77777777" w:rsidR="00ED76AF" w:rsidRPr="00FB571A" w:rsidRDefault="00ED76AF" w:rsidP="000B54EE">
      <w:pPr>
        <w:tabs>
          <w:tab w:val="left" w:pos="3969"/>
        </w:tabs>
        <w:spacing w:line="360" w:lineRule="auto"/>
        <w:contextualSpacing/>
        <w:jc w:val="both"/>
        <w:rPr>
          <w:rFonts w:ascii="Palatino Linotype" w:hAnsi="Palatino Linotype" w:cs="Tahoma"/>
          <w:bCs/>
          <w:sz w:val="22"/>
          <w:szCs w:val="22"/>
        </w:rPr>
      </w:pPr>
    </w:p>
    <w:p w14:paraId="5E451B5F" w14:textId="77777777" w:rsidR="00501E1B" w:rsidRPr="00FB571A" w:rsidRDefault="00501E1B" w:rsidP="000B54EE">
      <w:pPr>
        <w:tabs>
          <w:tab w:val="left" w:pos="3969"/>
        </w:tabs>
        <w:spacing w:line="360" w:lineRule="auto"/>
        <w:contextualSpacing/>
        <w:jc w:val="both"/>
        <w:rPr>
          <w:rFonts w:ascii="Palatino Linotype" w:hAnsi="Palatino Linotype" w:cs="Tahoma"/>
          <w:bCs/>
          <w:sz w:val="22"/>
          <w:szCs w:val="22"/>
        </w:rPr>
      </w:pPr>
    </w:p>
    <w:p w14:paraId="1C37E1E8" w14:textId="77777777" w:rsidR="008E3045" w:rsidRDefault="008E3045">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26E24551" w14:textId="77777777"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8266D8">
        <w:rPr>
          <w:rFonts w:ascii="Palatino Linotype" w:hAnsi="Palatino Linotype" w:cs="Tahoma"/>
          <w:bCs/>
          <w:sz w:val="22"/>
          <w:szCs w:val="22"/>
        </w:rPr>
        <w:t>veinte</w:t>
      </w:r>
      <w:r w:rsidR="008E3045">
        <w:rPr>
          <w:rFonts w:ascii="Palatino Linotype" w:hAnsi="Palatino Linotype" w:cs="Tahoma"/>
          <w:bCs/>
          <w:sz w:val="22"/>
          <w:szCs w:val="22"/>
        </w:rPr>
        <w:t xml:space="preserve"> de noviembre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518A0B91" w14:textId="77777777" w:rsidR="00E35DF9" w:rsidRPr="00FB571A" w:rsidRDefault="00E35DF9" w:rsidP="000B54EE">
      <w:pPr>
        <w:spacing w:line="360" w:lineRule="auto"/>
        <w:contextualSpacing/>
        <w:jc w:val="both"/>
        <w:rPr>
          <w:rFonts w:ascii="Palatino Linotype" w:hAnsi="Palatino Linotype" w:cs="Tahoma"/>
          <w:bCs/>
          <w:sz w:val="22"/>
          <w:szCs w:val="22"/>
        </w:rPr>
      </w:pPr>
    </w:p>
    <w:p w14:paraId="37EA9D08" w14:textId="37189800" w:rsidR="00E35DF9" w:rsidRPr="00FB571A" w:rsidRDefault="00E35DF9" w:rsidP="000B54EE">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A917F5" w:rsidRPr="00110421">
        <w:rPr>
          <w:rFonts w:ascii="Palatino Linotype" w:hAnsi="Palatino Linotype" w:cs="Tahoma"/>
          <w:b/>
          <w:color w:val="0D0D0D" w:themeColor="text1" w:themeTint="F2"/>
          <w:sz w:val="22"/>
          <w:szCs w:val="22"/>
        </w:rPr>
        <w:t>10956</w:t>
      </w:r>
      <w:r w:rsidR="0089175F" w:rsidRPr="00110421">
        <w:rPr>
          <w:rFonts w:ascii="Palatino Linotype" w:hAnsi="Palatino Linotype" w:cs="Tahoma"/>
          <w:b/>
          <w:color w:val="0D0D0D" w:themeColor="text1" w:themeTint="F2"/>
          <w:sz w:val="22"/>
          <w:szCs w:val="22"/>
        </w:rPr>
        <w:t>/INFOEM/IP/RR/202</w:t>
      </w:r>
      <w:r w:rsidR="00CD10BF" w:rsidRPr="00110421">
        <w:rPr>
          <w:rFonts w:ascii="Palatino Linotype" w:hAnsi="Palatino Linotype" w:cs="Tahoma"/>
          <w:b/>
          <w:color w:val="0D0D0D" w:themeColor="text1" w:themeTint="F2"/>
          <w:sz w:val="22"/>
          <w:szCs w:val="22"/>
        </w:rPr>
        <w:t>5</w:t>
      </w:r>
      <w:r w:rsidR="0089175F" w:rsidRPr="000B54EE">
        <w:rPr>
          <w:rFonts w:ascii="Palatino Linotype" w:hAnsi="Palatino Linotype" w:cs="Tahoma"/>
          <w:color w:val="0D0D0D" w:themeColor="text1" w:themeTint="F2"/>
          <w:sz w:val="22"/>
          <w:szCs w:val="22"/>
        </w:rPr>
        <w:t>,</w:t>
      </w:r>
      <w:r w:rsidRPr="000B54EE">
        <w:rPr>
          <w:rFonts w:ascii="Palatino Linotype" w:hAnsi="Palatino Linotype" w:cs="Tahoma"/>
          <w:color w:val="0D0D0D" w:themeColor="text1" w:themeTint="F2"/>
          <w:sz w:val="22"/>
          <w:szCs w:val="22"/>
        </w:rPr>
        <w:t xml:space="preserve"> interpuesto</w:t>
      </w:r>
      <w:r w:rsidR="00C74F5F" w:rsidRPr="000B54EE">
        <w:rPr>
          <w:rFonts w:ascii="Palatino Linotype" w:hAnsi="Palatino Linotype" w:cs="Tahoma"/>
          <w:color w:val="0D0D0D" w:themeColor="text1" w:themeTint="F2"/>
          <w:sz w:val="22"/>
          <w:szCs w:val="22"/>
        </w:rPr>
        <w:t xml:space="preserve"> </w:t>
      </w:r>
      <w:r w:rsidR="007E4927" w:rsidRPr="000B54EE">
        <w:rPr>
          <w:rFonts w:ascii="Palatino Linotype" w:hAnsi="Palatino Linotype" w:cs="Tahoma"/>
          <w:color w:val="0D0D0D" w:themeColor="text1" w:themeTint="F2"/>
          <w:sz w:val="22"/>
          <w:szCs w:val="22"/>
        </w:rPr>
        <w:t>por</w:t>
      </w:r>
      <w:r w:rsidR="00383BDB" w:rsidRPr="000B54EE">
        <w:rPr>
          <w:rFonts w:ascii="Palatino Linotype" w:hAnsi="Palatino Linotype" w:cs="Tahoma"/>
          <w:color w:val="0D0D0D" w:themeColor="text1" w:themeTint="F2"/>
          <w:sz w:val="22"/>
          <w:szCs w:val="22"/>
        </w:rPr>
        <w:t xml:space="preserve"> </w:t>
      </w:r>
      <w:r w:rsidR="000B54EE">
        <w:rPr>
          <w:rFonts w:ascii="Palatino Linotype" w:hAnsi="Palatino Linotype" w:cs="Tahoma"/>
          <w:color w:val="0D0D0D" w:themeColor="text1" w:themeTint="F2"/>
          <w:sz w:val="22"/>
          <w:szCs w:val="22"/>
        </w:rPr>
        <w:t>la persona</w:t>
      </w:r>
      <w:r w:rsidR="00F770EE" w:rsidRPr="000B54EE">
        <w:rPr>
          <w:rFonts w:ascii="Palatino Linotype" w:hAnsi="Palatino Linotype" w:cs="Tahoma"/>
          <w:color w:val="0D0D0D" w:themeColor="text1" w:themeTint="F2"/>
          <w:sz w:val="22"/>
          <w:szCs w:val="22"/>
        </w:rPr>
        <w:t xml:space="preserve"> </w:t>
      </w:r>
      <w:r w:rsidRPr="000B54EE">
        <w:rPr>
          <w:rFonts w:ascii="Palatino Linotype" w:hAnsi="Palatino Linotype" w:cs="Tahoma"/>
          <w:color w:val="0D0D0D" w:themeColor="text1" w:themeTint="F2"/>
          <w:sz w:val="22"/>
          <w:szCs w:val="22"/>
        </w:rPr>
        <w:t>Recurrente o Particular, en contra de la respuesta del Sujeto Obligado</w:t>
      </w:r>
      <w:r w:rsidRPr="000B54EE">
        <w:rPr>
          <w:rFonts w:ascii="Palatino Linotype" w:hAnsi="Palatino Linotype"/>
          <w:sz w:val="22"/>
          <w:szCs w:val="22"/>
        </w:rPr>
        <w:t xml:space="preserve"> </w:t>
      </w:r>
      <w:bookmarkStart w:id="1" w:name="_GoBack"/>
      <w:r w:rsidR="00DE06C2" w:rsidRPr="00110421">
        <w:rPr>
          <w:rFonts w:ascii="Palatino Linotype" w:eastAsia="Calibri" w:hAnsi="Palatino Linotype" w:cs="Tahoma"/>
          <w:b/>
          <w:sz w:val="22"/>
          <w:szCs w:val="22"/>
          <w:lang w:eastAsia="en-US"/>
        </w:rPr>
        <w:t>Organismo Público Descentralizado para la Prestación de los Servicios de Agua Potable Alcantarillado y Saneamiento de Atizapán de Zaragoza</w:t>
      </w:r>
      <w:bookmarkEnd w:id="1"/>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3E971033" w14:textId="77777777" w:rsidR="00BB1F81" w:rsidRPr="00FB571A" w:rsidRDefault="00BB1F81" w:rsidP="000B54EE">
      <w:pPr>
        <w:spacing w:line="360" w:lineRule="auto"/>
        <w:contextualSpacing/>
        <w:jc w:val="both"/>
        <w:rPr>
          <w:rFonts w:ascii="Palatino Linotype" w:hAnsi="Palatino Linotype" w:cs="Tahoma"/>
          <w:b/>
          <w:color w:val="0D0D0D" w:themeColor="text1" w:themeTint="F2"/>
          <w:sz w:val="18"/>
          <w:szCs w:val="22"/>
        </w:rPr>
      </w:pPr>
    </w:p>
    <w:p w14:paraId="44555BA1" w14:textId="77777777" w:rsidR="00E35DF9" w:rsidRPr="00FB571A" w:rsidRDefault="00E35DF9" w:rsidP="000B54EE">
      <w:pPr>
        <w:pStyle w:val="Ttulo1"/>
        <w:spacing w:before="0" w:line="360" w:lineRule="auto"/>
        <w:jc w:val="center"/>
        <w:rPr>
          <w:rFonts w:ascii="Palatino Linotype" w:hAnsi="Palatino Linotype"/>
          <w:b/>
          <w:sz w:val="22"/>
          <w:szCs w:val="22"/>
        </w:rPr>
      </w:pPr>
      <w:bookmarkStart w:id="2" w:name="_Toc205306983"/>
      <w:r w:rsidRPr="00FB571A">
        <w:rPr>
          <w:rFonts w:ascii="Palatino Linotype" w:hAnsi="Palatino Linotype"/>
          <w:b/>
          <w:color w:val="auto"/>
          <w:sz w:val="22"/>
          <w:szCs w:val="22"/>
        </w:rPr>
        <w:t>A N T E C E D E N T E S</w:t>
      </w:r>
      <w:bookmarkEnd w:id="2"/>
    </w:p>
    <w:p w14:paraId="19A906EF" w14:textId="77777777" w:rsidR="001E7B8B" w:rsidRPr="00FB571A" w:rsidRDefault="001E7B8B" w:rsidP="000B54EE">
      <w:pPr>
        <w:pStyle w:val="Prrafodelista"/>
        <w:tabs>
          <w:tab w:val="left" w:pos="567"/>
        </w:tabs>
        <w:spacing w:line="360" w:lineRule="auto"/>
        <w:ind w:left="0"/>
        <w:jc w:val="both"/>
        <w:rPr>
          <w:rFonts w:ascii="Palatino Linotype" w:hAnsi="Palatino Linotype" w:cs="Tahoma"/>
          <w:b/>
          <w:szCs w:val="22"/>
        </w:rPr>
      </w:pPr>
    </w:p>
    <w:p w14:paraId="047BB154" w14:textId="77777777" w:rsidR="00E35DF9" w:rsidRPr="00DB28B1" w:rsidRDefault="00E35DF9" w:rsidP="000B54EE">
      <w:pPr>
        <w:pStyle w:val="Ttulo2"/>
        <w:spacing w:before="0" w:line="360" w:lineRule="auto"/>
        <w:rPr>
          <w:rFonts w:ascii="Palatino Linotype" w:hAnsi="Palatino Linotype"/>
          <w:b/>
          <w:color w:val="auto"/>
          <w:sz w:val="22"/>
          <w:szCs w:val="22"/>
        </w:rPr>
      </w:pPr>
      <w:bookmarkStart w:id="3" w:name="_Toc205306984"/>
      <w:r w:rsidRPr="00DB28B1">
        <w:rPr>
          <w:rFonts w:ascii="Palatino Linotype" w:hAnsi="Palatino Linotype"/>
          <w:b/>
          <w:color w:val="auto"/>
          <w:sz w:val="22"/>
          <w:szCs w:val="22"/>
        </w:rPr>
        <w:t>I. Presentación de la solicitud de información</w:t>
      </w:r>
      <w:bookmarkEnd w:id="3"/>
    </w:p>
    <w:p w14:paraId="184EA754" w14:textId="77777777" w:rsidR="00E35DF9" w:rsidRPr="00FB571A"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1C7603C1" w14:textId="02E34B05" w:rsidR="00E35DF9" w:rsidRPr="00FB571A" w:rsidRDefault="00BB1F81" w:rsidP="000B54EE">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A917F5">
        <w:rPr>
          <w:rFonts w:ascii="Palatino Linotype" w:hAnsi="Palatino Linotype" w:cs="Tahoma"/>
          <w:sz w:val="22"/>
          <w:szCs w:val="22"/>
        </w:rPr>
        <w:t>nueve de septiembre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DE06C2">
        <w:rPr>
          <w:rFonts w:ascii="Palatino Linotype" w:hAnsi="Palatino Linotype" w:cs="Tahoma"/>
          <w:sz w:val="22"/>
          <w:szCs w:val="22"/>
        </w:rPr>
        <w:t>Organismo Público Descentralizado para la Prestación de los Servicios de Agua Potable Alcantarillado y Saneamiento de Atizapán de Zaragoza</w:t>
      </w:r>
      <w:r w:rsidR="00E35DF9" w:rsidRPr="000B54EE">
        <w:rPr>
          <w:rFonts w:ascii="Palatino Linotype" w:hAnsi="Palatino Linotype" w:cs="Tahoma"/>
          <w:sz w:val="22"/>
          <w:szCs w:val="22"/>
        </w:rPr>
        <w:t xml:space="preserve">, </w:t>
      </w:r>
      <w:r w:rsidR="003A12F1" w:rsidRPr="000B54EE">
        <w:rPr>
          <w:rFonts w:ascii="Palatino Linotype" w:hAnsi="Palatino Linotype" w:cs="Tahoma"/>
          <w:sz w:val="22"/>
          <w:szCs w:val="22"/>
        </w:rPr>
        <w:t xml:space="preserve">misma que fue registrada con el número de folio </w:t>
      </w:r>
      <w:r w:rsidR="00A917F5" w:rsidRPr="00A917F5">
        <w:rPr>
          <w:rFonts w:ascii="Palatino Linotype" w:hAnsi="Palatino Linotype" w:cs="Tahoma"/>
          <w:sz w:val="22"/>
          <w:szCs w:val="22"/>
        </w:rPr>
        <w:t>00097/OASATIZARA/IP/2025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767ACC77" w14:textId="77777777" w:rsidR="00D807FB" w:rsidRPr="00FB571A" w:rsidRDefault="00D807FB" w:rsidP="000B54EE">
      <w:pPr>
        <w:tabs>
          <w:tab w:val="left" w:pos="567"/>
        </w:tabs>
        <w:spacing w:line="360" w:lineRule="auto"/>
        <w:contextualSpacing/>
        <w:jc w:val="both"/>
        <w:rPr>
          <w:rFonts w:ascii="Palatino Linotype" w:hAnsi="Palatino Linotype" w:cs="Tahoma"/>
          <w:sz w:val="22"/>
        </w:rPr>
      </w:pPr>
    </w:p>
    <w:p w14:paraId="6002EAC3" w14:textId="77777777" w:rsidR="00D807FB" w:rsidRPr="00FB571A"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6AF52CA7" w14:textId="58569B1B" w:rsidR="000F2B83" w:rsidRPr="00FB571A" w:rsidRDefault="004B553D" w:rsidP="000B54EE">
      <w:pPr>
        <w:pStyle w:val="Prrafodelista"/>
        <w:tabs>
          <w:tab w:val="left" w:pos="567"/>
        </w:tabs>
        <w:spacing w:line="360" w:lineRule="auto"/>
        <w:ind w:left="567" w:right="539"/>
        <w:jc w:val="both"/>
        <w:rPr>
          <w:rFonts w:ascii="Palatino Linotype" w:hAnsi="Palatino Linotype"/>
          <w:i/>
          <w:iCs/>
          <w:color w:val="000000"/>
          <w:sz w:val="20"/>
          <w:szCs w:val="20"/>
        </w:rPr>
      </w:pPr>
      <w:proofErr w:type="gramStart"/>
      <w:r w:rsidRPr="004B553D">
        <w:rPr>
          <w:rFonts w:ascii="Palatino Linotype" w:hAnsi="Palatino Linotype"/>
          <w:i/>
          <w:iCs/>
          <w:color w:val="000000"/>
          <w:sz w:val="20"/>
          <w:szCs w:val="20"/>
        </w:rPr>
        <w:t>"</w:t>
      </w:r>
      <w:r w:rsidR="008266D8" w:rsidRPr="008266D8">
        <w:t xml:space="preserve"> </w:t>
      </w:r>
      <w:r w:rsidR="00A917F5" w:rsidRPr="00A917F5">
        <w:rPr>
          <w:rFonts w:ascii="Palatino Linotype" w:hAnsi="Palatino Linotype"/>
          <w:i/>
          <w:iCs/>
          <w:color w:val="000000"/>
          <w:sz w:val="20"/>
          <w:szCs w:val="20"/>
        </w:rPr>
        <w:t>se</w:t>
      </w:r>
      <w:proofErr w:type="gramEnd"/>
      <w:r w:rsidR="00A917F5" w:rsidRPr="00A917F5">
        <w:rPr>
          <w:rFonts w:ascii="Palatino Linotype" w:hAnsi="Palatino Linotype"/>
          <w:i/>
          <w:iCs/>
          <w:color w:val="000000"/>
          <w:sz w:val="20"/>
          <w:szCs w:val="20"/>
        </w:rPr>
        <w:t xml:space="preserve"> proporcione </w:t>
      </w:r>
      <w:proofErr w:type="spellStart"/>
      <w:r w:rsidR="00A917F5" w:rsidRPr="00A917F5">
        <w:rPr>
          <w:rFonts w:ascii="Palatino Linotype" w:hAnsi="Palatino Linotype"/>
          <w:i/>
          <w:iCs/>
          <w:color w:val="000000"/>
          <w:sz w:val="20"/>
          <w:szCs w:val="20"/>
        </w:rPr>
        <w:t>via</w:t>
      </w:r>
      <w:proofErr w:type="spellEnd"/>
      <w:r w:rsidR="00A917F5" w:rsidRPr="00A917F5">
        <w:rPr>
          <w:rFonts w:ascii="Palatino Linotype" w:hAnsi="Palatino Linotype"/>
          <w:i/>
          <w:iCs/>
          <w:color w:val="000000"/>
          <w:sz w:val="20"/>
          <w:szCs w:val="20"/>
        </w:rPr>
        <w:t xml:space="preserve"> SAIMEX la relación detallada de todos los contratos, adquisiciones, licitaciones o convenios celebrados por la Subdirección de Administración y Finanzas durante la </w:t>
      </w:r>
      <w:proofErr w:type="spellStart"/>
      <w:r w:rsidR="00A917F5" w:rsidRPr="00A917F5">
        <w:rPr>
          <w:rFonts w:ascii="Palatino Linotype" w:hAnsi="Palatino Linotype"/>
          <w:i/>
          <w:iCs/>
          <w:color w:val="000000"/>
          <w:sz w:val="20"/>
          <w:szCs w:val="20"/>
        </w:rPr>
        <w:t>gestion</w:t>
      </w:r>
      <w:proofErr w:type="spellEnd"/>
      <w:r w:rsidR="00A917F5" w:rsidRPr="00A917F5">
        <w:rPr>
          <w:rFonts w:ascii="Palatino Linotype" w:hAnsi="Palatino Linotype"/>
          <w:i/>
          <w:iCs/>
          <w:color w:val="000000"/>
          <w:sz w:val="20"/>
          <w:szCs w:val="20"/>
        </w:rPr>
        <w:t xml:space="preserve"> de la servidora </w:t>
      </w:r>
      <w:proofErr w:type="spellStart"/>
      <w:r w:rsidR="00A917F5" w:rsidRPr="00A917F5">
        <w:rPr>
          <w:rFonts w:ascii="Palatino Linotype" w:hAnsi="Palatino Linotype"/>
          <w:i/>
          <w:iCs/>
          <w:color w:val="000000"/>
          <w:sz w:val="20"/>
          <w:szCs w:val="20"/>
        </w:rPr>
        <w:t>publica</w:t>
      </w:r>
      <w:proofErr w:type="spellEnd"/>
      <w:r w:rsidR="00A917F5" w:rsidRPr="00A917F5">
        <w:rPr>
          <w:rFonts w:ascii="Palatino Linotype" w:hAnsi="Palatino Linotype"/>
          <w:i/>
          <w:iCs/>
          <w:color w:val="000000"/>
          <w:sz w:val="20"/>
          <w:szCs w:val="20"/>
        </w:rPr>
        <w:t xml:space="preserve"> de nombre Claudia Karina Janet de la Fuente Martínez .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5ABEFF7F" w14:textId="77777777" w:rsidR="007E4927" w:rsidRPr="00FB571A"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6C5C9CA7" w14:textId="77777777" w:rsidR="00E35DF9"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37F293A0" w14:textId="77777777" w:rsidR="008E3045" w:rsidRDefault="008E3045" w:rsidP="000B54EE">
      <w:pPr>
        <w:pStyle w:val="Prrafodelista"/>
        <w:tabs>
          <w:tab w:val="left" w:pos="567"/>
        </w:tabs>
        <w:spacing w:line="360" w:lineRule="auto"/>
        <w:ind w:left="567" w:right="539"/>
        <w:jc w:val="both"/>
        <w:rPr>
          <w:rFonts w:ascii="Palatino Linotype" w:hAnsi="Palatino Linotype" w:cs="Tahoma"/>
          <w:i/>
          <w:sz w:val="20"/>
          <w:szCs w:val="22"/>
        </w:rPr>
      </w:pPr>
    </w:p>
    <w:p w14:paraId="70163CC2" w14:textId="77777777" w:rsidR="00681D84" w:rsidRPr="00FB571A" w:rsidRDefault="00954EDD" w:rsidP="000B54EE">
      <w:pPr>
        <w:pStyle w:val="Ttulo2"/>
        <w:spacing w:before="0" w:line="360" w:lineRule="auto"/>
      </w:pPr>
      <w:bookmarkStart w:id="4" w:name="_Toc205306985"/>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2025E44D" w14:textId="77777777" w:rsidR="00E0128F" w:rsidRPr="00FB571A"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6459F51F" w14:textId="0CA162A6" w:rsidR="00A917F5"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8266D8">
        <w:rPr>
          <w:rFonts w:ascii="Palatino Linotype" w:hAnsi="Palatino Linotype" w:cs="Tahoma"/>
          <w:sz w:val="22"/>
          <w:szCs w:val="22"/>
        </w:rPr>
        <w:t>dieciocho</w:t>
      </w:r>
      <w:r w:rsidR="008E3045">
        <w:rPr>
          <w:rFonts w:ascii="Palatino Linotype" w:hAnsi="Palatino Linotype" w:cs="Tahoma"/>
          <w:sz w:val="22"/>
          <w:szCs w:val="22"/>
        </w:rPr>
        <w:t xml:space="preserve"> de </w:t>
      </w:r>
      <w:r w:rsidR="00A917F5">
        <w:rPr>
          <w:rFonts w:ascii="Palatino Linotype" w:hAnsi="Palatino Linotype" w:cs="Tahoma"/>
          <w:sz w:val="22"/>
          <w:szCs w:val="22"/>
        </w:rPr>
        <w:t>septiembre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253861">
        <w:rPr>
          <w:rFonts w:ascii="Palatino Linotype" w:hAnsi="Palatino Linotype" w:cs="Tahoma"/>
          <w:sz w:val="22"/>
          <w:szCs w:val="22"/>
        </w:rPr>
        <w:t xml:space="preserve">a que adjuntó </w:t>
      </w:r>
      <w:r w:rsidR="00A917F5">
        <w:rPr>
          <w:rFonts w:ascii="Palatino Linotype" w:hAnsi="Palatino Linotype" w:cs="Tahoma"/>
          <w:sz w:val="22"/>
          <w:szCs w:val="22"/>
        </w:rPr>
        <w:t xml:space="preserve">dos </w:t>
      </w:r>
      <w:r w:rsidR="00253861">
        <w:rPr>
          <w:rFonts w:ascii="Palatino Linotype" w:hAnsi="Palatino Linotype" w:cs="Tahoma"/>
          <w:sz w:val="22"/>
          <w:szCs w:val="22"/>
        </w:rPr>
        <w:t>oficio</w:t>
      </w:r>
      <w:r w:rsidR="00A917F5">
        <w:rPr>
          <w:rFonts w:ascii="Palatino Linotype" w:hAnsi="Palatino Linotype" w:cs="Tahoma"/>
          <w:sz w:val="22"/>
          <w:szCs w:val="22"/>
        </w:rPr>
        <w:t>s, uno de ellos suscrito por la Subdirección e Administración en el que señaló que la información se encontraba publicada en IPOMEX; y el segundo suscrito por la Titular de la Unidad de Transparencia en el que señaló que la información se localizaba en la Plataforma señalada.</w:t>
      </w:r>
    </w:p>
    <w:p w14:paraId="616F9F08" w14:textId="77777777" w:rsidR="0095328A" w:rsidRDefault="0095328A" w:rsidP="000B54EE">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1234D7FE" w14:textId="77777777" w:rsidR="001A412B" w:rsidRPr="00FB571A" w:rsidRDefault="007812D1" w:rsidP="000B54EE">
      <w:pPr>
        <w:pStyle w:val="Ttulo2"/>
        <w:spacing w:before="0" w:line="360" w:lineRule="auto"/>
        <w:rPr>
          <w:rFonts w:ascii="Palatino Linotype" w:hAnsi="Palatino Linotype" w:cs="Tahoma"/>
          <w:b/>
          <w:color w:val="auto"/>
          <w:sz w:val="22"/>
          <w:szCs w:val="22"/>
        </w:rPr>
      </w:pPr>
      <w:bookmarkStart w:id="5" w:name="_Toc20530698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104ED5D6" w14:textId="77777777" w:rsidR="00F87649" w:rsidRPr="00FB571A"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3B6E2CD0" w14:textId="015DBCA6" w:rsidR="009A7587" w:rsidRPr="00FB571A" w:rsidRDefault="009A7587" w:rsidP="000B54EE">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A917F5">
        <w:rPr>
          <w:rFonts w:ascii="Palatino Linotype" w:hAnsi="Palatino Linotype" w:cs="Tahoma"/>
          <w:sz w:val="22"/>
          <w:szCs w:val="22"/>
        </w:rPr>
        <w:t>veintitrés de septiembre</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0CB9F8A3" w14:textId="77777777" w:rsidR="00AB6595" w:rsidRPr="00FB571A" w:rsidRDefault="00AB6595" w:rsidP="000B54EE">
      <w:pPr>
        <w:tabs>
          <w:tab w:val="left" w:pos="4995"/>
        </w:tabs>
        <w:spacing w:line="360" w:lineRule="auto"/>
        <w:contextualSpacing/>
        <w:jc w:val="both"/>
        <w:rPr>
          <w:rFonts w:ascii="Palatino Linotype" w:hAnsi="Palatino Linotype" w:cs="Tahoma"/>
          <w:sz w:val="22"/>
          <w:szCs w:val="22"/>
        </w:rPr>
      </w:pPr>
    </w:p>
    <w:p w14:paraId="55844D38" w14:textId="77777777" w:rsidR="00D5699B" w:rsidRPr="00FB571A" w:rsidRDefault="00D5699B"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4F934C89" w14:textId="42379CB2" w:rsidR="003D1770" w:rsidRPr="00FB571A" w:rsidRDefault="007E4927" w:rsidP="000B54EE">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A917F5" w:rsidRPr="00A917F5">
        <w:rPr>
          <w:rFonts w:ascii="Palatino Linotype" w:hAnsi="Palatino Linotype" w:cs="Tahoma"/>
          <w:bCs/>
          <w:i/>
          <w:szCs w:val="22"/>
        </w:rPr>
        <w:t xml:space="preserve">La respuesta emitida por el Organismo Público Descentralizado para la Prestación de los Servicios de Agua Potable, Alcantarillado y Saneamiento del Municipio de Atizapán de Zaragoza, Estado de México, conocido como SAPASA, mediante oficio número SAPASA/SAD/DAF/662/2025, de fecha 17 de septiembre de 2025, signado por la Subdirección de Administración, en atención a la solicitud registrada en el sistema SAIMEX bajo el folio 00097/OAS/ATIZAPAN/IF/2025, en la cual se requirió la relación detallada de todos los contratos, adquisiciones, licitaciones o convenios celebrados por la Subdirección de Administración y Finanzas durante la gestión de la servidora pública Claudia Karina Janet de la Fuente Martínez. Dicha contestación constituye el acto impugnado, en virtud de </w:t>
      </w:r>
      <w:r w:rsidR="00A917F5" w:rsidRPr="00A917F5">
        <w:rPr>
          <w:rFonts w:ascii="Palatino Linotype" w:hAnsi="Palatino Linotype" w:cs="Tahoma"/>
          <w:bCs/>
          <w:i/>
          <w:szCs w:val="22"/>
        </w:rPr>
        <w:lastRenderedPageBreak/>
        <w:t xml:space="preserve">que el sujeto obligado no entregó la información en los términos precisos en que fue solicitada, limitándose a remitir al recurrente a vínculos electrónicos de la plataforma IPOMEX con información genérica de diversos ejercicios fiscales, sin identificar ni detallar los contratos, adquisiciones, licitaciones o convenios correspondientes a la gestión de la servidora pública mencionada, con lo cual se incurre en una respuesta evasiva, incompleta y carente de certeza, que transgrede el derecho de acceso a la información consagrado en el artículo 6° de la Constitución Política de los Estados Unidos Mexicanos, así como en los artículos 11, 59 y 161 de la Ley de Transparencia y Acceso a la Información Pública del Estado de México y Municipios. </w:t>
      </w:r>
      <w:proofErr w:type="gramStart"/>
      <w:r w:rsidR="00E55401" w:rsidRPr="00FB571A">
        <w:rPr>
          <w:rFonts w:ascii="Palatino Linotype" w:hAnsi="Palatino Linotype" w:cs="Tahoma"/>
          <w:bCs/>
          <w:i/>
          <w:szCs w:val="22"/>
        </w:rPr>
        <w:t>"</w:t>
      </w:r>
      <w:r w:rsidR="004D62C9">
        <w:rPr>
          <w:rFonts w:ascii="Palatino Linotype" w:hAnsi="Palatino Linotype" w:cs="Tahoma"/>
          <w:bCs/>
          <w:i/>
          <w:szCs w:val="22"/>
        </w:rPr>
        <w:t xml:space="preserve"> (</w:t>
      </w:r>
      <w:proofErr w:type="gramEnd"/>
      <w:r w:rsidR="004D62C9">
        <w:rPr>
          <w:rFonts w:ascii="Palatino Linotype" w:hAnsi="Palatino Linotype" w:cs="Tahoma"/>
          <w:bCs/>
          <w:i/>
          <w:szCs w:val="22"/>
        </w:rPr>
        <w:t>Sic)</w:t>
      </w:r>
    </w:p>
    <w:p w14:paraId="60EC12E3" w14:textId="77777777" w:rsidR="000B54EE" w:rsidRPr="00FB571A" w:rsidRDefault="000B54EE" w:rsidP="000B54EE">
      <w:pPr>
        <w:spacing w:line="360" w:lineRule="auto"/>
        <w:ind w:left="567" w:right="539"/>
        <w:contextualSpacing/>
        <w:jc w:val="both"/>
        <w:rPr>
          <w:rFonts w:ascii="Palatino Linotype" w:hAnsi="Palatino Linotype" w:cs="Tahoma"/>
          <w:bCs/>
          <w:szCs w:val="22"/>
        </w:rPr>
      </w:pPr>
    </w:p>
    <w:p w14:paraId="5B9D769D" w14:textId="77777777" w:rsidR="00CE2F19" w:rsidRPr="00FB571A" w:rsidRDefault="00CE2F19" w:rsidP="000B54EE">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42DC514F" w14:textId="19F35EA0" w:rsidR="00CE2F19" w:rsidRPr="00FB571A" w:rsidRDefault="00CE2F19" w:rsidP="000B54EE">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A917F5" w:rsidRPr="00A917F5">
        <w:rPr>
          <w:rFonts w:ascii="Palatino Linotype" w:hAnsi="Palatino Linotype" w:cs="Tahoma"/>
          <w:bCs/>
          <w:i/>
          <w:szCs w:val="24"/>
        </w:rPr>
        <w:t xml:space="preserve">Respuesta incompleta y evasiva. El sujeto obligado omitió proporcionar la información en los términos específicos solicitados, pues en lugar de entregar la relación detallada de todos los contratos, adquisiciones, licitaciones o convenios celebrados durante la gestión de la servidora pública Claudia Karina Janet de la Fuente Martínez, se limitó a remitir al recurrente a enlaces electrónicos de la plataforma IPOMEX, donde se encuentra información genérica y dispersa, que no satisface el requerimiento puntual. Falta de congruencia en la respuesta. El artículo 161 de la Ley de Transparencia y Acceso a la Información Pública del Estado de México y Municipios impone a los sujetos obligados la obligación de atender las solicitudes de información de manera congruente con lo requerido. La respuesta emitida por SAPASA no guarda relación directa con lo solicitado, al no identificar ni desagregar la información correspondiente a la gestión de la servidora pública señalada, lo que constituye una violación al principio de congruencia. Violación al principio de máxima publicidad. El artículo 6° de la Constitución Política de los Estados Unidos Mexicanos, así como los artículos 11 y 59 de la Ley de Transparencia estatal, establecen que toda la información en posesión de los sujetos obligados es pública y accesible, salvo las excepciones expresamente previstas en la ley. En el caso, el sujeto obligado no alegó reserva ni inexistencia de la información, sino que evadió la entrega concreta mediante referencias genéricas, lo que restringe indebidamente el derecho fundamental de acceso a la información. Imposibilidad material para satisfacer el derecho solicitado. </w:t>
      </w:r>
      <w:r w:rsidR="00A917F5" w:rsidRPr="00A917F5">
        <w:rPr>
          <w:rFonts w:ascii="Palatino Linotype" w:hAnsi="Palatino Linotype" w:cs="Tahoma"/>
          <w:bCs/>
          <w:i/>
          <w:szCs w:val="24"/>
        </w:rPr>
        <w:lastRenderedPageBreak/>
        <w:t>El envío a ligas electrónicas con información voluminosa y sin filtros específicos no satisface el estándar de entrega ordenada y accesible de la información pública. En términos de la jurisprudencia de la Suprema Corte de Justicia de la Nación, la simple puesta a disposición de un cúmulo de datos desagregados no sustituye la obligación del sujeto obligado de entregar la información en los términos precisos en que fue requerida, máxime cuando el solicitante delimitó claramente el objeto temporal, material y personal de la información. Transgresión al derecho de certeza jurídica. La contestación no da certeza sobre los contratos, adquisiciones, licitaciones o convenios específicos realizados durante la gestión de la servidora pública referida. Al omitir precisar dicha información, el sujeto obligado genera incertidumbre y falta de claridad, vulnerando el derecho de acceso a la información con un actuar dilatorio y deficiente.</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1928093C" w14:textId="77777777" w:rsidR="00342378" w:rsidRPr="00FB571A" w:rsidRDefault="00342378" w:rsidP="000B54EE">
      <w:pPr>
        <w:spacing w:line="360" w:lineRule="auto"/>
        <w:ind w:right="539"/>
        <w:contextualSpacing/>
        <w:jc w:val="both"/>
        <w:rPr>
          <w:rFonts w:ascii="Palatino Linotype" w:hAnsi="Palatino Linotype" w:cs="Tahoma"/>
          <w:bCs/>
          <w:i/>
          <w:szCs w:val="24"/>
        </w:rPr>
      </w:pPr>
    </w:p>
    <w:p w14:paraId="2FF70BDA" w14:textId="77777777" w:rsidR="009A7587" w:rsidRPr="00FB571A" w:rsidRDefault="00BF4B55" w:rsidP="000B54EE">
      <w:pPr>
        <w:pStyle w:val="Ttulo2"/>
        <w:spacing w:before="0" w:line="360" w:lineRule="auto"/>
        <w:rPr>
          <w:rFonts w:ascii="Palatino Linotype" w:eastAsia="Batang" w:hAnsi="Palatino Linotype" w:cs="Tahoma"/>
          <w:b/>
          <w:bCs/>
          <w:color w:val="auto"/>
          <w:sz w:val="22"/>
          <w:szCs w:val="22"/>
        </w:rPr>
      </w:pPr>
      <w:bookmarkStart w:id="7" w:name="_Toc205306987"/>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7"/>
    </w:p>
    <w:p w14:paraId="338E87DB" w14:textId="77777777" w:rsidR="007E4927" w:rsidRPr="00FB571A" w:rsidRDefault="007E4927" w:rsidP="000B54EE">
      <w:pPr>
        <w:spacing w:line="360" w:lineRule="auto"/>
        <w:contextualSpacing/>
        <w:jc w:val="both"/>
        <w:rPr>
          <w:rFonts w:ascii="Palatino Linotype" w:eastAsia="Batang" w:hAnsi="Palatino Linotype" w:cs="Tahoma"/>
          <w:b/>
          <w:bCs/>
          <w:sz w:val="22"/>
          <w:szCs w:val="22"/>
        </w:rPr>
      </w:pPr>
    </w:p>
    <w:p w14:paraId="7DFEB858" w14:textId="0A41CA62" w:rsidR="00C950E3" w:rsidRPr="00FB571A" w:rsidRDefault="009A7587" w:rsidP="000B54EE">
      <w:pPr>
        <w:spacing w:line="360" w:lineRule="auto"/>
        <w:contextualSpacing/>
        <w:jc w:val="both"/>
        <w:rPr>
          <w:rFonts w:ascii="Palatino Linotype" w:eastAsia="Batang" w:hAnsi="Palatino Linotype" w:cs="Tahoma"/>
          <w:bCs/>
          <w:sz w:val="22"/>
          <w:szCs w:val="22"/>
        </w:rPr>
      </w:pPr>
      <w:bookmarkStart w:id="8" w:name="_Toc205306988"/>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A917F5">
        <w:rPr>
          <w:rFonts w:ascii="Palatino Linotype" w:hAnsi="Palatino Linotype" w:cs="Tahoma"/>
          <w:sz w:val="22"/>
          <w:szCs w:val="22"/>
        </w:rPr>
        <w:t>veintitrés de septiembre</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A917F5">
        <w:rPr>
          <w:rFonts w:ascii="Palatino Linotype" w:eastAsia="Batang" w:hAnsi="Palatino Linotype" w:cs="Tahoma"/>
          <w:b/>
          <w:bCs/>
          <w:sz w:val="22"/>
          <w:szCs w:val="22"/>
        </w:rPr>
        <w:t>10956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2FF2F55E" w14:textId="77777777" w:rsidR="00D5699B" w:rsidRPr="00FB571A" w:rsidRDefault="00D5699B" w:rsidP="000B54EE">
      <w:pPr>
        <w:spacing w:line="360" w:lineRule="auto"/>
        <w:contextualSpacing/>
        <w:jc w:val="both"/>
        <w:rPr>
          <w:rFonts w:ascii="Palatino Linotype" w:eastAsia="Batang" w:hAnsi="Palatino Linotype" w:cs="Tahoma"/>
          <w:b/>
          <w:bCs/>
          <w:sz w:val="22"/>
          <w:szCs w:val="22"/>
        </w:rPr>
      </w:pPr>
    </w:p>
    <w:p w14:paraId="16BBD21F" w14:textId="1C1A60AE" w:rsidR="00253937" w:rsidRPr="00FB571A" w:rsidRDefault="009A7587" w:rsidP="000B54EE">
      <w:pPr>
        <w:spacing w:line="360" w:lineRule="auto"/>
        <w:contextualSpacing/>
        <w:jc w:val="both"/>
        <w:rPr>
          <w:rFonts w:ascii="Palatino Linotype" w:hAnsi="Palatino Linotype" w:cs="Tahoma"/>
          <w:bCs/>
          <w:sz w:val="22"/>
          <w:szCs w:val="22"/>
          <w:lang w:val="es-ES_tradnl"/>
        </w:rPr>
      </w:pPr>
      <w:bookmarkStart w:id="9" w:name="_Toc20530698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9"/>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A917F5">
        <w:rPr>
          <w:rFonts w:ascii="Palatino Linotype" w:hAnsi="Palatino Linotype" w:cs="Tahoma"/>
          <w:bCs/>
          <w:sz w:val="22"/>
          <w:szCs w:val="22"/>
        </w:rPr>
        <w:t>veintiséis de septiembre</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xml:space="preserve">, en el que se les otorgó un plazo de siete días </w:t>
      </w:r>
      <w:r w:rsidR="001F787A" w:rsidRPr="00FB571A">
        <w:rPr>
          <w:rFonts w:ascii="Palatino Linotype" w:hAnsi="Palatino Linotype" w:cs="Tahoma"/>
          <w:bCs/>
          <w:sz w:val="22"/>
          <w:szCs w:val="22"/>
          <w:lang w:val="es-ES_tradnl"/>
        </w:rPr>
        <w:lastRenderedPageBreak/>
        <w:t>hábiles posteriores a la misma, para que manifestaran lo que a su derecho conviniera y formularan alegatos.</w:t>
      </w:r>
    </w:p>
    <w:p w14:paraId="3E78A0DD" w14:textId="77777777" w:rsidR="00253937" w:rsidRPr="00FB571A" w:rsidRDefault="00253937" w:rsidP="000B54EE">
      <w:pPr>
        <w:spacing w:line="360" w:lineRule="auto"/>
        <w:contextualSpacing/>
        <w:jc w:val="both"/>
        <w:rPr>
          <w:rFonts w:ascii="Palatino Linotype" w:hAnsi="Palatino Linotype" w:cs="Tahoma"/>
          <w:bCs/>
          <w:sz w:val="22"/>
          <w:szCs w:val="22"/>
          <w:lang w:val="es-ES_tradnl"/>
        </w:rPr>
      </w:pPr>
    </w:p>
    <w:p w14:paraId="142CA45A" w14:textId="478E2230" w:rsidR="00A917F5" w:rsidRDefault="00A917F5" w:rsidP="00A917F5">
      <w:pPr>
        <w:spacing w:line="360" w:lineRule="auto"/>
        <w:jc w:val="both"/>
        <w:rPr>
          <w:rFonts w:ascii="Palatino Linotype" w:eastAsia="Batang" w:hAnsi="Palatino Linotype" w:cs="Tahoma"/>
          <w:bCs/>
          <w:sz w:val="22"/>
          <w:szCs w:val="22"/>
          <w:lang w:val="es-ES_tradnl"/>
        </w:rPr>
      </w:pPr>
      <w:bookmarkStart w:id="10" w:name="_Toc190261913"/>
      <w:bookmarkStart w:id="11" w:name="_Toc196917717"/>
      <w:bookmarkStart w:id="12" w:name="_Toc205306990"/>
      <w:r w:rsidRPr="000B5B81">
        <w:rPr>
          <w:rFonts w:ascii="Palatino Linotype" w:eastAsia="Batang" w:hAnsi="Palatino Linotype" w:cs="Tahoma"/>
          <w:b/>
          <w:bCs/>
          <w:sz w:val="22"/>
          <w:szCs w:val="22"/>
          <w:lang w:val="es-ES_tradnl"/>
        </w:rPr>
        <w:t xml:space="preserve">c) Informe Justificado. </w:t>
      </w:r>
      <w:r w:rsidRPr="000B5B81">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treinta de septiembre </w:t>
      </w:r>
      <w:r w:rsidRPr="00DC0306">
        <w:rPr>
          <w:rFonts w:ascii="Palatino Linotype" w:eastAsia="Batang" w:hAnsi="Palatino Linotype" w:cs="Tahoma"/>
          <w:bCs/>
          <w:sz w:val="22"/>
          <w:szCs w:val="22"/>
          <w:lang w:val="es-ES_tradnl"/>
        </w:rPr>
        <w:t>de dos mil veinti</w:t>
      </w:r>
      <w:r>
        <w:rPr>
          <w:rFonts w:ascii="Palatino Linotype" w:eastAsia="Batang" w:hAnsi="Palatino Linotype" w:cs="Tahoma"/>
          <w:bCs/>
          <w:sz w:val="22"/>
          <w:szCs w:val="22"/>
          <w:lang w:val="es-ES_tradnl"/>
        </w:rPr>
        <w:t>cinco</w:t>
      </w:r>
      <w:r w:rsidRPr="00DC0306">
        <w:rPr>
          <w:rFonts w:ascii="Palatino Linotype" w:eastAsia="Batang" w:hAnsi="Palatino Linotype" w:cs="Tahoma"/>
          <w:bCs/>
          <w:sz w:val="22"/>
          <w:szCs w:val="22"/>
          <w:lang w:val="es-ES_tradnl"/>
        </w:rPr>
        <w:t xml:space="preserve">, a través del SAIMEX, se </w:t>
      </w:r>
      <w:r>
        <w:rPr>
          <w:rFonts w:ascii="Palatino Linotype" w:eastAsia="Batang" w:hAnsi="Palatino Linotype" w:cs="Tahoma"/>
          <w:bCs/>
          <w:sz w:val="22"/>
          <w:szCs w:val="22"/>
          <w:lang w:val="es-ES_tradnl"/>
        </w:rPr>
        <w:t xml:space="preserve">recibió </w:t>
      </w:r>
      <w:r w:rsidRPr="00DC0306">
        <w:rPr>
          <w:rFonts w:ascii="Palatino Linotype" w:eastAsia="Batang" w:hAnsi="Palatino Linotype" w:cs="Tahoma"/>
          <w:bCs/>
          <w:sz w:val="22"/>
          <w:szCs w:val="22"/>
          <w:lang w:val="es-ES_tradnl"/>
        </w:rPr>
        <w:t>en este Instituto</w:t>
      </w:r>
      <w:r>
        <w:rPr>
          <w:rFonts w:ascii="Palatino Linotype" w:eastAsia="Batang" w:hAnsi="Palatino Linotype" w:cs="Tahoma"/>
          <w:bCs/>
          <w:sz w:val="22"/>
          <w:szCs w:val="22"/>
          <w:lang w:val="es-ES_tradnl"/>
        </w:rPr>
        <w:t xml:space="preserve"> e</w:t>
      </w:r>
      <w:r w:rsidRPr="00DC0306">
        <w:rPr>
          <w:rFonts w:ascii="Palatino Linotype" w:eastAsia="Batang" w:hAnsi="Palatino Linotype" w:cs="Tahoma"/>
          <w:bCs/>
          <w:sz w:val="22"/>
          <w:szCs w:val="22"/>
          <w:lang w:val="es-ES_tradnl"/>
        </w:rPr>
        <w:t>l informe justificado por parte del Sujeto Obligado</w:t>
      </w:r>
      <w:r>
        <w:rPr>
          <w:rFonts w:ascii="Palatino Linotype" w:eastAsia="Batang" w:hAnsi="Palatino Linotype" w:cs="Tahoma"/>
          <w:bCs/>
          <w:sz w:val="22"/>
          <w:szCs w:val="22"/>
          <w:lang w:val="es-ES_tradnl"/>
        </w:rPr>
        <w:t>, por medio del cual ratifico su respuesta inicial.</w:t>
      </w:r>
    </w:p>
    <w:p w14:paraId="49D48500" w14:textId="77777777" w:rsidR="008266D8" w:rsidRPr="00A917F5" w:rsidRDefault="008266D8" w:rsidP="008266D8">
      <w:pPr>
        <w:spacing w:line="360" w:lineRule="auto"/>
        <w:jc w:val="both"/>
        <w:rPr>
          <w:rFonts w:ascii="Palatino Linotype" w:hAnsi="Palatino Linotype" w:cs="Tahoma"/>
          <w:sz w:val="22"/>
          <w:szCs w:val="22"/>
          <w:lang w:val="es-ES_tradnl"/>
        </w:rPr>
      </w:pPr>
    </w:p>
    <w:p w14:paraId="175CE512" w14:textId="77777777" w:rsidR="00A917F5" w:rsidRDefault="008266D8" w:rsidP="008266D8">
      <w:pPr>
        <w:spacing w:line="360" w:lineRule="auto"/>
        <w:jc w:val="both"/>
        <w:rPr>
          <w:rFonts w:ascii="Palatino Linotype" w:hAnsi="Palatino Linotype" w:cs="Tahoma"/>
          <w:sz w:val="22"/>
          <w:szCs w:val="22"/>
        </w:rPr>
      </w:pPr>
      <w:r w:rsidRPr="00A36B6A">
        <w:rPr>
          <w:rFonts w:ascii="Palatino Linotype" w:hAnsi="Palatino Linotype" w:cs="Tahoma"/>
          <w:b/>
          <w:sz w:val="22"/>
          <w:szCs w:val="22"/>
        </w:rPr>
        <w:t xml:space="preserve">d) Manifestaciones del Recurrente: </w:t>
      </w:r>
      <w:r w:rsidRPr="00A36B6A">
        <w:rPr>
          <w:rFonts w:ascii="Palatino Linotype" w:hAnsi="Palatino Linotype" w:cs="Tahoma"/>
          <w:sz w:val="22"/>
          <w:szCs w:val="22"/>
        </w:rPr>
        <w:t>E</w:t>
      </w:r>
      <w:r w:rsidR="00A917F5">
        <w:rPr>
          <w:rFonts w:ascii="Palatino Linotype" w:hAnsi="Palatino Linotype" w:cs="Tahoma"/>
          <w:sz w:val="22"/>
          <w:szCs w:val="22"/>
        </w:rPr>
        <w:t>l</w:t>
      </w:r>
      <w:r w:rsidRPr="00A36B6A">
        <w:rPr>
          <w:rFonts w:ascii="Palatino Linotype" w:hAnsi="Palatino Linotype" w:cs="Tahoma"/>
          <w:sz w:val="22"/>
          <w:szCs w:val="22"/>
        </w:rPr>
        <w:t xml:space="preserve"> Particular </w:t>
      </w:r>
      <w:r w:rsidR="00A917F5">
        <w:rPr>
          <w:rFonts w:ascii="Palatino Linotype" w:hAnsi="Palatino Linotype" w:cs="Tahoma"/>
          <w:sz w:val="22"/>
          <w:szCs w:val="22"/>
        </w:rPr>
        <w:t>presento sus manifestaciones por SAIMEX el diez y veinte de octubre de dos mil veinticinco, en el que señaló lo siguiente:</w:t>
      </w:r>
    </w:p>
    <w:p w14:paraId="0287DD96" w14:textId="77777777" w:rsidR="00A917F5" w:rsidRDefault="00A917F5" w:rsidP="008266D8">
      <w:pPr>
        <w:spacing w:line="360" w:lineRule="auto"/>
        <w:jc w:val="both"/>
        <w:rPr>
          <w:rFonts w:ascii="Palatino Linotype" w:hAnsi="Palatino Linotype" w:cs="Tahoma"/>
          <w:sz w:val="22"/>
          <w:szCs w:val="22"/>
        </w:rPr>
      </w:pPr>
    </w:p>
    <w:p w14:paraId="6065340D" w14:textId="27FCB762" w:rsidR="00A917F5" w:rsidRDefault="00A917F5" w:rsidP="00A917F5">
      <w:pPr>
        <w:spacing w:line="360" w:lineRule="auto"/>
        <w:ind w:left="567" w:right="539"/>
        <w:jc w:val="both"/>
        <w:rPr>
          <w:rStyle w:val="Ttulo3Car"/>
          <w:rFonts w:ascii="Palatino Linotype" w:hAnsi="Palatino Linotype"/>
          <w:bCs/>
          <w:i/>
          <w:iCs/>
          <w:color w:val="auto"/>
          <w:sz w:val="20"/>
          <w:szCs w:val="20"/>
        </w:rPr>
      </w:pPr>
      <w:r>
        <w:rPr>
          <w:rStyle w:val="Ttulo3Car"/>
          <w:rFonts w:ascii="Palatino Linotype" w:hAnsi="Palatino Linotype"/>
          <w:bCs/>
          <w:i/>
          <w:iCs/>
          <w:color w:val="auto"/>
          <w:sz w:val="20"/>
          <w:szCs w:val="20"/>
        </w:rPr>
        <w:t>“…</w:t>
      </w:r>
    </w:p>
    <w:p w14:paraId="6C1142AC" w14:textId="33690EB0"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PRIMERO. Violación al derecho fundamental de acceso a la información pública.</w:t>
      </w:r>
    </w:p>
    <w:p w14:paraId="6D37AA6E"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El artículo 6° constitucional dispone que toda información en posesión de cualquier autoridad, entidad, órgano u organismo de los tres órdenes de gobierno es pública, y sólo podrá ser reservada temporalmente por razones de interés público y seguridad nacional. En el presente caso, el sujeto obligado no alegó reserva ni inexistencia, sino que optó por remitir al solicitante a vínculos genéricos de la plataforma IPOMEX, donde se aloja información sin orden ni delimitación temática, contraviniendo la obligación de entregar la información en los términos precisos en que fue requerida.</w:t>
      </w:r>
    </w:p>
    <w:p w14:paraId="0B92382C"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Tal proceder constituye una denegación tácita del derecho de acceso, pues la respuesta evasiva e incongruente vulnera el principio de máxima publicidad, conforme al artículo 11 de la Ley estatal, que impone a los entes públicos la obligación de facilitar la información de manera completa, accesible y verificable.</w:t>
      </w:r>
    </w:p>
    <w:p w14:paraId="0381AD5B"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SEGUNDO. Falta de congruencia y exhaustividad en la respuesta.</w:t>
      </w:r>
    </w:p>
    <w:p w14:paraId="20E42678"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 xml:space="preserve">De acuerdo con el artículo 161 de la Ley de Transparencia local, los sujetos obligados deben emitir respuestas congruentes, fundadas y motivadas, atendiendo a los términos específicos de la solicitud. </w:t>
      </w:r>
      <w:r w:rsidRPr="00A917F5">
        <w:rPr>
          <w:rStyle w:val="Ttulo3Car"/>
          <w:rFonts w:ascii="Palatino Linotype" w:hAnsi="Palatino Linotype"/>
          <w:bCs/>
          <w:i/>
          <w:iCs/>
          <w:color w:val="auto"/>
          <w:sz w:val="20"/>
          <w:szCs w:val="20"/>
        </w:rPr>
        <w:lastRenderedPageBreak/>
        <w:t>En el caso, SAPASA omitió identificar los contratos, adquisiciones, licitaciones o convenios celebrados durante la gestión de la servidora pública Claudia Karina Janet de la Fuente Martínez, entregando en cambio información genérica de distintos ejercicios fiscales. Tal omisión genera una respuesta incongruente y carente de exhaustividad, que no satisface el requerimiento del solicitante ni cumple con la finalidad del derecho de acceso a la información, que es obtener datos ciertos, claros y verificables.</w:t>
      </w:r>
    </w:p>
    <w:p w14:paraId="6BA49C16"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TERCERO. Violación al principio de máxima publicidad y al estándar de accesibilidad.</w:t>
      </w:r>
    </w:p>
    <w:p w14:paraId="2504F7AC"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La Suprema Corte de Justicia de la Nación ha sostenido que el principio de máxima publicidad implica que toda la información pública debe difundirse de manera amplia, comprensible y útil para el ciudadano (Tesis: 1a. CLXIII/2015). Por tanto, la entrega de vínculos electrónicos con información dispersa y voluminosa no satisface el deber de accesibilidad, pues impone al solicitante una carga desproporcionada de búsqueda, análisis y depuración de datos, cuando es el sujeto obligado quien debe entregar la información ya delimitada y organizada.</w:t>
      </w:r>
    </w:p>
    <w:p w14:paraId="4A9E48BE"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El envío de ligas sin especificar los documentos requeridos impide el acceso efectivo al contenido de los contratos o convenios, vulnerando el artículo 59 de la Ley estatal, que ordena garantizar que la información se proporcione en formatos comprensibles y en los términos solicitados.</w:t>
      </w:r>
    </w:p>
    <w:p w14:paraId="355970E6"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CUARTO. Transgresión al principio de certeza jurídica.</w:t>
      </w:r>
    </w:p>
    <w:p w14:paraId="72B62DC5" w14:textId="434CF328" w:rsidR="00253861"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El acto impugnado carece de precisión sobre los contratos efectivamente celebrados en la gestión mencionada, generando incertidumbre respecto a la existencia, vigencia o número de tales instrumentos. La respuesta emitida por SAPASA se erige como un acto administrativo deficiente y carente de motivación, que deja al solicitante en estado de indefensión, al no permitir verificar si se cumplió o no con la obligación de transparencia en la gestión pública.</w:t>
      </w:r>
    </w:p>
    <w:p w14:paraId="5BEAD896" w14:textId="77777777" w:rsidR="00A917F5" w:rsidRDefault="00A917F5" w:rsidP="00A917F5">
      <w:pPr>
        <w:spacing w:line="360" w:lineRule="auto"/>
        <w:ind w:left="567" w:right="539"/>
        <w:jc w:val="both"/>
        <w:rPr>
          <w:rStyle w:val="Ttulo3Car"/>
          <w:rFonts w:ascii="Palatino Linotype" w:hAnsi="Palatino Linotype"/>
          <w:bCs/>
          <w:i/>
          <w:iCs/>
          <w:color w:val="auto"/>
          <w:sz w:val="20"/>
          <w:szCs w:val="20"/>
        </w:rPr>
      </w:pPr>
    </w:p>
    <w:p w14:paraId="6C311742" w14:textId="77777777" w:rsidR="00A917F5" w:rsidRPr="00A917F5" w:rsidRDefault="00A917F5" w:rsidP="00A917F5">
      <w:pPr>
        <w:spacing w:line="360" w:lineRule="auto"/>
        <w:ind w:left="567" w:right="539"/>
        <w:jc w:val="center"/>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ALEGATOS</w:t>
      </w:r>
    </w:p>
    <w:p w14:paraId="32562687"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p>
    <w:p w14:paraId="2E10E415"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lastRenderedPageBreak/>
        <w:t>PRIMERO. La respuesta contenida en el oficio SAPASA/SAD/DAF/662/2025, emitido el 17 de septiembre de 2025 por la Subdirección de Administración de SAPASA, adolece de legalidad y vulnera el principio de máxima publicidad, piedra angular del derecho de acceso a la información.</w:t>
      </w:r>
    </w:p>
    <w:p w14:paraId="590AC7B4"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El artículo 6º, fracción I, de la Constitución General establece que “toda la información en posesión de cualquier autoridad es pública y sólo podrá ser reservada temporalmente por razones de interés público y seguridad nacional, en los términos que fijen las leyes”.</w:t>
      </w:r>
    </w:p>
    <w:p w14:paraId="0D9C2893"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En el caso que nos ocupa, el sujeto obligado no entregó la información de manera directa, íntegra ni en los términos exactos solicitados, remitiendo al recurrente a vínculos genéricos de la plataforma IPOMEX que no satisfacen la precisión requerida sobre los contratos, adquisiciones, licitaciones o convenios celebrados por la Subdirección de Administración y Finanzas durante la gestión de la servidora pública Claudia Karina Janet de la Fuente Martínez.</w:t>
      </w:r>
    </w:p>
    <w:p w14:paraId="3ACD3D42"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Tal proceder contraviene los artículos 11 y 59 de la Ley de Transparencia local, que obligan a los sujetos obligados a proporcionar la información pública de manera accesible, completa, verificable y actualizada, evitando cualquier práctica dilatoria o evasiva que impida el ejercicio pleno del derecho de acceso.</w:t>
      </w:r>
    </w:p>
    <w:p w14:paraId="6EB3ED1B"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SEGUNDO. La conducta del sujeto obligado se traduce en una respuesta evasiva e incompleta, prohibida por el artículo 161 de la Ley de Transparencia, que dispone que “se entenderá que existe negativa de información cuando la respuesta no corresponda a lo solicitado, sea ambigua, incompleta o no esté fundada y motivada”.</w:t>
      </w:r>
    </w:p>
    <w:p w14:paraId="726424BB" w14:textId="079C26BD" w:rsidR="00A917F5" w:rsidRDefault="00A917F5" w:rsidP="00A917F5">
      <w:pPr>
        <w:spacing w:line="360" w:lineRule="auto"/>
        <w:ind w:left="567" w:right="539"/>
        <w:jc w:val="both"/>
        <w:rPr>
          <w:rStyle w:val="Ttulo3Car"/>
          <w:rFonts w:ascii="Palatino Linotype" w:hAnsi="Palatino Linotype"/>
          <w:bCs/>
          <w:i/>
          <w:iCs/>
          <w:color w:val="auto"/>
          <w:sz w:val="20"/>
          <w:szCs w:val="20"/>
        </w:rPr>
      </w:pPr>
      <w:r w:rsidRPr="00A917F5">
        <w:rPr>
          <w:rStyle w:val="Ttulo3Car"/>
          <w:rFonts w:ascii="Palatino Linotype" w:hAnsi="Palatino Linotype"/>
          <w:bCs/>
          <w:i/>
          <w:iCs/>
          <w:color w:val="auto"/>
          <w:sz w:val="20"/>
          <w:szCs w:val="20"/>
        </w:rPr>
        <w:t>El envío de enlaces genéricos no constituye cumplimiento material de la solicitud, toda vez que no identifica la información específica, ni acredita que los documentos referidos correspondan efectivamente al periodo administrativo de la servidora pública mencionada, vulnerando así el principio de certeza y veracidad que debe regir toda actuación administrativa.</w:t>
      </w:r>
    </w:p>
    <w:p w14:paraId="0D941E5F" w14:textId="5521BCF7" w:rsidR="00A917F5" w:rsidRDefault="00A917F5" w:rsidP="00A917F5">
      <w:pPr>
        <w:spacing w:line="360" w:lineRule="auto"/>
        <w:ind w:left="567" w:right="539"/>
        <w:jc w:val="both"/>
        <w:rPr>
          <w:rStyle w:val="Ttulo3Car"/>
          <w:rFonts w:ascii="Palatino Linotype" w:hAnsi="Palatino Linotype"/>
          <w:bCs/>
          <w:i/>
          <w:iCs/>
          <w:color w:val="auto"/>
          <w:sz w:val="20"/>
          <w:szCs w:val="20"/>
        </w:rPr>
      </w:pPr>
      <w:r>
        <w:rPr>
          <w:rStyle w:val="Ttulo3Car"/>
          <w:rFonts w:ascii="Palatino Linotype" w:hAnsi="Palatino Linotype"/>
          <w:bCs/>
          <w:i/>
          <w:iCs/>
          <w:color w:val="auto"/>
          <w:sz w:val="20"/>
          <w:szCs w:val="20"/>
        </w:rPr>
        <w:t>…”</w:t>
      </w:r>
    </w:p>
    <w:p w14:paraId="67480CD8" w14:textId="77777777" w:rsidR="00A917F5" w:rsidRPr="00A917F5" w:rsidRDefault="00A917F5" w:rsidP="00A917F5">
      <w:pPr>
        <w:spacing w:line="360" w:lineRule="auto"/>
        <w:ind w:left="567" w:right="539"/>
        <w:jc w:val="both"/>
        <w:rPr>
          <w:rStyle w:val="Ttulo3Car"/>
          <w:rFonts w:ascii="Palatino Linotype" w:hAnsi="Palatino Linotype"/>
          <w:bCs/>
          <w:i/>
          <w:iCs/>
          <w:color w:val="auto"/>
          <w:sz w:val="20"/>
          <w:szCs w:val="20"/>
        </w:rPr>
      </w:pPr>
    </w:p>
    <w:p w14:paraId="3A197991" w14:textId="05EA4BB6" w:rsidR="00A917F5" w:rsidRPr="00DC0306" w:rsidRDefault="00A917F5" w:rsidP="00A917F5">
      <w:pPr>
        <w:spacing w:line="360" w:lineRule="auto"/>
        <w:jc w:val="both"/>
        <w:rPr>
          <w:rFonts w:ascii="Palatino Linotype" w:hAnsi="Palatino Linotype" w:cs="Tahoma"/>
          <w:sz w:val="22"/>
          <w:szCs w:val="22"/>
        </w:rPr>
      </w:pPr>
      <w:bookmarkStart w:id="13" w:name="_Toc205306992"/>
      <w:bookmarkEnd w:id="10"/>
      <w:bookmarkEnd w:id="11"/>
      <w:bookmarkEnd w:id="12"/>
      <w:r>
        <w:rPr>
          <w:rFonts w:ascii="Palatino Linotype" w:hAnsi="Palatino Linotype" w:cs="Tahoma"/>
          <w:b/>
          <w:sz w:val="22"/>
          <w:szCs w:val="22"/>
        </w:rPr>
        <w:t>e</w:t>
      </w:r>
      <w:r w:rsidRPr="00DC0306">
        <w:rPr>
          <w:rFonts w:ascii="Palatino Linotype" w:hAnsi="Palatino Linotype" w:cs="Tahoma"/>
          <w:b/>
          <w:sz w:val="22"/>
          <w:szCs w:val="22"/>
        </w:rPr>
        <w:t>) Vista del Informe Justificado</w:t>
      </w:r>
      <w:r w:rsidRPr="00DC0306">
        <w:rPr>
          <w:rFonts w:ascii="Palatino Linotype" w:hAnsi="Palatino Linotype" w:cs="Tahoma"/>
          <w:sz w:val="22"/>
          <w:szCs w:val="22"/>
        </w:rPr>
        <w:t xml:space="preserve">. El </w:t>
      </w:r>
      <w:r>
        <w:rPr>
          <w:rFonts w:ascii="Palatino Linotype" w:hAnsi="Palatino Linotype" w:cs="Tahoma"/>
          <w:sz w:val="22"/>
          <w:szCs w:val="22"/>
        </w:rPr>
        <w:t xml:space="preserve">treinta de septiembre </w:t>
      </w:r>
      <w:r w:rsidRPr="00DC0306">
        <w:rPr>
          <w:rFonts w:ascii="Palatino Linotype" w:hAnsi="Palatino Linotype" w:cs="Tahoma"/>
          <w:sz w:val="22"/>
          <w:szCs w:val="22"/>
        </w:rPr>
        <w:t>de dos mil veintic</w:t>
      </w:r>
      <w:r>
        <w:rPr>
          <w:rFonts w:ascii="Palatino Linotype" w:hAnsi="Palatino Linotype" w:cs="Tahoma"/>
          <w:sz w:val="22"/>
          <w:szCs w:val="22"/>
        </w:rPr>
        <w:t>inco</w:t>
      </w:r>
      <w:r w:rsidRPr="00DC0306">
        <w:rPr>
          <w:rFonts w:ascii="Palatino Linotype" w:hAnsi="Palatino Linotype" w:cs="Tahoma"/>
          <w:sz w:val="22"/>
          <w:szCs w:val="22"/>
        </w:rPr>
        <w:t xml:space="preserve">, se dictó acuerdo mediante el cual se puso a la vista del Particular, el Informe Justificado, el cual le fue </w:t>
      </w:r>
      <w:r w:rsidRPr="00DC0306">
        <w:rPr>
          <w:rFonts w:ascii="Palatino Linotype" w:hAnsi="Palatino Linotype" w:cs="Tahoma"/>
          <w:sz w:val="22"/>
          <w:szCs w:val="22"/>
        </w:rPr>
        <w:lastRenderedPageBreak/>
        <w:t>notificado, en esa misma fecha, a través del Sistema de Acceso a la Información Mexiquense (SAIMEX).</w:t>
      </w:r>
    </w:p>
    <w:p w14:paraId="56D62C4A" w14:textId="77777777" w:rsidR="00A917F5" w:rsidRDefault="00A917F5" w:rsidP="000B54EE">
      <w:pPr>
        <w:spacing w:line="360" w:lineRule="auto"/>
        <w:jc w:val="both"/>
        <w:rPr>
          <w:rStyle w:val="Ttulo3Car"/>
          <w:rFonts w:ascii="Palatino Linotype" w:hAnsi="Palatino Linotype"/>
          <w:b/>
          <w:color w:val="auto"/>
          <w:sz w:val="22"/>
          <w:szCs w:val="22"/>
        </w:rPr>
      </w:pPr>
    </w:p>
    <w:p w14:paraId="5206E177" w14:textId="391C18A5" w:rsidR="00ED5DF5" w:rsidRPr="00FB571A" w:rsidRDefault="00A917F5" w:rsidP="000B54EE">
      <w:pPr>
        <w:spacing w:line="360" w:lineRule="auto"/>
        <w:jc w:val="both"/>
        <w:rPr>
          <w:rFonts w:ascii="Palatino Linotype" w:hAnsi="Palatino Linotype" w:cs="Tahoma"/>
          <w:sz w:val="22"/>
          <w:szCs w:val="22"/>
        </w:rPr>
      </w:pPr>
      <w:r>
        <w:rPr>
          <w:rStyle w:val="Ttulo3Car"/>
          <w:rFonts w:ascii="Palatino Linotype" w:hAnsi="Palatino Linotype"/>
          <w:b/>
          <w:color w:val="auto"/>
          <w:sz w:val="22"/>
          <w:szCs w:val="22"/>
        </w:rPr>
        <w:t>f</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3"/>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Pr>
          <w:rFonts w:ascii="Palatino Linotype" w:hAnsi="Palatino Linotype" w:cs="Tahoma"/>
          <w:sz w:val="22"/>
          <w:szCs w:val="22"/>
        </w:rPr>
        <w:t>diecinueve</w:t>
      </w:r>
      <w:r w:rsidR="008266D8">
        <w:rPr>
          <w:rFonts w:ascii="Palatino Linotype" w:hAnsi="Palatino Linotype" w:cs="Tahoma"/>
          <w:sz w:val="22"/>
          <w:szCs w:val="22"/>
        </w:rPr>
        <w:t xml:space="preserve"> de noviembre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6D0478A8" w14:textId="77777777" w:rsidR="0079675C" w:rsidRPr="00FB571A" w:rsidRDefault="0079675C" w:rsidP="000B54EE">
      <w:pPr>
        <w:spacing w:line="360" w:lineRule="auto"/>
        <w:jc w:val="both"/>
        <w:rPr>
          <w:rFonts w:ascii="Palatino Linotype" w:hAnsi="Palatino Linotype" w:cs="Tahoma"/>
          <w:sz w:val="22"/>
          <w:szCs w:val="22"/>
        </w:rPr>
      </w:pPr>
    </w:p>
    <w:p w14:paraId="5F95AA7C" w14:textId="77777777" w:rsidR="004F2D88" w:rsidRDefault="004F2D88" w:rsidP="000B54EE">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0BBA2ECB" w14:textId="77777777" w:rsidR="001C0C73" w:rsidRDefault="001C0C73" w:rsidP="000B54EE">
      <w:pPr>
        <w:spacing w:line="360" w:lineRule="auto"/>
        <w:contextualSpacing/>
        <w:jc w:val="both"/>
        <w:rPr>
          <w:rFonts w:ascii="Palatino Linotype" w:hAnsi="Palatino Linotype" w:cs="Tahoma"/>
          <w:color w:val="000000"/>
          <w:sz w:val="22"/>
          <w:szCs w:val="22"/>
        </w:rPr>
      </w:pPr>
    </w:p>
    <w:p w14:paraId="59C5F12A" w14:textId="77777777" w:rsidR="00EA4E4A" w:rsidRPr="00FB571A" w:rsidRDefault="00EA4E4A" w:rsidP="000B54EE">
      <w:pPr>
        <w:pStyle w:val="Ttulo1"/>
        <w:spacing w:before="0" w:line="360" w:lineRule="auto"/>
        <w:jc w:val="center"/>
        <w:rPr>
          <w:rFonts w:ascii="Palatino Linotype" w:hAnsi="Palatino Linotype"/>
          <w:b/>
          <w:color w:val="auto"/>
          <w:sz w:val="22"/>
          <w:szCs w:val="22"/>
        </w:rPr>
      </w:pPr>
      <w:bookmarkStart w:id="14" w:name="_Toc205306993"/>
      <w:r w:rsidRPr="00FB571A">
        <w:rPr>
          <w:rFonts w:ascii="Palatino Linotype" w:hAnsi="Palatino Linotype"/>
          <w:b/>
          <w:color w:val="auto"/>
          <w:sz w:val="22"/>
          <w:szCs w:val="22"/>
        </w:rPr>
        <w:t>C O N S I D E R A N D O S</w:t>
      </w:r>
      <w:bookmarkEnd w:id="14"/>
    </w:p>
    <w:p w14:paraId="19C1C25C" w14:textId="77777777" w:rsidR="00EA4E4A" w:rsidRPr="00FB571A" w:rsidRDefault="00EA4E4A" w:rsidP="000B54EE">
      <w:pPr>
        <w:spacing w:line="360" w:lineRule="auto"/>
        <w:contextualSpacing/>
        <w:jc w:val="both"/>
        <w:rPr>
          <w:rFonts w:ascii="Palatino Linotype" w:hAnsi="Palatino Linotype" w:cs="Tahoma"/>
          <w:b/>
          <w:sz w:val="22"/>
          <w:szCs w:val="22"/>
        </w:rPr>
      </w:pPr>
    </w:p>
    <w:p w14:paraId="394A0A28" w14:textId="77777777" w:rsidR="00EA4E4A" w:rsidRPr="00FB571A" w:rsidRDefault="00EA4E4A" w:rsidP="000B54EE">
      <w:pPr>
        <w:pStyle w:val="Ttulo2"/>
        <w:spacing w:before="0" w:line="360" w:lineRule="auto"/>
        <w:rPr>
          <w:rFonts w:ascii="Palatino Linotype" w:hAnsi="Palatino Linotype"/>
          <w:b/>
          <w:sz w:val="22"/>
          <w:szCs w:val="22"/>
        </w:rPr>
      </w:pPr>
      <w:bookmarkStart w:id="15" w:name="_Toc205306994"/>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5"/>
    </w:p>
    <w:p w14:paraId="687465FD" w14:textId="77777777" w:rsidR="00EA4E4A" w:rsidRPr="00FB571A"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170E4AC1" w14:textId="77777777" w:rsidR="00A60D1B" w:rsidRPr="00A60D1B" w:rsidRDefault="00A60D1B" w:rsidP="00A60D1B">
      <w:pPr>
        <w:spacing w:line="360" w:lineRule="auto"/>
        <w:jc w:val="both"/>
        <w:rPr>
          <w:rFonts w:ascii="Palatino Linotype" w:eastAsia="Calibri" w:hAnsi="Palatino Linotype"/>
          <w:color w:val="000000"/>
          <w:sz w:val="22"/>
          <w:szCs w:val="22"/>
          <w:lang w:eastAsia="en-US"/>
        </w:rPr>
      </w:pPr>
      <w:r w:rsidRPr="00A60D1B">
        <w:rPr>
          <w:rFonts w:ascii="Palatino Linotype" w:eastAsia="Calibri" w:hAnsi="Palatino Linotype"/>
          <w:color w:val="000000"/>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w:t>
      </w:r>
      <w:r w:rsidRPr="00A60D1B">
        <w:rPr>
          <w:rFonts w:ascii="Palatino Linotype" w:eastAsia="Calibri" w:hAnsi="Palatino Linotype"/>
          <w:color w:val="000000"/>
          <w:sz w:val="22"/>
          <w:szCs w:val="22"/>
          <w:lang w:eastAsia="en-US"/>
        </w:rPr>
        <w:lastRenderedPageBreak/>
        <w:t>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115207D" w14:textId="77777777" w:rsidR="00A917F5" w:rsidRPr="00A36B6A" w:rsidRDefault="00A917F5" w:rsidP="008266D8">
      <w:pPr>
        <w:spacing w:line="360" w:lineRule="auto"/>
        <w:jc w:val="both"/>
        <w:rPr>
          <w:rFonts w:ascii="Palatino Linotype" w:eastAsia="Palatino Linotype" w:hAnsi="Palatino Linotype" w:cs="Palatino Linotype"/>
          <w:color w:val="000000" w:themeColor="text1"/>
          <w:sz w:val="22"/>
          <w:szCs w:val="22"/>
          <w:lang w:eastAsia="es-MX"/>
        </w:rPr>
      </w:pPr>
    </w:p>
    <w:p w14:paraId="2F45A04E" w14:textId="77777777" w:rsidR="00CE0B4C" w:rsidRPr="00FB571A" w:rsidRDefault="00CE0B4C" w:rsidP="000B54EE">
      <w:pPr>
        <w:pStyle w:val="Ttulo2"/>
        <w:spacing w:before="0" w:line="360" w:lineRule="auto"/>
        <w:rPr>
          <w:rFonts w:ascii="Palatino Linotype" w:eastAsia="Calibri" w:hAnsi="Palatino Linotype"/>
          <w:b/>
          <w:color w:val="auto"/>
          <w:sz w:val="22"/>
          <w:szCs w:val="22"/>
          <w:lang w:eastAsia="es-MX"/>
        </w:rPr>
      </w:pPr>
      <w:bookmarkStart w:id="16" w:name="_Toc205306995"/>
      <w:r w:rsidRPr="00FB571A">
        <w:rPr>
          <w:rFonts w:ascii="Palatino Linotype" w:eastAsia="Calibri" w:hAnsi="Palatino Linotype"/>
          <w:b/>
          <w:color w:val="auto"/>
          <w:sz w:val="22"/>
          <w:szCs w:val="22"/>
          <w:lang w:eastAsia="es-MX"/>
        </w:rPr>
        <w:t>SEGUNDO. Causales de improcedencia y sobreseimiento</w:t>
      </w:r>
      <w:bookmarkEnd w:id="16"/>
    </w:p>
    <w:p w14:paraId="1D239AE4" w14:textId="77777777" w:rsidR="00566562" w:rsidRPr="00FB571A"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F9EC66"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3EF0184"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319CD32" w14:textId="77777777" w:rsidR="00CE0B4C" w:rsidRPr="00FB571A"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FE19909" w14:textId="77777777" w:rsidR="00BF4B55" w:rsidRPr="00FB571A"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B8A5A4" w14:textId="77777777" w:rsidR="00CE0B4C" w:rsidRPr="00FB571A"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7" w:name="_Toc205306996"/>
      <w:r w:rsidRPr="00FB571A">
        <w:rPr>
          <w:rFonts w:ascii="Palatino Linotype" w:eastAsia="Calibri" w:hAnsi="Palatino Linotype" w:cs="Arial"/>
          <w:b/>
          <w:color w:val="auto"/>
          <w:sz w:val="22"/>
          <w:szCs w:val="22"/>
          <w:lang w:eastAsia="es-ES_tradnl"/>
        </w:rPr>
        <w:lastRenderedPageBreak/>
        <w:t>Causales de sobreseimiento</w:t>
      </w:r>
      <w:bookmarkEnd w:id="17"/>
    </w:p>
    <w:p w14:paraId="32B77E56" w14:textId="77777777" w:rsidR="00CE0B4C" w:rsidRPr="00FB571A" w:rsidRDefault="00CE0B4C" w:rsidP="000B54EE">
      <w:pPr>
        <w:spacing w:line="360" w:lineRule="auto"/>
        <w:jc w:val="both"/>
        <w:rPr>
          <w:rFonts w:ascii="Palatino Linotype" w:eastAsia="Calibri" w:hAnsi="Palatino Linotype" w:cs="Tahoma"/>
          <w:sz w:val="22"/>
          <w:szCs w:val="22"/>
          <w:lang w:eastAsia="es-ES_tradnl"/>
        </w:rPr>
      </w:pPr>
    </w:p>
    <w:p w14:paraId="44768973" w14:textId="77777777" w:rsidR="00CE0B4C" w:rsidRPr="00FB571A" w:rsidRDefault="00CE0B4C" w:rsidP="000B54EE">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1283E350" w14:textId="77777777" w:rsidR="00472490" w:rsidRPr="00FB571A" w:rsidRDefault="00472490" w:rsidP="000B54EE">
      <w:pPr>
        <w:spacing w:line="360" w:lineRule="auto"/>
        <w:jc w:val="both"/>
        <w:rPr>
          <w:rFonts w:ascii="Palatino Linotype" w:eastAsia="Calibri" w:hAnsi="Palatino Linotype" w:cs="Tahoma"/>
          <w:sz w:val="22"/>
          <w:szCs w:val="22"/>
          <w:lang w:eastAsia="es-ES_tradnl"/>
        </w:rPr>
      </w:pPr>
    </w:p>
    <w:p w14:paraId="68B42211" w14:textId="77777777" w:rsidR="00CE0B4C" w:rsidRPr="00FB571A" w:rsidRDefault="00CE0B4C" w:rsidP="000B54EE">
      <w:pPr>
        <w:pStyle w:val="Ttulo2"/>
        <w:spacing w:before="0" w:line="360" w:lineRule="auto"/>
        <w:rPr>
          <w:rFonts w:ascii="Palatino Linotype" w:eastAsia="Calibri" w:hAnsi="Palatino Linotype"/>
          <w:b/>
          <w:color w:val="auto"/>
          <w:sz w:val="22"/>
          <w:lang w:val="es-ES" w:eastAsia="es-ES_tradnl"/>
        </w:rPr>
      </w:pPr>
      <w:bookmarkStart w:id="18" w:name="_Toc205306997"/>
      <w:r w:rsidRPr="00FB571A">
        <w:rPr>
          <w:rFonts w:ascii="Palatino Linotype" w:eastAsia="Calibri" w:hAnsi="Palatino Linotype"/>
          <w:b/>
          <w:color w:val="auto"/>
          <w:sz w:val="22"/>
          <w:lang w:eastAsia="es-ES_tradnl"/>
        </w:rPr>
        <w:t>TERCERO. Determinación de la Controversia</w:t>
      </w:r>
      <w:bookmarkEnd w:id="18"/>
    </w:p>
    <w:p w14:paraId="618BD43E" w14:textId="77777777" w:rsidR="00CE0B4C" w:rsidRPr="00FB571A"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7A9D1189" w14:textId="70917D43" w:rsidR="00A917F5" w:rsidRDefault="00CE0B4C" w:rsidP="000B54EE">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DE06C2">
        <w:rPr>
          <w:rFonts w:ascii="Palatino Linotype" w:eastAsia="Calibri" w:hAnsi="Palatino Linotype" w:cs="Tahoma"/>
          <w:iCs/>
          <w:sz w:val="22"/>
          <w:szCs w:val="22"/>
          <w:lang w:val="es-ES" w:eastAsia="es-ES_tradnl"/>
        </w:rPr>
        <w:t>Organismo Público Descentralizado para la Prestación de los Servicios de Agua Potable Alcantarillado y Saneamiento de Atizapán de Zaragoza</w:t>
      </w:r>
      <w:r w:rsidRPr="00FB571A">
        <w:rPr>
          <w:rFonts w:ascii="Palatino Linotype" w:eastAsia="Calibri" w:hAnsi="Palatino Linotype" w:cs="Tahoma"/>
          <w:iCs/>
          <w:sz w:val="22"/>
          <w:szCs w:val="22"/>
          <w:lang w:val="es-ES" w:eastAsia="es-ES_tradnl"/>
        </w:rPr>
        <w:t>,</w:t>
      </w:r>
      <w:r w:rsidR="008F0E5B">
        <w:rPr>
          <w:rFonts w:ascii="Palatino Linotype" w:eastAsia="Calibri" w:hAnsi="Palatino Linotype" w:cs="Tahoma"/>
          <w:iCs/>
          <w:sz w:val="22"/>
          <w:szCs w:val="22"/>
          <w:lang w:val="es-ES" w:eastAsia="es-ES_tradnl"/>
        </w:rPr>
        <w:t xml:space="preserve"> </w:t>
      </w:r>
      <w:r w:rsidR="00A917F5" w:rsidRPr="00A917F5">
        <w:rPr>
          <w:rFonts w:ascii="Palatino Linotype" w:eastAsia="Calibri" w:hAnsi="Palatino Linotype" w:cs="Tahoma"/>
          <w:iCs/>
          <w:sz w:val="22"/>
          <w:szCs w:val="22"/>
          <w:lang w:val="es-ES" w:eastAsia="es-ES_tradnl"/>
        </w:rPr>
        <w:t xml:space="preserve">la relación detallada de todos los contratos, adquisiciones, licitaciones o convenios celebrados por la Subdirección de Administración y Finanzas durante la gestión de </w:t>
      </w:r>
      <w:r w:rsidR="00A917F5">
        <w:rPr>
          <w:rFonts w:ascii="Palatino Linotype" w:eastAsia="Calibri" w:hAnsi="Palatino Linotype" w:cs="Tahoma"/>
          <w:iCs/>
          <w:sz w:val="22"/>
          <w:szCs w:val="22"/>
          <w:lang w:val="es-ES" w:eastAsia="es-ES_tradnl"/>
        </w:rPr>
        <w:t>una servidora pública en específico.</w:t>
      </w:r>
    </w:p>
    <w:p w14:paraId="5C157183" w14:textId="77777777" w:rsidR="00A917F5" w:rsidRDefault="00A917F5" w:rsidP="000B54EE">
      <w:pPr>
        <w:tabs>
          <w:tab w:val="left" w:pos="4962"/>
        </w:tabs>
        <w:spacing w:line="360" w:lineRule="auto"/>
        <w:jc w:val="both"/>
        <w:rPr>
          <w:rFonts w:ascii="Palatino Linotype" w:eastAsia="Calibri" w:hAnsi="Palatino Linotype" w:cs="Tahoma"/>
          <w:iCs/>
          <w:sz w:val="22"/>
          <w:szCs w:val="22"/>
          <w:lang w:val="es-ES" w:eastAsia="es-ES_tradnl"/>
        </w:rPr>
      </w:pPr>
    </w:p>
    <w:p w14:paraId="0072B258" w14:textId="4225FCB3" w:rsidR="00A511BB" w:rsidRPr="00FB571A" w:rsidRDefault="00993BF4" w:rsidP="008F0E5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8F0E5B">
        <w:rPr>
          <w:rFonts w:ascii="Palatino Linotype" w:eastAsia="Calibri" w:hAnsi="Palatino Linotype" w:cs="Tahoma"/>
          <w:iCs/>
          <w:sz w:val="22"/>
          <w:szCs w:val="22"/>
          <w:lang w:val="es-ES" w:eastAsia="es-ES_tradnl"/>
        </w:rPr>
        <w:t xml:space="preserve"> señaló que la información se encontraba en liga</w:t>
      </w:r>
      <w:r w:rsidR="00FE265A">
        <w:rPr>
          <w:rFonts w:ascii="Palatino Linotype" w:eastAsia="Calibri" w:hAnsi="Palatino Linotype" w:cs="Tahoma"/>
          <w:iCs/>
          <w:sz w:val="22"/>
          <w:szCs w:val="22"/>
          <w:lang w:val="es-ES" w:eastAsia="es-ES_tradnl"/>
        </w:rPr>
        <w:t>s</w:t>
      </w:r>
      <w:r w:rsidR="008F0E5B">
        <w:rPr>
          <w:rFonts w:ascii="Palatino Linotype" w:eastAsia="Calibri" w:hAnsi="Palatino Linotype" w:cs="Tahoma"/>
          <w:iCs/>
          <w:sz w:val="22"/>
          <w:szCs w:val="22"/>
          <w:lang w:val="es-ES" w:eastAsia="es-ES_tradnl"/>
        </w:rPr>
        <w:t xml:space="preserve"> electrónica</w:t>
      </w:r>
      <w:r w:rsidR="00FE265A">
        <w:rPr>
          <w:rFonts w:ascii="Palatino Linotype" w:eastAsia="Calibri" w:hAnsi="Palatino Linotype" w:cs="Tahoma"/>
          <w:iCs/>
          <w:sz w:val="22"/>
          <w:szCs w:val="22"/>
          <w:lang w:val="es-ES" w:eastAsia="es-ES_tradnl"/>
        </w:rPr>
        <w:t>s</w:t>
      </w:r>
      <w:r w:rsidR="00C66047">
        <w:rPr>
          <w:rFonts w:ascii="Palatino Linotype" w:eastAsia="Calibri" w:hAnsi="Palatino Linotype" w:cs="Tahoma"/>
          <w:iCs/>
          <w:sz w:val="22"/>
          <w:szCs w:val="22"/>
          <w:lang w:val="es-ES" w:eastAsia="es-ES_tradnl"/>
        </w:rPr>
        <w:t>,</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C66047">
        <w:rPr>
          <w:rFonts w:ascii="Palatino Linotype" w:eastAsia="Calibri" w:hAnsi="Palatino Linotype" w:cs="Tahoma"/>
          <w:iCs/>
          <w:sz w:val="22"/>
          <w:szCs w:val="22"/>
          <w:lang w:val="es-ES" w:eastAsia="es-ES_tradnl"/>
        </w:rPr>
        <w:t xml:space="preserve">el Particular se inconformó </w:t>
      </w:r>
      <w:r w:rsidR="008F0E5B">
        <w:rPr>
          <w:rFonts w:ascii="Palatino Linotype" w:eastAsia="Calibri" w:hAnsi="Palatino Linotype" w:cs="Tahoma"/>
          <w:iCs/>
          <w:sz w:val="22"/>
          <w:szCs w:val="22"/>
          <w:lang w:val="es-ES" w:eastAsia="es-ES_tradnl"/>
        </w:rPr>
        <w:t>al considerar que la respuesta no era congruente</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0B54EE">
        <w:rPr>
          <w:rFonts w:ascii="Palatino Linotype" w:eastAsia="Calibri" w:hAnsi="Palatino Linotype" w:cs="Tahoma"/>
          <w:sz w:val="22"/>
          <w:szCs w:val="22"/>
        </w:rPr>
        <w:t>V</w:t>
      </w:r>
      <w:r w:rsidR="00F25703">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r w:rsidR="000B54EE">
        <w:rPr>
          <w:rFonts w:ascii="Palatino Linotype" w:eastAsia="Calibri" w:hAnsi="Palatino Linotype" w:cs="Tahoma"/>
          <w:bCs/>
          <w:sz w:val="22"/>
          <w:szCs w:val="22"/>
        </w:rPr>
        <w:t xml:space="preserve"> Así, las cosas una vez admitido y notificado a las partes, el Sujeto Obligado ratificó su respuesta primigenia.</w:t>
      </w:r>
    </w:p>
    <w:p w14:paraId="2050445B" w14:textId="77777777" w:rsidR="00571944" w:rsidRPr="00FB571A" w:rsidRDefault="00CE0B4C" w:rsidP="000B54EE">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25B2A74" w14:textId="77777777" w:rsidR="00FF5303" w:rsidRPr="00FB571A" w:rsidRDefault="00FF5303" w:rsidP="000B54EE">
      <w:pPr>
        <w:tabs>
          <w:tab w:val="left" w:pos="4962"/>
        </w:tabs>
        <w:spacing w:line="360" w:lineRule="auto"/>
        <w:jc w:val="both"/>
        <w:rPr>
          <w:rFonts w:ascii="Palatino Linotype" w:eastAsia="Calibri" w:hAnsi="Palatino Linotype" w:cs="Tahoma"/>
          <w:iCs/>
          <w:sz w:val="22"/>
          <w:szCs w:val="22"/>
          <w:lang w:eastAsia="es-ES_tradnl"/>
        </w:rPr>
      </w:pPr>
    </w:p>
    <w:p w14:paraId="3E788459" w14:textId="77777777" w:rsidR="00CE0B4C" w:rsidRPr="00FB571A"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19" w:name="_Toc205306998"/>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9"/>
    </w:p>
    <w:p w14:paraId="307A2CDD" w14:textId="77777777" w:rsidR="00CE0B4C" w:rsidRPr="00FB571A" w:rsidRDefault="00CE0B4C" w:rsidP="000B54EE">
      <w:pPr>
        <w:spacing w:line="360" w:lineRule="auto"/>
        <w:contextualSpacing/>
        <w:jc w:val="both"/>
        <w:rPr>
          <w:rFonts w:ascii="Palatino Linotype" w:hAnsi="Palatino Linotype" w:cs="Tahoma"/>
          <w:sz w:val="22"/>
          <w:szCs w:val="22"/>
        </w:rPr>
      </w:pPr>
    </w:p>
    <w:p w14:paraId="5A17EEA7" w14:textId="77777777" w:rsidR="00CE0B4C" w:rsidRPr="00FB571A" w:rsidRDefault="00CE0B4C" w:rsidP="000B54EE">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632B6ABC" w14:textId="77777777" w:rsidR="00CE0B4C" w:rsidRPr="00FB571A" w:rsidRDefault="00CE0B4C" w:rsidP="000B54EE">
      <w:pPr>
        <w:spacing w:line="360" w:lineRule="auto"/>
        <w:contextualSpacing/>
        <w:jc w:val="both"/>
        <w:rPr>
          <w:rFonts w:ascii="Palatino Linotype" w:hAnsi="Palatino Linotype" w:cs="Tahoma"/>
          <w:sz w:val="22"/>
          <w:szCs w:val="22"/>
        </w:rPr>
      </w:pPr>
    </w:p>
    <w:p w14:paraId="13AAA7FC"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FB216D" w14:textId="77777777" w:rsidR="00CE0B4C" w:rsidRPr="00FB571A" w:rsidRDefault="00CE0B4C" w:rsidP="000B54EE">
      <w:pPr>
        <w:spacing w:line="360" w:lineRule="auto"/>
        <w:jc w:val="both"/>
        <w:rPr>
          <w:rFonts w:ascii="Palatino Linotype" w:hAnsi="Palatino Linotype" w:cs="Tahoma"/>
          <w:sz w:val="22"/>
          <w:szCs w:val="22"/>
        </w:rPr>
      </w:pPr>
    </w:p>
    <w:p w14:paraId="013E12E4"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5676276" w14:textId="77777777" w:rsidR="00CE0B4C" w:rsidRPr="00FB571A" w:rsidRDefault="00CE0B4C" w:rsidP="000B54EE">
      <w:pPr>
        <w:spacing w:line="360" w:lineRule="auto"/>
        <w:jc w:val="both"/>
        <w:rPr>
          <w:rFonts w:ascii="Palatino Linotype" w:hAnsi="Palatino Linotype" w:cs="Tahoma"/>
          <w:sz w:val="22"/>
          <w:szCs w:val="22"/>
        </w:rPr>
      </w:pPr>
    </w:p>
    <w:p w14:paraId="2A391419"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6AC4D01B" w14:textId="77777777" w:rsidR="00EF5683" w:rsidRPr="00FB571A" w:rsidRDefault="00EF5683" w:rsidP="000B54EE">
      <w:pPr>
        <w:spacing w:line="360" w:lineRule="auto"/>
        <w:jc w:val="both"/>
        <w:rPr>
          <w:rFonts w:ascii="Palatino Linotype" w:hAnsi="Palatino Linotype" w:cs="Tahoma"/>
          <w:sz w:val="22"/>
          <w:szCs w:val="22"/>
        </w:rPr>
      </w:pPr>
    </w:p>
    <w:p w14:paraId="1B709186"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88B82F1" w14:textId="77777777" w:rsidR="005C0E48" w:rsidRDefault="005C0E48" w:rsidP="000B54EE">
      <w:pPr>
        <w:spacing w:line="360" w:lineRule="auto"/>
        <w:jc w:val="both"/>
        <w:rPr>
          <w:rFonts w:ascii="Palatino Linotype" w:hAnsi="Palatino Linotype" w:cs="Tahoma"/>
          <w:sz w:val="22"/>
          <w:szCs w:val="22"/>
        </w:rPr>
      </w:pPr>
    </w:p>
    <w:p w14:paraId="2B2B3969" w14:textId="77777777" w:rsidR="00CE0B4C" w:rsidRPr="00FB571A" w:rsidRDefault="00CE0B4C" w:rsidP="000B54EE">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4462D2A" w14:textId="77777777" w:rsidR="00EA1A4A" w:rsidRPr="00FB571A" w:rsidRDefault="00EA1A4A" w:rsidP="000B54EE">
      <w:pPr>
        <w:spacing w:line="360" w:lineRule="auto"/>
        <w:jc w:val="both"/>
        <w:rPr>
          <w:rFonts w:ascii="Palatino Linotype" w:hAnsi="Palatino Linotype" w:cs="Tahoma"/>
          <w:sz w:val="22"/>
          <w:szCs w:val="22"/>
        </w:rPr>
      </w:pPr>
    </w:p>
    <w:p w14:paraId="033F6AB2" w14:textId="77777777" w:rsidR="00CE0B4C" w:rsidRPr="00FB571A" w:rsidRDefault="00CE0B4C" w:rsidP="000B54EE">
      <w:pPr>
        <w:pStyle w:val="Ttulo2"/>
        <w:spacing w:before="0" w:line="360" w:lineRule="auto"/>
        <w:rPr>
          <w:rFonts w:ascii="Palatino Linotype" w:hAnsi="Palatino Linotype"/>
          <w:b/>
          <w:color w:val="auto"/>
          <w:sz w:val="22"/>
          <w:lang w:val="es-ES"/>
        </w:rPr>
      </w:pPr>
      <w:bookmarkStart w:id="20" w:name="_Toc205306999"/>
      <w:r w:rsidRPr="00FB571A">
        <w:rPr>
          <w:rFonts w:ascii="Palatino Linotype" w:eastAsia="Calibri" w:hAnsi="Palatino Linotype"/>
          <w:b/>
          <w:color w:val="auto"/>
          <w:sz w:val="22"/>
          <w:lang w:eastAsia="es-ES_tradnl"/>
        </w:rPr>
        <w:t>QUINTO. Estudio de Fondo</w:t>
      </w:r>
      <w:bookmarkEnd w:id="20"/>
    </w:p>
    <w:p w14:paraId="32ECD840" w14:textId="77777777" w:rsidR="00040101" w:rsidRPr="00FB571A" w:rsidRDefault="00040101" w:rsidP="000B54EE">
      <w:pPr>
        <w:spacing w:line="360" w:lineRule="auto"/>
        <w:ind w:right="-93"/>
        <w:jc w:val="both"/>
        <w:rPr>
          <w:rFonts w:ascii="Palatino Linotype" w:hAnsi="Palatino Linotype" w:cs="Tahoma"/>
          <w:b/>
          <w:sz w:val="22"/>
          <w:szCs w:val="22"/>
          <w:lang w:val="es-ES"/>
        </w:rPr>
      </w:pPr>
    </w:p>
    <w:p w14:paraId="4330E1D3" w14:textId="77777777" w:rsidR="00612C39" w:rsidRDefault="00605837" w:rsidP="000B54EE">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45542C93" w14:textId="77777777" w:rsidR="00F25703" w:rsidRDefault="00F25703" w:rsidP="000B54EE">
      <w:pPr>
        <w:spacing w:line="360" w:lineRule="auto"/>
        <w:jc w:val="both"/>
        <w:rPr>
          <w:rFonts w:ascii="Palatino Linotype" w:hAnsi="Palatino Linotype" w:cs="Tahoma"/>
          <w:sz w:val="22"/>
          <w:szCs w:val="22"/>
        </w:rPr>
      </w:pPr>
    </w:p>
    <w:p w14:paraId="4142C201" w14:textId="1116A6EE" w:rsidR="00FE265A" w:rsidRPr="00BF7391" w:rsidRDefault="00647E3E" w:rsidP="00FE265A">
      <w:pPr>
        <w:spacing w:line="360" w:lineRule="auto"/>
        <w:jc w:val="both"/>
        <w:rPr>
          <w:rFonts w:ascii="Palatino Linotype" w:eastAsia="Calibri" w:hAnsi="Palatino Linotype" w:cs="Tahoma"/>
          <w:bCs/>
          <w:sz w:val="22"/>
          <w:szCs w:val="22"/>
          <w:lang w:eastAsia="en-US"/>
        </w:rPr>
      </w:pPr>
      <w:r w:rsidRPr="00647E3E">
        <w:rPr>
          <w:rFonts w:ascii="Palatino Linotype" w:eastAsia="Calibri" w:hAnsi="Palatino Linotype" w:cs="Tahoma"/>
          <w:bCs/>
          <w:iCs/>
          <w:sz w:val="22"/>
          <w:szCs w:val="22"/>
          <w:lang w:val="es-ES" w:eastAsia="es-ES_tradnl"/>
        </w:rPr>
        <w:t>Sobre el tema,</w:t>
      </w:r>
      <w:r w:rsidR="008F0E5B">
        <w:rPr>
          <w:rFonts w:ascii="Palatino Linotype" w:eastAsia="Calibri" w:hAnsi="Palatino Linotype" w:cs="Tahoma"/>
          <w:bCs/>
          <w:iCs/>
          <w:sz w:val="22"/>
          <w:szCs w:val="22"/>
          <w:lang w:val="es-ES" w:eastAsia="es-ES_tradnl"/>
        </w:rPr>
        <w:t xml:space="preserve"> </w:t>
      </w:r>
      <w:r w:rsidR="00FE265A">
        <w:rPr>
          <w:rFonts w:ascii="Palatino Linotype" w:eastAsia="Calibri" w:hAnsi="Palatino Linotype" w:cs="Tahoma"/>
          <w:bCs/>
          <w:iCs/>
          <w:sz w:val="22"/>
          <w:szCs w:val="22"/>
          <w:lang w:val="es-ES" w:eastAsia="es-ES_tradnl"/>
        </w:rPr>
        <w:t xml:space="preserve">de las adquisiciones realizadas </w:t>
      </w:r>
      <w:r w:rsidR="00FE265A">
        <w:rPr>
          <w:rFonts w:ascii="Palatino Linotype" w:eastAsia="Calibri" w:hAnsi="Palatino Linotype" w:cs="Tahoma"/>
          <w:iCs/>
          <w:sz w:val="22"/>
          <w:szCs w:val="22"/>
          <w:lang w:eastAsia="es-ES_tradnl"/>
        </w:rPr>
        <w:t xml:space="preserve">es de señalar que dicha información </w:t>
      </w:r>
      <w:r w:rsidR="00FE265A" w:rsidRPr="00BF7391">
        <w:rPr>
          <w:rFonts w:ascii="Palatino Linotype" w:hAnsi="Palatino Linotype" w:cs="Tahoma"/>
          <w:sz w:val="22"/>
          <w:szCs w:val="22"/>
          <w:lang w:eastAsia="es-MX"/>
        </w:rPr>
        <w:t xml:space="preserve">corresponde a obligaciones de transparencia </w:t>
      </w:r>
      <w:r w:rsidR="00FE265A" w:rsidRPr="00BF7391">
        <w:rPr>
          <w:rFonts w:ascii="Palatino Linotype" w:eastAsia="Calibri" w:hAnsi="Palatino Linotype" w:cs="Tahoma"/>
          <w:bCs/>
          <w:sz w:val="22"/>
          <w:szCs w:val="22"/>
          <w:lang w:eastAsia="en-US"/>
        </w:rPr>
        <w:t>de acuerdo a lo señalado en el artículo 92, fracción XXIX, de la Ley de Transparencia y Acceso a la Información Pública del Estado de México y Municipios, que se transcribe a continuación:</w:t>
      </w:r>
    </w:p>
    <w:p w14:paraId="39197568" w14:textId="77777777" w:rsidR="00FE265A" w:rsidRPr="00BF7391" w:rsidRDefault="00FE265A" w:rsidP="00FE265A">
      <w:pPr>
        <w:spacing w:line="360" w:lineRule="auto"/>
        <w:ind w:right="-93"/>
        <w:jc w:val="both"/>
        <w:rPr>
          <w:rFonts w:ascii="Palatino Linotype" w:eastAsia="Calibri" w:hAnsi="Palatino Linotype" w:cs="Tahoma"/>
          <w:bCs/>
          <w:sz w:val="22"/>
          <w:szCs w:val="22"/>
          <w:lang w:eastAsia="en-US"/>
        </w:rPr>
      </w:pPr>
    </w:p>
    <w:p w14:paraId="20B9F6D7" w14:textId="77777777" w:rsidR="00FE265A" w:rsidRPr="00BF7391" w:rsidRDefault="00FE265A" w:rsidP="00FE265A">
      <w:pPr>
        <w:spacing w:line="360" w:lineRule="auto"/>
        <w:ind w:left="567" w:right="539"/>
        <w:jc w:val="both"/>
        <w:rPr>
          <w:rFonts w:ascii="Palatino Linotype" w:hAnsi="Palatino Linotype"/>
          <w:i/>
          <w:szCs w:val="22"/>
        </w:rPr>
      </w:pPr>
      <w:r w:rsidRPr="00BF7391">
        <w:rPr>
          <w:rFonts w:ascii="Palatino Linotype" w:hAnsi="Palatino Linotype"/>
          <w:b/>
          <w:i/>
          <w:szCs w:val="22"/>
        </w:rPr>
        <w:t>Artículo 92.</w:t>
      </w:r>
      <w:r w:rsidRPr="00BF7391">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w:t>
      </w:r>
      <w:r w:rsidRPr="00BF7391">
        <w:rPr>
          <w:rFonts w:ascii="Palatino Linotype" w:hAnsi="Palatino Linotype"/>
          <w:i/>
          <w:szCs w:val="22"/>
        </w:rPr>
        <w:lastRenderedPageBreak/>
        <w:t>con sus facultades, atribuciones, funciones u objeto social, según corresponda, la información, por lo menos, de los temas, documentos y políticas que a continuación se señalan:</w:t>
      </w:r>
    </w:p>
    <w:p w14:paraId="193F6AB4" w14:textId="77777777" w:rsidR="00FE265A" w:rsidRPr="00BF7391" w:rsidRDefault="00FE265A" w:rsidP="00FE265A">
      <w:pPr>
        <w:spacing w:line="360" w:lineRule="auto"/>
        <w:ind w:left="567" w:right="539"/>
        <w:jc w:val="both"/>
        <w:rPr>
          <w:rFonts w:ascii="Palatino Linotype" w:hAnsi="Palatino Linotype"/>
          <w:i/>
          <w:szCs w:val="22"/>
        </w:rPr>
      </w:pPr>
    </w:p>
    <w:p w14:paraId="30ED31A4" w14:textId="77777777" w:rsidR="00FE265A" w:rsidRPr="00BF7391" w:rsidRDefault="00FE265A" w:rsidP="00FE265A">
      <w:pPr>
        <w:spacing w:line="360" w:lineRule="auto"/>
        <w:ind w:left="567" w:right="539"/>
        <w:jc w:val="both"/>
        <w:rPr>
          <w:rFonts w:ascii="Palatino Linotype" w:hAnsi="Palatino Linotype"/>
          <w:b/>
          <w:i/>
          <w:szCs w:val="22"/>
        </w:rPr>
      </w:pPr>
      <w:r w:rsidRPr="00BF7391">
        <w:rPr>
          <w:rFonts w:ascii="Palatino Linotype" w:hAnsi="Palatino Linotype"/>
          <w:i/>
          <w:szCs w:val="22"/>
        </w:rPr>
        <w:tab/>
      </w:r>
      <w:r w:rsidRPr="00BF7391">
        <w:rPr>
          <w:rFonts w:ascii="Palatino Linotype" w:hAnsi="Palatino Linotype"/>
          <w:b/>
          <w:i/>
          <w:szCs w:val="22"/>
        </w:rPr>
        <w:t xml:space="preserve">I </w:t>
      </w:r>
      <w:r w:rsidRPr="00BF7391">
        <w:rPr>
          <w:rFonts w:ascii="Palatino Linotype" w:hAnsi="Palatino Linotype"/>
          <w:i/>
          <w:szCs w:val="22"/>
        </w:rPr>
        <w:t>al</w:t>
      </w:r>
      <w:r w:rsidRPr="00BF7391">
        <w:rPr>
          <w:rFonts w:ascii="Palatino Linotype" w:hAnsi="Palatino Linotype"/>
          <w:b/>
          <w:i/>
          <w:szCs w:val="22"/>
        </w:rPr>
        <w:t xml:space="preserve"> XXVIII…</w:t>
      </w:r>
    </w:p>
    <w:p w14:paraId="1696278A" w14:textId="77777777" w:rsidR="00FE265A" w:rsidRPr="00BF7391" w:rsidRDefault="00FE265A" w:rsidP="00FE265A">
      <w:pPr>
        <w:spacing w:line="360" w:lineRule="auto"/>
        <w:ind w:left="567" w:right="539"/>
        <w:jc w:val="both"/>
        <w:rPr>
          <w:rFonts w:ascii="Palatino Linotype" w:hAnsi="Palatino Linotype"/>
          <w:b/>
          <w:i/>
          <w:szCs w:val="22"/>
        </w:rPr>
      </w:pPr>
    </w:p>
    <w:p w14:paraId="19778D23" w14:textId="77777777" w:rsidR="00FE265A" w:rsidRPr="00BF7391" w:rsidRDefault="00FE265A" w:rsidP="00FE265A">
      <w:pPr>
        <w:spacing w:line="360" w:lineRule="auto"/>
        <w:ind w:left="567" w:right="539"/>
        <w:jc w:val="both"/>
        <w:rPr>
          <w:rFonts w:ascii="Palatino Linotype" w:hAnsi="Palatino Linotype"/>
          <w:i/>
          <w:szCs w:val="22"/>
        </w:rPr>
      </w:pPr>
      <w:r w:rsidRPr="00BF7391">
        <w:rPr>
          <w:rFonts w:ascii="Palatino Linotype" w:hAnsi="Palatino Linotype"/>
          <w:b/>
          <w:i/>
          <w:szCs w:val="22"/>
        </w:rPr>
        <w:t xml:space="preserve">XXIX. </w:t>
      </w:r>
      <w:r w:rsidRPr="00BF7391">
        <w:rPr>
          <w:rFonts w:ascii="Palatino Linotype" w:hAnsi="Palatino Linotype"/>
          <w:i/>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A6E2D71" w14:textId="77777777" w:rsidR="00FE265A" w:rsidRPr="00BF7391" w:rsidRDefault="00FE265A" w:rsidP="00FE265A">
      <w:pPr>
        <w:spacing w:line="360" w:lineRule="auto"/>
        <w:ind w:left="567" w:right="539"/>
        <w:jc w:val="both"/>
        <w:rPr>
          <w:rFonts w:ascii="Palatino Linotype" w:hAnsi="Palatino Linotype"/>
          <w:i/>
          <w:szCs w:val="22"/>
        </w:rPr>
      </w:pPr>
      <w:r w:rsidRPr="00BF7391">
        <w:rPr>
          <w:rFonts w:ascii="Palatino Linotype" w:hAnsi="Palatino Linotype"/>
          <w:b/>
          <w:i/>
          <w:szCs w:val="22"/>
        </w:rPr>
        <w:t xml:space="preserve">a) </w:t>
      </w:r>
      <w:r w:rsidRPr="00BF7391">
        <w:rPr>
          <w:rFonts w:ascii="Palatino Linotype" w:hAnsi="Palatino Linotype"/>
          <w:i/>
          <w:szCs w:val="22"/>
        </w:rPr>
        <w:t>De licitaciones públicas o procedimientos de invitación restringida:</w:t>
      </w:r>
    </w:p>
    <w:p w14:paraId="0FD20499" w14:textId="77777777" w:rsidR="00FE265A" w:rsidRPr="00BF7391" w:rsidRDefault="00FE265A" w:rsidP="00FE265A">
      <w:pPr>
        <w:spacing w:line="360" w:lineRule="auto"/>
        <w:ind w:left="567" w:right="539"/>
        <w:jc w:val="both"/>
        <w:rPr>
          <w:rFonts w:ascii="Palatino Linotype" w:hAnsi="Palatino Linotype"/>
          <w:i/>
          <w:szCs w:val="22"/>
        </w:rPr>
      </w:pPr>
      <w:r w:rsidRPr="00BF7391">
        <w:rPr>
          <w:rFonts w:ascii="Palatino Linotype" w:hAnsi="Palatino Linotype"/>
          <w:i/>
          <w:szCs w:val="22"/>
        </w:rPr>
        <w:t>…</w:t>
      </w:r>
    </w:p>
    <w:p w14:paraId="07070C12" w14:textId="77777777" w:rsidR="00FE265A" w:rsidRPr="00BF7391" w:rsidRDefault="00FE265A" w:rsidP="00FE265A">
      <w:pPr>
        <w:spacing w:line="360" w:lineRule="auto"/>
        <w:ind w:left="708" w:right="-93"/>
        <w:jc w:val="both"/>
        <w:rPr>
          <w:rFonts w:ascii="Palatino Linotype" w:hAnsi="Palatino Linotype"/>
          <w:i/>
          <w:szCs w:val="22"/>
        </w:rPr>
      </w:pPr>
      <w:r w:rsidRPr="00BF7391">
        <w:rPr>
          <w:rFonts w:ascii="Palatino Linotype" w:hAnsi="Palatino Linotype"/>
          <w:i/>
          <w:szCs w:val="22"/>
        </w:rPr>
        <w:t>a) De licitaciones públicas o procedimientos de invitación restringida:</w:t>
      </w:r>
      <w:r w:rsidRPr="00BF7391">
        <w:rPr>
          <w:rFonts w:ascii="Palatino Linotype" w:hAnsi="Palatino Linotype"/>
          <w:i/>
          <w:szCs w:val="22"/>
        </w:rPr>
        <w:cr/>
        <w:t>1) a 14</w:t>
      </w:r>
      <w:proofErr w:type="gramStart"/>
      <w:r w:rsidRPr="00BF7391">
        <w:rPr>
          <w:rFonts w:ascii="Palatino Linotype" w:hAnsi="Palatino Linotype"/>
          <w:i/>
          <w:szCs w:val="22"/>
        </w:rPr>
        <w:t>) …</w:t>
      </w:r>
      <w:proofErr w:type="gramEnd"/>
    </w:p>
    <w:p w14:paraId="3466C1A4" w14:textId="77777777" w:rsidR="00FE265A" w:rsidRPr="00BF7391" w:rsidRDefault="00FE265A" w:rsidP="00FE265A">
      <w:pPr>
        <w:spacing w:line="360" w:lineRule="auto"/>
        <w:ind w:left="708" w:right="-93"/>
        <w:jc w:val="both"/>
        <w:rPr>
          <w:rFonts w:ascii="Palatino Linotype" w:hAnsi="Palatino Linotype"/>
          <w:i/>
          <w:szCs w:val="22"/>
        </w:rPr>
      </w:pPr>
      <w:r w:rsidRPr="00BF7391">
        <w:rPr>
          <w:rFonts w:ascii="Palatino Linotype" w:hAnsi="Palatino Linotype"/>
          <w:i/>
          <w:szCs w:val="22"/>
        </w:rPr>
        <w:t>b) De las adjudicaciones directas:</w:t>
      </w:r>
    </w:p>
    <w:p w14:paraId="651F85C5" w14:textId="77777777" w:rsidR="00FE265A" w:rsidRPr="00BF7391" w:rsidRDefault="00FE265A" w:rsidP="00FE265A">
      <w:pPr>
        <w:spacing w:line="360" w:lineRule="auto"/>
        <w:ind w:left="708" w:right="-93"/>
        <w:jc w:val="both"/>
        <w:rPr>
          <w:rFonts w:ascii="Palatino Linotype" w:hAnsi="Palatino Linotype"/>
          <w:i/>
          <w:szCs w:val="22"/>
        </w:rPr>
      </w:pPr>
      <w:r w:rsidRPr="00BF7391">
        <w:rPr>
          <w:rFonts w:ascii="Palatino Linotype" w:hAnsi="Palatino Linotype"/>
          <w:i/>
          <w:szCs w:val="22"/>
        </w:rPr>
        <w:t>1) a 11</w:t>
      </w:r>
      <w:proofErr w:type="gramStart"/>
      <w:r w:rsidRPr="00BF7391">
        <w:rPr>
          <w:rFonts w:ascii="Palatino Linotype" w:hAnsi="Palatino Linotype"/>
          <w:i/>
          <w:szCs w:val="22"/>
        </w:rPr>
        <w:t>) …</w:t>
      </w:r>
      <w:proofErr w:type="gramEnd"/>
    </w:p>
    <w:p w14:paraId="055BC491" w14:textId="77777777" w:rsidR="00FE265A" w:rsidRPr="00BF7391" w:rsidRDefault="00FE265A" w:rsidP="00FE265A">
      <w:pPr>
        <w:spacing w:line="360" w:lineRule="auto"/>
        <w:ind w:left="708" w:right="-93"/>
        <w:jc w:val="both"/>
        <w:rPr>
          <w:rFonts w:ascii="Palatino Linotype" w:hAnsi="Palatino Linotype"/>
          <w:b/>
          <w:bCs/>
          <w:i/>
          <w:szCs w:val="22"/>
        </w:rPr>
      </w:pPr>
      <w:r w:rsidRPr="00BF7391">
        <w:rPr>
          <w:rFonts w:ascii="Palatino Linotype" w:hAnsi="Palatino Linotype"/>
          <w:b/>
          <w:bCs/>
          <w:i/>
          <w:szCs w:val="22"/>
        </w:rPr>
        <w:t>XXX a XLIX…</w:t>
      </w:r>
    </w:p>
    <w:p w14:paraId="2C9094AA" w14:textId="77777777" w:rsidR="00FE265A" w:rsidRPr="00BF7391" w:rsidRDefault="00FE265A" w:rsidP="00FE265A">
      <w:pPr>
        <w:spacing w:line="360" w:lineRule="auto"/>
        <w:ind w:right="-93"/>
        <w:jc w:val="both"/>
        <w:rPr>
          <w:rFonts w:ascii="Palatino Linotype" w:hAnsi="Palatino Linotype"/>
          <w:noProof/>
          <w:sz w:val="22"/>
          <w:szCs w:val="22"/>
          <w:lang w:eastAsia="es-MX"/>
        </w:rPr>
      </w:pPr>
    </w:p>
    <w:p w14:paraId="41A41B1E" w14:textId="77777777" w:rsidR="00FE265A" w:rsidRPr="00BF7391" w:rsidRDefault="00FE265A" w:rsidP="00FE265A">
      <w:pPr>
        <w:spacing w:line="360" w:lineRule="auto"/>
        <w:ind w:right="-93"/>
        <w:jc w:val="both"/>
        <w:rPr>
          <w:rFonts w:ascii="Palatino Linotype" w:eastAsia="Calibri" w:hAnsi="Palatino Linotype" w:cs="Tahoma"/>
          <w:bCs/>
          <w:sz w:val="22"/>
          <w:szCs w:val="22"/>
          <w:lang w:eastAsia="en-US"/>
        </w:rPr>
      </w:pPr>
      <w:r w:rsidRPr="00BF7391">
        <w:rPr>
          <w:rFonts w:ascii="Palatino Linotype" w:hAnsi="Palatino Linotype"/>
          <w:noProof/>
          <w:sz w:val="22"/>
          <w:szCs w:val="22"/>
          <w:lang w:eastAsia="es-MX"/>
        </w:rPr>
        <w:t xml:space="preserve">Aunado a lo anterior, </w:t>
      </w:r>
      <w:r w:rsidRPr="00BF7391">
        <w:rPr>
          <w:rFonts w:ascii="Palatino Linotype" w:eastAsia="Calibri" w:hAnsi="Palatino Linotype" w:cs="Tahoma"/>
          <w:bCs/>
          <w:sz w:val="22"/>
          <w:szCs w:val="22"/>
          <w:lang w:eastAsia="en-US"/>
        </w:rPr>
        <w:t>la Ley de Contratación Pública del Estado de México y Municipios, señala lo siguiente:</w:t>
      </w:r>
    </w:p>
    <w:p w14:paraId="4FB1342D" w14:textId="77777777" w:rsidR="00FE265A" w:rsidRPr="00BF7391" w:rsidRDefault="00FE265A" w:rsidP="00FE265A">
      <w:pPr>
        <w:spacing w:line="360" w:lineRule="auto"/>
        <w:ind w:right="-93"/>
        <w:jc w:val="both"/>
        <w:rPr>
          <w:rFonts w:ascii="Palatino Linotype" w:eastAsia="Calibri" w:hAnsi="Palatino Linotype" w:cs="Tahoma"/>
          <w:b/>
          <w:sz w:val="22"/>
          <w:szCs w:val="22"/>
          <w:lang w:eastAsia="en-US"/>
        </w:rPr>
      </w:pPr>
    </w:p>
    <w:p w14:paraId="5C2B79DD" w14:textId="77777777" w:rsidR="00FE265A" w:rsidRPr="00BF7391" w:rsidRDefault="00FE265A" w:rsidP="00FE265A">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26.-</w:t>
      </w:r>
      <w:r w:rsidRPr="00BF7391">
        <w:rPr>
          <w:rFonts w:ascii="Palatino Linotype" w:eastAsia="Calibri" w:hAnsi="Palatino Linotype" w:cs="Tahoma"/>
          <w:bCs/>
          <w:i/>
          <w:iCs/>
          <w:lang w:eastAsia="en-US"/>
        </w:rPr>
        <w:t xml:space="preserve"> </w:t>
      </w:r>
      <w:r w:rsidRPr="00BF7391">
        <w:rPr>
          <w:rFonts w:ascii="Palatino Linotype" w:eastAsia="Calibri" w:hAnsi="Palatino Linotype" w:cs="Tahoma"/>
          <w:b/>
          <w:bCs/>
          <w:i/>
          <w:iCs/>
          <w:u w:val="single"/>
          <w:lang w:eastAsia="en-US"/>
        </w:rPr>
        <w:t>Las adquisiciones, arrendamientos</w:t>
      </w:r>
      <w:r w:rsidRPr="00BF7391">
        <w:rPr>
          <w:rFonts w:ascii="Palatino Linotype" w:eastAsia="Calibri" w:hAnsi="Palatino Linotype" w:cs="Tahoma"/>
          <w:bCs/>
          <w:i/>
          <w:iCs/>
          <w:lang w:eastAsia="en-US"/>
        </w:rPr>
        <w:t xml:space="preserve"> y servicios se adjudicarán a través de </w:t>
      </w:r>
      <w:r w:rsidRPr="00BF7391">
        <w:rPr>
          <w:rFonts w:ascii="Palatino Linotype" w:eastAsia="Calibri" w:hAnsi="Palatino Linotype" w:cs="Tahoma"/>
          <w:b/>
          <w:i/>
          <w:iCs/>
          <w:u w:val="single"/>
          <w:lang w:eastAsia="en-US"/>
        </w:rPr>
        <w:t>licitaciones públicas, mediante convocatoria pública</w:t>
      </w:r>
      <w:r w:rsidRPr="00BF7391">
        <w:rPr>
          <w:rFonts w:ascii="Palatino Linotype" w:eastAsia="Calibri" w:hAnsi="Palatino Linotype" w:cs="Tahoma"/>
          <w:bCs/>
          <w:i/>
          <w:iCs/>
          <w:lang w:eastAsia="en-US"/>
        </w:rPr>
        <w:t>.</w:t>
      </w:r>
    </w:p>
    <w:p w14:paraId="0AEEF31F" w14:textId="77777777" w:rsidR="00FE265A" w:rsidRPr="00BF7391" w:rsidRDefault="00FE265A" w:rsidP="00FE265A">
      <w:pPr>
        <w:spacing w:line="360" w:lineRule="auto"/>
        <w:ind w:left="567" w:right="539"/>
        <w:jc w:val="both"/>
        <w:rPr>
          <w:rFonts w:ascii="Palatino Linotype" w:eastAsia="Calibri" w:hAnsi="Palatino Linotype" w:cs="Tahoma"/>
          <w:b/>
          <w:i/>
          <w:iCs/>
          <w:lang w:eastAsia="en-US"/>
        </w:rPr>
      </w:pPr>
    </w:p>
    <w:p w14:paraId="0BF1ABF4" w14:textId="77777777" w:rsidR="00FE265A" w:rsidRPr="00BF7391" w:rsidRDefault="00FE265A" w:rsidP="00FE265A">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27.-</w:t>
      </w:r>
      <w:r w:rsidRPr="00BF7391">
        <w:rPr>
          <w:rFonts w:ascii="Palatino Linotype" w:eastAsia="Calibri" w:hAnsi="Palatino Linotype" w:cs="Tahoma"/>
          <w:bCs/>
          <w:i/>
          <w:iCs/>
          <w:lang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515E7240" w14:textId="77777777" w:rsidR="00FE265A" w:rsidRDefault="00FE265A" w:rsidP="00FE265A">
      <w:pPr>
        <w:spacing w:line="360" w:lineRule="auto"/>
        <w:ind w:left="567" w:right="539"/>
        <w:jc w:val="both"/>
        <w:rPr>
          <w:rFonts w:ascii="Palatino Linotype" w:eastAsia="Calibri" w:hAnsi="Palatino Linotype" w:cs="Tahoma"/>
          <w:b/>
          <w:i/>
          <w:iCs/>
          <w:u w:val="single"/>
          <w:lang w:eastAsia="en-US"/>
        </w:rPr>
      </w:pPr>
    </w:p>
    <w:p w14:paraId="295AEA6F" w14:textId="77777777" w:rsidR="00DE06C2" w:rsidRDefault="00DE06C2" w:rsidP="00FE265A">
      <w:pPr>
        <w:spacing w:line="360" w:lineRule="auto"/>
        <w:ind w:left="567" w:right="539"/>
        <w:jc w:val="both"/>
        <w:rPr>
          <w:rFonts w:ascii="Palatino Linotype" w:eastAsia="Calibri" w:hAnsi="Palatino Linotype" w:cs="Tahoma"/>
          <w:b/>
          <w:i/>
          <w:iCs/>
          <w:u w:val="single"/>
          <w:lang w:eastAsia="en-US"/>
        </w:rPr>
      </w:pPr>
    </w:p>
    <w:p w14:paraId="7E724FAC" w14:textId="77777777" w:rsidR="00DE06C2" w:rsidRPr="00BF7391" w:rsidRDefault="00DE06C2" w:rsidP="00FE265A">
      <w:pPr>
        <w:spacing w:line="360" w:lineRule="auto"/>
        <w:ind w:left="567" w:right="539"/>
        <w:jc w:val="both"/>
        <w:rPr>
          <w:rFonts w:ascii="Palatino Linotype" w:eastAsia="Calibri" w:hAnsi="Palatino Linotype" w:cs="Tahoma"/>
          <w:b/>
          <w:i/>
          <w:iCs/>
          <w:u w:val="single"/>
          <w:lang w:eastAsia="en-US"/>
        </w:rPr>
      </w:pPr>
    </w:p>
    <w:p w14:paraId="2F51ED73" w14:textId="77777777" w:rsidR="00FE265A" w:rsidRPr="00BF7391" w:rsidRDefault="00FE265A" w:rsidP="00FE265A">
      <w:pPr>
        <w:spacing w:line="360" w:lineRule="auto"/>
        <w:ind w:left="567" w:right="539"/>
        <w:jc w:val="both"/>
        <w:rPr>
          <w:rFonts w:ascii="Palatino Linotype" w:eastAsia="Calibri" w:hAnsi="Palatino Linotype" w:cs="Tahoma"/>
          <w:b/>
          <w:i/>
          <w:iCs/>
          <w:u w:val="single"/>
          <w:lang w:eastAsia="en-US"/>
        </w:rPr>
      </w:pPr>
      <w:r w:rsidRPr="00BF7391">
        <w:rPr>
          <w:rFonts w:ascii="Palatino Linotype" w:eastAsia="Calibri" w:hAnsi="Palatino Linotype" w:cs="Tahoma"/>
          <w:b/>
          <w:i/>
          <w:iCs/>
          <w:u w:val="single"/>
          <w:lang w:eastAsia="en-US"/>
        </w:rPr>
        <w:t>I. Invitación restringida.</w:t>
      </w:r>
    </w:p>
    <w:p w14:paraId="750F1357" w14:textId="77777777" w:rsidR="00FE265A" w:rsidRPr="00BF7391" w:rsidRDefault="00FE265A" w:rsidP="00FE265A">
      <w:pPr>
        <w:spacing w:line="360" w:lineRule="auto"/>
        <w:ind w:left="567" w:right="539"/>
        <w:jc w:val="both"/>
        <w:rPr>
          <w:rFonts w:ascii="Palatino Linotype" w:eastAsia="Calibri" w:hAnsi="Palatino Linotype" w:cs="Tahoma"/>
          <w:b/>
          <w:i/>
          <w:iCs/>
          <w:u w:val="single"/>
          <w:lang w:eastAsia="en-US"/>
        </w:rPr>
      </w:pPr>
      <w:r w:rsidRPr="00BF7391">
        <w:rPr>
          <w:rFonts w:ascii="Palatino Linotype" w:eastAsia="Calibri" w:hAnsi="Palatino Linotype" w:cs="Tahoma"/>
          <w:b/>
          <w:i/>
          <w:iCs/>
          <w:u w:val="single"/>
          <w:lang w:eastAsia="en-US"/>
        </w:rPr>
        <w:t>II. Adjudicación directa.</w:t>
      </w:r>
    </w:p>
    <w:p w14:paraId="5E65E425" w14:textId="77777777" w:rsidR="00FE265A" w:rsidRPr="00BF7391" w:rsidRDefault="00FE265A" w:rsidP="00FE265A">
      <w:pPr>
        <w:spacing w:line="360" w:lineRule="auto"/>
        <w:ind w:left="567" w:right="539"/>
        <w:jc w:val="both"/>
        <w:rPr>
          <w:rFonts w:ascii="Palatino Linotype" w:eastAsia="Calibri" w:hAnsi="Palatino Linotype" w:cs="Tahoma"/>
          <w:bCs/>
          <w:i/>
          <w:iCs/>
          <w:lang w:eastAsia="en-US"/>
        </w:rPr>
      </w:pPr>
    </w:p>
    <w:p w14:paraId="05EE3CE1" w14:textId="77777777" w:rsidR="00FE265A" w:rsidRPr="00BF7391" w:rsidRDefault="00FE265A" w:rsidP="00FE265A">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65.-</w:t>
      </w:r>
      <w:r w:rsidRPr="00BF7391">
        <w:rPr>
          <w:rFonts w:ascii="Palatino Linotype" w:eastAsia="Calibri" w:hAnsi="Palatino Linotype" w:cs="Tahoma"/>
          <w:bCs/>
          <w:i/>
          <w:iCs/>
          <w:lang w:eastAsia="en-US"/>
        </w:rPr>
        <w:t xml:space="preserve"> La adjudicación de los contratos derivados de los procedimientos de adquisiciones de bienes o servicios, </w:t>
      </w:r>
      <w:r w:rsidRPr="00BF7391">
        <w:rPr>
          <w:rFonts w:ascii="Palatino Linotype" w:eastAsia="Calibri" w:hAnsi="Palatino Linotype" w:cs="Tahoma"/>
          <w:b/>
          <w:i/>
          <w:iCs/>
          <w:u w:val="single"/>
          <w:lang w:eastAsia="en-US"/>
        </w:rPr>
        <w:t>obligará a la convocante y al licitante ganador a suscribir el contrato respectivo</w:t>
      </w:r>
      <w:r w:rsidRPr="00BF7391">
        <w:rPr>
          <w:rFonts w:ascii="Palatino Linotype" w:eastAsia="Calibri" w:hAnsi="Palatino Linotype" w:cs="Tahoma"/>
          <w:bCs/>
          <w:i/>
          <w:iCs/>
          <w:lang w:eastAsia="en-US"/>
        </w:rPr>
        <w:t>, dentro de los diez días hábiles siguientes al de la notificación del fallo. Los contratos podrán suscribirse mediante el uso de la firma electrónica, en apego a las disposiciones de la Ley de Medios Electrónicos y de su Reglamento.</w:t>
      </w:r>
    </w:p>
    <w:p w14:paraId="1FA24A9F" w14:textId="77777777" w:rsidR="00FE265A" w:rsidRPr="00BF7391" w:rsidRDefault="00FE265A" w:rsidP="00FE265A">
      <w:pPr>
        <w:spacing w:line="360" w:lineRule="auto"/>
        <w:ind w:left="567" w:right="539"/>
        <w:jc w:val="both"/>
        <w:rPr>
          <w:rFonts w:ascii="Palatino Linotype" w:eastAsia="Calibri" w:hAnsi="Palatino Linotype" w:cs="Tahoma"/>
          <w:bCs/>
          <w:i/>
          <w:iCs/>
          <w:lang w:eastAsia="en-US"/>
        </w:rPr>
      </w:pPr>
    </w:p>
    <w:p w14:paraId="0F1110E5" w14:textId="322ADE0A" w:rsidR="00647E3E" w:rsidRPr="006E1551" w:rsidRDefault="00FE265A" w:rsidP="00647E3E">
      <w:pPr>
        <w:spacing w:line="360" w:lineRule="auto"/>
        <w:contextualSpacing/>
        <w:jc w:val="both"/>
        <w:rPr>
          <w:rFonts w:ascii="Palatino Linotype" w:eastAsia="Calibri" w:hAnsi="Palatino Linotype" w:cs="Tahoma"/>
          <w:bCs/>
          <w:iCs/>
          <w:sz w:val="22"/>
          <w:szCs w:val="22"/>
          <w:lang w:val="es-ES" w:eastAsia="es-ES_tradnl"/>
        </w:rPr>
      </w:pPr>
      <w:r>
        <w:rPr>
          <w:rFonts w:ascii="Palatino Linotype" w:hAnsi="Palatino Linotype" w:cs="Tahoma"/>
          <w:bCs/>
          <w:sz w:val="22"/>
          <w:szCs w:val="22"/>
        </w:rPr>
        <w:t xml:space="preserve">Derivado de lo anterior, </w:t>
      </w:r>
      <w:r w:rsidR="0036585C">
        <w:rPr>
          <w:rFonts w:ascii="Palatino Linotype" w:eastAsia="Calibri" w:hAnsi="Palatino Linotype" w:cs="Arial"/>
          <w:sz w:val="22"/>
          <w:szCs w:val="22"/>
        </w:rPr>
        <w:t xml:space="preserve">se advierte que el Sujeto Obligado tiene competencia </w:t>
      </w:r>
      <w:r w:rsidR="006E1551">
        <w:rPr>
          <w:rFonts w:ascii="Palatino Linotype" w:eastAsia="Calibri" w:hAnsi="Palatino Linotype" w:cs="Arial"/>
          <w:sz w:val="22"/>
          <w:szCs w:val="22"/>
        </w:rPr>
        <w:t>p</w:t>
      </w:r>
      <w:r w:rsidR="0036585C">
        <w:rPr>
          <w:rFonts w:ascii="Palatino Linotype" w:eastAsia="Calibri" w:hAnsi="Palatino Linotype" w:cs="Arial"/>
          <w:sz w:val="22"/>
          <w:szCs w:val="22"/>
        </w:rPr>
        <w:t>ara conocer sobre la solicitud del Particular.</w:t>
      </w:r>
      <w:r>
        <w:rPr>
          <w:rFonts w:ascii="Palatino Linotype" w:eastAsia="Calibri" w:hAnsi="Palatino Linotype" w:cs="Arial"/>
          <w:sz w:val="22"/>
          <w:szCs w:val="22"/>
        </w:rPr>
        <w:t xml:space="preserve"> </w:t>
      </w:r>
      <w:r w:rsidR="00647E3E" w:rsidRPr="00647E3E">
        <w:rPr>
          <w:rFonts w:ascii="Palatino Linotype" w:eastAsia="Calibri" w:hAnsi="Palatino Linotype" w:cs="Tahoma"/>
          <w:bCs/>
          <w:iCs/>
          <w:sz w:val="22"/>
          <w:szCs w:val="22"/>
          <w:lang w:val="es-ES" w:eastAsia="es-ES_tradnl"/>
        </w:rPr>
        <w:t xml:space="preserve">Ahora bien, </w:t>
      </w:r>
      <w:r w:rsidR="00647E3E">
        <w:rPr>
          <w:rFonts w:ascii="Palatino Linotype" w:eastAsia="Calibri" w:hAnsi="Palatino Linotype" w:cs="Tahoma"/>
          <w:bCs/>
          <w:iCs/>
          <w:sz w:val="22"/>
          <w:szCs w:val="22"/>
          <w:lang w:val="es-ES" w:eastAsia="es-ES_tradnl"/>
        </w:rPr>
        <w:t>es de recordar que en</w:t>
      </w:r>
      <w:r w:rsidR="006E1551">
        <w:rPr>
          <w:rFonts w:ascii="Palatino Linotype" w:eastAsia="Calibri" w:hAnsi="Palatino Linotype" w:cs="Tahoma"/>
          <w:bCs/>
          <w:iCs/>
          <w:sz w:val="22"/>
          <w:szCs w:val="22"/>
          <w:lang w:val="es-ES" w:eastAsia="es-ES_tradnl"/>
        </w:rPr>
        <w:t xml:space="preserve"> respuesta se pronunció la </w:t>
      </w:r>
      <w:r>
        <w:rPr>
          <w:rFonts w:ascii="Palatino Linotype" w:eastAsia="Calibri" w:hAnsi="Palatino Linotype" w:cs="Tahoma"/>
          <w:bCs/>
          <w:iCs/>
          <w:sz w:val="22"/>
          <w:szCs w:val="22"/>
          <w:lang w:val="es-ES" w:eastAsia="es-ES_tradnl"/>
        </w:rPr>
        <w:t>Subdirección de Administración</w:t>
      </w:r>
      <w:r w:rsidR="00647E3E" w:rsidRPr="00647E3E">
        <w:rPr>
          <w:rFonts w:ascii="Palatino Linotype" w:eastAsia="Calibri" w:hAnsi="Palatino Linotype" w:cs="Tahoma"/>
          <w:iCs/>
          <w:sz w:val="22"/>
          <w:szCs w:val="22"/>
          <w:lang w:eastAsia="es-ES_tradnl"/>
        </w:rPr>
        <w:t xml:space="preserve">; por lo que, es oportuno hacer referencia al </w:t>
      </w:r>
      <w:r w:rsidR="00647E3E" w:rsidRPr="00647E3E">
        <w:rPr>
          <w:rFonts w:ascii="Palatino Linotype" w:eastAsia="Calibri" w:hAnsi="Palatino Linotype" w:cs="Tahoma"/>
          <w:b/>
          <w:iCs/>
          <w:sz w:val="22"/>
          <w:szCs w:val="22"/>
          <w:lang w:eastAsia="es-ES_tradnl"/>
        </w:rPr>
        <w:t>procedimiento de búsqueda que deben de seguir los Sujetos Obligados para localizar la información</w:t>
      </w:r>
      <w:r w:rsidR="00647E3E" w:rsidRPr="00647E3E">
        <w:rPr>
          <w:rFonts w:ascii="Palatino Linotype" w:eastAsia="Calibri" w:hAnsi="Palatino Linotype" w:cs="Tahoma"/>
          <w:iCs/>
          <w:sz w:val="22"/>
          <w:szCs w:val="22"/>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CC1E6BA" w14:textId="77777777" w:rsidR="00647E3E" w:rsidRPr="00647E3E" w:rsidRDefault="00647E3E" w:rsidP="00647E3E">
      <w:pPr>
        <w:spacing w:line="360" w:lineRule="auto"/>
        <w:jc w:val="both"/>
        <w:rPr>
          <w:rFonts w:ascii="Palatino Linotype" w:eastAsia="Calibri" w:hAnsi="Palatino Linotype" w:cs="Tahoma"/>
          <w:iCs/>
          <w:sz w:val="22"/>
          <w:szCs w:val="22"/>
          <w:lang w:eastAsia="es-ES_tradnl"/>
        </w:rPr>
      </w:pPr>
    </w:p>
    <w:p w14:paraId="3C7E321A" w14:textId="77024088" w:rsidR="00FE265A" w:rsidRDefault="00647E3E" w:rsidP="00647E3E">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r w:rsidR="006E1551">
        <w:rPr>
          <w:rFonts w:ascii="Palatino Linotype" w:eastAsia="Calibri" w:hAnsi="Palatino Linotype" w:cs="Tahoma"/>
          <w:iCs/>
          <w:sz w:val="22"/>
          <w:szCs w:val="22"/>
          <w:lang w:eastAsia="es-ES_tradnl"/>
        </w:rPr>
        <w:t>,</w:t>
      </w:r>
      <w:r w:rsidR="00D76493">
        <w:rPr>
          <w:rFonts w:ascii="Palatino Linotype" w:eastAsia="Calibri" w:hAnsi="Palatino Linotype" w:cs="Tahoma"/>
          <w:iCs/>
          <w:sz w:val="22"/>
          <w:szCs w:val="22"/>
          <w:lang w:eastAsia="es-ES_tradnl"/>
        </w:rPr>
        <w:t xml:space="preserve"> ya que el </w:t>
      </w:r>
      <w:r w:rsidR="00D76493" w:rsidRPr="00D76493">
        <w:rPr>
          <w:rFonts w:ascii="Palatino Linotype" w:eastAsia="Calibri" w:hAnsi="Palatino Linotype" w:cs="Tahoma"/>
          <w:iCs/>
          <w:sz w:val="22"/>
          <w:szCs w:val="22"/>
          <w:lang w:eastAsia="es-ES_tradnl"/>
        </w:rPr>
        <w:t xml:space="preserve">Reglamento Orgánico del Organismo Público Descentralizado para la Prestación de los </w:t>
      </w:r>
      <w:r w:rsidR="00D76493" w:rsidRPr="00D76493">
        <w:rPr>
          <w:rFonts w:ascii="Palatino Linotype" w:eastAsia="Calibri" w:hAnsi="Palatino Linotype" w:cs="Tahoma"/>
          <w:iCs/>
          <w:sz w:val="22"/>
          <w:szCs w:val="22"/>
          <w:lang w:eastAsia="es-ES_tradnl"/>
        </w:rPr>
        <w:lastRenderedPageBreak/>
        <w:t>servicios de agua potable, alcantarillado y saneamiento del Municipio de Atizapán de Zaragoza 2025-2027</w:t>
      </w:r>
      <w:r w:rsidR="00D76493">
        <w:rPr>
          <w:rFonts w:ascii="Palatino Linotype" w:eastAsia="Calibri" w:hAnsi="Palatino Linotype" w:cs="Tahoma"/>
          <w:iCs/>
          <w:sz w:val="22"/>
          <w:szCs w:val="22"/>
          <w:lang w:eastAsia="es-ES_tradnl"/>
        </w:rPr>
        <w:t>, en su artículo 99 señala las funciones de la Subdirección de Administración la de c</w:t>
      </w:r>
      <w:r w:rsidR="00D76493" w:rsidRPr="00D76493">
        <w:rPr>
          <w:rFonts w:ascii="Palatino Linotype" w:eastAsia="Calibri" w:hAnsi="Palatino Linotype" w:cs="Tahoma"/>
          <w:iCs/>
          <w:sz w:val="22"/>
          <w:szCs w:val="22"/>
          <w:lang w:eastAsia="es-ES_tradnl"/>
        </w:rPr>
        <w:t>elebrar los contratos y convenios que se requieran y sean necesarios para el cumplimiento de los fines y objetivos del Organismo;</w:t>
      </w:r>
      <w:r w:rsidR="00D76493">
        <w:rPr>
          <w:rFonts w:ascii="Palatino Linotype" w:eastAsia="Calibri" w:hAnsi="Palatino Linotype" w:cs="Tahoma"/>
          <w:iCs/>
          <w:sz w:val="22"/>
          <w:szCs w:val="22"/>
          <w:lang w:eastAsia="es-ES_tradnl"/>
        </w:rPr>
        <w:t xml:space="preserve"> así como </w:t>
      </w:r>
      <w:r w:rsidR="00D76493" w:rsidRPr="00D76493">
        <w:rPr>
          <w:rFonts w:ascii="Palatino Linotype" w:eastAsia="Calibri" w:hAnsi="Palatino Linotype" w:cs="Tahoma"/>
          <w:iCs/>
          <w:sz w:val="22"/>
          <w:szCs w:val="22"/>
          <w:lang w:eastAsia="es-ES_tradnl"/>
        </w:rPr>
        <w:t>Supervisar los procedimientos de adquisición de los bienes y servicios de conformidad con la Ley de Contratación Pública del Estado de México y Municipios y su Reglamento</w:t>
      </w:r>
      <w:r w:rsidR="00D76493">
        <w:rPr>
          <w:rFonts w:ascii="Palatino Linotype" w:eastAsia="Calibri" w:hAnsi="Palatino Linotype" w:cs="Tahoma"/>
          <w:iCs/>
          <w:sz w:val="22"/>
          <w:szCs w:val="22"/>
          <w:lang w:eastAsia="es-ES_tradnl"/>
        </w:rPr>
        <w:t>.</w:t>
      </w:r>
    </w:p>
    <w:p w14:paraId="2071EF72" w14:textId="77777777" w:rsidR="00D76493" w:rsidRDefault="00D76493" w:rsidP="00647E3E">
      <w:pPr>
        <w:spacing w:line="360" w:lineRule="auto"/>
        <w:jc w:val="both"/>
        <w:rPr>
          <w:rFonts w:ascii="Palatino Linotype" w:eastAsia="Calibri" w:hAnsi="Palatino Linotype" w:cs="Tahoma"/>
          <w:iCs/>
          <w:sz w:val="22"/>
          <w:szCs w:val="22"/>
          <w:lang w:eastAsia="es-ES_tradnl"/>
        </w:rPr>
      </w:pPr>
    </w:p>
    <w:p w14:paraId="42278AA5" w14:textId="5001815F" w:rsidR="00D970A3" w:rsidRDefault="00D970A3" w:rsidP="00647E3E">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Establecido lo anterior, se consulto el portal de IPOMEX del Sujeto Obligado del que se observa que la persona mencionada en la solicitud si laboró en el Sujeto Obligado</w:t>
      </w:r>
      <w:r w:rsidR="00DE06C2">
        <w:rPr>
          <w:rFonts w:ascii="Palatino Linotype" w:eastAsia="Calibri" w:hAnsi="Palatino Linotype" w:cs="Tahoma"/>
          <w:iCs/>
          <w:sz w:val="22"/>
          <w:szCs w:val="22"/>
          <w:lang w:eastAsia="es-ES_tradnl"/>
        </w:rPr>
        <w:t>, del dieciséis de enero de dos mil veintitrés al treinta y uno de diciembre de dos mil veinticuatro, como Subdirectora de Administración y Finanzas</w:t>
      </w:r>
      <w:r>
        <w:rPr>
          <w:rFonts w:ascii="Palatino Linotype" w:eastAsia="Calibri" w:hAnsi="Palatino Linotype" w:cs="Tahoma"/>
          <w:iCs/>
          <w:sz w:val="22"/>
          <w:szCs w:val="22"/>
          <w:lang w:eastAsia="es-ES_tradnl"/>
        </w:rPr>
        <w:t xml:space="preserve"> como se muestra a continuación:</w:t>
      </w:r>
    </w:p>
    <w:p w14:paraId="109E084A" w14:textId="77777777" w:rsidR="00D970A3" w:rsidRDefault="00D970A3" w:rsidP="00647E3E">
      <w:pPr>
        <w:spacing w:line="360" w:lineRule="auto"/>
        <w:jc w:val="both"/>
        <w:rPr>
          <w:rFonts w:ascii="Palatino Linotype" w:eastAsia="Calibri" w:hAnsi="Palatino Linotype" w:cs="Tahoma"/>
          <w:iCs/>
          <w:sz w:val="22"/>
          <w:szCs w:val="22"/>
          <w:lang w:eastAsia="es-ES_tradnl"/>
        </w:rPr>
      </w:pPr>
    </w:p>
    <w:p w14:paraId="2A52A99F" w14:textId="687D3AF0" w:rsidR="00D970A3" w:rsidRDefault="00DE06C2" w:rsidP="00D970A3">
      <w:pPr>
        <w:spacing w:line="360" w:lineRule="auto"/>
        <w:jc w:val="center"/>
        <w:rPr>
          <w:rFonts w:ascii="Palatino Linotype" w:eastAsia="Calibri" w:hAnsi="Palatino Linotype" w:cs="Tahoma"/>
          <w:iCs/>
          <w:sz w:val="22"/>
          <w:szCs w:val="22"/>
          <w:lang w:eastAsia="es-ES_tradnl"/>
        </w:rPr>
      </w:pPr>
      <w:r w:rsidRPr="00DE06C2">
        <w:rPr>
          <w:rFonts w:ascii="Palatino Linotype" w:eastAsia="Calibri" w:hAnsi="Palatino Linotype" w:cs="Tahoma"/>
          <w:iCs/>
          <w:noProof/>
          <w:sz w:val="22"/>
          <w:szCs w:val="22"/>
          <w:lang w:eastAsia="es-MX"/>
        </w:rPr>
        <w:drawing>
          <wp:inline distT="0" distB="0" distL="0" distR="0" wp14:anchorId="274AE4FA" wp14:editId="713AFC4B">
            <wp:extent cx="5742940" cy="2924175"/>
            <wp:effectExtent l="0" t="0" r="0" b="9525"/>
            <wp:docPr id="1475776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76582" name=""/>
                    <pic:cNvPicPr/>
                  </pic:nvPicPr>
                  <pic:blipFill>
                    <a:blip r:embed="rId8"/>
                    <a:stretch>
                      <a:fillRect/>
                    </a:stretch>
                  </pic:blipFill>
                  <pic:spPr>
                    <a:xfrm>
                      <a:off x="0" y="0"/>
                      <a:ext cx="5742940" cy="2924175"/>
                    </a:xfrm>
                    <a:prstGeom prst="rect">
                      <a:avLst/>
                    </a:prstGeom>
                  </pic:spPr>
                </pic:pic>
              </a:graphicData>
            </a:graphic>
          </wp:inline>
        </w:drawing>
      </w:r>
    </w:p>
    <w:p w14:paraId="5BA9F52D" w14:textId="29765F98" w:rsidR="00D970A3" w:rsidRDefault="00DE06C2" w:rsidP="00647E3E">
      <w:pPr>
        <w:spacing w:line="360" w:lineRule="auto"/>
        <w:jc w:val="both"/>
        <w:rPr>
          <w:rFonts w:ascii="Palatino Linotype" w:eastAsia="Calibri" w:hAnsi="Palatino Linotype" w:cs="Tahoma"/>
          <w:iCs/>
          <w:sz w:val="22"/>
          <w:szCs w:val="22"/>
          <w:lang w:eastAsia="es-ES_tradnl"/>
        </w:rPr>
      </w:pPr>
      <w:r w:rsidRPr="00DE06C2">
        <w:rPr>
          <w:rFonts w:ascii="Palatino Linotype" w:eastAsia="Calibri" w:hAnsi="Palatino Linotype" w:cs="Tahoma"/>
          <w:iCs/>
          <w:noProof/>
          <w:sz w:val="22"/>
          <w:szCs w:val="22"/>
          <w:lang w:eastAsia="es-MX"/>
        </w:rPr>
        <w:lastRenderedPageBreak/>
        <w:drawing>
          <wp:inline distT="0" distB="0" distL="0" distR="0" wp14:anchorId="3D3E1380" wp14:editId="5917DB65">
            <wp:extent cx="5742940" cy="2382520"/>
            <wp:effectExtent l="0" t="0" r="0" b="0"/>
            <wp:docPr id="10334429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42993" name=""/>
                    <pic:cNvPicPr/>
                  </pic:nvPicPr>
                  <pic:blipFill>
                    <a:blip r:embed="rId9"/>
                    <a:stretch>
                      <a:fillRect/>
                    </a:stretch>
                  </pic:blipFill>
                  <pic:spPr>
                    <a:xfrm>
                      <a:off x="0" y="0"/>
                      <a:ext cx="5742940" cy="2382520"/>
                    </a:xfrm>
                    <a:prstGeom prst="rect">
                      <a:avLst/>
                    </a:prstGeom>
                  </pic:spPr>
                </pic:pic>
              </a:graphicData>
            </a:graphic>
          </wp:inline>
        </w:drawing>
      </w:r>
    </w:p>
    <w:p w14:paraId="64A3B825" w14:textId="77777777" w:rsidR="00DE06C2" w:rsidRDefault="00DE06C2" w:rsidP="00647E3E">
      <w:pPr>
        <w:spacing w:line="360" w:lineRule="auto"/>
        <w:jc w:val="both"/>
        <w:rPr>
          <w:rFonts w:ascii="Palatino Linotype" w:eastAsia="Calibri" w:hAnsi="Palatino Linotype" w:cs="Tahoma"/>
          <w:iCs/>
          <w:sz w:val="22"/>
          <w:szCs w:val="22"/>
          <w:lang w:eastAsia="es-ES_tradnl"/>
        </w:rPr>
      </w:pPr>
    </w:p>
    <w:p w14:paraId="3BE47BCF" w14:textId="06C9C988" w:rsidR="006E1551" w:rsidRPr="00127996" w:rsidRDefault="00D970A3" w:rsidP="006E1551">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Por lo señalado</w:t>
      </w:r>
      <w:r w:rsidR="006E1551">
        <w:rPr>
          <w:rFonts w:ascii="Palatino Linotype" w:eastAsia="Calibri" w:hAnsi="Palatino Linotype" w:cs="Tahoma"/>
          <w:iCs/>
          <w:sz w:val="22"/>
          <w:szCs w:val="22"/>
          <w:lang w:eastAsia="es-ES_tradnl"/>
        </w:rPr>
        <w:t>, se procede a analizar la respuesta otorgada por parte del Sujeto Obligado, en la que proporcionó liga</w:t>
      </w:r>
      <w:r w:rsidR="00D76493">
        <w:rPr>
          <w:rFonts w:ascii="Palatino Linotype" w:eastAsia="Calibri" w:hAnsi="Palatino Linotype" w:cs="Tahoma"/>
          <w:iCs/>
          <w:sz w:val="22"/>
          <w:szCs w:val="22"/>
          <w:lang w:eastAsia="es-ES_tradnl"/>
        </w:rPr>
        <w:t>s</w:t>
      </w:r>
      <w:r w:rsidR="006E1551">
        <w:rPr>
          <w:rFonts w:ascii="Palatino Linotype" w:eastAsia="Calibri" w:hAnsi="Palatino Linotype" w:cs="Tahoma"/>
          <w:iCs/>
          <w:sz w:val="22"/>
          <w:szCs w:val="22"/>
          <w:lang w:eastAsia="es-ES_tradnl"/>
        </w:rPr>
        <w:t xml:space="preserve"> electrónica</w:t>
      </w:r>
      <w:r w:rsidR="00D76493">
        <w:rPr>
          <w:rFonts w:ascii="Palatino Linotype" w:eastAsia="Calibri" w:hAnsi="Palatino Linotype" w:cs="Tahoma"/>
          <w:iCs/>
          <w:sz w:val="22"/>
          <w:szCs w:val="22"/>
          <w:lang w:eastAsia="es-ES_tradnl"/>
        </w:rPr>
        <w:t>s</w:t>
      </w:r>
      <w:r w:rsidR="006E1551">
        <w:rPr>
          <w:rFonts w:ascii="Palatino Linotype" w:eastAsia="Calibri" w:hAnsi="Palatino Linotype" w:cs="Tahoma"/>
          <w:iCs/>
          <w:sz w:val="22"/>
          <w:szCs w:val="22"/>
          <w:lang w:eastAsia="es-ES_tradnl"/>
        </w:rPr>
        <w:t xml:space="preserve">, </w:t>
      </w:r>
      <w:r w:rsidR="006E1551">
        <w:rPr>
          <w:rFonts w:ascii="Palatino Linotype" w:eastAsia="Palatino Linotype" w:hAnsi="Palatino Linotype" w:cs="Palatino Linotype"/>
          <w:sz w:val="22"/>
          <w:szCs w:val="22"/>
        </w:rPr>
        <w:t>pero en formato cerrad</w:t>
      </w:r>
      <w:r w:rsidR="00D76493">
        <w:rPr>
          <w:rFonts w:ascii="Palatino Linotype" w:eastAsia="Palatino Linotype" w:hAnsi="Palatino Linotype" w:cs="Palatino Linotype"/>
          <w:sz w:val="22"/>
          <w:szCs w:val="22"/>
        </w:rPr>
        <w:t>o</w:t>
      </w:r>
      <w:r w:rsidR="006E1551">
        <w:rPr>
          <w:rFonts w:ascii="Palatino Linotype" w:eastAsia="Palatino Linotype" w:hAnsi="Palatino Linotype" w:cs="Palatino Linotype"/>
          <w:sz w:val="22"/>
          <w:szCs w:val="22"/>
        </w:rPr>
        <w:t xml:space="preserve">, </w:t>
      </w:r>
      <w:r w:rsidR="006E1551" w:rsidRPr="00127996">
        <w:rPr>
          <w:rFonts w:ascii="Palatino Linotype" w:eastAsia="Calibri" w:hAnsi="Palatino Linotype" w:cs="Tahoma"/>
          <w:iCs/>
          <w:sz w:val="22"/>
          <w:szCs w:val="22"/>
          <w:lang w:eastAsia="es-ES_tradnl"/>
        </w:rPr>
        <w:t>esto implica que el Recurrente, para acceder a la información tenga que capturar cada carácter que integra la liga, lo que conlleva a que, con algún error, no acceda a la información.</w:t>
      </w:r>
    </w:p>
    <w:p w14:paraId="476E7B3B" w14:textId="77777777" w:rsidR="006E1551" w:rsidRPr="00127996" w:rsidRDefault="006E1551" w:rsidP="006E1551">
      <w:pPr>
        <w:spacing w:line="360" w:lineRule="auto"/>
        <w:ind w:right="-93"/>
        <w:jc w:val="both"/>
        <w:rPr>
          <w:rFonts w:ascii="Palatino Linotype" w:eastAsia="Calibri" w:hAnsi="Palatino Linotype" w:cs="Tahoma"/>
          <w:iCs/>
          <w:sz w:val="22"/>
          <w:szCs w:val="22"/>
          <w:lang w:eastAsia="es-ES_tradnl"/>
        </w:rPr>
      </w:pPr>
    </w:p>
    <w:p w14:paraId="747A67C3" w14:textId="77777777" w:rsidR="006E1551" w:rsidRPr="00127996" w:rsidRDefault="006E1551" w:rsidP="006E1551">
      <w:pPr>
        <w:spacing w:line="360" w:lineRule="auto"/>
        <w:ind w:right="-93"/>
        <w:jc w:val="both"/>
        <w:rPr>
          <w:rFonts w:ascii="Palatino Linotype" w:eastAsia="Calibri" w:hAnsi="Palatino Linotype" w:cs="Tahoma"/>
          <w:iCs/>
          <w:sz w:val="22"/>
          <w:szCs w:val="22"/>
          <w:lang w:val="es-ES" w:eastAsia="es-ES_tradnl"/>
        </w:rPr>
      </w:pPr>
      <w:r w:rsidRPr="00127996">
        <w:rPr>
          <w:rFonts w:ascii="Palatino Linotype" w:eastAsia="Calibri" w:hAnsi="Palatino Linotype" w:cs="Tahoma"/>
          <w:iCs/>
          <w:sz w:val="22"/>
          <w:szCs w:val="22"/>
          <w:lang w:eastAsia="es-ES_tradnl"/>
        </w:rPr>
        <w:t xml:space="preserve">Visto lo anterior, es necesario precisar que, para tener acceso a la liga proporcionada por parte del </w:t>
      </w:r>
      <w:r w:rsidRPr="00127996">
        <w:rPr>
          <w:rFonts w:ascii="Palatino Linotype" w:eastAsia="Calibri" w:hAnsi="Palatino Linotype" w:cs="Tahoma"/>
          <w:b/>
          <w:iCs/>
          <w:sz w:val="22"/>
          <w:szCs w:val="22"/>
          <w:lang w:eastAsia="es-ES_tradnl"/>
        </w:rPr>
        <w:t>Sujeto Obligado</w:t>
      </w:r>
      <w:r w:rsidRPr="00127996">
        <w:rPr>
          <w:rFonts w:ascii="Palatino Linotype" w:eastAsia="Calibri" w:hAnsi="Palatino Linotype" w:cs="Tahoma"/>
          <w:iCs/>
          <w:sz w:val="22"/>
          <w:szCs w:val="22"/>
          <w:lang w:eastAsia="es-ES_tradnl"/>
        </w:rPr>
        <w:t>, es necesario capturar la dirección electrónica carácter por carácter, ya que el documento digitalizado a través del cual se proporcionó el link no permite editar, modificar o procesar su contenid</w:t>
      </w:r>
      <w:r>
        <w:rPr>
          <w:rFonts w:ascii="Palatino Linotype" w:eastAsia="Calibri" w:hAnsi="Palatino Linotype" w:cs="Tahoma"/>
          <w:iCs/>
          <w:sz w:val="22"/>
          <w:szCs w:val="22"/>
          <w:lang w:eastAsia="es-ES_tradnl"/>
        </w:rPr>
        <w:t>o</w:t>
      </w:r>
      <w:r w:rsidRPr="00127996">
        <w:rPr>
          <w:rFonts w:ascii="Palatino Linotype" w:eastAsia="Calibri" w:hAnsi="Palatino Linotype" w:cs="Tahoma"/>
          <w:iCs/>
          <w:sz w:val="22"/>
          <w:szCs w:val="22"/>
          <w:lang w:eastAsia="es-ES_tradnl"/>
        </w:rPr>
        <w:t xml:space="preserve">. </w:t>
      </w:r>
      <w:r w:rsidRPr="00127996">
        <w:rPr>
          <w:rFonts w:ascii="Palatino Linotype" w:eastAsia="Calibri" w:hAnsi="Palatino Linotype" w:cs="Tahoma"/>
          <w:iCs/>
          <w:sz w:val="22"/>
          <w:szCs w:val="22"/>
          <w:lang w:val="es-ES" w:eastAsia="es-ES_tradnl"/>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16EBA22C" w14:textId="77777777" w:rsidR="006E1551" w:rsidRPr="00127996" w:rsidRDefault="006E1551" w:rsidP="006E1551">
      <w:pPr>
        <w:spacing w:line="360" w:lineRule="auto"/>
        <w:ind w:right="-93"/>
        <w:jc w:val="both"/>
        <w:rPr>
          <w:rFonts w:ascii="Palatino Linotype" w:eastAsia="Calibri" w:hAnsi="Palatino Linotype" w:cs="Tahoma"/>
          <w:iCs/>
          <w:sz w:val="22"/>
          <w:szCs w:val="22"/>
          <w:lang w:val="es-ES" w:eastAsia="es-ES_tradnl"/>
        </w:rPr>
      </w:pPr>
    </w:p>
    <w:p w14:paraId="68B92F0C" w14:textId="77777777" w:rsidR="006E1551" w:rsidRPr="00127996" w:rsidRDefault="006E1551" w:rsidP="006E1551">
      <w:pPr>
        <w:spacing w:line="360" w:lineRule="auto"/>
        <w:ind w:right="-93"/>
        <w:jc w:val="both"/>
        <w:rPr>
          <w:rFonts w:ascii="Palatino Linotype" w:eastAsia="Calibri" w:hAnsi="Palatino Linotype" w:cs="Tahoma"/>
          <w:b/>
          <w:bCs/>
          <w:i/>
          <w:iCs/>
          <w:sz w:val="22"/>
          <w:szCs w:val="22"/>
          <w:lang w:val="es-ES" w:eastAsia="es-ES_tradnl"/>
        </w:rPr>
      </w:pPr>
      <w:r w:rsidRPr="00127996">
        <w:rPr>
          <w:rFonts w:ascii="Palatino Linotype" w:eastAsia="Calibri" w:hAnsi="Palatino Linotype" w:cs="Tahoma"/>
          <w:bCs/>
          <w:iCs/>
          <w:sz w:val="22"/>
          <w:szCs w:val="22"/>
          <w:lang w:val="es-ES" w:eastAsia="es-ES_tradnl"/>
        </w:rPr>
        <w:t>Derivado de lo anterior, se considera necesario precisar que datos abiertos, conforme a la Carta Internacional de Datos Abiertos (</w:t>
      </w:r>
      <w:hyperlink r:id="rId10" w:history="1">
        <w:r w:rsidRPr="00127996">
          <w:rPr>
            <w:rStyle w:val="Hipervnculo"/>
            <w:rFonts w:ascii="Palatino Linotype" w:eastAsia="Calibri" w:hAnsi="Palatino Linotype" w:cs="Tahoma"/>
            <w:bCs/>
            <w:iCs/>
            <w:sz w:val="22"/>
            <w:szCs w:val="22"/>
            <w:lang w:val="es-ES" w:eastAsia="es-ES_tradnl"/>
          </w:rPr>
          <w:t>https://opendatacharter.net/principles-es/</w:t>
        </w:r>
      </w:hyperlink>
      <w:r w:rsidRPr="00127996">
        <w:rPr>
          <w:rFonts w:ascii="Palatino Linotype" w:eastAsia="Calibri" w:hAnsi="Palatino Linotype" w:cs="Tahoma"/>
          <w:bCs/>
          <w:iCs/>
          <w:sz w:val="22"/>
          <w:szCs w:val="22"/>
          <w:lang w:val="es-ES" w:eastAsia="es-ES_tradnl"/>
        </w:rPr>
        <w:t xml:space="preserve">) </w:t>
      </w:r>
      <w:r w:rsidRPr="00127996">
        <w:rPr>
          <w:rFonts w:ascii="Palatino Linotype" w:eastAsia="Calibri" w:hAnsi="Palatino Linotype" w:cs="Tahoma"/>
          <w:bCs/>
          <w:i/>
          <w:iCs/>
          <w:sz w:val="22"/>
          <w:szCs w:val="22"/>
          <w:lang w:val="es-ES" w:eastAsia="es-ES_tradnl"/>
        </w:rPr>
        <w:t xml:space="preserve">son datos digitales </w:t>
      </w:r>
      <w:r w:rsidRPr="00127996">
        <w:rPr>
          <w:rFonts w:ascii="Palatino Linotype" w:eastAsia="Calibri" w:hAnsi="Palatino Linotype" w:cs="Tahoma"/>
          <w:bCs/>
          <w:i/>
          <w:iCs/>
          <w:sz w:val="22"/>
          <w:szCs w:val="22"/>
          <w:lang w:val="es-ES" w:eastAsia="es-ES_tradnl"/>
        </w:rPr>
        <w:lastRenderedPageBreak/>
        <w:t xml:space="preserve">que son puestos a disposición con las características técnicas y jurídicas necesarias para que </w:t>
      </w:r>
      <w:r w:rsidRPr="00127996">
        <w:rPr>
          <w:rFonts w:ascii="Palatino Linotype" w:eastAsia="Calibri" w:hAnsi="Palatino Linotype" w:cs="Tahoma"/>
          <w:b/>
          <w:bCs/>
          <w:i/>
          <w:iCs/>
          <w:sz w:val="22"/>
          <w:szCs w:val="22"/>
          <w:lang w:val="es-ES" w:eastAsia="es-ES_tradnl"/>
        </w:rPr>
        <w:t xml:space="preserve">puedan ser </w:t>
      </w:r>
      <w:r w:rsidRPr="00127996">
        <w:rPr>
          <w:rFonts w:ascii="Palatino Linotype" w:eastAsia="Calibri" w:hAnsi="Palatino Linotype" w:cs="Tahoma"/>
          <w:b/>
          <w:bCs/>
          <w:i/>
          <w:iCs/>
          <w:sz w:val="22"/>
          <w:szCs w:val="22"/>
          <w:u w:val="single"/>
          <w:lang w:val="es-ES" w:eastAsia="es-ES_tradnl"/>
        </w:rPr>
        <w:t>usados, reutilizados y redistribuidos</w:t>
      </w:r>
      <w:r w:rsidRPr="00127996">
        <w:rPr>
          <w:rFonts w:ascii="Palatino Linotype" w:eastAsia="Calibri" w:hAnsi="Palatino Linotype" w:cs="Tahoma"/>
          <w:b/>
          <w:bCs/>
          <w:i/>
          <w:iCs/>
          <w:sz w:val="22"/>
          <w:szCs w:val="22"/>
          <w:lang w:val="es-ES" w:eastAsia="es-ES_tradnl"/>
        </w:rPr>
        <w:t xml:space="preserve"> libremente por cualquier persona, en cualquier momento y en cualquier lugar.</w:t>
      </w:r>
    </w:p>
    <w:p w14:paraId="234EE0FD" w14:textId="77777777" w:rsidR="006E1551" w:rsidRPr="00127996" w:rsidRDefault="006E1551" w:rsidP="006E1551">
      <w:pPr>
        <w:spacing w:line="360" w:lineRule="auto"/>
        <w:ind w:right="-93"/>
        <w:jc w:val="both"/>
        <w:rPr>
          <w:rFonts w:ascii="Palatino Linotype" w:eastAsia="Calibri" w:hAnsi="Palatino Linotype" w:cs="Tahoma"/>
          <w:b/>
          <w:bCs/>
          <w:i/>
          <w:iCs/>
          <w:sz w:val="22"/>
          <w:szCs w:val="22"/>
          <w:lang w:val="es-ES" w:eastAsia="es-ES_tradnl"/>
        </w:rPr>
      </w:pPr>
    </w:p>
    <w:p w14:paraId="241A0687" w14:textId="77777777" w:rsidR="006E1551" w:rsidRPr="00127996" w:rsidRDefault="006E1551" w:rsidP="006E1551">
      <w:pPr>
        <w:spacing w:line="360" w:lineRule="auto"/>
        <w:ind w:right="-93"/>
        <w:jc w:val="both"/>
        <w:rPr>
          <w:rFonts w:ascii="Palatino Linotype" w:eastAsia="Calibri" w:hAnsi="Palatino Linotype" w:cs="Tahoma"/>
          <w:iCs/>
          <w:sz w:val="22"/>
          <w:szCs w:val="22"/>
          <w:lang w:val="es-ES" w:eastAsia="es-ES_tradnl"/>
        </w:rPr>
      </w:pPr>
      <w:r w:rsidRPr="00127996">
        <w:rPr>
          <w:rFonts w:ascii="Palatino Linotype" w:eastAsia="Calibri" w:hAnsi="Palatino Linotype" w:cs="Tahoma"/>
          <w:iCs/>
          <w:sz w:val="22"/>
          <w:szCs w:val="22"/>
          <w:lang w:val="es-ES" w:eastAsia="es-ES_tradnl"/>
        </w:rPr>
        <w:t>En ese contexto, el artículo 3°, fracciones VIII y XVI de la Ley de Transparencia y Acceso a la Información Pública del Estado de México y Municipios, precisan lo siguiente:</w:t>
      </w:r>
    </w:p>
    <w:p w14:paraId="157940DD" w14:textId="77777777" w:rsidR="006E1551" w:rsidRPr="00127996" w:rsidRDefault="006E1551" w:rsidP="006E1551">
      <w:pPr>
        <w:spacing w:line="360" w:lineRule="auto"/>
        <w:ind w:right="-93"/>
        <w:jc w:val="both"/>
        <w:rPr>
          <w:rFonts w:ascii="Palatino Linotype" w:eastAsia="Calibri" w:hAnsi="Palatino Linotype" w:cs="Tahoma"/>
          <w:iCs/>
          <w:sz w:val="22"/>
          <w:szCs w:val="22"/>
          <w:lang w:val="es-ES" w:eastAsia="es-ES_tradnl"/>
        </w:rPr>
      </w:pPr>
    </w:p>
    <w:p w14:paraId="67BA0D43" w14:textId="77777777" w:rsidR="006E1551" w:rsidRPr="00485E8C" w:rsidRDefault="006E1551" w:rsidP="006E1551">
      <w:pPr>
        <w:spacing w:line="360" w:lineRule="auto"/>
        <w:ind w:left="567" w:right="-93"/>
        <w:jc w:val="both"/>
        <w:rPr>
          <w:rFonts w:ascii="Palatino Linotype" w:eastAsia="Calibri" w:hAnsi="Palatino Linotype" w:cs="Tahoma"/>
          <w:b/>
          <w:bCs/>
          <w:i/>
          <w:iCs/>
          <w:szCs w:val="22"/>
          <w:lang w:val="es-ES" w:eastAsia="es-ES_tradnl"/>
        </w:rPr>
      </w:pPr>
      <w:r w:rsidRPr="00485E8C">
        <w:rPr>
          <w:rFonts w:ascii="Palatino Linotype" w:eastAsia="Calibri" w:hAnsi="Palatino Linotype" w:cs="Tahoma"/>
          <w:b/>
          <w:bCs/>
          <w:i/>
          <w:iCs/>
          <w:szCs w:val="22"/>
          <w:lang w:val="es-ES" w:eastAsia="es-ES_tradnl"/>
        </w:rPr>
        <w:t>I a VIII…</w:t>
      </w:r>
    </w:p>
    <w:p w14:paraId="679BBF45" w14:textId="77777777" w:rsidR="006E1551" w:rsidRPr="00485E8C" w:rsidRDefault="006E1551" w:rsidP="006E1551">
      <w:pPr>
        <w:spacing w:line="360" w:lineRule="auto"/>
        <w:ind w:left="567" w:right="-93"/>
        <w:jc w:val="both"/>
        <w:rPr>
          <w:rFonts w:ascii="Palatino Linotype" w:eastAsia="Calibri" w:hAnsi="Palatino Linotype" w:cs="Tahoma"/>
          <w:i/>
          <w:iCs/>
          <w:szCs w:val="22"/>
          <w:lang w:val="es-ES" w:eastAsia="es-ES_tradnl"/>
        </w:rPr>
      </w:pPr>
      <w:r w:rsidRPr="00485E8C">
        <w:rPr>
          <w:rFonts w:ascii="Palatino Linotype" w:eastAsia="Calibri" w:hAnsi="Palatino Linotype" w:cs="Tahoma"/>
          <w:b/>
          <w:bCs/>
          <w:i/>
          <w:iCs/>
          <w:szCs w:val="22"/>
          <w:lang w:val="es-ES" w:eastAsia="es-ES_tradnl"/>
        </w:rPr>
        <w:t xml:space="preserve">VIII. Dato abierto: </w:t>
      </w:r>
      <w:r w:rsidRPr="00485E8C">
        <w:rPr>
          <w:rFonts w:ascii="Palatino Linotype" w:eastAsia="Calibri" w:hAnsi="Palatino Linotype" w:cs="Tahoma"/>
          <w:i/>
          <w:iCs/>
          <w:szCs w:val="22"/>
          <w:lang w:val="es-ES" w:eastAsia="es-ES_tradnl"/>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D05A48A" w14:textId="77777777" w:rsidR="006E1551" w:rsidRDefault="006E1551" w:rsidP="006E1551">
      <w:pPr>
        <w:spacing w:line="360" w:lineRule="auto"/>
        <w:ind w:left="567" w:right="-93"/>
        <w:jc w:val="both"/>
        <w:rPr>
          <w:rFonts w:ascii="Palatino Linotype" w:eastAsia="Calibri" w:hAnsi="Palatino Linotype" w:cs="Tahoma"/>
          <w:b/>
          <w:bCs/>
          <w:i/>
          <w:iCs/>
          <w:szCs w:val="22"/>
          <w:lang w:val="es-ES" w:eastAsia="es-ES_tradnl"/>
        </w:rPr>
      </w:pPr>
    </w:p>
    <w:p w14:paraId="3C86203E" w14:textId="77777777" w:rsidR="006E1551" w:rsidRPr="00485E8C" w:rsidRDefault="006E1551" w:rsidP="006E1551">
      <w:pPr>
        <w:spacing w:line="360" w:lineRule="auto"/>
        <w:ind w:left="567" w:right="-93"/>
        <w:jc w:val="both"/>
        <w:rPr>
          <w:rFonts w:ascii="Palatino Linotype" w:eastAsia="Calibri" w:hAnsi="Palatino Linotype" w:cs="Tahoma"/>
          <w:b/>
          <w:bCs/>
          <w:i/>
          <w:iCs/>
          <w:szCs w:val="22"/>
          <w:lang w:val="es-ES" w:eastAsia="es-ES_tradnl"/>
        </w:rPr>
      </w:pPr>
      <w:r w:rsidRPr="00485E8C">
        <w:rPr>
          <w:rFonts w:ascii="Palatino Linotype" w:eastAsia="Calibri" w:hAnsi="Palatino Linotype" w:cs="Tahoma"/>
          <w:b/>
          <w:bCs/>
          <w:i/>
          <w:iCs/>
          <w:szCs w:val="22"/>
          <w:lang w:val="es-ES" w:eastAsia="es-ES_tradnl"/>
        </w:rPr>
        <w:t>IX a XV…</w:t>
      </w:r>
    </w:p>
    <w:p w14:paraId="008FC9C3" w14:textId="77777777" w:rsidR="006E1551" w:rsidRDefault="006E1551" w:rsidP="006E1551">
      <w:pPr>
        <w:spacing w:line="360" w:lineRule="auto"/>
        <w:ind w:left="567" w:right="-93"/>
        <w:jc w:val="both"/>
        <w:rPr>
          <w:rFonts w:ascii="Palatino Linotype" w:eastAsia="Calibri" w:hAnsi="Palatino Linotype" w:cs="Tahoma"/>
          <w:b/>
          <w:bCs/>
          <w:i/>
          <w:iCs/>
          <w:szCs w:val="22"/>
          <w:lang w:val="es-ES" w:eastAsia="es-ES_tradnl"/>
        </w:rPr>
      </w:pPr>
    </w:p>
    <w:p w14:paraId="273BEC26" w14:textId="77777777" w:rsidR="006E1551" w:rsidRPr="00485E8C" w:rsidRDefault="006E1551" w:rsidP="006E1551">
      <w:pPr>
        <w:spacing w:line="360" w:lineRule="auto"/>
        <w:ind w:left="567" w:right="-93"/>
        <w:jc w:val="both"/>
        <w:rPr>
          <w:rFonts w:ascii="Palatino Linotype" w:eastAsia="Calibri" w:hAnsi="Palatino Linotype" w:cs="Tahoma"/>
          <w:i/>
          <w:iCs/>
          <w:szCs w:val="22"/>
          <w:lang w:val="es-ES" w:eastAsia="es-ES_tradnl"/>
        </w:rPr>
      </w:pPr>
      <w:r w:rsidRPr="00485E8C">
        <w:rPr>
          <w:rFonts w:ascii="Palatino Linotype" w:eastAsia="Calibri" w:hAnsi="Palatino Linotype" w:cs="Tahoma"/>
          <w:b/>
          <w:bCs/>
          <w:i/>
          <w:iCs/>
          <w:szCs w:val="22"/>
          <w:lang w:val="es-ES" w:eastAsia="es-ES_tradnl"/>
        </w:rPr>
        <w:t xml:space="preserve">XVI. Formato accesible: </w:t>
      </w:r>
      <w:r w:rsidRPr="00485E8C">
        <w:rPr>
          <w:rFonts w:ascii="Palatino Linotype" w:eastAsia="Calibri" w:hAnsi="Palatino Linotype" w:cs="Tahoma"/>
          <w:i/>
          <w:iCs/>
          <w:szCs w:val="22"/>
          <w:lang w:val="es-ES" w:eastAsia="es-ES_tradnl"/>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0DF2B06" w14:textId="77777777" w:rsidR="006E1551" w:rsidRDefault="006E1551" w:rsidP="006E1551">
      <w:pPr>
        <w:spacing w:line="360" w:lineRule="auto"/>
        <w:ind w:left="567" w:right="-93"/>
        <w:jc w:val="both"/>
        <w:rPr>
          <w:rFonts w:ascii="Palatino Linotype" w:eastAsia="Calibri" w:hAnsi="Palatino Linotype" w:cs="Tahoma"/>
          <w:b/>
          <w:bCs/>
          <w:i/>
          <w:iCs/>
          <w:szCs w:val="22"/>
          <w:lang w:val="es-ES" w:eastAsia="es-ES_tradnl"/>
        </w:rPr>
      </w:pPr>
    </w:p>
    <w:p w14:paraId="4C825384" w14:textId="77777777" w:rsidR="006E1551" w:rsidRPr="00485E8C" w:rsidRDefault="006E1551" w:rsidP="006E1551">
      <w:pPr>
        <w:spacing w:line="360" w:lineRule="auto"/>
        <w:ind w:left="567" w:right="-93"/>
        <w:jc w:val="both"/>
        <w:rPr>
          <w:rFonts w:ascii="Palatino Linotype" w:eastAsia="Calibri" w:hAnsi="Palatino Linotype" w:cs="Tahoma"/>
          <w:i/>
          <w:iCs/>
          <w:szCs w:val="22"/>
          <w:lang w:val="es-ES" w:eastAsia="es-ES_tradnl"/>
        </w:rPr>
      </w:pPr>
      <w:r w:rsidRPr="00485E8C">
        <w:rPr>
          <w:rFonts w:ascii="Palatino Linotype" w:eastAsia="Calibri" w:hAnsi="Palatino Linotype" w:cs="Tahoma"/>
          <w:b/>
          <w:bCs/>
          <w:i/>
          <w:iCs/>
          <w:szCs w:val="22"/>
          <w:lang w:val="es-ES" w:eastAsia="es-ES_tradnl"/>
        </w:rPr>
        <w:t>XVII a XLV…</w:t>
      </w:r>
    </w:p>
    <w:p w14:paraId="3ECAD84D" w14:textId="77777777" w:rsidR="006E1551" w:rsidRPr="00127996" w:rsidRDefault="006E1551" w:rsidP="006E1551">
      <w:pPr>
        <w:spacing w:line="360" w:lineRule="auto"/>
        <w:ind w:right="-93"/>
        <w:jc w:val="both"/>
        <w:rPr>
          <w:rFonts w:ascii="Palatino Linotype" w:eastAsia="Calibri" w:hAnsi="Palatino Linotype" w:cs="Tahoma"/>
          <w:i/>
          <w:iCs/>
          <w:sz w:val="22"/>
          <w:szCs w:val="22"/>
          <w:lang w:val="es-ES" w:eastAsia="es-ES_tradnl"/>
        </w:rPr>
      </w:pPr>
    </w:p>
    <w:p w14:paraId="06D8EAA7" w14:textId="77777777" w:rsidR="006E1551" w:rsidRPr="00127996" w:rsidRDefault="006E1551" w:rsidP="006E1551">
      <w:pPr>
        <w:spacing w:line="360" w:lineRule="auto"/>
        <w:ind w:right="-93"/>
        <w:jc w:val="both"/>
        <w:rPr>
          <w:rFonts w:ascii="Palatino Linotype" w:eastAsia="Calibri" w:hAnsi="Palatino Linotype" w:cs="Tahoma"/>
          <w:bCs/>
          <w:iCs/>
          <w:sz w:val="22"/>
          <w:szCs w:val="22"/>
          <w:lang w:val="es-ES" w:eastAsia="es-ES_tradnl"/>
        </w:rPr>
      </w:pPr>
      <w:r w:rsidRPr="00127996">
        <w:rPr>
          <w:rFonts w:ascii="Palatino Linotype" w:eastAsia="Calibri" w:hAnsi="Palatino Linotype" w:cs="Tahoma"/>
          <w:bCs/>
          <w:iCs/>
          <w:sz w:val="22"/>
          <w:szCs w:val="22"/>
          <w:lang w:val="es-ES" w:eastAsia="es-ES_tradnl"/>
        </w:rPr>
        <w:t>En este sentido, los datos abiertos cumplen con la finalidad de poder ser utilizados, reutilizados</w:t>
      </w:r>
      <w:r w:rsidRPr="00127996">
        <w:rPr>
          <w:rFonts w:ascii="Palatino Linotype" w:eastAsia="Calibri" w:hAnsi="Palatino Linotype" w:cs="Tahoma"/>
          <w:b/>
          <w:bCs/>
          <w:iCs/>
          <w:sz w:val="22"/>
          <w:szCs w:val="22"/>
          <w:u w:val="single"/>
          <w:lang w:val="es-ES" w:eastAsia="es-ES_tradnl"/>
        </w:rPr>
        <w:t xml:space="preserve"> </w:t>
      </w:r>
      <w:r w:rsidRPr="00127996">
        <w:rPr>
          <w:rFonts w:ascii="Palatino Linotype" w:eastAsia="Calibri" w:hAnsi="Palatino Linotype" w:cs="Tahoma"/>
          <w:bCs/>
          <w:iCs/>
          <w:sz w:val="22"/>
          <w:szCs w:val="22"/>
          <w:lang w:val="es-ES" w:eastAsia="es-ES_tradnl"/>
        </w:rPr>
        <w:t>y redistribuidos y</w:t>
      </w:r>
      <w:r>
        <w:rPr>
          <w:rFonts w:ascii="Palatino Linotype" w:eastAsia="Calibri" w:hAnsi="Palatino Linotype" w:cs="Tahoma"/>
          <w:bCs/>
          <w:iCs/>
          <w:sz w:val="22"/>
          <w:szCs w:val="22"/>
          <w:lang w:val="es-ES" w:eastAsia="es-ES_tradnl"/>
        </w:rPr>
        <w:t>,</w:t>
      </w:r>
      <w:r w:rsidRPr="00127996">
        <w:rPr>
          <w:rFonts w:ascii="Palatino Linotype" w:eastAsia="Calibri" w:hAnsi="Palatino Linotype" w:cs="Tahoma"/>
          <w:bCs/>
          <w:iCs/>
          <w:sz w:val="22"/>
          <w:szCs w:val="22"/>
          <w:lang w:val="es-ES" w:eastAsia="es-ES_tradnl"/>
        </w:rPr>
        <w:t xml:space="preserve"> que el formato de datos abiertos, debe permitir la aplicación y reproducción de la información sin estar condicionados a contraprestaciones; lo anterior no debe traducirse en la posibilidad de alteración, edición o modificación del original; entonces, podemos advertir </w:t>
      </w:r>
      <w:r w:rsidRPr="00127996">
        <w:rPr>
          <w:rFonts w:ascii="Palatino Linotype" w:eastAsia="Calibri" w:hAnsi="Palatino Linotype" w:cs="Tahoma"/>
          <w:bCs/>
          <w:iCs/>
          <w:sz w:val="22"/>
          <w:szCs w:val="22"/>
          <w:lang w:val="es-ES" w:eastAsia="es-ES_tradnl"/>
        </w:rPr>
        <w:lastRenderedPageBreak/>
        <w:t xml:space="preserve">que el documento entregado en formato </w:t>
      </w:r>
      <w:proofErr w:type="spellStart"/>
      <w:r w:rsidRPr="00127996">
        <w:rPr>
          <w:rFonts w:ascii="Palatino Linotype" w:eastAsia="Calibri" w:hAnsi="Palatino Linotype" w:cs="Tahoma"/>
          <w:bCs/>
          <w:i/>
          <w:sz w:val="22"/>
          <w:szCs w:val="22"/>
          <w:lang w:val="es-ES" w:eastAsia="es-ES_tradnl"/>
        </w:rPr>
        <w:t>pdf</w:t>
      </w:r>
      <w:proofErr w:type="spellEnd"/>
      <w:r w:rsidRPr="00127996">
        <w:rPr>
          <w:rFonts w:ascii="Palatino Linotype" w:eastAsia="Calibri" w:hAnsi="Palatino Linotype" w:cs="Tahoma"/>
          <w:bCs/>
          <w:iCs/>
          <w:sz w:val="22"/>
          <w:szCs w:val="22"/>
          <w:lang w:val="es-ES" w:eastAsia="es-ES_tradnl"/>
        </w:rPr>
        <w:t>, no permite seleccionar texto, copiarlo y pegarlo; por tanto, tampoco permite que la información pueda ser utilizada, reutilizada o redistribuida.</w:t>
      </w:r>
    </w:p>
    <w:p w14:paraId="4AAEB2A1" w14:textId="77777777" w:rsidR="006E1551" w:rsidRPr="006E1551" w:rsidRDefault="006E1551" w:rsidP="00647E3E">
      <w:pPr>
        <w:spacing w:line="360" w:lineRule="auto"/>
        <w:jc w:val="both"/>
        <w:rPr>
          <w:rFonts w:ascii="Palatino Linotype" w:eastAsia="Calibri" w:hAnsi="Palatino Linotype" w:cs="Tahoma"/>
          <w:iCs/>
          <w:sz w:val="22"/>
          <w:szCs w:val="22"/>
          <w:lang w:val="es-ES" w:eastAsia="es-ES_tradnl"/>
        </w:rPr>
      </w:pPr>
    </w:p>
    <w:p w14:paraId="2B07998A" w14:textId="7A936234" w:rsidR="006E1551" w:rsidRDefault="006E1551" w:rsidP="006E1551">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Además, es de señalar que la liga electrónica s</w:t>
      </w:r>
      <w:r w:rsidR="00D76493">
        <w:rPr>
          <w:rFonts w:ascii="Palatino Linotype" w:eastAsia="Calibri" w:hAnsi="Palatino Linotype" w:cs="Tahoma"/>
          <w:iCs/>
          <w:sz w:val="22"/>
          <w:szCs w:val="22"/>
          <w:lang w:eastAsia="es-ES_tradnl"/>
        </w:rPr>
        <w:t xml:space="preserve">i bien el titular de la Unidad de Transparencia intento señalar los pasos para que el Particular accediera a la información, no es posible ya que como bien lo manifestó el Particular es de forma genérica sin especificar en los que intervino la servidora pública mencionada en la solicitud, por lo que no contiene </w:t>
      </w:r>
      <w:r>
        <w:rPr>
          <w:rFonts w:ascii="Palatino Linotype" w:eastAsia="Calibri" w:hAnsi="Palatino Linotype" w:cs="Tahoma"/>
          <w:iCs/>
          <w:sz w:val="22"/>
          <w:szCs w:val="22"/>
          <w:lang w:eastAsia="es-ES_tradnl"/>
        </w:rPr>
        <w:t>mayores datos para identificar la información</w:t>
      </w:r>
      <w:r w:rsidR="007F1D2F">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w:t>
      </w:r>
      <w:r w:rsidRPr="006E1551">
        <w:rPr>
          <w:rFonts w:ascii="Palatino Linotype" w:eastAsia="Calibri" w:hAnsi="Palatino Linotype" w:cs="Tahoma"/>
          <w:iCs/>
          <w:sz w:val="22"/>
          <w:szCs w:val="22"/>
          <w:lang w:eastAsia="es-ES_tradnl"/>
        </w:rPr>
        <w:t xml:space="preserve">en ese sentido cabe señalar que todo </w:t>
      </w:r>
      <w:r w:rsidRPr="006E1551">
        <w:rPr>
          <w:rFonts w:ascii="Palatino Linotype" w:eastAsia="Calibri" w:hAnsi="Palatino Linotype" w:cs="Tahoma"/>
          <w:bCs/>
          <w:iCs/>
          <w:sz w:val="22"/>
          <w:szCs w:val="22"/>
          <w:lang w:eastAsia="es-ES_tradnl"/>
        </w:rPr>
        <w:t xml:space="preserve">acto administrativo debe apegarse al </w:t>
      </w:r>
      <w:r w:rsidRPr="006E1551">
        <w:rPr>
          <w:rFonts w:ascii="Palatino Linotype" w:eastAsia="Calibri" w:hAnsi="Palatino Linotype" w:cs="Tahoma"/>
          <w:b/>
          <w:bCs/>
          <w:iCs/>
          <w:sz w:val="22"/>
          <w:szCs w:val="22"/>
          <w:lang w:eastAsia="es-ES_tradnl"/>
        </w:rPr>
        <w:t>principio de congruencia y exhaustividad</w:t>
      </w:r>
      <w:r w:rsidRPr="006E1551">
        <w:rPr>
          <w:rFonts w:ascii="Palatino Linotype" w:eastAsia="Calibri" w:hAnsi="Palatino Linotype" w:cs="Tahoma"/>
          <w:bCs/>
          <w:iCs/>
          <w:sz w:val="22"/>
          <w:szCs w:val="22"/>
          <w:lang w:eastAsia="es-ES_tradnl"/>
        </w:rPr>
        <w:t xml:space="preserve">, </w:t>
      </w:r>
      <w:r w:rsidRPr="006E1551">
        <w:rPr>
          <w:rFonts w:ascii="Palatino Linotype" w:eastAsia="Calibri" w:hAnsi="Palatino Linotype" w:cs="Tahoma"/>
          <w:bCs/>
          <w:iCs/>
          <w:sz w:val="22"/>
          <w:szCs w:val="22"/>
          <w:lang w:val="es-ES_tradnl" w:eastAsia="es-ES_tradnl"/>
        </w:rPr>
        <w:t xml:space="preserve">entendiendo por estos que se pronuncie expresamente sobre cada uno de los puntos requeridos, además de que al proporcionar liga electrónica se debe orientar al Particular </w:t>
      </w:r>
      <w:r w:rsidRPr="006E1551">
        <w:rPr>
          <w:rFonts w:ascii="Palatino Linotype" w:eastAsia="Calibri" w:hAnsi="Palatino Linotype" w:cs="Tahoma"/>
          <w:iCs/>
          <w:sz w:val="22"/>
          <w:szCs w:val="22"/>
          <w:lang w:eastAsia="es-ES_tradnl"/>
        </w:rPr>
        <w:t xml:space="preserve">de manera adecuada, con la finalidad de que localice de manera sencilla la información, en ese sentido el </w:t>
      </w:r>
      <w:r w:rsidRPr="006E1551">
        <w:rPr>
          <w:rFonts w:ascii="Palatino Linotype" w:eastAsia="Calibri" w:hAnsi="Palatino Linotype" w:cs="Tahoma"/>
          <w:iCs/>
          <w:sz w:val="22"/>
          <w:szCs w:val="22"/>
          <w:lang w:val="es-ES" w:eastAsia="es-ES_tradnl"/>
        </w:rPr>
        <w:t>artículo 161 de la Ley de Transparencia y Acceso a la Información Pública del Estado de México y Municipios,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razón por la cual no se puede tener por atendidos los requerimientos del Particular con la</w:t>
      </w:r>
      <w:r w:rsidR="00A01983">
        <w:rPr>
          <w:rFonts w:ascii="Palatino Linotype" w:eastAsia="Calibri" w:hAnsi="Palatino Linotype" w:cs="Tahoma"/>
          <w:iCs/>
          <w:sz w:val="22"/>
          <w:szCs w:val="22"/>
          <w:lang w:val="es-ES" w:eastAsia="es-ES_tradnl"/>
        </w:rPr>
        <w:t>s</w:t>
      </w:r>
      <w:r w:rsidRPr="006E1551">
        <w:rPr>
          <w:rFonts w:ascii="Palatino Linotype" w:eastAsia="Calibri" w:hAnsi="Palatino Linotype" w:cs="Tahoma"/>
          <w:iCs/>
          <w:sz w:val="22"/>
          <w:szCs w:val="22"/>
          <w:lang w:val="es-ES" w:eastAsia="es-ES_tradnl"/>
        </w:rPr>
        <w:t xml:space="preserve"> liga</w:t>
      </w:r>
      <w:r w:rsidR="00A01983">
        <w:rPr>
          <w:rFonts w:ascii="Palatino Linotype" w:eastAsia="Calibri" w:hAnsi="Palatino Linotype" w:cs="Tahoma"/>
          <w:iCs/>
          <w:sz w:val="22"/>
          <w:szCs w:val="22"/>
          <w:lang w:val="es-ES" w:eastAsia="es-ES_tradnl"/>
        </w:rPr>
        <w:t>s</w:t>
      </w:r>
      <w:r w:rsidRPr="006E1551">
        <w:rPr>
          <w:rFonts w:ascii="Palatino Linotype" w:eastAsia="Calibri" w:hAnsi="Palatino Linotype" w:cs="Tahoma"/>
          <w:iCs/>
          <w:sz w:val="22"/>
          <w:szCs w:val="22"/>
          <w:lang w:val="es-ES" w:eastAsia="es-ES_tradnl"/>
        </w:rPr>
        <w:t xml:space="preserve"> proporcionada</w:t>
      </w:r>
      <w:r w:rsidR="00A01983">
        <w:rPr>
          <w:rFonts w:ascii="Palatino Linotype" w:eastAsia="Calibri" w:hAnsi="Palatino Linotype" w:cs="Tahoma"/>
          <w:iCs/>
          <w:sz w:val="22"/>
          <w:szCs w:val="22"/>
          <w:lang w:val="es-ES" w:eastAsia="es-ES_tradnl"/>
        </w:rPr>
        <w:t>s</w:t>
      </w:r>
      <w:r w:rsidR="007F1D2F">
        <w:rPr>
          <w:rFonts w:ascii="Palatino Linotype" w:eastAsia="Calibri" w:hAnsi="Palatino Linotype" w:cs="Tahoma"/>
          <w:iCs/>
          <w:sz w:val="22"/>
          <w:szCs w:val="22"/>
          <w:lang w:val="es-ES" w:eastAsia="es-ES_tradnl"/>
        </w:rPr>
        <w:t>.</w:t>
      </w:r>
    </w:p>
    <w:p w14:paraId="5D9A0ECF" w14:textId="77777777" w:rsidR="007F1D2F" w:rsidRDefault="007F1D2F" w:rsidP="006E1551">
      <w:pPr>
        <w:spacing w:line="360" w:lineRule="auto"/>
        <w:jc w:val="both"/>
        <w:rPr>
          <w:rFonts w:ascii="Palatino Linotype" w:eastAsia="Calibri" w:hAnsi="Palatino Linotype" w:cs="Tahoma"/>
          <w:iCs/>
          <w:sz w:val="22"/>
          <w:szCs w:val="22"/>
          <w:lang w:val="es-ES" w:eastAsia="es-ES_tradnl"/>
        </w:rPr>
      </w:pPr>
    </w:p>
    <w:p w14:paraId="7A370691" w14:textId="31D70927" w:rsidR="0012359E" w:rsidRDefault="007F1D2F" w:rsidP="0012359E">
      <w:pPr>
        <w:spacing w:line="360" w:lineRule="auto"/>
        <w:jc w:val="both"/>
        <w:rPr>
          <w:rFonts w:ascii="Palatino Linotype" w:hAnsi="Palatino Linotype"/>
          <w:noProof/>
          <w:sz w:val="22"/>
          <w:szCs w:val="22"/>
          <w:lang w:eastAsia="es-MX"/>
        </w:rPr>
      </w:pPr>
      <w:r>
        <w:rPr>
          <w:rFonts w:ascii="Palatino Linotype" w:eastAsia="Calibri" w:hAnsi="Palatino Linotype" w:cs="Tahoma"/>
          <w:iCs/>
          <w:sz w:val="22"/>
          <w:szCs w:val="22"/>
          <w:lang w:val="es-ES" w:eastAsia="es-ES_tradnl"/>
        </w:rPr>
        <w:t>Derivado de lo anterior, lo procedente es ordenar los documentos en donde conste la información solicitada por el Particular, ya que como quedo establecido, debe contar con l</w:t>
      </w:r>
      <w:r w:rsidR="00A01983">
        <w:rPr>
          <w:rFonts w:ascii="Palatino Linotype" w:eastAsia="Calibri" w:hAnsi="Palatino Linotype" w:cs="Tahoma"/>
          <w:iCs/>
          <w:sz w:val="22"/>
          <w:szCs w:val="22"/>
          <w:lang w:val="es-ES" w:eastAsia="es-ES_tradnl"/>
        </w:rPr>
        <w:t>o solicitado</w:t>
      </w:r>
      <w:r w:rsidR="0012359E">
        <w:rPr>
          <w:rFonts w:ascii="Palatino Linotype" w:hAnsi="Palatino Linotype" w:cs="Tahoma"/>
          <w:sz w:val="22"/>
          <w:szCs w:val="24"/>
        </w:rPr>
        <w:t xml:space="preserve">, </w:t>
      </w:r>
      <w:r w:rsidR="0012359E" w:rsidRPr="00D35EBC">
        <w:rPr>
          <w:rFonts w:ascii="Palatino Linotype" w:hAnsi="Palatino Linotype"/>
          <w:noProof/>
          <w:sz w:val="22"/>
          <w:szCs w:val="22"/>
          <w:lang w:eastAsia="es-MX"/>
        </w:rPr>
        <w:t xml:space="preserve">en virtud de que conforme al artículo 12 de la Ley de Transparencia y Acceso a la Información Pública del Estado de México y Municipios, los sujetos obligados están constreñidos a proporcionar la información pública que obre en sus archivos, en el estado en </w:t>
      </w:r>
      <w:r w:rsidR="0012359E" w:rsidRPr="00D35EBC">
        <w:rPr>
          <w:rFonts w:ascii="Palatino Linotype" w:hAnsi="Palatino Linotype"/>
          <w:noProof/>
          <w:sz w:val="22"/>
          <w:szCs w:val="22"/>
          <w:lang w:eastAsia="es-MX"/>
        </w:rPr>
        <w:lastRenderedPageBreak/>
        <w:t>que esta se encuentre; por lo que, la entrega no comprende el procesamiento de la misma, ni presentarla conforme al interés del solicitante, además, que tampoco deberá generarla, resumirla, efectuar cálculos o practicar investigaciones.</w:t>
      </w:r>
    </w:p>
    <w:p w14:paraId="15AFD3AF" w14:textId="77777777" w:rsidR="0047300D" w:rsidRDefault="0047300D" w:rsidP="0012359E">
      <w:pPr>
        <w:spacing w:line="360" w:lineRule="auto"/>
        <w:jc w:val="both"/>
        <w:rPr>
          <w:rFonts w:ascii="Palatino Linotype" w:hAnsi="Palatino Linotype"/>
          <w:noProof/>
          <w:sz w:val="22"/>
          <w:szCs w:val="22"/>
          <w:lang w:eastAsia="es-MX"/>
        </w:rPr>
      </w:pPr>
    </w:p>
    <w:p w14:paraId="04E3897D" w14:textId="5FF00D2E" w:rsidR="0047300D" w:rsidRDefault="0047300D" w:rsidP="0012359E">
      <w:pPr>
        <w:spacing w:line="360" w:lineRule="auto"/>
        <w:jc w:val="both"/>
        <w:rPr>
          <w:rFonts w:ascii="Palatino Linotype" w:hAnsi="Palatino Linotype"/>
          <w:noProof/>
          <w:sz w:val="22"/>
          <w:szCs w:val="22"/>
          <w:lang w:eastAsia="es-MX"/>
        </w:rPr>
      </w:pPr>
      <w:r>
        <w:rPr>
          <w:rFonts w:ascii="Palatino Linotype" w:hAnsi="Palatino Linotype"/>
          <w:noProof/>
          <w:sz w:val="22"/>
          <w:szCs w:val="22"/>
          <w:lang w:eastAsia="es-MX"/>
        </w:rPr>
        <w:t>Además, este Institu localizó que la Subdirección de Adminiustración y Finanzas partició en procedimientos de adjudicación, tal como se muestra en la siguiente invitación, del diez de junio de dos mil veinticuatro:</w:t>
      </w:r>
    </w:p>
    <w:p w14:paraId="204A45C0" w14:textId="77777777" w:rsidR="0047300D" w:rsidRDefault="0047300D" w:rsidP="0012359E">
      <w:pPr>
        <w:spacing w:line="360" w:lineRule="auto"/>
        <w:jc w:val="both"/>
        <w:rPr>
          <w:rFonts w:ascii="Palatino Linotype" w:hAnsi="Palatino Linotype"/>
          <w:noProof/>
          <w:sz w:val="22"/>
          <w:szCs w:val="22"/>
          <w:lang w:eastAsia="es-MX"/>
        </w:rPr>
      </w:pPr>
    </w:p>
    <w:p w14:paraId="4CA27621" w14:textId="299DD4EC" w:rsidR="0047300D" w:rsidRPr="007F1D2F" w:rsidRDefault="0047300D" w:rsidP="0012359E">
      <w:pPr>
        <w:spacing w:line="360" w:lineRule="auto"/>
        <w:jc w:val="both"/>
        <w:rPr>
          <w:rFonts w:ascii="Palatino Linotype" w:eastAsia="Calibri" w:hAnsi="Palatino Linotype" w:cs="Tahoma"/>
          <w:iCs/>
          <w:sz w:val="22"/>
          <w:szCs w:val="22"/>
          <w:lang w:eastAsia="es-ES_tradnl"/>
        </w:rPr>
      </w:pPr>
      <w:r w:rsidRPr="0047300D">
        <w:rPr>
          <w:rFonts w:ascii="Palatino Linotype" w:eastAsia="Calibri" w:hAnsi="Palatino Linotype" w:cs="Tahoma"/>
          <w:iCs/>
          <w:noProof/>
          <w:sz w:val="22"/>
          <w:szCs w:val="22"/>
          <w:lang w:eastAsia="es-MX"/>
        </w:rPr>
        <w:lastRenderedPageBreak/>
        <w:drawing>
          <wp:inline distT="0" distB="0" distL="0" distR="0" wp14:anchorId="26FE2BB1" wp14:editId="468B9C5A">
            <wp:extent cx="5742940" cy="5660390"/>
            <wp:effectExtent l="0" t="0" r="0" b="0"/>
            <wp:docPr id="10731670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67074" name=""/>
                    <pic:cNvPicPr/>
                  </pic:nvPicPr>
                  <pic:blipFill>
                    <a:blip r:embed="rId11"/>
                    <a:stretch>
                      <a:fillRect/>
                    </a:stretch>
                  </pic:blipFill>
                  <pic:spPr>
                    <a:xfrm>
                      <a:off x="0" y="0"/>
                      <a:ext cx="5742940" cy="5660390"/>
                    </a:xfrm>
                    <a:prstGeom prst="rect">
                      <a:avLst/>
                    </a:prstGeom>
                  </pic:spPr>
                </pic:pic>
              </a:graphicData>
            </a:graphic>
          </wp:inline>
        </w:drawing>
      </w:r>
    </w:p>
    <w:p w14:paraId="2C03F40B" w14:textId="77777777" w:rsidR="0012359E" w:rsidRDefault="0012359E" w:rsidP="00647E3E">
      <w:pPr>
        <w:spacing w:line="360" w:lineRule="auto"/>
        <w:jc w:val="both"/>
        <w:rPr>
          <w:rFonts w:ascii="Palatino Linotype" w:eastAsia="Calibri" w:hAnsi="Palatino Linotype" w:cs="Tahoma"/>
          <w:iCs/>
          <w:sz w:val="22"/>
          <w:szCs w:val="24"/>
          <w:lang w:eastAsia="es-ES_tradnl"/>
        </w:rPr>
      </w:pPr>
    </w:p>
    <w:p w14:paraId="388A790F" w14:textId="253ADA23" w:rsidR="0047300D" w:rsidRDefault="0047300D" w:rsidP="00647E3E">
      <w:pPr>
        <w:spacing w:line="360" w:lineRule="auto"/>
        <w:jc w:val="both"/>
        <w:rPr>
          <w:rFonts w:ascii="Palatino Linotype" w:eastAsia="Calibri" w:hAnsi="Palatino Linotype" w:cs="Tahoma"/>
          <w:iCs/>
          <w:sz w:val="22"/>
          <w:szCs w:val="24"/>
          <w:lang w:eastAsia="es-ES_tradnl"/>
        </w:rPr>
      </w:pPr>
      <w:r>
        <w:rPr>
          <w:rFonts w:ascii="Palatino Linotype" w:eastAsia="Calibri" w:hAnsi="Palatino Linotype" w:cs="Tahoma"/>
          <w:iCs/>
          <w:sz w:val="22"/>
          <w:szCs w:val="24"/>
          <w:lang w:eastAsia="es-ES_tradnl"/>
        </w:rPr>
        <w:t>Ahora bien, para el caso de que la Subdirección referida no haya celebrado convenios, deberá hacerlo del conocimiento de la parte Recurrente de manera clara y precisa, en términos del artículo 19, párrafo segundo, de la Ley de Transparencia y Acceso a la Información Pública del Estado de México y Municipios.</w:t>
      </w:r>
    </w:p>
    <w:p w14:paraId="2EB61E24" w14:textId="27610F67" w:rsidR="0012359E" w:rsidRPr="0012359E" w:rsidRDefault="0012359E" w:rsidP="0012359E">
      <w:pPr>
        <w:spacing w:line="360" w:lineRule="auto"/>
        <w:jc w:val="both"/>
        <w:rPr>
          <w:rFonts w:ascii="Palatino Linotype" w:eastAsia="Calibri" w:hAnsi="Palatino Linotype" w:cs="Tahoma"/>
          <w:bCs/>
          <w:iCs/>
          <w:sz w:val="22"/>
          <w:szCs w:val="24"/>
          <w:lang w:val="es-ES" w:eastAsia="es-ES_tradnl"/>
        </w:rPr>
      </w:pPr>
      <w:r w:rsidRPr="0012359E">
        <w:rPr>
          <w:rFonts w:ascii="Palatino Linotype" w:eastAsia="Calibri" w:hAnsi="Palatino Linotype" w:cs="Tahoma"/>
          <w:bCs/>
          <w:iCs/>
          <w:sz w:val="22"/>
          <w:szCs w:val="24"/>
          <w:lang w:val="es-ES_tradnl" w:eastAsia="es-ES_tradnl"/>
        </w:rPr>
        <w:lastRenderedPageBreak/>
        <w:t xml:space="preserve">Finalmente, </w:t>
      </w:r>
      <w:r w:rsidR="002F670A">
        <w:rPr>
          <w:rFonts w:ascii="Palatino Linotype" w:eastAsia="Calibri" w:hAnsi="Palatino Linotype" w:cs="Tahoma"/>
          <w:bCs/>
          <w:iCs/>
          <w:sz w:val="22"/>
          <w:szCs w:val="24"/>
          <w:lang w:val="es-ES_tradnl" w:eastAsia="es-ES_tradnl"/>
        </w:rPr>
        <w:t>se</w:t>
      </w:r>
      <w:r w:rsidRPr="0012359E">
        <w:rPr>
          <w:rFonts w:ascii="Palatino Linotype" w:eastAsia="Calibri" w:hAnsi="Palatino Linotype" w:cs="Tahoma"/>
          <w:bCs/>
          <w:iCs/>
          <w:sz w:val="22"/>
          <w:szCs w:val="24"/>
          <w:lang w:val="es-ES_tradnl" w:eastAsia="es-ES_tradnl"/>
        </w:rPr>
        <w:t xml:space="preserve"> considera que </w:t>
      </w:r>
      <w:r w:rsidR="002F670A">
        <w:rPr>
          <w:rFonts w:ascii="Palatino Linotype" w:eastAsia="Calibri" w:hAnsi="Palatino Linotype" w:cs="Tahoma"/>
          <w:bCs/>
          <w:iCs/>
          <w:sz w:val="22"/>
          <w:szCs w:val="24"/>
          <w:lang w:val="es-ES_tradnl" w:eastAsia="es-ES_tradnl"/>
        </w:rPr>
        <w:t>los documentos que se ordenan entregar</w:t>
      </w:r>
      <w:r w:rsidRPr="0012359E">
        <w:rPr>
          <w:rFonts w:ascii="Palatino Linotype" w:eastAsia="Calibri" w:hAnsi="Palatino Linotype" w:cs="Tahoma"/>
          <w:bCs/>
          <w:iCs/>
          <w:sz w:val="22"/>
          <w:szCs w:val="24"/>
          <w:lang w:val="es-ES_tradnl" w:eastAsia="es-ES_tradnl"/>
        </w:rPr>
        <w:t>, pudieran contar con datos o información clasificada</w:t>
      </w:r>
      <w:r w:rsidR="00DE06C2">
        <w:rPr>
          <w:rFonts w:ascii="Palatino Linotype" w:eastAsia="Calibri" w:hAnsi="Palatino Linotype" w:cs="Tahoma"/>
          <w:bCs/>
          <w:iCs/>
          <w:sz w:val="22"/>
          <w:szCs w:val="24"/>
          <w:lang w:val="es-ES_tradnl" w:eastAsia="es-ES_tradnl"/>
        </w:rPr>
        <w:t>, como pudiera ser los datos bancarios de proveedores o prestadores de servicios</w:t>
      </w:r>
      <w:r w:rsidRPr="0012359E">
        <w:rPr>
          <w:rFonts w:ascii="Palatino Linotype" w:eastAsia="Calibri" w:hAnsi="Palatino Linotype" w:cs="Tahoma"/>
          <w:bCs/>
          <w:iCs/>
          <w:sz w:val="22"/>
          <w:szCs w:val="24"/>
          <w:lang w:val="es-ES_tradnl" w:eastAsia="es-ES_tradnl"/>
        </w:rPr>
        <w:t>, por lo que, en el caso, deberá elaborar la versión pública respectiva; a</w:t>
      </w:r>
      <w:r w:rsidRPr="0012359E">
        <w:rPr>
          <w:rFonts w:ascii="Palatino Linotype" w:eastAsia="Calibri" w:hAnsi="Palatino Linotype" w:cs="Tahoma"/>
          <w:bCs/>
          <w:iCs/>
          <w:sz w:val="22"/>
          <w:szCs w:val="24"/>
          <w:lang w:val="es-ES" w:eastAsia="es-ES_tradnl"/>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BAF243F" w14:textId="77777777" w:rsidR="0012359E" w:rsidRPr="0012359E" w:rsidRDefault="0012359E" w:rsidP="0012359E">
      <w:pPr>
        <w:spacing w:line="360" w:lineRule="auto"/>
        <w:jc w:val="both"/>
        <w:rPr>
          <w:rFonts w:ascii="Palatino Linotype" w:eastAsia="Calibri" w:hAnsi="Palatino Linotype" w:cs="Tahoma"/>
          <w:bCs/>
          <w:iCs/>
          <w:sz w:val="22"/>
          <w:szCs w:val="24"/>
          <w:lang w:val="es-ES" w:eastAsia="es-ES_tradnl"/>
        </w:rPr>
      </w:pPr>
    </w:p>
    <w:p w14:paraId="290E3E35" w14:textId="77777777" w:rsidR="0012359E" w:rsidRPr="0012359E" w:rsidRDefault="0012359E" w:rsidP="0012359E">
      <w:pPr>
        <w:spacing w:line="360" w:lineRule="auto"/>
        <w:jc w:val="both"/>
        <w:rPr>
          <w:rFonts w:ascii="Palatino Linotype" w:eastAsia="Calibri" w:hAnsi="Palatino Linotype" w:cs="Tahoma"/>
          <w:iCs/>
          <w:sz w:val="22"/>
          <w:szCs w:val="24"/>
          <w:lang w:eastAsia="es-ES_tradnl"/>
        </w:rPr>
      </w:pPr>
      <w:r w:rsidRPr="0012359E">
        <w:rPr>
          <w:rFonts w:ascii="Palatino Linotype" w:eastAsia="Calibri" w:hAnsi="Palatino Linotype" w:cs="Tahoma"/>
          <w:bCs/>
          <w:iCs/>
          <w:sz w:val="22"/>
          <w:szCs w:val="24"/>
          <w:lang w:val="es-ES" w:eastAsia="es-ES_tradnl"/>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2754F5F" w14:textId="77777777" w:rsidR="0012359E" w:rsidRPr="0012359E" w:rsidRDefault="0012359E" w:rsidP="0012359E">
      <w:pPr>
        <w:spacing w:line="360" w:lineRule="auto"/>
        <w:jc w:val="both"/>
        <w:rPr>
          <w:rFonts w:ascii="Palatino Linotype" w:eastAsia="Calibri" w:hAnsi="Palatino Linotype" w:cs="Tahoma"/>
          <w:iCs/>
          <w:sz w:val="22"/>
          <w:szCs w:val="24"/>
          <w:lang w:eastAsia="es-ES_tradnl"/>
        </w:rPr>
      </w:pPr>
    </w:p>
    <w:p w14:paraId="0972BA5E" w14:textId="77777777" w:rsidR="005D4660" w:rsidRPr="00FB571A" w:rsidRDefault="005D4660" w:rsidP="000B54EE">
      <w:pPr>
        <w:pStyle w:val="Ttulo2"/>
        <w:spacing w:before="0" w:line="360" w:lineRule="auto"/>
        <w:rPr>
          <w:rFonts w:ascii="Palatino Linotype" w:hAnsi="Palatino Linotype"/>
          <w:b/>
          <w:color w:val="auto"/>
          <w:sz w:val="22"/>
          <w:szCs w:val="22"/>
        </w:rPr>
      </w:pPr>
      <w:bookmarkStart w:id="21" w:name="_Toc190857068"/>
      <w:bookmarkStart w:id="22" w:name="_Toc205307000"/>
      <w:r w:rsidRPr="00FB571A">
        <w:rPr>
          <w:rFonts w:ascii="Palatino Linotype" w:hAnsi="Palatino Linotype"/>
          <w:b/>
          <w:color w:val="auto"/>
          <w:sz w:val="22"/>
          <w:szCs w:val="22"/>
        </w:rPr>
        <w:t>SEXTO. Decisión</w:t>
      </w:r>
      <w:bookmarkEnd w:id="21"/>
      <w:bookmarkEnd w:id="22"/>
    </w:p>
    <w:p w14:paraId="11646D3C" w14:textId="77777777" w:rsidR="005D4660" w:rsidRPr="00FB571A" w:rsidRDefault="005D4660" w:rsidP="000B54EE">
      <w:pPr>
        <w:spacing w:line="360" w:lineRule="auto"/>
        <w:ind w:right="-93"/>
        <w:jc w:val="both"/>
        <w:rPr>
          <w:rFonts w:ascii="Palatino Linotype" w:hAnsi="Palatino Linotype" w:cs="Tahoma"/>
          <w:b/>
          <w:sz w:val="22"/>
          <w:szCs w:val="22"/>
        </w:rPr>
      </w:pPr>
    </w:p>
    <w:p w14:paraId="54BF5C68" w14:textId="2FD6A37F" w:rsidR="005D4660" w:rsidRPr="00FB571A" w:rsidRDefault="005D4660" w:rsidP="000B54EE">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12A15">
        <w:rPr>
          <w:rFonts w:ascii="Palatino Linotype" w:hAnsi="Palatino Linotype" w:cs="Tahoma"/>
          <w:b/>
          <w:sz w:val="22"/>
          <w:szCs w:val="22"/>
        </w:rPr>
        <w:t>REVOCAR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A01983" w:rsidRPr="00A01983">
        <w:rPr>
          <w:rFonts w:ascii="Palatino Linotype" w:hAnsi="Palatino Linotype" w:cs="Tahoma"/>
          <w:b/>
          <w:bCs/>
          <w:sz w:val="22"/>
          <w:szCs w:val="22"/>
        </w:rPr>
        <w:t>00097/OASATIZARA/IP/2025</w:t>
      </w:r>
      <w:r w:rsidRPr="00FB571A">
        <w:rPr>
          <w:rFonts w:ascii="Palatino Linotype" w:hAnsi="Palatino Linotype" w:cs="Tahoma"/>
          <w:sz w:val="22"/>
          <w:szCs w:val="22"/>
        </w:rPr>
        <w:t xml:space="preserve">, por resultar fundadas las razones o motivos de inconformidad hechos valer por el Recurrente, en el Recurso de Revisión </w:t>
      </w:r>
      <w:r w:rsidR="00A01983">
        <w:rPr>
          <w:rFonts w:ascii="Palatino Linotype" w:hAnsi="Palatino Linotype" w:cs="Tahoma"/>
          <w:b/>
          <w:sz w:val="22"/>
          <w:szCs w:val="22"/>
        </w:rPr>
        <w:t>10956</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 la información solicitada.</w:t>
      </w:r>
    </w:p>
    <w:p w14:paraId="4C48D1CE" w14:textId="77777777" w:rsidR="005D4660" w:rsidRPr="00FB571A" w:rsidRDefault="005D4660" w:rsidP="000B54EE">
      <w:pPr>
        <w:spacing w:line="360" w:lineRule="auto"/>
        <w:ind w:right="-93"/>
        <w:jc w:val="both"/>
        <w:rPr>
          <w:rFonts w:ascii="Palatino Linotype" w:eastAsia="Palatino Linotype" w:hAnsi="Palatino Linotype" w:cs="Palatino Linotype"/>
          <w:sz w:val="22"/>
          <w:szCs w:val="22"/>
        </w:rPr>
      </w:pPr>
    </w:p>
    <w:p w14:paraId="20A5A561" w14:textId="77777777" w:rsidR="005D4660" w:rsidRPr="00FB571A" w:rsidRDefault="005D4660" w:rsidP="000B54EE">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0DC6300A" w14:textId="77777777" w:rsidR="005D4660" w:rsidRPr="00FB571A" w:rsidRDefault="005D4660" w:rsidP="000B54EE">
      <w:pPr>
        <w:spacing w:line="360" w:lineRule="auto"/>
        <w:jc w:val="both"/>
        <w:rPr>
          <w:rFonts w:ascii="Palatino Linotype" w:eastAsia="Calibri" w:hAnsi="Palatino Linotype" w:cs="Tahoma"/>
          <w:iCs/>
          <w:sz w:val="22"/>
          <w:szCs w:val="22"/>
          <w:lang w:eastAsia="es-ES_tradnl"/>
        </w:rPr>
      </w:pPr>
    </w:p>
    <w:p w14:paraId="072DB326" w14:textId="77777777" w:rsidR="005D4660" w:rsidRDefault="005D4660" w:rsidP="000B54EE">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312A15">
        <w:rPr>
          <w:rFonts w:ascii="Palatino Linotype" w:hAnsi="Palatino Linotype" w:cs="Tahoma"/>
          <w:bCs/>
          <w:sz w:val="22"/>
          <w:szCs w:val="22"/>
          <w:u w:val="single"/>
        </w:rPr>
        <w:t>revocar</w:t>
      </w:r>
      <w:r w:rsidRPr="00FB571A">
        <w:rPr>
          <w:rFonts w:ascii="Palatino Linotype" w:hAnsi="Palatino Linotype" w:cs="Tahoma"/>
          <w:bCs/>
          <w:sz w:val="22"/>
          <w:szCs w:val="22"/>
          <w:u w:val="single"/>
        </w:rPr>
        <w:t xml:space="preserve"> la respuesta que le entregó el Sujeto Obligado a su solicitud de acceso, toda vez que </w:t>
      </w:r>
      <w:r w:rsidR="0094768D">
        <w:rPr>
          <w:rFonts w:ascii="Palatino Linotype" w:hAnsi="Palatino Linotype" w:cs="Tahoma"/>
          <w:bCs/>
          <w:sz w:val="22"/>
          <w:szCs w:val="22"/>
          <w:u w:val="single"/>
        </w:rPr>
        <w:t>no entregó</w:t>
      </w:r>
      <w:r>
        <w:rPr>
          <w:rFonts w:ascii="Palatino Linotype" w:hAnsi="Palatino Linotype" w:cs="Tahoma"/>
          <w:bCs/>
          <w:sz w:val="22"/>
          <w:szCs w:val="22"/>
          <w:u w:val="single"/>
        </w:rPr>
        <w:t xml:space="preserve"> l</w:t>
      </w:r>
      <w:r w:rsidR="00057616">
        <w:rPr>
          <w:rFonts w:ascii="Palatino Linotype" w:hAnsi="Palatino Linotype" w:cs="Tahoma"/>
          <w:bCs/>
          <w:sz w:val="22"/>
          <w:szCs w:val="22"/>
          <w:u w:val="single"/>
        </w:rPr>
        <w:t xml:space="preserve">os documentos </w:t>
      </w:r>
      <w:r w:rsidR="0012359E">
        <w:rPr>
          <w:rFonts w:ascii="Palatino Linotype" w:hAnsi="Palatino Linotype" w:cs="Tahoma"/>
          <w:bCs/>
          <w:sz w:val="22"/>
          <w:szCs w:val="22"/>
          <w:u w:val="single"/>
        </w:rPr>
        <w:t>que son de su</w:t>
      </w:r>
      <w:r w:rsidR="00057616">
        <w:rPr>
          <w:rFonts w:ascii="Palatino Linotype" w:hAnsi="Palatino Linotype" w:cs="Tahoma"/>
          <w:bCs/>
          <w:sz w:val="22"/>
          <w:szCs w:val="22"/>
          <w:u w:val="single"/>
        </w:rPr>
        <w:t xml:space="preserve"> interés</w:t>
      </w:r>
      <w:r w:rsidR="0012359E">
        <w:rPr>
          <w:rFonts w:ascii="Palatino Linotype" w:hAnsi="Palatino Linotype" w:cs="Tahoma"/>
          <w:bCs/>
          <w:sz w:val="22"/>
          <w:szCs w:val="22"/>
          <w:u w:val="single"/>
        </w:rPr>
        <w:t>, por lo que lo procedente es ordenar su entrega</w:t>
      </w:r>
      <w:r>
        <w:rPr>
          <w:rFonts w:ascii="Palatino Linotype" w:hAnsi="Palatino Linotype" w:cs="Tahoma"/>
          <w:bCs/>
          <w:sz w:val="22"/>
          <w:szCs w:val="22"/>
          <w:u w:val="single"/>
        </w:rPr>
        <w:t xml:space="preserve">. </w:t>
      </w:r>
    </w:p>
    <w:p w14:paraId="7F3E5F2A" w14:textId="77777777" w:rsidR="005D4660" w:rsidRPr="00FB571A" w:rsidRDefault="005D4660" w:rsidP="000B54EE">
      <w:pPr>
        <w:spacing w:line="360" w:lineRule="auto"/>
        <w:jc w:val="both"/>
        <w:rPr>
          <w:rFonts w:ascii="Palatino Linotype" w:hAnsi="Palatino Linotype" w:cs="Tahoma"/>
          <w:bCs/>
          <w:sz w:val="22"/>
          <w:szCs w:val="22"/>
          <w:u w:val="single"/>
        </w:rPr>
      </w:pPr>
    </w:p>
    <w:p w14:paraId="16D5CE77" w14:textId="77777777" w:rsidR="005D4660" w:rsidRDefault="005D4660" w:rsidP="000B54EE">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35E569E" w14:textId="77777777" w:rsidR="005D4660" w:rsidRPr="00FB571A" w:rsidRDefault="005D4660" w:rsidP="000B54EE">
      <w:pPr>
        <w:spacing w:line="360" w:lineRule="auto"/>
        <w:ind w:right="-93"/>
        <w:jc w:val="both"/>
        <w:rPr>
          <w:rFonts w:ascii="Palatino Linotype" w:hAnsi="Palatino Linotype" w:cs="Tahoma"/>
          <w:bCs/>
          <w:sz w:val="22"/>
          <w:szCs w:val="22"/>
          <w:u w:val="single"/>
        </w:rPr>
      </w:pPr>
    </w:p>
    <w:p w14:paraId="752DA564" w14:textId="77777777" w:rsidR="005D4660" w:rsidRPr="00FB571A"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3" w:name="_Toc190857069"/>
      <w:bookmarkStart w:id="24" w:name="_Toc205307001"/>
      <w:r w:rsidRPr="00FB571A">
        <w:rPr>
          <w:rFonts w:ascii="Palatino Linotype" w:eastAsia="Calibri" w:hAnsi="Palatino Linotype"/>
          <w:b/>
          <w:color w:val="auto"/>
          <w:sz w:val="22"/>
          <w:szCs w:val="22"/>
          <w:lang w:eastAsia="en-US"/>
        </w:rPr>
        <w:t>R E S U E L V E</w:t>
      </w:r>
      <w:bookmarkEnd w:id="23"/>
      <w:bookmarkEnd w:id="24"/>
    </w:p>
    <w:p w14:paraId="732EDDCB" w14:textId="77777777" w:rsidR="005D4660" w:rsidRPr="00FB571A" w:rsidRDefault="005D4660" w:rsidP="000B54EE">
      <w:pPr>
        <w:spacing w:line="360" w:lineRule="auto"/>
        <w:jc w:val="both"/>
        <w:rPr>
          <w:rFonts w:ascii="Palatino Linotype" w:hAnsi="Palatino Linotype" w:cs="Tahoma"/>
          <w:b/>
          <w:bCs/>
          <w:sz w:val="22"/>
          <w:szCs w:val="22"/>
        </w:rPr>
      </w:pPr>
    </w:p>
    <w:p w14:paraId="67FFA74F" w14:textId="6CBFAA65" w:rsidR="005D4660"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312A15">
        <w:rPr>
          <w:rFonts w:ascii="Palatino Linotype" w:hAnsi="Palatino Linotype" w:cs="Tahoma"/>
          <w:b/>
          <w:bCs/>
          <w:sz w:val="22"/>
          <w:szCs w:val="22"/>
        </w:rPr>
        <w:t>REVOCA</w:t>
      </w:r>
      <w:r w:rsidRPr="00FB571A">
        <w:rPr>
          <w:rFonts w:ascii="Palatino Linotype" w:hAnsi="Palatino Linotype" w:cs="Tahoma"/>
          <w:bCs/>
          <w:sz w:val="22"/>
          <w:szCs w:val="22"/>
        </w:rPr>
        <w:t xml:space="preserve"> la respuesta entregada por el </w:t>
      </w:r>
      <w:r w:rsidR="00DE06C2">
        <w:rPr>
          <w:rFonts w:ascii="Palatino Linotype" w:hAnsi="Palatino Linotype" w:cs="Tahoma"/>
          <w:sz w:val="22"/>
          <w:szCs w:val="22"/>
        </w:rPr>
        <w:t>Organismo Público Descentralizado para la Prestación de los Servicios de Agua Potable Alcantarillado y Saneamiento de Atizapán de Zaragoza</w:t>
      </w:r>
      <w:r w:rsidRPr="00BC0E4B">
        <w:rPr>
          <w:rFonts w:ascii="Palatino Linotype" w:hAnsi="Palatino Linotype" w:cs="Tahoma"/>
          <w:sz w:val="22"/>
          <w:szCs w:val="22"/>
        </w:rPr>
        <w:t xml:space="preserve"> </w:t>
      </w:r>
      <w:r w:rsidRPr="00BC0E4B">
        <w:rPr>
          <w:rFonts w:ascii="Palatino Linotype" w:eastAsia="Calibri" w:hAnsi="Palatino Linotype" w:cs="Tahoma"/>
          <w:sz w:val="22"/>
          <w:szCs w:val="22"/>
          <w:lang w:eastAsia="en-US"/>
        </w:rPr>
        <w:t>a</w:t>
      </w:r>
      <w:r w:rsidRPr="00BC0E4B">
        <w:rPr>
          <w:rFonts w:ascii="Palatino Linotype" w:hAnsi="Palatino Linotype" w:cs="Tahoma"/>
          <w:sz w:val="22"/>
          <w:szCs w:val="22"/>
        </w:rPr>
        <w:t xml:space="preserve"> la solicitud de información </w:t>
      </w:r>
      <w:r w:rsidR="00A01983" w:rsidRPr="00A01983">
        <w:rPr>
          <w:rFonts w:ascii="Palatino Linotype" w:hAnsi="Palatino Linotype"/>
          <w:sz w:val="22"/>
          <w:szCs w:val="22"/>
        </w:rPr>
        <w:t>00097/OASATIZARA/IP/2025</w:t>
      </w:r>
      <w:r w:rsidR="00A01983">
        <w:rPr>
          <w:rFonts w:ascii="Palatino Linotype" w:hAnsi="Palatino Linotype"/>
          <w:sz w:val="22"/>
          <w:szCs w:val="22"/>
        </w:rPr>
        <w:t xml:space="preserve"> </w:t>
      </w:r>
      <w:r w:rsidRPr="00BC0E4B">
        <w:rPr>
          <w:rFonts w:ascii="Palatino Linotype" w:hAnsi="Palatino Linotype"/>
          <w:sz w:val="22"/>
          <w:szCs w:val="22"/>
        </w:rPr>
        <w:t>p</w:t>
      </w:r>
      <w:r w:rsidRPr="00FB571A">
        <w:rPr>
          <w:rFonts w:ascii="Palatino Linotype" w:hAnsi="Palatino Linotype"/>
          <w:bCs/>
          <w:sz w:val="22"/>
          <w:szCs w:val="22"/>
        </w:rPr>
        <w:t>or resultar</w:t>
      </w:r>
      <w:r w:rsidR="006E6B62">
        <w:rPr>
          <w:rFonts w:ascii="Palatino Linotype" w:hAnsi="Palatino Linotype"/>
          <w:bCs/>
          <w:sz w:val="22"/>
          <w:szCs w:val="22"/>
        </w:rPr>
        <w:t xml:space="preserve">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A01983">
        <w:rPr>
          <w:rFonts w:ascii="Palatino Linotype" w:hAnsi="Palatino Linotype" w:cs="Tahoma"/>
          <w:b/>
          <w:bCs/>
          <w:color w:val="0D0D0D" w:themeColor="text1" w:themeTint="F2"/>
          <w:sz w:val="22"/>
          <w:szCs w:val="22"/>
        </w:rPr>
        <w:t>10956</w:t>
      </w:r>
      <w:r w:rsidRPr="00FB571A">
        <w:rPr>
          <w:rFonts w:ascii="Palatino Linotype" w:hAnsi="Palatino Linotype" w:cs="Tahoma"/>
          <w:b/>
          <w:bCs/>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55C2778F" w14:textId="77777777" w:rsidR="0012359E" w:rsidRPr="00FB571A" w:rsidRDefault="0012359E" w:rsidP="000B54EE">
      <w:pPr>
        <w:spacing w:line="360" w:lineRule="auto"/>
        <w:contextualSpacing/>
        <w:jc w:val="both"/>
        <w:rPr>
          <w:rFonts w:ascii="Palatino Linotype" w:eastAsia="Calibri" w:hAnsi="Palatino Linotype" w:cs="Tahoma"/>
          <w:bCs/>
          <w:sz w:val="22"/>
          <w:szCs w:val="22"/>
          <w:lang w:eastAsia="en-US"/>
        </w:rPr>
      </w:pPr>
    </w:p>
    <w:p w14:paraId="2BFFBFB5" w14:textId="3D1B9B03" w:rsidR="00D970A3" w:rsidRDefault="005D4660" w:rsidP="000B54EE">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DE06C2">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w:t>
      </w:r>
      <w:r w:rsidRPr="00FB571A">
        <w:rPr>
          <w:rFonts w:ascii="Palatino Linotype" w:hAnsi="Palatino Linotype" w:cs="Tahoma"/>
          <w:sz w:val="22"/>
          <w:szCs w:val="22"/>
        </w:rPr>
        <w:t>, a efecto de que</w:t>
      </w:r>
      <w:r w:rsidR="00BC0E4B">
        <w:rPr>
          <w:rFonts w:ascii="Palatino Linotype" w:hAnsi="Palatino Linotype" w:cs="Tahoma"/>
          <w:sz w:val="22"/>
          <w:szCs w:val="22"/>
        </w:rPr>
        <w:t xml:space="preserve"> previa búsqueda exhaustiva y razonable</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sidR="0012359E">
        <w:rPr>
          <w:rFonts w:ascii="Palatino Linotype" w:hAnsi="Palatino Linotype" w:cs="Arial"/>
          <w:sz w:val="22"/>
          <w:szCs w:val="22"/>
          <w:lang w:val="es-ES"/>
        </w:rPr>
        <w:t xml:space="preserve">de ser procedente </w:t>
      </w:r>
      <w:r>
        <w:rPr>
          <w:rFonts w:ascii="Palatino Linotype" w:hAnsi="Palatino Linotype" w:cs="Arial"/>
          <w:sz w:val="22"/>
          <w:szCs w:val="22"/>
          <w:lang w:val="es-ES"/>
        </w:rPr>
        <w:t xml:space="preserve">en versión pública, </w:t>
      </w:r>
      <w:r w:rsidR="002F670A">
        <w:rPr>
          <w:rFonts w:ascii="Palatino Linotype" w:hAnsi="Palatino Linotype" w:cs="Arial"/>
          <w:sz w:val="22"/>
          <w:szCs w:val="22"/>
          <w:lang w:val="es-ES"/>
        </w:rPr>
        <w:t xml:space="preserve">los documentos en donde conste </w:t>
      </w:r>
      <w:r w:rsidR="00A01983" w:rsidRPr="00A01983">
        <w:rPr>
          <w:rFonts w:ascii="Palatino Linotype" w:hAnsi="Palatino Linotype" w:cs="Arial"/>
          <w:sz w:val="22"/>
          <w:szCs w:val="22"/>
          <w:lang w:val="es-ES"/>
        </w:rPr>
        <w:t xml:space="preserve">la relación de contratos, adquisiciones, licitaciones </w:t>
      </w:r>
      <w:r w:rsidR="00D970A3">
        <w:rPr>
          <w:rFonts w:ascii="Palatino Linotype" w:hAnsi="Palatino Linotype" w:cs="Arial"/>
          <w:sz w:val="22"/>
          <w:szCs w:val="22"/>
          <w:lang w:val="es-ES"/>
        </w:rPr>
        <w:t>y/</w:t>
      </w:r>
      <w:r w:rsidR="00A01983" w:rsidRPr="00A01983">
        <w:rPr>
          <w:rFonts w:ascii="Palatino Linotype" w:hAnsi="Palatino Linotype" w:cs="Arial"/>
          <w:sz w:val="22"/>
          <w:szCs w:val="22"/>
          <w:lang w:val="es-ES"/>
        </w:rPr>
        <w:t xml:space="preserve">o convenios celebrados por la Subdirección de Administración y Finanzas </w:t>
      </w:r>
      <w:r w:rsidR="00DE06C2">
        <w:rPr>
          <w:rFonts w:ascii="Palatino Linotype" w:hAnsi="Palatino Linotype" w:cs="Arial"/>
          <w:sz w:val="22"/>
          <w:szCs w:val="22"/>
          <w:lang w:val="es-ES"/>
        </w:rPr>
        <w:t>del dieciséis de enero de dos mil veintitrés al treinta y uno de diciembre de dos mil veinticuatro</w:t>
      </w:r>
      <w:r w:rsidR="00D970A3">
        <w:rPr>
          <w:rFonts w:ascii="Palatino Linotype" w:hAnsi="Palatino Linotype" w:cs="Arial"/>
          <w:sz w:val="22"/>
          <w:szCs w:val="22"/>
          <w:lang w:val="es-ES"/>
        </w:rPr>
        <w:t>.</w:t>
      </w:r>
    </w:p>
    <w:p w14:paraId="41D80155" w14:textId="77777777" w:rsidR="00312A15" w:rsidRDefault="00312A15" w:rsidP="000B54EE">
      <w:pPr>
        <w:spacing w:line="360" w:lineRule="auto"/>
        <w:ind w:right="-93"/>
        <w:jc w:val="both"/>
        <w:rPr>
          <w:rFonts w:ascii="Palatino Linotype" w:hAnsi="Palatino Linotype" w:cs="Arial"/>
          <w:sz w:val="22"/>
          <w:szCs w:val="22"/>
          <w:lang w:val="es-ES"/>
        </w:rPr>
      </w:pPr>
    </w:p>
    <w:p w14:paraId="16B80122" w14:textId="77777777" w:rsidR="0012359E" w:rsidRPr="0012359E" w:rsidRDefault="0012359E" w:rsidP="0012359E">
      <w:pPr>
        <w:spacing w:line="360" w:lineRule="auto"/>
        <w:ind w:right="-93"/>
        <w:jc w:val="both"/>
        <w:rPr>
          <w:rFonts w:ascii="Palatino Linotype" w:eastAsia="Calibri" w:hAnsi="Palatino Linotype" w:cs="Tahoma"/>
          <w:bCs/>
          <w:iCs/>
          <w:sz w:val="22"/>
          <w:szCs w:val="22"/>
          <w:lang w:eastAsia="en-US"/>
        </w:rPr>
      </w:pPr>
      <w:r w:rsidRPr="0012359E">
        <w:rPr>
          <w:rFonts w:ascii="Palatino Linotype" w:eastAsia="Calibri" w:hAnsi="Palatino Linotype" w:cs="Tahoma"/>
          <w:bCs/>
          <w:sz w:val="22"/>
          <w:szCs w:val="22"/>
          <w:lang w:eastAsia="en-US"/>
        </w:rPr>
        <w:lastRenderedPageBreak/>
        <w:t xml:space="preserve">Además, en su caso, </w:t>
      </w:r>
      <w:r w:rsidRPr="0012359E">
        <w:rPr>
          <w:rFonts w:ascii="Palatino Linotype" w:eastAsia="Calibri" w:hAnsi="Palatino Linotype" w:cs="Tahoma"/>
          <w:bCs/>
          <w:iCs/>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C10345E" w14:textId="77777777" w:rsidR="0012359E" w:rsidRDefault="0012359E" w:rsidP="0012359E">
      <w:pPr>
        <w:spacing w:line="360" w:lineRule="auto"/>
        <w:ind w:right="-93"/>
        <w:jc w:val="both"/>
        <w:rPr>
          <w:rFonts w:ascii="Palatino Linotype" w:eastAsia="Calibri" w:hAnsi="Palatino Linotype" w:cs="Tahoma"/>
          <w:bCs/>
          <w:iCs/>
          <w:sz w:val="22"/>
          <w:szCs w:val="22"/>
          <w:lang w:eastAsia="en-US"/>
        </w:rPr>
      </w:pPr>
    </w:p>
    <w:p w14:paraId="321538B5" w14:textId="5E2A4AAA" w:rsidR="0047300D" w:rsidRDefault="0047300D" w:rsidP="0012359E">
      <w:pPr>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Para el caso, que durante el periodo referido, el área no haya celebrado convenios, deberá hacerlo del conocimiento de la parte Recurrente, de manera clara y precisa.</w:t>
      </w:r>
    </w:p>
    <w:p w14:paraId="2B865291" w14:textId="77777777" w:rsidR="0047300D" w:rsidRPr="0012359E" w:rsidRDefault="0047300D" w:rsidP="0012359E">
      <w:pPr>
        <w:spacing w:line="360" w:lineRule="auto"/>
        <w:ind w:right="-93"/>
        <w:jc w:val="both"/>
        <w:rPr>
          <w:rFonts w:ascii="Palatino Linotype" w:eastAsia="Calibri" w:hAnsi="Palatino Linotype" w:cs="Tahoma"/>
          <w:bCs/>
          <w:iCs/>
          <w:sz w:val="22"/>
          <w:szCs w:val="22"/>
          <w:lang w:eastAsia="en-US"/>
        </w:rPr>
      </w:pPr>
    </w:p>
    <w:p w14:paraId="6507E6F7" w14:textId="77777777" w:rsidR="005D4660" w:rsidRPr="00FB571A" w:rsidRDefault="005D4660" w:rsidP="000B54EE">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7B347E99" w14:textId="77777777" w:rsidR="005D4660" w:rsidRPr="00FB571A" w:rsidRDefault="005D4660" w:rsidP="000B54EE">
      <w:pPr>
        <w:spacing w:line="360" w:lineRule="auto"/>
        <w:contextualSpacing/>
        <w:jc w:val="both"/>
        <w:rPr>
          <w:rFonts w:ascii="Palatino Linotype" w:hAnsi="Palatino Linotype" w:cs="Tahoma"/>
          <w:sz w:val="22"/>
          <w:szCs w:val="22"/>
        </w:rPr>
      </w:pPr>
    </w:p>
    <w:p w14:paraId="27E9B0DD" w14:textId="77777777" w:rsidR="005D4660" w:rsidRPr="00FB571A" w:rsidRDefault="005D4660" w:rsidP="000B54EE">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2DCBC" w14:textId="77777777" w:rsidR="005D4660" w:rsidRPr="00FB571A"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794AF8F4" w14:textId="77777777" w:rsidR="005D4660" w:rsidRPr="00FB571A" w:rsidRDefault="005D4660" w:rsidP="000B54EE">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 xml:space="preserve">al Recurrente la presente Resolución, asimismo, se hace de su conocimiento que de conformidad con lo establecido en el artículo 196 de la Ley de </w:t>
      </w:r>
      <w:r w:rsidRPr="00FB571A">
        <w:rPr>
          <w:rFonts w:ascii="Palatino Linotype" w:hAnsi="Palatino Linotype" w:cs="Tahoma"/>
          <w:color w:val="000000" w:themeColor="text1"/>
          <w:sz w:val="22"/>
          <w:szCs w:val="22"/>
        </w:rPr>
        <w:lastRenderedPageBreak/>
        <w:t>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4C3D8E9E" w14:textId="77777777" w:rsidR="005D4660" w:rsidRPr="00FB571A" w:rsidRDefault="005D4660" w:rsidP="000B54EE">
      <w:pPr>
        <w:spacing w:line="360" w:lineRule="auto"/>
        <w:contextualSpacing/>
        <w:jc w:val="both"/>
        <w:rPr>
          <w:rFonts w:ascii="Palatino Linotype" w:hAnsi="Palatino Linotype" w:cs="Tahoma"/>
          <w:color w:val="000000" w:themeColor="text1"/>
          <w:sz w:val="22"/>
          <w:szCs w:val="22"/>
        </w:rPr>
      </w:pPr>
    </w:p>
    <w:p w14:paraId="7095257A" w14:textId="6B56380B" w:rsidR="00803E3D" w:rsidRDefault="00803E3D" w:rsidP="000B54EE">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F42747">
        <w:rPr>
          <w:rFonts w:ascii="Palatino Linotype" w:hAnsi="Palatino Linotype" w:cs="Tahoma"/>
          <w:sz w:val="22"/>
          <w:szCs w:val="22"/>
          <w:lang w:eastAsia="es-MX"/>
        </w:rPr>
        <w:t>CUADRA</w:t>
      </w:r>
      <w:r w:rsidR="00CC13FB">
        <w:rPr>
          <w:rFonts w:ascii="Palatino Linotype" w:hAnsi="Palatino Linotype" w:cs="Tahoma"/>
          <w:sz w:val="22"/>
          <w:szCs w:val="22"/>
          <w:lang w:eastAsia="es-MX"/>
        </w:rPr>
        <w:t>GÉSIMA</w:t>
      </w:r>
      <w:r w:rsidR="00462AEC">
        <w:rPr>
          <w:rFonts w:ascii="Palatino Linotype" w:hAnsi="Palatino Linotype" w:cs="Tahoma"/>
          <w:sz w:val="22"/>
          <w:szCs w:val="22"/>
          <w:lang w:eastAsia="es-MX"/>
        </w:rPr>
        <w:t xml:space="preserve"> </w:t>
      </w:r>
      <w:r w:rsidR="00F42747">
        <w:rPr>
          <w:rFonts w:ascii="Palatino Linotype" w:hAnsi="Palatino Linotype" w:cs="Tahoma"/>
          <w:sz w:val="22"/>
          <w:szCs w:val="22"/>
          <w:lang w:eastAsia="es-MX"/>
        </w:rPr>
        <w:t xml:space="preserve">PRIMERA </w:t>
      </w:r>
      <w:r w:rsidRPr="00FB571A">
        <w:rPr>
          <w:rFonts w:ascii="Palatino Linotype" w:hAnsi="Palatino Linotype" w:cs="Tahoma"/>
          <w:sz w:val="22"/>
          <w:szCs w:val="22"/>
          <w:lang w:eastAsia="es-MX"/>
        </w:rPr>
        <w:t xml:space="preserve">SESIÓN ORDINARIA, CELEBRADA EL </w:t>
      </w:r>
      <w:r w:rsidR="00E27E4E">
        <w:rPr>
          <w:rFonts w:ascii="Palatino Linotype" w:hAnsi="Palatino Linotype" w:cs="Tahoma"/>
          <w:sz w:val="22"/>
          <w:szCs w:val="22"/>
          <w:lang w:eastAsia="es-MX"/>
        </w:rPr>
        <w:t>VEINTE</w:t>
      </w:r>
      <w:r w:rsidR="0012359E">
        <w:rPr>
          <w:rFonts w:ascii="Palatino Linotype" w:hAnsi="Palatino Linotype" w:cs="Tahoma"/>
          <w:sz w:val="22"/>
          <w:szCs w:val="22"/>
          <w:lang w:eastAsia="es-MX"/>
        </w:rPr>
        <w:t xml:space="preserve"> DE NOVIEMBRE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24CBB09C" w14:textId="77777777" w:rsidR="00163BAA" w:rsidRDefault="00163BAA" w:rsidP="000B54EE">
      <w:pPr>
        <w:spacing w:line="360" w:lineRule="auto"/>
        <w:contextualSpacing/>
        <w:jc w:val="both"/>
        <w:rPr>
          <w:rFonts w:ascii="Palatino Linotype" w:hAnsi="Palatino Linotype" w:cs="Tahoma"/>
          <w:sz w:val="22"/>
          <w:szCs w:val="22"/>
        </w:rPr>
      </w:pPr>
    </w:p>
    <w:p w14:paraId="35430ABE" w14:textId="77777777" w:rsidR="00163BAA" w:rsidRDefault="00163BAA" w:rsidP="000B54EE">
      <w:pPr>
        <w:spacing w:line="360" w:lineRule="auto"/>
        <w:contextualSpacing/>
        <w:jc w:val="both"/>
        <w:rPr>
          <w:rFonts w:ascii="Palatino Linotype" w:hAnsi="Palatino Linotype" w:cs="Tahoma"/>
          <w:sz w:val="22"/>
          <w:szCs w:val="22"/>
        </w:rPr>
      </w:pPr>
    </w:p>
    <w:p w14:paraId="67FFEC18" w14:textId="77777777" w:rsidR="0089175F" w:rsidRDefault="0089175F" w:rsidP="000B54EE">
      <w:pPr>
        <w:spacing w:line="360" w:lineRule="auto"/>
        <w:contextualSpacing/>
        <w:jc w:val="both"/>
        <w:rPr>
          <w:rFonts w:ascii="Palatino Linotype" w:hAnsi="Palatino Linotype" w:cs="Tahoma"/>
          <w:sz w:val="22"/>
          <w:szCs w:val="22"/>
        </w:rPr>
      </w:pPr>
    </w:p>
    <w:p w14:paraId="60114316" w14:textId="77777777" w:rsidR="0089175F" w:rsidRDefault="0089175F" w:rsidP="000B54EE">
      <w:pPr>
        <w:spacing w:line="360" w:lineRule="auto"/>
        <w:contextualSpacing/>
        <w:jc w:val="both"/>
        <w:rPr>
          <w:rFonts w:ascii="Palatino Linotype" w:hAnsi="Palatino Linotype" w:cs="Tahoma"/>
          <w:sz w:val="22"/>
          <w:szCs w:val="22"/>
        </w:rPr>
      </w:pPr>
    </w:p>
    <w:p w14:paraId="11479230" w14:textId="77777777" w:rsidR="0089175F" w:rsidRDefault="0089175F" w:rsidP="000B54EE">
      <w:pPr>
        <w:spacing w:line="360" w:lineRule="auto"/>
        <w:contextualSpacing/>
        <w:jc w:val="both"/>
        <w:rPr>
          <w:rFonts w:ascii="Palatino Linotype" w:hAnsi="Palatino Linotype" w:cs="Tahoma"/>
          <w:sz w:val="22"/>
          <w:szCs w:val="22"/>
        </w:rPr>
      </w:pPr>
    </w:p>
    <w:p w14:paraId="01C00432" w14:textId="77777777" w:rsidR="0089175F" w:rsidRDefault="0089175F" w:rsidP="000B54EE">
      <w:pPr>
        <w:spacing w:line="360" w:lineRule="auto"/>
        <w:contextualSpacing/>
        <w:jc w:val="both"/>
        <w:rPr>
          <w:rFonts w:ascii="Palatino Linotype" w:hAnsi="Palatino Linotype" w:cs="Tahoma"/>
          <w:sz w:val="22"/>
          <w:szCs w:val="22"/>
        </w:rPr>
      </w:pPr>
    </w:p>
    <w:p w14:paraId="3E6DB3F4" w14:textId="77777777" w:rsidR="001F1A77" w:rsidRDefault="001F1A77" w:rsidP="000B54EE">
      <w:pPr>
        <w:spacing w:line="360" w:lineRule="auto"/>
        <w:contextualSpacing/>
        <w:jc w:val="both"/>
        <w:rPr>
          <w:rFonts w:ascii="Palatino Linotype" w:hAnsi="Palatino Linotype" w:cs="Tahoma"/>
          <w:sz w:val="22"/>
          <w:szCs w:val="22"/>
        </w:rPr>
      </w:pPr>
    </w:p>
    <w:p w14:paraId="119D5D8E" w14:textId="77777777" w:rsidR="001F1A77" w:rsidRDefault="001F1A77" w:rsidP="000B54EE">
      <w:pPr>
        <w:spacing w:line="360" w:lineRule="auto"/>
        <w:contextualSpacing/>
        <w:jc w:val="both"/>
        <w:rPr>
          <w:rFonts w:ascii="Palatino Linotype" w:hAnsi="Palatino Linotype" w:cs="Tahoma"/>
          <w:sz w:val="22"/>
          <w:szCs w:val="22"/>
        </w:rPr>
      </w:pPr>
    </w:p>
    <w:p w14:paraId="5D1AC6C2" w14:textId="77777777" w:rsidR="000B1059" w:rsidRDefault="000B1059" w:rsidP="000B54EE">
      <w:pPr>
        <w:spacing w:line="360" w:lineRule="auto"/>
        <w:contextualSpacing/>
        <w:jc w:val="both"/>
        <w:rPr>
          <w:rFonts w:ascii="Palatino Linotype" w:hAnsi="Palatino Linotype" w:cs="Tahoma"/>
          <w:sz w:val="22"/>
          <w:szCs w:val="22"/>
        </w:rPr>
      </w:pPr>
    </w:p>
    <w:p w14:paraId="6747E6D4" w14:textId="77777777" w:rsidR="000B1059" w:rsidRDefault="000B1059" w:rsidP="000B54EE">
      <w:pPr>
        <w:spacing w:line="360" w:lineRule="auto"/>
        <w:contextualSpacing/>
        <w:jc w:val="both"/>
        <w:rPr>
          <w:rFonts w:ascii="Palatino Linotype" w:hAnsi="Palatino Linotype" w:cs="Tahoma"/>
          <w:sz w:val="22"/>
          <w:szCs w:val="22"/>
        </w:rPr>
      </w:pPr>
    </w:p>
    <w:p w14:paraId="4C6F3180" w14:textId="77777777" w:rsidR="000B1059" w:rsidRDefault="000B1059" w:rsidP="000B54EE">
      <w:pPr>
        <w:spacing w:line="360" w:lineRule="auto"/>
        <w:contextualSpacing/>
        <w:jc w:val="both"/>
        <w:rPr>
          <w:rFonts w:ascii="Palatino Linotype" w:hAnsi="Palatino Linotype" w:cs="Tahoma"/>
          <w:sz w:val="22"/>
          <w:szCs w:val="22"/>
        </w:rPr>
      </w:pPr>
    </w:p>
    <w:p w14:paraId="60CAD736" w14:textId="77777777" w:rsidR="001F1A77" w:rsidRDefault="001F1A77" w:rsidP="000B54EE">
      <w:pPr>
        <w:spacing w:line="360" w:lineRule="auto"/>
        <w:contextualSpacing/>
        <w:jc w:val="both"/>
        <w:rPr>
          <w:rFonts w:ascii="Palatino Linotype" w:hAnsi="Palatino Linotype" w:cs="Tahoma"/>
          <w:sz w:val="22"/>
          <w:szCs w:val="22"/>
        </w:rPr>
      </w:pPr>
    </w:p>
    <w:p w14:paraId="60AF190B" w14:textId="77777777" w:rsidR="001F1A77" w:rsidRDefault="001F1A77" w:rsidP="000B54EE">
      <w:pPr>
        <w:spacing w:line="360" w:lineRule="auto"/>
        <w:contextualSpacing/>
        <w:jc w:val="both"/>
        <w:rPr>
          <w:rFonts w:ascii="Palatino Linotype" w:hAnsi="Palatino Linotype" w:cs="Tahoma"/>
          <w:sz w:val="22"/>
          <w:szCs w:val="22"/>
        </w:rPr>
      </w:pPr>
    </w:p>
    <w:p w14:paraId="3860A073" w14:textId="77777777" w:rsidR="001F1A77" w:rsidRDefault="001F1A77" w:rsidP="000B54EE">
      <w:pPr>
        <w:spacing w:line="360" w:lineRule="auto"/>
        <w:contextualSpacing/>
        <w:jc w:val="both"/>
        <w:rPr>
          <w:rFonts w:ascii="Palatino Linotype" w:hAnsi="Palatino Linotype" w:cs="Tahoma"/>
          <w:sz w:val="22"/>
          <w:szCs w:val="22"/>
        </w:rPr>
      </w:pPr>
    </w:p>
    <w:p w14:paraId="6DF8335E" w14:textId="77777777" w:rsidR="001F1A77" w:rsidRDefault="001F1A77" w:rsidP="000B54EE">
      <w:pPr>
        <w:spacing w:line="360" w:lineRule="auto"/>
        <w:contextualSpacing/>
        <w:jc w:val="both"/>
        <w:rPr>
          <w:rFonts w:ascii="Palatino Linotype" w:hAnsi="Palatino Linotype" w:cs="Tahoma"/>
          <w:sz w:val="22"/>
          <w:szCs w:val="22"/>
        </w:rPr>
      </w:pPr>
    </w:p>
    <w:p w14:paraId="65D783F3" w14:textId="77777777" w:rsidR="001F1A77" w:rsidRDefault="001F1A77" w:rsidP="000B54EE">
      <w:pPr>
        <w:spacing w:line="360" w:lineRule="auto"/>
        <w:contextualSpacing/>
        <w:jc w:val="both"/>
        <w:rPr>
          <w:rFonts w:ascii="Palatino Linotype" w:hAnsi="Palatino Linotype" w:cs="Tahoma"/>
          <w:sz w:val="22"/>
          <w:szCs w:val="22"/>
        </w:rPr>
      </w:pPr>
    </w:p>
    <w:p w14:paraId="17EDE336" w14:textId="77777777" w:rsidR="001F1A77" w:rsidRDefault="001F1A77" w:rsidP="000B54EE">
      <w:pPr>
        <w:spacing w:line="360" w:lineRule="auto"/>
        <w:contextualSpacing/>
        <w:jc w:val="both"/>
        <w:rPr>
          <w:rFonts w:ascii="Palatino Linotype" w:hAnsi="Palatino Linotype" w:cs="Tahoma"/>
          <w:sz w:val="22"/>
          <w:szCs w:val="22"/>
        </w:rPr>
      </w:pPr>
    </w:p>
    <w:p w14:paraId="1C32519B" w14:textId="77777777" w:rsidR="001F1A77" w:rsidRDefault="001F1A77" w:rsidP="000B54EE">
      <w:pPr>
        <w:spacing w:line="360" w:lineRule="auto"/>
        <w:contextualSpacing/>
        <w:jc w:val="both"/>
        <w:rPr>
          <w:rFonts w:ascii="Palatino Linotype" w:hAnsi="Palatino Linotype" w:cs="Tahoma"/>
          <w:sz w:val="22"/>
          <w:szCs w:val="22"/>
        </w:rPr>
      </w:pPr>
    </w:p>
    <w:p w14:paraId="5171699F" w14:textId="77777777" w:rsidR="001F1A77" w:rsidRPr="003A1DF0" w:rsidRDefault="001F1A77" w:rsidP="000B54EE">
      <w:pPr>
        <w:spacing w:line="360" w:lineRule="auto"/>
        <w:contextualSpacing/>
        <w:jc w:val="both"/>
        <w:rPr>
          <w:rFonts w:ascii="Palatino Linotype" w:hAnsi="Palatino Linotype" w:cs="Tahoma"/>
          <w:sz w:val="22"/>
          <w:szCs w:val="22"/>
        </w:rPr>
      </w:pPr>
    </w:p>
    <w:p w14:paraId="06EDC917"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8666" w14:textId="77777777" w:rsidR="00FF4664" w:rsidRDefault="00FF4664" w:rsidP="00B31222">
      <w:r>
        <w:separator/>
      </w:r>
    </w:p>
  </w:endnote>
  <w:endnote w:type="continuationSeparator" w:id="0">
    <w:p w14:paraId="3D3397F7" w14:textId="77777777" w:rsidR="00FF4664" w:rsidRDefault="00FF4664" w:rsidP="00B31222">
      <w:r>
        <w:continuationSeparator/>
      </w:r>
    </w:p>
  </w:endnote>
  <w:endnote w:type="continuationNotice" w:id="1">
    <w:p w14:paraId="2DFF6240" w14:textId="77777777" w:rsidR="00FF4664" w:rsidRDefault="00FF4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CB8E8F5"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04A1">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04A1">
              <w:rPr>
                <w:b/>
                <w:bCs/>
                <w:noProof/>
              </w:rPr>
              <w:t>26</w:t>
            </w:r>
            <w:r>
              <w:rPr>
                <w:b/>
                <w:bCs/>
                <w:sz w:val="24"/>
                <w:szCs w:val="24"/>
              </w:rPr>
              <w:fldChar w:fldCharType="end"/>
            </w:r>
          </w:p>
        </w:sdtContent>
      </w:sdt>
    </w:sdtContent>
  </w:sdt>
  <w:p w14:paraId="3CCDF133" w14:textId="77777777" w:rsidR="0094768D" w:rsidRDefault="00947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B16DB7"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04A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04A1">
              <w:rPr>
                <w:b/>
                <w:bCs/>
                <w:noProof/>
              </w:rPr>
              <w:t>26</w:t>
            </w:r>
            <w:r>
              <w:rPr>
                <w:b/>
                <w:bCs/>
                <w:sz w:val="24"/>
                <w:szCs w:val="24"/>
              </w:rPr>
              <w:fldChar w:fldCharType="end"/>
            </w:r>
          </w:p>
        </w:sdtContent>
      </w:sdt>
    </w:sdtContent>
  </w:sdt>
  <w:p w14:paraId="1ECAE9A9" w14:textId="77777777" w:rsidR="0094768D" w:rsidRDefault="00947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0D29F" w14:textId="77777777" w:rsidR="00FF4664" w:rsidRDefault="00FF4664" w:rsidP="00B31222">
      <w:r>
        <w:separator/>
      </w:r>
    </w:p>
  </w:footnote>
  <w:footnote w:type="continuationSeparator" w:id="0">
    <w:p w14:paraId="3C015815" w14:textId="77777777" w:rsidR="00FF4664" w:rsidRDefault="00FF4664" w:rsidP="00B31222">
      <w:r>
        <w:continuationSeparator/>
      </w:r>
    </w:p>
  </w:footnote>
  <w:footnote w:type="continuationNotice" w:id="1">
    <w:p w14:paraId="12390EFE" w14:textId="77777777" w:rsidR="00FF4664" w:rsidRDefault="00FF46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092D" w14:textId="77777777" w:rsidR="0094768D" w:rsidRDefault="00FF4664">
    <w:pPr>
      <w:pStyle w:val="Encabezado"/>
    </w:pPr>
    <w:r>
      <w:rPr>
        <w:noProof/>
        <w:lang w:eastAsia="es-MX"/>
      </w:rPr>
      <w:pict w14:anchorId="1E54E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94768D" w:rsidRPr="005C106F" w14:paraId="40DE638E" w14:textId="77777777" w:rsidTr="00DE06C2">
      <w:trPr>
        <w:trHeight w:val="1435"/>
      </w:trPr>
      <w:tc>
        <w:tcPr>
          <w:tcW w:w="2268" w:type="dxa"/>
          <w:shd w:val="clear" w:color="auto" w:fill="auto"/>
        </w:tcPr>
        <w:p w14:paraId="54E73C7A"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9C2B7B7" wp14:editId="408E95F8">
                <wp:simplePos x="0" y="0"/>
                <wp:positionH relativeFrom="page">
                  <wp:posOffset>-1005205</wp:posOffset>
                </wp:positionH>
                <wp:positionV relativeFrom="margin">
                  <wp:posOffset>-161925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shd w:val="clear" w:color="auto" w:fill="auto"/>
        </w:tcPr>
        <w:p w14:paraId="4607F474" w14:textId="77777777" w:rsidR="0094768D" w:rsidRDefault="0094768D" w:rsidP="005743D2"/>
        <w:tbl>
          <w:tblPr>
            <w:tblStyle w:val="Tablaconcuadrcula"/>
            <w:tblW w:w="6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113"/>
          </w:tblGrid>
          <w:tr w:rsidR="0094768D" w14:paraId="1005811B" w14:textId="77777777" w:rsidTr="00DE06C2">
            <w:trPr>
              <w:trHeight w:val="144"/>
            </w:trPr>
            <w:tc>
              <w:tcPr>
                <w:tcW w:w="2589" w:type="dxa"/>
              </w:tcPr>
              <w:p w14:paraId="59948EE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113" w:type="dxa"/>
              </w:tcPr>
              <w:p w14:paraId="5C06E82A" w14:textId="594E050F" w:rsidR="0094768D" w:rsidRPr="000B54EE" w:rsidRDefault="00A917F5"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10956</w:t>
                </w:r>
                <w:r w:rsidR="0094768D" w:rsidRPr="000B54EE">
                  <w:rPr>
                    <w:rFonts w:ascii="Palatino Linotype" w:eastAsia="Calibri" w:hAnsi="Palatino Linotype" w:cs="Tahoma"/>
                    <w:sz w:val="22"/>
                    <w:szCs w:val="22"/>
                    <w:lang w:val="es-MX" w:eastAsia="en-US"/>
                  </w:rPr>
                  <w:t>/INFOEM/IP/RR/2025</w:t>
                </w:r>
              </w:p>
            </w:tc>
          </w:tr>
          <w:tr w:rsidR="0094768D" w14:paraId="6BB68B3A" w14:textId="77777777" w:rsidTr="00DE06C2">
            <w:trPr>
              <w:trHeight w:val="283"/>
            </w:trPr>
            <w:tc>
              <w:tcPr>
                <w:tcW w:w="2589" w:type="dxa"/>
              </w:tcPr>
              <w:p w14:paraId="3E36A739"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113" w:type="dxa"/>
              </w:tcPr>
              <w:p w14:paraId="51BA1B4F" w14:textId="27FA2946" w:rsidR="0094768D" w:rsidRPr="005F13CF" w:rsidRDefault="00DE06C2" w:rsidP="00DE06C2">
                <w:pPr>
                  <w:tabs>
                    <w:tab w:val="left" w:pos="2834"/>
                    <w:tab w:val="right" w:pos="8838"/>
                  </w:tabs>
                  <w:ind w:left="-106" w:right="4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 Atizapán de Zaragoza</w:t>
                </w:r>
              </w:p>
            </w:tc>
          </w:tr>
          <w:tr w:rsidR="0094768D" w14:paraId="0A7305B6" w14:textId="77777777" w:rsidTr="00DE06C2">
            <w:trPr>
              <w:trHeight w:val="283"/>
            </w:trPr>
            <w:tc>
              <w:tcPr>
                <w:tcW w:w="2589" w:type="dxa"/>
              </w:tcPr>
              <w:p w14:paraId="55080EA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113" w:type="dxa"/>
              </w:tcPr>
              <w:p w14:paraId="31261952"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DA628AC"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79AEC592"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2E9E1F9F"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1418"/>
      <w:gridCol w:w="8363"/>
    </w:tblGrid>
    <w:tr w:rsidR="0094768D" w:rsidRPr="00330DA7" w14:paraId="7EAB4497" w14:textId="77777777" w:rsidTr="00DE06C2">
      <w:trPr>
        <w:trHeight w:val="1435"/>
      </w:trPr>
      <w:tc>
        <w:tcPr>
          <w:tcW w:w="1418" w:type="dxa"/>
          <w:shd w:val="clear" w:color="auto" w:fill="auto"/>
        </w:tcPr>
        <w:p w14:paraId="108A2D3C"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66BE05A" wp14:editId="438AA50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8363" w:type="dxa"/>
          <w:shd w:val="clear" w:color="auto" w:fill="auto"/>
        </w:tcPr>
        <w:p w14:paraId="1FF60627" w14:textId="77777777" w:rsidR="000B54EE" w:rsidRDefault="000B54EE"/>
        <w:tbl>
          <w:tblPr>
            <w:tblStyle w:val="Tablaconcuadrcula"/>
            <w:tblW w:w="6796"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07"/>
          </w:tblGrid>
          <w:tr w:rsidR="0094768D" w:rsidRPr="00431A70" w14:paraId="384EE3D1" w14:textId="77777777" w:rsidTr="00DE06C2">
            <w:trPr>
              <w:trHeight w:val="144"/>
            </w:trPr>
            <w:tc>
              <w:tcPr>
                <w:tcW w:w="2589" w:type="dxa"/>
              </w:tcPr>
              <w:p w14:paraId="3C56D837"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07" w:type="dxa"/>
              </w:tcPr>
              <w:p w14:paraId="6AB18BD9" w14:textId="021E4189" w:rsidR="0094768D" w:rsidRPr="000B54EE" w:rsidRDefault="00A917F5"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10956</w:t>
                </w:r>
                <w:r w:rsidR="0094768D" w:rsidRPr="000B54EE">
                  <w:rPr>
                    <w:rFonts w:ascii="Palatino Linotype" w:eastAsia="Calibri" w:hAnsi="Palatino Linotype" w:cs="Tahoma"/>
                    <w:sz w:val="22"/>
                    <w:szCs w:val="22"/>
                    <w:lang w:val="es-MX" w:eastAsia="en-US"/>
                  </w:rPr>
                  <w:t>/INFOEM/IP/RR/2025</w:t>
                </w:r>
              </w:p>
            </w:tc>
          </w:tr>
          <w:tr w:rsidR="0094768D" w:rsidRPr="00286D0C" w14:paraId="601BA096" w14:textId="77777777" w:rsidTr="00DE06C2">
            <w:trPr>
              <w:trHeight w:val="144"/>
            </w:trPr>
            <w:tc>
              <w:tcPr>
                <w:tcW w:w="2589" w:type="dxa"/>
              </w:tcPr>
              <w:p w14:paraId="4586968D"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207" w:type="dxa"/>
              </w:tcPr>
              <w:p w14:paraId="574A7FF4"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66A3FAB5" w14:textId="77777777" w:rsidTr="00DE06C2">
            <w:trPr>
              <w:trHeight w:val="283"/>
            </w:trPr>
            <w:tc>
              <w:tcPr>
                <w:tcW w:w="2589" w:type="dxa"/>
              </w:tcPr>
              <w:p w14:paraId="1EEC7861"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07" w:type="dxa"/>
              </w:tcPr>
              <w:p w14:paraId="70D2EB91" w14:textId="106DBFCF" w:rsidR="0094768D" w:rsidRPr="005F13CF" w:rsidRDefault="00DE06C2"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 Atizapán de Zaragoza</w:t>
                </w:r>
                <w:r w:rsidR="0094768D">
                  <w:rPr>
                    <w:rFonts w:ascii="Palatino Linotype" w:eastAsia="Calibri" w:hAnsi="Palatino Linotype" w:cs="Tahoma"/>
                    <w:bCs/>
                    <w:sz w:val="22"/>
                    <w:szCs w:val="22"/>
                    <w:lang w:val="es-MX" w:eastAsia="en-US"/>
                  </w:rPr>
                  <w:t xml:space="preserve"> </w:t>
                </w:r>
              </w:p>
            </w:tc>
          </w:tr>
          <w:tr w:rsidR="0094768D" w:rsidRPr="00431A70" w14:paraId="7E509A88" w14:textId="77777777" w:rsidTr="00DE06C2">
            <w:trPr>
              <w:trHeight w:val="283"/>
            </w:trPr>
            <w:tc>
              <w:tcPr>
                <w:tcW w:w="2589" w:type="dxa"/>
              </w:tcPr>
              <w:p w14:paraId="3BD5D449"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07" w:type="dxa"/>
              </w:tcPr>
              <w:p w14:paraId="153DC8E4"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5454D16"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0B7361F3"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580A"/>
    <w:rsid w:val="00107D2F"/>
    <w:rsid w:val="00110421"/>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328"/>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00D"/>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2AAC"/>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09F8"/>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4A1C"/>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9BA"/>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983"/>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0D1B"/>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79"/>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7F5"/>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C54"/>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AB2"/>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24E"/>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493"/>
    <w:rsid w:val="00D7675E"/>
    <w:rsid w:val="00D7701F"/>
    <w:rsid w:val="00D80080"/>
    <w:rsid w:val="00D804A1"/>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0A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6C2"/>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6FF5"/>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27E4E"/>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65A"/>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64"/>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5B390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UnresolvedMention">
    <w:name w:val="Unresolved Mention"/>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49254967">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6800249">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6521492">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pendatacharter.net/principles-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F0EA-6238-4D09-A946-DBC5055C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5796</Words>
  <Characters>31881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2025-11-21T20:00:00Z</cp:lastPrinted>
  <dcterms:created xsi:type="dcterms:W3CDTF">2025-11-21T20:00:00Z</dcterms:created>
  <dcterms:modified xsi:type="dcterms:W3CDTF">2025-11-21T20:00:00Z</dcterms:modified>
</cp:coreProperties>
</file>