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ACF8FE" w14:textId="77777777" w:rsidR="0061352F" w:rsidRPr="00756901" w:rsidRDefault="00A905FB">
      <w:pPr>
        <w:spacing w:line="360" w:lineRule="auto"/>
        <w:jc w:val="both"/>
        <w:rPr>
          <w:rFonts w:ascii="Palatino Linotype" w:eastAsia="Palatino Linotype" w:hAnsi="Palatino Linotype" w:cs="Palatino Linotype"/>
          <w:sz w:val="22"/>
          <w:szCs w:val="22"/>
        </w:rPr>
      </w:pPr>
      <w:bookmarkStart w:id="0" w:name="_heading=h.gjdgxs" w:colFirst="0" w:colLast="0"/>
      <w:bookmarkEnd w:id="0"/>
      <w:r w:rsidRPr="00756901">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doce de noviembre de dos mil veinticinco. </w:t>
      </w:r>
    </w:p>
    <w:p w14:paraId="0DD8F215" w14:textId="77777777" w:rsidR="0061352F" w:rsidRPr="00756901" w:rsidRDefault="0061352F">
      <w:pPr>
        <w:spacing w:line="360" w:lineRule="auto"/>
        <w:jc w:val="both"/>
        <w:rPr>
          <w:rFonts w:ascii="Palatino Linotype" w:eastAsia="Palatino Linotype" w:hAnsi="Palatino Linotype" w:cs="Palatino Linotype"/>
          <w:b/>
          <w:sz w:val="22"/>
          <w:szCs w:val="22"/>
        </w:rPr>
      </w:pPr>
    </w:p>
    <w:p w14:paraId="56CBBFE2" w14:textId="428D3C71"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Visto </w:t>
      </w:r>
      <w:r w:rsidRPr="00756901">
        <w:rPr>
          <w:rFonts w:ascii="Palatino Linotype" w:eastAsia="Palatino Linotype" w:hAnsi="Palatino Linotype" w:cs="Palatino Linotype"/>
          <w:sz w:val="22"/>
          <w:szCs w:val="22"/>
        </w:rPr>
        <w:t xml:space="preserve">el expediente relativo al recurso de revisión </w:t>
      </w:r>
      <w:r w:rsidRPr="00756901">
        <w:rPr>
          <w:rFonts w:ascii="Palatino Linotype" w:eastAsia="Palatino Linotype" w:hAnsi="Palatino Linotype" w:cs="Palatino Linotype"/>
          <w:b/>
          <w:sz w:val="22"/>
          <w:szCs w:val="22"/>
        </w:rPr>
        <w:t>11699/INFOEM/IP/RR/2025</w:t>
      </w:r>
      <w:r w:rsidRPr="00756901">
        <w:rPr>
          <w:rFonts w:ascii="Palatino Linotype" w:eastAsia="Palatino Linotype" w:hAnsi="Palatino Linotype" w:cs="Palatino Linotype"/>
          <w:sz w:val="22"/>
          <w:szCs w:val="22"/>
        </w:rPr>
        <w:t xml:space="preserve">, </w:t>
      </w:r>
      <w:r w:rsidRPr="00756901">
        <w:rPr>
          <w:rFonts w:ascii="Palatino Linotype" w:eastAsia="Palatino Linotype" w:hAnsi="Palatino Linotype" w:cs="Palatino Linotype"/>
        </w:rPr>
        <w:t>interpuesto por</w:t>
      </w:r>
      <w:r w:rsidRPr="00756901">
        <w:rPr>
          <w:rFonts w:ascii="Palatino Linotype" w:eastAsia="Palatino Linotype" w:hAnsi="Palatino Linotype" w:cs="Palatino Linotype"/>
          <w:b/>
        </w:rPr>
        <w:t xml:space="preserve"> </w:t>
      </w:r>
      <w:r w:rsidR="00C605BC" w:rsidRPr="00C605BC">
        <w:rPr>
          <w:rFonts w:ascii="Palatino Linotype" w:eastAsia="Palatino Linotype" w:hAnsi="Palatino Linotype" w:cs="Palatino Linotype"/>
          <w:b/>
        </w:rPr>
        <w:t>XXXX XXXXXX XX XXXX</w:t>
      </w:r>
      <w:r w:rsidRPr="00C605BC">
        <w:rPr>
          <w:rFonts w:ascii="Palatino Linotype" w:eastAsia="Palatino Linotype" w:hAnsi="Palatino Linotype" w:cs="Palatino Linotype"/>
          <w:b/>
        </w:rPr>
        <w:t>,</w:t>
      </w:r>
      <w:bookmarkStart w:id="1" w:name="_GoBack"/>
      <w:bookmarkEnd w:id="1"/>
      <w:r w:rsidRPr="00756901">
        <w:rPr>
          <w:rFonts w:ascii="Palatino Linotype" w:eastAsia="Palatino Linotype" w:hAnsi="Palatino Linotype" w:cs="Palatino Linotype"/>
        </w:rPr>
        <w:t xml:space="preserve"> en lo sucesivo la parte </w:t>
      </w:r>
      <w:r w:rsidRPr="00756901">
        <w:rPr>
          <w:rFonts w:ascii="Palatino Linotype" w:eastAsia="Palatino Linotype" w:hAnsi="Palatino Linotype" w:cs="Palatino Linotype"/>
          <w:b/>
        </w:rPr>
        <w:t>RECURRENTE</w:t>
      </w:r>
      <w:r w:rsidRPr="00756901">
        <w:rPr>
          <w:rFonts w:ascii="Palatino Linotype" w:eastAsia="Palatino Linotype" w:hAnsi="Palatino Linotype" w:cs="Palatino Linotype"/>
          <w:b/>
          <w:sz w:val="22"/>
          <w:szCs w:val="22"/>
        </w:rPr>
        <w:t xml:space="preserve">, </w:t>
      </w:r>
      <w:r w:rsidRPr="00756901">
        <w:rPr>
          <w:rFonts w:ascii="Palatino Linotype" w:eastAsia="Palatino Linotype" w:hAnsi="Palatino Linotype" w:cs="Palatino Linotype"/>
          <w:sz w:val="22"/>
          <w:szCs w:val="22"/>
        </w:rPr>
        <w:t>en contra de la falta de respuesta a la solicitud de acceso a la información con número de folio</w:t>
      </w:r>
      <w:r w:rsidRPr="00756901">
        <w:rPr>
          <w:rFonts w:ascii="Verdana" w:eastAsia="Verdana" w:hAnsi="Verdana" w:cs="Verdana"/>
          <w:b/>
          <w:sz w:val="22"/>
          <w:szCs w:val="22"/>
        </w:rPr>
        <w:t> </w:t>
      </w:r>
      <w:r w:rsidRPr="00756901">
        <w:rPr>
          <w:rFonts w:ascii="Palatino Linotype" w:eastAsia="Palatino Linotype" w:hAnsi="Palatino Linotype" w:cs="Palatino Linotype"/>
          <w:b/>
        </w:rPr>
        <w:t>00200/DIFIXTAPAL/IP/2025</w:t>
      </w:r>
      <w:r w:rsidRPr="00756901">
        <w:rPr>
          <w:rFonts w:ascii="Palatino Linotype" w:eastAsia="Palatino Linotype" w:hAnsi="Palatino Linotype" w:cs="Palatino Linotype"/>
          <w:b/>
          <w:sz w:val="22"/>
          <w:szCs w:val="22"/>
        </w:rPr>
        <w:t>,</w:t>
      </w:r>
      <w:r w:rsidRPr="00756901">
        <w:rPr>
          <w:rFonts w:ascii="Palatino Linotype" w:eastAsia="Palatino Linotype" w:hAnsi="Palatino Linotype" w:cs="Palatino Linotype"/>
          <w:sz w:val="22"/>
          <w:szCs w:val="22"/>
        </w:rPr>
        <w:t xml:space="preserve"> por parte del </w:t>
      </w:r>
      <w:r w:rsidRPr="00756901">
        <w:rPr>
          <w:rFonts w:ascii="Palatino Linotype" w:eastAsia="Palatino Linotype" w:hAnsi="Palatino Linotype" w:cs="Palatino Linotype"/>
          <w:b/>
          <w:sz w:val="22"/>
          <w:szCs w:val="22"/>
        </w:rPr>
        <w:t>Sistema Municipal Para el Desarrollo Integral de la Familia de Ixtapaluca,</w:t>
      </w:r>
      <w:r w:rsidRPr="00756901">
        <w:rPr>
          <w:rFonts w:ascii="Palatino Linotype" w:eastAsia="Palatino Linotype" w:hAnsi="Palatino Linotype" w:cs="Palatino Linotype"/>
          <w:sz w:val="22"/>
          <w:szCs w:val="22"/>
        </w:rPr>
        <w:t xml:space="preserve"> en lo sucesivo el </w:t>
      </w:r>
      <w:r w:rsidRPr="00756901">
        <w:rPr>
          <w:rFonts w:ascii="Palatino Linotype" w:eastAsia="Palatino Linotype" w:hAnsi="Palatino Linotype" w:cs="Palatino Linotype"/>
          <w:b/>
          <w:sz w:val="22"/>
          <w:szCs w:val="22"/>
        </w:rPr>
        <w:t xml:space="preserve">SUJETO OBLIGADO; </w:t>
      </w:r>
      <w:r w:rsidRPr="00756901">
        <w:rPr>
          <w:rFonts w:ascii="Palatino Linotype" w:eastAsia="Palatino Linotype" w:hAnsi="Palatino Linotype" w:cs="Palatino Linotype"/>
          <w:sz w:val="22"/>
          <w:szCs w:val="22"/>
        </w:rPr>
        <w:t xml:space="preserve">se procede a dictar la presente resolución, con base en lo siguiente. </w:t>
      </w:r>
    </w:p>
    <w:p w14:paraId="618D1A0A"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D2CE2C5" w14:textId="77777777" w:rsidR="0061352F" w:rsidRPr="00756901" w:rsidRDefault="00A905FB">
      <w:pPr>
        <w:numPr>
          <w:ilvl w:val="0"/>
          <w:numId w:val="6"/>
        </w:num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r w:rsidRPr="00756901">
        <w:rPr>
          <w:rFonts w:ascii="Palatino Linotype" w:eastAsia="Palatino Linotype" w:hAnsi="Palatino Linotype" w:cs="Palatino Linotype"/>
          <w:b/>
          <w:sz w:val="22"/>
          <w:szCs w:val="22"/>
        </w:rPr>
        <w:t>A N T E C E D E N T E S:</w:t>
      </w:r>
    </w:p>
    <w:p w14:paraId="3E04AA69" w14:textId="77777777" w:rsidR="0061352F" w:rsidRPr="00756901" w:rsidRDefault="0061352F">
      <w:pPr>
        <w:pBdr>
          <w:top w:val="nil"/>
          <w:left w:val="nil"/>
          <w:bottom w:val="nil"/>
          <w:right w:val="nil"/>
          <w:between w:val="nil"/>
        </w:pBdr>
        <w:spacing w:line="360" w:lineRule="auto"/>
        <w:ind w:left="1077"/>
        <w:rPr>
          <w:rFonts w:ascii="Palatino Linotype" w:eastAsia="Palatino Linotype" w:hAnsi="Palatino Linotype" w:cs="Palatino Linotype"/>
          <w:b/>
          <w:sz w:val="22"/>
          <w:szCs w:val="22"/>
        </w:rPr>
      </w:pPr>
    </w:p>
    <w:p w14:paraId="540A47F3"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1. Solicitud de acceso a la información. </w:t>
      </w:r>
      <w:r w:rsidRPr="00756901">
        <w:rPr>
          <w:rFonts w:ascii="Palatino Linotype" w:eastAsia="Palatino Linotype" w:hAnsi="Palatino Linotype" w:cs="Palatino Linotype"/>
          <w:sz w:val="22"/>
          <w:szCs w:val="22"/>
        </w:rPr>
        <w:t xml:space="preserve">Con fecha </w:t>
      </w:r>
      <w:r w:rsidRPr="00756901">
        <w:rPr>
          <w:rFonts w:ascii="Palatino Linotype" w:eastAsia="Palatino Linotype" w:hAnsi="Palatino Linotype" w:cs="Palatino Linotype"/>
          <w:b/>
          <w:sz w:val="22"/>
          <w:szCs w:val="22"/>
        </w:rPr>
        <w:t>diecisiete de septiembre de dos mil veinticinco</w:t>
      </w:r>
      <w:r w:rsidRPr="00756901">
        <w:rPr>
          <w:rFonts w:ascii="Palatino Linotype" w:eastAsia="Palatino Linotype" w:hAnsi="Palatino Linotype" w:cs="Palatino Linotype"/>
          <w:sz w:val="22"/>
          <w:szCs w:val="22"/>
        </w:rPr>
        <w:t xml:space="preserve">, la parte </w:t>
      </w:r>
      <w:r w:rsidRPr="00756901">
        <w:rPr>
          <w:rFonts w:ascii="Palatino Linotype" w:eastAsia="Palatino Linotype" w:hAnsi="Palatino Linotype" w:cs="Palatino Linotype"/>
          <w:b/>
          <w:sz w:val="22"/>
          <w:szCs w:val="22"/>
        </w:rPr>
        <w:t xml:space="preserve">RECURRENTE </w:t>
      </w:r>
      <w:r w:rsidRPr="00756901">
        <w:rPr>
          <w:rFonts w:ascii="Palatino Linotype" w:eastAsia="Palatino Linotype" w:hAnsi="Palatino Linotype" w:cs="Palatino Linotype"/>
          <w:sz w:val="22"/>
          <w:szCs w:val="22"/>
        </w:rPr>
        <w:t xml:space="preserve">formuló a través del Sistema de Acceso a la Información Mexiquense, en adelante </w:t>
      </w:r>
      <w:r w:rsidRPr="00756901">
        <w:rPr>
          <w:rFonts w:ascii="Palatino Linotype" w:eastAsia="Palatino Linotype" w:hAnsi="Palatino Linotype" w:cs="Palatino Linotype"/>
          <w:b/>
          <w:sz w:val="22"/>
          <w:szCs w:val="22"/>
        </w:rPr>
        <w:t>SAIMEX,</w:t>
      </w:r>
      <w:r w:rsidRPr="00756901">
        <w:rPr>
          <w:rFonts w:ascii="Palatino Linotype" w:eastAsia="Palatino Linotype" w:hAnsi="Palatino Linotype" w:cs="Palatino Linotype"/>
          <w:sz w:val="22"/>
          <w:szCs w:val="22"/>
        </w:rPr>
        <w:t xml:space="preserve"> solicitud de información al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requiriéndole lo siguiente:</w:t>
      </w:r>
    </w:p>
    <w:p w14:paraId="29770BE5"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57102921" w14:textId="77777777" w:rsidR="0061352F" w:rsidRPr="00756901" w:rsidRDefault="00A905FB" w:rsidP="000709AA">
      <w:pPr>
        <w:spacing w:line="276" w:lineRule="auto"/>
        <w:ind w:left="851"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 xml:space="preserve">“Con fundamento en los artículos 6° de la Constitución Política de los Estados Unidos Mexicanos, 113 de la Ley General de Transparencia y Acceso a la Información Pública, y los correlativos de la Ley de Transparencia y Acceso a la Información Pública del Estado de México y Municipios, solicito se me informe y se me entreguen las copias solicitadas respecto de las solicitudes, emitidas por mi persona a través de la Plataforma Nacional de Transparencia y mismas que no han sido contestadas por el DIF ixtapaluca; los folios: 00004/IXTAPAL/IP/2025 00005/IXTAPAL/IP/2025 00006/IXTAPAL/IP/2025 00007/IXTAPAL/IP/2025 </w:t>
      </w:r>
      <w:r w:rsidRPr="00756901">
        <w:rPr>
          <w:rFonts w:ascii="Palatino Linotype" w:eastAsia="Palatino Linotype" w:hAnsi="Palatino Linotype" w:cs="Palatino Linotype"/>
          <w:i/>
          <w:sz w:val="22"/>
          <w:szCs w:val="22"/>
        </w:rPr>
        <w:lastRenderedPageBreak/>
        <w:t>00008/IXTAPAL/IP/2025 00009/IXTAPAL/IP/2025 00010/IXTAPAL/IP/2025 Se confirme si la Unidad de Transparencia del DIF Ixtapaluca turnó dichas solicitudes a la Presidenta del DIF Municipal y/o a la Contralora Interna. En caso afirmativo, solicito copias simples de los oficios de turno dirigidos a la Presidenta y a la Contralora, con sus respectivos sellos de recibido, acuses o constancias de entrega, firmas y fechas, a fin de acreditar que ambas funcionarias estuvieron enteradas. Se informe si existe algún oficio, acuerdo, instrucción o indicación emitida por el Presidente Municipal o por la Presidenta del DIF de Ixtapaluca mediante el cual se haya ordenado, instruido o solicitado no dar contestación o no atender las solicitudes de información pública referidas. En su caso, solicito copia simple del oficio o documento, indicando número de oficio, fecha, dependencia emisora, fundamento legal invocado (si lo hay) y firma del servidor público competente. Aclaro que, en caso de que sólo existan los oficios de turno con sello de recibido (aunque no exista respuesta adicional), dichos documentos son suficientes para colmar mi derecho de acceso a la información, por lo que solicito se me entreguen exclusivamente esos documentos si no existe otra documentación complementaria.” (Sic)</w:t>
      </w:r>
    </w:p>
    <w:p w14:paraId="2206C822" w14:textId="77777777" w:rsidR="0061352F" w:rsidRPr="00756901" w:rsidRDefault="0061352F">
      <w:pPr>
        <w:spacing w:line="360" w:lineRule="auto"/>
        <w:jc w:val="both"/>
        <w:rPr>
          <w:rFonts w:ascii="Palatino Linotype" w:eastAsia="Palatino Linotype" w:hAnsi="Palatino Linotype" w:cs="Palatino Linotype"/>
          <w:b/>
          <w:sz w:val="22"/>
          <w:szCs w:val="22"/>
        </w:rPr>
      </w:pPr>
    </w:p>
    <w:p w14:paraId="79387E77"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Modalidad elegida para la entrega de la información: </w:t>
      </w:r>
      <w:r w:rsidRPr="00756901">
        <w:rPr>
          <w:rFonts w:ascii="Palatino Linotype" w:eastAsia="Palatino Linotype" w:hAnsi="Palatino Linotype" w:cs="Palatino Linotype"/>
          <w:sz w:val="22"/>
          <w:szCs w:val="22"/>
        </w:rPr>
        <w:t>a través del SAIMEX.</w:t>
      </w:r>
    </w:p>
    <w:p w14:paraId="07588B54" w14:textId="77777777" w:rsidR="0061352F" w:rsidRPr="00756901" w:rsidRDefault="0061352F">
      <w:pPr>
        <w:spacing w:line="360" w:lineRule="auto"/>
        <w:jc w:val="both"/>
        <w:rPr>
          <w:rFonts w:ascii="Palatino Linotype" w:eastAsia="Palatino Linotype" w:hAnsi="Palatino Linotype" w:cs="Palatino Linotype"/>
          <w:b/>
          <w:sz w:val="22"/>
          <w:szCs w:val="22"/>
        </w:rPr>
      </w:pPr>
    </w:p>
    <w:p w14:paraId="6AE5BECC"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2. Respuesta. </w:t>
      </w:r>
      <w:r w:rsidRPr="00756901">
        <w:rPr>
          <w:rFonts w:ascii="Palatino Linotype" w:eastAsia="Palatino Linotype" w:hAnsi="Palatino Linotype" w:cs="Palatino Linotype"/>
          <w:sz w:val="22"/>
          <w:szCs w:val="22"/>
        </w:rPr>
        <w:t xml:space="preserve">El </w:t>
      </w:r>
      <w:r w:rsidRPr="00756901">
        <w:rPr>
          <w:rFonts w:ascii="Palatino Linotype" w:eastAsia="Palatino Linotype" w:hAnsi="Palatino Linotype" w:cs="Palatino Linotype"/>
          <w:b/>
          <w:sz w:val="22"/>
          <w:szCs w:val="22"/>
        </w:rPr>
        <w:t xml:space="preserve">SUJETO OBLIGADO </w:t>
      </w:r>
      <w:r w:rsidRPr="00756901">
        <w:rPr>
          <w:rFonts w:ascii="Palatino Linotype" w:eastAsia="Palatino Linotype" w:hAnsi="Palatino Linotype" w:cs="Palatino Linotype"/>
          <w:sz w:val="22"/>
          <w:szCs w:val="22"/>
        </w:rPr>
        <w:t xml:space="preserve">fue omiso en proporcionar respuesta. </w:t>
      </w:r>
    </w:p>
    <w:p w14:paraId="0AD59B8A"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3FBCA153"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3. Interposición del recurso de revisión. </w:t>
      </w:r>
      <w:r w:rsidRPr="00756901">
        <w:rPr>
          <w:rFonts w:ascii="Palatino Linotype" w:eastAsia="Palatino Linotype" w:hAnsi="Palatino Linotype" w:cs="Palatino Linotype"/>
          <w:sz w:val="22"/>
          <w:szCs w:val="22"/>
        </w:rPr>
        <w:t xml:space="preserve">Inconforme la parte solicitante con la falta de respuesta del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interpuso recurso de revisión a través del SAIMEX en fecha </w:t>
      </w:r>
      <w:r w:rsidRPr="00756901">
        <w:rPr>
          <w:rFonts w:ascii="Palatino Linotype" w:eastAsia="Palatino Linotype" w:hAnsi="Palatino Linotype" w:cs="Palatino Linotype"/>
          <w:b/>
          <w:sz w:val="22"/>
          <w:szCs w:val="22"/>
        </w:rPr>
        <w:t>nueve de octubre de dos mil veinticinco</w:t>
      </w:r>
      <w:r w:rsidRPr="00756901">
        <w:rPr>
          <w:rFonts w:ascii="Palatino Linotype" w:eastAsia="Palatino Linotype" w:hAnsi="Palatino Linotype" w:cs="Palatino Linotype"/>
          <w:sz w:val="22"/>
          <w:szCs w:val="22"/>
        </w:rPr>
        <w:t>, expresando lo siguiente:</w:t>
      </w:r>
    </w:p>
    <w:p w14:paraId="4285BCBA"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1FA601AA" w14:textId="77777777" w:rsidR="0061352F" w:rsidRPr="00756901" w:rsidRDefault="00A905FB" w:rsidP="000709AA">
      <w:pPr>
        <w:numPr>
          <w:ilvl w:val="0"/>
          <w:numId w:val="4"/>
        </w:numPr>
        <w:pBdr>
          <w:top w:val="nil"/>
          <w:left w:val="nil"/>
          <w:bottom w:val="nil"/>
          <w:right w:val="nil"/>
          <w:between w:val="nil"/>
        </w:pBdr>
        <w:spacing w:line="360" w:lineRule="auto"/>
        <w:ind w:left="851" w:right="616" w:hanging="7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sz w:val="22"/>
          <w:szCs w:val="22"/>
        </w:rPr>
        <w:t xml:space="preserve">Acto impugnado. </w:t>
      </w:r>
      <w:r w:rsidRPr="00756901">
        <w:rPr>
          <w:rFonts w:ascii="Palatino Linotype" w:eastAsia="Palatino Linotype" w:hAnsi="Palatino Linotype" w:cs="Palatino Linotype"/>
          <w:i/>
          <w:sz w:val="22"/>
          <w:szCs w:val="22"/>
        </w:rPr>
        <w:t xml:space="preserve">“El sujeto obligado ha incurrido en omisión al no atender en tiempo y forma las solicitudes de información presentadas, incumpliendo con los principios de transparencia y máxima publicidad previstos en la Ley de Transparencia y Acceso a la Información Pública del Estado de México y </w:t>
      </w:r>
      <w:r w:rsidRPr="00756901">
        <w:rPr>
          <w:rFonts w:ascii="Palatino Linotype" w:eastAsia="Palatino Linotype" w:hAnsi="Palatino Linotype" w:cs="Palatino Linotype"/>
          <w:i/>
          <w:sz w:val="22"/>
          <w:szCs w:val="22"/>
        </w:rPr>
        <w:lastRenderedPageBreak/>
        <w:t>Municipios. Dicha conducta obstaculiza la rendición de cuentas y vulnera el derecho de acceso a la información.” (Sic)</w:t>
      </w:r>
    </w:p>
    <w:p w14:paraId="3E9AA548" w14:textId="77777777" w:rsidR="0061352F" w:rsidRPr="00756901" w:rsidRDefault="0061352F" w:rsidP="000709AA">
      <w:pPr>
        <w:spacing w:line="360" w:lineRule="auto"/>
        <w:ind w:left="851" w:right="616" w:hanging="76"/>
        <w:rPr>
          <w:rFonts w:ascii="Palatino Linotype" w:eastAsia="Palatino Linotype" w:hAnsi="Palatino Linotype" w:cs="Palatino Linotype"/>
          <w:b/>
          <w:sz w:val="22"/>
          <w:szCs w:val="22"/>
        </w:rPr>
      </w:pPr>
    </w:p>
    <w:p w14:paraId="4DC3A2C8" w14:textId="77777777" w:rsidR="0061352F" w:rsidRPr="00756901" w:rsidRDefault="00A905FB" w:rsidP="000709AA">
      <w:pPr>
        <w:spacing w:line="360" w:lineRule="auto"/>
        <w:ind w:left="851" w:right="616" w:hanging="7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sz w:val="22"/>
          <w:szCs w:val="22"/>
        </w:rPr>
        <w:t>b) Motivos de inconformidad.</w:t>
      </w:r>
      <w:r w:rsidRPr="00756901">
        <w:rPr>
          <w:rFonts w:ascii="Palatino Linotype" w:eastAsia="Palatino Linotype" w:hAnsi="Palatino Linotype" w:cs="Palatino Linotype"/>
          <w:i/>
          <w:sz w:val="22"/>
          <w:szCs w:val="22"/>
        </w:rPr>
        <w:t>”</w:t>
      </w:r>
      <w:r w:rsidRPr="00756901">
        <w:t xml:space="preserve"> </w:t>
      </w:r>
      <w:r w:rsidRPr="00756901">
        <w:rPr>
          <w:rFonts w:ascii="Palatino Linotype" w:eastAsia="Palatino Linotype" w:hAnsi="Palatino Linotype" w:cs="Palatino Linotype"/>
          <w:i/>
          <w:sz w:val="22"/>
          <w:szCs w:val="22"/>
        </w:rPr>
        <w:t>El sujeto obligado ha incurrido en omisión al no atender en tiempo y forma las solicitudes de información presentadas, incumpliendo con los principios de transparencia y máxima publicidad previstos en la Ley de Transparencia y Acceso a la Información Pública del Estado de México y Municipios. Dicha conducta obstaculiza la rendición de cuentas y vulnera el derecho de acceso a la información.” (Sic)</w:t>
      </w:r>
    </w:p>
    <w:p w14:paraId="6548B483" w14:textId="77777777" w:rsidR="0061352F" w:rsidRPr="00756901" w:rsidRDefault="0061352F">
      <w:pPr>
        <w:spacing w:line="360" w:lineRule="auto"/>
        <w:jc w:val="both"/>
        <w:rPr>
          <w:rFonts w:ascii="Palatino Linotype" w:eastAsia="Palatino Linotype" w:hAnsi="Palatino Linotype" w:cs="Palatino Linotype"/>
          <w:i/>
          <w:sz w:val="22"/>
          <w:szCs w:val="22"/>
        </w:rPr>
      </w:pPr>
    </w:p>
    <w:p w14:paraId="3141E7F9"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4. Turno. </w:t>
      </w:r>
      <w:r w:rsidRPr="00756901">
        <w:rPr>
          <w:rFonts w:ascii="Palatino Linotype" w:eastAsia="Palatino Linotype" w:hAnsi="Palatino Linotype" w:cs="Palatino Linotype"/>
          <w:sz w:val="22"/>
          <w:szCs w:val="22"/>
        </w:rPr>
        <w:t>De conformidad con el artículo 185 Fracción I de la Ley Transparencia y Acceso a la Información Pública, el recurso de revisión número</w:t>
      </w:r>
      <w:r w:rsidRPr="00756901">
        <w:rPr>
          <w:rFonts w:ascii="Palatino Linotype" w:eastAsia="Palatino Linotype" w:hAnsi="Palatino Linotype" w:cs="Palatino Linotype"/>
          <w:b/>
          <w:sz w:val="22"/>
          <w:szCs w:val="22"/>
        </w:rPr>
        <w:t xml:space="preserve"> 11699/INFOEM/IP/RR/2025 </w:t>
      </w:r>
      <w:r w:rsidRPr="00756901">
        <w:rPr>
          <w:rFonts w:ascii="Palatino Linotype" w:eastAsia="Palatino Linotype" w:hAnsi="Palatino Linotype" w:cs="Palatino Linotype"/>
          <w:sz w:val="22"/>
          <w:szCs w:val="22"/>
        </w:rPr>
        <w:t xml:space="preserve">fue turnado a la Comisionada Ponente </w:t>
      </w:r>
      <w:r w:rsidRPr="00756901">
        <w:rPr>
          <w:rFonts w:ascii="Palatino Linotype" w:eastAsia="Palatino Linotype" w:hAnsi="Palatino Linotype" w:cs="Palatino Linotype"/>
          <w:b/>
          <w:sz w:val="22"/>
          <w:szCs w:val="22"/>
        </w:rPr>
        <w:t>Guadalupe Ramírez Peña</w:t>
      </w:r>
      <w:r w:rsidRPr="00756901">
        <w:rPr>
          <w:rFonts w:ascii="Palatino Linotype" w:eastAsia="Palatino Linotype" w:hAnsi="Palatino Linotype" w:cs="Palatino Linotype"/>
          <w:sz w:val="22"/>
          <w:szCs w:val="22"/>
        </w:rPr>
        <w:t>, a efecto de presentar al Pleno el proyecto de resolución correspondiente.</w:t>
      </w:r>
    </w:p>
    <w:p w14:paraId="486D01E4"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18EE57C8"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5. Admisión. </w:t>
      </w:r>
      <w:r w:rsidRPr="00756901">
        <w:rPr>
          <w:rFonts w:ascii="Palatino Linotype" w:eastAsia="Palatino Linotype" w:hAnsi="Palatino Linotype" w:cs="Palatino Linotype"/>
          <w:sz w:val="22"/>
          <w:szCs w:val="22"/>
        </w:rPr>
        <w:t xml:space="preserve">En fecha </w:t>
      </w:r>
      <w:r w:rsidRPr="00756901">
        <w:rPr>
          <w:rFonts w:ascii="Palatino Linotype" w:eastAsia="Palatino Linotype" w:hAnsi="Palatino Linotype" w:cs="Palatino Linotype"/>
          <w:b/>
          <w:sz w:val="22"/>
          <w:szCs w:val="22"/>
        </w:rPr>
        <w:t>trece de octubre de dos mil veinticinco</w:t>
      </w:r>
      <w:r w:rsidRPr="00756901">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 al rubro indicado.</w:t>
      </w:r>
    </w:p>
    <w:p w14:paraId="0AAA3FDE"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4060E191" w14:textId="77777777" w:rsidR="0061352F" w:rsidRPr="00756901" w:rsidRDefault="00A905FB">
      <w:pPr>
        <w:widowControl w:val="0"/>
        <w:spacing w:line="360" w:lineRule="auto"/>
        <w:ind w:right="49"/>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6. Manifestaciones</w:t>
      </w:r>
      <w:r w:rsidRPr="00756901">
        <w:rPr>
          <w:rFonts w:ascii="Palatino Linotype" w:eastAsia="Palatino Linotype" w:hAnsi="Palatino Linotype" w:cs="Palatino Linotype"/>
          <w:sz w:val="22"/>
          <w:szCs w:val="22"/>
        </w:rPr>
        <w:t>. Las partes fueron omisas en rendir manifestaciones, como se observa a continuación en la siguiente imagen:</w:t>
      </w:r>
    </w:p>
    <w:p w14:paraId="5FBA612C"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noProof/>
          <w:sz w:val="22"/>
          <w:szCs w:val="22"/>
          <w:lang w:val="es-MX"/>
        </w:rPr>
        <w:drawing>
          <wp:inline distT="0" distB="0" distL="0" distR="0" wp14:anchorId="65215071" wp14:editId="4A17E973">
            <wp:extent cx="5612130" cy="1613535"/>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1613535"/>
                    </a:xfrm>
                    <a:prstGeom prst="rect">
                      <a:avLst/>
                    </a:prstGeom>
                    <a:ln/>
                  </pic:spPr>
                </pic:pic>
              </a:graphicData>
            </a:graphic>
          </wp:inline>
        </w:drawing>
      </w:r>
    </w:p>
    <w:p w14:paraId="0C2ECB99" w14:textId="77777777" w:rsidR="0061352F" w:rsidRPr="00756901" w:rsidRDefault="0061352F">
      <w:pPr>
        <w:widowControl w:val="0"/>
        <w:spacing w:line="360" w:lineRule="auto"/>
        <w:ind w:right="49"/>
        <w:jc w:val="both"/>
        <w:rPr>
          <w:rFonts w:ascii="Palatino Linotype" w:eastAsia="Palatino Linotype" w:hAnsi="Palatino Linotype" w:cs="Palatino Linotype"/>
          <w:sz w:val="22"/>
          <w:szCs w:val="22"/>
        </w:rPr>
      </w:pPr>
    </w:p>
    <w:p w14:paraId="7A4574A9"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7. Cierre de instrucción. </w:t>
      </w:r>
      <w:r w:rsidRPr="00756901">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Pr="00756901">
        <w:rPr>
          <w:rFonts w:ascii="Palatino Linotype" w:eastAsia="Palatino Linotype" w:hAnsi="Palatino Linotype" w:cs="Palatino Linotype"/>
          <w:b/>
          <w:sz w:val="22"/>
          <w:szCs w:val="22"/>
        </w:rPr>
        <w:t>treinta</w:t>
      </w:r>
      <w:r w:rsidRPr="00756901">
        <w:rPr>
          <w:rFonts w:ascii="Palatino Linotype" w:eastAsia="Palatino Linotype" w:hAnsi="Palatino Linotype" w:cs="Palatino Linotype"/>
          <w:sz w:val="22"/>
          <w:szCs w:val="22"/>
        </w:rPr>
        <w:t xml:space="preserve"> </w:t>
      </w:r>
      <w:r w:rsidRPr="00756901">
        <w:rPr>
          <w:rFonts w:ascii="Palatino Linotype" w:eastAsia="Palatino Linotype" w:hAnsi="Palatino Linotype" w:cs="Palatino Linotype"/>
          <w:b/>
          <w:sz w:val="22"/>
          <w:szCs w:val="22"/>
        </w:rPr>
        <w:t>de octubre de dos mil veinticinco</w:t>
      </w:r>
      <w:r w:rsidRPr="00756901">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55996D8E"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A0CCBA8"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7EDDB86"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5B0B884F" w14:textId="77777777" w:rsidR="0061352F" w:rsidRPr="00756901" w:rsidRDefault="00A905FB">
      <w:pPr>
        <w:widowControl w:val="0"/>
        <w:spacing w:line="360" w:lineRule="auto"/>
        <w:jc w:val="center"/>
        <w:rPr>
          <w:rFonts w:ascii="Palatino Linotype" w:eastAsia="Palatino Linotype" w:hAnsi="Palatino Linotype" w:cs="Palatino Linotype"/>
          <w:b/>
          <w:sz w:val="22"/>
          <w:szCs w:val="22"/>
        </w:rPr>
      </w:pPr>
      <w:r w:rsidRPr="00756901">
        <w:rPr>
          <w:rFonts w:ascii="Palatino Linotype" w:eastAsia="Palatino Linotype" w:hAnsi="Palatino Linotype" w:cs="Palatino Linotype"/>
          <w:b/>
          <w:sz w:val="22"/>
          <w:szCs w:val="22"/>
        </w:rPr>
        <w:t>II. C O N S I D E R A N D O S</w:t>
      </w:r>
    </w:p>
    <w:p w14:paraId="6479165D" w14:textId="77777777" w:rsidR="0061352F" w:rsidRPr="00756901" w:rsidRDefault="0061352F">
      <w:pPr>
        <w:widowControl w:val="0"/>
        <w:pBdr>
          <w:top w:val="nil"/>
          <w:left w:val="nil"/>
          <w:bottom w:val="nil"/>
          <w:right w:val="nil"/>
          <w:between w:val="nil"/>
        </w:pBdr>
        <w:spacing w:line="360" w:lineRule="auto"/>
        <w:ind w:left="1080"/>
        <w:rPr>
          <w:rFonts w:ascii="Palatino Linotype" w:eastAsia="Palatino Linotype" w:hAnsi="Palatino Linotype" w:cs="Palatino Linotype"/>
          <w:b/>
          <w:sz w:val="22"/>
          <w:szCs w:val="22"/>
        </w:rPr>
      </w:pPr>
    </w:p>
    <w:p w14:paraId="145BDB8F" w14:textId="77777777" w:rsidR="0061352F" w:rsidRPr="00756901" w:rsidRDefault="00A905FB">
      <w:pPr>
        <w:spacing w:line="360" w:lineRule="auto"/>
        <w:ind w:right="49"/>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Primero. Competencia.</w:t>
      </w:r>
      <w:r w:rsidRPr="00756901">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y cuadragésimo sexto, fracciones IV y V de la Constitución Política del Estado Libre y Soberano de México; transitorio Cuarto del Decreto número 198 de la “LXII” Legislatura del Estado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302B466"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39CF706A"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Segundo. Oportunidad y Procedibilidad del Recurso de Revisión. </w:t>
      </w:r>
      <w:r w:rsidRPr="00756901">
        <w:rPr>
          <w:rFonts w:ascii="Palatino Linotype" w:eastAsia="Palatino Linotype" w:hAnsi="Palatino Linotype" w:cs="Palatino Linotype"/>
          <w:sz w:val="22"/>
          <w:szCs w:val="22"/>
        </w:rPr>
        <w:t>Por cuanto hace a la oportunidad del recurso de revisión</w:t>
      </w:r>
      <w:r w:rsidRPr="00756901">
        <w:rPr>
          <w:rFonts w:ascii="Palatino Linotype" w:eastAsia="Palatino Linotype" w:hAnsi="Palatino Linotype" w:cs="Palatino Linotype"/>
          <w:b/>
          <w:sz w:val="22"/>
          <w:szCs w:val="22"/>
        </w:rPr>
        <w:t xml:space="preserve"> </w:t>
      </w:r>
      <w:r w:rsidRPr="00756901">
        <w:rPr>
          <w:rFonts w:ascii="Palatino Linotype" w:eastAsia="Palatino Linotype" w:hAnsi="Palatino Linotype" w:cs="Palatino Linotype"/>
          <w:sz w:val="22"/>
          <w:szCs w:val="22"/>
        </w:rPr>
        <w:t>es necesario considerar lo previsto en los artículos 163, párrafo primero; 166, penúltimo párrafo y 178, párrafo segundo; de la Ley de Transparencia y Acceso a la Información Pública del Estado de México y Municipios, de cuya interpretación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esta se considera negada; por lo que al solicitante le asiste el derecho para presentar el recurso de revisión en cualquier momento.</w:t>
      </w:r>
    </w:p>
    <w:p w14:paraId="661877A9"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53B3707A"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Derivado de lo anterior, se constituye la figura jurídica de la </w:t>
      </w:r>
      <w:r w:rsidRPr="00756901">
        <w:rPr>
          <w:rFonts w:ascii="Palatino Linotype" w:eastAsia="Palatino Linotype" w:hAnsi="Palatino Linotype" w:cs="Palatino Linotype"/>
          <w:b/>
          <w:sz w:val="22"/>
          <w:szCs w:val="22"/>
        </w:rPr>
        <w:t>NEGATIVA FICTA</w:t>
      </w:r>
      <w:r w:rsidRPr="00756901">
        <w:rPr>
          <w:rFonts w:ascii="Palatino Linotype" w:eastAsia="Palatino Linotype" w:hAnsi="Palatino Linotype" w:cs="Palatino Linotype"/>
          <w:sz w:val="22"/>
          <w:szCs w:val="22"/>
        </w:rPr>
        <w:t>, cuya esencia consiste en atribuir un efecto negativo al silencio de la autoridad administrativa frente a las instancias y solicitudes que hagan los particulares.</w:t>
      </w:r>
    </w:p>
    <w:p w14:paraId="25EEC93F"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54AB2FF5"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De tal manera, en el presente recurso de revisión se actualizó la negativa ficta por parte del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al no haber respondido a la parte </w:t>
      </w:r>
      <w:r w:rsidRPr="00756901">
        <w:rPr>
          <w:rFonts w:ascii="Palatino Linotype" w:eastAsia="Palatino Linotype" w:hAnsi="Palatino Linotype" w:cs="Palatino Linotype"/>
          <w:b/>
          <w:sz w:val="22"/>
          <w:szCs w:val="22"/>
        </w:rPr>
        <w:t>RECURRENTE</w:t>
      </w:r>
      <w:r w:rsidRPr="00756901">
        <w:rPr>
          <w:rFonts w:ascii="Palatino Linotype" w:eastAsia="Palatino Linotype" w:hAnsi="Palatino Linotype" w:cs="Palatino Linotype"/>
          <w:sz w:val="22"/>
          <w:szCs w:val="22"/>
        </w:rPr>
        <w:t xml:space="preserve"> en tiempo y forma en el plazo legal previsto para ello, en este sentido la falta de respuesta implica necesariamente que de modo fáctico se ha negado la información por razones desconocidas, pero que el hecho simple de no responder apareja una forma por omisión de negar el acceso a la información.</w:t>
      </w:r>
    </w:p>
    <w:p w14:paraId="465B9B14"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43591646"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Si a ello se le suma lo previsto en el párrafo segundo del artículo 178, párrafo segundo</w:t>
      </w:r>
      <w:r w:rsidRPr="00756901">
        <w:rPr>
          <w:rFonts w:ascii="Palatino Linotype" w:eastAsia="Palatino Linotype" w:hAnsi="Palatino Linotype" w:cs="Palatino Linotype"/>
          <w:sz w:val="22"/>
          <w:szCs w:val="22"/>
          <w:vertAlign w:val="superscript"/>
        </w:rPr>
        <w:footnoteReference w:id="1"/>
      </w:r>
      <w:r w:rsidRPr="00756901">
        <w:rPr>
          <w:rFonts w:ascii="Palatino Linotype" w:eastAsia="Palatino Linotype" w:hAnsi="Palatino Linotype" w:cs="Palatino Linotype"/>
          <w:sz w:val="22"/>
          <w:szCs w:val="22"/>
        </w:rPr>
        <w:t xml:space="preserve"> de la Ley de Transparencia y Acceso a la Información Pública vigente en la entidad.</w:t>
      </w:r>
    </w:p>
    <w:p w14:paraId="4BB84442"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Lo anterior encuentra sustento en el CRITERIO número 0001-15, aprobado por unanimidad del Pleno del Instituto de Transparencia, Acceso a la Información Pública y Protección de Datos Personales del Estado de México y Municipios, publicado en el Periódico Oficial del Estado de México “Gaceta del Gobierno”, el veintitrés de abril de dos mil quince, que establece:</w:t>
      </w:r>
    </w:p>
    <w:p w14:paraId="771F8718" w14:textId="77777777" w:rsidR="0061352F" w:rsidRPr="00756901" w:rsidRDefault="0061352F">
      <w:pPr>
        <w:spacing w:line="360" w:lineRule="auto"/>
        <w:jc w:val="both"/>
        <w:rPr>
          <w:i/>
          <w:sz w:val="22"/>
          <w:szCs w:val="22"/>
        </w:rPr>
      </w:pPr>
    </w:p>
    <w:p w14:paraId="0F8E8BDF" w14:textId="77777777" w:rsidR="0061352F" w:rsidRPr="00756901" w:rsidRDefault="00A905FB">
      <w:pPr>
        <w:ind w:left="567" w:right="616"/>
        <w:jc w:val="both"/>
        <w:rPr>
          <w:rFonts w:ascii="Palatino Linotype" w:eastAsia="Palatino Linotype" w:hAnsi="Palatino Linotype" w:cs="Palatino Linotype"/>
          <w:b/>
          <w:i/>
          <w:sz w:val="22"/>
          <w:szCs w:val="22"/>
        </w:rPr>
      </w:pPr>
      <w:r w:rsidRPr="00756901">
        <w:rPr>
          <w:rFonts w:ascii="Palatino Linotype" w:eastAsia="Palatino Linotype" w:hAnsi="Palatino Linotype" w:cs="Palatino Linotype"/>
          <w:i/>
          <w:sz w:val="22"/>
          <w:szCs w:val="22"/>
        </w:rPr>
        <w:t>“</w:t>
      </w:r>
      <w:r w:rsidRPr="00756901">
        <w:rPr>
          <w:rFonts w:ascii="Palatino Linotype" w:eastAsia="Palatino Linotype" w:hAnsi="Palatino Linotype" w:cs="Palatino Linotype"/>
          <w:b/>
          <w:i/>
          <w:sz w:val="22"/>
          <w:szCs w:val="22"/>
        </w:rPr>
        <w:t>CRITERIO 0001-15 NEGATIVA FICTA. PLAZO PARA INTERPONER EL RECURSO DE REVISIÓN TRATÁNDOSE DE</w:t>
      </w:r>
      <w:r w:rsidRPr="00756901">
        <w:rPr>
          <w:rFonts w:ascii="Palatino Linotype" w:eastAsia="Palatino Linotype" w:hAnsi="Palatino Linotype" w:cs="Palatino Linotype"/>
          <w:i/>
          <w:sz w:val="22"/>
          <w:szCs w:val="22"/>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A98B011" w14:textId="77777777" w:rsidR="0061352F" w:rsidRPr="00756901" w:rsidRDefault="0061352F">
      <w:pPr>
        <w:ind w:left="567" w:right="851"/>
        <w:jc w:val="both"/>
        <w:rPr>
          <w:rFonts w:ascii="Palatino Linotype" w:eastAsia="Palatino Linotype" w:hAnsi="Palatino Linotype" w:cs="Palatino Linotype"/>
          <w:i/>
          <w:sz w:val="22"/>
          <w:szCs w:val="22"/>
        </w:rPr>
      </w:pPr>
    </w:p>
    <w:p w14:paraId="7EA77601" w14:textId="77777777" w:rsidR="0061352F" w:rsidRPr="00756901" w:rsidRDefault="00A905FB">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Además,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756901">
        <w:rPr>
          <w:rFonts w:ascii="Palatino Linotype" w:eastAsia="Palatino Linotype" w:hAnsi="Palatino Linotype" w:cs="Palatino Linotype"/>
          <w:b/>
          <w:sz w:val="22"/>
          <w:szCs w:val="22"/>
        </w:rPr>
        <w:t>EL</w:t>
      </w:r>
      <w:r w:rsidRPr="00756901">
        <w:rPr>
          <w:rFonts w:ascii="Palatino Linotype" w:eastAsia="Palatino Linotype" w:hAnsi="Palatino Linotype" w:cs="Palatino Linotype"/>
          <w:sz w:val="22"/>
          <w:szCs w:val="22"/>
        </w:rPr>
        <w:t xml:space="preserve"> </w:t>
      </w:r>
      <w:r w:rsidRPr="00756901">
        <w:rPr>
          <w:rFonts w:ascii="Palatino Linotype" w:eastAsia="Palatino Linotype" w:hAnsi="Palatino Linotype" w:cs="Palatino Linotype"/>
          <w:b/>
          <w:sz w:val="22"/>
          <w:szCs w:val="22"/>
        </w:rPr>
        <w:t>SAIMEX</w:t>
      </w:r>
      <w:r w:rsidRPr="00756901">
        <w:rPr>
          <w:rFonts w:ascii="Palatino Linotype" w:eastAsia="Palatino Linotype" w:hAnsi="Palatino Linotype" w:cs="Palatino Linotype"/>
          <w:sz w:val="22"/>
          <w:szCs w:val="22"/>
        </w:rPr>
        <w:t>.</w:t>
      </w:r>
    </w:p>
    <w:p w14:paraId="796711E6" w14:textId="77777777" w:rsidR="0061352F" w:rsidRPr="00756901" w:rsidRDefault="0061352F">
      <w:pPr>
        <w:pBdr>
          <w:top w:val="nil"/>
          <w:left w:val="nil"/>
          <w:bottom w:val="nil"/>
          <w:right w:val="nil"/>
          <w:between w:val="nil"/>
        </w:pBdr>
        <w:spacing w:line="360" w:lineRule="auto"/>
        <w:ind w:right="-147"/>
        <w:jc w:val="both"/>
        <w:rPr>
          <w:rFonts w:ascii="Palatino Linotype" w:eastAsia="Palatino Linotype" w:hAnsi="Palatino Linotype" w:cs="Palatino Linotype"/>
          <w:sz w:val="22"/>
          <w:szCs w:val="22"/>
        </w:rPr>
      </w:pPr>
    </w:p>
    <w:p w14:paraId="0226A968"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Ahora bien, resulta procedente la interposición del recurso de revisión, según lo aducido por la parte </w:t>
      </w:r>
      <w:r w:rsidRPr="00756901">
        <w:rPr>
          <w:rFonts w:ascii="Palatino Linotype" w:eastAsia="Palatino Linotype" w:hAnsi="Palatino Linotype" w:cs="Palatino Linotype"/>
          <w:b/>
          <w:sz w:val="22"/>
          <w:szCs w:val="22"/>
        </w:rPr>
        <w:t>RECURRENTE</w:t>
      </w:r>
      <w:r w:rsidRPr="00756901">
        <w:rPr>
          <w:rFonts w:ascii="Palatino Linotype" w:eastAsia="Palatino Linotype" w:hAnsi="Palatino Linotype" w:cs="Palatino Linotype"/>
          <w:sz w:val="22"/>
          <w:szCs w:val="22"/>
        </w:rPr>
        <w:t>, en términos del artículo 179, fracción VII del ordenamiento legal de la materia, que a la letra dice:</w:t>
      </w:r>
    </w:p>
    <w:p w14:paraId="203DB035"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99DA849" w14:textId="77777777" w:rsidR="0061352F" w:rsidRPr="00756901" w:rsidRDefault="00A905FB">
      <w:pPr>
        <w:ind w:left="567" w:right="616"/>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i/>
          <w:sz w:val="22"/>
          <w:szCs w:val="22"/>
        </w:rPr>
        <w:t>“</w:t>
      </w:r>
      <w:r w:rsidRPr="00756901">
        <w:rPr>
          <w:rFonts w:ascii="Palatino Linotype" w:eastAsia="Palatino Linotype" w:hAnsi="Palatino Linotype" w:cs="Palatino Linotype"/>
          <w:b/>
          <w:sz w:val="22"/>
          <w:szCs w:val="22"/>
        </w:rPr>
        <w:t>Artículo 179.</w:t>
      </w:r>
      <w:r w:rsidRPr="00756901">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756901">
        <w:rPr>
          <w:rFonts w:ascii="Palatino Linotype" w:eastAsia="Palatino Linotype" w:hAnsi="Palatino Linotype" w:cs="Palatino Linotype"/>
          <w:sz w:val="22"/>
          <w:szCs w:val="22"/>
        </w:rPr>
        <w:t> </w:t>
      </w:r>
    </w:p>
    <w:p w14:paraId="304DF0DB" w14:textId="77777777" w:rsidR="0061352F" w:rsidRPr="00756901" w:rsidRDefault="00A905FB">
      <w:pPr>
        <w:ind w:left="567" w:right="616"/>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w:t>
      </w:r>
    </w:p>
    <w:p w14:paraId="391DD09C" w14:textId="77777777" w:rsidR="0061352F" w:rsidRPr="00756901" w:rsidRDefault="00A905FB">
      <w:pPr>
        <w:numPr>
          <w:ilvl w:val="0"/>
          <w:numId w:val="5"/>
        </w:numPr>
        <w:ind w:left="567" w:right="616" w:firstLine="0"/>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La falta de respuesta a una solicitud de acceso a la información…</w:t>
      </w:r>
    </w:p>
    <w:p w14:paraId="47D8BC59" w14:textId="77777777" w:rsidR="0061352F" w:rsidRPr="00756901" w:rsidRDefault="0061352F">
      <w:pPr>
        <w:spacing w:line="360" w:lineRule="auto"/>
        <w:ind w:right="1041"/>
        <w:jc w:val="both"/>
        <w:rPr>
          <w:rFonts w:ascii="Palatino Linotype" w:eastAsia="Palatino Linotype" w:hAnsi="Palatino Linotype" w:cs="Palatino Linotype"/>
          <w:i/>
          <w:sz w:val="22"/>
          <w:szCs w:val="22"/>
        </w:rPr>
      </w:pPr>
    </w:p>
    <w:p w14:paraId="60BE8DB4" w14:textId="77777777" w:rsidR="0061352F" w:rsidRPr="00756901" w:rsidRDefault="00A905FB">
      <w:pPr>
        <w:tabs>
          <w:tab w:val="left" w:pos="8647"/>
        </w:tabs>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Tercero. Materia de la revisión. </w:t>
      </w:r>
      <w:r w:rsidRPr="00756901">
        <w:rPr>
          <w:rFonts w:ascii="Palatino Linotype" w:eastAsia="Palatino Linotype" w:hAnsi="Palatino Linotype" w:cs="Palatino Linotype"/>
          <w:sz w:val="22"/>
          <w:szCs w:val="22"/>
        </w:rPr>
        <w:t xml:space="preserve">Este Organismo Garante procede del análisis de los agravios hechos valer por la parte </w:t>
      </w:r>
      <w:r w:rsidRPr="00756901">
        <w:rPr>
          <w:rFonts w:ascii="Palatino Linotype" w:eastAsia="Palatino Linotype" w:hAnsi="Palatino Linotype" w:cs="Palatino Linotype"/>
          <w:b/>
          <w:sz w:val="22"/>
          <w:szCs w:val="22"/>
        </w:rPr>
        <w:t>Recurrente</w:t>
      </w:r>
      <w:r w:rsidRPr="00756901">
        <w:rPr>
          <w:rFonts w:ascii="Palatino Linotype" w:eastAsia="Palatino Linotype" w:hAnsi="Palatino Linotype" w:cs="Palatino Linotype"/>
          <w:sz w:val="22"/>
          <w:szCs w:val="22"/>
        </w:rPr>
        <w:t xml:space="preserve">, a fin de determinar si se violenta en perjuicio de este, el derecho de acceso a la información previsto en la Constitución Política de los Estados Unidos Mexicanos y en la Constitución Política del Estado Libre y Soberano de México. </w:t>
      </w:r>
    </w:p>
    <w:p w14:paraId="094F1766" w14:textId="77777777" w:rsidR="0061352F" w:rsidRPr="00756901" w:rsidRDefault="0061352F">
      <w:pPr>
        <w:tabs>
          <w:tab w:val="left" w:pos="8647"/>
        </w:tabs>
        <w:spacing w:line="360" w:lineRule="auto"/>
        <w:jc w:val="both"/>
        <w:rPr>
          <w:rFonts w:ascii="Palatino Linotype" w:eastAsia="Palatino Linotype" w:hAnsi="Palatino Linotype" w:cs="Palatino Linotype"/>
          <w:sz w:val="22"/>
          <w:szCs w:val="22"/>
        </w:rPr>
      </w:pPr>
    </w:p>
    <w:p w14:paraId="3A4151D6"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Cuarto. Estudio del asunto. </w:t>
      </w:r>
      <w:r w:rsidRPr="00756901">
        <w:rPr>
          <w:rFonts w:ascii="Palatino Linotype" w:eastAsia="Palatino Linotype" w:hAnsi="Palatino Linotype" w:cs="Palatino Linotype"/>
          <w:sz w:val="22"/>
          <w:szCs w:val="22"/>
        </w:rPr>
        <w:t xml:space="preserve">Una vez determinada la vía sobre la que versará el presente recurso, y previa revisión del expediente del recurso de revisión materia de la presente resolución, se advierte que el </w:t>
      </w:r>
      <w:r w:rsidRPr="00756901">
        <w:rPr>
          <w:rFonts w:ascii="Palatino Linotype" w:eastAsia="Palatino Linotype" w:hAnsi="Palatino Linotype" w:cs="Palatino Linotype"/>
          <w:b/>
          <w:sz w:val="22"/>
          <w:szCs w:val="22"/>
        </w:rPr>
        <w:t xml:space="preserve">Sujeto Obligado </w:t>
      </w:r>
      <w:r w:rsidRPr="00756901">
        <w:rPr>
          <w:rFonts w:ascii="Palatino Linotype" w:eastAsia="Palatino Linotype" w:hAnsi="Palatino Linotype" w:cs="Palatino Linotype"/>
          <w:sz w:val="22"/>
          <w:szCs w:val="22"/>
        </w:rPr>
        <w:t xml:space="preserve">no dio respuesta a la solicitud de información planteada por la parte </w:t>
      </w:r>
      <w:r w:rsidRPr="00756901">
        <w:rPr>
          <w:rFonts w:ascii="Palatino Linotype" w:eastAsia="Palatino Linotype" w:hAnsi="Palatino Linotype" w:cs="Palatino Linotype"/>
          <w:b/>
          <w:sz w:val="22"/>
          <w:szCs w:val="22"/>
        </w:rPr>
        <w:t>Recurrente</w:t>
      </w:r>
      <w:r w:rsidRPr="00756901">
        <w:rPr>
          <w:rFonts w:ascii="Palatino Linotype" w:eastAsia="Palatino Linotype" w:hAnsi="Palatino Linotype" w:cs="Palatino Linotype"/>
          <w:sz w:val="22"/>
          <w:szCs w:val="22"/>
        </w:rPr>
        <w:t xml:space="preserve">, lo que se traduce como la configuración de la </w:t>
      </w:r>
      <w:r w:rsidRPr="00756901">
        <w:rPr>
          <w:rFonts w:ascii="Palatino Linotype" w:eastAsia="Palatino Linotype" w:hAnsi="Palatino Linotype" w:cs="Palatino Linotype"/>
          <w:b/>
          <w:sz w:val="22"/>
          <w:szCs w:val="22"/>
        </w:rPr>
        <w:t>negativa ficta</w:t>
      </w:r>
      <w:r w:rsidRPr="00756901">
        <w:rPr>
          <w:rFonts w:ascii="Palatino Linotype" w:eastAsia="Palatino Linotype" w:hAnsi="Palatino Linotype" w:cs="Palatino Linotype"/>
          <w:sz w:val="22"/>
          <w:szCs w:val="22"/>
        </w:rPr>
        <w:t xml:space="preserve">, situación que demuestra la existencia del acto impugnado y procedencia del motivo de inconformidad, que en términos generales consistente en que 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no emitió respuesta a la solicitud de información, dentro del plazo legal previsto para ello.</w:t>
      </w:r>
    </w:p>
    <w:p w14:paraId="76ED57E7"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0A523EF8"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Previo a exponer los argumentos que justifiquen la afirmación que antecede, es necesario precisar que, del análisis realizado a la solicitud formulada por la parte </w:t>
      </w:r>
      <w:r w:rsidRPr="00756901">
        <w:rPr>
          <w:rFonts w:ascii="Palatino Linotype" w:eastAsia="Palatino Linotype" w:hAnsi="Palatino Linotype" w:cs="Palatino Linotype"/>
          <w:b/>
          <w:sz w:val="22"/>
          <w:szCs w:val="22"/>
        </w:rPr>
        <w:t>Recurrente</w:t>
      </w:r>
      <w:r w:rsidRPr="00756901">
        <w:rPr>
          <w:rFonts w:ascii="Palatino Linotype" w:eastAsia="Palatino Linotype" w:hAnsi="Palatino Linotype" w:cs="Palatino Linotype"/>
          <w:sz w:val="22"/>
          <w:szCs w:val="22"/>
        </w:rPr>
        <w:t xml:space="preserve">, se advierte que requirió al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le proporcionara, información consistente en lo siguiente:</w:t>
      </w:r>
    </w:p>
    <w:p w14:paraId="104661ED" w14:textId="77777777" w:rsidR="0061352F" w:rsidRPr="00756901" w:rsidRDefault="00A905FB">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“Con fundamento en los artículos 6° de la Constitución Política de los Estados Unidos Mexicanos, 113 de la Ley General de Transparencia y Acceso a la Información Pública, y los correlativos de la Ley de Transparencia y Acceso a la Información Pública del Estado de México y Municipios, solicito se me informe y se me entreguen las copias solicitadas respecto de las solicitudes, emitidas por mi persona a través de la Plataforma Nacional de Transparencia y mismas que no han sido contestadas por el DIF ixtapaluca; los folios: 00004/IXTAPAL/IP/2025 00005/IXTAPAL/IP/2025 00006/IXTAPAL/IP/2025 00007/IXTAPAL/IP/2025 00008/IXTAPAL/IP/2025 00009/IXTAPAL/IP/2025 00010/IXTAPAL/IP/2025 Se confirme si la Unidad de Transparencia del DIF Ixtapaluca turnó dichas solicitudes a la Presidenta del DIF Municipal y/o a la Contralora Interna. En caso afirmativo, solicito copias simples de los oficios de turno dirigidos a la Presidenta y a la Contralora, con sus respectivos sellos de recibido, acuses o constancias de entrega, firmas y fechas, a fin de acreditar que ambas funcionarias estuvieron enteradas. Se informe si existe algún oficio, acuerdo, instrucción o indicación emitida por el Presidente Municipal o por la Presidenta del DIF de Ixtapaluca mediante el cual se haya ordenado, instruido o solicitado no dar contestación o no atender las solicitudes de información pública referidas. En su caso, solicito copia simple del oficio o documento, indicando número de oficio, fecha, dependencia emisora, fundamento legal invocado (si lo hay) y firma del servidor público competente. Aclaro que, en caso de que sólo existan los oficios de turno con sello de recibido (aunque no exista respuesta adicional), dichos documentos son suficientes para colmar mi derecho de acceso a la información, por lo que solicito se me entreguen exclusivamente esos documentos si no existe otra documentación complementaria.” (Sic)</w:t>
      </w:r>
    </w:p>
    <w:p w14:paraId="77276C8E" w14:textId="77777777" w:rsidR="0061352F" w:rsidRPr="00756901" w:rsidRDefault="0061352F">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3E7C6AEA"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Precisado lo anterior, se procede al análisis del presente recurso, así como al contenido íntegro de las actuaciones que obran en el expediente electrónico, para así estar en posibilidad este Organismo Garante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461E5911"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154BB4A6" w14:textId="77777777" w:rsidR="0061352F" w:rsidRPr="00756901" w:rsidRDefault="00A905FB">
      <w:pPr>
        <w:tabs>
          <w:tab w:val="left" w:pos="709"/>
        </w:tabs>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145E051F" w14:textId="77777777" w:rsidR="0061352F" w:rsidRPr="00756901" w:rsidRDefault="0061352F">
      <w:pPr>
        <w:tabs>
          <w:tab w:val="left" w:pos="709"/>
        </w:tabs>
        <w:spacing w:line="360" w:lineRule="auto"/>
        <w:jc w:val="both"/>
        <w:rPr>
          <w:rFonts w:ascii="Palatino Linotype" w:eastAsia="Palatino Linotype" w:hAnsi="Palatino Linotype" w:cs="Palatino Linotype"/>
          <w:sz w:val="22"/>
          <w:szCs w:val="22"/>
        </w:rPr>
      </w:pPr>
    </w:p>
    <w:p w14:paraId="75F72E4E" w14:textId="77777777" w:rsidR="0061352F" w:rsidRPr="00756901" w:rsidRDefault="00A905FB">
      <w:pPr>
        <w:tabs>
          <w:tab w:val="left" w:pos="709"/>
        </w:tabs>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756901">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26B86172" w14:textId="77777777" w:rsidR="0061352F" w:rsidRPr="00756901" w:rsidRDefault="00A905FB">
      <w:pPr>
        <w:tabs>
          <w:tab w:val="left" w:pos="709"/>
        </w:tabs>
        <w:spacing w:line="276" w:lineRule="auto"/>
        <w:ind w:left="567" w:right="851"/>
        <w:jc w:val="both"/>
        <w:rPr>
          <w:rFonts w:ascii="Palatino Linotype" w:eastAsia="Palatino Linotype" w:hAnsi="Palatino Linotype" w:cs="Palatino Linotype"/>
          <w:b/>
          <w:i/>
          <w:sz w:val="22"/>
          <w:szCs w:val="22"/>
        </w:rPr>
      </w:pPr>
      <w:r w:rsidRPr="00756901">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A7F16AD" w14:textId="77777777" w:rsidR="0061352F" w:rsidRPr="00756901" w:rsidRDefault="00A905FB">
      <w:pPr>
        <w:tabs>
          <w:tab w:val="left" w:pos="709"/>
        </w:tabs>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56901">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895B088" w14:textId="77777777" w:rsidR="0061352F" w:rsidRPr="00756901" w:rsidRDefault="00A905FB">
      <w:pPr>
        <w:tabs>
          <w:tab w:val="left" w:pos="709"/>
        </w:tabs>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w:t>
      </w:r>
    </w:p>
    <w:p w14:paraId="31A22866"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“Artículo 6o.</w:t>
      </w:r>
    </w:p>
    <w:p w14:paraId="34F4A679"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w:t>
      </w:r>
    </w:p>
    <w:p w14:paraId="28A34C7F"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A. Para el ejercicio del derecho de acceso a la información, la Federación y </w:t>
      </w:r>
      <w:r w:rsidRPr="00756901">
        <w:rPr>
          <w:rFonts w:ascii="Palatino Linotype" w:eastAsia="Palatino Linotype" w:hAnsi="Palatino Linotype" w:cs="Palatino Linotype"/>
          <w:b/>
          <w:i/>
          <w:sz w:val="22"/>
          <w:szCs w:val="22"/>
          <w:u w:val="single"/>
        </w:rPr>
        <w:t>las entidades federativas</w:t>
      </w:r>
      <w:r w:rsidRPr="00756901">
        <w:rPr>
          <w:rFonts w:ascii="Palatino Linotype" w:eastAsia="Palatino Linotype" w:hAnsi="Palatino Linotype" w:cs="Palatino Linotype"/>
          <w:b/>
          <w:i/>
          <w:sz w:val="22"/>
          <w:szCs w:val="22"/>
        </w:rPr>
        <w:t>,</w:t>
      </w:r>
      <w:r w:rsidRPr="00756901">
        <w:rPr>
          <w:rFonts w:ascii="Palatino Linotype" w:eastAsia="Palatino Linotype" w:hAnsi="Palatino Linotype" w:cs="Palatino Linotype"/>
          <w:i/>
          <w:sz w:val="22"/>
          <w:szCs w:val="22"/>
        </w:rPr>
        <w:t xml:space="preserve"> en el ámbito de sus respectivas competencias, se regirán por los siguientes principios y bases:</w:t>
      </w:r>
    </w:p>
    <w:p w14:paraId="1BBA6421"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 </w:t>
      </w:r>
      <w:r w:rsidRPr="00756901">
        <w:rPr>
          <w:rFonts w:ascii="Palatino Linotype" w:eastAsia="Palatino Linotype" w:hAnsi="Palatino Linotype" w:cs="Palatino Linotype"/>
          <w:b/>
          <w:i/>
          <w:sz w:val="22"/>
          <w:szCs w:val="22"/>
          <w:u w:val="single"/>
        </w:rPr>
        <w:t>Toda la información en posesión de cualquier autoridad, entidad, órgano y organismo de los Poderes</w:t>
      </w:r>
      <w:r w:rsidRPr="00756901">
        <w:rPr>
          <w:rFonts w:ascii="Palatino Linotype" w:eastAsia="Palatino Linotype" w:hAnsi="Palatino Linotype" w:cs="Palatino Linotype"/>
          <w:i/>
          <w:sz w:val="22"/>
          <w:szCs w:val="22"/>
        </w:rPr>
        <w:t xml:space="preserve"> Ejecutivo, Legislativo </w:t>
      </w:r>
      <w:r w:rsidRPr="00756901">
        <w:rPr>
          <w:rFonts w:ascii="Palatino Linotype" w:eastAsia="Palatino Linotype" w:hAnsi="Palatino Linotype" w:cs="Palatino Linotype"/>
          <w:b/>
          <w:i/>
          <w:sz w:val="22"/>
          <w:szCs w:val="22"/>
          <w:u w:val="single"/>
        </w:rPr>
        <w:t>y Judicial</w:t>
      </w:r>
      <w:r w:rsidRPr="00756901">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56901">
        <w:rPr>
          <w:rFonts w:ascii="Palatino Linotype" w:eastAsia="Palatino Linotype" w:hAnsi="Palatino Linotype" w:cs="Palatino Linotype"/>
          <w:b/>
          <w:i/>
          <w:sz w:val="22"/>
          <w:szCs w:val="22"/>
        </w:rPr>
        <w:t>es pública y sólo podrá ser reservada temporalmente por razones de interés público y seguridad nacional,</w:t>
      </w:r>
      <w:r w:rsidRPr="00756901">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89FFE1C" w14:textId="77777777" w:rsidR="0061352F" w:rsidRPr="00756901" w:rsidRDefault="00A905FB">
      <w:pPr>
        <w:spacing w:line="276" w:lineRule="auto"/>
        <w:ind w:left="567" w:right="851"/>
        <w:jc w:val="both"/>
        <w:rPr>
          <w:rFonts w:ascii="Palatino Linotype" w:eastAsia="Palatino Linotype" w:hAnsi="Palatino Linotype" w:cs="Palatino Linotype"/>
          <w:b/>
          <w:i/>
          <w:sz w:val="22"/>
          <w:szCs w:val="22"/>
        </w:rPr>
      </w:pPr>
      <w:r w:rsidRPr="00756901">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0CE453E3"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III. </w:t>
      </w:r>
      <w:r w:rsidRPr="00756901">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756901">
        <w:rPr>
          <w:rFonts w:ascii="Palatino Linotype" w:eastAsia="Palatino Linotype" w:hAnsi="Palatino Linotype" w:cs="Palatino Linotype"/>
          <w:i/>
          <w:sz w:val="22"/>
          <w:szCs w:val="22"/>
        </w:rPr>
        <w:t xml:space="preserve"> a sus datos personales o a la rectificación de éstos.</w:t>
      </w:r>
    </w:p>
    <w:p w14:paraId="2E72EB88"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IV. </w:t>
      </w:r>
      <w:r w:rsidRPr="00756901">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09C27F80"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V. </w:t>
      </w:r>
      <w:r w:rsidRPr="00756901">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05A202BB"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VI. </w:t>
      </w:r>
      <w:r w:rsidRPr="00756901">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334F805F" w14:textId="77777777" w:rsidR="0061352F" w:rsidRPr="00756901" w:rsidRDefault="00A905FB">
      <w:pPr>
        <w:spacing w:line="276" w:lineRule="auto"/>
        <w:ind w:left="567" w:right="851"/>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VII. </w:t>
      </w:r>
      <w:r w:rsidRPr="00756901">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w:t>
      </w:r>
    </w:p>
    <w:p w14:paraId="0BFC9E72" w14:textId="77777777" w:rsidR="0061352F" w:rsidRPr="00756901" w:rsidRDefault="0061352F">
      <w:pPr>
        <w:spacing w:line="360" w:lineRule="auto"/>
        <w:ind w:left="567" w:right="851"/>
        <w:jc w:val="both"/>
        <w:rPr>
          <w:rFonts w:ascii="Palatino Linotype" w:eastAsia="Palatino Linotype" w:hAnsi="Palatino Linotype" w:cs="Palatino Linotype"/>
          <w:i/>
          <w:sz w:val="22"/>
          <w:szCs w:val="22"/>
        </w:rPr>
      </w:pPr>
    </w:p>
    <w:p w14:paraId="75573E66" w14:textId="77777777" w:rsidR="0061352F" w:rsidRPr="00756901" w:rsidRDefault="00A905FB">
      <w:pPr>
        <w:tabs>
          <w:tab w:val="left" w:pos="709"/>
        </w:tabs>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Así, de la interpretación sistémica de los numerales inmersos en el instrumento legal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2F01B7BB" w14:textId="77777777" w:rsidR="0061352F" w:rsidRPr="00756901" w:rsidRDefault="0061352F">
      <w:pPr>
        <w:tabs>
          <w:tab w:val="left" w:pos="709"/>
        </w:tabs>
        <w:spacing w:line="360" w:lineRule="auto"/>
        <w:jc w:val="both"/>
        <w:rPr>
          <w:rFonts w:ascii="Palatino Linotype" w:eastAsia="Palatino Linotype" w:hAnsi="Palatino Linotype" w:cs="Palatino Linotype"/>
          <w:sz w:val="22"/>
          <w:szCs w:val="22"/>
        </w:rPr>
      </w:pPr>
    </w:p>
    <w:p w14:paraId="6FF25154"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En ese orden de ideas, la Ley de Transparencia y Acceso a la Información Pública del Estado de México y Municipios, prevé en su artículo 23, lo siguiente:</w:t>
      </w:r>
    </w:p>
    <w:p w14:paraId="3E26FFE6"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933E21C"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w:t>
      </w:r>
      <w:r w:rsidRPr="00756901">
        <w:rPr>
          <w:rFonts w:ascii="Palatino Linotype" w:eastAsia="Palatino Linotype" w:hAnsi="Palatino Linotype" w:cs="Palatino Linotype"/>
          <w:b/>
          <w:i/>
          <w:sz w:val="22"/>
          <w:szCs w:val="22"/>
        </w:rPr>
        <w:t>Artículo 23. Son sujetos obligados a transparentar y permitir el acceso a su información y proteger los datos personales que obren en su poder</w:t>
      </w:r>
      <w:r w:rsidRPr="00756901">
        <w:rPr>
          <w:rFonts w:ascii="Palatino Linotype" w:eastAsia="Palatino Linotype" w:hAnsi="Palatino Linotype" w:cs="Palatino Linotype"/>
          <w:i/>
          <w:sz w:val="22"/>
          <w:szCs w:val="22"/>
        </w:rPr>
        <w:t>:</w:t>
      </w:r>
    </w:p>
    <w:p w14:paraId="567637EB"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b/>
          <w:i/>
          <w:sz w:val="22"/>
          <w:szCs w:val="22"/>
        </w:rPr>
      </w:pPr>
      <w:r w:rsidRPr="00756901">
        <w:rPr>
          <w:rFonts w:ascii="Palatino Linotype" w:eastAsia="Palatino Linotype" w:hAnsi="Palatino Linotype" w:cs="Palatino Linotype"/>
          <w:b/>
          <w:i/>
          <w:sz w:val="22"/>
          <w:szCs w:val="22"/>
        </w:rPr>
        <w:t>I.</w:t>
      </w:r>
      <w:r w:rsidRPr="00756901">
        <w:rPr>
          <w:rFonts w:ascii="Palatino Linotype" w:eastAsia="Palatino Linotype" w:hAnsi="Palatino Linotype" w:cs="Palatino Linotype"/>
          <w:i/>
          <w:sz w:val="22"/>
          <w:szCs w:val="22"/>
        </w:rPr>
        <w:t xml:space="preserve"> El Poder Ejecutivo del Estado de México, las dependencias, organismos auxiliares,</w:t>
      </w:r>
      <w:r w:rsidRPr="00756901">
        <w:rPr>
          <w:rFonts w:ascii="Palatino Linotype" w:eastAsia="Palatino Linotype" w:hAnsi="Palatino Linotype" w:cs="Palatino Linotype"/>
          <w:b/>
          <w:i/>
          <w:sz w:val="22"/>
          <w:szCs w:val="22"/>
        </w:rPr>
        <w:t xml:space="preserve"> </w:t>
      </w:r>
      <w:r w:rsidRPr="00756901">
        <w:rPr>
          <w:rFonts w:ascii="Palatino Linotype" w:eastAsia="Palatino Linotype" w:hAnsi="Palatino Linotype" w:cs="Palatino Linotype"/>
          <w:i/>
          <w:sz w:val="22"/>
          <w:szCs w:val="22"/>
        </w:rPr>
        <w:t>órganos, entidades, fideicomisos y fondos públicos, así como la Procuraduría General de Justicia;</w:t>
      </w:r>
    </w:p>
    <w:p w14:paraId="104C1402"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II.</w:t>
      </w:r>
      <w:r w:rsidRPr="00756901">
        <w:rPr>
          <w:rFonts w:ascii="Palatino Linotype" w:eastAsia="Palatino Linotype" w:hAnsi="Palatino Linotype" w:cs="Palatino Linotype"/>
          <w:i/>
          <w:sz w:val="22"/>
          <w:szCs w:val="22"/>
        </w:rPr>
        <w:t xml:space="preserve"> El Poder Legislativo del Estado, los organismos, órganos y entidades de la Legislatura y sus dependencias;</w:t>
      </w:r>
    </w:p>
    <w:p w14:paraId="51A837D7"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III.</w:t>
      </w:r>
      <w:r w:rsidRPr="00756901">
        <w:rPr>
          <w:rFonts w:ascii="Palatino Linotype" w:eastAsia="Palatino Linotype" w:hAnsi="Palatino Linotype" w:cs="Palatino Linotype"/>
          <w:i/>
          <w:sz w:val="22"/>
          <w:szCs w:val="22"/>
        </w:rPr>
        <w:t xml:space="preserve"> El Poder Judicial, sus organismos, órganos y entidades, así como el Consejo de la Judicatura del Estado;</w:t>
      </w:r>
    </w:p>
    <w:p w14:paraId="3D7305E7"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b/>
          <w:i/>
          <w:sz w:val="22"/>
          <w:szCs w:val="22"/>
        </w:rPr>
      </w:pPr>
      <w:r w:rsidRPr="00756901">
        <w:rPr>
          <w:rFonts w:ascii="Palatino Linotype" w:eastAsia="Palatino Linotype" w:hAnsi="Palatino Linotype" w:cs="Palatino Linotype"/>
          <w:b/>
          <w:i/>
          <w:sz w:val="22"/>
          <w:szCs w:val="22"/>
        </w:rPr>
        <w:t>IV. Los ayuntamientos y las dependencias, organismos, órganos y entidades de la administración municipal;</w:t>
      </w:r>
    </w:p>
    <w:p w14:paraId="00B63DBF"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V.</w:t>
      </w:r>
      <w:r w:rsidRPr="00756901">
        <w:rPr>
          <w:rFonts w:ascii="Palatino Linotype" w:eastAsia="Palatino Linotype" w:hAnsi="Palatino Linotype" w:cs="Palatino Linotype"/>
          <w:i/>
          <w:sz w:val="22"/>
          <w:szCs w:val="22"/>
        </w:rPr>
        <w:t xml:space="preserve"> Los órganos autónomos;</w:t>
      </w:r>
    </w:p>
    <w:p w14:paraId="6A6B7F28"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VI.</w:t>
      </w:r>
      <w:r w:rsidRPr="00756901">
        <w:rPr>
          <w:rFonts w:ascii="Palatino Linotype" w:eastAsia="Palatino Linotype" w:hAnsi="Palatino Linotype" w:cs="Palatino Linotype"/>
          <w:i/>
          <w:sz w:val="22"/>
          <w:szCs w:val="22"/>
        </w:rPr>
        <w:t xml:space="preserve"> Los tribunales administrativos y autoridades jurisdiccionales en materia laboral;</w:t>
      </w:r>
    </w:p>
    <w:p w14:paraId="38FA1945"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VII.</w:t>
      </w:r>
      <w:r w:rsidRPr="00756901">
        <w:rPr>
          <w:rFonts w:ascii="Palatino Linotype" w:eastAsia="Palatino Linotype" w:hAnsi="Palatino Linotype" w:cs="Palatino Linotype"/>
          <w:i/>
          <w:sz w:val="22"/>
          <w:szCs w:val="22"/>
        </w:rPr>
        <w:t xml:space="preserve"> Los partidos políticos y agrupaciones políticas, en los términos de las disposiciones aplicables;</w:t>
      </w:r>
    </w:p>
    <w:p w14:paraId="6DA8350B"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VIII.</w:t>
      </w:r>
      <w:r w:rsidRPr="00756901">
        <w:rPr>
          <w:rFonts w:ascii="Palatino Linotype" w:eastAsia="Palatino Linotype" w:hAnsi="Palatino Linotype" w:cs="Palatino Linotype"/>
          <w:i/>
          <w:sz w:val="22"/>
          <w:szCs w:val="22"/>
        </w:rPr>
        <w:t xml:space="preserve"> Los fideicomisos y fondos públicos que cuenten con financiamiento público, parcial o total, o con participación de entidades de gobierno;</w:t>
      </w:r>
    </w:p>
    <w:p w14:paraId="6907E40D"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IX.</w:t>
      </w:r>
      <w:r w:rsidRPr="00756901">
        <w:rPr>
          <w:rFonts w:ascii="Palatino Linotype" w:eastAsia="Palatino Linotype" w:hAnsi="Palatino Linotype" w:cs="Palatino Linotype"/>
          <w:i/>
          <w:sz w:val="22"/>
          <w:szCs w:val="22"/>
        </w:rPr>
        <w:t xml:space="preserve"> Los sindicatos que reciban y/o ejerzan recursos públicos en el ámbito estatal y municipal;</w:t>
      </w:r>
    </w:p>
    <w:p w14:paraId="6EC4A6B4"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X.</w:t>
      </w:r>
      <w:r w:rsidRPr="00756901">
        <w:rPr>
          <w:rFonts w:ascii="Palatino Linotype" w:eastAsia="Palatino Linotype" w:hAnsi="Palatino Linotype" w:cs="Palatino Linotype"/>
          <w:i/>
          <w:sz w:val="22"/>
          <w:szCs w:val="22"/>
        </w:rPr>
        <w:t xml:space="preserve"> Cualquier persona física o jurídico colectiva que reciba y ejerza recursos públicos en el ámbito estatal o municipal; y</w:t>
      </w:r>
    </w:p>
    <w:p w14:paraId="093C3B62"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XI.</w:t>
      </w:r>
      <w:r w:rsidRPr="00756901">
        <w:rPr>
          <w:rFonts w:ascii="Palatino Linotype" w:eastAsia="Palatino Linotype" w:hAnsi="Palatino Linotype" w:cs="Palatino Linotype"/>
          <w:i/>
          <w:sz w:val="22"/>
          <w:szCs w:val="22"/>
        </w:rPr>
        <w:t xml:space="preserve"> Cualquier otra autoridad, entidad, órgano u organismo de los poderes estatal o municipal, que reciba recursos públicos.</w:t>
      </w:r>
    </w:p>
    <w:p w14:paraId="66BED8F8"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42968F0A" w14:textId="77777777" w:rsidR="0061352F" w:rsidRPr="00756901" w:rsidRDefault="00A905FB">
      <w:pPr>
        <w:tabs>
          <w:tab w:val="left" w:pos="7655"/>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Los servidores públicos deberán transparentar sus acciones, así como garantizar y respetar el derecho de acceso a la información pública</w:t>
      </w:r>
      <w:r w:rsidRPr="00756901">
        <w:rPr>
          <w:rFonts w:ascii="Palatino Linotype" w:eastAsia="Palatino Linotype" w:hAnsi="Palatino Linotype" w:cs="Palatino Linotype"/>
          <w:i/>
          <w:sz w:val="22"/>
          <w:szCs w:val="22"/>
        </w:rPr>
        <w:t>.”</w:t>
      </w:r>
    </w:p>
    <w:p w14:paraId="24FA5085"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31EFC8A5"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56F142F9"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00A32CEB"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EFEDA69"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620DB9F9" w14:textId="77777777" w:rsidR="0061352F" w:rsidRPr="00756901" w:rsidRDefault="00A905FB">
      <w:pPr>
        <w:widowControl w:val="0"/>
        <w:tabs>
          <w:tab w:val="left" w:pos="1276"/>
        </w:tabs>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Pública del Estado de México y Municipios.</w:t>
      </w:r>
    </w:p>
    <w:p w14:paraId="43A463E7" w14:textId="77777777" w:rsidR="0061352F" w:rsidRPr="00756901" w:rsidRDefault="0061352F">
      <w:pPr>
        <w:widowControl w:val="0"/>
        <w:tabs>
          <w:tab w:val="left" w:pos="1276"/>
        </w:tabs>
        <w:spacing w:line="360" w:lineRule="auto"/>
        <w:jc w:val="both"/>
        <w:rPr>
          <w:rFonts w:ascii="Palatino Linotype" w:eastAsia="Palatino Linotype" w:hAnsi="Palatino Linotype" w:cs="Palatino Linotype"/>
          <w:sz w:val="22"/>
          <w:szCs w:val="22"/>
        </w:rPr>
      </w:pPr>
    </w:p>
    <w:p w14:paraId="1499805E" w14:textId="77777777" w:rsidR="0061352F" w:rsidRPr="00756901" w:rsidRDefault="00A905FB">
      <w:pPr>
        <w:widowControl w:val="0"/>
        <w:tabs>
          <w:tab w:val="left" w:pos="1276"/>
        </w:tabs>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FDE5BC1"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072F17F"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Asimismo, el diverso artículo 54 de la Ley de Transparencia y Acceso a la Información Pública del Estado de México y Municipios establece que cuando alguna área de los Sujetos Obligados se negara a colaborar con la Unidad de Transparencia, ésta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04A7950B"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2C0D7CDF" w14:textId="77777777" w:rsidR="0061352F" w:rsidRPr="00756901" w:rsidRDefault="00A905FB">
      <w:pPr>
        <w:widowControl w:val="0"/>
        <w:tabs>
          <w:tab w:val="left" w:pos="1276"/>
        </w:tabs>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1C7C417E" w14:textId="77777777" w:rsidR="0061352F" w:rsidRPr="00756901" w:rsidRDefault="0061352F">
      <w:pPr>
        <w:widowControl w:val="0"/>
        <w:tabs>
          <w:tab w:val="left" w:pos="1276"/>
        </w:tabs>
        <w:spacing w:line="360" w:lineRule="auto"/>
        <w:jc w:val="both"/>
        <w:rPr>
          <w:rFonts w:ascii="Palatino Linotype" w:eastAsia="Palatino Linotype" w:hAnsi="Palatino Linotype" w:cs="Palatino Linotype"/>
          <w:sz w:val="22"/>
          <w:szCs w:val="22"/>
        </w:rPr>
      </w:pPr>
    </w:p>
    <w:p w14:paraId="65E94761"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teniendo como excepción al plazo referido, una prórroga de hasta siete días hábiles adicionales, siempre y cuando existan razones fundadas y motivadas, las cuales deberán ser aprobadas por el Comité de Transparencia. Situación que en la especie no aconteció. </w:t>
      </w:r>
    </w:p>
    <w:p w14:paraId="41642E74"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3B56E64B"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Sirve de sustento a lo anterior, el precepto legal en cita:</w:t>
      </w:r>
    </w:p>
    <w:p w14:paraId="0FCD9009"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5C1B5301" w14:textId="77777777" w:rsidR="0061352F" w:rsidRPr="00756901" w:rsidRDefault="00A905FB">
      <w:pPr>
        <w:spacing w:line="276" w:lineRule="auto"/>
        <w:ind w:left="567" w:right="902"/>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w:t>
      </w:r>
      <w:r w:rsidRPr="00756901">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756901">
        <w:rPr>
          <w:rFonts w:ascii="Palatino Linotype" w:eastAsia="Palatino Linotype" w:hAnsi="Palatino Linotype" w:cs="Palatino Linotype"/>
          <w:i/>
          <w:sz w:val="22"/>
          <w:szCs w:val="22"/>
        </w:rPr>
        <w:t xml:space="preserve">, contados a partir del día siguiente a la presentación de aquélla. </w:t>
      </w:r>
    </w:p>
    <w:p w14:paraId="1F4C2DE0" w14:textId="77777777" w:rsidR="0061352F" w:rsidRPr="00756901" w:rsidRDefault="00A905FB">
      <w:pPr>
        <w:spacing w:line="276" w:lineRule="auto"/>
        <w:ind w:left="567" w:right="902"/>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48889C0D" w14:textId="77777777" w:rsidR="0061352F" w:rsidRPr="00756901" w:rsidRDefault="0061352F">
      <w:pPr>
        <w:spacing w:line="360" w:lineRule="auto"/>
        <w:ind w:left="851" w:right="902"/>
        <w:jc w:val="both"/>
        <w:rPr>
          <w:rFonts w:ascii="Palatino Linotype" w:eastAsia="Palatino Linotype" w:hAnsi="Palatino Linotype" w:cs="Palatino Linotype"/>
          <w:i/>
          <w:sz w:val="22"/>
          <w:szCs w:val="22"/>
        </w:rPr>
      </w:pPr>
    </w:p>
    <w:p w14:paraId="3BD788F9"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En mérito de lo expuesto, es claro que en este caso 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incumplió la normativa en la materia, puesto que no dio trámite ni respuesta a la solicitud de acceso a la información, limitando el derecho de acceso a la información, accionado por la persona solicitante.</w:t>
      </w:r>
    </w:p>
    <w:p w14:paraId="56AE81A9"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FB11BFD"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Consecuentemente, este Instituto estima necesario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14:paraId="488BB2D1"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w:t>
      </w:r>
      <w:r w:rsidRPr="00756901">
        <w:rPr>
          <w:rFonts w:ascii="Palatino Linotype" w:eastAsia="Palatino Linotype" w:hAnsi="Palatino Linotype" w:cs="Palatino Linotype"/>
          <w:b/>
          <w:sz w:val="22"/>
          <w:szCs w:val="22"/>
        </w:rPr>
        <w:t>el Sujeto Obligado</w:t>
      </w:r>
      <w:r w:rsidRPr="00756901">
        <w:rPr>
          <w:rFonts w:ascii="Palatino Linotype" w:eastAsia="Palatino Linotype" w:hAnsi="Palatino Linotype" w:cs="Palatino Linotype"/>
          <w:sz w:val="22"/>
          <w:szCs w:val="22"/>
        </w:rPr>
        <w:t>; por lo que, en caso de no atender de manera positiva</w:t>
      </w:r>
      <w:r w:rsidRPr="00756901">
        <w:rPr>
          <w:rFonts w:ascii="Palatino Linotype" w:eastAsia="Palatino Linotype" w:hAnsi="Palatino Linotype" w:cs="Palatino Linotype"/>
          <w:sz w:val="22"/>
          <w:szCs w:val="22"/>
          <w:vertAlign w:val="superscript"/>
        </w:rPr>
        <w:footnoteReference w:id="2"/>
      </w:r>
      <w:r w:rsidRPr="00756901">
        <w:rPr>
          <w:rFonts w:ascii="Palatino Linotype" w:eastAsia="Palatino Linotype" w:hAnsi="Palatino Linotype" w:cs="Palatino Linotype"/>
          <w:sz w:val="22"/>
          <w:szCs w:val="22"/>
        </w:rPr>
        <w:t>, el requerimiento de información deberá manifestarse al respecto.</w:t>
      </w:r>
    </w:p>
    <w:p w14:paraId="3257EA25"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1BE6EB2" w14:textId="77777777" w:rsidR="0061352F" w:rsidRPr="00756901" w:rsidRDefault="00A905F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756901">
        <w:rPr>
          <w:rFonts w:ascii="Palatino Linotype" w:eastAsia="Palatino Linotype" w:hAnsi="Palatino Linotype" w:cs="Palatino Linotype"/>
          <w:b/>
          <w:sz w:val="22"/>
          <w:szCs w:val="22"/>
        </w:rPr>
        <w:t>De la clasificación de la información.</w:t>
      </w:r>
    </w:p>
    <w:p w14:paraId="31A99A07" w14:textId="77777777" w:rsidR="0061352F" w:rsidRPr="00756901" w:rsidRDefault="0061352F">
      <w:pPr>
        <w:pBdr>
          <w:top w:val="nil"/>
          <w:left w:val="nil"/>
          <w:bottom w:val="nil"/>
          <w:right w:val="nil"/>
          <w:between w:val="nil"/>
        </w:pBdr>
        <w:spacing w:line="360" w:lineRule="auto"/>
        <w:ind w:left="720"/>
        <w:jc w:val="both"/>
        <w:rPr>
          <w:rFonts w:ascii="Palatino Linotype" w:eastAsia="Palatino Linotype" w:hAnsi="Palatino Linotype" w:cs="Palatino Linotype"/>
          <w:b/>
          <w:sz w:val="22"/>
          <w:szCs w:val="22"/>
        </w:rPr>
      </w:pPr>
    </w:p>
    <w:p w14:paraId="5286BFA8" w14:textId="77777777" w:rsidR="0061352F" w:rsidRPr="00756901" w:rsidRDefault="00A905FB">
      <w:pPr>
        <w:spacing w:line="360" w:lineRule="auto"/>
        <w:ind w:right="5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Ahora bien, en atención al sentido en que se resuelve el presente medio de impugnación, este Organismo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167363F4" w14:textId="77777777" w:rsidR="0061352F" w:rsidRPr="00756901" w:rsidRDefault="0061352F">
      <w:pPr>
        <w:spacing w:line="360" w:lineRule="auto"/>
        <w:ind w:right="51"/>
        <w:jc w:val="both"/>
        <w:rPr>
          <w:rFonts w:ascii="Palatino Linotype" w:eastAsia="Palatino Linotype" w:hAnsi="Palatino Linotype" w:cs="Palatino Linotype"/>
          <w:sz w:val="22"/>
          <w:szCs w:val="22"/>
        </w:rPr>
      </w:pPr>
    </w:p>
    <w:p w14:paraId="63CE4BE6" w14:textId="77777777" w:rsidR="0061352F" w:rsidRPr="00756901" w:rsidRDefault="00A905FB">
      <w:pPr>
        <w:spacing w:line="276" w:lineRule="auto"/>
        <w:ind w:left="851" w:right="900"/>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“Artículo 91. </w:t>
      </w:r>
      <w:r w:rsidRPr="00756901">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C42A299" w14:textId="77777777" w:rsidR="0061352F" w:rsidRPr="00756901" w:rsidRDefault="0061352F">
      <w:pPr>
        <w:spacing w:line="360" w:lineRule="auto"/>
        <w:ind w:left="851" w:right="900"/>
        <w:jc w:val="both"/>
        <w:rPr>
          <w:rFonts w:ascii="Palatino Linotype" w:eastAsia="Palatino Linotype" w:hAnsi="Palatino Linotype" w:cs="Palatino Linotype"/>
          <w:i/>
          <w:sz w:val="22"/>
          <w:szCs w:val="22"/>
        </w:rPr>
      </w:pPr>
    </w:p>
    <w:p w14:paraId="2364C4F0"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sujetos de derecho internacional o a Sujetos Obligados cuando no involucren el ejercicio de recursos públicos, así como la información privada contenida en documentos públicos o privados que refiera a la vida privada y/o los datos personales, que no son de acceso público. </w:t>
      </w:r>
    </w:p>
    <w:p w14:paraId="6BE400AE"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De manera que, la Ley de Transparencia y Acceso a la Información Pública del Estado de México y Municipios, en sus artículos 140 y 143 prevé los siguientes supuestos para clasificar la información como reservada o confidencial:</w:t>
      </w:r>
    </w:p>
    <w:p w14:paraId="24FAF6B8" w14:textId="77777777" w:rsidR="0061352F" w:rsidRPr="00756901" w:rsidRDefault="0061352F">
      <w:pPr>
        <w:tabs>
          <w:tab w:val="left" w:pos="567"/>
        </w:tabs>
        <w:spacing w:line="276" w:lineRule="auto"/>
        <w:ind w:left="567" w:right="616"/>
        <w:jc w:val="both"/>
        <w:rPr>
          <w:rFonts w:ascii="Palatino Linotype" w:eastAsia="Palatino Linotype" w:hAnsi="Palatino Linotype" w:cs="Palatino Linotype"/>
          <w:sz w:val="22"/>
          <w:szCs w:val="22"/>
        </w:rPr>
      </w:pPr>
    </w:p>
    <w:p w14:paraId="4AD7ACB6"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“Artículo 140. </w:t>
      </w:r>
      <w:r w:rsidRPr="00756901">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4F09A0FA"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 </w:t>
      </w:r>
      <w:r w:rsidRPr="00756901">
        <w:rPr>
          <w:rFonts w:ascii="Palatino Linotype" w:eastAsia="Palatino Linotype" w:hAnsi="Palatino Linotype" w:cs="Palatino Linotype"/>
          <w:i/>
          <w:sz w:val="22"/>
          <w:szCs w:val="22"/>
        </w:rPr>
        <w:t>Comprometa la seguridad pública y cuente con un propósito genuino y un efecto demostrable;</w:t>
      </w:r>
    </w:p>
    <w:p w14:paraId="3F716F03"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II. </w:t>
      </w:r>
      <w:r w:rsidRPr="00756901">
        <w:rPr>
          <w:rFonts w:ascii="Palatino Linotype" w:eastAsia="Palatino Linotype" w:hAnsi="Palatino Linotype" w:cs="Palatino Linotype"/>
          <w:i/>
          <w:sz w:val="22"/>
          <w:szCs w:val="22"/>
        </w:rPr>
        <w:t>Pueda menoscabar la conducción de las negociaciones y relaciones internacionales;</w:t>
      </w:r>
    </w:p>
    <w:p w14:paraId="7DBC97E8"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III. </w:t>
      </w:r>
      <w:r w:rsidRPr="00756901">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471CACF8"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IV. </w:t>
      </w:r>
      <w:r w:rsidRPr="00756901">
        <w:rPr>
          <w:rFonts w:ascii="Palatino Linotype" w:eastAsia="Palatino Linotype" w:hAnsi="Palatino Linotype" w:cs="Palatino Linotype"/>
          <w:i/>
          <w:sz w:val="22"/>
          <w:szCs w:val="22"/>
        </w:rPr>
        <w:t>Ponga en riesgo la vida, la seguridad o la salud de una persona física;</w:t>
      </w:r>
    </w:p>
    <w:p w14:paraId="32249284"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V. </w:t>
      </w:r>
      <w:r w:rsidRPr="00756901">
        <w:rPr>
          <w:rFonts w:ascii="Palatino Linotype" w:eastAsia="Palatino Linotype" w:hAnsi="Palatino Linotype" w:cs="Palatino Linotype"/>
          <w:i/>
          <w:sz w:val="22"/>
          <w:szCs w:val="22"/>
        </w:rPr>
        <w:t>Aquella cuya divulgación obstruya o pueda causar un serio perjuicio a:</w:t>
      </w:r>
    </w:p>
    <w:p w14:paraId="4015A56C"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1. </w:t>
      </w:r>
      <w:r w:rsidRPr="00756901">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1978076A"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2. </w:t>
      </w:r>
      <w:r w:rsidRPr="00756901">
        <w:rPr>
          <w:rFonts w:ascii="Palatino Linotype" w:eastAsia="Palatino Linotype" w:hAnsi="Palatino Linotype" w:cs="Palatino Linotype"/>
          <w:i/>
          <w:sz w:val="22"/>
          <w:szCs w:val="22"/>
        </w:rPr>
        <w:t>La recaudación de las contribuciones.</w:t>
      </w:r>
    </w:p>
    <w:p w14:paraId="2CC1258E"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VI. </w:t>
      </w:r>
      <w:r w:rsidRPr="00756901">
        <w:rPr>
          <w:rFonts w:ascii="Palatino Linotype" w:eastAsia="Palatino Linotype" w:hAnsi="Palatino Linotype" w:cs="Palatino Linotype"/>
          <w:i/>
          <w:sz w:val="22"/>
          <w:szCs w:val="22"/>
        </w:rPr>
        <w:t>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8CA8D55"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VII. </w:t>
      </w:r>
      <w:r w:rsidRPr="00756901">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5D9CBA10"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VIII</w:t>
      </w:r>
      <w:r w:rsidRPr="00756901">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756901">
        <w:rPr>
          <w:rFonts w:ascii="Palatino Linotype" w:eastAsia="Palatino Linotype" w:hAnsi="Palatino Linotype" w:cs="Palatino Linotype"/>
          <w:b/>
          <w:i/>
          <w:sz w:val="22"/>
          <w:szCs w:val="22"/>
        </w:rPr>
        <w:t>;</w:t>
      </w:r>
    </w:p>
    <w:p w14:paraId="609ADCE4"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IX. </w:t>
      </w:r>
      <w:r w:rsidRPr="00756901">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3018F1F1"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X. </w:t>
      </w:r>
      <w:r w:rsidRPr="00756901">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48067F98"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3C59CA47"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XI. </w:t>
      </w:r>
      <w:r w:rsidRPr="00756901">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5BB1DA63"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w:t>
      </w:r>
    </w:p>
    <w:p w14:paraId="5113E493"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Artículo 143. </w:t>
      </w:r>
      <w:r w:rsidRPr="00756901">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0334C8BA"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 </w:t>
      </w:r>
      <w:r w:rsidRPr="00756901">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1B053B93"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II. </w:t>
      </w:r>
      <w:r w:rsidRPr="00756901">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32CB2C21"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III. </w:t>
      </w:r>
      <w:r w:rsidRPr="00756901">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3768C189"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48D56C8D" w14:textId="77777777" w:rsidR="0061352F" w:rsidRPr="00756901" w:rsidRDefault="00A905FB">
      <w:pPr>
        <w:tabs>
          <w:tab w:val="left" w:pos="567"/>
        </w:tabs>
        <w:spacing w:line="276" w:lineRule="auto"/>
        <w:ind w:left="567" w:right="616"/>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3EB23783" w14:textId="77777777" w:rsidR="0061352F" w:rsidRPr="00756901" w:rsidRDefault="0061352F">
      <w:pPr>
        <w:tabs>
          <w:tab w:val="left" w:pos="567"/>
        </w:tabs>
        <w:spacing w:line="276" w:lineRule="auto"/>
        <w:ind w:left="567" w:right="616"/>
        <w:jc w:val="both"/>
        <w:rPr>
          <w:rFonts w:ascii="Palatino Linotype" w:eastAsia="Palatino Linotype" w:hAnsi="Palatino Linotype" w:cs="Palatino Linotype"/>
          <w:i/>
          <w:sz w:val="22"/>
          <w:szCs w:val="22"/>
        </w:rPr>
      </w:pPr>
    </w:p>
    <w:p w14:paraId="560871B5"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CFF13C8"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00A6B022" w14:textId="77777777" w:rsidR="0061352F" w:rsidRPr="00756901" w:rsidRDefault="00A905F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Se reciba una solicitud de acceso a la información;</w:t>
      </w:r>
    </w:p>
    <w:p w14:paraId="15BFBEFA" w14:textId="77777777" w:rsidR="0061352F" w:rsidRPr="00756901" w:rsidRDefault="00A905F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Se determine mediante resolución de autoridad competente; y/o</w:t>
      </w:r>
    </w:p>
    <w:p w14:paraId="780E4041" w14:textId="77777777" w:rsidR="0061352F" w:rsidRPr="00756901" w:rsidRDefault="00A905FB">
      <w:pPr>
        <w:numPr>
          <w:ilvl w:val="0"/>
          <w:numId w:val="2"/>
        </w:numPr>
        <w:tabs>
          <w:tab w:val="left" w:pos="851"/>
        </w:tabs>
        <w:spacing w:line="360" w:lineRule="auto"/>
        <w:ind w:left="567" w:firstLine="0"/>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Se generen versiones públicas para dar cumplimiento a las obligaciones de transparencia previstas en la Ley.</w:t>
      </w:r>
    </w:p>
    <w:p w14:paraId="55C3F53C" w14:textId="77777777" w:rsidR="0061352F" w:rsidRPr="00756901" w:rsidRDefault="0061352F">
      <w:pPr>
        <w:tabs>
          <w:tab w:val="left" w:pos="851"/>
        </w:tabs>
        <w:spacing w:line="360" w:lineRule="auto"/>
        <w:ind w:left="567"/>
        <w:jc w:val="both"/>
        <w:rPr>
          <w:rFonts w:ascii="Palatino Linotype" w:eastAsia="Palatino Linotype" w:hAnsi="Palatino Linotype" w:cs="Palatino Linotype"/>
          <w:sz w:val="22"/>
          <w:szCs w:val="22"/>
        </w:rPr>
      </w:pPr>
    </w:p>
    <w:p w14:paraId="59A3EB84" w14:textId="77777777" w:rsidR="0061352F" w:rsidRPr="00756901" w:rsidRDefault="00A905FB">
      <w:pPr>
        <w:spacing w:line="360" w:lineRule="auto"/>
        <w:ind w:right="5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En ese sentido, es de precisar que la clasificación de la información no se da por el simple mandato de la Ley, sino que es necesario que 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teniendo el deber los primeros de ellos de presentar ante la Unidad de Transparencia la propuesta de la clasificación de la información, para que luego esta se presente ante al Comité de Transparencia de así resultar procedente el proyecto de clasificación de la información y que finalmente sea este último quien apruebe, modifique o revoque la misma, como se desprende de los artículos 59 fracción V</w:t>
      </w:r>
      <w:r w:rsidRPr="00756901">
        <w:rPr>
          <w:rFonts w:ascii="Palatino Linotype" w:eastAsia="Palatino Linotype" w:hAnsi="Palatino Linotype" w:cs="Palatino Linotype"/>
          <w:sz w:val="22"/>
          <w:szCs w:val="22"/>
          <w:vertAlign w:val="superscript"/>
        </w:rPr>
        <w:footnoteReference w:id="3"/>
      </w:r>
      <w:r w:rsidRPr="00756901">
        <w:rPr>
          <w:rFonts w:ascii="Palatino Linotype" w:eastAsia="Palatino Linotype" w:hAnsi="Palatino Linotype" w:cs="Palatino Linotype"/>
          <w:sz w:val="22"/>
          <w:szCs w:val="22"/>
        </w:rPr>
        <w:t>, 53 fracción X</w:t>
      </w:r>
      <w:r w:rsidRPr="00756901">
        <w:rPr>
          <w:rFonts w:ascii="Palatino Linotype" w:eastAsia="Palatino Linotype" w:hAnsi="Palatino Linotype" w:cs="Palatino Linotype"/>
          <w:sz w:val="22"/>
          <w:szCs w:val="22"/>
          <w:vertAlign w:val="superscript"/>
        </w:rPr>
        <w:footnoteReference w:id="4"/>
      </w:r>
      <w:r w:rsidRPr="00756901">
        <w:rPr>
          <w:rFonts w:ascii="Palatino Linotype" w:eastAsia="Palatino Linotype" w:hAnsi="Palatino Linotype" w:cs="Palatino Linotype"/>
          <w:sz w:val="22"/>
          <w:szCs w:val="22"/>
        </w:rPr>
        <w:t>, y 49 fracciones II y VIII</w:t>
      </w:r>
      <w:r w:rsidRPr="00756901">
        <w:rPr>
          <w:rFonts w:ascii="Palatino Linotype" w:eastAsia="Palatino Linotype" w:hAnsi="Palatino Linotype" w:cs="Palatino Linotype"/>
          <w:sz w:val="22"/>
          <w:szCs w:val="22"/>
          <w:vertAlign w:val="superscript"/>
        </w:rPr>
        <w:footnoteReference w:id="5"/>
      </w:r>
      <w:r w:rsidRPr="00756901">
        <w:rPr>
          <w:rFonts w:ascii="Palatino Linotype" w:eastAsia="Palatino Linotype" w:hAnsi="Palatino Linotype" w:cs="Palatino Linotype"/>
          <w:sz w:val="22"/>
          <w:szCs w:val="22"/>
        </w:rPr>
        <w:t xml:space="preserve"> de la Ley de Transparencia y Acceso a la Información Pública del Estado de México y Municipios.</w:t>
      </w:r>
    </w:p>
    <w:p w14:paraId="008F164D" w14:textId="77777777" w:rsidR="0061352F" w:rsidRPr="00756901" w:rsidRDefault="0061352F">
      <w:pPr>
        <w:spacing w:line="360" w:lineRule="auto"/>
        <w:ind w:right="51"/>
        <w:jc w:val="both"/>
        <w:rPr>
          <w:rFonts w:ascii="Palatino Linotype" w:eastAsia="Palatino Linotype" w:hAnsi="Palatino Linotype" w:cs="Palatino Linotype"/>
          <w:sz w:val="22"/>
          <w:szCs w:val="22"/>
        </w:rPr>
      </w:pPr>
    </w:p>
    <w:p w14:paraId="0C57384E"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Bajo tales consideraciones, este Organismo Garante no omite señalar que, si 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advierte que la información solicitada contiene </w:t>
      </w:r>
      <w:r w:rsidRPr="00756901">
        <w:rPr>
          <w:rFonts w:ascii="Palatino Linotype" w:eastAsia="Palatino Linotype" w:hAnsi="Palatino Linotype" w:cs="Palatino Linotype"/>
          <w:b/>
          <w:sz w:val="22"/>
          <w:szCs w:val="22"/>
        </w:rPr>
        <w:t>datos personales</w:t>
      </w:r>
      <w:r w:rsidRPr="00756901">
        <w:rPr>
          <w:rFonts w:ascii="Palatino Linotype" w:eastAsia="Palatino Linotype" w:hAnsi="Palatino Linotype" w:cs="Palatino Linotype"/>
          <w:sz w:val="22"/>
          <w:szCs w:val="22"/>
        </w:rPr>
        <w:t xml:space="preserve"> que sean susceptibles de ser </w:t>
      </w:r>
      <w:r w:rsidRPr="00756901">
        <w:rPr>
          <w:rFonts w:ascii="Palatino Linotype" w:eastAsia="Palatino Linotype" w:hAnsi="Palatino Linotype" w:cs="Palatino Linotype"/>
          <w:b/>
          <w:sz w:val="22"/>
          <w:szCs w:val="22"/>
        </w:rPr>
        <w:t xml:space="preserve">clasificados como confidenciales, </w:t>
      </w:r>
      <w:r w:rsidRPr="00756901">
        <w:rPr>
          <w:rFonts w:ascii="Palatino Linotype" w:eastAsia="Palatino Linotype" w:hAnsi="Palatino Linotype" w:cs="Palatino Linotype"/>
          <w:sz w:val="22"/>
          <w:szCs w:val="22"/>
        </w:rPr>
        <w:t>o, si por otro lado</w:t>
      </w:r>
      <w:r w:rsidRPr="00756901">
        <w:rPr>
          <w:rFonts w:ascii="Palatino Linotype" w:eastAsia="Palatino Linotype" w:hAnsi="Palatino Linotype" w:cs="Palatino Linotype"/>
          <w:b/>
          <w:sz w:val="22"/>
          <w:szCs w:val="22"/>
        </w:rPr>
        <w:t>, por su propia y especial naturaleza,</w:t>
      </w:r>
      <w:r w:rsidRPr="00756901">
        <w:rPr>
          <w:rFonts w:ascii="Palatino Linotype" w:eastAsia="Palatino Linotype" w:hAnsi="Palatino Linotype" w:cs="Palatino Linotype"/>
          <w:sz w:val="22"/>
          <w:szCs w:val="22"/>
        </w:rPr>
        <w:t xml:space="preserve"> encuadra en alguno de los </w:t>
      </w:r>
      <w:r w:rsidRPr="00756901">
        <w:rPr>
          <w:rFonts w:ascii="Palatino Linotype" w:eastAsia="Palatino Linotype" w:hAnsi="Palatino Linotype" w:cs="Palatino Linotype"/>
          <w:b/>
          <w:sz w:val="22"/>
          <w:szCs w:val="22"/>
        </w:rPr>
        <w:t>supuestos de reserva o de confidencialidad en su totalidad</w:t>
      </w:r>
      <w:r w:rsidRPr="00756901">
        <w:rPr>
          <w:rFonts w:ascii="Palatino Linotype" w:eastAsia="Palatino Linotype" w:hAnsi="Palatino Linotype" w:cs="Palatino Linotype"/>
          <w:sz w:val="22"/>
          <w:szCs w:val="22"/>
        </w:rPr>
        <w:t>, deberá emitir, un</w:t>
      </w:r>
      <w:r w:rsidRPr="00756901">
        <w:rPr>
          <w:rFonts w:ascii="Palatino Linotype" w:eastAsia="Palatino Linotype" w:hAnsi="Palatino Linotype" w:cs="Palatino Linotype"/>
          <w:b/>
          <w:sz w:val="22"/>
          <w:szCs w:val="22"/>
        </w:rPr>
        <w:t xml:space="preserve"> Acuerdo de Clasificación </w:t>
      </w:r>
      <w:r w:rsidRPr="00756901">
        <w:rPr>
          <w:rFonts w:ascii="Palatino Linotype" w:eastAsia="Palatino Linotype" w:hAnsi="Palatino Linotype" w:cs="Palatino Linotype"/>
          <w:sz w:val="22"/>
          <w:szCs w:val="22"/>
        </w:rPr>
        <w:t>debidamente fundado y motivado que</w:t>
      </w:r>
      <w:r w:rsidRPr="00756901">
        <w:rPr>
          <w:rFonts w:ascii="Palatino Linotype" w:eastAsia="Palatino Linotype" w:hAnsi="Palatino Linotype" w:cs="Palatino Linotype"/>
          <w:b/>
          <w:sz w:val="22"/>
          <w:szCs w:val="22"/>
        </w:rPr>
        <w:t xml:space="preserve"> sustente la clasificación parcial, a través de la versión pública que emita,</w:t>
      </w:r>
      <w:r w:rsidRPr="00756901">
        <w:rPr>
          <w:rFonts w:ascii="Palatino Linotype" w:eastAsia="Palatino Linotype" w:hAnsi="Palatino Linotype" w:cs="Palatino Linotype"/>
          <w:sz w:val="22"/>
          <w:szCs w:val="22"/>
        </w:rPr>
        <w:t xml:space="preserve"> o bien, la restricción total del derecho de acceso a la información.  </w:t>
      </w:r>
    </w:p>
    <w:p w14:paraId="0917C1E3"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6F75CD42" w14:textId="77777777" w:rsidR="0061352F" w:rsidRPr="00756901" w:rsidRDefault="00A905FB">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De la clasificación parcial de la información.</w:t>
      </w:r>
    </w:p>
    <w:p w14:paraId="1550507B" w14:textId="77777777" w:rsidR="0061352F" w:rsidRPr="00756901" w:rsidRDefault="0061352F">
      <w:pPr>
        <w:pBdr>
          <w:top w:val="nil"/>
          <w:left w:val="nil"/>
          <w:bottom w:val="nil"/>
          <w:right w:val="nil"/>
          <w:between w:val="nil"/>
        </w:pBdr>
        <w:spacing w:line="360" w:lineRule="auto"/>
        <w:ind w:left="720"/>
        <w:jc w:val="both"/>
        <w:rPr>
          <w:rFonts w:ascii="Palatino Linotype" w:eastAsia="Palatino Linotype" w:hAnsi="Palatino Linotype" w:cs="Palatino Linotype"/>
          <w:sz w:val="22"/>
          <w:szCs w:val="22"/>
        </w:rPr>
      </w:pPr>
    </w:p>
    <w:p w14:paraId="452C4557"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Respecto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4E6CFF75"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46911813" w14:textId="77777777" w:rsidR="0061352F" w:rsidRPr="00756901" w:rsidRDefault="00A905F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b/>
          <w:sz w:val="22"/>
          <w:szCs w:val="22"/>
        </w:rPr>
      </w:pPr>
      <w:r w:rsidRPr="00756901">
        <w:rPr>
          <w:rFonts w:ascii="Palatino Linotype" w:eastAsia="Palatino Linotype" w:hAnsi="Palatino Linotype" w:cs="Palatino Linotype"/>
          <w:b/>
          <w:sz w:val="22"/>
          <w:szCs w:val="22"/>
        </w:rPr>
        <w:t>De la clasificación de información como reservada.</w:t>
      </w:r>
    </w:p>
    <w:p w14:paraId="4755724F" w14:textId="77777777" w:rsidR="0061352F" w:rsidRPr="00756901" w:rsidRDefault="0061352F">
      <w:pPr>
        <w:pBdr>
          <w:top w:val="nil"/>
          <w:left w:val="nil"/>
          <w:bottom w:val="nil"/>
          <w:right w:val="nil"/>
          <w:between w:val="nil"/>
        </w:pBdr>
        <w:spacing w:line="360" w:lineRule="auto"/>
        <w:ind w:left="720" w:right="51"/>
        <w:jc w:val="both"/>
        <w:rPr>
          <w:rFonts w:ascii="Palatino Linotype" w:eastAsia="Palatino Linotype" w:hAnsi="Palatino Linotype" w:cs="Palatino Linotype"/>
          <w:b/>
          <w:sz w:val="22"/>
          <w:szCs w:val="22"/>
        </w:rPr>
      </w:pPr>
    </w:p>
    <w:p w14:paraId="340F1FA2" w14:textId="77777777" w:rsidR="0061352F" w:rsidRPr="00756901" w:rsidRDefault="00A905FB">
      <w:pPr>
        <w:spacing w:line="360" w:lineRule="auto"/>
        <w:ind w:right="5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Por cuanto hace a la reserva y ampliación del plazo de reserva de la información, para motivar la clasificación se deberán de señalar las razones, motivos o circunstancias especiales que llevaron al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433D6903" w14:textId="77777777" w:rsidR="0061352F" w:rsidRPr="00756901" w:rsidRDefault="0061352F">
      <w:pPr>
        <w:spacing w:line="360" w:lineRule="auto"/>
        <w:ind w:right="51"/>
        <w:jc w:val="both"/>
        <w:rPr>
          <w:rFonts w:ascii="Palatino Linotype" w:eastAsia="Palatino Linotype" w:hAnsi="Palatino Linotype" w:cs="Palatino Linotype"/>
          <w:sz w:val="22"/>
          <w:szCs w:val="22"/>
        </w:rPr>
      </w:pPr>
    </w:p>
    <w:p w14:paraId="25F265CB"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y Acceso a la Información pública del Estado de México y Municipios, para lo cual, los Sujetos Obligados deberán considerar que: </w:t>
      </w:r>
    </w:p>
    <w:p w14:paraId="5F37DE15"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D4FB473" w14:textId="77777777" w:rsidR="0061352F" w:rsidRPr="00756901" w:rsidRDefault="00A905F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La divulgación de la información representa un </w:t>
      </w:r>
      <w:r w:rsidRPr="00756901">
        <w:rPr>
          <w:rFonts w:ascii="Palatino Linotype" w:eastAsia="Palatino Linotype" w:hAnsi="Palatino Linotype" w:cs="Palatino Linotype"/>
          <w:b/>
          <w:sz w:val="22"/>
          <w:szCs w:val="22"/>
        </w:rPr>
        <w:t>riesgo real, demostrable e identificable del perjuicio significativo al interés público o a la seguridad pública</w:t>
      </w:r>
      <w:r w:rsidRPr="00756901">
        <w:rPr>
          <w:rFonts w:ascii="Palatino Linotype" w:eastAsia="Palatino Linotype" w:hAnsi="Palatino Linotype" w:cs="Palatino Linotype"/>
          <w:sz w:val="22"/>
          <w:szCs w:val="22"/>
        </w:rPr>
        <w:t>;</w:t>
      </w:r>
    </w:p>
    <w:p w14:paraId="75CAA466" w14:textId="77777777" w:rsidR="0061352F" w:rsidRPr="00756901" w:rsidRDefault="00A905F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El riesgo de perjuicio que supondría la divulgación supera el interés público general de que se difunda; y,</w:t>
      </w:r>
    </w:p>
    <w:p w14:paraId="7A11CA5F" w14:textId="77777777" w:rsidR="0061352F" w:rsidRPr="00756901" w:rsidRDefault="00A905FB">
      <w:pPr>
        <w:numPr>
          <w:ilvl w:val="0"/>
          <w:numId w:val="1"/>
        </w:numPr>
        <w:tabs>
          <w:tab w:val="left" w:pos="851"/>
        </w:tabs>
        <w:spacing w:line="360" w:lineRule="auto"/>
        <w:ind w:left="567" w:firstLine="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La limitación se adecua al principio de proporcionalidad y representa el medio menos restrictivo disponible para evitar el perjuicio. </w:t>
      </w:r>
    </w:p>
    <w:p w14:paraId="178D9F51" w14:textId="77777777" w:rsidR="0061352F" w:rsidRPr="00756901" w:rsidRDefault="0061352F">
      <w:pPr>
        <w:tabs>
          <w:tab w:val="left" w:pos="851"/>
        </w:tabs>
        <w:spacing w:line="360" w:lineRule="auto"/>
        <w:ind w:left="568"/>
        <w:jc w:val="both"/>
        <w:rPr>
          <w:rFonts w:ascii="Palatino Linotype" w:eastAsia="Palatino Linotype" w:hAnsi="Palatino Linotype" w:cs="Palatino Linotype"/>
          <w:sz w:val="22"/>
          <w:szCs w:val="22"/>
        </w:rPr>
      </w:pPr>
    </w:p>
    <w:p w14:paraId="2F25A332"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Siendo pertinente aclarar que, la información que se clasifica bajo la premisa de reservada, </w:t>
      </w:r>
      <w:r w:rsidRPr="00756901">
        <w:rPr>
          <w:rFonts w:ascii="Palatino Linotype" w:eastAsia="Palatino Linotype" w:hAnsi="Palatino Linotype" w:cs="Palatino Linotype"/>
          <w:b/>
          <w:sz w:val="22"/>
          <w:szCs w:val="22"/>
        </w:rPr>
        <w:t>no pierde el carácter de pública</w:t>
      </w:r>
      <w:r w:rsidRPr="00756901">
        <w:rPr>
          <w:rFonts w:ascii="Palatino Linotype" w:eastAsia="Palatino Linotype" w:hAnsi="Palatino Linotype" w:cs="Palatino Linotype"/>
          <w:sz w:val="22"/>
          <w:szCs w:val="22"/>
        </w:rPr>
        <w:t xml:space="preserve">, sino que </w:t>
      </w:r>
      <w:r w:rsidRPr="00756901">
        <w:rPr>
          <w:rFonts w:ascii="Palatino Linotype" w:eastAsia="Palatino Linotype" w:hAnsi="Palatino Linotype" w:cs="Palatino Linotype"/>
          <w:b/>
          <w:sz w:val="22"/>
          <w:szCs w:val="22"/>
        </w:rPr>
        <w:t>se reserva temporalmente</w:t>
      </w:r>
      <w:r w:rsidRPr="00756901">
        <w:rPr>
          <w:rFonts w:ascii="Palatino Linotype" w:eastAsia="Palatino Linotype" w:hAnsi="Palatino Linotype" w:cs="Palatino Linotype"/>
          <w:sz w:val="22"/>
          <w:szCs w:val="22"/>
        </w:rPr>
        <w:t xml:space="preserve"> </w:t>
      </w:r>
      <w:r w:rsidRPr="00756901">
        <w:rPr>
          <w:rFonts w:ascii="Palatino Linotype" w:eastAsia="Palatino Linotype" w:hAnsi="Palatino Linotype" w:cs="Palatino Linotype"/>
          <w:b/>
          <w:sz w:val="22"/>
          <w:szCs w:val="22"/>
        </w:rPr>
        <w:t>del conocimiento público</w:t>
      </w:r>
      <w:r w:rsidRPr="00756901">
        <w:rPr>
          <w:rFonts w:ascii="Palatino Linotype" w:eastAsia="Palatino Linotype" w:hAnsi="Palatino Linotype" w:cs="Palatino Linotype"/>
          <w:sz w:val="22"/>
          <w:szCs w:val="22"/>
        </w:rPr>
        <w:t xml:space="preserve">, es decir, que, </w:t>
      </w:r>
      <w:r w:rsidRPr="00756901">
        <w:rPr>
          <w:rFonts w:ascii="Palatino Linotype" w:eastAsia="Palatino Linotype" w:hAnsi="Palatino Linotype" w:cs="Palatino Linotype"/>
          <w:b/>
          <w:sz w:val="22"/>
          <w:szCs w:val="22"/>
        </w:rPr>
        <w:t>por un tiempo determinado</w:t>
      </w:r>
      <w:r w:rsidRPr="00756901">
        <w:rPr>
          <w:rFonts w:ascii="Palatino Linotype" w:eastAsia="Palatino Linotype" w:hAnsi="Palatino Linotype" w:cs="Palatino Linotype"/>
          <w:sz w:val="22"/>
          <w:szCs w:val="22"/>
        </w:rPr>
        <w:t>, se conservará y custodiará la información de manera especial, y una vez transcurrido el plazo de reserva, el documento podrá divulgarse.</w:t>
      </w:r>
    </w:p>
    <w:p w14:paraId="51F2748D"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5D6E38B0"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De tal manera, las limitaciones al acceso a la información deben sustentarse en una adecuada clasificación que debe distinguir y tomar en cuenta qué información puede generar un daño desproporcionado o innecesario a valores jurídicamente protegidos. </w:t>
      </w:r>
    </w:p>
    <w:p w14:paraId="68818E41"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4D3B370B" w14:textId="77777777" w:rsidR="0061352F" w:rsidRPr="00756901" w:rsidRDefault="00A905FB">
      <w:pPr>
        <w:numPr>
          <w:ilvl w:val="0"/>
          <w:numId w:val="3"/>
        </w:numPr>
        <w:pBdr>
          <w:top w:val="nil"/>
          <w:left w:val="nil"/>
          <w:bottom w:val="nil"/>
          <w:right w:val="nil"/>
          <w:between w:val="nil"/>
        </w:pBdr>
        <w:tabs>
          <w:tab w:val="left" w:pos="709"/>
        </w:tabs>
        <w:spacing w:line="360" w:lineRule="auto"/>
        <w:jc w:val="both"/>
        <w:rPr>
          <w:rFonts w:ascii="Palatino Linotype" w:eastAsia="Palatino Linotype" w:hAnsi="Palatino Linotype" w:cs="Palatino Linotype"/>
          <w:b/>
          <w:sz w:val="22"/>
          <w:szCs w:val="22"/>
        </w:rPr>
      </w:pPr>
      <w:r w:rsidRPr="00756901">
        <w:rPr>
          <w:rFonts w:ascii="Palatino Linotype" w:eastAsia="Palatino Linotype" w:hAnsi="Palatino Linotype" w:cs="Palatino Linotype"/>
          <w:b/>
          <w:sz w:val="22"/>
          <w:szCs w:val="22"/>
        </w:rPr>
        <w:t>De la clasificación de la información como totalmente confidencial.</w:t>
      </w:r>
    </w:p>
    <w:p w14:paraId="73BB7C42" w14:textId="77777777" w:rsidR="0061352F" w:rsidRPr="00756901" w:rsidRDefault="0061352F">
      <w:pPr>
        <w:pBdr>
          <w:top w:val="nil"/>
          <w:left w:val="nil"/>
          <w:bottom w:val="nil"/>
          <w:right w:val="nil"/>
          <w:between w:val="nil"/>
        </w:pBdr>
        <w:tabs>
          <w:tab w:val="left" w:pos="709"/>
        </w:tabs>
        <w:spacing w:line="360" w:lineRule="auto"/>
        <w:ind w:left="720"/>
        <w:jc w:val="both"/>
        <w:rPr>
          <w:rFonts w:ascii="Palatino Linotype" w:eastAsia="Palatino Linotype" w:hAnsi="Palatino Linotype" w:cs="Palatino Linotype"/>
          <w:b/>
          <w:sz w:val="22"/>
          <w:szCs w:val="22"/>
        </w:rPr>
      </w:pPr>
    </w:p>
    <w:p w14:paraId="7A9AD2F4" w14:textId="77777777" w:rsidR="0061352F" w:rsidRPr="00756901" w:rsidRDefault="00A905FB">
      <w:pPr>
        <w:tabs>
          <w:tab w:val="left" w:pos="709"/>
        </w:tabs>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términos de lo dispuesto por los artículos 6, 22, 38 y 43, de la Ley de Protección de Datos Personales en Posesión de los Sujetos Obligados del Estado de México y Municipios.</w:t>
      </w:r>
    </w:p>
    <w:p w14:paraId="209BD8E6" w14:textId="77777777" w:rsidR="0061352F" w:rsidRPr="00756901" w:rsidRDefault="0061352F">
      <w:pPr>
        <w:tabs>
          <w:tab w:val="left" w:pos="709"/>
        </w:tabs>
        <w:spacing w:line="360" w:lineRule="auto"/>
        <w:jc w:val="both"/>
        <w:rPr>
          <w:rFonts w:ascii="Palatino Linotype" w:eastAsia="Palatino Linotype" w:hAnsi="Palatino Linotype" w:cs="Palatino Linotype"/>
          <w:sz w:val="22"/>
          <w:szCs w:val="22"/>
        </w:rPr>
      </w:pPr>
    </w:p>
    <w:p w14:paraId="15DCA595" w14:textId="77777777" w:rsidR="0061352F" w:rsidRPr="00756901" w:rsidRDefault="00A905FB">
      <w:pPr>
        <w:spacing w:line="360" w:lineRule="auto"/>
        <w:ind w:right="5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756901">
        <w:rPr>
          <w:rFonts w:ascii="Palatino Linotype" w:eastAsia="Palatino Linotype" w:hAnsi="Palatino Linotype" w:cs="Palatino Linotype"/>
          <w:sz w:val="22"/>
          <w:szCs w:val="22"/>
          <w:vertAlign w:val="superscript"/>
        </w:rPr>
        <w:footnoteReference w:id="6"/>
      </w:r>
      <w:r w:rsidRPr="00756901">
        <w:rPr>
          <w:rFonts w:ascii="Palatino Linotype" w:eastAsia="Palatino Linotype" w:hAnsi="Palatino Linotype" w:cs="Palatino Linotype"/>
          <w:sz w:val="22"/>
          <w:szCs w:val="22"/>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4CC8F72E" w14:textId="77777777" w:rsidR="0061352F" w:rsidRPr="00756901" w:rsidRDefault="0061352F">
      <w:pPr>
        <w:spacing w:line="360" w:lineRule="auto"/>
        <w:ind w:right="51"/>
        <w:jc w:val="both"/>
        <w:rPr>
          <w:rFonts w:ascii="Palatino Linotype" w:eastAsia="Palatino Linotype" w:hAnsi="Palatino Linotype" w:cs="Palatino Linotype"/>
          <w:sz w:val="22"/>
          <w:szCs w:val="22"/>
        </w:rPr>
      </w:pPr>
    </w:p>
    <w:p w14:paraId="54BF8670" w14:textId="77777777" w:rsidR="0061352F" w:rsidRPr="00756901" w:rsidRDefault="00A905FB">
      <w:pPr>
        <w:numPr>
          <w:ilvl w:val="0"/>
          <w:numId w:val="3"/>
        </w:numPr>
        <w:pBdr>
          <w:top w:val="nil"/>
          <w:left w:val="nil"/>
          <w:bottom w:val="nil"/>
          <w:right w:val="nil"/>
          <w:between w:val="nil"/>
        </w:pBdr>
        <w:spacing w:line="360" w:lineRule="auto"/>
        <w:ind w:right="51"/>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De la declaratoria de inexistencia de la información</w:t>
      </w:r>
      <w:r w:rsidRPr="00756901">
        <w:rPr>
          <w:rFonts w:ascii="Palatino Linotype" w:eastAsia="Palatino Linotype" w:hAnsi="Palatino Linotype" w:cs="Palatino Linotype"/>
          <w:sz w:val="22"/>
          <w:szCs w:val="22"/>
        </w:rPr>
        <w:t>.</w:t>
      </w:r>
    </w:p>
    <w:p w14:paraId="529551A6" w14:textId="77777777" w:rsidR="0061352F" w:rsidRPr="00756901" w:rsidRDefault="0061352F">
      <w:pPr>
        <w:spacing w:line="360" w:lineRule="auto"/>
        <w:ind w:right="51"/>
        <w:jc w:val="both"/>
        <w:rPr>
          <w:rFonts w:ascii="Palatino Linotype" w:eastAsia="Palatino Linotype" w:hAnsi="Palatino Linotype" w:cs="Palatino Linotype"/>
          <w:sz w:val="22"/>
          <w:szCs w:val="22"/>
        </w:rPr>
      </w:pPr>
    </w:p>
    <w:p w14:paraId="456A3AC6"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Por otro lado, estima prudente señalar al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que, en caso de que la información solicitada, debiera obrar en sus archivos y no cuente con ella, deberá entregar el Acuerdo del Comité de Transparencia, en donde conste la declaratoria de inexistencia de la misma.</w:t>
      </w:r>
    </w:p>
    <w:p w14:paraId="175DA63C"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EBEF946"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7F6DFC72"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397A91BB"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2E359790"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590446FA"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Resulta aplicable el criterio de interpretación en el orden administrativo número 0008-19 emitido por Acuerdo del Pleno del Instituto de Transparencia y Acceso a la Información Pública del Estado de México y Municipios, que a la letra dice:</w:t>
      </w:r>
    </w:p>
    <w:p w14:paraId="1423D298"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3D52C8AB" w14:textId="77777777" w:rsidR="0061352F" w:rsidRPr="00756901" w:rsidRDefault="00A905FB">
      <w:pPr>
        <w:spacing w:line="276" w:lineRule="auto"/>
        <w:ind w:left="567" w:right="902"/>
        <w:jc w:val="both"/>
        <w:rPr>
          <w:rFonts w:ascii="Palatino Linotype" w:eastAsia="Palatino Linotype" w:hAnsi="Palatino Linotype" w:cs="Palatino Linotype"/>
          <w:i/>
          <w:sz w:val="22"/>
          <w:szCs w:val="22"/>
        </w:rPr>
      </w:pPr>
      <w:r w:rsidRPr="00756901">
        <w:rPr>
          <w:rFonts w:ascii="Palatino Linotype" w:eastAsia="Palatino Linotype" w:hAnsi="Palatino Linotype" w:cs="Palatino Linotype"/>
          <w:b/>
          <w:i/>
          <w:sz w:val="22"/>
          <w:szCs w:val="22"/>
        </w:rPr>
        <w:t xml:space="preserve">“INEXISTENCIA DE LA INFORMACIÓN. SUPUESTOS PARA EMITIR LA RESOLUCIÓN DE LA. </w:t>
      </w:r>
      <w:r w:rsidRPr="00756901">
        <w:rPr>
          <w:rFonts w:ascii="Palatino Linotype" w:eastAsia="Palatino Linotype" w:hAnsi="Palatino Linotype" w:cs="Palatino Linotype"/>
          <w:i/>
          <w:sz w:val="22"/>
          <w:szCs w:val="22"/>
        </w:rPr>
        <w:t>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p>
    <w:p w14:paraId="2BE90B7C" w14:textId="77777777" w:rsidR="0061352F" w:rsidRPr="00756901" w:rsidRDefault="0061352F">
      <w:pPr>
        <w:spacing w:line="360" w:lineRule="auto"/>
        <w:ind w:left="851" w:right="902"/>
        <w:jc w:val="both"/>
        <w:rPr>
          <w:rFonts w:ascii="Palatino Linotype" w:eastAsia="Palatino Linotype" w:hAnsi="Palatino Linotype" w:cs="Palatino Linotype"/>
          <w:i/>
          <w:sz w:val="22"/>
          <w:szCs w:val="22"/>
        </w:rPr>
      </w:pPr>
    </w:p>
    <w:p w14:paraId="266A52D7"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 xml:space="preserve">En mérito de todo lo expuesto, ante lo </w:t>
      </w:r>
      <w:r w:rsidRPr="00756901">
        <w:rPr>
          <w:rFonts w:ascii="Palatino Linotype" w:eastAsia="Palatino Linotype" w:hAnsi="Palatino Linotype" w:cs="Palatino Linotype"/>
          <w:b/>
          <w:sz w:val="22"/>
          <w:szCs w:val="22"/>
        </w:rPr>
        <w:t>FUNDADO</w:t>
      </w:r>
      <w:r w:rsidRPr="00756901">
        <w:rPr>
          <w:rFonts w:ascii="Palatino Linotype" w:eastAsia="Palatino Linotype" w:hAnsi="Palatino Linotype" w:cs="Palatino Linotype"/>
          <w:sz w:val="22"/>
          <w:szCs w:val="22"/>
        </w:rPr>
        <w:t xml:space="preserve"> de las razones o motivos de inconformidad hechos valer por la parte Recurrente, este Instituto estima que lo dable es </w:t>
      </w:r>
      <w:r w:rsidRPr="00756901">
        <w:rPr>
          <w:rFonts w:ascii="Palatino Linotype" w:eastAsia="Palatino Linotype" w:hAnsi="Palatino Linotype" w:cs="Palatino Linotype"/>
          <w:b/>
          <w:sz w:val="22"/>
          <w:szCs w:val="22"/>
        </w:rPr>
        <w:t>ORDENAR</w:t>
      </w:r>
      <w:r w:rsidRPr="00756901">
        <w:rPr>
          <w:rFonts w:ascii="Palatino Linotype" w:eastAsia="Palatino Linotype" w:hAnsi="Palatino Linotype" w:cs="Palatino Linotype"/>
          <w:sz w:val="22"/>
          <w:szCs w:val="22"/>
        </w:rPr>
        <w:t xml:space="preserve"> al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dé respuesta a la solicitud de acceso a la información, atendiendo lo señalado en el presente Considerando.</w:t>
      </w:r>
    </w:p>
    <w:p w14:paraId="57F8BDD2"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7C971892" w14:textId="77777777" w:rsidR="0061352F" w:rsidRPr="00756901" w:rsidRDefault="00A905FB">
      <w:pPr>
        <w:spacing w:line="360" w:lineRule="auto"/>
        <w:ind w:right="49"/>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Finalmente, es de señalar que, como ya se mencionó el</w:t>
      </w:r>
      <w:r w:rsidRPr="00756901">
        <w:rPr>
          <w:rFonts w:ascii="Palatino Linotype" w:eastAsia="Palatino Linotype" w:hAnsi="Palatino Linotype" w:cs="Palatino Linotype"/>
          <w:b/>
          <w:sz w:val="22"/>
          <w:szCs w:val="22"/>
        </w:rPr>
        <w:t xml:space="preserve"> Sujeto Obligado</w:t>
      </w:r>
      <w:r w:rsidRPr="00756901">
        <w:rPr>
          <w:rFonts w:ascii="Palatino Linotype" w:eastAsia="Palatino Linotype" w:hAnsi="Palatino Linotype" w:cs="Palatino Linotype"/>
          <w:sz w:val="22"/>
          <w:szCs w:val="22"/>
        </w:rPr>
        <w:t>, omitió proporcionar la respuesta a la solicitud de acceso a la información pública, en el término contemplado en el ya citado artículo 163 de la Ley de la materia, razón por la que se ordena dar vista</w:t>
      </w:r>
      <w:r w:rsidRPr="00756901">
        <w:rPr>
          <w:rFonts w:ascii="Palatino Linotype" w:eastAsia="Palatino Linotype" w:hAnsi="Palatino Linotype" w:cs="Palatino Linotype"/>
          <w:b/>
          <w:sz w:val="22"/>
          <w:szCs w:val="22"/>
        </w:rPr>
        <w:t xml:space="preserve"> </w:t>
      </w:r>
      <w:r w:rsidRPr="00756901">
        <w:rPr>
          <w:rFonts w:ascii="Palatino Linotype" w:eastAsia="Palatino Linotype" w:hAnsi="Palatino Linotype" w:cs="Palatino Linotype"/>
          <w:sz w:val="22"/>
          <w:szCs w:val="22"/>
        </w:rPr>
        <w:t>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w:t>
      </w:r>
    </w:p>
    <w:p w14:paraId="4B969FD6" w14:textId="77777777" w:rsidR="0061352F" w:rsidRPr="00756901" w:rsidRDefault="0061352F">
      <w:pPr>
        <w:spacing w:line="360" w:lineRule="auto"/>
        <w:ind w:right="49"/>
        <w:jc w:val="both"/>
        <w:rPr>
          <w:rFonts w:ascii="Palatino Linotype" w:eastAsia="Palatino Linotype" w:hAnsi="Palatino Linotype" w:cs="Palatino Linotype"/>
          <w:sz w:val="22"/>
          <w:szCs w:val="22"/>
        </w:rPr>
      </w:pPr>
    </w:p>
    <w:p w14:paraId="6C7EA5E3" w14:textId="77777777" w:rsidR="0061352F" w:rsidRPr="00756901" w:rsidRDefault="00A905FB">
      <w:pPr>
        <w:spacing w:line="360" w:lineRule="auto"/>
        <w:ind w:right="49"/>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sz w:val="22"/>
          <w:szCs w:val="22"/>
        </w:rPr>
        <w:t>Así, con fundamento en lo prescrito en los artículos 5 párrafos cuadragésimo cuarto, cuadragésimo quinto y cuadragésimo sexto, fracciones IV y V de la Constitución Política del Estado Libre y Soberano de México; transitorio Cuarto del Decreto número 198 de la “LXII” Legislatura del Estado de México; 2, fracción II; 29, 36 fracciones I y II; 176, 178, 181, 185, fracción I, 186 y 188 de la Ley de Transparencia y Acceso a la Información Pública del Estado de México y Municipios, este Pleno:</w:t>
      </w:r>
    </w:p>
    <w:p w14:paraId="51AEEACD" w14:textId="77777777" w:rsidR="0061352F" w:rsidRPr="00756901" w:rsidRDefault="0061352F">
      <w:pPr>
        <w:pBdr>
          <w:top w:val="nil"/>
          <w:left w:val="nil"/>
          <w:bottom w:val="nil"/>
          <w:right w:val="nil"/>
          <w:between w:val="nil"/>
        </w:pBdr>
        <w:spacing w:line="360" w:lineRule="auto"/>
        <w:rPr>
          <w:rFonts w:ascii="Palatino Linotype" w:eastAsia="Palatino Linotype" w:hAnsi="Palatino Linotype" w:cs="Palatino Linotype"/>
          <w:b/>
          <w:sz w:val="22"/>
          <w:szCs w:val="22"/>
        </w:rPr>
      </w:pPr>
    </w:p>
    <w:p w14:paraId="3E72A5B2" w14:textId="77777777" w:rsidR="0061352F" w:rsidRPr="00756901" w:rsidRDefault="00A905FB">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756901">
        <w:rPr>
          <w:rFonts w:ascii="Palatino Linotype" w:eastAsia="Palatino Linotype" w:hAnsi="Palatino Linotype" w:cs="Palatino Linotype"/>
          <w:b/>
          <w:sz w:val="22"/>
          <w:szCs w:val="22"/>
        </w:rPr>
        <w:t>III. R E S U E L V E</w:t>
      </w:r>
    </w:p>
    <w:p w14:paraId="4F4B74BB" w14:textId="77777777" w:rsidR="0061352F" w:rsidRPr="00756901" w:rsidRDefault="0061352F">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p>
    <w:p w14:paraId="1CCA0653" w14:textId="77777777" w:rsidR="0061352F" w:rsidRPr="00756901" w:rsidRDefault="00A905FB">
      <w:pPr>
        <w:spacing w:line="360" w:lineRule="auto"/>
        <w:ind w:right="49"/>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Primero. </w:t>
      </w:r>
      <w:r w:rsidRPr="00756901">
        <w:rPr>
          <w:rFonts w:ascii="Palatino Linotype" w:eastAsia="Palatino Linotype" w:hAnsi="Palatino Linotype" w:cs="Palatino Linotype"/>
          <w:sz w:val="22"/>
          <w:szCs w:val="22"/>
        </w:rPr>
        <w:t xml:space="preserve">Resultan </w:t>
      </w:r>
      <w:r w:rsidRPr="00756901">
        <w:rPr>
          <w:rFonts w:ascii="Palatino Linotype" w:eastAsia="Palatino Linotype" w:hAnsi="Palatino Linotype" w:cs="Palatino Linotype"/>
          <w:b/>
          <w:sz w:val="22"/>
          <w:szCs w:val="22"/>
        </w:rPr>
        <w:t>FUNDADOS</w:t>
      </w:r>
      <w:r w:rsidRPr="00756901">
        <w:rPr>
          <w:rFonts w:ascii="Palatino Linotype" w:eastAsia="Palatino Linotype" w:hAnsi="Palatino Linotype" w:cs="Palatino Linotype"/>
          <w:sz w:val="22"/>
          <w:szCs w:val="22"/>
        </w:rPr>
        <w:t xml:space="preserve"> los motivos de inconformidad de la parte </w:t>
      </w:r>
      <w:r w:rsidRPr="00756901">
        <w:rPr>
          <w:rFonts w:ascii="Palatino Linotype" w:eastAsia="Palatino Linotype" w:hAnsi="Palatino Linotype" w:cs="Palatino Linotype"/>
          <w:b/>
          <w:sz w:val="22"/>
          <w:szCs w:val="22"/>
        </w:rPr>
        <w:t>Recurrente</w:t>
      </w:r>
      <w:r w:rsidRPr="00756901">
        <w:rPr>
          <w:rFonts w:ascii="Palatino Linotype" w:eastAsia="Palatino Linotype" w:hAnsi="Palatino Linotype" w:cs="Palatino Linotype"/>
          <w:sz w:val="22"/>
          <w:szCs w:val="22"/>
        </w:rPr>
        <w:t xml:space="preserve">, en términos del </w:t>
      </w:r>
      <w:r w:rsidRPr="00756901">
        <w:rPr>
          <w:rFonts w:ascii="Palatino Linotype" w:eastAsia="Palatino Linotype" w:hAnsi="Palatino Linotype" w:cs="Palatino Linotype"/>
          <w:b/>
          <w:sz w:val="22"/>
          <w:szCs w:val="22"/>
        </w:rPr>
        <w:t>Considerando Cuarto</w:t>
      </w:r>
      <w:r w:rsidRPr="00756901">
        <w:rPr>
          <w:rFonts w:ascii="Palatino Linotype" w:eastAsia="Palatino Linotype" w:hAnsi="Palatino Linotype" w:cs="Palatino Linotype"/>
          <w:sz w:val="22"/>
          <w:szCs w:val="22"/>
        </w:rPr>
        <w:t xml:space="preserve"> de la presente resolución.</w:t>
      </w:r>
    </w:p>
    <w:p w14:paraId="0D615035" w14:textId="77777777" w:rsidR="0061352F" w:rsidRPr="00756901" w:rsidRDefault="0061352F">
      <w:pPr>
        <w:spacing w:line="360" w:lineRule="auto"/>
        <w:ind w:right="49"/>
        <w:jc w:val="both"/>
        <w:rPr>
          <w:rFonts w:ascii="Palatino Linotype" w:eastAsia="Palatino Linotype" w:hAnsi="Palatino Linotype" w:cs="Palatino Linotype"/>
          <w:sz w:val="22"/>
          <w:szCs w:val="22"/>
        </w:rPr>
      </w:pPr>
    </w:p>
    <w:p w14:paraId="694EC19D" w14:textId="77777777" w:rsidR="0061352F" w:rsidRPr="00756901" w:rsidRDefault="00A905FB">
      <w:pPr>
        <w:spacing w:line="360" w:lineRule="auto"/>
        <w:jc w:val="both"/>
        <w:rPr>
          <w:rFonts w:ascii="Palatino Linotype" w:eastAsia="Palatino Linotype" w:hAnsi="Palatino Linotype" w:cs="Palatino Linotype"/>
          <w:sz w:val="22"/>
          <w:szCs w:val="22"/>
        </w:rPr>
      </w:pPr>
      <w:bookmarkStart w:id="2" w:name="_heading=h.3dy6vkm" w:colFirst="0" w:colLast="0"/>
      <w:bookmarkEnd w:id="2"/>
      <w:r w:rsidRPr="00756901">
        <w:rPr>
          <w:rFonts w:ascii="Palatino Linotype" w:eastAsia="Palatino Linotype" w:hAnsi="Palatino Linotype" w:cs="Palatino Linotype"/>
          <w:b/>
          <w:sz w:val="22"/>
          <w:szCs w:val="22"/>
        </w:rPr>
        <w:t>Segundo.</w:t>
      </w:r>
      <w:r w:rsidRPr="00756901">
        <w:rPr>
          <w:rFonts w:ascii="Palatino Linotype" w:eastAsia="Palatino Linotype" w:hAnsi="Palatino Linotype" w:cs="Palatino Linotype"/>
          <w:sz w:val="22"/>
          <w:szCs w:val="22"/>
        </w:rPr>
        <w:t xml:space="preserve"> Se</w:t>
      </w:r>
      <w:r w:rsidRPr="00756901">
        <w:rPr>
          <w:rFonts w:ascii="Palatino Linotype" w:eastAsia="Palatino Linotype" w:hAnsi="Palatino Linotype" w:cs="Palatino Linotype"/>
          <w:b/>
          <w:sz w:val="22"/>
          <w:szCs w:val="22"/>
        </w:rPr>
        <w:t xml:space="preserve"> Ordena </w:t>
      </w:r>
      <w:r w:rsidRPr="00756901">
        <w:rPr>
          <w:rFonts w:ascii="Palatino Linotype" w:eastAsia="Palatino Linotype" w:hAnsi="Palatino Linotype" w:cs="Palatino Linotype"/>
          <w:sz w:val="22"/>
          <w:szCs w:val="22"/>
        </w:rPr>
        <w:t xml:space="preserve">al </w:t>
      </w:r>
      <w:r w:rsidRPr="00756901">
        <w:rPr>
          <w:rFonts w:ascii="Palatino Linotype" w:eastAsia="Palatino Linotype" w:hAnsi="Palatino Linotype" w:cs="Palatino Linotype"/>
          <w:b/>
          <w:sz w:val="22"/>
          <w:szCs w:val="22"/>
        </w:rPr>
        <w:t xml:space="preserve">Sujeto Obligado </w:t>
      </w:r>
      <w:r w:rsidRPr="00756901">
        <w:rPr>
          <w:rFonts w:ascii="Palatino Linotype" w:eastAsia="Palatino Linotype" w:hAnsi="Palatino Linotype" w:cs="Palatino Linotype"/>
          <w:sz w:val="22"/>
          <w:szCs w:val="22"/>
        </w:rPr>
        <w:t xml:space="preserve">dé trámite, vía </w:t>
      </w:r>
      <w:r w:rsidRPr="00756901">
        <w:rPr>
          <w:rFonts w:ascii="Palatino Linotype" w:eastAsia="Palatino Linotype" w:hAnsi="Palatino Linotype" w:cs="Palatino Linotype"/>
          <w:b/>
          <w:sz w:val="22"/>
          <w:szCs w:val="22"/>
        </w:rPr>
        <w:t xml:space="preserve">Sistema de Acceso a la Información Mexiquense </w:t>
      </w:r>
      <w:r w:rsidRPr="00756901">
        <w:rPr>
          <w:rFonts w:ascii="Palatino Linotype" w:eastAsia="Palatino Linotype" w:hAnsi="Palatino Linotype" w:cs="Palatino Linotype"/>
          <w:sz w:val="22"/>
          <w:szCs w:val="22"/>
        </w:rPr>
        <w:t xml:space="preserve">a la solicitud de acceso a la información pública </w:t>
      </w:r>
      <w:r w:rsidRPr="00756901">
        <w:rPr>
          <w:rFonts w:ascii="Palatino Linotype" w:eastAsia="Palatino Linotype" w:hAnsi="Palatino Linotype" w:cs="Palatino Linotype"/>
          <w:b/>
          <w:sz w:val="22"/>
          <w:szCs w:val="22"/>
        </w:rPr>
        <w:t xml:space="preserve">00200/DIFIXTAPAL/IP/2025 </w:t>
      </w:r>
      <w:r w:rsidRPr="00756901">
        <w:rPr>
          <w:rFonts w:ascii="Palatino Linotype" w:eastAsia="Palatino Linotype" w:hAnsi="Palatino Linotype" w:cs="Palatino Linotype"/>
          <w:sz w:val="22"/>
          <w:szCs w:val="22"/>
        </w:rPr>
        <w:t xml:space="preserve">que dio origen al recurso de revisión </w:t>
      </w:r>
      <w:r w:rsidRPr="00756901">
        <w:rPr>
          <w:rFonts w:ascii="Palatino Linotype" w:eastAsia="Palatino Linotype" w:hAnsi="Palatino Linotype" w:cs="Palatino Linotype"/>
          <w:b/>
          <w:sz w:val="22"/>
          <w:szCs w:val="22"/>
        </w:rPr>
        <w:t xml:space="preserve">11699/INFOEM/IP/RR/2025 </w:t>
      </w:r>
      <w:r w:rsidRPr="00756901">
        <w:rPr>
          <w:rFonts w:ascii="Palatino Linotype" w:eastAsia="Palatino Linotype" w:hAnsi="Palatino Linotype" w:cs="Palatino Linotype"/>
          <w:sz w:val="22"/>
          <w:szCs w:val="22"/>
        </w:rPr>
        <w:t xml:space="preserve">en términos del </w:t>
      </w:r>
      <w:r w:rsidRPr="00756901">
        <w:rPr>
          <w:rFonts w:ascii="Palatino Linotype" w:eastAsia="Palatino Linotype" w:hAnsi="Palatino Linotype" w:cs="Palatino Linotype"/>
          <w:b/>
          <w:sz w:val="22"/>
          <w:szCs w:val="22"/>
        </w:rPr>
        <w:t>Considerando Cuarto</w:t>
      </w:r>
      <w:r w:rsidRPr="00756901">
        <w:rPr>
          <w:rFonts w:ascii="Palatino Linotype" w:eastAsia="Palatino Linotype" w:hAnsi="Palatino Linotype" w:cs="Palatino Linotype"/>
          <w:sz w:val="22"/>
          <w:szCs w:val="22"/>
        </w:rPr>
        <w:t xml:space="preserve"> de esta resolución y emita respuesta, debiendo observar las excepciones contenidas en la Ley de Transparencia y Acceso a la Información Pública del Estado de México y Municipios.</w:t>
      </w:r>
    </w:p>
    <w:p w14:paraId="0D66A55D"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35E2A7E5" w14:textId="77777777" w:rsidR="0061352F" w:rsidRPr="00756901" w:rsidRDefault="00A905FB">
      <w:pPr>
        <w:spacing w:line="360" w:lineRule="auto"/>
        <w:ind w:right="49"/>
        <w:jc w:val="both"/>
        <w:rPr>
          <w:rFonts w:ascii="Palatino Linotype" w:eastAsia="Palatino Linotype" w:hAnsi="Palatino Linotype" w:cs="Palatino Linotype"/>
          <w:sz w:val="22"/>
          <w:szCs w:val="22"/>
        </w:rPr>
      </w:pPr>
      <w:bookmarkStart w:id="3" w:name="_heading=h.3znysh7" w:colFirst="0" w:colLast="0"/>
      <w:bookmarkEnd w:id="3"/>
      <w:r w:rsidRPr="00756901">
        <w:rPr>
          <w:rFonts w:ascii="Palatino Linotype" w:eastAsia="Palatino Linotype" w:hAnsi="Palatino Linotype" w:cs="Palatino Linotype"/>
          <w:b/>
          <w:sz w:val="22"/>
          <w:szCs w:val="22"/>
        </w:rPr>
        <w:t>Tercero.</w:t>
      </w:r>
      <w:r w:rsidRPr="00756901">
        <w:rPr>
          <w:rFonts w:ascii="Palatino Linotype" w:eastAsia="Palatino Linotype" w:hAnsi="Palatino Linotype" w:cs="Palatino Linotype"/>
          <w:sz w:val="22"/>
          <w:szCs w:val="22"/>
        </w:rPr>
        <w:t xml:space="preserve"> </w:t>
      </w:r>
      <w:r w:rsidRPr="00756901">
        <w:rPr>
          <w:rFonts w:ascii="Palatino Linotype" w:eastAsia="Palatino Linotype" w:hAnsi="Palatino Linotype" w:cs="Palatino Linotype"/>
          <w:b/>
          <w:sz w:val="22"/>
          <w:szCs w:val="22"/>
        </w:rPr>
        <w:t xml:space="preserve">Notifíquese vía Sistema de Acceso a la Información Mexiquense </w:t>
      </w:r>
      <w:r w:rsidRPr="00756901">
        <w:rPr>
          <w:rFonts w:ascii="Palatino Linotype" w:eastAsia="Palatino Linotype" w:hAnsi="Palatino Linotype" w:cs="Palatino Linotype"/>
          <w:sz w:val="22"/>
          <w:szCs w:val="22"/>
        </w:rPr>
        <w:t>la presente resolución al T</w:t>
      </w:r>
      <w:r w:rsidRPr="00756901">
        <w:rPr>
          <w:rFonts w:ascii="Palatino Linotype" w:eastAsia="Palatino Linotype" w:hAnsi="Palatino Linotype" w:cs="Palatino Linotype"/>
          <w:b/>
          <w:sz w:val="22"/>
          <w:szCs w:val="22"/>
        </w:rPr>
        <w:t xml:space="preserve">itular de la Unidad de Transparencia </w:t>
      </w:r>
      <w:r w:rsidRPr="00756901">
        <w:rPr>
          <w:rFonts w:ascii="Palatino Linotype" w:eastAsia="Palatino Linotype" w:hAnsi="Palatino Linotype" w:cs="Palatino Linotype"/>
          <w:sz w:val="22"/>
          <w:szCs w:val="22"/>
        </w:rPr>
        <w:t xml:space="preserve">del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34FBE21" w14:textId="77777777" w:rsidR="0061352F" w:rsidRPr="00756901" w:rsidRDefault="0061352F">
      <w:pPr>
        <w:spacing w:line="360" w:lineRule="auto"/>
        <w:ind w:right="49"/>
        <w:jc w:val="both"/>
        <w:rPr>
          <w:rFonts w:ascii="Palatino Linotype" w:eastAsia="Palatino Linotype" w:hAnsi="Palatino Linotype" w:cs="Palatino Linotype"/>
          <w:sz w:val="22"/>
          <w:szCs w:val="22"/>
        </w:rPr>
      </w:pPr>
    </w:p>
    <w:p w14:paraId="353DCBD6"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Cuarto. Notifíquese</w:t>
      </w:r>
      <w:r w:rsidRPr="00756901">
        <w:rPr>
          <w:rFonts w:ascii="Palatino Linotype" w:eastAsia="Palatino Linotype" w:hAnsi="Palatino Linotype" w:cs="Palatino Linotype"/>
          <w:sz w:val="22"/>
          <w:szCs w:val="22"/>
        </w:rPr>
        <w:t>,</w:t>
      </w:r>
      <w:r w:rsidRPr="00756901">
        <w:rPr>
          <w:rFonts w:ascii="Palatino Linotype" w:eastAsia="Palatino Linotype" w:hAnsi="Palatino Linotype" w:cs="Palatino Linotype"/>
          <w:b/>
          <w:sz w:val="22"/>
          <w:szCs w:val="22"/>
        </w:rPr>
        <w:t xml:space="preserve"> </w:t>
      </w:r>
      <w:r w:rsidRPr="00756901">
        <w:rPr>
          <w:rFonts w:ascii="Palatino Linotype" w:eastAsia="Palatino Linotype" w:hAnsi="Palatino Linotype" w:cs="Palatino Linotype"/>
          <w:sz w:val="22"/>
          <w:szCs w:val="22"/>
        </w:rPr>
        <w:t xml:space="preserve">vía </w:t>
      </w:r>
      <w:r w:rsidRPr="00756901">
        <w:rPr>
          <w:rFonts w:ascii="Palatino Linotype" w:eastAsia="Palatino Linotype" w:hAnsi="Palatino Linotype" w:cs="Palatino Linotype"/>
          <w:b/>
          <w:sz w:val="22"/>
          <w:szCs w:val="22"/>
        </w:rPr>
        <w:t>Sistema de Acceso a la Información Mexiquense</w:t>
      </w:r>
      <w:r w:rsidRPr="00756901">
        <w:rPr>
          <w:rFonts w:ascii="Palatino Linotype" w:eastAsia="Palatino Linotype" w:hAnsi="Palatino Linotype" w:cs="Palatino Linotype"/>
          <w:sz w:val="22"/>
          <w:szCs w:val="22"/>
        </w:rPr>
        <w:t xml:space="preserve">, a la parte </w:t>
      </w:r>
      <w:r w:rsidRPr="00756901">
        <w:rPr>
          <w:rFonts w:ascii="Palatino Linotype" w:eastAsia="Palatino Linotype" w:hAnsi="Palatino Linotype" w:cs="Palatino Linotype"/>
          <w:b/>
          <w:sz w:val="22"/>
          <w:szCs w:val="22"/>
        </w:rPr>
        <w:t xml:space="preserve">Recurrente </w:t>
      </w:r>
      <w:r w:rsidRPr="00756901">
        <w:rPr>
          <w:rFonts w:ascii="Palatino Linotype" w:eastAsia="Palatino Linotype" w:hAnsi="Palatino Linotype" w:cs="Palatino Linotype"/>
          <w:sz w:val="22"/>
          <w:szCs w:val="22"/>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1EC18E09"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0272B914" w14:textId="77777777" w:rsidR="0061352F" w:rsidRPr="00756901" w:rsidRDefault="00A905FB">
      <w:pPr>
        <w:spacing w:line="360" w:lineRule="auto"/>
        <w:jc w:val="both"/>
        <w:rPr>
          <w:rFonts w:ascii="Palatino Linotype" w:eastAsia="Palatino Linotype" w:hAnsi="Palatino Linotype" w:cs="Palatino Linotype"/>
          <w:sz w:val="22"/>
          <w:szCs w:val="22"/>
        </w:rPr>
      </w:pPr>
      <w:r w:rsidRPr="00756901">
        <w:rPr>
          <w:rFonts w:ascii="Palatino Linotype" w:eastAsia="Palatino Linotype" w:hAnsi="Palatino Linotype" w:cs="Palatino Linotype"/>
          <w:b/>
          <w:sz w:val="22"/>
          <w:szCs w:val="22"/>
        </w:rPr>
        <w:t xml:space="preserve">Quinto. Notifíquese </w:t>
      </w:r>
      <w:r w:rsidRPr="00756901">
        <w:rPr>
          <w:rFonts w:ascii="Palatino Linotype" w:eastAsia="Palatino Linotype" w:hAnsi="Palatino Linotype" w:cs="Palatino Linotype"/>
          <w:sz w:val="22"/>
          <w:szCs w:val="22"/>
        </w:rPr>
        <w:t xml:space="preserve">a la parte </w:t>
      </w:r>
      <w:r w:rsidRPr="00756901">
        <w:rPr>
          <w:rFonts w:ascii="Palatino Linotype" w:eastAsia="Palatino Linotype" w:hAnsi="Palatino Linotype" w:cs="Palatino Linotype"/>
          <w:b/>
          <w:sz w:val="22"/>
          <w:szCs w:val="22"/>
        </w:rPr>
        <w:t xml:space="preserve">Recurrente </w:t>
      </w:r>
      <w:r w:rsidRPr="00756901">
        <w:rPr>
          <w:rFonts w:ascii="Palatino Linotype" w:eastAsia="Palatino Linotype" w:hAnsi="Palatino Linotype" w:cs="Palatino Linotype"/>
          <w:sz w:val="22"/>
          <w:szCs w:val="22"/>
        </w:rPr>
        <w:t xml:space="preserve">que la respuesta que dé el </w:t>
      </w:r>
      <w:r w:rsidRPr="00756901">
        <w:rPr>
          <w:rFonts w:ascii="Palatino Linotype" w:eastAsia="Palatino Linotype" w:hAnsi="Palatino Linotype" w:cs="Palatino Linotype"/>
          <w:b/>
          <w:sz w:val="22"/>
          <w:szCs w:val="22"/>
        </w:rPr>
        <w:t>Sujeto Obligado</w:t>
      </w:r>
      <w:r w:rsidRPr="00756901">
        <w:rPr>
          <w:rFonts w:ascii="Palatino Linotype" w:eastAsia="Palatino Linotype" w:hAnsi="Palatino Linotype" w:cs="Palatino Linotype"/>
          <w:sz w:val="22"/>
          <w:szCs w:val="22"/>
        </w:rPr>
        <w:t xml:space="preserve"> derivada de la presente resolución es susceptible de ser impugnadas nuevamente, mediante recurso de revisión, ante el Instituto, en términos del artículo 179, último párrafo de la Ley de Transparencia y Acceso a la Información Pública del Estado de México y Municipios.</w:t>
      </w:r>
    </w:p>
    <w:p w14:paraId="0632E486" w14:textId="77777777" w:rsidR="0061352F" w:rsidRPr="00756901" w:rsidRDefault="0061352F">
      <w:pPr>
        <w:spacing w:line="360" w:lineRule="auto"/>
        <w:jc w:val="both"/>
        <w:rPr>
          <w:rFonts w:ascii="Palatino Linotype" w:eastAsia="Palatino Linotype" w:hAnsi="Palatino Linotype" w:cs="Palatino Linotype"/>
          <w:b/>
          <w:sz w:val="22"/>
          <w:szCs w:val="22"/>
        </w:rPr>
      </w:pPr>
    </w:p>
    <w:p w14:paraId="69759B42" w14:textId="77777777" w:rsidR="0061352F" w:rsidRPr="00756901" w:rsidRDefault="00A905FB">
      <w:pPr>
        <w:spacing w:line="360" w:lineRule="auto"/>
        <w:jc w:val="both"/>
        <w:rPr>
          <w:rFonts w:ascii="Palatino Linotype" w:eastAsia="Palatino Linotype" w:hAnsi="Palatino Linotype" w:cs="Palatino Linotype"/>
          <w:b/>
          <w:sz w:val="22"/>
          <w:szCs w:val="22"/>
        </w:rPr>
      </w:pPr>
      <w:r w:rsidRPr="00756901">
        <w:rPr>
          <w:rFonts w:ascii="Palatino Linotype" w:eastAsia="Palatino Linotype" w:hAnsi="Palatino Linotype" w:cs="Palatino Linotype"/>
          <w:b/>
          <w:sz w:val="22"/>
          <w:szCs w:val="22"/>
        </w:rPr>
        <w:t xml:space="preserve">Sexto. Gírese </w:t>
      </w:r>
      <w:r w:rsidRPr="00756901">
        <w:rPr>
          <w:rFonts w:ascii="Palatino Linotype" w:eastAsia="Palatino Linotype" w:hAnsi="Palatino Linotype" w:cs="Palatino Linotype"/>
          <w:sz w:val="22"/>
          <w:szCs w:val="22"/>
        </w:rPr>
        <w:t xml:space="preserve">oficio a la </w:t>
      </w:r>
      <w:r w:rsidRPr="00756901">
        <w:rPr>
          <w:rFonts w:ascii="Palatino Linotype" w:eastAsia="Palatino Linotype" w:hAnsi="Palatino Linotype" w:cs="Palatino Linotype"/>
          <w:b/>
          <w:sz w:val="22"/>
          <w:szCs w:val="22"/>
        </w:rPr>
        <w:t>Secretaría Técnica del Pleno</w:t>
      </w:r>
      <w:r w:rsidRPr="00756901">
        <w:rPr>
          <w:rFonts w:ascii="Palatino Linotype" w:eastAsia="Palatino Linotype" w:hAnsi="Palatino Linotype" w:cs="Palatino Linotype"/>
          <w:sz w:val="22"/>
          <w:szCs w:val="22"/>
        </w:rPr>
        <w:t xml:space="preserve"> de este Instituto para hacer del conocimiento del Órgano Interno de Control competente la presente resolución, a fin de que de conformidad con el artículo 190 de la Ley de Transparencia y Acceso a la Información Pública del Estado de México y Municipios se determine lo conducente, en términos de lo señalado en el Considerando Cuarto</w:t>
      </w:r>
      <w:r w:rsidRPr="00756901">
        <w:rPr>
          <w:rFonts w:ascii="Palatino Linotype" w:eastAsia="Palatino Linotype" w:hAnsi="Palatino Linotype" w:cs="Palatino Linotype"/>
          <w:b/>
          <w:sz w:val="22"/>
          <w:szCs w:val="22"/>
        </w:rPr>
        <w:t xml:space="preserve"> </w:t>
      </w:r>
      <w:r w:rsidRPr="00756901">
        <w:rPr>
          <w:rFonts w:ascii="Palatino Linotype" w:eastAsia="Palatino Linotype" w:hAnsi="Palatino Linotype" w:cs="Palatino Linotype"/>
          <w:sz w:val="22"/>
          <w:szCs w:val="22"/>
        </w:rPr>
        <w:t>de la presente resolución.</w:t>
      </w:r>
      <w:r w:rsidRPr="00756901">
        <w:rPr>
          <w:rFonts w:ascii="Palatino Linotype" w:eastAsia="Palatino Linotype" w:hAnsi="Palatino Linotype" w:cs="Palatino Linotype"/>
          <w:b/>
          <w:sz w:val="22"/>
          <w:szCs w:val="22"/>
        </w:rPr>
        <w:t xml:space="preserve"> </w:t>
      </w:r>
    </w:p>
    <w:p w14:paraId="5FD214BF" w14:textId="77777777" w:rsidR="0061352F" w:rsidRPr="00756901" w:rsidRDefault="0061352F">
      <w:pPr>
        <w:spacing w:line="360" w:lineRule="auto"/>
        <w:jc w:val="both"/>
        <w:rPr>
          <w:rFonts w:ascii="Palatino Linotype" w:eastAsia="Palatino Linotype" w:hAnsi="Palatino Linotype" w:cs="Palatino Linotype"/>
          <w:sz w:val="22"/>
          <w:szCs w:val="22"/>
        </w:rPr>
      </w:pPr>
    </w:p>
    <w:p w14:paraId="1972D5E1" w14:textId="77777777" w:rsidR="0061352F" w:rsidRPr="0064231B" w:rsidRDefault="00A905FB">
      <w:pPr>
        <w:spacing w:line="360" w:lineRule="auto"/>
        <w:ind w:right="49"/>
        <w:jc w:val="both"/>
        <w:rPr>
          <w:rFonts w:ascii="Palatino Linotype" w:eastAsia="Palatino Linotype" w:hAnsi="Palatino Linotype" w:cs="Palatino Linotype"/>
          <w:sz w:val="22"/>
          <w:szCs w:val="22"/>
        </w:rPr>
        <w:sectPr w:rsidR="0061352F" w:rsidRPr="0064231B">
          <w:headerReference w:type="default" r:id="rId9"/>
          <w:footerReference w:type="default" r:id="rId10"/>
          <w:headerReference w:type="first" r:id="rId11"/>
          <w:footerReference w:type="first" r:id="rId12"/>
          <w:pgSz w:w="12240" w:h="15840"/>
          <w:pgMar w:top="1985" w:right="1701" w:bottom="1701" w:left="1701" w:header="709" w:footer="709" w:gutter="0"/>
          <w:pgNumType w:start="1"/>
          <w:cols w:space="720"/>
          <w:titlePg/>
        </w:sectPr>
      </w:pPr>
      <w:bookmarkStart w:id="4" w:name="_heading=h.1fob9te" w:colFirst="0" w:colLast="0"/>
      <w:bookmarkEnd w:id="4"/>
      <w:r w:rsidRPr="00756901">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SESIÓN ORDINARIA CELEBRADA EL DOCE DE NOVIEMBRE DE DOS MIL VEINTICINCO, ANTE EL SECRETARIO TÉCNICO DEL PLENO ALEXIS TAPIA RAMÍREZ.</w:t>
      </w:r>
      <w:r w:rsidRPr="0064231B">
        <w:rPr>
          <w:rFonts w:ascii="Palatino Linotype" w:eastAsia="Palatino Linotype" w:hAnsi="Palatino Linotype" w:cs="Palatino Linotype"/>
          <w:sz w:val="22"/>
          <w:szCs w:val="22"/>
        </w:rPr>
        <w:t xml:space="preserve"> </w:t>
      </w:r>
    </w:p>
    <w:p w14:paraId="6583E131" w14:textId="77777777" w:rsidR="0061352F" w:rsidRPr="0064231B" w:rsidRDefault="0061352F">
      <w:pPr>
        <w:tabs>
          <w:tab w:val="left" w:pos="709"/>
        </w:tabs>
        <w:spacing w:line="360" w:lineRule="auto"/>
        <w:jc w:val="both"/>
        <w:rPr>
          <w:rFonts w:ascii="Palatino Linotype" w:eastAsia="Palatino Linotype" w:hAnsi="Palatino Linotype" w:cs="Palatino Linotype"/>
          <w:sz w:val="22"/>
          <w:szCs w:val="22"/>
        </w:rPr>
      </w:pPr>
    </w:p>
    <w:p w14:paraId="0F630772" w14:textId="77777777" w:rsidR="0061352F" w:rsidRPr="0064231B" w:rsidRDefault="0061352F">
      <w:pPr>
        <w:rPr>
          <w:sz w:val="22"/>
          <w:szCs w:val="22"/>
        </w:rPr>
      </w:pPr>
    </w:p>
    <w:sectPr w:rsidR="0061352F" w:rsidRPr="0064231B">
      <w:headerReference w:type="first" r:id="rId13"/>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2658E6" w14:textId="77777777" w:rsidR="001A64F1" w:rsidRDefault="001A64F1">
      <w:r>
        <w:separator/>
      </w:r>
    </w:p>
  </w:endnote>
  <w:endnote w:type="continuationSeparator" w:id="0">
    <w:p w14:paraId="44A61299" w14:textId="77777777" w:rsidR="001A64F1" w:rsidRDefault="001A6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embedRegular r:id="rId1" w:fontKey="{D604D507-B778-466F-B008-2DBACEEC6ED3}"/>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C8539A-4979-4F96-A471-7358F4652C3B}"/>
  </w:font>
  <w:font w:name="Segoe UI">
    <w:panose1 w:val="020B0502040204020203"/>
    <w:charset w:val="00"/>
    <w:family w:val="swiss"/>
    <w:pitch w:val="variable"/>
    <w:sig w:usb0="E4002EFF" w:usb1="C000E47F" w:usb2="00000009" w:usb3="00000000" w:csb0="000001FF" w:csb1="00000000"/>
    <w:embedRegular r:id="rId3" w:fontKey="{6BD0CACA-CFC6-49F7-A3A7-30E7BD169F55}"/>
  </w:font>
  <w:font w:name="Georgia">
    <w:panose1 w:val="02040502050405020303"/>
    <w:charset w:val="00"/>
    <w:family w:val="roman"/>
    <w:pitch w:val="variable"/>
    <w:sig w:usb0="00000287" w:usb1="00000000" w:usb2="00000000" w:usb3="00000000" w:csb0="0000009F" w:csb1="00000000"/>
    <w:embedRegular r:id="rId4" w:fontKey="{02084A6E-1D28-4B36-B56C-6670C21118DB}"/>
    <w:embedItalic r:id="rId5" w:fontKey="{50A47B57-287F-473C-8E84-70C945261275}"/>
  </w:font>
  <w:font w:name="Palatino Linotype">
    <w:panose1 w:val="02040502050505030304"/>
    <w:charset w:val="00"/>
    <w:family w:val="roman"/>
    <w:pitch w:val="variable"/>
    <w:sig w:usb0="E0000287" w:usb1="40000013" w:usb2="00000000" w:usb3="00000000" w:csb0="0000019F" w:csb1="00000000"/>
    <w:embedRegular r:id="rId6" w:fontKey="{C58207D7-0A5D-4E25-8549-77D9E05B90BD}"/>
    <w:embedBold r:id="rId7" w:fontKey="{DF37B2E8-DF9B-412C-893A-2054A6F78AEC}"/>
    <w:embedItalic r:id="rId8" w:fontKey="{88438856-6512-43D2-B4BF-2B282A9E417B}"/>
    <w:embedBoldItalic r:id="rId9" w:fontKey="{D1036944-FFEF-4417-B348-F1A5248BF61D}"/>
  </w:font>
  <w:font w:name="Verdana">
    <w:panose1 w:val="020B0604030504040204"/>
    <w:charset w:val="00"/>
    <w:family w:val="swiss"/>
    <w:pitch w:val="variable"/>
    <w:sig w:usb0="A00006FF" w:usb1="4000205B" w:usb2="00000010" w:usb3="00000000" w:csb0="0000019F" w:csb1="00000000"/>
    <w:embedRegular r:id="rId10" w:fontKey="{9ADDE95C-AC44-4182-8BB7-D28F51233925}"/>
    <w:embedBold r:id="rId11" w:fontKey="{AA14DD40-F5C6-48A7-B050-280A21AAA5E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2" w:fontKey="{9F3FC020-77F0-4899-BC65-D3BEDB01469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D7BB9" w14:textId="530F7CEF" w:rsidR="0061352F" w:rsidRDefault="00A905F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605BC">
      <w:rPr>
        <w:rFonts w:ascii="Arial" w:eastAsia="Arial" w:hAnsi="Arial" w:cs="Arial"/>
        <w:b/>
        <w:noProof/>
        <w:color w:val="000000"/>
        <w:sz w:val="20"/>
        <w:szCs w:val="20"/>
      </w:rPr>
      <w:t>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605BC">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35D02E44" w14:textId="77777777" w:rsidR="0061352F" w:rsidRDefault="0061352F">
    <w:pPr>
      <w:pBdr>
        <w:top w:val="nil"/>
        <w:left w:val="nil"/>
        <w:bottom w:val="nil"/>
        <w:right w:val="nil"/>
        <w:between w:val="nil"/>
      </w:pBdr>
      <w:tabs>
        <w:tab w:val="center" w:pos="4252"/>
        <w:tab w:val="right" w:pos="8504"/>
      </w:tabs>
      <w:rPr>
        <w:color w:val="000000"/>
      </w:rPr>
    </w:pPr>
  </w:p>
  <w:p w14:paraId="0E8BBA2D" w14:textId="77777777" w:rsidR="0061352F" w:rsidRDefault="0061352F">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0B64A" w14:textId="532B69F4" w:rsidR="0061352F" w:rsidRDefault="00A905FB">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605BC">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605BC">
      <w:rPr>
        <w:rFonts w:ascii="Arial" w:eastAsia="Arial" w:hAnsi="Arial" w:cs="Arial"/>
        <w:b/>
        <w:noProof/>
        <w:color w:val="000000"/>
        <w:sz w:val="20"/>
        <w:szCs w:val="20"/>
      </w:rPr>
      <w:t>28</w:t>
    </w:r>
    <w:r>
      <w:rPr>
        <w:rFonts w:ascii="Arial" w:eastAsia="Arial" w:hAnsi="Arial" w:cs="Arial"/>
        <w:b/>
        <w:color w:val="000000"/>
        <w:sz w:val="20"/>
        <w:szCs w:val="20"/>
      </w:rPr>
      <w:fldChar w:fldCharType="end"/>
    </w:r>
  </w:p>
  <w:p w14:paraId="2F4E2401" w14:textId="77777777" w:rsidR="0061352F" w:rsidRDefault="0061352F">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87512E" w14:textId="77777777" w:rsidR="001A64F1" w:rsidRDefault="001A64F1">
      <w:r>
        <w:separator/>
      </w:r>
    </w:p>
  </w:footnote>
  <w:footnote w:type="continuationSeparator" w:id="0">
    <w:p w14:paraId="294E54BE" w14:textId="77777777" w:rsidR="001A64F1" w:rsidRDefault="001A64F1">
      <w:r>
        <w:continuationSeparator/>
      </w:r>
    </w:p>
  </w:footnote>
  <w:footnote w:id="1">
    <w:p w14:paraId="794B79EF" w14:textId="77777777" w:rsidR="0061352F" w:rsidRDefault="00A905FB">
      <w:pPr>
        <w:spacing w:before="240"/>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“Artículo 178.</w:t>
      </w:r>
    </w:p>
    <w:p w14:paraId="5F91AE33" w14:textId="77777777" w:rsidR="0061352F" w:rsidRDefault="00A905FB">
      <w:pPr>
        <w:jc w:val="both"/>
        <w:rPr>
          <w:rFonts w:ascii="Palatino Linotype" w:eastAsia="Palatino Linotype" w:hAnsi="Palatino Linotype" w:cs="Palatino Linotype"/>
          <w:sz w:val="16"/>
          <w:szCs w:val="16"/>
        </w:rPr>
      </w:pPr>
      <w:r>
        <w:rPr>
          <w:rFonts w:ascii="Palatino Linotype" w:eastAsia="Palatino Linotype" w:hAnsi="Palatino Linotype" w:cs="Palatino Linotype"/>
          <w:sz w:val="16"/>
          <w:szCs w:val="16"/>
        </w:rPr>
        <w:t>…</w:t>
      </w:r>
    </w:p>
    <w:p w14:paraId="72D4B56A" w14:textId="77777777" w:rsidR="0061352F" w:rsidRDefault="00A905FB">
      <w:pPr>
        <w:spacing w:after="240"/>
        <w:jc w:val="both"/>
      </w:pPr>
      <w:r>
        <w:rPr>
          <w:rFonts w:ascii="Palatino Linotype" w:eastAsia="Palatino Linotype" w:hAnsi="Palatino Linotype" w:cs="Palatino Linotype"/>
          <w:sz w:val="16"/>
          <w:szCs w:val="16"/>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solicitud…”(Sic)</w:t>
      </w:r>
    </w:p>
  </w:footnote>
  <w:footnote w:id="2">
    <w:p w14:paraId="65408A02"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Al encontrarse en algún supuesto restrictivo, previsto en la normatividad aplicable.</w:t>
      </w:r>
    </w:p>
  </w:footnote>
  <w:footnote w:id="3">
    <w:p w14:paraId="77FB5B25"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00E49447"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4">
    <w:p w14:paraId="5C1928C1"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4C3D6076"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5">
    <w:p w14:paraId="69AA66D5"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4937DCA9"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7F190CB8"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6">
    <w:p w14:paraId="7F09DA10" w14:textId="77777777" w:rsidR="0061352F" w:rsidRDefault="00A905FB">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162112" w14:textId="77777777" w:rsidR="0061352F" w:rsidRDefault="0061352F">
    <w:pPr>
      <w:widowControl w:val="0"/>
      <w:pBdr>
        <w:top w:val="nil"/>
        <w:left w:val="nil"/>
        <w:bottom w:val="nil"/>
        <w:right w:val="nil"/>
        <w:between w:val="nil"/>
      </w:pBdr>
      <w:spacing w:line="276" w:lineRule="auto"/>
      <w:rPr>
        <w:rFonts w:ascii="Calibri" w:eastAsia="Calibri" w:hAnsi="Calibri" w:cs="Calibri"/>
        <w:color w:val="000000"/>
      </w:rPr>
    </w:pPr>
  </w:p>
  <w:tbl>
    <w:tblPr>
      <w:tblStyle w:val="a6"/>
      <w:tblW w:w="5528" w:type="dxa"/>
      <w:tblInd w:w="3261" w:type="dxa"/>
      <w:tblLayout w:type="fixed"/>
      <w:tblLook w:val="0400" w:firstRow="0" w:lastRow="0" w:firstColumn="0" w:lastColumn="0" w:noHBand="0" w:noVBand="1"/>
    </w:tblPr>
    <w:tblGrid>
      <w:gridCol w:w="2552"/>
      <w:gridCol w:w="2976"/>
    </w:tblGrid>
    <w:tr w:rsidR="0061352F" w14:paraId="79C836D6" w14:textId="77777777">
      <w:tc>
        <w:tcPr>
          <w:tcW w:w="2552" w:type="dxa"/>
          <w:vAlign w:val="center"/>
        </w:tcPr>
        <w:p w14:paraId="7DFF82B5" w14:textId="77777777" w:rsidR="0061352F" w:rsidRDefault="00A905F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4E464B6B" w14:textId="77777777" w:rsidR="0061352F" w:rsidRDefault="00A905FB">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11699/INFOEM/IP/RR/2025 </w:t>
          </w:r>
        </w:p>
      </w:tc>
    </w:tr>
    <w:tr w:rsidR="0061352F" w14:paraId="01354C58" w14:textId="77777777">
      <w:trPr>
        <w:trHeight w:val="228"/>
      </w:trPr>
      <w:tc>
        <w:tcPr>
          <w:tcW w:w="2552" w:type="dxa"/>
          <w:vAlign w:val="center"/>
        </w:tcPr>
        <w:p w14:paraId="10ECB053" w14:textId="77777777" w:rsidR="0061352F" w:rsidRDefault="00A905F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p w14:paraId="633507F0" w14:textId="77777777" w:rsidR="0061352F" w:rsidRDefault="0061352F">
          <w:pPr>
            <w:rPr>
              <w:rFonts w:ascii="Palatino Linotype" w:eastAsia="Palatino Linotype" w:hAnsi="Palatino Linotype" w:cs="Palatino Linotype"/>
              <w:b/>
              <w:sz w:val="21"/>
              <w:szCs w:val="21"/>
            </w:rPr>
          </w:pPr>
        </w:p>
      </w:tc>
      <w:tc>
        <w:tcPr>
          <w:tcW w:w="2976" w:type="dxa"/>
          <w:vAlign w:val="center"/>
        </w:tcPr>
        <w:p w14:paraId="047E6D57" w14:textId="77777777" w:rsidR="0061352F" w:rsidRDefault="00A905FB">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Ixtapaluca</w:t>
          </w:r>
        </w:p>
      </w:tc>
    </w:tr>
    <w:tr w:rsidR="0061352F" w14:paraId="4A06A344" w14:textId="77777777">
      <w:tc>
        <w:tcPr>
          <w:tcW w:w="2552" w:type="dxa"/>
          <w:vAlign w:val="center"/>
        </w:tcPr>
        <w:p w14:paraId="74BE861C" w14:textId="77777777" w:rsidR="0061352F" w:rsidRDefault="00A905F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4C2BDE94" w14:textId="77777777" w:rsidR="0061352F" w:rsidRDefault="00A905FB">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7BB236D3" w14:textId="77777777" w:rsidR="0061352F" w:rsidRDefault="00A905FB">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rPr>
      <w:drawing>
        <wp:anchor distT="0" distB="0" distL="0" distR="0" simplePos="0" relativeHeight="251658240" behindDoc="1" locked="0" layoutInCell="1" hidden="0" allowOverlap="1" wp14:anchorId="1BF13716" wp14:editId="0FDB0FE7">
          <wp:simplePos x="0" y="0"/>
          <wp:positionH relativeFrom="column">
            <wp:posOffset>-689274</wp:posOffset>
          </wp:positionH>
          <wp:positionV relativeFrom="paragraph">
            <wp:posOffset>-1171012</wp:posOffset>
          </wp:positionV>
          <wp:extent cx="7635875" cy="9943465"/>
          <wp:effectExtent l="0" t="0" r="0" b="0"/>
          <wp:wrapNone/>
          <wp:docPr id="1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9304E" w14:textId="77777777" w:rsidR="0061352F" w:rsidRDefault="00A905F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rPr>
      <w:drawing>
        <wp:anchor distT="0" distB="0" distL="0" distR="0" simplePos="0" relativeHeight="251659264" behindDoc="1" locked="0" layoutInCell="1" hidden="0" allowOverlap="1" wp14:anchorId="61FDBA47" wp14:editId="5DE019D2">
          <wp:simplePos x="0" y="0"/>
          <wp:positionH relativeFrom="column">
            <wp:posOffset>-675561</wp:posOffset>
          </wp:positionH>
          <wp:positionV relativeFrom="paragraph">
            <wp:posOffset>-341825</wp:posOffset>
          </wp:positionV>
          <wp:extent cx="7635875" cy="9943465"/>
          <wp:effectExtent l="0" t="0" r="0" b="0"/>
          <wp:wrapNone/>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7"/>
      <w:tblW w:w="6238" w:type="dxa"/>
      <w:tblInd w:w="3119" w:type="dxa"/>
      <w:tblLayout w:type="fixed"/>
      <w:tblLook w:val="0400" w:firstRow="0" w:lastRow="0" w:firstColumn="0" w:lastColumn="0" w:noHBand="0" w:noVBand="1"/>
    </w:tblPr>
    <w:tblGrid>
      <w:gridCol w:w="2551"/>
      <w:gridCol w:w="3687"/>
    </w:tblGrid>
    <w:tr w:rsidR="0061352F" w14:paraId="15A912CB" w14:textId="77777777">
      <w:tc>
        <w:tcPr>
          <w:tcW w:w="2551" w:type="dxa"/>
          <w:vAlign w:val="center"/>
        </w:tcPr>
        <w:p w14:paraId="6B8EF514" w14:textId="77777777" w:rsidR="0061352F" w:rsidRDefault="00A905F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665CEAD0" w14:textId="77777777" w:rsidR="0061352F" w:rsidRDefault="00A905FB">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11699/INFOEM/IP/RR/2025</w:t>
          </w:r>
        </w:p>
      </w:tc>
    </w:tr>
    <w:tr w:rsidR="0061352F" w14:paraId="3377776F" w14:textId="77777777">
      <w:tc>
        <w:tcPr>
          <w:tcW w:w="2551" w:type="dxa"/>
          <w:vAlign w:val="center"/>
        </w:tcPr>
        <w:p w14:paraId="1242B86F" w14:textId="77777777" w:rsidR="0061352F" w:rsidRDefault="00A905FB">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24AA4721" w14:textId="362B1645" w:rsidR="0061352F" w:rsidRDefault="00C605BC" w:rsidP="00C605BC">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 XXXXXX XX XXXX </w:t>
          </w:r>
        </w:p>
      </w:tc>
    </w:tr>
    <w:tr w:rsidR="0061352F" w14:paraId="0DE53E2C" w14:textId="77777777">
      <w:trPr>
        <w:trHeight w:val="228"/>
      </w:trPr>
      <w:tc>
        <w:tcPr>
          <w:tcW w:w="2551" w:type="dxa"/>
          <w:vAlign w:val="center"/>
        </w:tcPr>
        <w:p w14:paraId="092DAAE1" w14:textId="77777777" w:rsidR="0061352F" w:rsidRDefault="00A905F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p w14:paraId="38012D24" w14:textId="77777777" w:rsidR="0061352F" w:rsidRDefault="0061352F">
          <w:pPr>
            <w:rPr>
              <w:rFonts w:ascii="Palatino Linotype" w:eastAsia="Palatino Linotype" w:hAnsi="Palatino Linotype" w:cs="Palatino Linotype"/>
              <w:b/>
              <w:sz w:val="21"/>
              <w:szCs w:val="21"/>
            </w:rPr>
          </w:pPr>
        </w:p>
      </w:tc>
      <w:tc>
        <w:tcPr>
          <w:tcW w:w="3687" w:type="dxa"/>
          <w:vAlign w:val="center"/>
        </w:tcPr>
        <w:p w14:paraId="202D88C9" w14:textId="77777777" w:rsidR="0061352F" w:rsidRDefault="00A905FB">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Sistema Municipal Para el Desarrollo Integral de la Familia de Ixtapaluca</w:t>
          </w:r>
        </w:p>
      </w:tc>
    </w:tr>
    <w:tr w:rsidR="0061352F" w14:paraId="7DA2F203" w14:textId="77777777">
      <w:tc>
        <w:tcPr>
          <w:tcW w:w="2551" w:type="dxa"/>
          <w:vAlign w:val="center"/>
        </w:tcPr>
        <w:p w14:paraId="2E8EC579" w14:textId="77777777" w:rsidR="0061352F" w:rsidRDefault="00A905F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363A823B" w14:textId="77777777" w:rsidR="0061352F" w:rsidRDefault="00A905FB">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F2B6276" w14:textId="77777777" w:rsidR="0061352F" w:rsidRDefault="0061352F">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409F3" w14:textId="77777777" w:rsidR="0061352F" w:rsidRDefault="00A905FB">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239E70B1" w14:textId="77777777" w:rsidR="0061352F" w:rsidRDefault="0061352F">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AF0219"/>
    <w:multiLevelType w:val="multilevel"/>
    <w:tmpl w:val="36526E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2E06F8D"/>
    <w:multiLevelType w:val="multilevel"/>
    <w:tmpl w:val="6EF665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77F3200"/>
    <w:multiLevelType w:val="multilevel"/>
    <w:tmpl w:val="DB9A4E82"/>
    <w:lvl w:ilvl="0">
      <w:start w:val="1"/>
      <w:numFmt w:val="lowerLetter"/>
      <w:lvlText w:val="%1)"/>
      <w:lvlJc w:val="left"/>
      <w:pPr>
        <w:ind w:left="927" w:hanging="360"/>
      </w:pPr>
      <w:rPr>
        <w:b/>
        <w:i w:val="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435D1A0A"/>
    <w:multiLevelType w:val="multilevel"/>
    <w:tmpl w:val="5DC854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4026042"/>
    <w:multiLevelType w:val="multilevel"/>
    <w:tmpl w:val="1BA62D4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B692D4C"/>
    <w:multiLevelType w:val="multilevel"/>
    <w:tmpl w:val="0CFCA5A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352F"/>
    <w:rsid w:val="000709AA"/>
    <w:rsid w:val="001A64F1"/>
    <w:rsid w:val="0061352F"/>
    <w:rsid w:val="0064231B"/>
    <w:rsid w:val="00756901"/>
    <w:rsid w:val="007F0339"/>
    <w:rsid w:val="00A905FB"/>
    <w:rsid w:val="00C605BC"/>
    <w:rsid w:val="00D826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5D7D1"/>
  <w15:docId w15:val="{231A1CA8-B92D-44E5-9DC4-D40C83CEE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paragraph" w:styleId="Textoindependiente">
    <w:name w:val="Body Text"/>
    <w:basedOn w:val="Normal"/>
    <w:link w:val="TextoindependienteCar"/>
    <w:uiPriority w:val="99"/>
    <w:unhideWhenUsed/>
    <w:rsid w:val="00AA0915"/>
    <w:pPr>
      <w:spacing w:after="120"/>
    </w:pPr>
  </w:style>
  <w:style w:type="character" w:customStyle="1" w:styleId="TextoindependienteCar">
    <w:name w:val="Texto independiente Car"/>
    <w:basedOn w:val="Fuentedeprrafopredeter"/>
    <w:link w:val="Textoindependiente"/>
    <w:uiPriority w:val="99"/>
    <w:rsid w:val="00AA0915"/>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paragraph" w:styleId="Sinespaciado">
    <w:name w:val="No Spacing"/>
    <w:aliases w:val="Francesa,INAI"/>
    <w:link w:val="SinespaciadoCar"/>
    <w:uiPriority w:val="1"/>
    <w:qFormat/>
    <w:rsid w:val="0085765F"/>
    <w:rPr>
      <w:lang w:val="es-MX" w:eastAsia="es-ES"/>
    </w:rPr>
  </w:style>
  <w:style w:type="character" w:customStyle="1" w:styleId="SinespaciadoCar">
    <w:name w:val="Sin espaciado Car"/>
    <w:aliases w:val="Francesa Car,INAI Car"/>
    <w:link w:val="Sinespaciado"/>
    <w:uiPriority w:val="1"/>
    <w:locked/>
    <w:rsid w:val="0085765F"/>
    <w:rPr>
      <w:lang w:val="es-MX"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6">
    <w:basedOn w:val="TableNormal0"/>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dyJAq20jRoDL4Ba3g077KLvTNw==">CgMxLjAyCGguZ2pkZ3hzMgloLjNkeTZ2a20yCWguM3pueXNoNzIJaC4xZm9iOXRlOAByITFlUHZOU202SUkwUndzRzQ3Ukpadjc0NlVvYUFDQ1ZuVg==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7104</Words>
  <Characters>39078</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Villagómez Martínez</cp:lastModifiedBy>
  <cp:revision>2</cp:revision>
  <cp:lastPrinted>2025-11-14T19:23:00Z</cp:lastPrinted>
  <dcterms:created xsi:type="dcterms:W3CDTF">2025-12-13T01:20:00Z</dcterms:created>
  <dcterms:modified xsi:type="dcterms:W3CDTF">2025-12-13T01:20:00Z</dcterms:modified>
</cp:coreProperties>
</file>