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D55BA" w:rsidRDefault="00AE3DA7" w:rsidP="00CD55BA">
          <w:pPr>
            <w:pStyle w:val="TtuloTDC"/>
            <w:spacing w:before="0" w:line="240" w:lineRule="auto"/>
            <w:rPr>
              <w:rFonts w:ascii="Palatino Linotype" w:hAnsi="Palatino Linotype"/>
              <w:color w:val="auto"/>
              <w:sz w:val="24"/>
              <w:szCs w:val="24"/>
              <w:lang w:val="es-ES"/>
            </w:rPr>
          </w:pPr>
          <w:r w:rsidRPr="00CD55BA">
            <w:rPr>
              <w:rFonts w:ascii="Palatino Linotype" w:hAnsi="Palatino Linotype"/>
              <w:color w:val="auto"/>
              <w:sz w:val="24"/>
              <w:szCs w:val="24"/>
              <w:lang w:val="es-ES"/>
            </w:rPr>
            <w:t>Contenido</w:t>
          </w:r>
        </w:p>
        <w:p w14:paraId="3EB312A7" w14:textId="77777777" w:rsidR="00AA6EA9" w:rsidRPr="00CD55BA" w:rsidRDefault="00AA6EA9" w:rsidP="00CD55BA">
          <w:pPr>
            <w:spacing w:line="240" w:lineRule="auto"/>
            <w:rPr>
              <w:sz w:val="16"/>
              <w:szCs w:val="16"/>
              <w:lang w:val="es-ES" w:eastAsia="es-MX"/>
            </w:rPr>
          </w:pPr>
        </w:p>
        <w:p w14:paraId="73CEEA37" w14:textId="77777777" w:rsidR="00CD55BA" w:rsidRPr="00CD55BA" w:rsidRDefault="00AE3DA7" w:rsidP="00CD55BA">
          <w:pPr>
            <w:pStyle w:val="TDC1"/>
            <w:tabs>
              <w:tab w:val="right" w:leader="dot" w:pos="9034"/>
            </w:tabs>
            <w:rPr>
              <w:rFonts w:asciiTheme="minorHAnsi" w:eastAsiaTheme="minorEastAsia" w:hAnsiTheme="minorHAnsi" w:cstheme="minorBidi"/>
              <w:noProof/>
              <w:szCs w:val="22"/>
              <w:lang w:eastAsia="es-MX"/>
            </w:rPr>
          </w:pPr>
          <w:r w:rsidRPr="00CD55BA">
            <w:rPr>
              <w:sz w:val="16"/>
              <w:szCs w:val="16"/>
            </w:rPr>
            <w:fldChar w:fldCharType="begin"/>
          </w:r>
          <w:r w:rsidRPr="00CD55BA">
            <w:rPr>
              <w:sz w:val="16"/>
              <w:szCs w:val="16"/>
            </w:rPr>
            <w:instrText xml:space="preserve"> TOC \o "1-3" \h \z \u </w:instrText>
          </w:r>
          <w:r w:rsidRPr="00CD55BA">
            <w:rPr>
              <w:sz w:val="16"/>
              <w:szCs w:val="16"/>
            </w:rPr>
            <w:fldChar w:fldCharType="separate"/>
          </w:r>
          <w:hyperlink w:anchor="_Toc205972585" w:history="1">
            <w:r w:rsidR="00CD55BA" w:rsidRPr="00CD55BA">
              <w:rPr>
                <w:rStyle w:val="Hipervnculo"/>
                <w:noProof/>
                <w:color w:val="auto"/>
              </w:rPr>
              <w:t>ANTECEDENTES</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_Toc205972585 \h </w:instrText>
            </w:r>
            <w:r w:rsidR="00CD55BA" w:rsidRPr="00CD55BA">
              <w:rPr>
                <w:noProof/>
                <w:webHidden/>
              </w:rPr>
            </w:r>
            <w:r w:rsidR="00CD55BA" w:rsidRPr="00CD55BA">
              <w:rPr>
                <w:noProof/>
                <w:webHidden/>
              </w:rPr>
              <w:fldChar w:fldCharType="separate"/>
            </w:r>
            <w:r w:rsidR="00B03479">
              <w:rPr>
                <w:noProof/>
                <w:webHidden/>
              </w:rPr>
              <w:t>1</w:t>
            </w:r>
            <w:r w:rsidR="00CD55BA" w:rsidRPr="00CD55BA">
              <w:rPr>
                <w:noProof/>
                <w:webHidden/>
              </w:rPr>
              <w:fldChar w:fldCharType="end"/>
            </w:r>
          </w:hyperlink>
        </w:p>
        <w:p w14:paraId="63FC3DB5" w14:textId="77777777" w:rsidR="00CD55BA" w:rsidRPr="00CD55BA" w:rsidRDefault="00E01E55" w:rsidP="00CD55BA">
          <w:pPr>
            <w:pStyle w:val="TDC2"/>
            <w:rPr>
              <w:rFonts w:asciiTheme="minorHAnsi" w:eastAsiaTheme="minorEastAsia" w:hAnsiTheme="minorHAnsi" w:cstheme="minorBidi"/>
              <w:noProof/>
              <w:szCs w:val="22"/>
              <w:lang w:eastAsia="es-MX"/>
            </w:rPr>
          </w:pPr>
          <w:hyperlink w:anchor="_Toc205972586" w:history="1">
            <w:r w:rsidR="00CD55BA" w:rsidRPr="00CD55BA">
              <w:rPr>
                <w:rStyle w:val="Hipervnculo"/>
                <w:noProof/>
                <w:color w:val="auto"/>
              </w:rPr>
              <w:t>DE LA SOLICITUD DE INFORMACIÓN</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_Toc205972586 \h </w:instrText>
            </w:r>
            <w:r w:rsidR="00CD55BA" w:rsidRPr="00CD55BA">
              <w:rPr>
                <w:noProof/>
                <w:webHidden/>
              </w:rPr>
            </w:r>
            <w:r w:rsidR="00CD55BA" w:rsidRPr="00CD55BA">
              <w:rPr>
                <w:noProof/>
                <w:webHidden/>
              </w:rPr>
              <w:fldChar w:fldCharType="separate"/>
            </w:r>
            <w:r w:rsidR="00B03479">
              <w:rPr>
                <w:noProof/>
                <w:webHidden/>
              </w:rPr>
              <w:t>1</w:t>
            </w:r>
            <w:r w:rsidR="00CD55BA" w:rsidRPr="00CD55BA">
              <w:rPr>
                <w:noProof/>
                <w:webHidden/>
              </w:rPr>
              <w:fldChar w:fldCharType="end"/>
            </w:r>
          </w:hyperlink>
        </w:p>
        <w:p w14:paraId="5ED8412A"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87" w:history="1">
            <w:r w:rsidR="00CD55BA" w:rsidRPr="00CD55BA">
              <w:rPr>
                <w:rStyle w:val="Hipervnculo"/>
                <w:noProof/>
                <w:color w:val="auto"/>
              </w:rPr>
              <w:t>a) Solicitud de información</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_Toc205972587 \h </w:instrText>
            </w:r>
            <w:r w:rsidR="00CD55BA" w:rsidRPr="00CD55BA">
              <w:rPr>
                <w:noProof/>
                <w:webHidden/>
              </w:rPr>
            </w:r>
            <w:r w:rsidR="00CD55BA" w:rsidRPr="00CD55BA">
              <w:rPr>
                <w:noProof/>
                <w:webHidden/>
              </w:rPr>
              <w:fldChar w:fldCharType="separate"/>
            </w:r>
            <w:r w:rsidR="00B03479">
              <w:rPr>
                <w:noProof/>
                <w:webHidden/>
              </w:rPr>
              <w:t>1</w:t>
            </w:r>
            <w:r w:rsidR="00CD55BA" w:rsidRPr="00CD55BA">
              <w:rPr>
                <w:noProof/>
                <w:webHidden/>
              </w:rPr>
              <w:fldChar w:fldCharType="end"/>
            </w:r>
          </w:hyperlink>
        </w:p>
        <w:p w14:paraId="2948BE21"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88" w:history="1">
            <w:r w:rsidR="00CD55BA" w:rsidRPr="00CD55BA">
              <w:rPr>
                <w:rStyle w:val="Hipervnculo"/>
                <w:noProof/>
                <w:color w:val="auto"/>
              </w:rPr>
              <w:t>b) Turno de la solicitud de información</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_Toc205972588 \h </w:instrText>
            </w:r>
            <w:r w:rsidR="00CD55BA" w:rsidRPr="00CD55BA">
              <w:rPr>
                <w:noProof/>
                <w:webHidden/>
              </w:rPr>
            </w:r>
            <w:r w:rsidR="00CD55BA" w:rsidRPr="00CD55BA">
              <w:rPr>
                <w:noProof/>
                <w:webHidden/>
              </w:rPr>
              <w:fldChar w:fldCharType="separate"/>
            </w:r>
            <w:r w:rsidR="00B03479">
              <w:rPr>
                <w:noProof/>
                <w:webHidden/>
              </w:rPr>
              <w:t>2</w:t>
            </w:r>
            <w:r w:rsidR="00CD55BA" w:rsidRPr="00CD55BA">
              <w:rPr>
                <w:noProof/>
                <w:webHidden/>
              </w:rPr>
              <w:fldChar w:fldCharType="end"/>
            </w:r>
          </w:hyperlink>
        </w:p>
        <w:p w14:paraId="66B2B19B"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89" w:history="1">
            <w:r w:rsidR="00CD55BA" w:rsidRPr="00CD55BA">
              <w:rPr>
                <w:rStyle w:val="Hipervnculo"/>
                <w:noProof/>
                <w:color w:val="auto"/>
                <w:lang w:val="es-ES"/>
              </w:rPr>
              <w:t xml:space="preserve">c) Respuesta </w:t>
            </w:r>
            <w:r w:rsidR="00CD55BA" w:rsidRPr="00CD55BA">
              <w:rPr>
                <w:rStyle w:val="Hipervnculo"/>
                <w:rFonts w:eastAsia="Calibri"/>
                <w:noProof/>
                <w:color w:val="auto"/>
                <w:lang w:eastAsia="en-US"/>
              </w:rPr>
              <w:t>del Sujeto Obligado</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_Toc205972589 \h </w:instrText>
            </w:r>
            <w:r w:rsidR="00CD55BA" w:rsidRPr="00CD55BA">
              <w:rPr>
                <w:noProof/>
                <w:webHidden/>
              </w:rPr>
            </w:r>
            <w:r w:rsidR="00CD55BA" w:rsidRPr="00CD55BA">
              <w:rPr>
                <w:noProof/>
                <w:webHidden/>
              </w:rPr>
              <w:fldChar w:fldCharType="separate"/>
            </w:r>
            <w:r w:rsidR="00B03479">
              <w:rPr>
                <w:noProof/>
                <w:webHidden/>
              </w:rPr>
              <w:t>2</w:t>
            </w:r>
            <w:r w:rsidR="00CD55BA" w:rsidRPr="00CD55BA">
              <w:rPr>
                <w:noProof/>
                <w:webHidden/>
              </w:rPr>
              <w:fldChar w:fldCharType="end"/>
            </w:r>
          </w:hyperlink>
        </w:p>
        <w:p w14:paraId="70547B4C" w14:textId="77777777" w:rsidR="00CD55BA" w:rsidRPr="00CD55BA" w:rsidRDefault="00E01E55" w:rsidP="00CD55BA">
          <w:pPr>
            <w:pStyle w:val="TDC2"/>
            <w:rPr>
              <w:rFonts w:asciiTheme="minorHAnsi" w:eastAsiaTheme="minorEastAsia" w:hAnsiTheme="minorHAnsi" w:cstheme="minorBidi"/>
              <w:noProof/>
              <w:szCs w:val="22"/>
              <w:lang w:eastAsia="es-MX"/>
            </w:rPr>
          </w:pPr>
          <w:hyperlink w:anchor="_Toc205972590" w:history="1">
            <w:r w:rsidR="00CD55BA" w:rsidRPr="00CD55BA">
              <w:rPr>
                <w:rStyle w:val="Hipervnculo"/>
                <w:noProof/>
                <w:color w:val="auto"/>
              </w:rPr>
              <w:t>DEL RECURSO DE REVISIÓN</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_Toc205972590 \h </w:instrText>
            </w:r>
            <w:r w:rsidR="00CD55BA" w:rsidRPr="00CD55BA">
              <w:rPr>
                <w:noProof/>
                <w:webHidden/>
              </w:rPr>
            </w:r>
            <w:r w:rsidR="00CD55BA" w:rsidRPr="00CD55BA">
              <w:rPr>
                <w:noProof/>
                <w:webHidden/>
              </w:rPr>
              <w:fldChar w:fldCharType="separate"/>
            </w:r>
            <w:r w:rsidR="00B03479">
              <w:rPr>
                <w:noProof/>
                <w:webHidden/>
              </w:rPr>
              <w:t>3</w:t>
            </w:r>
            <w:r w:rsidR="00CD55BA" w:rsidRPr="00CD55BA">
              <w:rPr>
                <w:noProof/>
                <w:webHidden/>
              </w:rPr>
              <w:fldChar w:fldCharType="end"/>
            </w:r>
          </w:hyperlink>
        </w:p>
        <w:p w14:paraId="740AF357"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91" w:history="1">
            <w:r w:rsidR="00CD55BA" w:rsidRPr="00CD55BA">
              <w:rPr>
                <w:rStyle w:val="Hipervnculo"/>
                <w:noProof/>
                <w:color w:val="auto"/>
              </w:rPr>
              <w:t>a) Interposición del Recurso de Revisión</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_Toc205972591 \h </w:instrText>
            </w:r>
            <w:r w:rsidR="00CD55BA" w:rsidRPr="00CD55BA">
              <w:rPr>
                <w:noProof/>
                <w:webHidden/>
              </w:rPr>
            </w:r>
            <w:r w:rsidR="00CD55BA" w:rsidRPr="00CD55BA">
              <w:rPr>
                <w:noProof/>
                <w:webHidden/>
              </w:rPr>
              <w:fldChar w:fldCharType="separate"/>
            </w:r>
            <w:r w:rsidR="00B03479">
              <w:rPr>
                <w:noProof/>
                <w:webHidden/>
              </w:rPr>
              <w:t>3</w:t>
            </w:r>
            <w:r w:rsidR="00CD55BA" w:rsidRPr="00CD55BA">
              <w:rPr>
                <w:noProof/>
                <w:webHidden/>
              </w:rPr>
              <w:fldChar w:fldCharType="end"/>
            </w:r>
          </w:hyperlink>
        </w:p>
        <w:p w14:paraId="63263DA0"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92" w:history="1">
            <w:r w:rsidR="00CD55BA" w:rsidRPr="00CD55BA">
              <w:rPr>
                <w:rStyle w:val="Hipervnculo"/>
                <w:noProof/>
                <w:color w:val="auto"/>
              </w:rPr>
              <w:t>b) Turno del Recurso de Revisión</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_Toc205972592 \h </w:instrText>
            </w:r>
            <w:r w:rsidR="00CD55BA" w:rsidRPr="00CD55BA">
              <w:rPr>
                <w:noProof/>
                <w:webHidden/>
              </w:rPr>
            </w:r>
            <w:r w:rsidR="00CD55BA" w:rsidRPr="00CD55BA">
              <w:rPr>
                <w:noProof/>
                <w:webHidden/>
              </w:rPr>
              <w:fldChar w:fldCharType="separate"/>
            </w:r>
            <w:r w:rsidR="00B03479">
              <w:rPr>
                <w:noProof/>
                <w:webHidden/>
              </w:rPr>
              <w:t>5</w:t>
            </w:r>
            <w:r w:rsidR="00CD55BA" w:rsidRPr="00CD55BA">
              <w:rPr>
                <w:noProof/>
                <w:webHidden/>
              </w:rPr>
              <w:fldChar w:fldCharType="end"/>
            </w:r>
          </w:hyperlink>
        </w:p>
        <w:p w14:paraId="4D17080E"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93" w:history="1">
            <w:r w:rsidR="00CD55BA" w:rsidRPr="00CD55BA">
              <w:rPr>
                <w:rStyle w:val="Hipervnculo"/>
                <w:noProof/>
                <w:color w:val="auto"/>
              </w:rPr>
              <w:t>c) Admisión del Recurso de Revisión</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_Toc205972593 \h </w:instrText>
            </w:r>
            <w:r w:rsidR="00CD55BA" w:rsidRPr="00CD55BA">
              <w:rPr>
                <w:noProof/>
                <w:webHidden/>
              </w:rPr>
            </w:r>
            <w:r w:rsidR="00CD55BA" w:rsidRPr="00CD55BA">
              <w:rPr>
                <w:noProof/>
                <w:webHidden/>
              </w:rPr>
              <w:fldChar w:fldCharType="separate"/>
            </w:r>
            <w:r w:rsidR="00B03479">
              <w:rPr>
                <w:noProof/>
                <w:webHidden/>
              </w:rPr>
              <w:t>5</w:t>
            </w:r>
            <w:r w:rsidR="00CD55BA" w:rsidRPr="00CD55BA">
              <w:rPr>
                <w:noProof/>
                <w:webHidden/>
              </w:rPr>
              <w:fldChar w:fldCharType="end"/>
            </w:r>
          </w:hyperlink>
        </w:p>
        <w:p w14:paraId="079CCE44"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94" w:history="1">
            <w:r w:rsidR="00CD55BA" w:rsidRPr="00CD55BA">
              <w:rPr>
                <w:rStyle w:val="Hipervnculo"/>
                <w:noProof/>
                <w:color w:val="auto"/>
              </w:rPr>
              <w:t>d) Informe Justificado del Sujeto Obligado</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_Toc205972594 \h </w:instrText>
            </w:r>
            <w:r w:rsidR="00CD55BA" w:rsidRPr="00CD55BA">
              <w:rPr>
                <w:noProof/>
                <w:webHidden/>
              </w:rPr>
            </w:r>
            <w:r w:rsidR="00CD55BA" w:rsidRPr="00CD55BA">
              <w:rPr>
                <w:noProof/>
                <w:webHidden/>
              </w:rPr>
              <w:fldChar w:fldCharType="separate"/>
            </w:r>
            <w:r w:rsidR="00B03479">
              <w:rPr>
                <w:noProof/>
                <w:webHidden/>
              </w:rPr>
              <w:t>5</w:t>
            </w:r>
            <w:r w:rsidR="00CD55BA" w:rsidRPr="00CD55BA">
              <w:rPr>
                <w:noProof/>
                <w:webHidden/>
              </w:rPr>
              <w:fldChar w:fldCharType="end"/>
            </w:r>
          </w:hyperlink>
        </w:p>
        <w:p w14:paraId="25A1BDA1"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95" w:history="1">
            <w:r w:rsidR="00CD55BA" w:rsidRPr="00CD55BA">
              <w:rPr>
                <w:rStyle w:val="Hipervnculo"/>
                <w:rFonts w:eastAsia="Calibri"/>
                <w:bCs/>
                <w:noProof/>
                <w:color w:val="auto"/>
                <w:lang w:eastAsia="en-US"/>
              </w:rPr>
              <w:t>e)</w:t>
            </w:r>
            <w:r w:rsidR="00CD55BA" w:rsidRPr="00CD55BA">
              <w:rPr>
                <w:rStyle w:val="Hipervnculo"/>
                <w:noProof/>
                <w:color w:val="auto"/>
              </w:rPr>
              <w:t xml:space="preserve"> </w:t>
            </w:r>
            <w:r w:rsidR="00CD55BA" w:rsidRPr="00CD55BA">
              <w:rPr>
                <w:rStyle w:val="Hipervnculo"/>
                <w:noProof/>
                <w:color w:val="auto"/>
                <w:lang w:val="es-ES"/>
              </w:rPr>
              <w:t>Manifestaciones de la Parte Recurrente</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_Toc205972595 \h </w:instrText>
            </w:r>
            <w:r w:rsidR="00CD55BA" w:rsidRPr="00CD55BA">
              <w:rPr>
                <w:noProof/>
                <w:webHidden/>
              </w:rPr>
            </w:r>
            <w:r w:rsidR="00CD55BA" w:rsidRPr="00CD55BA">
              <w:rPr>
                <w:noProof/>
                <w:webHidden/>
              </w:rPr>
              <w:fldChar w:fldCharType="separate"/>
            </w:r>
            <w:r w:rsidR="00B03479">
              <w:rPr>
                <w:noProof/>
                <w:webHidden/>
              </w:rPr>
              <w:t>6</w:t>
            </w:r>
            <w:r w:rsidR="00CD55BA" w:rsidRPr="00CD55BA">
              <w:rPr>
                <w:noProof/>
                <w:webHidden/>
              </w:rPr>
              <w:fldChar w:fldCharType="end"/>
            </w:r>
          </w:hyperlink>
        </w:p>
        <w:p w14:paraId="48F4826F"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96" w:history="1">
            <w:r w:rsidR="00CD55BA" w:rsidRPr="00CD55BA">
              <w:rPr>
                <w:rStyle w:val="Hipervnculo"/>
                <w:rFonts w:eastAsia="Calibri"/>
                <w:bCs/>
                <w:noProof/>
                <w:color w:val="auto"/>
                <w:lang w:eastAsia="en-US"/>
              </w:rPr>
              <w:t>f) Ampliación de Plazo para Resolver</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_Toc205972596 \h </w:instrText>
            </w:r>
            <w:r w:rsidR="00CD55BA" w:rsidRPr="00CD55BA">
              <w:rPr>
                <w:noProof/>
                <w:webHidden/>
              </w:rPr>
            </w:r>
            <w:r w:rsidR="00CD55BA" w:rsidRPr="00CD55BA">
              <w:rPr>
                <w:noProof/>
                <w:webHidden/>
              </w:rPr>
              <w:fldChar w:fldCharType="separate"/>
            </w:r>
            <w:r w:rsidR="00B03479">
              <w:rPr>
                <w:noProof/>
                <w:webHidden/>
              </w:rPr>
              <w:t>6</w:t>
            </w:r>
            <w:r w:rsidR="00CD55BA" w:rsidRPr="00CD55BA">
              <w:rPr>
                <w:noProof/>
                <w:webHidden/>
              </w:rPr>
              <w:fldChar w:fldCharType="end"/>
            </w:r>
          </w:hyperlink>
        </w:p>
        <w:p w14:paraId="673CB7F6"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597" w:history="1">
            <w:r w:rsidR="00CD55BA" w:rsidRPr="00CD55BA">
              <w:rPr>
                <w:rStyle w:val="Hipervnculo"/>
                <w:noProof/>
                <w:color w:val="auto"/>
                <w:lang w:val="es-ES"/>
              </w:rPr>
              <w:t xml:space="preserve">g) </w:t>
            </w:r>
            <w:r w:rsidR="00CD55BA" w:rsidRPr="00CD55BA">
              <w:rPr>
                <w:rStyle w:val="Hipervnculo"/>
                <w:noProof/>
                <w:color w:val="auto"/>
              </w:rPr>
              <w:t>Cierre de instrucción</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_Toc205972597 \h </w:instrText>
            </w:r>
            <w:r w:rsidR="00CD55BA" w:rsidRPr="00CD55BA">
              <w:rPr>
                <w:noProof/>
                <w:webHidden/>
              </w:rPr>
            </w:r>
            <w:r w:rsidR="00CD55BA" w:rsidRPr="00CD55BA">
              <w:rPr>
                <w:noProof/>
                <w:webHidden/>
              </w:rPr>
              <w:fldChar w:fldCharType="separate"/>
            </w:r>
            <w:r w:rsidR="00B03479">
              <w:rPr>
                <w:noProof/>
                <w:webHidden/>
              </w:rPr>
              <w:t>9</w:t>
            </w:r>
            <w:r w:rsidR="00CD55BA" w:rsidRPr="00CD55BA">
              <w:rPr>
                <w:noProof/>
                <w:webHidden/>
              </w:rPr>
              <w:fldChar w:fldCharType="end"/>
            </w:r>
          </w:hyperlink>
        </w:p>
        <w:p w14:paraId="1F6A37D4" w14:textId="77777777" w:rsidR="00CD55BA" w:rsidRPr="00CD55BA" w:rsidRDefault="00E01E55" w:rsidP="00CD55BA">
          <w:pPr>
            <w:pStyle w:val="TDC1"/>
            <w:tabs>
              <w:tab w:val="right" w:leader="dot" w:pos="9034"/>
            </w:tabs>
            <w:rPr>
              <w:rFonts w:asciiTheme="minorHAnsi" w:eastAsiaTheme="minorEastAsia" w:hAnsiTheme="minorHAnsi" w:cstheme="minorBidi"/>
              <w:noProof/>
              <w:szCs w:val="22"/>
              <w:lang w:eastAsia="es-MX"/>
            </w:rPr>
          </w:pPr>
          <w:hyperlink w:anchor="_Toc205972598" w:history="1">
            <w:r w:rsidR="00CD55BA" w:rsidRPr="00CD55BA">
              <w:rPr>
                <w:rStyle w:val="Hipervnculo"/>
                <w:rFonts w:eastAsiaTheme="minorHAnsi"/>
                <w:noProof/>
                <w:color w:val="auto"/>
                <w:lang w:eastAsia="en-US"/>
              </w:rPr>
              <w:t>CONSIDERANDOS</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_Toc205972598 \h </w:instrText>
            </w:r>
            <w:r w:rsidR="00CD55BA" w:rsidRPr="00CD55BA">
              <w:rPr>
                <w:noProof/>
                <w:webHidden/>
              </w:rPr>
            </w:r>
            <w:r w:rsidR="00CD55BA" w:rsidRPr="00CD55BA">
              <w:rPr>
                <w:noProof/>
                <w:webHidden/>
              </w:rPr>
              <w:fldChar w:fldCharType="separate"/>
            </w:r>
            <w:r w:rsidR="00B03479">
              <w:rPr>
                <w:noProof/>
                <w:webHidden/>
              </w:rPr>
              <w:t>9</w:t>
            </w:r>
            <w:r w:rsidR="00CD55BA" w:rsidRPr="00CD55BA">
              <w:rPr>
                <w:noProof/>
                <w:webHidden/>
              </w:rPr>
              <w:fldChar w:fldCharType="end"/>
            </w:r>
          </w:hyperlink>
        </w:p>
        <w:p w14:paraId="48EC833A" w14:textId="77777777" w:rsidR="00CD55BA" w:rsidRPr="00CD55BA" w:rsidRDefault="00E01E55" w:rsidP="00CD55BA">
          <w:pPr>
            <w:pStyle w:val="TDC2"/>
            <w:rPr>
              <w:rFonts w:asciiTheme="minorHAnsi" w:eastAsiaTheme="minorEastAsia" w:hAnsiTheme="minorHAnsi" w:cstheme="minorBidi"/>
              <w:noProof/>
              <w:szCs w:val="22"/>
              <w:lang w:eastAsia="es-MX"/>
            </w:rPr>
          </w:pPr>
          <w:hyperlink w:anchor="_Toc205972599" w:history="1">
            <w:r w:rsidR="00CD55BA" w:rsidRPr="00CD55BA">
              <w:rPr>
                <w:rStyle w:val="Hipervnculo"/>
                <w:rFonts w:eastAsia="Batang"/>
                <w:noProof/>
                <w:color w:val="auto"/>
              </w:rPr>
              <w:t>PRIMERO. Procedibilidad</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_Toc205972599 \h </w:instrText>
            </w:r>
            <w:r w:rsidR="00CD55BA" w:rsidRPr="00CD55BA">
              <w:rPr>
                <w:noProof/>
                <w:webHidden/>
              </w:rPr>
            </w:r>
            <w:r w:rsidR="00CD55BA" w:rsidRPr="00CD55BA">
              <w:rPr>
                <w:noProof/>
                <w:webHidden/>
              </w:rPr>
              <w:fldChar w:fldCharType="separate"/>
            </w:r>
            <w:r w:rsidR="00B03479">
              <w:rPr>
                <w:noProof/>
                <w:webHidden/>
              </w:rPr>
              <w:t>10</w:t>
            </w:r>
            <w:r w:rsidR="00CD55BA" w:rsidRPr="00CD55BA">
              <w:rPr>
                <w:noProof/>
                <w:webHidden/>
              </w:rPr>
              <w:fldChar w:fldCharType="end"/>
            </w:r>
          </w:hyperlink>
        </w:p>
        <w:p w14:paraId="34731F4A"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600" w:history="1">
            <w:r w:rsidR="00CD55BA" w:rsidRPr="00CD55BA">
              <w:rPr>
                <w:rStyle w:val="Hipervnculo"/>
                <w:noProof/>
                <w:color w:val="auto"/>
              </w:rPr>
              <w:t>a) Competencia del Instituto</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_Toc205972600 \h </w:instrText>
            </w:r>
            <w:r w:rsidR="00CD55BA" w:rsidRPr="00CD55BA">
              <w:rPr>
                <w:noProof/>
                <w:webHidden/>
              </w:rPr>
            </w:r>
            <w:r w:rsidR="00CD55BA" w:rsidRPr="00CD55BA">
              <w:rPr>
                <w:noProof/>
                <w:webHidden/>
              </w:rPr>
              <w:fldChar w:fldCharType="separate"/>
            </w:r>
            <w:r w:rsidR="00B03479">
              <w:rPr>
                <w:noProof/>
                <w:webHidden/>
              </w:rPr>
              <w:t>10</w:t>
            </w:r>
            <w:r w:rsidR="00CD55BA" w:rsidRPr="00CD55BA">
              <w:rPr>
                <w:noProof/>
                <w:webHidden/>
              </w:rPr>
              <w:fldChar w:fldCharType="end"/>
            </w:r>
          </w:hyperlink>
        </w:p>
        <w:p w14:paraId="3F841DD8"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601" w:history="1">
            <w:r w:rsidR="00CD55BA" w:rsidRPr="00CD55BA">
              <w:rPr>
                <w:rStyle w:val="Hipervnculo"/>
                <w:noProof/>
                <w:color w:val="auto"/>
              </w:rPr>
              <w:t>b) Legitimidad de la parte recurrente</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_Toc205972601 \h </w:instrText>
            </w:r>
            <w:r w:rsidR="00CD55BA" w:rsidRPr="00CD55BA">
              <w:rPr>
                <w:noProof/>
                <w:webHidden/>
              </w:rPr>
            </w:r>
            <w:r w:rsidR="00CD55BA" w:rsidRPr="00CD55BA">
              <w:rPr>
                <w:noProof/>
                <w:webHidden/>
              </w:rPr>
              <w:fldChar w:fldCharType="separate"/>
            </w:r>
            <w:r w:rsidR="00B03479">
              <w:rPr>
                <w:noProof/>
                <w:webHidden/>
              </w:rPr>
              <w:t>10</w:t>
            </w:r>
            <w:r w:rsidR="00CD55BA" w:rsidRPr="00CD55BA">
              <w:rPr>
                <w:noProof/>
                <w:webHidden/>
              </w:rPr>
              <w:fldChar w:fldCharType="end"/>
            </w:r>
          </w:hyperlink>
        </w:p>
        <w:p w14:paraId="4A79B7A4"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602" w:history="1">
            <w:r w:rsidR="00CD55BA" w:rsidRPr="00CD55BA">
              <w:rPr>
                <w:rStyle w:val="Hipervnculo"/>
                <w:rFonts w:eastAsia="Calibri"/>
                <w:noProof/>
                <w:color w:val="auto"/>
                <w:lang w:eastAsia="es-ES_tradnl"/>
              </w:rPr>
              <w:t>c) Plazo para interponer el recurso</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_Toc205972602 \h </w:instrText>
            </w:r>
            <w:r w:rsidR="00CD55BA" w:rsidRPr="00CD55BA">
              <w:rPr>
                <w:noProof/>
                <w:webHidden/>
              </w:rPr>
            </w:r>
            <w:r w:rsidR="00CD55BA" w:rsidRPr="00CD55BA">
              <w:rPr>
                <w:noProof/>
                <w:webHidden/>
              </w:rPr>
              <w:fldChar w:fldCharType="separate"/>
            </w:r>
            <w:r w:rsidR="00B03479">
              <w:rPr>
                <w:noProof/>
                <w:webHidden/>
              </w:rPr>
              <w:t>10</w:t>
            </w:r>
            <w:r w:rsidR="00CD55BA" w:rsidRPr="00CD55BA">
              <w:rPr>
                <w:noProof/>
                <w:webHidden/>
              </w:rPr>
              <w:fldChar w:fldCharType="end"/>
            </w:r>
          </w:hyperlink>
        </w:p>
        <w:p w14:paraId="3A86F60E"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603" w:history="1">
            <w:r w:rsidR="00CD55BA" w:rsidRPr="00CD55BA">
              <w:rPr>
                <w:rStyle w:val="Hipervnculo"/>
                <w:rFonts w:eastAsia="Calibri"/>
                <w:noProof/>
                <w:color w:val="auto"/>
                <w:lang w:eastAsia="es-ES_tradnl"/>
              </w:rPr>
              <w:t>d) Causal de procedencia</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_Toc205972603 \h </w:instrText>
            </w:r>
            <w:r w:rsidR="00CD55BA" w:rsidRPr="00CD55BA">
              <w:rPr>
                <w:noProof/>
                <w:webHidden/>
              </w:rPr>
            </w:r>
            <w:r w:rsidR="00CD55BA" w:rsidRPr="00CD55BA">
              <w:rPr>
                <w:noProof/>
                <w:webHidden/>
              </w:rPr>
              <w:fldChar w:fldCharType="separate"/>
            </w:r>
            <w:r w:rsidR="00B03479">
              <w:rPr>
                <w:noProof/>
                <w:webHidden/>
              </w:rPr>
              <w:t>11</w:t>
            </w:r>
            <w:r w:rsidR="00CD55BA" w:rsidRPr="00CD55BA">
              <w:rPr>
                <w:noProof/>
                <w:webHidden/>
              </w:rPr>
              <w:fldChar w:fldCharType="end"/>
            </w:r>
          </w:hyperlink>
        </w:p>
        <w:p w14:paraId="669A4B01"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604" w:history="1">
            <w:r w:rsidR="00CD55BA" w:rsidRPr="00CD55BA">
              <w:rPr>
                <w:rStyle w:val="Hipervnculo"/>
                <w:noProof/>
                <w:color w:val="auto"/>
              </w:rPr>
              <w:t>e) Requisitos formales para la interposición del recurso</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_Toc205972604 \h </w:instrText>
            </w:r>
            <w:r w:rsidR="00CD55BA" w:rsidRPr="00CD55BA">
              <w:rPr>
                <w:noProof/>
                <w:webHidden/>
              </w:rPr>
            </w:r>
            <w:r w:rsidR="00CD55BA" w:rsidRPr="00CD55BA">
              <w:rPr>
                <w:noProof/>
                <w:webHidden/>
              </w:rPr>
              <w:fldChar w:fldCharType="separate"/>
            </w:r>
            <w:r w:rsidR="00B03479">
              <w:rPr>
                <w:noProof/>
                <w:webHidden/>
              </w:rPr>
              <w:t>11</w:t>
            </w:r>
            <w:r w:rsidR="00CD55BA" w:rsidRPr="00CD55BA">
              <w:rPr>
                <w:noProof/>
                <w:webHidden/>
              </w:rPr>
              <w:fldChar w:fldCharType="end"/>
            </w:r>
          </w:hyperlink>
        </w:p>
        <w:p w14:paraId="483C4FFC" w14:textId="77777777" w:rsidR="00CD55BA" w:rsidRPr="00CD55BA" w:rsidRDefault="00E01E55" w:rsidP="00CD55BA">
          <w:pPr>
            <w:pStyle w:val="TDC2"/>
            <w:rPr>
              <w:rFonts w:asciiTheme="minorHAnsi" w:eastAsiaTheme="minorEastAsia" w:hAnsiTheme="minorHAnsi" w:cstheme="minorBidi"/>
              <w:noProof/>
              <w:szCs w:val="22"/>
              <w:lang w:eastAsia="es-MX"/>
            </w:rPr>
          </w:pPr>
          <w:hyperlink w:anchor="_Toc205972605" w:history="1">
            <w:r w:rsidR="00CD55BA" w:rsidRPr="00CD55BA">
              <w:rPr>
                <w:rStyle w:val="Hipervnculo"/>
                <w:noProof/>
                <w:color w:val="auto"/>
              </w:rPr>
              <w:t>SEGUNDO. Estudio de Fondo</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_Toc205972605 \h </w:instrText>
            </w:r>
            <w:r w:rsidR="00CD55BA" w:rsidRPr="00CD55BA">
              <w:rPr>
                <w:noProof/>
                <w:webHidden/>
              </w:rPr>
            </w:r>
            <w:r w:rsidR="00CD55BA" w:rsidRPr="00CD55BA">
              <w:rPr>
                <w:noProof/>
                <w:webHidden/>
              </w:rPr>
              <w:fldChar w:fldCharType="separate"/>
            </w:r>
            <w:r w:rsidR="00B03479">
              <w:rPr>
                <w:noProof/>
                <w:webHidden/>
              </w:rPr>
              <w:t>12</w:t>
            </w:r>
            <w:r w:rsidR="00CD55BA" w:rsidRPr="00CD55BA">
              <w:rPr>
                <w:noProof/>
                <w:webHidden/>
              </w:rPr>
              <w:fldChar w:fldCharType="end"/>
            </w:r>
          </w:hyperlink>
        </w:p>
        <w:p w14:paraId="4CD56298"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606" w:history="1">
            <w:r w:rsidR="00CD55BA" w:rsidRPr="00CD55BA">
              <w:rPr>
                <w:rStyle w:val="Hipervnculo"/>
                <w:noProof/>
                <w:color w:val="auto"/>
              </w:rPr>
              <w:t>a) Mandato de transparencia y responsabilidad del Sujeto Obligado</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_Toc205972606 \h </w:instrText>
            </w:r>
            <w:r w:rsidR="00CD55BA" w:rsidRPr="00CD55BA">
              <w:rPr>
                <w:noProof/>
                <w:webHidden/>
              </w:rPr>
            </w:r>
            <w:r w:rsidR="00CD55BA" w:rsidRPr="00CD55BA">
              <w:rPr>
                <w:noProof/>
                <w:webHidden/>
              </w:rPr>
              <w:fldChar w:fldCharType="separate"/>
            </w:r>
            <w:r w:rsidR="00B03479">
              <w:rPr>
                <w:noProof/>
                <w:webHidden/>
              </w:rPr>
              <w:t>12</w:t>
            </w:r>
            <w:r w:rsidR="00CD55BA" w:rsidRPr="00CD55BA">
              <w:rPr>
                <w:noProof/>
                <w:webHidden/>
              </w:rPr>
              <w:fldChar w:fldCharType="end"/>
            </w:r>
          </w:hyperlink>
        </w:p>
        <w:p w14:paraId="31343836"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607" w:history="1">
            <w:r w:rsidR="00CD55BA" w:rsidRPr="00CD55BA">
              <w:rPr>
                <w:rStyle w:val="Hipervnculo"/>
                <w:rFonts w:eastAsia="Calibri"/>
                <w:noProof/>
                <w:color w:val="auto"/>
                <w:lang w:eastAsia="es-ES_tradnl"/>
              </w:rPr>
              <w:t>b) Controversia a resolver</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_Toc205972607 \h </w:instrText>
            </w:r>
            <w:r w:rsidR="00CD55BA" w:rsidRPr="00CD55BA">
              <w:rPr>
                <w:noProof/>
                <w:webHidden/>
              </w:rPr>
            </w:r>
            <w:r w:rsidR="00CD55BA" w:rsidRPr="00CD55BA">
              <w:rPr>
                <w:noProof/>
                <w:webHidden/>
              </w:rPr>
              <w:fldChar w:fldCharType="separate"/>
            </w:r>
            <w:r w:rsidR="00B03479">
              <w:rPr>
                <w:noProof/>
                <w:webHidden/>
              </w:rPr>
              <w:t>14</w:t>
            </w:r>
            <w:r w:rsidR="00CD55BA" w:rsidRPr="00CD55BA">
              <w:rPr>
                <w:noProof/>
                <w:webHidden/>
              </w:rPr>
              <w:fldChar w:fldCharType="end"/>
            </w:r>
          </w:hyperlink>
        </w:p>
        <w:p w14:paraId="3B5D4509"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608" w:history="1">
            <w:r w:rsidR="00CD55BA" w:rsidRPr="00CD55BA">
              <w:rPr>
                <w:rStyle w:val="Hipervnculo"/>
                <w:noProof/>
                <w:color w:val="auto"/>
              </w:rPr>
              <w:t>c) Estudio de la controversia</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_Toc205972608 \h </w:instrText>
            </w:r>
            <w:r w:rsidR="00CD55BA" w:rsidRPr="00CD55BA">
              <w:rPr>
                <w:noProof/>
                <w:webHidden/>
              </w:rPr>
            </w:r>
            <w:r w:rsidR="00CD55BA" w:rsidRPr="00CD55BA">
              <w:rPr>
                <w:noProof/>
                <w:webHidden/>
              </w:rPr>
              <w:fldChar w:fldCharType="separate"/>
            </w:r>
            <w:r w:rsidR="00B03479">
              <w:rPr>
                <w:noProof/>
                <w:webHidden/>
              </w:rPr>
              <w:t>15</w:t>
            </w:r>
            <w:r w:rsidR="00CD55BA" w:rsidRPr="00CD55BA">
              <w:rPr>
                <w:noProof/>
                <w:webHidden/>
              </w:rPr>
              <w:fldChar w:fldCharType="end"/>
            </w:r>
          </w:hyperlink>
        </w:p>
        <w:p w14:paraId="042E46CF" w14:textId="77777777" w:rsidR="00CD55BA" w:rsidRPr="00CD55BA" w:rsidRDefault="00E01E55" w:rsidP="00CD55BA">
          <w:pPr>
            <w:pStyle w:val="TDC3"/>
            <w:rPr>
              <w:rFonts w:asciiTheme="minorHAnsi" w:eastAsiaTheme="minorEastAsia" w:hAnsiTheme="minorHAnsi" w:cstheme="minorBidi"/>
              <w:noProof/>
              <w:szCs w:val="22"/>
              <w:lang w:eastAsia="es-MX"/>
            </w:rPr>
          </w:pPr>
          <w:hyperlink w:anchor="_Toc205972609" w:history="1">
            <w:r w:rsidR="00CD55BA" w:rsidRPr="00CD55BA">
              <w:rPr>
                <w:rStyle w:val="Hipervnculo"/>
                <w:b/>
                <w:noProof/>
                <w:color w:val="auto"/>
              </w:rPr>
              <w:t>d) Versión pública</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_Toc205972609 \h </w:instrText>
            </w:r>
            <w:r w:rsidR="00CD55BA" w:rsidRPr="00CD55BA">
              <w:rPr>
                <w:noProof/>
                <w:webHidden/>
              </w:rPr>
            </w:r>
            <w:r w:rsidR="00CD55BA" w:rsidRPr="00CD55BA">
              <w:rPr>
                <w:noProof/>
                <w:webHidden/>
              </w:rPr>
              <w:fldChar w:fldCharType="separate"/>
            </w:r>
            <w:r w:rsidR="00B03479">
              <w:rPr>
                <w:noProof/>
                <w:webHidden/>
              </w:rPr>
              <w:t>27</w:t>
            </w:r>
            <w:r w:rsidR="00CD55BA" w:rsidRPr="00CD55BA">
              <w:rPr>
                <w:noProof/>
                <w:webHidden/>
              </w:rPr>
              <w:fldChar w:fldCharType="end"/>
            </w:r>
          </w:hyperlink>
        </w:p>
        <w:p w14:paraId="0C82FD7A" w14:textId="6D33ECEE" w:rsidR="009B2945" w:rsidRPr="00CD55BA" w:rsidRDefault="00E01E55" w:rsidP="00CD55BA">
          <w:pPr>
            <w:pStyle w:val="TDC1"/>
            <w:tabs>
              <w:tab w:val="right" w:leader="dot" w:pos="9034"/>
            </w:tabs>
            <w:rPr>
              <w:b/>
              <w:bCs/>
              <w:lang w:val="es-ES"/>
            </w:rPr>
          </w:pPr>
          <w:hyperlink w:anchor="_Toc205972610" w:history="1">
            <w:r w:rsidR="00CD55BA" w:rsidRPr="00CD55BA">
              <w:rPr>
                <w:rStyle w:val="Hipervnculo"/>
                <w:noProof/>
                <w:color w:val="auto"/>
              </w:rPr>
              <w:t>RESUELVE</w:t>
            </w:r>
            <w:r w:rsidR="00CD55BA" w:rsidRPr="00CD55BA">
              <w:rPr>
                <w:noProof/>
                <w:webHidden/>
              </w:rPr>
              <w:tab/>
            </w:r>
            <w:r w:rsidR="00CD55BA" w:rsidRPr="00CD55BA">
              <w:rPr>
                <w:noProof/>
                <w:webHidden/>
              </w:rPr>
              <w:fldChar w:fldCharType="begin"/>
            </w:r>
            <w:r w:rsidR="00CD55BA" w:rsidRPr="00CD55BA">
              <w:rPr>
                <w:noProof/>
                <w:webHidden/>
              </w:rPr>
              <w:instrText xml:space="preserve"> PAGEREF _Toc205972610 \h </w:instrText>
            </w:r>
            <w:r w:rsidR="00CD55BA" w:rsidRPr="00CD55BA">
              <w:rPr>
                <w:noProof/>
                <w:webHidden/>
              </w:rPr>
            </w:r>
            <w:r w:rsidR="00CD55BA" w:rsidRPr="00CD55BA">
              <w:rPr>
                <w:noProof/>
                <w:webHidden/>
              </w:rPr>
              <w:fldChar w:fldCharType="separate"/>
            </w:r>
            <w:r w:rsidR="00B03479">
              <w:rPr>
                <w:noProof/>
                <w:webHidden/>
              </w:rPr>
              <w:t>34</w:t>
            </w:r>
            <w:r w:rsidR="00CD55BA" w:rsidRPr="00CD55BA">
              <w:rPr>
                <w:noProof/>
                <w:webHidden/>
              </w:rPr>
              <w:fldChar w:fldCharType="end"/>
            </w:r>
          </w:hyperlink>
          <w:r w:rsidR="00AE3DA7" w:rsidRPr="00CD55BA">
            <w:rPr>
              <w:b/>
              <w:bCs/>
              <w:sz w:val="16"/>
              <w:szCs w:val="16"/>
              <w:lang w:val="es-ES"/>
            </w:rPr>
            <w:fldChar w:fldCharType="end"/>
          </w:r>
        </w:p>
      </w:sdtContent>
    </w:sdt>
    <w:p w14:paraId="603A07E2" w14:textId="77777777" w:rsidR="00646436" w:rsidRPr="00CD55BA" w:rsidRDefault="00646436" w:rsidP="00CD55BA">
      <w:pPr>
        <w:rPr>
          <w:rFonts w:cs="Tahoma"/>
          <w:szCs w:val="22"/>
        </w:rPr>
        <w:sectPr w:rsidR="00646436" w:rsidRPr="00CD55B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E4A202A" w:rsidR="00775BFC" w:rsidRPr="00CD55BA" w:rsidRDefault="00775BFC" w:rsidP="00CD55BA">
      <w:r w:rsidRPr="00CD55BA">
        <w:lastRenderedPageBreak/>
        <w:t>Resolución del Pleno del Instituto de Transparencia, Acceso a la Información Pública y Protección de Datos Personales del Estado de México y Municipios, con domicilio e</w:t>
      </w:r>
      <w:r w:rsidR="004D0573" w:rsidRPr="00CD55BA">
        <w:t>n Metepec, Estado de México, de</w:t>
      </w:r>
      <w:r w:rsidR="00CD55BA">
        <w:t>l</w:t>
      </w:r>
      <w:r w:rsidR="004D0573" w:rsidRPr="00CD55BA">
        <w:t xml:space="preserve"> </w:t>
      </w:r>
      <w:r w:rsidR="000C424C" w:rsidRPr="00CD55BA">
        <w:rPr>
          <w:b/>
        </w:rPr>
        <w:t>trece</w:t>
      </w:r>
      <w:r w:rsidR="004F165A" w:rsidRPr="00CD55BA">
        <w:rPr>
          <w:b/>
        </w:rPr>
        <w:t xml:space="preserve"> de agosto </w:t>
      </w:r>
      <w:r w:rsidR="006E7E69" w:rsidRPr="00CD55BA">
        <w:rPr>
          <w:b/>
        </w:rPr>
        <w:t>de dos mil veinticinco</w:t>
      </w:r>
      <w:r w:rsidRPr="00CD55BA">
        <w:t>.</w:t>
      </w:r>
    </w:p>
    <w:p w14:paraId="0AF3AAC4" w14:textId="77777777" w:rsidR="00775BFC" w:rsidRPr="00CD55BA" w:rsidRDefault="00775BFC" w:rsidP="00CD55BA"/>
    <w:p w14:paraId="40EAE038" w14:textId="09D6BDF1" w:rsidR="00775BFC" w:rsidRPr="00CD55BA" w:rsidRDefault="00775BFC" w:rsidP="00CD55BA">
      <w:r w:rsidRPr="00CD55BA">
        <w:rPr>
          <w:b/>
        </w:rPr>
        <w:t xml:space="preserve">VISTO </w:t>
      </w:r>
      <w:r w:rsidRPr="00CD55BA">
        <w:t xml:space="preserve">el expediente formado con motivo del Recurso de Revisión </w:t>
      </w:r>
      <w:r w:rsidR="006E7E69" w:rsidRPr="00CD55BA">
        <w:rPr>
          <w:rFonts w:eastAsia="Calibri"/>
          <w:b/>
          <w:lang w:eastAsia="en-US"/>
        </w:rPr>
        <w:t>0</w:t>
      </w:r>
      <w:r w:rsidR="00DF73A4" w:rsidRPr="00CD55BA">
        <w:rPr>
          <w:rFonts w:eastAsia="Calibri"/>
          <w:b/>
          <w:lang w:eastAsia="en-US"/>
        </w:rPr>
        <w:t>5692</w:t>
      </w:r>
      <w:r w:rsidR="006E7E69" w:rsidRPr="00CD55BA">
        <w:rPr>
          <w:rFonts w:eastAsia="Calibri"/>
          <w:b/>
          <w:lang w:eastAsia="en-US"/>
        </w:rPr>
        <w:t>/INFOEM/IP/RR/2025</w:t>
      </w:r>
      <w:r w:rsidRPr="00CD55BA">
        <w:rPr>
          <w:rFonts w:eastAsia="Calibri"/>
          <w:lang w:eastAsia="en-US"/>
        </w:rPr>
        <w:t xml:space="preserve"> </w:t>
      </w:r>
      <w:r w:rsidRPr="00CD55BA">
        <w:t xml:space="preserve">interpuesto por </w:t>
      </w:r>
      <w:bookmarkStart w:id="2" w:name="_GoBack"/>
      <w:bookmarkEnd w:id="2"/>
      <w:r w:rsidR="00440354">
        <w:rPr>
          <w:rFonts w:eastAsia="Calibri" w:cs="Tahoma"/>
          <w:b/>
          <w:bCs/>
          <w:szCs w:val="22"/>
          <w:lang w:val="es-ES" w:eastAsia="en-US"/>
        </w:rPr>
        <w:t>XXX XXXX XXXXX X</w:t>
      </w:r>
      <w:r w:rsidRPr="00CD55BA">
        <w:rPr>
          <w:rFonts w:eastAsia="Calibri"/>
          <w:b/>
          <w:lang w:eastAsia="en-US"/>
        </w:rPr>
        <w:t>,</w:t>
      </w:r>
      <w:r w:rsidRPr="00CD55BA">
        <w:t xml:space="preserve"> a quien en lo subsecuente se le denominará </w:t>
      </w:r>
      <w:r w:rsidRPr="00CD55BA">
        <w:rPr>
          <w:b/>
          <w:bCs/>
        </w:rPr>
        <w:t>LA PARTE RECURRENTE</w:t>
      </w:r>
      <w:r w:rsidRPr="00CD55BA">
        <w:t xml:space="preserve">, en contra de la </w:t>
      </w:r>
      <w:r w:rsidR="00773DD6" w:rsidRPr="00CD55BA">
        <w:t xml:space="preserve">respuesta </w:t>
      </w:r>
      <w:r w:rsidR="00BA1AB6" w:rsidRPr="00CD55BA">
        <w:t>de</w:t>
      </w:r>
      <w:r w:rsidR="005A5BF2" w:rsidRPr="00CD55BA">
        <w:t>l</w:t>
      </w:r>
      <w:r w:rsidR="00773DD6" w:rsidRPr="00CD55BA">
        <w:t xml:space="preserve"> </w:t>
      </w:r>
      <w:r w:rsidR="00DF73A4" w:rsidRPr="00CD55BA">
        <w:rPr>
          <w:rFonts w:eastAsia="Calibri"/>
          <w:b/>
          <w:bCs/>
          <w:lang w:eastAsia="en-US"/>
        </w:rPr>
        <w:t>Ayuntamiento de Tlalmanalco</w:t>
      </w:r>
      <w:r w:rsidRPr="00CD55BA">
        <w:rPr>
          <w:b/>
          <w:bCs/>
        </w:rPr>
        <w:t>,</w:t>
      </w:r>
      <w:r w:rsidRPr="00CD55BA">
        <w:t xml:space="preserve"> en adelante </w:t>
      </w:r>
      <w:r w:rsidRPr="00CD55BA">
        <w:rPr>
          <w:b/>
          <w:bCs/>
        </w:rPr>
        <w:t>EL SUJETO OBLIGADO</w:t>
      </w:r>
      <w:r w:rsidRPr="00CD55BA">
        <w:rPr>
          <w:rFonts w:eastAsia="Calibri"/>
          <w:lang w:eastAsia="en-US"/>
        </w:rPr>
        <w:t xml:space="preserve">, </w:t>
      </w:r>
      <w:r w:rsidRPr="00CD55BA">
        <w:t>se emite la presente Resolución con base en los Antecedentes y Considerandos que se exponen a continuación:</w:t>
      </w:r>
    </w:p>
    <w:p w14:paraId="2116968C" w14:textId="77777777" w:rsidR="00775BFC" w:rsidRPr="00CD55BA" w:rsidRDefault="00775BFC" w:rsidP="00CD55BA"/>
    <w:p w14:paraId="5A444FB6" w14:textId="639D3567" w:rsidR="00664420" w:rsidRPr="00CD55BA" w:rsidRDefault="00664420" w:rsidP="00CD55BA">
      <w:pPr>
        <w:pStyle w:val="Ttulo1"/>
      </w:pPr>
      <w:bookmarkStart w:id="3" w:name="_Toc205972585"/>
      <w:r w:rsidRPr="00CD55BA">
        <w:t>ANTECEDENTES</w:t>
      </w:r>
      <w:bookmarkEnd w:id="3"/>
    </w:p>
    <w:p w14:paraId="5CB5034E" w14:textId="77777777" w:rsidR="00AC2DB8" w:rsidRPr="00CD55BA" w:rsidRDefault="00AC2DB8" w:rsidP="00CD55BA"/>
    <w:p w14:paraId="09B2D38F" w14:textId="6E49D146" w:rsidR="00664420" w:rsidRPr="00CD55BA" w:rsidRDefault="00E37A3F" w:rsidP="00CD55BA">
      <w:pPr>
        <w:pStyle w:val="Ttulo2"/>
      </w:pPr>
      <w:bookmarkStart w:id="4" w:name="_Toc205972586"/>
      <w:r w:rsidRPr="00CD55BA">
        <w:t>DE LA SOLICITUD DE INFORMACIÓN</w:t>
      </w:r>
      <w:bookmarkEnd w:id="4"/>
    </w:p>
    <w:p w14:paraId="2C6AD1A5" w14:textId="0405B3CD" w:rsidR="00664420" w:rsidRPr="00CD55BA" w:rsidRDefault="00E37A3F" w:rsidP="00CD55BA">
      <w:pPr>
        <w:pStyle w:val="Ttulo3"/>
      </w:pPr>
      <w:bookmarkStart w:id="5" w:name="_Toc205972587"/>
      <w:r w:rsidRPr="00CD55BA">
        <w:t xml:space="preserve">a) </w:t>
      </w:r>
      <w:r w:rsidR="006B10B0" w:rsidRPr="00CD55BA">
        <w:t>S</w:t>
      </w:r>
      <w:r w:rsidR="00664420" w:rsidRPr="00CD55BA">
        <w:t xml:space="preserve">olicitud de </w:t>
      </w:r>
      <w:r w:rsidR="006B10B0" w:rsidRPr="00CD55BA">
        <w:t>i</w:t>
      </w:r>
      <w:r w:rsidR="00664420" w:rsidRPr="00CD55BA">
        <w:t>nformación</w:t>
      </w:r>
      <w:bookmarkEnd w:id="5"/>
    </w:p>
    <w:p w14:paraId="6F73510B" w14:textId="0B7C1351" w:rsidR="000F32E8" w:rsidRPr="00CD55BA" w:rsidRDefault="00B169A2" w:rsidP="00CD55BA">
      <w:pPr>
        <w:pStyle w:val="Prrafodelista"/>
        <w:tabs>
          <w:tab w:val="left" w:pos="0"/>
        </w:tabs>
        <w:ind w:left="0"/>
        <w:contextualSpacing w:val="0"/>
        <w:rPr>
          <w:rFonts w:cs="Tahoma"/>
        </w:rPr>
      </w:pPr>
      <w:r w:rsidRPr="00CD55BA">
        <w:rPr>
          <w:rFonts w:cs="Tahoma"/>
        </w:rPr>
        <w:t xml:space="preserve">El </w:t>
      </w:r>
      <w:r w:rsidR="00DF73A4" w:rsidRPr="00CD55BA">
        <w:rPr>
          <w:rFonts w:cs="Tahoma"/>
          <w:b/>
          <w:bCs/>
        </w:rPr>
        <w:t xml:space="preserve">seis </w:t>
      </w:r>
      <w:r w:rsidR="00CA0628" w:rsidRPr="00CD55BA">
        <w:rPr>
          <w:rFonts w:cs="Tahoma"/>
          <w:b/>
          <w:bCs/>
        </w:rPr>
        <w:t xml:space="preserve">de mayo </w:t>
      </w:r>
      <w:r w:rsidR="006E7E69" w:rsidRPr="00CD55BA">
        <w:rPr>
          <w:rFonts w:cs="Tahoma"/>
          <w:b/>
          <w:bCs/>
        </w:rPr>
        <w:t>de dos mil veinticinco</w:t>
      </w:r>
      <w:r w:rsidRPr="00CD55BA">
        <w:rPr>
          <w:rFonts w:cs="Tahoma"/>
        </w:rPr>
        <w:t xml:space="preserve">, </w:t>
      </w:r>
      <w:r w:rsidRPr="00CD55BA">
        <w:rPr>
          <w:b/>
          <w:bCs/>
        </w:rPr>
        <w:t>LA PARTE RECURRENTE</w:t>
      </w:r>
      <w:r w:rsidRPr="00CD55BA">
        <w:rPr>
          <w:rFonts w:cs="Tahoma"/>
        </w:rPr>
        <w:t xml:space="preserve"> presentó una solicitud de acceso a la información pública ante el </w:t>
      </w:r>
      <w:r w:rsidRPr="00CD55BA">
        <w:rPr>
          <w:rFonts w:cs="Tahoma"/>
          <w:b/>
          <w:bCs/>
        </w:rPr>
        <w:t>SUJETO OBLIGADO</w:t>
      </w:r>
      <w:r w:rsidRPr="00CD55BA">
        <w:rPr>
          <w:rFonts w:cs="Tahoma"/>
        </w:rPr>
        <w:t xml:space="preserve">, a través </w:t>
      </w:r>
      <w:r w:rsidR="00B56734" w:rsidRPr="00CD55BA">
        <w:rPr>
          <w:rFonts w:cs="Tahoma"/>
        </w:rPr>
        <w:t xml:space="preserve">del </w:t>
      </w:r>
      <w:r w:rsidR="000F32E8" w:rsidRPr="00CD55BA">
        <w:rPr>
          <w:rFonts w:cs="Tahoma"/>
        </w:rPr>
        <w:t>Sistema de Acceso a la Información Mexiquense (</w:t>
      </w:r>
      <w:r w:rsidR="000F32E8" w:rsidRPr="00CD55BA">
        <w:rPr>
          <w:rFonts w:cs="Tahoma"/>
          <w:b/>
        </w:rPr>
        <w:t>SAIMEX</w:t>
      </w:r>
      <w:r w:rsidR="000F32E8" w:rsidRPr="00CD55BA">
        <w:rPr>
          <w:rFonts w:cs="Tahoma"/>
        </w:rPr>
        <w:t xml:space="preserve">). </w:t>
      </w:r>
      <w:r w:rsidRPr="00CD55BA">
        <w:rPr>
          <w:rFonts w:cs="Tahoma"/>
        </w:rPr>
        <w:t>Dicha solicitud quedó registrada con el número de folio</w:t>
      </w:r>
      <w:r w:rsidRPr="00CD55BA">
        <w:rPr>
          <w:rFonts w:cs="Tahoma"/>
          <w:b/>
          <w:bCs/>
        </w:rPr>
        <w:t xml:space="preserve"> </w:t>
      </w:r>
      <w:r w:rsidR="00DF73A4" w:rsidRPr="00CD55BA">
        <w:rPr>
          <w:b/>
          <w:bCs/>
        </w:rPr>
        <w:t xml:space="preserve">00109/TLALMANA/IP/2025 </w:t>
      </w:r>
      <w:r w:rsidRPr="00CD55BA">
        <w:rPr>
          <w:rFonts w:cs="Tahoma"/>
        </w:rPr>
        <w:t>y en ella se requirió la siguiente información:</w:t>
      </w:r>
    </w:p>
    <w:p w14:paraId="0459D6AC" w14:textId="77777777" w:rsidR="00664420" w:rsidRPr="00CD55BA" w:rsidRDefault="00664420" w:rsidP="00CD55BA">
      <w:pPr>
        <w:tabs>
          <w:tab w:val="left" w:pos="4667"/>
        </w:tabs>
        <w:ind w:left="567" w:right="567"/>
        <w:rPr>
          <w:rFonts w:cs="Tahoma"/>
          <w:b/>
          <w:bCs/>
        </w:rPr>
      </w:pPr>
    </w:p>
    <w:p w14:paraId="64B27DE3" w14:textId="4F68E4DF" w:rsidR="00664420" w:rsidRPr="00CD55BA" w:rsidRDefault="002B1D44" w:rsidP="00CD55BA">
      <w:pPr>
        <w:pStyle w:val="Ttulo"/>
      </w:pPr>
      <w:r w:rsidRPr="00CD55BA">
        <w:t>“</w:t>
      </w:r>
      <w:r w:rsidR="00DF73A4" w:rsidRPr="00CD55BA">
        <w:t>DIARIO GENERAL DE POLIZAS DE LOS MESES DE ENERO, FEBRERO, MARZO, ABRIL, MAYO, JUNIO, JULIO, AGOSTO, SEPTIEMBRE, OCTUBRE, NOVIEMBRE Y DICIEMBRE DE 2024</w:t>
      </w:r>
      <w:r w:rsidRPr="00CD55BA">
        <w:t>”</w:t>
      </w:r>
      <w:r w:rsidR="00BA1AB6" w:rsidRPr="00CD55BA">
        <w:t xml:space="preserve"> (sic)</w:t>
      </w:r>
    </w:p>
    <w:p w14:paraId="07B1E1B5" w14:textId="77777777" w:rsidR="004D0573" w:rsidRPr="00CD55BA" w:rsidRDefault="004D0573" w:rsidP="00CD55BA">
      <w:pPr>
        <w:pStyle w:val="Ttulo"/>
      </w:pPr>
    </w:p>
    <w:p w14:paraId="0BD6321D" w14:textId="5D8567EA" w:rsidR="00664420" w:rsidRPr="00CD55BA" w:rsidRDefault="009A2D78" w:rsidP="00CD55BA">
      <w:pPr>
        <w:tabs>
          <w:tab w:val="left" w:pos="4667"/>
        </w:tabs>
        <w:ind w:left="567" w:right="567"/>
        <w:rPr>
          <w:rFonts w:cs="Tahoma"/>
          <w:bCs/>
          <w:szCs w:val="22"/>
        </w:rPr>
      </w:pPr>
      <w:r w:rsidRPr="00CD55BA">
        <w:rPr>
          <w:rFonts w:cs="Tahoma"/>
          <w:b/>
          <w:bCs/>
          <w:szCs w:val="22"/>
        </w:rPr>
        <w:t>Modalidad de entrega</w:t>
      </w:r>
      <w:r w:rsidRPr="00CD55BA">
        <w:rPr>
          <w:rFonts w:cs="Tahoma"/>
          <w:bCs/>
          <w:szCs w:val="22"/>
        </w:rPr>
        <w:t>: a</w:t>
      </w:r>
      <w:r w:rsidR="00664420" w:rsidRPr="00CD55BA">
        <w:rPr>
          <w:rFonts w:cs="Tahoma"/>
          <w:bCs/>
          <w:i/>
          <w:szCs w:val="22"/>
        </w:rPr>
        <w:t xml:space="preserve"> través del </w:t>
      </w:r>
      <w:r w:rsidR="00664420" w:rsidRPr="00CD55BA">
        <w:rPr>
          <w:rFonts w:cs="Tahoma"/>
          <w:b/>
          <w:bCs/>
          <w:i/>
          <w:szCs w:val="22"/>
        </w:rPr>
        <w:t>SAIMEX</w:t>
      </w:r>
      <w:r w:rsidRPr="00CD55BA">
        <w:rPr>
          <w:rFonts w:cs="Tahoma"/>
          <w:bCs/>
          <w:i/>
          <w:szCs w:val="22"/>
        </w:rPr>
        <w:t>.</w:t>
      </w:r>
    </w:p>
    <w:p w14:paraId="334D2860" w14:textId="77777777" w:rsidR="00664420" w:rsidRPr="00CD55BA" w:rsidRDefault="00664420" w:rsidP="00CD55BA">
      <w:pPr>
        <w:autoSpaceDE w:val="0"/>
        <w:autoSpaceDN w:val="0"/>
        <w:adjustRightInd w:val="0"/>
        <w:ind w:right="-28"/>
        <w:rPr>
          <w:rFonts w:cs="Tahoma"/>
          <w:bCs/>
          <w:i/>
          <w:szCs w:val="22"/>
        </w:rPr>
      </w:pPr>
    </w:p>
    <w:p w14:paraId="263F997B" w14:textId="77777777" w:rsidR="00CA0628" w:rsidRPr="00CD55BA" w:rsidRDefault="00CA0628" w:rsidP="00CD55BA">
      <w:pPr>
        <w:pStyle w:val="Ttulo3"/>
      </w:pPr>
      <w:bookmarkStart w:id="6" w:name="_Toc205972588"/>
      <w:r w:rsidRPr="00CD55BA">
        <w:lastRenderedPageBreak/>
        <w:t>b) Turno de la solicitud de información</w:t>
      </w:r>
      <w:bookmarkEnd w:id="6"/>
    </w:p>
    <w:p w14:paraId="70EFD295" w14:textId="677B8087" w:rsidR="00CA0628" w:rsidRPr="00CD55BA" w:rsidRDefault="00CA0628" w:rsidP="00CD55BA">
      <w:r w:rsidRPr="00CD55BA">
        <w:t xml:space="preserve">En cumplimiento al artículo 162 de la Ley de Transparencia y Acceso a la Información Pública del Estado de México y Municipios, el </w:t>
      </w:r>
      <w:r w:rsidR="00DF73A4" w:rsidRPr="00CD55BA">
        <w:rPr>
          <w:b/>
        </w:rPr>
        <w:t xml:space="preserve">ocho </w:t>
      </w:r>
      <w:r w:rsidRPr="00CD55BA">
        <w:rPr>
          <w:b/>
        </w:rPr>
        <w:t>de mayo de dos mil veinticinco</w:t>
      </w:r>
      <w:r w:rsidRPr="00CD55BA">
        <w:t xml:space="preserve">, el Titular de la Unidad de Transparencia del </w:t>
      </w:r>
      <w:r w:rsidRPr="00CD55BA">
        <w:rPr>
          <w:b/>
        </w:rPr>
        <w:t>SUJETO OBLIGADO</w:t>
      </w:r>
      <w:r w:rsidRPr="00CD55BA">
        <w:t xml:space="preserve"> turnó la solicitud de información al servidor público habilitado que estimó pertinente.</w:t>
      </w:r>
    </w:p>
    <w:p w14:paraId="0D16296B" w14:textId="77777777" w:rsidR="00CA0628" w:rsidRPr="00CD55BA" w:rsidRDefault="00CA0628" w:rsidP="00CD55BA">
      <w:pPr>
        <w:autoSpaceDE w:val="0"/>
        <w:autoSpaceDN w:val="0"/>
        <w:adjustRightInd w:val="0"/>
        <w:ind w:right="-28"/>
        <w:rPr>
          <w:rFonts w:cs="Tahoma"/>
          <w:bCs/>
          <w:i/>
          <w:szCs w:val="22"/>
        </w:rPr>
      </w:pPr>
    </w:p>
    <w:p w14:paraId="3212BA4D" w14:textId="14C0E7D9" w:rsidR="00664420" w:rsidRPr="00CD55BA" w:rsidRDefault="00CA0628" w:rsidP="00CD55BA">
      <w:pPr>
        <w:pStyle w:val="Ttulo3"/>
      </w:pPr>
      <w:bookmarkStart w:id="7" w:name="_Toc205972589"/>
      <w:r w:rsidRPr="00CD55BA">
        <w:rPr>
          <w:lang w:val="es-ES"/>
        </w:rPr>
        <w:t>c</w:t>
      </w:r>
      <w:r w:rsidR="00F25625" w:rsidRPr="00CD55BA">
        <w:rPr>
          <w:lang w:val="es-ES"/>
        </w:rPr>
        <w:t xml:space="preserve">) </w:t>
      </w:r>
      <w:r w:rsidR="00664420" w:rsidRPr="00CD55BA">
        <w:rPr>
          <w:lang w:val="es-ES"/>
        </w:rPr>
        <w:t xml:space="preserve">Respuesta </w:t>
      </w:r>
      <w:r w:rsidR="00664420" w:rsidRPr="00CD55BA">
        <w:rPr>
          <w:rFonts w:eastAsia="Calibri"/>
          <w:lang w:eastAsia="en-US"/>
        </w:rPr>
        <w:t>del Sujeto Obligado</w:t>
      </w:r>
      <w:bookmarkEnd w:id="7"/>
    </w:p>
    <w:p w14:paraId="2143017E" w14:textId="61E2B7A0" w:rsidR="00BA1AB6" w:rsidRPr="00CD55BA" w:rsidRDefault="003B0255" w:rsidP="00CD55BA">
      <w:pPr>
        <w:rPr>
          <w:lang w:val="es-ES"/>
        </w:rPr>
      </w:pPr>
      <w:r w:rsidRPr="00CD55BA">
        <w:rPr>
          <w:lang w:val="es-ES"/>
        </w:rPr>
        <w:t xml:space="preserve">El </w:t>
      </w:r>
      <w:r w:rsidR="00DF73A4" w:rsidRPr="00CD55BA">
        <w:rPr>
          <w:b/>
          <w:bCs/>
          <w:lang w:val="es-ES"/>
        </w:rPr>
        <w:t>diecinueve de mayo</w:t>
      </w:r>
      <w:r w:rsidR="00CA0628" w:rsidRPr="00CD55BA">
        <w:rPr>
          <w:b/>
          <w:bCs/>
          <w:lang w:val="es-ES"/>
        </w:rPr>
        <w:t xml:space="preserve"> </w:t>
      </w:r>
      <w:r w:rsidR="004F6D6C" w:rsidRPr="00CD55BA">
        <w:rPr>
          <w:b/>
          <w:bCs/>
          <w:lang w:val="es-ES"/>
        </w:rPr>
        <w:t>d</w:t>
      </w:r>
      <w:r w:rsidRPr="00CD55BA">
        <w:rPr>
          <w:b/>
          <w:bCs/>
          <w:lang w:val="es-ES"/>
        </w:rPr>
        <w:t>e dos mil veintic</w:t>
      </w:r>
      <w:r w:rsidR="006E7E69" w:rsidRPr="00CD55BA">
        <w:rPr>
          <w:b/>
          <w:bCs/>
          <w:lang w:val="es-ES"/>
        </w:rPr>
        <w:t>inco</w:t>
      </w:r>
      <w:r w:rsidRPr="00CD55BA">
        <w:rPr>
          <w:lang w:val="es-ES"/>
        </w:rPr>
        <w:t xml:space="preserve">, el Titular de la Unidad de Transparencia del </w:t>
      </w:r>
      <w:r w:rsidRPr="00CD55BA">
        <w:rPr>
          <w:b/>
          <w:lang w:val="es-ES"/>
        </w:rPr>
        <w:t>SUJETO OBLIGADO</w:t>
      </w:r>
      <w:r w:rsidRPr="00CD55BA">
        <w:rPr>
          <w:lang w:val="es-ES"/>
        </w:rPr>
        <w:t xml:space="preserve"> notificó la siguiente respuesta a través del </w:t>
      </w:r>
      <w:r w:rsidRPr="00CD55BA">
        <w:rPr>
          <w:b/>
          <w:lang w:val="es-ES"/>
        </w:rPr>
        <w:t>SAIMEX</w:t>
      </w:r>
      <w:r w:rsidRPr="00CD55BA">
        <w:rPr>
          <w:lang w:val="es-ES"/>
        </w:rPr>
        <w:t>:</w:t>
      </w:r>
    </w:p>
    <w:p w14:paraId="64166B4B" w14:textId="77777777" w:rsidR="003B0255" w:rsidRPr="00CD55BA" w:rsidRDefault="003B0255" w:rsidP="00CD55BA"/>
    <w:p w14:paraId="3FE42519" w14:textId="77777777" w:rsidR="00CF57E4" w:rsidRPr="00CD55BA" w:rsidRDefault="003B0255" w:rsidP="00CD55BA">
      <w:pPr>
        <w:pStyle w:val="Ttulo"/>
      </w:pPr>
      <w:r w:rsidRPr="00CD55BA">
        <w:t>“</w:t>
      </w:r>
      <w:r w:rsidR="00CF57E4" w:rsidRPr="00CD55BA">
        <w:t>En respuesta a la solicitud recibida, nos permitimos hacer de su conocimiento que con fundamento en el artículo 53, Fracciones: II, V y VI de la Ley de Transparencia y Acceso a la Información Pública del Estado de México y Municipios, le contestamos que:</w:t>
      </w:r>
    </w:p>
    <w:p w14:paraId="41B60B9A" w14:textId="77777777" w:rsidR="00CF57E4" w:rsidRPr="00CD55BA" w:rsidRDefault="00CF57E4" w:rsidP="00CD55BA"/>
    <w:p w14:paraId="2E701383" w14:textId="77777777" w:rsidR="00CF57E4" w:rsidRPr="00CD55BA" w:rsidRDefault="00CF57E4" w:rsidP="00CD55BA">
      <w:pPr>
        <w:pStyle w:val="Ttulo"/>
      </w:pPr>
      <w:r w:rsidRPr="00CD55BA">
        <w:t>Con fundamento en lo dispuesto en el artículo 12 segundo párrafo de la Ley de Transparencia y Acceso a la Información Pública del Estado de México y Municipios, en seguimiento y respuesta a la solicitud de información pública con número de Folio 00109/TLALMANA/IP/2025 , que derivado de una búsqueda exhaustiva y minuciosa de la información solicitada, en los archivos físicos y digitales de esta Dependencia administrativa, se da respuesta conforme a lo siguiente: Con fundamento en lo dispuesto en el artículo 12 segundo párrafo de la Ley de Transparencia y Acceso a la Información Pública del Estado de México y Municipios, en seguimiento y respuesta a la solicitud de información pública con número de Folio 00109/TLALMANA/IP/2025 , que derivado de una búsqueda exhaustiva y minuciosa de la información solicitada, en los archivos físicos y digitales de esta Dependencia administrativa, se da respuesta conforme a lo siguiente:</w:t>
      </w:r>
    </w:p>
    <w:p w14:paraId="7ECFD40F" w14:textId="77777777" w:rsidR="00CF57E4" w:rsidRPr="00CD55BA" w:rsidRDefault="00CF57E4" w:rsidP="00CD55BA"/>
    <w:p w14:paraId="1CA963DB" w14:textId="77777777" w:rsidR="00CF57E4" w:rsidRPr="00CD55BA" w:rsidRDefault="00CF57E4" w:rsidP="00CD55BA">
      <w:pPr>
        <w:pStyle w:val="Ttulo"/>
      </w:pPr>
      <w:r w:rsidRPr="00CD55BA">
        <w:t>ATENTAMENTE</w:t>
      </w:r>
    </w:p>
    <w:p w14:paraId="6061E7EA" w14:textId="77777777" w:rsidR="00CF57E4" w:rsidRPr="00CD55BA" w:rsidRDefault="00CF57E4" w:rsidP="00CD55BA"/>
    <w:p w14:paraId="4A08B1BE" w14:textId="2968852D" w:rsidR="003B0255" w:rsidRPr="00CD55BA" w:rsidRDefault="00CF57E4" w:rsidP="00CD55BA">
      <w:pPr>
        <w:pStyle w:val="Ttulo"/>
        <w:rPr>
          <w:lang w:val="it-IT"/>
        </w:rPr>
      </w:pPr>
      <w:r w:rsidRPr="00CD55BA">
        <w:t xml:space="preserve">Lic. en C.P y Admón. </w:t>
      </w:r>
      <w:r w:rsidRPr="00CD55BA">
        <w:rPr>
          <w:lang w:val="pt-PT"/>
        </w:rPr>
        <w:t xml:space="preserve">Pub. Janet </w:t>
      </w:r>
      <w:proofErr w:type="spellStart"/>
      <w:r w:rsidRPr="00CD55BA">
        <w:rPr>
          <w:lang w:val="pt-PT"/>
        </w:rPr>
        <w:t>Orozco</w:t>
      </w:r>
      <w:proofErr w:type="spellEnd"/>
      <w:r w:rsidRPr="00CD55BA">
        <w:rPr>
          <w:lang w:val="pt-PT"/>
        </w:rPr>
        <w:t xml:space="preserve"> Banda</w:t>
      </w:r>
      <w:r w:rsidR="003B0255" w:rsidRPr="00CD55BA">
        <w:rPr>
          <w:lang w:val="it-IT"/>
        </w:rPr>
        <w:t>” (sic)</w:t>
      </w:r>
    </w:p>
    <w:p w14:paraId="4B1F18A0" w14:textId="77777777" w:rsidR="003B0255" w:rsidRPr="00CD55BA" w:rsidRDefault="003B0255" w:rsidP="00CD55BA">
      <w:pPr>
        <w:rPr>
          <w:lang w:val="it-IT"/>
        </w:rPr>
      </w:pPr>
    </w:p>
    <w:p w14:paraId="16D07571" w14:textId="77777777" w:rsidR="004F165A" w:rsidRPr="00CD55BA" w:rsidRDefault="003B0255" w:rsidP="00CD55BA">
      <w:pPr>
        <w:autoSpaceDE w:val="0"/>
        <w:autoSpaceDN w:val="0"/>
        <w:adjustRightInd w:val="0"/>
        <w:ind w:right="-28"/>
        <w:rPr>
          <w:rFonts w:cs="Tahoma"/>
          <w:bCs/>
          <w:szCs w:val="22"/>
          <w:lang w:val="es-ES"/>
        </w:rPr>
      </w:pPr>
      <w:r w:rsidRPr="00CD55BA">
        <w:rPr>
          <w:rFonts w:cs="Tahoma"/>
          <w:bCs/>
          <w:szCs w:val="22"/>
          <w:lang w:val="es-ES"/>
        </w:rPr>
        <w:lastRenderedPageBreak/>
        <w:t xml:space="preserve">Asimismo, </w:t>
      </w:r>
      <w:r w:rsidRPr="00CD55BA">
        <w:rPr>
          <w:rFonts w:cs="Tahoma"/>
          <w:b/>
          <w:szCs w:val="22"/>
          <w:lang w:val="es-ES"/>
        </w:rPr>
        <w:t xml:space="preserve">EL SUJETO OBLIGADO </w:t>
      </w:r>
      <w:r w:rsidRPr="00CD55BA">
        <w:rPr>
          <w:rFonts w:cs="Tahoma"/>
          <w:bCs/>
          <w:szCs w:val="22"/>
          <w:lang w:val="es-ES"/>
        </w:rPr>
        <w:t xml:space="preserve">adjuntó a su respuesta </w:t>
      </w:r>
      <w:r w:rsidR="004F165A" w:rsidRPr="00CD55BA">
        <w:rPr>
          <w:rFonts w:cs="Tahoma"/>
          <w:bCs/>
          <w:szCs w:val="22"/>
          <w:lang w:val="es-ES"/>
        </w:rPr>
        <w:t xml:space="preserve">los archivos electrónicos que a continuación se describen: </w:t>
      </w:r>
    </w:p>
    <w:p w14:paraId="2F486FF7" w14:textId="77777777" w:rsidR="004F165A" w:rsidRPr="00CD55BA" w:rsidRDefault="004F165A" w:rsidP="00CD55BA">
      <w:pPr>
        <w:autoSpaceDE w:val="0"/>
        <w:autoSpaceDN w:val="0"/>
        <w:adjustRightInd w:val="0"/>
        <w:ind w:right="-28"/>
        <w:rPr>
          <w:rFonts w:cs="Tahoma"/>
          <w:bCs/>
          <w:szCs w:val="22"/>
          <w:lang w:val="es-ES"/>
        </w:rPr>
      </w:pPr>
    </w:p>
    <w:p w14:paraId="7441CF9B" w14:textId="1370F1D2" w:rsidR="00CF57E4" w:rsidRPr="00CD55BA" w:rsidRDefault="00CF57E4" w:rsidP="00CD55BA">
      <w:pPr>
        <w:pStyle w:val="Prrafodelista"/>
        <w:numPr>
          <w:ilvl w:val="0"/>
          <w:numId w:val="1"/>
        </w:numPr>
        <w:autoSpaceDE w:val="0"/>
        <w:autoSpaceDN w:val="0"/>
        <w:adjustRightInd w:val="0"/>
        <w:ind w:right="-28"/>
        <w:rPr>
          <w:rFonts w:cs="Tahoma"/>
          <w:szCs w:val="22"/>
        </w:rPr>
      </w:pPr>
      <w:r w:rsidRPr="00CD55BA">
        <w:rPr>
          <w:rFonts w:cs="Tahoma"/>
          <w:b/>
          <w:bCs/>
          <w:i/>
          <w:iCs/>
          <w:szCs w:val="22"/>
        </w:rPr>
        <w:t xml:space="preserve">109 TES.pdf, </w:t>
      </w:r>
      <w:r w:rsidRPr="00CD55BA">
        <w:rPr>
          <w:rFonts w:cs="Tahoma"/>
          <w:szCs w:val="22"/>
        </w:rPr>
        <w:t xml:space="preserve">el cual contiene los siguientes documentos: </w:t>
      </w:r>
    </w:p>
    <w:p w14:paraId="7E8AF95A" w14:textId="005EA000" w:rsidR="00CF57E4" w:rsidRPr="00CD55BA" w:rsidRDefault="00CF57E4" w:rsidP="00CD55BA">
      <w:pPr>
        <w:pStyle w:val="Prrafodelista"/>
        <w:numPr>
          <w:ilvl w:val="0"/>
          <w:numId w:val="3"/>
        </w:numPr>
        <w:autoSpaceDE w:val="0"/>
        <w:autoSpaceDN w:val="0"/>
        <w:adjustRightInd w:val="0"/>
        <w:ind w:right="-28"/>
        <w:rPr>
          <w:rFonts w:cs="Tahoma"/>
          <w:szCs w:val="22"/>
        </w:rPr>
      </w:pPr>
      <w:r w:rsidRPr="00CD55BA">
        <w:rPr>
          <w:rFonts w:cs="Tahoma"/>
          <w:szCs w:val="22"/>
        </w:rPr>
        <w:t xml:space="preserve">Oficio UTAI/TLAL/SAIMEX/0254/05/2025 del siete de mayo de dos mil veinticinco, por medio del cual la titular de la Unidad de Transparencia turna la solicitud al Tesorero Municipal. </w:t>
      </w:r>
    </w:p>
    <w:p w14:paraId="54E3FF8A" w14:textId="77777777" w:rsidR="00CF57E4" w:rsidRPr="00CD55BA" w:rsidRDefault="00CF57E4" w:rsidP="00CD55BA">
      <w:pPr>
        <w:pStyle w:val="Prrafodelista"/>
        <w:numPr>
          <w:ilvl w:val="0"/>
          <w:numId w:val="3"/>
        </w:numPr>
        <w:autoSpaceDE w:val="0"/>
        <w:autoSpaceDN w:val="0"/>
        <w:adjustRightInd w:val="0"/>
        <w:ind w:right="-28"/>
        <w:rPr>
          <w:rFonts w:cs="Tahoma"/>
          <w:szCs w:val="22"/>
        </w:rPr>
      </w:pPr>
      <w:r w:rsidRPr="00CD55BA">
        <w:rPr>
          <w:rFonts w:cs="Tahoma"/>
          <w:szCs w:val="22"/>
        </w:rPr>
        <w:t xml:space="preserve">Oficio UTAI/TLAL/SAIMEX/0269/05/2025 del quince de mayo de dos mil veinticinco, por medio del cual la titular de la Unidad de Transparencia turna la solicitud al Tesorero Municipal. </w:t>
      </w:r>
    </w:p>
    <w:p w14:paraId="11FD2647" w14:textId="3DA4F3D0" w:rsidR="00CF57E4" w:rsidRPr="00CD55BA" w:rsidRDefault="00CF57E4" w:rsidP="00CD55BA">
      <w:pPr>
        <w:pStyle w:val="Prrafodelista"/>
        <w:numPr>
          <w:ilvl w:val="0"/>
          <w:numId w:val="3"/>
        </w:numPr>
        <w:autoSpaceDE w:val="0"/>
        <w:autoSpaceDN w:val="0"/>
        <w:adjustRightInd w:val="0"/>
        <w:ind w:right="-28"/>
        <w:rPr>
          <w:rFonts w:cs="Tahoma"/>
          <w:szCs w:val="22"/>
        </w:rPr>
      </w:pPr>
      <w:r w:rsidRPr="00CD55BA">
        <w:rPr>
          <w:rFonts w:cs="Tahoma"/>
          <w:szCs w:val="22"/>
        </w:rPr>
        <w:t xml:space="preserve">Oficio TES/TLAL/201/05/2025 del quince de mayo de dos mil veinticinco, por medio del cual el Tesorero Municipal medularmente refiere no generar la información solicitada. </w:t>
      </w:r>
    </w:p>
    <w:p w14:paraId="0410C0C5" w14:textId="77777777" w:rsidR="00CF57E4" w:rsidRPr="00CD55BA" w:rsidRDefault="00CF57E4" w:rsidP="00CD55BA">
      <w:pPr>
        <w:pStyle w:val="Prrafodelista"/>
        <w:numPr>
          <w:ilvl w:val="0"/>
          <w:numId w:val="1"/>
        </w:numPr>
        <w:autoSpaceDE w:val="0"/>
        <w:autoSpaceDN w:val="0"/>
        <w:adjustRightInd w:val="0"/>
        <w:ind w:right="-28"/>
        <w:rPr>
          <w:rFonts w:cs="Tahoma"/>
          <w:szCs w:val="22"/>
        </w:rPr>
      </w:pPr>
      <w:r w:rsidRPr="00CD55BA">
        <w:rPr>
          <w:rFonts w:cs="Tahoma"/>
          <w:b/>
          <w:bCs/>
          <w:i/>
          <w:iCs/>
          <w:szCs w:val="22"/>
        </w:rPr>
        <w:t xml:space="preserve">109 ADM.pdf, </w:t>
      </w:r>
      <w:r w:rsidRPr="00CD55BA">
        <w:rPr>
          <w:rFonts w:cs="Tahoma"/>
          <w:szCs w:val="22"/>
        </w:rPr>
        <w:t xml:space="preserve">el cual contiene los siguientes documentos: </w:t>
      </w:r>
    </w:p>
    <w:p w14:paraId="7B0FFC20" w14:textId="4D1204ED" w:rsidR="00CF57E4" w:rsidRPr="00CD55BA" w:rsidRDefault="00CF57E4" w:rsidP="00CD55BA">
      <w:pPr>
        <w:pStyle w:val="Prrafodelista"/>
        <w:numPr>
          <w:ilvl w:val="0"/>
          <w:numId w:val="3"/>
        </w:numPr>
        <w:autoSpaceDE w:val="0"/>
        <w:autoSpaceDN w:val="0"/>
        <w:adjustRightInd w:val="0"/>
        <w:ind w:right="-28"/>
        <w:rPr>
          <w:rFonts w:cs="Tahoma"/>
          <w:szCs w:val="22"/>
        </w:rPr>
      </w:pPr>
      <w:r w:rsidRPr="00CD55BA">
        <w:rPr>
          <w:rFonts w:cs="Tahoma"/>
          <w:szCs w:val="22"/>
        </w:rPr>
        <w:t xml:space="preserve">Oficio UTAI/TLAL/SAIMEX/0253/05/2025 del siete de mayo de dos mil veinticinco, por medio del cual la titular de la Unidad de Transparencia turna la solicitud al Director de Administración. </w:t>
      </w:r>
    </w:p>
    <w:p w14:paraId="76BAC992" w14:textId="28321858" w:rsidR="00CF57E4" w:rsidRPr="00CD55BA" w:rsidRDefault="00CF57E4" w:rsidP="00CD55BA">
      <w:pPr>
        <w:pStyle w:val="Prrafodelista"/>
        <w:numPr>
          <w:ilvl w:val="0"/>
          <w:numId w:val="3"/>
        </w:numPr>
        <w:autoSpaceDE w:val="0"/>
        <w:autoSpaceDN w:val="0"/>
        <w:adjustRightInd w:val="0"/>
        <w:ind w:right="-28"/>
        <w:rPr>
          <w:rFonts w:cs="Tahoma"/>
          <w:szCs w:val="22"/>
        </w:rPr>
      </w:pPr>
      <w:r w:rsidRPr="00CD55BA">
        <w:rPr>
          <w:rFonts w:cs="Tahoma"/>
          <w:szCs w:val="22"/>
        </w:rPr>
        <w:t xml:space="preserve">Oficio TLAL/ADMI/254/2025 del catorce de mayo de dos mil veinticinco, por medio del cual el Director de Administración informa que no genera la información, sugiriendo que debe ser solicitada al Tesorero Municipal. </w:t>
      </w:r>
    </w:p>
    <w:p w14:paraId="4B7BD2CA" w14:textId="77777777" w:rsidR="004F165A" w:rsidRPr="00CD55BA" w:rsidRDefault="004F165A" w:rsidP="00CD55BA">
      <w:pPr>
        <w:autoSpaceDE w:val="0"/>
        <w:autoSpaceDN w:val="0"/>
        <w:adjustRightInd w:val="0"/>
        <w:ind w:right="-28"/>
        <w:rPr>
          <w:rFonts w:cs="Tahoma"/>
          <w:bCs/>
          <w:szCs w:val="22"/>
          <w:lang w:val="es-ES"/>
        </w:rPr>
      </w:pPr>
    </w:p>
    <w:p w14:paraId="0F24A322" w14:textId="7F9E5F9A" w:rsidR="00B137E8" w:rsidRPr="00CD55BA" w:rsidRDefault="00B137E8" w:rsidP="00CD55BA">
      <w:pPr>
        <w:pStyle w:val="Ttulo2"/>
        <w:jc w:val="left"/>
      </w:pPr>
      <w:bookmarkStart w:id="8" w:name="_Toc171527280"/>
      <w:bookmarkStart w:id="9" w:name="_Toc205972590"/>
      <w:r w:rsidRPr="00CD55BA">
        <w:t>DEL RECURSO DE REVISIÓN</w:t>
      </w:r>
      <w:bookmarkEnd w:id="8"/>
      <w:bookmarkEnd w:id="9"/>
    </w:p>
    <w:p w14:paraId="2B216813" w14:textId="61ADBB2B" w:rsidR="00664420" w:rsidRPr="00CD55BA" w:rsidRDefault="006E25BC" w:rsidP="00CD55BA">
      <w:pPr>
        <w:pStyle w:val="Ttulo3"/>
      </w:pPr>
      <w:bookmarkStart w:id="10" w:name="_Toc205972591"/>
      <w:r w:rsidRPr="00CD55BA">
        <w:rPr>
          <w:szCs w:val="32"/>
        </w:rPr>
        <w:t>a)</w:t>
      </w:r>
      <w:r w:rsidRPr="00CD55BA">
        <w:t xml:space="preserve"> </w:t>
      </w:r>
      <w:r w:rsidR="00664420" w:rsidRPr="00CD55BA">
        <w:t>Interposición del Recurso de Revisión</w:t>
      </w:r>
      <w:bookmarkEnd w:id="10"/>
    </w:p>
    <w:p w14:paraId="6279C622" w14:textId="47254D88" w:rsidR="00664420" w:rsidRPr="00CD55BA" w:rsidRDefault="00664420" w:rsidP="00CD55BA">
      <w:pPr>
        <w:autoSpaceDE w:val="0"/>
        <w:autoSpaceDN w:val="0"/>
        <w:adjustRightInd w:val="0"/>
        <w:ind w:right="-28"/>
        <w:rPr>
          <w:rFonts w:cs="Tahoma"/>
          <w:szCs w:val="22"/>
        </w:rPr>
      </w:pPr>
      <w:r w:rsidRPr="00CD55BA">
        <w:rPr>
          <w:rFonts w:cs="Tahoma"/>
          <w:szCs w:val="22"/>
        </w:rPr>
        <w:t xml:space="preserve">El </w:t>
      </w:r>
      <w:r w:rsidR="00CF57E4" w:rsidRPr="00CD55BA">
        <w:rPr>
          <w:rFonts w:cs="Tahoma"/>
          <w:b/>
          <w:bCs/>
          <w:szCs w:val="22"/>
        </w:rPr>
        <w:t xml:space="preserve">veinte </w:t>
      </w:r>
      <w:r w:rsidR="00CA0628" w:rsidRPr="00CD55BA">
        <w:rPr>
          <w:rFonts w:cs="Tahoma"/>
          <w:b/>
          <w:bCs/>
          <w:szCs w:val="22"/>
        </w:rPr>
        <w:t xml:space="preserve">de </w:t>
      </w:r>
      <w:r w:rsidR="00CF57E4" w:rsidRPr="00CD55BA">
        <w:rPr>
          <w:rFonts w:cs="Tahoma"/>
          <w:b/>
          <w:bCs/>
          <w:szCs w:val="22"/>
        </w:rPr>
        <w:t xml:space="preserve">mayo </w:t>
      </w:r>
      <w:r w:rsidR="00475FF6" w:rsidRPr="00CD55BA">
        <w:rPr>
          <w:rFonts w:cs="Tahoma"/>
          <w:b/>
          <w:bCs/>
          <w:szCs w:val="22"/>
        </w:rPr>
        <w:t xml:space="preserve">de </w:t>
      </w:r>
      <w:r w:rsidRPr="00CD55BA">
        <w:rPr>
          <w:rFonts w:cs="Tahoma"/>
          <w:b/>
          <w:bCs/>
          <w:szCs w:val="22"/>
        </w:rPr>
        <w:t>dos mil</w:t>
      </w:r>
      <w:r w:rsidR="00F45902" w:rsidRPr="00CD55BA">
        <w:rPr>
          <w:rFonts w:cs="Tahoma"/>
          <w:b/>
          <w:bCs/>
          <w:szCs w:val="22"/>
        </w:rPr>
        <w:t xml:space="preserve"> veintic</w:t>
      </w:r>
      <w:r w:rsidR="006E7E69" w:rsidRPr="00CD55BA">
        <w:rPr>
          <w:rFonts w:cs="Tahoma"/>
          <w:b/>
          <w:bCs/>
          <w:szCs w:val="22"/>
        </w:rPr>
        <w:t>inco</w:t>
      </w:r>
      <w:r w:rsidRPr="00CD55BA">
        <w:rPr>
          <w:rFonts w:cs="Tahoma"/>
          <w:szCs w:val="22"/>
        </w:rPr>
        <w:t xml:space="preserve"> </w:t>
      </w:r>
      <w:r w:rsidR="00F75D23" w:rsidRPr="00CD55BA">
        <w:rPr>
          <w:rFonts w:cs="Tahoma"/>
          <w:b/>
          <w:bCs/>
          <w:szCs w:val="22"/>
        </w:rPr>
        <w:t>LA PARTE RECURRENTE</w:t>
      </w:r>
      <w:r w:rsidR="00F75D23" w:rsidRPr="00CD55BA">
        <w:rPr>
          <w:rFonts w:cs="Tahoma"/>
          <w:szCs w:val="22"/>
        </w:rPr>
        <w:t xml:space="preserve"> interpuso el recurso de revisión en contra de la respuesta emitida por el </w:t>
      </w:r>
      <w:r w:rsidR="00F75D23" w:rsidRPr="00CD55BA">
        <w:rPr>
          <w:rFonts w:cs="Tahoma"/>
          <w:b/>
          <w:bCs/>
          <w:szCs w:val="22"/>
        </w:rPr>
        <w:t>SUJETO OBLIGADO</w:t>
      </w:r>
      <w:r w:rsidR="00953430" w:rsidRPr="00CD55BA">
        <w:rPr>
          <w:rFonts w:cs="Tahoma"/>
          <w:szCs w:val="22"/>
        </w:rPr>
        <w:t xml:space="preserve">, mismo que fue </w:t>
      </w:r>
      <w:r w:rsidR="00953430" w:rsidRPr="00CD55BA">
        <w:rPr>
          <w:rFonts w:cs="Tahoma"/>
          <w:szCs w:val="22"/>
        </w:rPr>
        <w:lastRenderedPageBreak/>
        <w:t xml:space="preserve">registrado en el </w:t>
      </w:r>
      <w:r w:rsidR="00953430" w:rsidRPr="00CD55BA">
        <w:rPr>
          <w:rFonts w:cs="Tahoma"/>
          <w:b/>
          <w:szCs w:val="22"/>
        </w:rPr>
        <w:t>SAIMEX</w:t>
      </w:r>
      <w:r w:rsidR="00953430" w:rsidRPr="00CD55BA">
        <w:rPr>
          <w:rFonts w:cs="Tahoma"/>
          <w:szCs w:val="22"/>
        </w:rPr>
        <w:t xml:space="preserve"> con el número de expediente </w:t>
      </w:r>
      <w:r w:rsidR="006E7E69" w:rsidRPr="00CD55BA">
        <w:rPr>
          <w:rFonts w:cs="Tahoma"/>
          <w:b/>
          <w:bCs/>
          <w:szCs w:val="22"/>
        </w:rPr>
        <w:t>0</w:t>
      </w:r>
      <w:r w:rsidR="00CF57E4" w:rsidRPr="00CD55BA">
        <w:rPr>
          <w:rFonts w:cs="Tahoma"/>
          <w:b/>
          <w:bCs/>
          <w:szCs w:val="22"/>
        </w:rPr>
        <w:t>5692</w:t>
      </w:r>
      <w:r w:rsidR="006E7E69" w:rsidRPr="00CD55BA">
        <w:rPr>
          <w:rFonts w:cs="Tahoma"/>
          <w:b/>
          <w:bCs/>
          <w:szCs w:val="22"/>
        </w:rPr>
        <w:t>/INFOEM/IP/RR/2025</w:t>
      </w:r>
      <w:r w:rsidR="00953430" w:rsidRPr="00CD55BA">
        <w:rPr>
          <w:rFonts w:cs="Tahoma"/>
          <w:szCs w:val="22"/>
        </w:rPr>
        <w:t>, y en el cual manifiesta lo siguiente</w:t>
      </w:r>
      <w:r w:rsidRPr="00CD55BA">
        <w:rPr>
          <w:rFonts w:cs="Tahoma"/>
          <w:szCs w:val="22"/>
        </w:rPr>
        <w:t>:</w:t>
      </w:r>
    </w:p>
    <w:p w14:paraId="74B30008" w14:textId="77777777" w:rsidR="00664420" w:rsidRPr="00CD55BA" w:rsidRDefault="00664420" w:rsidP="00CD55BA">
      <w:pPr>
        <w:tabs>
          <w:tab w:val="left" w:pos="4667"/>
        </w:tabs>
        <w:ind w:right="539"/>
        <w:rPr>
          <w:rFonts w:cs="Tahoma"/>
          <w:szCs w:val="22"/>
        </w:rPr>
      </w:pPr>
    </w:p>
    <w:p w14:paraId="3A3988B0" w14:textId="77777777" w:rsidR="001544A1" w:rsidRPr="00CD55BA" w:rsidRDefault="00664420" w:rsidP="00CD55BA">
      <w:pPr>
        <w:tabs>
          <w:tab w:val="left" w:pos="4667"/>
        </w:tabs>
        <w:ind w:right="539"/>
        <w:rPr>
          <w:rFonts w:cs="Tahoma"/>
          <w:b/>
          <w:iCs/>
        </w:rPr>
      </w:pPr>
      <w:r w:rsidRPr="00CD55BA">
        <w:rPr>
          <w:rFonts w:cs="Tahoma"/>
          <w:b/>
          <w:iCs/>
        </w:rPr>
        <w:t>ACTO IMPUGNADO</w:t>
      </w:r>
      <w:r w:rsidR="001544A1" w:rsidRPr="00CD55BA">
        <w:rPr>
          <w:rFonts w:cs="Tahoma"/>
          <w:b/>
          <w:iCs/>
        </w:rPr>
        <w:t xml:space="preserve">: </w:t>
      </w:r>
    </w:p>
    <w:p w14:paraId="74BBD238" w14:textId="77777777" w:rsidR="001544A1" w:rsidRPr="00CD55BA" w:rsidRDefault="001544A1" w:rsidP="00CD55BA">
      <w:pPr>
        <w:pStyle w:val="Ttulo"/>
      </w:pPr>
    </w:p>
    <w:p w14:paraId="327EED5D" w14:textId="4D203D45" w:rsidR="001544A1" w:rsidRPr="00CD55BA" w:rsidRDefault="001544A1" w:rsidP="00CD55BA">
      <w:pPr>
        <w:pStyle w:val="Ttulo"/>
      </w:pPr>
      <w:r w:rsidRPr="00CD55BA">
        <w:t>“</w:t>
      </w:r>
      <w:r w:rsidR="00CF57E4" w:rsidRPr="00CD55BA">
        <w:t>SE SOLICITO EL DIARIO GENERAL DE POLIZAS DE LOS MESES DE ENERO, FEBRERO, MARZO, ABRIL, MAYO, JUNIO, JULIO, AGOSTO, SEPTIEMBRE, OCTUBRE, NOVIEMBRE Y DICIEMBRE DE 2024</w:t>
      </w:r>
      <w:r w:rsidRPr="00CD55BA">
        <w:t xml:space="preserve">” (sic) </w:t>
      </w:r>
    </w:p>
    <w:p w14:paraId="1F180CCD" w14:textId="77777777" w:rsidR="001544A1" w:rsidRPr="00CD55BA" w:rsidRDefault="001544A1" w:rsidP="00CD55BA">
      <w:pPr>
        <w:pStyle w:val="Ttulo"/>
      </w:pPr>
    </w:p>
    <w:p w14:paraId="093C3F85" w14:textId="65D81CDC" w:rsidR="00CE3DBD" w:rsidRPr="00CD55BA" w:rsidRDefault="00CE3DBD" w:rsidP="00CD55BA">
      <w:pPr>
        <w:tabs>
          <w:tab w:val="left" w:pos="4667"/>
        </w:tabs>
        <w:ind w:right="539"/>
        <w:rPr>
          <w:rFonts w:cs="Tahoma"/>
          <w:b/>
          <w:iCs/>
        </w:rPr>
      </w:pPr>
      <w:r w:rsidRPr="00CD55BA">
        <w:rPr>
          <w:rFonts w:cs="Tahoma"/>
          <w:b/>
          <w:iCs/>
        </w:rPr>
        <w:t xml:space="preserve">RAZONES O MOTIVOS DE INCONFORMIDAD </w:t>
      </w:r>
    </w:p>
    <w:p w14:paraId="177EE3D5" w14:textId="77777777" w:rsidR="00F45902" w:rsidRPr="00CD55BA" w:rsidRDefault="00F45902" w:rsidP="00CD55BA">
      <w:pPr>
        <w:pStyle w:val="Ttulo"/>
      </w:pPr>
    </w:p>
    <w:p w14:paraId="2F63422F" w14:textId="3DCDDBE4" w:rsidR="004F165A" w:rsidRPr="00CD55BA" w:rsidRDefault="004F165A" w:rsidP="00CD55BA">
      <w:pPr>
        <w:pStyle w:val="Ttulo"/>
      </w:pPr>
      <w:r w:rsidRPr="00CD55BA">
        <w:t>“</w:t>
      </w:r>
      <w:r w:rsidR="00CF57E4" w:rsidRPr="00CD55BA">
        <w:t>CONSIDERO QUE EXISTE NEGATIVA EN ENTREGAR LA INFORMACION, YA QUE EL TESORERO MUNICIPAL RESPONDE POR OFICIO QUE "NO SE GENERA LA INFORMACION QUE EL SOLICITANTE REQUIERE" NO PUEDE RESPONDER ESO, YA QUE EL DIARIO GENERAL DE POLIZAS FORMA PARTE DEL INFORME QUE SE ENTREGA AL ORGANO SUPERIOR DE FISCALIZACION, LOS DIARIOS SE GENERAN POR MES Y SE INTEGRAN POR TRIMESTRE Y SE SUBEN A TRAVES DE LA PLATAFORMA DIGITAL QUE PARA TAL EFECTO TIENE HABILITADA EL OSFEM. POR LO QUE PARA COMPROBAR LO DICHO SE ADJUNTA AL PRESENTE EL APARTADO DE LA MATRIZ DE ARCHIVOS Y DE LA INTEGRACION DEL MODULO 1 EN LO QUE SE REFIERE A ESTA SOLICITUD ESPECIFICA, EN LA MATRIZ SE DETALLA EL DIARIO GENERAL DE POLIZAS EN EL PUNTO NUMERO 13 Y EL TIPO DE ARCHIVO QUE SE TIENE QUE ADJUNTAR ES EN PDF Y EN EXCEL Y EN EL INSTRUCTIVO DEL MODULO 1 REFIERE QUE LA FINALIDAD DEL DIARIO GENERAL DE POLIZAS ES CONCENTRAR EL TOTAL DE POLIZAS QUE LA ENTIDAD REALIZO EN UN PERIODO DETERMINADO PARA UNA CONSULTA PRACTICA Y AGIL. POR LO QUE SOLICITO ME PROPORCIONEN LA INFORMACION SOLICITADA ORIGINALMENTE.</w:t>
      </w:r>
      <w:r w:rsidRPr="00CD55BA">
        <w:t xml:space="preserve">” (sic) </w:t>
      </w:r>
    </w:p>
    <w:p w14:paraId="6AE8EA9A" w14:textId="77777777" w:rsidR="00664420" w:rsidRPr="00CD55BA" w:rsidRDefault="00664420" w:rsidP="00CD55BA">
      <w:pPr>
        <w:pStyle w:val="Ttulo"/>
        <w:ind w:left="0"/>
      </w:pPr>
    </w:p>
    <w:p w14:paraId="53AB4831" w14:textId="0885ADCE" w:rsidR="00CF57E4" w:rsidRPr="00CD55BA" w:rsidRDefault="00CF57E4" w:rsidP="00CD55BA">
      <w:pPr>
        <w:rPr>
          <w:rFonts w:cs="Tahoma"/>
          <w:bCs/>
          <w:szCs w:val="22"/>
          <w:lang w:val="es-ES"/>
        </w:rPr>
      </w:pPr>
      <w:r w:rsidRPr="00CD55BA">
        <w:rPr>
          <w:rFonts w:cs="Tahoma"/>
          <w:bCs/>
          <w:szCs w:val="22"/>
          <w:lang w:val="es-ES"/>
        </w:rPr>
        <w:t xml:space="preserve">Asimismo, </w:t>
      </w:r>
      <w:r w:rsidRPr="00CD55BA">
        <w:rPr>
          <w:rFonts w:cs="Tahoma"/>
          <w:b/>
          <w:szCs w:val="22"/>
          <w:lang w:val="es-ES"/>
        </w:rPr>
        <w:t xml:space="preserve">LA PARTE RECURRENTE </w:t>
      </w:r>
      <w:r w:rsidRPr="00CD55BA">
        <w:rPr>
          <w:rFonts w:cs="Tahoma"/>
          <w:bCs/>
          <w:szCs w:val="22"/>
          <w:lang w:val="es-ES"/>
        </w:rPr>
        <w:t xml:space="preserve">adjuntó a su interposición los archivos electrónicos que a continuación se describen: </w:t>
      </w:r>
    </w:p>
    <w:p w14:paraId="65C8336C" w14:textId="77777777" w:rsidR="00CF57E4" w:rsidRPr="00CD55BA" w:rsidRDefault="00CF57E4" w:rsidP="00CD55BA"/>
    <w:p w14:paraId="21360124" w14:textId="4D800049" w:rsidR="00CF57E4" w:rsidRPr="00CD55BA" w:rsidRDefault="00CF57E4" w:rsidP="00CD55BA">
      <w:pPr>
        <w:numPr>
          <w:ilvl w:val="0"/>
          <w:numId w:val="4"/>
        </w:numPr>
      </w:pPr>
      <w:r w:rsidRPr="00CD55BA">
        <w:rPr>
          <w:b/>
          <w:bCs/>
          <w:i/>
          <w:iCs/>
        </w:rPr>
        <w:lastRenderedPageBreak/>
        <w:t>MATRIZ DE ARCHIVOS MODULO 1 INFORME TRIMESTRAL.pdf,</w:t>
      </w:r>
      <w:r w:rsidRPr="00CD55BA">
        <w:rPr>
          <w:b/>
          <w:bCs/>
        </w:rPr>
        <w:t xml:space="preserve"> </w:t>
      </w:r>
      <w:r w:rsidRPr="00CD55BA">
        <w:t xml:space="preserve">el cual contiene </w:t>
      </w:r>
      <w:r w:rsidR="00C14165" w:rsidRPr="00CD55BA">
        <w:t xml:space="preserve">la Matriz de archivos y firmas autógrafas del soporte documental. </w:t>
      </w:r>
    </w:p>
    <w:p w14:paraId="2FD67974" w14:textId="4340CAB5" w:rsidR="00CF57E4" w:rsidRPr="00CD55BA" w:rsidRDefault="00CF57E4" w:rsidP="00CD55BA">
      <w:pPr>
        <w:numPr>
          <w:ilvl w:val="0"/>
          <w:numId w:val="4"/>
        </w:numPr>
        <w:rPr>
          <w:i/>
          <w:iCs/>
        </w:rPr>
      </w:pPr>
      <w:r w:rsidRPr="00CD55BA">
        <w:rPr>
          <w:b/>
          <w:bCs/>
          <w:i/>
          <w:iCs/>
        </w:rPr>
        <w:t xml:space="preserve">INTEGRACION MODULO 1 INFORME TRIMESTRAL DIARIO GENERAL DE POLIZAS.pdf, </w:t>
      </w:r>
      <w:r w:rsidR="00C14165" w:rsidRPr="00CD55BA">
        <w:t xml:space="preserve">el cual contiene el formato del Diario General de pólizas. </w:t>
      </w:r>
    </w:p>
    <w:p w14:paraId="6356E95A" w14:textId="77777777" w:rsidR="00CF57E4" w:rsidRPr="00CD55BA" w:rsidRDefault="00CF57E4" w:rsidP="00CD55BA"/>
    <w:p w14:paraId="6804DEF1" w14:textId="1843158A" w:rsidR="00664420" w:rsidRPr="00CD55BA" w:rsidRDefault="006E25BC" w:rsidP="00CD55BA">
      <w:pPr>
        <w:pStyle w:val="Ttulo3"/>
      </w:pPr>
      <w:bookmarkStart w:id="11" w:name="_Toc205972592"/>
      <w:r w:rsidRPr="00CD55BA">
        <w:t>b</w:t>
      </w:r>
      <w:r w:rsidR="00664420" w:rsidRPr="00CD55BA">
        <w:t>) Turno del</w:t>
      </w:r>
      <w:r w:rsidR="00CF57E4" w:rsidRPr="00CD55BA">
        <w:t xml:space="preserve"> </w:t>
      </w:r>
      <w:r w:rsidR="00664420" w:rsidRPr="00CD55BA">
        <w:t>Recurso de Revisión</w:t>
      </w:r>
      <w:bookmarkEnd w:id="11"/>
    </w:p>
    <w:p w14:paraId="1173671B" w14:textId="3534340A" w:rsidR="00C72DAA" w:rsidRPr="00CD55BA" w:rsidRDefault="00C72DAA" w:rsidP="00CD55BA">
      <w:r w:rsidRPr="00CD55BA">
        <w:t>Con fundamento en el artículo 185, fracción I de la Ley de Transparencia y Acceso a la Información Pública del Estado de México y Municipios, el</w:t>
      </w:r>
      <w:r w:rsidRPr="00CD55BA">
        <w:rPr>
          <w:b/>
          <w:bCs/>
        </w:rPr>
        <w:t xml:space="preserve"> </w:t>
      </w:r>
      <w:r w:rsidR="00C14165" w:rsidRPr="00CD55BA">
        <w:rPr>
          <w:rFonts w:eastAsia="Palatino Linotype" w:cs="Palatino Linotype"/>
          <w:b/>
        </w:rPr>
        <w:t xml:space="preserve">veinte </w:t>
      </w:r>
      <w:r w:rsidR="00CA0628" w:rsidRPr="00CD55BA">
        <w:rPr>
          <w:rFonts w:eastAsia="Palatino Linotype" w:cs="Palatino Linotype"/>
          <w:b/>
        </w:rPr>
        <w:t>de</w:t>
      </w:r>
      <w:r w:rsidR="00C14165" w:rsidRPr="00CD55BA">
        <w:rPr>
          <w:rFonts w:eastAsia="Palatino Linotype" w:cs="Palatino Linotype"/>
          <w:b/>
        </w:rPr>
        <w:t xml:space="preserve"> mayo </w:t>
      </w:r>
      <w:r w:rsidR="009A1340" w:rsidRPr="00CD55BA">
        <w:rPr>
          <w:rFonts w:eastAsia="Palatino Linotype" w:cs="Palatino Linotype"/>
          <w:b/>
        </w:rPr>
        <w:t xml:space="preserve">de dos mil veinticinco, </w:t>
      </w:r>
      <w:r w:rsidRPr="00CD55BA">
        <w:t>se turnó el recurso de revisión a través del</w:t>
      </w:r>
      <w:r w:rsidRPr="00CD55BA">
        <w:rPr>
          <w:rFonts w:eastAsia="Arial Unicode MS"/>
        </w:rPr>
        <w:t xml:space="preserve"> </w:t>
      </w:r>
      <w:r w:rsidRPr="00CD55BA">
        <w:rPr>
          <w:rFonts w:eastAsia="Arial Unicode MS"/>
          <w:b/>
          <w:bCs/>
        </w:rPr>
        <w:t>SAIMEX</w:t>
      </w:r>
      <w:r w:rsidRPr="00CD55BA">
        <w:t xml:space="preserve"> a la </w:t>
      </w:r>
      <w:r w:rsidRPr="00CD55BA">
        <w:rPr>
          <w:b/>
        </w:rPr>
        <w:t>Comisionada Sharon Cristina Morales Martínez</w:t>
      </w:r>
      <w:r w:rsidRPr="00CD55BA">
        <w:rPr>
          <w:bCs/>
        </w:rPr>
        <w:t xml:space="preserve">, </w:t>
      </w:r>
      <w:r w:rsidRPr="00CD55BA">
        <w:t xml:space="preserve">a efecto de decretar su admisión o desechamiento. </w:t>
      </w:r>
    </w:p>
    <w:p w14:paraId="18F305CB" w14:textId="77777777" w:rsidR="00664420" w:rsidRPr="00CD55BA" w:rsidRDefault="00664420" w:rsidP="00CD55BA">
      <w:pPr>
        <w:rPr>
          <w:rFonts w:eastAsia="Batang" w:cs="Tahoma"/>
          <w:bCs/>
          <w:szCs w:val="22"/>
        </w:rPr>
      </w:pPr>
    </w:p>
    <w:p w14:paraId="3E31EC2D" w14:textId="295256A1" w:rsidR="00664420" w:rsidRPr="00CD55BA" w:rsidRDefault="006E25BC" w:rsidP="00CD55BA">
      <w:pPr>
        <w:pStyle w:val="Ttulo3"/>
      </w:pPr>
      <w:bookmarkStart w:id="12" w:name="_Toc205972593"/>
      <w:r w:rsidRPr="00CD55BA">
        <w:t>c</w:t>
      </w:r>
      <w:r w:rsidR="00664420" w:rsidRPr="00CD55BA">
        <w:t>) Admisión del Recurso de Revisión</w:t>
      </w:r>
      <w:bookmarkEnd w:id="12"/>
    </w:p>
    <w:p w14:paraId="240447D5" w14:textId="4EDFD029" w:rsidR="000E09C4" w:rsidRPr="00CD55BA" w:rsidRDefault="000E09C4" w:rsidP="00CD55BA">
      <w:pPr>
        <w:rPr>
          <w:rFonts w:cs="Arial"/>
        </w:rPr>
      </w:pPr>
      <w:r w:rsidRPr="00CD55BA">
        <w:rPr>
          <w:rFonts w:cs="Arial"/>
        </w:rPr>
        <w:t xml:space="preserve">El </w:t>
      </w:r>
      <w:r w:rsidR="00C14165" w:rsidRPr="00CD55BA">
        <w:rPr>
          <w:rFonts w:eastAsia="Palatino Linotype" w:cs="Palatino Linotype"/>
          <w:b/>
        </w:rPr>
        <w:t xml:space="preserve">veintitrés de mayo </w:t>
      </w:r>
      <w:r w:rsidR="003A67CC" w:rsidRPr="00CD55BA">
        <w:rPr>
          <w:rFonts w:eastAsia="Palatino Linotype" w:cs="Palatino Linotype"/>
          <w:b/>
        </w:rPr>
        <w:t>d</w:t>
      </w:r>
      <w:r w:rsidR="00657603" w:rsidRPr="00CD55BA">
        <w:rPr>
          <w:rFonts w:eastAsia="Palatino Linotype" w:cs="Palatino Linotype"/>
          <w:b/>
        </w:rPr>
        <w:t>e dos mil veintic</w:t>
      </w:r>
      <w:r w:rsidR="009A1340" w:rsidRPr="00CD55BA">
        <w:rPr>
          <w:rFonts w:eastAsia="Palatino Linotype" w:cs="Palatino Linotype"/>
          <w:b/>
        </w:rPr>
        <w:t>inco</w:t>
      </w:r>
      <w:r w:rsidRPr="00CD55B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D55BA">
        <w:rPr>
          <w:rFonts w:cs="Arial"/>
        </w:rPr>
        <w:t>, fracción II</w:t>
      </w:r>
      <w:r w:rsidRPr="00CD55BA">
        <w:rPr>
          <w:rFonts w:cs="Arial"/>
        </w:rPr>
        <w:t xml:space="preserve"> de la Ley de Transparencia y Acceso a la Información Pública del Estado de México y Municipios.</w:t>
      </w:r>
    </w:p>
    <w:p w14:paraId="34EC3F86" w14:textId="77777777" w:rsidR="00D2790D" w:rsidRPr="00CD55BA" w:rsidRDefault="00D2790D" w:rsidP="00CD55BA">
      <w:pPr>
        <w:rPr>
          <w:rFonts w:cs="Arial"/>
        </w:rPr>
      </w:pPr>
    </w:p>
    <w:p w14:paraId="3B820F58" w14:textId="503F9071" w:rsidR="00865CF4" w:rsidRPr="00CD55BA" w:rsidRDefault="0075751F" w:rsidP="00CD55BA">
      <w:pPr>
        <w:pStyle w:val="Ttulo3"/>
      </w:pPr>
      <w:bookmarkStart w:id="13" w:name="_Toc205972594"/>
      <w:r w:rsidRPr="00CD55BA">
        <w:t>d</w:t>
      </w:r>
      <w:r w:rsidR="00664420" w:rsidRPr="00CD55BA">
        <w:t xml:space="preserve">) </w:t>
      </w:r>
      <w:r w:rsidR="00865CF4" w:rsidRPr="00CD55BA">
        <w:t>Informe Justificado del Sujeto Obligado</w:t>
      </w:r>
      <w:bookmarkEnd w:id="13"/>
    </w:p>
    <w:p w14:paraId="7E71FF6D" w14:textId="77777777" w:rsidR="00C14165" w:rsidRPr="00CD55BA" w:rsidRDefault="004F165A" w:rsidP="00CD55BA">
      <w:pPr>
        <w:rPr>
          <w:rFonts w:cs="Tahoma"/>
          <w:szCs w:val="24"/>
        </w:rPr>
      </w:pPr>
      <w:r w:rsidRPr="00CD55BA">
        <w:rPr>
          <w:rFonts w:cs="Tahoma"/>
          <w:szCs w:val="24"/>
        </w:rPr>
        <w:t xml:space="preserve">El </w:t>
      </w:r>
      <w:r w:rsidR="00C14165" w:rsidRPr="00CD55BA">
        <w:rPr>
          <w:rFonts w:cs="Tahoma"/>
          <w:b/>
          <w:bCs/>
          <w:szCs w:val="24"/>
        </w:rPr>
        <w:t xml:space="preserve">veintinueve de mayo </w:t>
      </w:r>
      <w:r w:rsidRPr="00CD55BA">
        <w:rPr>
          <w:rFonts w:cs="Tahoma"/>
          <w:b/>
          <w:bCs/>
          <w:szCs w:val="24"/>
        </w:rPr>
        <w:t>de dos mil veinticinco</w:t>
      </w:r>
      <w:r w:rsidRPr="00CD55BA">
        <w:rPr>
          <w:rFonts w:cs="Tahoma"/>
          <w:szCs w:val="24"/>
        </w:rPr>
        <w:t xml:space="preserve"> </w:t>
      </w:r>
      <w:r w:rsidRPr="00CD55BA">
        <w:rPr>
          <w:rFonts w:cs="Tahoma"/>
          <w:b/>
          <w:bCs/>
          <w:szCs w:val="24"/>
        </w:rPr>
        <w:t>EL SUJETO OBLIGADO</w:t>
      </w:r>
      <w:r w:rsidRPr="00CD55BA">
        <w:rPr>
          <w:rFonts w:cs="Tahoma"/>
          <w:szCs w:val="24"/>
        </w:rPr>
        <w:t xml:space="preserve"> rindió su informe justificado a través del </w:t>
      </w:r>
      <w:r w:rsidRPr="00CD55BA">
        <w:rPr>
          <w:rFonts w:cs="Tahoma"/>
          <w:b/>
          <w:bCs/>
          <w:szCs w:val="24"/>
        </w:rPr>
        <w:t>SAIMEX</w:t>
      </w:r>
      <w:r w:rsidRPr="00CD55BA">
        <w:rPr>
          <w:rFonts w:cs="Tahoma"/>
          <w:szCs w:val="24"/>
        </w:rPr>
        <w:t xml:space="preserve">, </w:t>
      </w:r>
      <w:bookmarkStart w:id="14" w:name="_Hlk165379932"/>
      <w:r w:rsidRPr="00CD55BA">
        <w:rPr>
          <w:rFonts w:cs="Tahoma"/>
          <w:szCs w:val="24"/>
        </w:rPr>
        <w:t xml:space="preserve">adjuntando para </w:t>
      </w:r>
      <w:r w:rsidR="00C14165" w:rsidRPr="00CD55BA">
        <w:rPr>
          <w:rFonts w:cs="Tahoma"/>
          <w:szCs w:val="24"/>
        </w:rPr>
        <w:t>el a</w:t>
      </w:r>
      <w:r w:rsidRPr="00CD55BA">
        <w:rPr>
          <w:rFonts w:cs="Tahoma"/>
          <w:szCs w:val="24"/>
        </w:rPr>
        <w:t>rchivo electrónico</w:t>
      </w:r>
      <w:r w:rsidR="00C14165" w:rsidRPr="00CD55BA">
        <w:rPr>
          <w:rFonts w:cs="Tahoma"/>
          <w:szCs w:val="24"/>
        </w:rPr>
        <w:t xml:space="preserve"> denominado </w:t>
      </w:r>
      <w:r w:rsidR="00C14165" w:rsidRPr="00CD55BA">
        <w:rPr>
          <w:rFonts w:cs="Tahoma"/>
          <w:b/>
          <w:bCs/>
          <w:i/>
          <w:iCs/>
          <w:szCs w:val="24"/>
        </w:rPr>
        <w:t xml:space="preserve">109.pdf, </w:t>
      </w:r>
      <w:r w:rsidR="00C14165" w:rsidRPr="00CD55BA">
        <w:rPr>
          <w:rFonts w:cs="Tahoma"/>
          <w:szCs w:val="24"/>
        </w:rPr>
        <w:t xml:space="preserve">el cual contiene los siguientes documentos: </w:t>
      </w:r>
    </w:p>
    <w:p w14:paraId="7EFF5BC5" w14:textId="77777777" w:rsidR="00C14165" w:rsidRPr="00CD55BA" w:rsidRDefault="00C14165" w:rsidP="00CD55BA">
      <w:pPr>
        <w:rPr>
          <w:rFonts w:cs="Tahoma"/>
          <w:szCs w:val="24"/>
        </w:rPr>
      </w:pPr>
    </w:p>
    <w:p w14:paraId="50DF9286" w14:textId="12D189AB" w:rsidR="00C14165" w:rsidRPr="00CD55BA" w:rsidRDefault="00C14165" w:rsidP="00CD55BA">
      <w:pPr>
        <w:pStyle w:val="Prrafodelista"/>
        <w:numPr>
          <w:ilvl w:val="0"/>
          <w:numId w:val="2"/>
        </w:numPr>
        <w:rPr>
          <w:rFonts w:cs="Tahoma"/>
          <w:szCs w:val="24"/>
        </w:rPr>
      </w:pPr>
      <w:r w:rsidRPr="00CD55BA">
        <w:rPr>
          <w:rFonts w:cs="Tahoma"/>
          <w:szCs w:val="24"/>
        </w:rPr>
        <w:lastRenderedPageBreak/>
        <w:t xml:space="preserve">Oficio UTA/TLAL/SAIMEX/0372/05/2025 del veinticuatro de mayo de dos mil veinticinco, por medio del cual el titular de la Unidad de Transparencia, solicita al Tesorero Municipal rinda el Informe Justificado correspondiente. </w:t>
      </w:r>
    </w:p>
    <w:p w14:paraId="56ACC708" w14:textId="4255103D" w:rsidR="00C14165" w:rsidRPr="00CD55BA" w:rsidRDefault="00C14165" w:rsidP="00CD55BA">
      <w:pPr>
        <w:pStyle w:val="Prrafodelista"/>
        <w:numPr>
          <w:ilvl w:val="0"/>
          <w:numId w:val="2"/>
        </w:numPr>
        <w:rPr>
          <w:rFonts w:cs="Tahoma"/>
          <w:szCs w:val="24"/>
        </w:rPr>
      </w:pPr>
      <w:r w:rsidRPr="00CD55BA">
        <w:rPr>
          <w:rFonts w:cs="Tahoma"/>
          <w:szCs w:val="24"/>
        </w:rPr>
        <w:t xml:space="preserve">Oficio TES/TLAL/219/05/2025 del veintisiete de mayo de dos mil veinticinco, por medio del cual el Tesorero Municipal reitera que no cuenta con la información que es sólo para el ente fiscalizador para cubrir las necesidades del auditor. </w:t>
      </w:r>
    </w:p>
    <w:p w14:paraId="3998FC18" w14:textId="77777777" w:rsidR="004F165A" w:rsidRPr="00CD55BA" w:rsidRDefault="004F165A" w:rsidP="00CD55BA">
      <w:pPr>
        <w:rPr>
          <w:rFonts w:cs="Tahoma"/>
          <w:szCs w:val="24"/>
        </w:rPr>
      </w:pPr>
    </w:p>
    <w:bookmarkEnd w:id="14"/>
    <w:p w14:paraId="3D0BF0FF" w14:textId="22CDC124" w:rsidR="004F165A" w:rsidRPr="00CD55BA" w:rsidRDefault="004F165A" w:rsidP="00CD55BA">
      <w:pPr>
        <w:rPr>
          <w:rFonts w:cs="Tahoma"/>
          <w:szCs w:val="24"/>
        </w:rPr>
      </w:pPr>
      <w:r w:rsidRPr="00CD55BA">
        <w:rPr>
          <w:rFonts w:cs="Tahoma"/>
          <w:szCs w:val="24"/>
        </w:rPr>
        <w:t xml:space="preserve">Esta información fue puesta a la vista de </w:t>
      </w:r>
      <w:r w:rsidRPr="00CD55BA">
        <w:rPr>
          <w:rFonts w:cs="Tahoma"/>
          <w:b/>
          <w:bCs/>
          <w:szCs w:val="24"/>
        </w:rPr>
        <w:t>LA PARTE RECURRENTE</w:t>
      </w:r>
      <w:r w:rsidRPr="00CD55BA">
        <w:rPr>
          <w:rFonts w:cs="Tahoma"/>
          <w:szCs w:val="24"/>
        </w:rPr>
        <w:t xml:space="preserve"> el </w:t>
      </w:r>
      <w:r w:rsidR="00C14165" w:rsidRPr="00CD55BA">
        <w:rPr>
          <w:rFonts w:cs="Tahoma"/>
          <w:b/>
          <w:bCs/>
          <w:szCs w:val="24"/>
        </w:rPr>
        <w:t xml:space="preserve">cuatro de agosto </w:t>
      </w:r>
      <w:r w:rsidRPr="00CD55BA">
        <w:rPr>
          <w:rFonts w:cs="Tahoma"/>
          <w:b/>
          <w:bCs/>
          <w:szCs w:val="24"/>
        </w:rPr>
        <w:t xml:space="preserve">de dos mil veinticinco </w:t>
      </w:r>
      <w:r w:rsidRPr="00CD55BA">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0E294AE5" w14:textId="77777777" w:rsidR="004F165A" w:rsidRPr="00CD55BA" w:rsidRDefault="004F165A" w:rsidP="00CD55BA">
      <w:pPr>
        <w:rPr>
          <w:rFonts w:cs="Tahoma"/>
          <w:szCs w:val="24"/>
        </w:rPr>
      </w:pPr>
    </w:p>
    <w:p w14:paraId="755B7730" w14:textId="3EA3E31D" w:rsidR="00664420" w:rsidRPr="00CD55BA" w:rsidRDefault="0075751F" w:rsidP="00CD55BA">
      <w:pPr>
        <w:pStyle w:val="Ttulo3"/>
        <w:rPr>
          <w:lang w:val="es-ES"/>
        </w:rPr>
      </w:pPr>
      <w:bookmarkStart w:id="15" w:name="_Toc205972595"/>
      <w:r w:rsidRPr="00CD55BA">
        <w:rPr>
          <w:rFonts w:eastAsia="Calibri"/>
          <w:bCs/>
          <w:lang w:eastAsia="en-US"/>
        </w:rPr>
        <w:t>e</w:t>
      </w:r>
      <w:r w:rsidR="00664420" w:rsidRPr="00CD55BA">
        <w:rPr>
          <w:rFonts w:eastAsia="Calibri"/>
          <w:bCs/>
          <w:lang w:eastAsia="en-US"/>
        </w:rPr>
        <w:t>)</w:t>
      </w:r>
      <w:r w:rsidR="00664420" w:rsidRPr="00CD55BA">
        <w:t xml:space="preserve"> </w:t>
      </w:r>
      <w:r w:rsidR="00865CF4" w:rsidRPr="00CD55BA">
        <w:rPr>
          <w:lang w:val="es-ES"/>
        </w:rPr>
        <w:t>Manifestaciones de la Parte Recurrente</w:t>
      </w:r>
      <w:bookmarkEnd w:id="15"/>
    </w:p>
    <w:p w14:paraId="4E8AF011" w14:textId="77777777" w:rsidR="00865CF4" w:rsidRPr="00CD55BA" w:rsidRDefault="00865CF4" w:rsidP="00CD55BA">
      <w:pPr>
        <w:rPr>
          <w:rFonts w:eastAsia="Arial Unicode MS" w:cs="Arial"/>
        </w:rPr>
      </w:pPr>
      <w:r w:rsidRPr="00CD55BA">
        <w:rPr>
          <w:rFonts w:cs="Tahoma"/>
          <w:b/>
          <w:szCs w:val="24"/>
        </w:rPr>
        <w:t xml:space="preserve">LA PARTE RECURRENTE </w:t>
      </w:r>
      <w:r w:rsidRPr="00CD55BA">
        <w:rPr>
          <w:rFonts w:eastAsia="Arial Unicode MS" w:cs="Arial"/>
        </w:rPr>
        <w:t>no realizó manifestación alguna dentro del término legalmente concedido para tal efecto, ni presentó pruebas o alegatos.</w:t>
      </w:r>
    </w:p>
    <w:p w14:paraId="43289D82" w14:textId="77777777" w:rsidR="00865CF4" w:rsidRPr="00CD55BA" w:rsidRDefault="00865CF4" w:rsidP="00CD55BA">
      <w:pPr>
        <w:rPr>
          <w:rFonts w:eastAsia="Arial Unicode MS" w:cs="Arial"/>
        </w:rPr>
      </w:pPr>
    </w:p>
    <w:p w14:paraId="7D497A1B" w14:textId="77777777" w:rsidR="00487054" w:rsidRPr="00CD55BA" w:rsidRDefault="00487054" w:rsidP="00CD55BA">
      <w:pPr>
        <w:pStyle w:val="Ttulo3"/>
        <w:rPr>
          <w:rFonts w:eastAsia="Calibri"/>
          <w:bCs/>
          <w:lang w:eastAsia="en-US"/>
        </w:rPr>
      </w:pPr>
      <w:bookmarkStart w:id="16" w:name="_Toc205972596"/>
      <w:r w:rsidRPr="00CD55BA">
        <w:rPr>
          <w:rFonts w:eastAsia="Calibri"/>
          <w:bCs/>
          <w:lang w:eastAsia="en-US"/>
        </w:rPr>
        <w:t>f) Ampliación de Plazo para Resolver</w:t>
      </w:r>
      <w:bookmarkEnd w:id="16"/>
      <w:r w:rsidRPr="00CD55BA">
        <w:rPr>
          <w:rFonts w:eastAsia="Calibri"/>
          <w:bCs/>
          <w:lang w:eastAsia="en-US"/>
        </w:rPr>
        <w:t xml:space="preserve"> </w:t>
      </w:r>
    </w:p>
    <w:p w14:paraId="06DE6043" w14:textId="7FB91BA2" w:rsidR="00487054" w:rsidRPr="00CD55BA" w:rsidRDefault="00487054" w:rsidP="00CD55BA">
      <w:pPr>
        <w:rPr>
          <w:rFonts w:eastAsia="Palatino Linotype" w:cs="Palatino Linotype"/>
        </w:rPr>
      </w:pPr>
      <w:r w:rsidRPr="00CD55BA">
        <w:rPr>
          <w:rFonts w:eastAsia="Palatino Linotype" w:cs="Palatino Linotype"/>
        </w:rPr>
        <w:t xml:space="preserve">El </w:t>
      </w:r>
      <w:r w:rsidRPr="00CD55BA">
        <w:rPr>
          <w:rFonts w:eastAsia="Palatino Linotype" w:cs="Palatino Linotype"/>
          <w:b/>
        </w:rPr>
        <w:t>cuatro de julio de dos mil veinticinco</w:t>
      </w:r>
      <w:r w:rsidRPr="00CD55BA">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C1FA6F6" w14:textId="77777777" w:rsidR="00487054" w:rsidRPr="00CD55BA" w:rsidRDefault="00487054" w:rsidP="00CD55BA">
      <w:pPr>
        <w:rPr>
          <w:rFonts w:eastAsia="Palatino Linotype" w:cs="Palatino Linotype"/>
        </w:rPr>
      </w:pPr>
    </w:p>
    <w:p w14:paraId="0554DCD3" w14:textId="77777777" w:rsidR="00487054" w:rsidRPr="00CD55BA" w:rsidRDefault="00487054" w:rsidP="00CD55BA">
      <w:pPr>
        <w:rPr>
          <w:rFonts w:cs="Arial"/>
          <w:lang w:eastAsia="es-MX"/>
        </w:rPr>
      </w:pPr>
      <w:r w:rsidRPr="00CD55BA">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3A839A2" w14:textId="77777777" w:rsidR="00487054" w:rsidRPr="00CD55BA" w:rsidRDefault="00487054" w:rsidP="00CD55BA">
      <w:pPr>
        <w:rPr>
          <w:rFonts w:cs="Arial"/>
          <w:lang w:eastAsia="es-MX"/>
        </w:rPr>
      </w:pPr>
    </w:p>
    <w:p w14:paraId="07B7D16C" w14:textId="77777777" w:rsidR="00487054" w:rsidRPr="00CD55BA" w:rsidRDefault="00487054" w:rsidP="00CD55BA">
      <w:pPr>
        <w:rPr>
          <w:rFonts w:cs="Arial"/>
          <w:lang w:eastAsia="es-MX"/>
        </w:rPr>
      </w:pPr>
      <w:r w:rsidRPr="00CD55BA">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1E9E058" w14:textId="77777777" w:rsidR="00487054" w:rsidRPr="00CD55BA" w:rsidRDefault="00487054" w:rsidP="00CD55BA">
      <w:pPr>
        <w:rPr>
          <w:rFonts w:cs="Arial"/>
          <w:lang w:eastAsia="es-MX"/>
        </w:rPr>
      </w:pPr>
    </w:p>
    <w:p w14:paraId="74506E13" w14:textId="77777777" w:rsidR="00487054" w:rsidRPr="00CD55BA" w:rsidRDefault="00487054" w:rsidP="00CD55BA">
      <w:pPr>
        <w:rPr>
          <w:rFonts w:cs="Arial"/>
          <w:lang w:eastAsia="es-MX"/>
        </w:rPr>
      </w:pPr>
      <w:r w:rsidRPr="00CD55BA">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C9BD480" w14:textId="77777777" w:rsidR="00487054" w:rsidRPr="00CD55BA" w:rsidRDefault="00487054" w:rsidP="00CD55BA">
      <w:pPr>
        <w:rPr>
          <w:rFonts w:cs="Arial"/>
          <w:lang w:eastAsia="es-MX"/>
        </w:rPr>
      </w:pPr>
    </w:p>
    <w:p w14:paraId="1134073F" w14:textId="77777777" w:rsidR="00487054" w:rsidRPr="00CD55BA" w:rsidRDefault="00487054" w:rsidP="00CD55BA">
      <w:pPr>
        <w:rPr>
          <w:rFonts w:cs="Arial"/>
          <w:lang w:eastAsia="es-MX"/>
        </w:rPr>
      </w:pPr>
      <w:r w:rsidRPr="00CD55BA">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1406C013" w14:textId="77777777" w:rsidR="00487054" w:rsidRPr="00CD55BA" w:rsidRDefault="00487054" w:rsidP="00CD55BA">
      <w:pPr>
        <w:rPr>
          <w:rFonts w:cs="Arial"/>
          <w:lang w:eastAsia="es-MX"/>
        </w:rPr>
      </w:pPr>
    </w:p>
    <w:p w14:paraId="6203579E" w14:textId="77777777" w:rsidR="00487054" w:rsidRPr="00CD55BA" w:rsidRDefault="00487054" w:rsidP="00CD55BA">
      <w:pPr>
        <w:numPr>
          <w:ilvl w:val="0"/>
          <w:numId w:val="5"/>
        </w:numPr>
        <w:spacing w:after="160" w:line="276" w:lineRule="auto"/>
        <w:jc w:val="left"/>
        <w:rPr>
          <w:rFonts w:cs="Arial"/>
          <w:lang w:eastAsia="es-MX"/>
        </w:rPr>
      </w:pPr>
      <w:r w:rsidRPr="00CD55BA">
        <w:rPr>
          <w:rFonts w:cs="Arial"/>
          <w:b/>
          <w:lang w:eastAsia="es-MX"/>
        </w:rPr>
        <w:t>Complejidad del asunto:</w:t>
      </w:r>
      <w:r w:rsidRPr="00CD55BA">
        <w:rPr>
          <w:rFonts w:cs="Arial"/>
          <w:lang w:eastAsia="es-MX"/>
        </w:rPr>
        <w:t xml:space="preserve"> La complejidad de la prueba, la pluralidad de sujetos procesales, el tiempo transcurrido, las características y contexto del recurso.</w:t>
      </w:r>
    </w:p>
    <w:p w14:paraId="35452383" w14:textId="77777777" w:rsidR="00487054" w:rsidRPr="00CD55BA" w:rsidRDefault="00487054" w:rsidP="00CD55BA">
      <w:pPr>
        <w:numPr>
          <w:ilvl w:val="0"/>
          <w:numId w:val="5"/>
        </w:numPr>
        <w:spacing w:after="160" w:line="276" w:lineRule="auto"/>
        <w:jc w:val="left"/>
        <w:rPr>
          <w:rFonts w:cs="Arial"/>
          <w:lang w:eastAsia="es-MX"/>
        </w:rPr>
      </w:pPr>
      <w:r w:rsidRPr="00CD55BA">
        <w:rPr>
          <w:rFonts w:cs="Arial"/>
          <w:b/>
          <w:lang w:eastAsia="es-MX"/>
        </w:rPr>
        <w:t>Actividad Procesal del interesado:</w:t>
      </w:r>
      <w:r w:rsidRPr="00CD55BA">
        <w:rPr>
          <w:rFonts w:cs="Arial"/>
          <w:lang w:eastAsia="es-MX"/>
        </w:rPr>
        <w:t xml:space="preserve"> Acciones u omisiones del interesado.</w:t>
      </w:r>
    </w:p>
    <w:p w14:paraId="38702DA2" w14:textId="77777777" w:rsidR="00487054" w:rsidRPr="00CD55BA" w:rsidRDefault="00487054" w:rsidP="00CD55BA">
      <w:pPr>
        <w:numPr>
          <w:ilvl w:val="0"/>
          <w:numId w:val="5"/>
        </w:numPr>
        <w:spacing w:after="160" w:line="276" w:lineRule="auto"/>
        <w:jc w:val="left"/>
        <w:rPr>
          <w:rFonts w:cs="Arial"/>
          <w:lang w:eastAsia="es-MX"/>
        </w:rPr>
      </w:pPr>
      <w:r w:rsidRPr="00CD55BA">
        <w:rPr>
          <w:rFonts w:cs="Arial"/>
          <w:b/>
          <w:lang w:eastAsia="es-MX"/>
        </w:rPr>
        <w:t>Conducta de la Autoridad:</w:t>
      </w:r>
      <w:r w:rsidRPr="00CD55BA">
        <w:rPr>
          <w:rFonts w:cs="Arial"/>
          <w:lang w:eastAsia="es-MX"/>
        </w:rPr>
        <w:t xml:space="preserve"> Las Acciones u omisiones realizadas en el procedimiento. Así como si la autoridad actuó con la debida diligencia.</w:t>
      </w:r>
    </w:p>
    <w:p w14:paraId="42937FE9" w14:textId="77777777" w:rsidR="00487054" w:rsidRPr="00CD55BA" w:rsidRDefault="00487054" w:rsidP="00CD55BA">
      <w:pPr>
        <w:numPr>
          <w:ilvl w:val="0"/>
          <w:numId w:val="5"/>
        </w:numPr>
        <w:spacing w:after="160" w:line="276" w:lineRule="auto"/>
        <w:jc w:val="left"/>
        <w:rPr>
          <w:rFonts w:cs="Arial"/>
          <w:lang w:eastAsia="es-MX"/>
        </w:rPr>
      </w:pPr>
      <w:r w:rsidRPr="00CD55BA">
        <w:rPr>
          <w:rFonts w:cs="Arial"/>
          <w:b/>
          <w:lang w:eastAsia="es-MX"/>
        </w:rPr>
        <w:t xml:space="preserve">La afectación generada en la situación jurídica de la persona involucrada en el proceso: </w:t>
      </w:r>
      <w:r w:rsidRPr="00CD55BA">
        <w:rPr>
          <w:rFonts w:cs="Arial"/>
          <w:lang w:eastAsia="es-MX"/>
        </w:rPr>
        <w:t>Violación a sus derechos humanos.</w:t>
      </w:r>
    </w:p>
    <w:p w14:paraId="2F9EE23D" w14:textId="77777777" w:rsidR="00487054" w:rsidRPr="00CD55BA" w:rsidRDefault="00487054" w:rsidP="00CD55BA">
      <w:pPr>
        <w:rPr>
          <w:rFonts w:cs="Arial"/>
          <w:lang w:eastAsia="es-MX"/>
        </w:rPr>
      </w:pPr>
    </w:p>
    <w:p w14:paraId="7D5A1AC5" w14:textId="77777777" w:rsidR="00487054" w:rsidRPr="00CD55BA" w:rsidRDefault="00487054" w:rsidP="00CD55BA">
      <w:pPr>
        <w:rPr>
          <w:rFonts w:cs="Arial"/>
          <w:lang w:eastAsia="es-MX"/>
        </w:rPr>
      </w:pPr>
      <w:r w:rsidRPr="00CD55BA">
        <w:rPr>
          <w:rFonts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C1E4E4" w14:textId="77777777" w:rsidR="00487054" w:rsidRPr="00CD55BA" w:rsidRDefault="00487054" w:rsidP="00CD55BA">
      <w:pPr>
        <w:rPr>
          <w:rFonts w:cs="Arial"/>
          <w:lang w:eastAsia="es-MX"/>
        </w:rPr>
      </w:pPr>
    </w:p>
    <w:p w14:paraId="1D76B2E8" w14:textId="77777777" w:rsidR="00487054" w:rsidRPr="00CD55BA" w:rsidRDefault="00487054" w:rsidP="00CD55BA">
      <w:pPr>
        <w:rPr>
          <w:rFonts w:cs="Arial"/>
          <w:lang w:eastAsia="es-MX"/>
        </w:rPr>
      </w:pPr>
      <w:r w:rsidRPr="00CD55BA">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DBA2AF9" w14:textId="77777777" w:rsidR="00487054" w:rsidRPr="00CD55BA" w:rsidRDefault="00487054" w:rsidP="00CD55BA">
      <w:pPr>
        <w:rPr>
          <w:rFonts w:cs="Arial"/>
          <w:lang w:eastAsia="es-MX"/>
        </w:rPr>
      </w:pPr>
    </w:p>
    <w:p w14:paraId="1A0F713E" w14:textId="77777777" w:rsidR="00487054" w:rsidRPr="00CD55BA" w:rsidRDefault="00487054" w:rsidP="00CD55BA">
      <w:pPr>
        <w:rPr>
          <w:rFonts w:cs="Arial"/>
          <w:lang w:eastAsia="es-MX"/>
        </w:rPr>
      </w:pPr>
      <w:r w:rsidRPr="00CD55BA">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7828D2" w14:textId="77777777" w:rsidR="00487054" w:rsidRPr="00CD55BA" w:rsidRDefault="00487054" w:rsidP="00CD55BA">
      <w:pPr>
        <w:rPr>
          <w:rFonts w:cs="Arial"/>
          <w:lang w:eastAsia="es-MX"/>
        </w:rPr>
      </w:pPr>
    </w:p>
    <w:p w14:paraId="65C2DD33" w14:textId="77777777" w:rsidR="00487054" w:rsidRPr="00CD55BA" w:rsidRDefault="00487054" w:rsidP="00CD55BA">
      <w:pPr>
        <w:rPr>
          <w:rFonts w:cs="Arial"/>
          <w:lang w:eastAsia="es-MX"/>
        </w:rPr>
      </w:pPr>
      <w:r w:rsidRPr="00CD55BA">
        <w:rPr>
          <w:rFonts w:cs="Arial"/>
          <w:lang w:eastAsia="es-MX"/>
        </w:rPr>
        <w:t>Al respecto, también son de considerar los criterios sostenidos por el Cuarto Tribunal Colegiado en Materia Administrativa del Primer Circuito, cuyos rubros y datos de identificación son los siguientes:</w:t>
      </w:r>
    </w:p>
    <w:p w14:paraId="7FACD05B" w14:textId="77777777" w:rsidR="00487054" w:rsidRPr="00CD55BA" w:rsidRDefault="00487054" w:rsidP="00CD55BA">
      <w:pPr>
        <w:rPr>
          <w:rFonts w:cs="Arial"/>
          <w:lang w:eastAsia="es-MX"/>
        </w:rPr>
      </w:pPr>
    </w:p>
    <w:p w14:paraId="23C2234E" w14:textId="77777777" w:rsidR="00487054" w:rsidRPr="00CD55BA" w:rsidRDefault="00487054" w:rsidP="00CD55BA">
      <w:pPr>
        <w:spacing w:line="240" w:lineRule="auto"/>
        <w:ind w:left="567" w:right="567"/>
        <w:contextualSpacing/>
        <w:rPr>
          <w:i/>
          <w:kern w:val="28"/>
          <w:szCs w:val="56"/>
          <w:lang w:eastAsia="es-MX"/>
        </w:rPr>
      </w:pPr>
      <w:r w:rsidRPr="00CD55BA">
        <w:rPr>
          <w:i/>
          <w:kern w:val="28"/>
          <w:szCs w:val="56"/>
          <w:lang w:eastAsia="es-MX"/>
        </w:rPr>
        <w:t>“</w:t>
      </w:r>
      <w:r w:rsidRPr="00CD55BA">
        <w:rPr>
          <w:b/>
          <w:i/>
          <w:kern w:val="28"/>
          <w:szCs w:val="56"/>
          <w:lang w:eastAsia="es-MX"/>
        </w:rPr>
        <w:t>PLAZO RAZONABLE PARA RESOLVER. DIMENSIÓN Y EFECTOS DE ESTE CONCEPTO CUANDO SE ADUCE EXCESIVA CARGA DE TRABAJO</w:t>
      </w:r>
      <w:r w:rsidRPr="00CD55BA">
        <w:rPr>
          <w:i/>
          <w:kern w:val="28"/>
          <w:szCs w:val="56"/>
          <w:lang w:eastAsia="es-MX"/>
        </w:rPr>
        <w:t>.” consultable en el Semanario Judicial de la Federación y su gaceta, con el registro digital 2002351.</w:t>
      </w:r>
    </w:p>
    <w:p w14:paraId="69D11EB5" w14:textId="77777777" w:rsidR="00487054" w:rsidRPr="00CD55BA" w:rsidRDefault="00487054" w:rsidP="00CD55BA">
      <w:pPr>
        <w:ind w:left="851" w:right="616"/>
        <w:rPr>
          <w:rFonts w:cs="Arial"/>
          <w:i/>
          <w:lang w:eastAsia="es-MX"/>
        </w:rPr>
      </w:pPr>
    </w:p>
    <w:p w14:paraId="1693E883" w14:textId="77777777" w:rsidR="00487054" w:rsidRPr="00CD55BA" w:rsidRDefault="00487054" w:rsidP="00CD55BA">
      <w:pPr>
        <w:spacing w:line="240" w:lineRule="auto"/>
        <w:ind w:left="567" w:right="567"/>
        <w:contextualSpacing/>
        <w:rPr>
          <w:rFonts w:cs="Arial"/>
          <w:kern w:val="28"/>
          <w:szCs w:val="56"/>
          <w:lang w:eastAsia="es-MX"/>
        </w:rPr>
      </w:pPr>
      <w:r w:rsidRPr="00CD55BA">
        <w:rPr>
          <w:rFonts w:cs="Arial"/>
          <w:i/>
          <w:kern w:val="28"/>
          <w:szCs w:val="56"/>
          <w:lang w:eastAsia="es-MX"/>
        </w:rPr>
        <w:t>“</w:t>
      </w:r>
      <w:r w:rsidRPr="00CD55BA">
        <w:rPr>
          <w:rFonts w:cs="Arial"/>
          <w:b/>
          <w:i/>
          <w:kern w:val="28"/>
          <w:szCs w:val="56"/>
          <w:lang w:eastAsia="es-MX"/>
        </w:rPr>
        <w:t xml:space="preserve">PLAZO RAZONABLE </w:t>
      </w:r>
      <w:r w:rsidRPr="00CD55BA">
        <w:rPr>
          <w:b/>
          <w:i/>
          <w:kern w:val="28"/>
          <w:szCs w:val="56"/>
          <w:lang w:eastAsia="es-MX"/>
        </w:rPr>
        <w:t>PARA</w:t>
      </w:r>
      <w:r w:rsidRPr="00CD55BA">
        <w:rPr>
          <w:rFonts w:cs="Arial"/>
          <w:b/>
          <w:i/>
          <w:kern w:val="28"/>
          <w:szCs w:val="56"/>
          <w:lang w:eastAsia="es-MX"/>
        </w:rPr>
        <w:t xml:space="preserve"> RESOLVER. CONCEPTO Y ELEMENTOS QUE LO INTEGRAN A LA LUZ DEL DERECHO INTERNACIONAL DE LOS DERECHOS HUMANOS</w:t>
      </w:r>
      <w:r w:rsidRPr="00CD55BA">
        <w:rPr>
          <w:rFonts w:cs="Arial"/>
          <w:i/>
          <w:kern w:val="28"/>
          <w:szCs w:val="56"/>
          <w:lang w:eastAsia="es-MX"/>
        </w:rPr>
        <w:t>.”, visible en el Semanario Judicial de la Federación y su gaceta, con el registro digital 2002350.</w:t>
      </w:r>
    </w:p>
    <w:p w14:paraId="434BAC80" w14:textId="77777777" w:rsidR="00487054" w:rsidRPr="00CD55BA" w:rsidRDefault="00487054" w:rsidP="00CD55BA">
      <w:pPr>
        <w:rPr>
          <w:rFonts w:cs="Arial"/>
          <w:lang w:eastAsia="es-MX"/>
        </w:rPr>
      </w:pPr>
    </w:p>
    <w:p w14:paraId="49258C35" w14:textId="77777777" w:rsidR="00487054" w:rsidRPr="00CD55BA" w:rsidRDefault="00487054" w:rsidP="00CD55BA">
      <w:pPr>
        <w:rPr>
          <w:rFonts w:cs="Arial"/>
          <w:lang w:eastAsia="es-MX"/>
        </w:rPr>
      </w:pPr>
      <w:r w:rsidRPr="00CD55BA">
        <w:rPr>
          <w:rFonts w:cs="Arial"/>
          <w:lang w:eastAsia="es-MX"/>
        </w:rPr>
        <w:t xml:space="preserve">Por ello, este organismo garante </w:t>
      </w:r>
      <w:r w:rsidRPr="00CD55BA">
        <w:rPr>
          <w:rFonts w:cs="Tahoma"/>
          <w:szCs w:val="22"/>
        </w:rPr>
        <w:t>comprometido</w:t>
      </w:r>
      <w:r w:rsidRPr="00CD55BA">
        <w:rPr>
          <w:rFonts w:cs="Arial"/>
          <w:lang w:eastAsia="es-MX"/>
        </w:rPr>
        <w:t xml:space="preserve"> con la tutela de los derechos humanos confiados señala que este exceso del plazo legal para resolver el asunto resulta de carácter excepcional.</w:t>
      </w:r>
    </w:p>
    <w:p w14:paraId="457651F9" w14:textId="77777777" w:rsidR="00487054" w:rsidRPr="00CD55BA" w:rsidRDefault="00487054" w:rsidP="00CD55BA">
      <w:pPr>
        <w:rPr>
          <w:rFonts w:eastAsia="Arial Unicode MS" w:cs="Arial"/>
        </w:rPr>
      </w:pPr>
    </w:p>
    <w:p w14:paraId="0E651988" w14:textId="0EC4D206" w:rsidR="00664420" w:rsidRPr="00CD55BA" w:rsidRDefault="00487054" w:rsidP="00CD55BA">
      <w:pPr>
        <w:pStyle w:val="Ttulo3"/>
      </w:pPr>
      <w:bookmarkStart w:id="17" w:name="_Toc172051809"/>
      <w:bookmarkStart w:id="18" w:name="_Toc178101309"/>
      <w:bookmarkStart w:id="19" w:name="_Toc205972597"/>
      <w:r w:rsidRPr="00CD55BA">
        <w:rPr>
          <w:lang w:val="es-ES"/>
        </w:rPr>
        <w:t>g</w:t>
      </w:r>
      <w:r w:rsidR="003F3B84" w:rsidRPr="00CD55BA">
        <w:rPr>
          <w:lang w:val="es-ES"/>
        </w:rPr>
        <w:t xml:space="preserve">) </w:t>
      </w:r>
      <w:bookmarkEnd w:id="17"/>
      <w:bookmarkEnd w:id="18"/>
      <w:r w:rsidR="00664420" w:rsidRPr="00CD55BA">
        <w:t>Cierre de instrucción</w:t>
      </w:r>
      <w:bookmarkEnd w:id="19"/>
    </w:p>
    <w:p w14:paraId="79AF95DC" w14:textId="07752220" w:rsidR="00664420" w:rsidRPr="00CD55BA" w:rsidRDefault="00BF091A" w:rsidP="00CD55BA">
      <w:r w:rsidRPr="00CD55BA">
        <w:rPr>
          <w:rFonts w:cs="Tahoma"/>
          <w:szCs w:val="22"/>
        </w:rPr>
        <w:t>Al no existir diligencias pendientes por desahogar</w:t>
      </w:r>
      <w:r w:rsidRPr="00CD55BA">
        <w:rPr>
          <w:rFonts w:cs="Arial"/>
        </w:rPr>
        <w:t xml:space="preserve">, el </w:t>
      </w:r>
      <w:bookmarkStart w:id="20" w:name="_Hlk104892386"/>
      <w:r w:rsidR="00C14165" w:rsidRPr="00CD55BA">
        <w:rPr>
          <w:rFonts w:cs="Arial"/>
          <w:b/>
        </w:rPr>
        <w:t xml:space="preserve">doce </w:t>
      </w:r>
      <w:r w:rsidR="004F165A" w:rsidRPr="00CD55BA">
        <w:rPr>
          <w:rFonts w:cs="Arial"/>
          <w:b/>
        </w:rPr>
        <w:t xml:space="preserve">de agosto </w:t>
      </w:r>
      <w:r w:rsidR="009A1340" w:rsidRPr="00CD55BA">
        <w:rPr>
          <w:rFonts w:cs="Arial"/>
          <w:b/>
        </w:rPr>
        <w:t xml:space="preserve">de dos mil veinticinco </w:t>
      </w:r>
      <w:bookmarkEnd w:id="20"/>
      <w:r w:rsidRPr="00CD55BA">
        <w:rPr>
          <w:rFonts w:cs="Arial"/>
        </w:rPr>
        <w:t xml:space="preserve">la </w:t>
      </w:r>
      <w:r w:rsidRPr="00CD55BA">
        <w:rPr>
          <w:rFonts w:cs="Arial"/>
          <w:b/>
          <w:bCs/>
        </w:rPr>
        <w:t xml:space="preserve">Comisionada </w:t>
      </w:r>
      <w:r w:rsidRPr="00CD55BA">
        <w:rPr>
          <w:b/>
        </w:rPr>
        <w:t xml:space="preserve">Sharon Cristina Morales Martínez </w:t>
      </w:r>
      <w:r w:rsidRPr="00CD55BA">
        <w:rPr>
          <w:rFonts w:cs="Arial"/>
        </w:rPr>
        <w:t>acordó el cierre de instrucción</w:t>
      </w:r>
      <w:r w:rsidR="0011350D" w:rsidRPr="00CD55BA">
        <w:rPr>
          <w:rFonts w:cs="Arial"/>
        </w:rPr>
        <w:t xml:space="preserve"> y</w:t>
      </w:r>
      <w:r w:rsidRPr="00CD55BA">
        <w:rPr>
          <w:rFonts w:cs="Arial"/>
        </w:rPr>
        <w:t xml:space="preserve"> </w:t>
      </w:r>
      <w:r w:rsidR="0011350D" w:rsidRPr="00CD55BA">
        <w:rPr>
          <w:rFonts w:cs="Arial"/>
        </w:rPr>
        <w:t xml:space="preserve">la </w:t>
      </w:r>
      <w:r w:rsidRPr="00CD55BA">
        <w:rPr>
          <w:rFonts w:cs="Arial"/>
        </w:rPr>
        <w:t>remisión del expediente a efecto de ser resuelto, de conformidad con lo establecido en el artículo 185 fracciones VI y VIII de la Ley de Transparencia y Acceso a la Información Pública del Estado de México y Municipios</w:t>
      </w:r>
      <w:r w:rsidRPr="00CD55BA">
        <w:t>.</w:t>
      </w:r>
      <w:r w:rsidR="0011350D" w:rsidRPr="00CD55BA">
        <w:t xml:space="preserve"> Dicho acuerdo </w:t>
      </w:r>
      <w:r w:rsidR="00664420" w:rsidRPr="00CD55BA">
        <w:rPr>
          <w:rFonts w:cs="Tahoma"/>
          <w:szCs w:val="22"/>
        </w:rPr>
        <w:t xml:space="preserve">fue notificado a las partes el mismo día a través del </w:t>
      </w:r>
      <w:r w:rsidR="00664420" w:rsidRPr="00CD55BA">
        <w:rPr>
          <w:rFonts w:cs="Tahoma"/>
          <w:szCs w:val="22"/>
          <w:lang w:val="es-ES"/>
        </w:rPr>
        <w:t>SAIMEX</w:t>
      </w:r>
      <w:r w:rsidR="00664420" w:rsidRPr="00CD55BA">
        <w:rPr>
          <w:rFonts w:cs="Tahoma"/>
          <w:szCs w:val="22"/>
        </w:rPr>
        <w:t>.</w:t>
      </w:r>
    </w:p>
    <w:p w14:paraId="741683E3" w14:textId="77777777" w:rsidR="0011350D" w:rsidRPr="00CD55BA" w:rsidRDefault="0011350D" w:rsidP="00CD55BA">
      <w:pPr>
        <w:rPr>
          <w:rFonts w:cs="Tahoma"/>
          <w:szCs w:val="22"/>
        </w:rPr>
      </w:pPr>
    </w:p>
    <w:p w14:paraId="7A9629DE" w14:textId="77777777" w:rsidR="00664420" w:rsidRPr="00CD55BA" w:rsidRDefault="00664420" w:rsidP="00CD55BA">
      <w:pPr>
        <w:pStyle w:val="Ttulo1"/>
        <w:rPr>
          <w:rFonts w:eastAsiaTheme="minorHAnsi"/>
          <w:lang w:eastAsia="en-US"/>
        </w:rPr>
      </w:pPr>
      <w:bookmarkStart w:id="21" w:name="_Toc205972598"/>
      <w:r w:rsidRPr="00CD55BA">
        <w:rPr>
          <w:rFonts w:eastAsiaTheme="minorHAnsi"/>
          <w:lang w:eastAsia="en-US"/>
        </w:rPr>
        <w:t>CONSIDERANDOS</w:t>
      </w:r>
      <w:bookmarkEnd w:id="21"/>
    </w:p>
    <w:p w14:paraId="6DD1243B" w14:textId="77777777" w:rsidR="00664420" w:rsidRPr="00CD55BA" w:rsidRDefault="00664420" w:rsidP="00CD55BA">
      <w:pPr>
        <w:contextualSpacing/>
        <w:jc w:val="center"/>
        <w:rPr>
          <w:rFonts w:eastAsiaTheme="minorHAnsi" w:cs="Tahoma"/>
          <w:b/>
          <w:szCs w:val="22"/>
          <w:lang w:eastAsia="en-US"/>
        </w:rPr>
      </w:pPr>
    </w:p>
    <w:p w14:paraId="0B67CB92" w14:textId="2E307D3B" w:rsidR="00664420" w:rsidRPr="00CD55BA" w:rsidRDefault="00664420" w:rsidP="00CD55BA">
      <w:pPr>
        <w:pStyle w:val="Ttulo2"/>
        <w:rPr>
          <w:rFonts w:eastAsia="Batang"/>
        </w:rPr>
      </w:pPr>
      <w:bookmarkStart w:id="22" w:name="_Toc205972599"/>
      <w:r w:rsidRPr="00CD55BA">
        <w:rPr>
          <w:rFonts w:eastAsia="Batang"/>
        </w:rPr>
        <w:lastRenderedPageBreak/>
        <w:t xml:space="preserve">PRIMERO. </w:t>
      </w:r>
      <w:r w:rsidR="00BA55A8" w:rsidRPr="00CD55BA">
        <w:rPr>
          <w:rFonts w:eastAsia="Batang"/>
        </w:rPr>
        <w:t>Procedibilidad</w:t>
      </w:r>
      <w:bookmarkEnd w:id="22"/>
    </w:p>
    <w:p w14:paraId="39C52BC1" w14:textId="56FCC20D" w:rsidR="00BA55A8" w:rsidRPr="00CD55BA" w:rsidRDefault="00BA55A8" w:rsidP="00CD55BA">
      <w:pPr>
        <w:pStyle w:val="Ttulo3"/>
      </w:pPr>
      <w:bookmarkStart w:id="23" w:name="_Toc205972600"/>
      <w:r w:rsidRPr="00CD55BA">
        <w:t>a) Competencia</w:t>
      </w:r>
      <w:r w:rsidR="00150C49" w:rsidRPr="00CD55BA">
        <w:t xml:space="preserve"> del Instituto</w:t>
      </w:r>
      <w:bookmarkEnd w:id="23"/>
    </w:p>
    <w:p w14:paraId="56E64942" w14:textId="7D6B3128" w:rsidR="0011350D" w:rsidRPr="00CD55BA" w:rsidRDefault="0011350D" w:rsidP="00CD55BA">
      <w:pPr>
        <w:rPr>
          <w:rFonts w:cs="Arial"/>
        </w:rPr>
      </w:pPr>
      <w:r w:rsidRPr="00CD55BA">
        <w:t xml:space="preserve">Este Instituto de Transparencia, Acceso a la Información Pública y Protección de Datos Personales del Estado de México y Municipios es competente para conocer y resolver </w:t>
      </w:r>
      <w:r w:rsidR="005F65B7" w:rsidRPr="00CD55BA">
        <w:t xml:space="preserve">el </w:t>
      </w:r>
      <w:r w:rsidRPr="00CD55BA">
        <w:t xml:space="preserve">presente Recurso de Revisión, conforme a lo dispuesto en los artículos 6, Apartado A de la Constitución Política de los Estados Unidos Mexicanos; 5, </w:t>
      </w:r>
      <w:r w:rsidR="001544A1" w:rsidRPr="00CD55BA">
        <w:rPr>
          <w:bCs/>
        </w:rPr>
        <w:t xml:space="preserve">párrafos </w:t>
      </w:r>
      <w:r w:rsidR="001544A1" w:rsidRPr="00CD55BA">
        <w:t xml:space="preserve">trigésimo séptimo, trigésimo octavo, trigésimo noveno, fracciones </w:t>
      </w:r>
      <w:r w:rsidRPr="00CD55BA">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D55BA">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CD55BA" w:rsidRDefault="00DB1C09" w:rsidP="00CD55BA">
      <w:pPr>
        <w:rPr>
          <w:rFonts w:cs="Arial"/>
        </w:rPr>
      </w:pPr>
    </w:p>
    <w:p w14:paraId="517A2DD6" w14:textId="4169BE4D" w:rsidR="00664420" w:rsidRPr="00CD55BA" w:rsidRDefault="00BA55A8" w:rsidP="00CD55BA">
      <w:pPr>
        <w:pStyle w:val="Ttulo3"/>
      </w:pPr>
      <w:bookmarkStart w:id="24" w:name="_Toc205972601"/>
      <w:r w:rsidRPr="00CD55BA">
        <w:t>b)</w:t>
      </w:r>
      <w:r w:rsidR="00664420" w:rsidRPr="00CD55BA">
        <w:t xml:space="preserve"> </w:t>
      </w:r>
      <w:r w:rsidR="00D91CB4" w:rsidRPr="00CD55BA">
        <w:t>Legitimidad</w:t>
      </w:r>
      <w:r w:rsidRPr="00CD55BA">
        <w:t xml:space="preserve"> de la parte recurrente</w:t>
      </w:r>
      <w:bookmarkEnd w:id="24"/>
    </w:p>
    <w:p w14:paraId="26FEA382" w14:textId="0B06695C" w:rsidR="00D91CB4" w:rsidRPr="00CD55BA" w:rsidRDefault="00D91CB4" w:rsidP="00CD55BA">
      <w:pPr>
        <w:rPr>
          <w:rFonts w:cs="Arial"/>
          <w:bCs/>
        </w:rPr>
      </w:pPr>
      <w:r w:rsidRPr="00CD55BA">
        <w:rPr>
          <w:rFonts w:cs="Arial"/>
          <w:bCs/>
        </w:rPr>
        <w:t>El recurso de revisión fue interpuesto por parte legítima, ya que se presentó por la misma persona que formuló la solicitud de acceso a la Información Pública,</w:t>
      </w:r>
      <w:r w:rsidRPr="00CD55BA">
        <w:rPr>
          <w:rFonts w:cs="Arial"/>
          <w:b/>
          <w:bCs/>
        </w:rPr>
        <w:t xml:space="preserve"> </w:t>
      </w:r>
      <w:r w:rsidRPr="00CD55BA">
        <w:rPr>
          <w:rFonts w:cs="Arial"/>
        </w:rPr>
        <w:t>debido a que los datos de acceso</w:t>
      </w:r>
      <w:r w:rsidRPr="00CD55BA">
        <w:rPr>
          <w:rFonts w:cs="Arial"/>
          <w:b/>
          <w:bCs/>
        </w:rPr>
        <w:t xml:space="preserve"> </w:t>
      </w:r>
      <w:r w:rsidRPr="00CD55BA">
        <w:rPr>
          <w:rFonts w:cs="Arial"/>
          <w:b/>
        </w:rPr>
        <w:t>SAIMEX</w:t>
      </w:r>
      <w:r w:rsidRPr="00CD55BA">
        <w:rPr>
          <w:rFonts w:eastAsia="Calibri" w:cs="Arial"/>
          <w:lang w:eastAsia="en-US"/>
        </w:rPr>
        <w:t xml:space="preserve"> son personales e irrepetibles.</w:t>
      </w:r>
    </w:p>
    <w:p w14:paraId="2C367810" w14:textId="77777777" w:rsidR="00D91CB4" w:rsidRPr="00CD55BA" w:rsidRDefault="00D91CB4" w:rsidP="00CD55BA"/>
    <w:p w14:paraId="5C5FA5A8" w14:textId="77777777" w:rsidR="004565C2" w:rsidRPr="00CD55BA" w:rsidRDefault="004565C2" w:rsidP="00CD55BA">
      <w:pPr>
        <w:pStyle w:val="Ttulo3"/>
        <w:rPr>
          <w:rFonts w:eastAsia="Calibri"/>
          <w:lang w:eastAsia="es-ES_tradnl"/>
        </w:rPr>
      </w:pPr>
      <w:bookmarkStart w:id="25" w:name="_Toc170932820"/>
      <w:bookmarkStart w:id="26" w:name="_Toc205972602"/>
      <w:r w:rsidRPr="00CD55BA">
        <w:rPr>
          <w:rFonts w:eastAsia="Calibri"/>
          <w:lang w:eastAsia="es-ES_tradnl"/>
        </w:rPr>
        <w:t>c) Plazo para interponer el recurso</w:t>
      </w:r>
      <w:bookmarkEnd w:id="25"/>
      <w:bookmarkEnd w:id="26"/>
    </w:p>
    <w:p w14:paraId="5C63152A" w14:textId="06838FC4" w:rsidR="004565C2" w:rsidRPr="00CD55BA" w:rsidRDefault="004565C2" w:rsidP="00CD55BA">
      <w:pPr>
        <w:rPr>
          <w:rFonts w:eastAsiaTheme="minorEastAsia" w:cs="Arial"/>
          <w:lang w:val="es-ES_tradnl"/>
        </w:rPr>
      </w:pPr>
      <w:r w:rsidRPr="00CD55BA">
        <w:rPr>
          <w:rFonts w:cs="Arial"/>
          <w:b/>
        </w:rPr>
        <w:t>EL SUJETO OBLIGADO</w:t>
      </w:r>
      <w:r w:rsidRPr="00CD55BA">
        <w:rPr>
          <w:rFonts w:cs="Arial"/>
        </w:rPr>
        <w:t xml:space="preserve"> notificó la respuesta a la solicitud de acceso a la Información Pública el </w:t>
      </w:r>
      <w:r w:rsidR="00C14165" w:rsidRPr="00CD55BA">
        <w:rPr>
          <w:rFonts w:eastAsia="Palatino Linotype" w:cs="Palatino Linotype"/>
          <w:b/>
        </w:rPr>
        <w:t xml:space="preserve">diecinueve de mayo </w:t>
      </w:r>
      <w:r w:rsidR="00B373AF" w:rsidRPr="00CD55BA">
        <w:rPr>
          <w:rFonts w:eastAsia="Palatino Linotype" w:cs="Palatino Linotype"/>
          <w:b/>
        </w:rPr>
        <w:t>d</w:t>
      </w:r>
      <w:r w:rsidR="009A1340" w:rsidRPr="00CD55BA">
        <w:rPr>
          <w:rFonts w:eastAsia="Palatino Linotype" w:cs="Palatino Linotype"/>
          <w:b/>
        </w:rPr>
        <w:t xml:space="preserve">e dos mil veinticinco </w:t>
      </w:r>
      <w:r w:rsidRPr="00CD55BA">
        <w:rPr>
          <w:rFonts w:cs="Arial"/>
        </w:rPr>
        <w:t xml:space="preserve">y el recurso </w:t>
      </w:r>
      <w:r w:rsidRPr="00CD55BA">
        <w:rPr>
          <w:rFonts w:eastAsia="Palatino Linotype" w:cs="Palatino Linotype"/>
        </w:rPr>
        <w:t xml:space="preserve">que nos ocupa se </w:t>
      </w:r>
      <w:r w:rsidR="00E27023" w:rsidRPr="00CD55BA">
        <w:rPr>
          <w:rFonts w:eastAsia="Palatino Linotype" w:cs="Palatino Linotype"/>
        </w:rPr>
        <w:t xml:space="preserve">tuvo por </w:t>
      </w:r>
      <w:r w:rsidRPr="00CD55BA">
        <w:rPr>
          <w:rFonts w:eastAsia="Palatino Linotype" w:cs="Palatino Linotype"/>
        </w:rPr>
        <w:t>interpu</w:t>
      </w:r>
      <w:r w:rsidR="00E27023" w:rsidRPr="00CD55BA">
        <w:rPr>
          <w:rFonts w:eastAsia="Palatino Linotype" w:cs="Palatino Linotype"/>
        </w:rPr>
        <w:t>esto</w:t>
      </w:r>
      <w:r w:rsidRPr="00CD55BA">
        <w:rPr>
          <w:rFonts w:eastAsia="Palatino Linotype" w:cs="Palatino Linotype"/>
        </w:rPr>
        <w:t xml:space="preserve"> el </w:t>
      </w:r>
      <w:r w:rsidR="00C14165" w:rsidRPr="00CD55BA">
        <w:rPr>
          <w:rFonts w:eastAsia="Palatino Linotype" w:cs="Palatino Linotype"/>
          <w:b/>
        </w:rPr>
        <w:t>veinte de mayo d</w:t>
      </w:r>
      <w:r w:rsidR="009A1340" w:rsidRPr="00CD55BA">
        <w:rPr>
          <w:rFonts w:eastAsia="Palatino Linotype" w:cs="Palatino Linotype"/>
          <w:b/>
        </w:rPr>
        <w:t>e dos mil veinticinco</w:t>
      </w:r>
      <w:r w:rsidRPr="00CD55BA">
        <w:rPr>
          <w:rFonts w:eastAsia="Palatino Linotype" w:cs="Palatino Linotype"/>
          <w:bCs/>
        </w:rPr>
        <w:t>;</w:t>
      </w:r>
      <w:r w:rsidRPr="00CD55BA">
        <w:rPr>
          <w:rFonts w:eastAsia="Palatino Linotype" w:cs="Palatino Linotype"/>
        </w:rPr>
        <w:t xml:space="preserve"> por lo tanto, éste se encuentra dentro del margen temporal previsto en el artículo 178 de la </w:t>
      </w:r>
      <w:r w:rsidRPr="00CD55BA">
        <w:rPr>
          <w:rFonts w:cs="Arial"/>
        </w:rPr>
        <w:t>Ley de Transparencia y Acceso a la Información Pública del Estado de México y Municipios</w:t>
      </w:r>
      <w:r w:rsidRPr="00CD55BA">
        <w:rPr>
          <w:rFonts w:eastAsiaTheme="minorEastAsia" w:cs="Arial"/>
          <w:lang w:val="es-ES_tradnl"/>
        </w:rPr>
        <w:t>.</w:t>
      </w:r>
    </w:p>
    <w:p w14:paraId="41262D82" w14:textId="77777777" w:rsidR="00813497" w:rsidRPr="00CD55BA" w:rsidRDefault="00813497" w:rsidP="00CD55BA"/>
    <w:p w14:paraId="46C0EB3A" w14:textId="5A92AF42" w:rsidR="00A53315" w:rsidRPr="00CD55BA" w:rsidRDefault="00BA55A8" w:rsidP="00CD55BA">
      <w:pPr>
        <w:pStyle w:val="Ttulo3"/>
        <w:rPr>
          <w:rFonts w:eastAsia="Calibri"/>
          <w:lang w:eastAsia="es-ES_tradnl"/>
        </w:rPr>
      </w:pPr>
      <w:bookmarkStart w:id="27" w:name="_Toc205972603"/>
      <w:r w:rsidRPr="00CD55BA">
        <w:rPr>
          <w:rFonts w:eastAsia="Calibri"/>
          <w:lang w:eastAsia="es-ES_tradnl"/>
        </w:rPr>
        <w:lastRenderedPageBreak/>
        <w:t>d)</w:t>
      </w:r>
      <w:r w:rsidR="00D91CB4" w:rsidRPr="00CD55BA">
        <w:rPr>
          <w:rFonts w:eastAsia="Calibri"/>
          <w:lang w:eastAsia="es-ES_tradnl"/>
        </w:rPr>
        <w:t xml:space="preserve"> </w:t>
      </w:r>
      <w:r w:rsidR="004565C2" w:rsidRPr="00CD55BA">
        <w:rPr>
          <w:rFonts w:eastAsia="Calibri"/>
          <w:lang w:eastAsia="es-ES_tradnl"/>
        </w:rPr>
        <w:t>Causal de procedencia</w:t>
      </w:r>
      <w:bookmarkEnd w:id="27"/>
    </w:p>
    <w:p w14:paraId="190404A6" w14:textId="59D21BFB" w:rsidR="00BA55A8" w:rsidRPr="00CD55BA" w:rsidRDefault="00BA55A8" w:rsidP="00CD55BA">
      <w:pPr>
        <w:rPr>
          <w:rFonts w:eastAsia="Calibri" w:cs="Tahoma"/>
          <w:szCs w:val="22"/>
          <w:lang w:eastAsia="es-MX"/>
        </w:rPr>
      </w:pPr>
      <w:r w:rsidRPr="00CD55BA">
        <w:rPr>
          <w:rFonts w:cs="Arial"/>
        </w:rPr>
        <w:t xml:space="preserve">Resulta procedente la interposición del recurso de revisión, ya que </w:t>
      </w:r>
      <w:r w:rsidRPr="00CD55BA">
        <w:rPr>
          <w:rFonts w:eastAsia="Calibri" w:cs="Tahoma"/>
          <w:szCs w:val="22"/>
          <w:lang w:eastAsia="es-MX"/>
        </w:rPr>
        <w:t xml:space="preserve">se actualiza la causal de procedencia señalada en el artículo 179, fracción </w:t>
      </w:r>
      <w:r w:rsidR="00C14165" w:rsidRPr="00CD55BA">
        <w:rPr>
          <w:rFonts w:eastAsia="Calibri" w:cs="Tahoma"/>
          <w:szCs w:val="22"/>
          <w:lang w:eastAsia="es-MX"/>
        </w:rPr>
        <w:t>I</w:t>
      </w:r>
      <w:r w:rsidRPr="00CD55BA">
        <w:rPr>
          <w:rFonts w:cs="Arial"/>
        </w:rPr>
        <w:t xml:space="preserve"> de la </w:t>
      </w:r>
      <w:r w:rsidRPr="00CD55BA">
        <w:t>Ley de Transparencia y Acceso a la Información Pública del Estado de México y Municipios.</w:t>
      </w:r>
    </w:p>
    <w:p w14:paraId="0EFF7141" w14:textId="77777777" w:rsidR="00362A11" w:rsidRPr="00CD55BA" w:rsidRDefault="00362A11" w:rsidP="00CD55BA"/>
    <w:p w14:paraId="2284D7EB" w14:textId="3EE1D036" w:rsidR="00BA55A8" w:rsidRPr="00CD55BA" w:rsidRDefault="00362A11" w:rsidP="00CD55BA">
      <w:pPr>
        <w:pStyle w:val="Ttulo3"/>
      </w:pPr>
      <w:bookmarkStart w:id="28" w:name="_Toc205972604"/>
      <w:r w:rsidRPr="00CD55BA">
        <w:t>e) Requisitos formales para la interposición del recurso</w:t>
      </w:r>
      <w:bookmarkEnd w:id="28"/>
    </w:p>
    <w:p w14:paraId="677C7009" w14:textId="77777777" w:rsidR="00185C7C" w:rsidRPr="00CD55BA" w:rsidRDefault="00185C7C" w:rsidP="00CD55BA">
      <w:pPr>
        <w:rPr>
          <w:rFonts w:cs="Arial"/>
        </w:rPr>
      </w:pPr>
      <w:r w:rsidRPr="00CD55BA">
        <w:rPr>
          <w:rFonts w:cs="Arial"/>
          <w:b/>
          <w:bCs/>
        </w:rPr>
        <w:t xml:space="preserve">LA PARTE RECURRENTE </w:t>
      </w:r>
      <w:r w:rsidRPr="00CD55BA">
        <w:rPr>
          <w:rFonts w:cs="Arial"/>
        </w:rPr>
        <w:t>acreditó todos y cada uno de los elementos formales exigidos por el artículo 180 de la misma normatividad.</w:t>
      </w:r>
    </w:p>
    <w:p w14:paraId="2BE2EBCD" w14:textId="77777777" w:rsidR="00185C7C" w:rsidRPr="00CD55BA" w:rsidRDefault="00185C7C" w:rsidP="00CD55BA">
      <w:pPr>
        <w:rPr>
          <w:rFonts w:cs="Arial"/>
        </w:rPr>
      </w:pPr>
    </w:p>
    <w:p w14:paraId="72DB24A5" w14:textId="77777777" w:rsidR="00CA0628" w:rsidRPr="00CD55BA" w:rsidRDefault="00CA0628" w:rsidP="00CD55BA">
      <w:pPr>
        <w:rPr>
          <w:rFonts w:cs="Arial"/>
          <w:lang w:val="es-ES"/>
        </w:rPr>
      </w:pPr>
      <w:r w:rsidRPr="00CD55BA">
        <w:rPr>
          <w:lang w:val="es-ES"/>
        </w:rPr>
        <w:t xml:space="preserve">Sin embargo, es importante mencionar que, de la revisión de los expedientes electrónicos del </w:t>
      </w:r>
      <w:r w:rsidRPr="00CD55BA">
        <w:rPr>
          <w:b/>
          <w:bCs/>
          <w:lang w:val="es-ES"/>
        </w:rPr>
        <w:t>SAIMEX</w:t>
      </w:r>
      <w:r w:rsidRPr="00CD55BA">
        <w:rPr>
          <w:bCs/>
          <w:lang w:val="es-ES"/>
        </w:rPr>
        <w:t>,</w:t>
      </w:r>
      <w:r w:rsidRPr="00CD55BA">
        <w:rPr>
          <w:lang w:val="es-ES"/>
        </w:rPr>
        <w:t xml:space="preserve"> se observa que </w:t>
      </w:r>
      <w:r w:rsidRPr="00CD55BA">
        <w:rPr>
          <w:b/>
          <w:bCs/>
          <w:lang w:val="es-ES"/>
        </w:rPr>
        <w:t>LA PARTE RECURRENTE</w:t>
      </w:r>
      <w:r w:rsidRPr="00CD55BA">
        <w:rPr>
          <w:lang w:val="es-ES"/>
        </w:rPr>
        <w:t xml:space="preserve"> no proporcionó su nombre para ser identificado, lo que en estricto sentido provoca que </w:t>
      </w:r>
      <w:r w:rsidRPr="00CD55BA">
        <w:rPr>
          <w:rFonts w:cs="Arial"/>
          <w:lang w:val="es-ES"/>
        </w:rPr>
        <w:t>no</w:t>
      </w:r>
      <w:r w:rsidRPr="00CD55BA">
        <w:rPr>
          <w:lang w:val="es-ES"/>
        </w:rPr>
        <w:t xml:space="preserve"> se colmen los requisitos establecidos en el artículo 180 de la Ley de Transparencia; sin embargo, el artículo 15 de </w:t>
      </w:r>
      <w:r w:rsidRPr="00CD55BA">
        <w:rPr>
          <w:rFonts w:cs="Arial"/>
          <w:lang w:val="es-ES" w:eastAsia="es-MX"/>
        </w:rPr>
        <w:t xml:space="preserve">Ley de Transparencia y Acceso a la </w:t>
      </w:r>
      <w:r w:rsidRPr="00CD55BA">
        <w:rPr>
          <w:rFonts w:cs="Arial"/>
          <w:lang w:val="es-ES"/>
        </w:rPr>
        <w:t>Información</w:t>
      </w:r>
      <w:r w:rsidRPr="00CD55BA">
        <w:rPr>
          <w:rFonts w:cs="Arial"/>
          <w:lang w:val="es-ES" w:eastAsia="es-MX"/>
        </w:rPr>
        <w:t xml:space="preserve"> Pública del Estado de México y Municipios </w:t>
      </w:r>
      <w:r w:rsidRPr="00CD55BA">
        <w:rPr>
          <w:rFonts w:cs="Arial"/>
          <w:iCs/>
          <w:lang w:val="es-ES"/>
        </w:rPr>
        <w:t xml:space="preserve">prevé que </w:t>
      </w:r>
      <w:r w:rsidRPr="00CD55BA">
        <w:rPr>
          <w:lang w:val="es-ES"/>
        </w:rPr>
        <w:t xml:space="preserve">toda persona tendrá acceso a la información </w:t>
      </w:r>
      <w:r w:rsidRPr="00CD55BA">
        <w:rPr>
          <w:rFonts w:cs="Arial"/>
          <w:lang w:val="es-ES"/>
        </w:rPr>
        <w:t xml:space="preserve">sin necesidad de acreditar interés alguno o justificar su utilización, de lo que se infiere que </w:t>
      </w:r>
      <w:r w:rsidRPr="00CD55BA">
        <w:rPr>
          <w:rFonts w:cs="Arial"/>
          <w:b/>
          <w:u w:val="single"/>
          <w:lang w:val="es-ES"/>
        </w:rPr>
        <w:t xml:space="preserve">el nombre no es un requisito </w:t>
      </w:r>
      <w:r w:rsidRPr="00CD55BA">
        <w:rPr>
          <w:rFonts w:cs="Arial"/>
          <w:b/>
          <w:iCs/>
          <w:u w:val="single"/>
          <w:lang w:val="es-ES"/>
        </w:rPr>
        <w:t>indispensable</w:t>
      </w:r>
      <w:r w:rsidRPr="00CD55BA">
        <w:rPr>
          <w:rFonts w:cs="Arial"/>
          <w:lang w:val="es-ES"/>
        </w:rPr>
        <w:t xml:space="preserve"> para que las y los ciudadanos ejerzan el derecho de acceso a la información pública. </w:t>
      </w:r>
    </w:p>
    <w:p w14:paraId="5C19C96C" w14:textId="77777777" w:rsidR="00CA0628" w:rsidRPr="00CD55BA" w:rsidRDefault="00CA0628" w:rsidP="00CD55BA">
      <w:pPr>
        <w:rPr>
          <w:rFonts w:cs="Arial"/>
          <w:sz w:val="24"/>
          <w:szCs w:val="24"/>
          <w:lang w:val="es-ES"/>
        </w:rPr>
      </w:pPr>
    </w:p>
    <w:p w14:paraId="64511B42" w14:textId="77777777" w:rsidR="00CA0628" w:rsidRPr="00CD55BA" w:rsidRDefault="00CA0628" w:rsidP="00CD55BA">
      <w:pPr>
        <w:rPr>
          <w:lang w:val="es-ES"/>
        </w:rPr>
      </w:pPr>
      <w:r w:rsidRPr="00CD55BA">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D55BA">
        <w:rPr>
          <w:b/>
          <w:bCs/>
          <w:lang w:val="es-ES"/>
        </w:rPr>
        <w:t>LA PARTE RECURRENTE</w:t>
      </w:r>
      <w:r w:rsidRPr="00CD55BA">
        <w:rPr>
          <w:b/>
          <w:lang w:val="es-ES"/>
        </w:rPr>
        <w:t>;</w:t>
      </w:r>
      <w:r w:rsidRPr="00CD55BA">
        <w:rPr>
          <w:lang w:val="es-ES"/>
        </w:rPr>
        <w:t xml:space="preserve"> por lo que, en el presente caso, al haber sido presentado el recurso de revisión vía </w:t>
      </w:r>
      <w:r w:rsidRPr="00CD55BA">
        <w:rPr>
          <w:b/>
          <w:bCs/>
          <w:lang w:val="es-ES"/>
        </w:rPr>
        <w:t>SAIMEX</w:t>
      </w:r>
      <w:r w:rsidRPr="00CD55BA">
        <w:rPr>
          <w:lang w:val="es-ES"/>
        </w:rPr>
        <w:t>, dicho requisito resulta innecesario.</w:t>
      </w:r>
    </w:p>
    <w:p w14:paraId="168FA9D1" w14:textId="77777777" w:rsidR="00CA0628" w:rsidRPr="00CD55BA" w:rsidRDefault="00CA0628" w:rsidP="00CD55BA">
      <w:pPr>
        <w:spacing w:after="160" w:line="259" w:lineRule="auto"/>
        <w:jc w:val="left"/>
        <w:rPr>
          <w:rFonts w:ascii="Calibri" w:eastAsia="Calibri" w:hAnsi="Calibri"/>
          <w:szCs w:val="22"/>
          <w:lang w:eastAsia="en-US"/>
        </w:rPr>
      </w:pPr>
    </w:p>
    <w:p w14:paraId="457548E9" w14:textId="3F7AF03B" w:rsidR="00C71CEF" w:rsidRPr="00CD55BA" w:rsidRDefault="00C71CEF" w:rsidP="00CD55BA">
      <w:pPr>
        <w:pStyle w:val="Ttulo2"/>
      </w:pPr>
      <w:bookmarkStart w:id="29" w:name="_Toc205972605"/>
      <w:r w:rsidRPr="00CD55BA">
        <w:t>SEGUNDO. Estudio de Fondo</w:t>
      </w:r>
      <w:bookmarkEnd w:id="29"/>
    </w:p>
    <w:p w14:paraId="2A308F59" w14:textId="0FF373F0" w:rsidR="00C049E2" w:rsidRPr="00CD55BA" w:rsidRDefault="00C71CEF" w:rsidP="00CD55BA">
      <w:pPr>
        <w:pStyle w:val="Ttulo3"/>
      </w:pPr>
      <w:bookmarkStart w:id="30" w:name="_Toc205972606"/>
      <w:r w:rsidRPr="00CD55BA">
        <w:t>a</w:t>
      </w:r>
      <w:r w:rsidR="00C049E2" w:rsidRPr="00CD55BA">
        <w:t>) Mandato de transparencia y responsabilidad del Sujeto Obligado</w:t>
      </w:r>
      <w:bookmarkEnd w:id="30"/>
    </w:p>
    <w:p w14:paraId="6901A889" w14:textId="59EEDAE1" w:rsidR="00C049E2" w:rsidRPr="00CD55BA" w:rsidRDefault="00C049E2" w:rsidP="00CD55BA">
      <w:pPr>
        <w:rPr>
          <w:rFonts w:eastAsia="Palatino Linotype"/>
        </w:rPr>
      </w:pPr>
      <w:r w:rsidRPr="00CD55BA">
        <w:rPr>
          <w:rFonts w:eastAsia="Palatino Linotype"/>
        </w:rPr>
        <w:t xml:space="preserve">El </w:t>
      </w:r>
      <w:r w:rsidR="00717E59" w:rsidRPr="00CD55BA">
        <w:rPr>
          <w:rFonts w:eastAsia="Palatino Linotype"/>
        </w:rPr>
        <w:t>d</w:t>
      </w:r>
      <w:r w:rsidRPr="00CD55BA">
        <w:rPr>
          <w:rFonts w:eastAsia="Palatino Linotype"/>
        </w:rPr>
        <w:t xml:space="preserve">erecho de </w:t>
      </w:r>
      <w:r w:rsidR="00717E59" w:rsidRPr="00CD55BA">
        <w:rPr>
          <w:rFonts w:eastAsia="Palatino Linotype"/>
        </w:rPr>
        <w:t>a</w:t>
      </w:r>
      <w:r w:rsidRPr="00CD55BA">
        <w:rPr>
          <w:rFonts w:eastAsia="Palatino Linotype"/>
        </w:rPr>
        <w:t xml:space="preserve">cceso a la </w:t>
      </w:r>
      <w:r w:rsidR="00717E59" w:rsidRPr="00CD55BA">
        <w:rPr>
          <w:rFonts w:eastAsia="Palatino Linotype"/>
        </w:rPr>
        <w:t>i</w:t>
      </w:r>
      <w:r w:rsidRPr="00CD55BA">
        <w:rPr>
          <w:rFonts w:eastAsia="Palatino Linotype"/>
        </w:rPr>
        <w:t xml:space="preserve">nformación </w:t>
      </w:r>
      <w:r w:rsidR="00717E59" w:rsidRPr="00CD55BA">
        <w:rPr>
          <w:rFonts w:eastAsia="Palatino Linotype"/>
        </w:rPr>
        <w:t>p</w:t>
      </w:r>
      <w:r w:rsidRPr="00CD55B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D55BA">
        <w:rPr>
          <w:rFonts w:eastAsia="Palatino Linotype"/>
        </w:rPr>
        <w:t>:</w:t>
      </w:r>
    </w:p>
    <w:p w14:paraId="7FAB8D32" w14:textId="77777777" w:rsidR="00C049E2" w:rsidRPr="00CD55BA" w:rsidRDefault="00C049E2" w:rsidP="00CD55BA">
      <w:pPr>
        <w:rPr>
          <w:rFonts w:eastAsia="Palatino Linotype"/>
        </w:rPr>
      </w:pPr>
    </w:p>
    <w:p w14:paraId="05320813" w14:textId="77777777" w:rsidR="00C049E2" w:rsidRPr="00CD55BA" w:rsidRDefault="00C049E2" w:rsidP="00CD55BA">
      <w:pPr>
        <w:pStyle w:val="Ttulo"/>
        <w:rPr>
          <w:rFonts w:eastAsia="Palatino Linotype"/>
          <w:b/>
        </w:rPr>
      </w:pPr>
      <w:r w:rsidRPr="00CD55BA">
        <w:rPr>
          <w:rFonts w:eastAsia="Palatino Linotype"/>
          <w:b/>
        </w:rPr>
        <w:t>Constitución Política de los Estados Unidos Mexicanos</w:t>
      </w:r>
    </w:p>
    <w:p w14:paraId="6B6C67B6" w14:textId="77777777" w:rsidR="00C049E2" w:rsidRPr="00CD55BA" w:rsidRDefault="00C049E2" w:rsidP="00CD55BA">
      <w:pPr>
        <w:pStyle w:val="Ttulo"/>
        <w:rPr>
          <w:rFonts w:eastAsia="Palatino Linotype"/>
          <w:b/>
        </w:rPr>
      </w:pPr>
      <w:r w:rsidRPr="00CD55BA">
        <w:rPr>
          <w:rFonts w:eastAsia="Palatino Linotype"/>
        </w:rPr>
        <w:t>“</w:t>
      </w:r>
      <w:r w:rsidRPr="00CD55BA">
        <w:rPr>
          <w:rFonts w:eastAsia="Palatino Linotype"/>
          <w:b/>
        </w:rPr>
        <w:t>Artículo 6.</w:t>
      </w:r>
    </w:p>
    <w:p w14:paraId="38D3B4C4" w14:textId="77777777" w:rsidR="00C049E2" w:rsidRPr="00CD55BA" w:rsidRDefault="00C049E2" w:rsidP="00CD55BA">
      <w:pPr>
        <w:pStyle w:val="Ttulo"/>
        <w:rPr>
          <w:rFonts w:eastAsia="Palatino Linotype"/>
        </w:rPr>
      </w:pPr>
      <w:r w:rsidRPr="00CD55BA">
        <w:rPr>
          <w:rFonts w:eastAsia="Palatino Linotype"/>
        </w:rPr>
        <w:t>(…)</w:t>
      </w:r>
    </w:p>
    <w:p w14:paraId="2CCAA297" w14:textId="6602827B" w:rsidR="00C049E2" w:rsidRPr="00CD55BA" w:rsidRDefault="00C049E2" w:rsidP="00CD55BA">
      <w:pPr>
        <w:pStyle w:val="Ttulo"/>
        <w:rPr>
          <w:rFonts w:eastAsia="Palatino Linotype"/>
        </w:rPr>
      </w:pPr>
      <w:r w:rsidRPr="00CD55BA">
        <w:rPr>
          <w:rFonts w:eastAsia="Palatino Linotype"/>
        </w:rPr>
        <w:t>Para efectos de lo dispuesto en el presente artículo se observará lo siguiente:</w:t>
      </w:r>
    </w:p>
    <w:p w14:paraId="74CC3718" w14:textId="77777777" w:rsidR="00C049E2" w:rsidRPr="00CD55BA" w:rsidRDefault="00C049E2" w:rsidP="00CD55BA">
      <w:pPr>
        <w:pStyle w:val="Ttulo"/>
        <w:rPr>
          <w:rFonts w:eastAsia="Palatino Linotype"/>
        </w:rPr>
      </w:pPr>
      <w:r w:rsidRPr="00CD55BA">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CD55BA" w:rsidRDefault="00C049E2" w:rsidP="00CD55BA">
      <w:pPr>
        <w:pStyle w:val="Ttulo"/>
        <w:rPr>
          <w:rFonts w:eastAsia="Palatino Linotype"/>
        </w:rPr>
      </w:pPr>
      <w:r w:rsidRPr="00CD55BA">
        <w:rPr>
          <w:rFonts w:eastAsia="Palatino Linotype"/>
        </w:rPr>
        <w:t xml:space="preserve">I. </w:t>
      </w:r>
      <w:r w:rsidRPr="00CD55BA">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CD55BA" w:rsidRDefault="00C049E2" w:rsidP="00CD55BA">
      <w:pPr>
        <w:pStyle w:val="Ttulo"/>
        <w:rPr>
          <w:rFonts w:eastAsia="Palatino Linotype"/>
        </w:rPr>
      </w:pPr>
    </w:p>
    <w:p w14:paraId="504F12DB" w14:textId="77777777" w:rsidR="00C049E2" w:rsidRPr="00CD55BA" w:rsidRDefault="00C049E2" w:rsidP="00CD55BA">
      <w:pPr>
        <w:pStyle w:val="Ttulo"/>
        <w:rPr>
          <w:rFonts w:eastAsia="Palatino Linotype"/>
          <w:b/>
        </w:rPr>
      </w:pPr>
      <w:r w:rsidRPr="00CD55BA">
        <w:rPr>
          <w:rFonts w:eastAsia="Palatino Linotype"/>
          <w:b/>
        </w:rPr>
        <w:t>Constitución Política del Estado Libre y Soberano de México</w:t>
      </w:r>
    </w:p>
    <w:p w14:paraId="04932D29" w14:textId="77777777" w:rsidR="00C049E2" w:rsidRPr="00CD55BA" w:rsidRDefault="00C049E2" w:rsidP="00CD55BA">
      <w:pPr>
        <w:pStyle w:val="Ttulo"/>
        <w:rPr>
          <w:rFonts w:eastAsia="Palatino Linotype"/>
          <w:b/>
        </w:rPr>
      </w:pPr>
      <w:r w:rsidRPr="00CD55BA">
        <w:rPr>
          <w:rFonts w:eastAsia="Palatino Linotype"/>
        </w:rPr>
        <w:t>“</w:t>
      </w:r>
      <w:r w:rsidRPr="00CD55BA">
        <w:rPr>
          <w:rFonts w:eastAsia="Palatino Linotype"/>
          <w:b/>
        </w:rPr>
        <w:t xml:space="preserve">Artículo 5.- </w:t>
      </w:r>
    </w:p>
    <w:p w14:paraId="1D3829F4" w14:textId="77777777" w:rsidR="00C049E2" w:rsidRPr="00CD55BA" w:rsidRDefault="00C049E2" w:rsidP="00CD55BA">
      <w:pPr>
        <w:pStyle w:val="Ttulo"/>
        <w:rPr>
          <w:rFonts w:eastAsia="Palatino Linotype"/>
        </w:rPr>
      </w:pPr>
      <w:r w:rsidRPr="00CD55BA">
        <w:rPr>
          <w:rFonts w:eastAsia="Palatino Linotype"/>
        </w:rPr>
        <w:t>(…)</w:t>
      </w:r>
    </w:p>
    <w:p w14:paraId="0EAE47FD" w14:textId="77777777" w:rsidR="00C049E2" w:rsidRPr="00CD55BA" w:rsidRDefault="00C049E2" w:rsidP="00CD55BA">
      <w:pPr>
        <w:pStyle w:val="Ttulo"/>
        <w:rPr>
          <w:rFonts w:eastAsia="Palatino Linotype"/>
        </w:rPr>
      </w:pPr>
      <w:r w:rsidRPr="00CD55BA">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CD55BA" w:rsidRDefault="00C049E2" w:rsidP="00CD55BA">
      <w:pPr>
        <w:pStyle w:val="Ttulo"/>
        <w:rPr>
          <w:rFonts w:eastAsia="Palatino Linotype"/>
        </w:rPr>
      </w:pPr>
      <w:r w:rsidRPr="00CD55BA">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D55BA" w:rsidRDefault="00C049E2" w:rsidP="00CD55BA">
      <w:pPr>
        <w:pStyle w:val="Ttulo"/>
        <w:rPr>
          <w:rFonts w:eastAsia="Palatino Linotype"/>
        </w:rPr>
      </w:pPr>
      <w:r w:rsidRPr="00CD55BA">
        <w:rPr>
          <w:rFonts w:eastAsia="Palatino Linotype"/>
        </w:rPr>
        <w:t>Este derecho se regirá por los principios y bases siguientes:</w:t>
      </w:r>
    </w:p>
    <w:p w14:paraId="4A3E8CBA" w14:textId="77777777" w:rsidR="00C049E2" w:rsidRPr="00CD55BA" w:rsidRDefault="00C049E2" w:rsidP="00CD55BA">
      <w:pPr>
        <w:pStyle w:val="Ttulo"/>
        <w:rPr>
          <w:rFonts w:eastAsia="Palatino Linotype"/>
        </w:rPr>
      </w:pPr>
      <w:r w:rsidRPr="00CD55BA">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CD55BA" w:rsidRDefault="00C049E2" w:rsidP="00CD55BA">
      <w:pPr>
        <w:rPr>
          <w:rFonts w:eastAsia="Palatino Linotype"/>
          <w:b/>
          <w:i/>
        </w:rPr>
      </w:pPr>
    </w:p>
    <w:p w14:paraId="6FC1BB3B" w14:textId="3BF4A33D" w:rsidR="00C049E2" w:rsidRPr="00CD55BA" w:rsidRDefault="00717E59" w:rsidP="00CD55BA">
      <w:pPr>
        <w:rPr>
          <w:rFonts w:eastAsia="Palatino Linotype"/>
          <w:i/>
        </w:rPr>
      </w:pPr>
      <w:r w:rsidRPr="00CD55BA">
        <w:rPr>
          <w:rFonts w:eastAsia="Palatino Linotype"/>
        </w:rPr>
        <w:t xml:space="preserve">Asimismo, </w:t>
      </w:r>
      <w:r w:rsidR="00C049E2" w:rsidRPr="00CD55BA">
        <w:rPr>
          <w:rFonts w:eastAsia="Palatino Linotype"/>
        </w:rPr>
        <w:t>el artículo 150 de la Ley de Transparencia y Acceso a la Información Pública del Estado de México y Municipios</w:t>
      </w:r>
      <w:r w:rsidR="00057B2D" w:rsidRPr="00CD55BA">
        <w:rPr>
          <w:rFonts w:eastAsia="Palatino Linotype"/>
        </w:rPr>
        <w:t xml:space="preserve"> </w:t>
      </w:r>
      <w:r w:rsidR="00E9335C" w:rsidRPr="00CD55BA">
        <w:rPr>
          <w:rFonts w:eastAsia="Palatino Linotype"/>
        </w:rPr>
        <w:t xml:space="preserve">indica </w:t>
      </w:r>
      <w:r w:rsidR="00057B2D" w:rsidRPr="00CD55BA">
        <w:rPr>
          <w:rFonts w:eastAsia="Palatino Linotype"/>
        </w:rPr>
        <w:t>que</w:t>
      </w:r>
      <w:r w:rsidR="00C049E2" w:rsidRPr="00CD55BA">
        <w:rPr>
          <w:rFonts w:eastAsia="Palatino Linotype"/>
        </w:rPr>
        <w:t xml:space="preserve"> la solicitud es la garantía primaria del Derecho de Acceso a la Información, además, establece que se regirá </w:t>
      </w:r>
      <w:r w:rsidR="00C049E2" w:rsidRPr="00CD55BA">
        <w:rPr>
          <w:rFonts w:eastAsia="Palatino Linotype"/>
          <w:i/>
        </w:rPr>
        <w:t>por los principios de simplicidad, rapidez</w:t>
      </w:r>
      <w:r w:rsidR="005F65B7" w:rsidRPr="00CD55BA">
        <w:rPr>
          <w:rFonts w:eastAsia="Palatino Linotype"/>
          <w:i/>
        </w:rPr>
        <w:t>,</w:t>
      </w:r>
      <w:r w:rsidR="00C049E2" w:rsidRPr="00CD55BA">
        <w:rPr>
          <w:rFonts w:eastAsia="Palatino Linotype"/>
          <w:i/>
        </w:rPr>
        <w:t xml:space="preserve"> gratuidad del procedimiento, auxilio y orientación a los particulare</w:t>
      </w:r>
      <w:r w:rsidR="001A58B3" w:rsidRPr="00CD55BA">
        <w:rPr>
          <w:rFonts w:eastAsia="Palatino Linotype"/>
          <w:i/>
        </w:rPr>
        <w:t>s.</w:t>
      </w:r>
    </w:p>
    <w:p w14:paraId="033466A6" w14:textId="77777777" w:rsidR="001A58B3" w:rsidRPr="00CD55BA" w:rsidRDefault="001A58B3" w:rsidP="00CD55BA">
      <w:pPr>
        <w:rPr>
          <w:rFonts w:eastAsia="Palatino Linotype"/>
          <w:i/>
        </w:rPr>
      </w:pPr>
    </w:p>
    <w:p w14:paraId="04ADA10B" w14:textId="574A944A" w:rsidR="001A58B3" w:rsidRPr="00CD55BA" w:rsidRDefault="00233F17" w:rsidP="00CD55BA">
      <w:pPr>
        <w:rPr>
          <w:rFonts w:eastAsia="Palatino Linotype" w:cs="Palatino Linotype"/>
          <w:i/>
          <w:szCs w:val="22"/>
        </w:rPr>
      </w:pPr>
      <w:r w:rsidRPr="00CD55BA">
        <w:rPr>
          <w:rFonts w:eastAsia="Palatino Linotype" w:cs="Palatino Linotype"/>
        </w:rPr>
        <w:t xml:space="preserve">Por su parte, el artículo 4 de </w:t>
      </w:r>
      <w:r w:rsidR="001A58B3" w:rsidRPr="00CD55B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D55BA">
        <w:rPr>
          <w:rFonts w:eastAsia="Palatino Linotype" w:cs="Palatino Linotype"/>
        </w:rPr>
        <w:t>.</w:t>
      </w:r>
    </w:p>
    <w:p w14:paraId="1407DBB8" w14:textId="77777777" w:rsidR="001A58B3" w:rsidRPr="00CD55BA" w:rsidRDefault="001A58B3" w:rsidP="00CD55BA">
      <w:pPr>
        <w:rPr>
          <w:rFonts w:eastAsia="Palatino Linotype" w:cs="Palatino Linotype"/>
        </w:rPr>
      </w:pPr>
    </w:p>
    <w:p w14:paraId="7552AA79" w14:textId="5C52E4A4" w:rsidR="001A58B3" w:rsidRPr="00CD55BA" w:rsidRDefault="001A58B3" w:rsidP="00CD55BA">
      <w:pPr>
        <w:rPr>
          <w:rFonts w:eastAsia="Palatino Linotype" w:cs="Palatino Linotype"/>
        </w:rPr>
      </w:pPr>
      <w:r w:rsidRPr="00CD55BA">
        <w:rPr>
          <w:rFonts w:eastAsia="Palatino Linotype" w:cs="Palatino Linotype"/>
        </w:rPr>
        <w:t xml:space="preserve">Esto es, que los Sujetos Obligados </w:t>
      </w:r>
      <w:r w:rsidR="00FA5957" w:rsidRPr="00CD55BA">
        <w:rPr>
          <w:rFonts w:eastAsia="Palatino Linotype" w:cs="Palatino Linotype"/>
        </w:rPr>
        <w:t>deben</w:t>
      </w:r>
      <w:r w:rsidRPr="00CD55BA">
        <w:rPr>
          <w:rFonts w:eastAsia="Palatino Linotype" w:cs="Palatino Linotype"/>
        </w:rPr>
        <w:t xml:space="preserve"> atender las solicitudes de acceso a la información pública que se les </w:t>
      </w:r>
      <w:r w:rsidR="00FA5957" w:rsidRPr="00CD55BA">
        <w:rPr>
          <w:rFonts w:eastAsia="Palatino Linotype" w:cs="Palatino Linotype"/>
        </w:rPr>
        <w:t>sean realizadas,</w:t>
      </w:r>
      <w:r w:rsidRPr="00CD55BA">
        <w:rPr>
          <w:rFonts w:eastAsia="Palatino Linotype" w:cs="Palatino Linotype"/>
        </w:rPr>
        <w:t xml:space="preserve"> y proporcionar la información pública que obre en su poder</w:t>
      </w:r>
      <w:r w:rsidR="00FA5957" w:rsidRPr="00CD55BA">
        <w:rPr>
          <w:rFonts w:eastAsia="Palatino Linotype" w:cs="Palatino Linotype"/>
        </w:rPr>
        <w:t>,</w:t>
      </w:r>
      <w:r w:rsidRPr="00CD55BA">
        <w:rPr>
          <w:rFonts w:eastAsia="Palatino Linotype" w:cs="Palatino Linotype"/>
        </w:rPr>
        <w:t xml:space="preserve"> conforme </w:t>
      </w:r>
      <w:r w:rsidR="00FA5957" w:rsidRPr="00CD55BA">
        <w:rPr>
          <w:rFonts w:eastAsia="Palatino Linotype" w:cs="Palatino Linotype"/>
        </w:rPr>
        <w:t>a</w:t>
      </w:r>
      <w:r w:rsidRPr="00CD55BA">
        <w:rPr>
          <w:rFonts w:eastAsia="Palatino Linotype" w:cs="Palatino Linotype"/>
        </w:rPr>
        <w:t xml:space="preserve">l estado </w:t>
      </w:r>
      <w:r w:rsidR="00FA5957" w:rsidRPr="00CD55BA">
        <w:rPr>
          <w:rFonts w:eastAsia="Palatino Linotype" w:cs="Palatino Linotype"/>
        </w:rPr>
        <w:t xml:space="preserve">en </w:t>
      </w:r>
      <w:r w:rsidRPr="00CD55BA">
        <w:rPr>
          <w:rFonts w:eastAsia="Palatino Linotype" w:cs="Palatino Linotype"/>
        </w:rPr>
        <w:t>que se encuentr</w:t>
      </w:r>
      <w:r w:rsidR="00FA5957" w:rsidRPr="00CD55BA">
        <w:rPr>
          <w:rFonts w:eastAsia="Palatino Linotype" w:cs="Palatino Linotype"/>
        </w:rPr>
        <w:t>e, sin que sea necesario</w:t>
      </w:r>
      <w:r w:rsidRPr="00CD55BA">
        <w:rPr>
          <w:rFonts w:eastAsia="Palatino Linotype" w:cs="Palatino Linotype"/>
        </w:rPr>
        <w:t xml:space="preserve"> </w:t>
      </w:r>
      <w:r w:rsidR="00FA5957" w:rsidRPr="00CD55BA">
        <w:rPr>
          <w:rFonts w:eastAsia="Palatino Linotype" w:cs="Palatino Linotype"/>
        </w:rPr>
        <w:t>procesar</w:t>
      </w:r>
      <w:r w:rsidRPr="00CD55BA">
        <w:rPr>
          <w:rFonts w:eastAsia="Palatino Linotype" w:cs="Palatino Linotype"/>
        </w:rPr>
        <w:t xml:space="preserve"> la misma, ni presentarla conforme al interés del solicitante; </w:t>
      </w:r>
      <w:r w:rsidR="00FA5957" w:rsidRPr="00CD55BA">
        <w:rPr>
          <w:rFonts w:eastAsia="Palatino Linotype" w:cs="Palatino Linotype"/>
        </w:rPr>
        <w:t>tal y como</w:t>
      </w:r>
      <w:r w:rsidRPr="00CD55BA">
        <w:rPr>
          <w:rFonts w:eastAsia="Palatino Linotype" w:cs="Palatino Linotype"/>
        </w:rPr>
        <w:t xml:space="preserve"> lo establece el artículo 12 de la Ley de Transparencia y Acceso a la Información Pública del Estado de México y Municipios</w:t>
      </w:r>
      <w:r w:rsidR="00970EB3" w:rsidRPr="00CD55BA">
        <w:rPr>
          <w:rFonts w:eastAsia="Palatino Linotype" w:cs="Palatino Linotype"/>
        </w:rPr>
        <w:t>.</w:t>
      </w:r>
    </w:p>
    <w:p w14:paraId="73245195" w14:textId="77777777" w:rsidR="00970EB3" w:rsidRPr="00CD55BA" w:rsidRDefault="00970EB3" w:rsidP="00CD55BA">
      <w:pPr>
        <w:rPr>
          <w:rFonts w:eastAsia="Palatino Linotype" w:cs="Palatino Linotype"/>
        </w:rPr>
      </w:pPr>
    </w:p>
    <w:p w14:paraId="7F62D4DF" w14:textId="775730E1" w:rsidR="001A58B3" w:rsidRPr="00CD55BA" w:rsidRDefault="001A58B3" w:rsidP="00CD55BA">
      <w:pPr>
        <w:rPr>
          <w:rFonts w:eastAsia="Palatino Linotype" w:cs="Palatino Linotype"/>
        </w:rPr>
      </w:pPr>
      <w:r w:rsidRPr="00CD55BA">
        <w:rPr>
          <w:rFonts w:eastAsia="Palatino Linotype" w:cs="Palatino Linotype"/>
        </w:rPr>
        <w:lastRenderedPageBreak/>
        <w:t>Es decir, que todo sujeto obligado que genere, recopile, administre, procese, archive, posea o conserven, son responsables de la misma</w:t>
      </w:r>
      <w:r w:rsidR="00970EB3" w:rsidRPr="00CD55BA">
        <w:rPr>
          <w:rFonts w:eastAsia="Palatino Linotype" w:cs="Palatino Linotype"/>
        </w:rPr>
        <w:t>,</w:t>
      </w:r>
      <w:r w:rsidRPr="00CD55B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D55BA">
        <w:rPr>
          <w:rFonts w:eastAsia="Palatino Linotype" w:cs="Palatino Linotype"/>
        </w:rPr>
        <w:t>o</w:t>
      </w:r>
      <w:r w:rsidRPr="00CD55B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D55BA" w:rsidRDefault="001A58B3" w:rsidP="00CD55BA">
      <w:pPr>
        <w:rPr>
          <w:rFonts w:eastAsia="Palatino Linotype" w:cs="Palatino Linotype"/>
        </w:rPr>
      </w:pPr>
    </w:p>
    <w:p w14:paraId="04E42DFE" w14:textId="573F1198" w:rsidR="001A58B3" w:rsidRPr="00CD55BA" w:rsidRDefault="001A58B3" w:rsidP="00CD55BA">
      <w:pPr>
        <w:rPr>
          <w:rFonts w:eastAsia="Palatino Linotype" w:cs="Palatino Linotype"/>
        </w:rPr>
      </w:pPr>
      <w:r w:rsidRPr="00CD55B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D55BA">
        <w:rPr>
          <w:rFonts w:eastAsia="Palatino Linotype" w:cs="Palatino Linotype"/>
        </w:rPr>
        <w:t>, s</w:t>
      </w:r>
      <w:r w:rsidRPr="00CD55BA">
        <w:rPr>
          <w:rFonts w:eastAsia="Palatino Linotype" w:cs="Palatino Linotype"/>
        </w:rPr>
        <w:t xml:space="preserve">iempre y cuando no se trate de información reservada o </w:t>
      </w:r>
      <w:r w:rsidR="00331F35" w:rsidRPr="00CD55BA">
        <w:rPr>
          <w:rFonts w:eastAsia="Palatino Linotype" w:cs="Palatino Linotype"/>
        </w:rPr>
        <w:t>confidencial.</w:t>
      </w:r>
    </w:p>
    <w:p w14:paraId="40C5219F" w14:textId="77777777" w:rsidR="001A58B3" w:rsidRPr="00CD55BA" w:rsidRDefault="001A58B3" w:rsidP="00CD55BA">
      <w:pPr>
        <w:rPr>
          <w:rFonts w:eastAsia="Palatino Linotype" w:cs="Palatino Linotype"/>
        </w:rPr>
      </w:pPr>
    </w:p>
    <w:p w14:paraId="2E629608" w14:textId="01727E15" w:rsidR="00C049E2" w:rsidRPr="00CD55BA" w:rsidRDefault="006067C7" w:rsidP="00CD55BA">
      <w:pPr>
        <w:rPr>
          <w:rFonts w:eastAsia="Palatino Linotype"/>
        </w:rPr>
      </w:pPr>
      <w:bookmarkStart w:id="31" w:name="_heading=h.2s8eyo1" w:colFirst="0" w:colLast="0"/>
      <w:bookmarkEnd w:id="31"/>
      <w:r w:rsidRPr="00CD55BA">
        <w:rPr>
          <w:rFonts w:eastAsia="Palatino Linotype"/>
        </w:rPr>
        <w:t>Con base en lo anterior</w:t>
      </w:r>
      <w:r w:rsidR="00B22A80" w:rsidRPr="00CD55BA">
        <w:rPr>
          <w:rFonts w:eastAsia="Palatino Linotype"/>
        </w:rPr>
        <w:t>, se considera que</w:t>
      </w:r>
      <w:r w:rsidR="00C049E2" w:rsidRPr="00CD55BA">
        <w:rPr>
          <w:rFonts w:eastAsia="Palatino Linotype"/>
        </w:rPr>
        <w:t xml:space="preserve"> </w:t>
      </w:r>
      <w:r w:rsidR="00B22A80" w:rsidRPr="00CD55BA">
        <w:rPr>
          <w:rFonts w:eastAsia="Palatino Linotype"/>
          <w:b/>
          <w:bCs/>
        </w:rPr>
        <w:t>EL</w:t>
      </w:r>
      <w:r w:rsidR="00C049E2" w:rsidRPr="00CD55BA">
        <w:rPr>
          <w:rFonts w:eastAsia="Palatino Linotype"/>
        </w:rPr>
        <w:t xml:space="preserve"> </w:t>
      </w:r>
      <w:r w:rsidR="00C049E2" w:rsidRPr="00CD55BA">
        <w:rPr>
          <w:rFonts w:eastAsia="Palatino Linotype"/>
          <w:b/>
        </w:rPr>
        <w:t>SUJETO OBLIGADO</w:t>
      </w:r>
      <w:r w:rsidR="00C049E2" w:rsidRPr="00CD55BA">
        <w:rPr>
          <w:rFonts w:eastAsia="Palatino Linotype"/>
        </w:rPr>
        <w:t xml:space="preserve"> </w:t>
      </w:r>
      <w:r w:rsidR="00B22A80" w:rsidRPr="00CD55BA">
        <w:rPr>
          <w:rFonts w:eastAsia="Palatino Linotype"/>
        </w:rPr>
        <w:t xml:space="preserve">se </w:t>
      </w:r>
      <w:r w:rsidR="00717E59" w:rsidRPr="00CD55BA">
        <w:rPr>
          <w:rFonts w:eastAsia="Palatino Linotype"/>
        </w:rPr>
        <w:t>encontraba</w:t>
      </w:r>
      <w:r w:rsidR="00B22A80" w:rsidRPr="00CD55BA">
        <w:rPr>
          <w:rFonts w:eastAsia="Palatino Linotype"/>
        </w:rPr>
        <w:t xml:space="preserve"> compelido a</w:t>
      </w:r>
      <w:r w:rsidR="00C049E2" w:rsidRPr="00CD55BA">
        <w:rPr>
          <w:rFonts w:eastAsia="Palatino Linotype"/>
        </w:rPr>
        <w:t xml:space="preserve"> atender la solicitud de acceso a la información </w:t>
      </w:r>
      <w:r w:rsidR="00B22A80" w:rsidRPr="00CD55BA">
        <w:rPr>
          <w:rFonts w:eastAsia="Palatino Linotype"/>
        </w:rPr>
        <w:t xml:space="preserve">realizada por </w:t>
      </w:r>
      <w:r w:rsidR="00B22A80" w:rsidRPr="00CD55BA">
        <w:rPr>
          <w:rFonts w:eastAsia="Palatino Linotype"/>
          <w:b/>
          <w:bCs/>
        </w:rPr>
        <w:t>LA PARTE RECURRENTE</w:t>
      </w:r>
      <w:r w:rsidR="00331F35" w:rsidRPr="00CD55BA">
        <w:rPr>
          <w:rFonts w:eastAsia="Palatino Linotype"/>
        </w:rPr>
        <w:t>.</w:t>
      </w:r>
    </w:p>
    <w:p w14:paraId="1611F147" w14:textId="77777777" w:rsidR="00BD5A7C" w:rsidRPr="00CD55BA" w:rsidRDefault="00BD5A7C" w:rsidP="00CD55BA">
      <w:pPr>
        <w:rPr>
          <w:rFonts w:eastAsia="Palatino Linotype"/>
        </w:rPr>
      </w:pPr>
    </w:p>
    <w:p w14:paraId="51A0E8B4" w14:textId="676DCA47" w:rsidR="00664420" w:rsidRPr="00CD55BA" w:rsidRDefault="00C71CEF" w:rsidP="00CD55BA">
      <w:pPr>
        <w:pStyle w:val="Ttulo3"/>
        <w:rPr>
          <w:rFonts w:eastAsia="Calibri"/>
          <w:lang w:eastAsia="es-ES_tradnl"/>
        </w:rPr>
      </w:pPr>
      <w:bookmarkStart w:id="32" w:name="_Toc205972607"/>
      <w:r w:rsidRPr="00CD55BA">
        <w:rPr>
          <w:rFonts w:eastAsia="Calibri"/>
          <w:lang w:eastAsia="es-ES_tradnl"/>
        </w:rPr>
        <w:t>b)</w:t>
      </w:r>
      <w:r w:rsidR="00A53315" w:rsidRPr="00CD55BA">
        <w:rPr>
          <w:rFonts w:eastAsia="Calibri"/>
          <w:lang w:eastAsia="es-ES_tradnl"/>
        </w:rPr>
        <w:t xml:space="preserve"> </w:t>
      </w:r>
      <w:r w:rsidR="00A21A20" w:rsidRPr="00CD55BA">
        <w:rPr>
          <w:rFonts w:eastAsia="Calibri"/>
          <w:lang w:eastAsia="es-ES_tradnl"/>
        </w:rPr>
        <w:t>Controversia a resolver</w:t>
      </w:r>
      <w:bookmarkEnd w:id="32"/>
    </w:p>
    <w:p w14:paraId="55E80B9D" w14:textId="4FB401F4" w:rsidR="00523605" w:rsidRPr="00CD55BA" w:rsidRDefault="00664420" w:rsidP="00CD55BA">
      <w:pPr>
        <w:rPr>
          <w:rFonts w:eastAsia="Calibri"/>
          <w:lang w:eastAsia="es-ES_tradnl"/>
        </w:rPr>
      </w:pPr>
      <w:r w:rsidRPr="00CD55B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CD55BA">
        <w:rPr>
          <w:rFonts w:eastAsia="Calibri"/>
          <w:b/>
          <w:bCs/>
          <w:lang w:eastAsia="es-ES_tradnl"/>
        </w:rPr>
        <w:t>LA PARTE RECURRENTE</w:t>
      </w:r>
      <w:r w:rsidR="004565C2" w:rsidRPr="00CD55BA">
        <w:rPr>
          <w:rFonts w:eastAsia="Calibri"/>
          <w:lang w:eastAsia="es-ES_tradnl"/>
        </w:rPr>
        <w:t xml:space="preserve"> solicitó</w:t>
      </w:r>
      <w:r w:rsidR="00CA0628" w:rsidRPr="00CD55BA">
        <w:rPr>
          <w:rFonts w:eastAsia="Calibri"/>
          <w:lang w:eastAsia="es-ES_tradnl"/>
        </w:rPr>
        <w:t xml:space="preserve"> </w:t>
      </w:r>
      <w:r w:rsidR="00523605" w:rsidRPr="00CD55BA">
        <w:rPr>
          <w:rFonts w:eastAsia="Calibri"/>
          <w:lang w:eastAsia="es-ES_tradnl"/>
        </w:rPr>
        <w:t xml:space="preserve">el diario general de pólizas de los meses de enero, a diciembre de dos mil veinticuatro. </w:t>
      </w:r>
    </w:p>
    <w:p w14:paraId="574536EA" w14:textId="77777777" w:rsidR="00523605" w:rsidRPr="00CD55BA" w:rsidRDefault="00523605" w:rsidP="00CD55BA">
      <w:pPr>
        <w:rPr>
          <w:rFonts w:eastAsia="Calibri"/>
          <w:lang w:eastAsia="es-ES_tradnl"/>
        </w:rPr>
      </w:pPr>
    </w:p>
    <w:p w14:paraId="2D720C8D" w14:textId="4250CB6A" w:rsidR="00523605" w:rsidRPr="00CD55BA" w:rsidRDefault="00E11AA0" w:rsidP="00CD55BA">
      <w:pPr>
        <w:tabs>
          <w:tab w:val="left" w:pos="4962"/>
        </w:tabs>
        <w:contextualSpacing/>
        <w:rPr>
          <w:rFonts w:cs="Tahoma"/>
          <w:szCs w:val="22"/>
        </w:rPr>
      </w:pPr>
      <w:r w:rsidRPr="00CD55BA">
        <w:rPr>
          <w:rFonts w:eastAsiaTheme="minorHAnsi" w:cs="Tahoma"/>
          <w:bCs/>
          <w:iCs/>
          <w:szCs w:val="22"/>
          <w:lang w:eastAsia="en-US"/>
        </w:rPr>
        <w:t>Al respecto</w:t>
      </w:r>
      <w:r w:rsidR="00664420" w:rsidRPr="00CD55BA">
        <w:rPr>
          <w:rFonts w:eastAsiaTheme="minorHAnsi" w:cs="Tahoma"/>
          <w:bCs/>
          <w:iCs/>
          <w:szCs w:val="22"/>
          <w:lang w:eastAsia="en-US"/>
        </w:rPr>
        <w:t xml:space="preserve"> </w:t>
      </w:r>
      <w:r w:rsidR="005D5A50" w:rsidRPr="00CD55BA">
        <w:rPr>
          <w:rFonts w:eastAsiaTheme="minorHAnsi" w:cs="Tahoma"/>
          <w:b/>
          <w:iCs/>
          <w:szCs w:val="22"/>
          <w:lang w:eastAsia="en-US"/>
        </w:rPr>
        <w:t>EL SUJETO OBLIGADO</w:t>
      </w:r>
      <w:r w:rsidRPr="00CD55BA">
        <w:rPr>
          <w:rFonts w:eastAsiaTheme="minorHAnsi" w:cs="Tahoma"/>
          <w:bCs/>
          <w:iCs/>
          <w:szCs w:val="22"/>
          <w:lang w:eastAsia="en-US"/>
        </w:rPr>
        <w:t xml:space="preserve"> </w:t>
      </w:r>
      <w:r w:rsidR="001E7615" w:rsidRPr="00CD55BA">
        <w:rPr>
          <w:rFonts w:eastAsiaTheme="minorHAnsi" w:cs="Tahoma"/>
          <w:bCs/>
          <w:iCs/>
          <w:szCs w:val="22"/>
          <w:lang w:eastAsia="en-US"/>
        </w:rPr>
        <w:t>adjuntó</w:t>
      </w:r>
      <w:r w:rsidR="00B85975" w:rsidRPr="00CD55BA">
        <w:rPr>
          <w:rFonts w:eastAsiaTheme="minorHAnsi" w:cs="Tahoma"/>
          <w:bCs/>
          <w:iCs/>
          <w:szCs w:val="22"/>
          <w:lang w:eastAsia="en-US"/>
        </w:rPr>
        <w:t xml:space="preserve"> </w:t>
      </w:r>
      <w:r w:rsidR="00523605" w:rsidRPr="00CD55BA">
        <w:rPr>
          <w:rFonts w:eastAsiaTheme="minorHAnsi" w:cs="Tahoma"/>
          <w:bCs/>
          <w:iCs/>
          <w:szCs w:val="22"/>
          <w:lang w:eastAsia="en-US"/>
        </w:rPr>
        <w:t xml:space="preserve">oficio por medio del cual el Tesorero Municipal medularmente refirió no haber </w:t>
      </w:r>
      <w:r w:rsidR="00523605" w:rsidRPr="00CD55BA">
        <w:rPr>
          <w:rFonts w:cs="Tahoma"/>
          <w:szCs w:val="22"/>
        </w:rPr>
        <w:t xml:space="preserve">generado la información solicitada. </w:t>
      </w:r>
    </w:p>
    <w:p w14:paraId="232E9EB3" w14:textId="77777777" w:rsidR="00B85975" w:rsidRPr="00CD55BA" w:rsidRDefault="00B85975" w:rsidP="00CD55BA">
      <w:pPr>
        <w:tabs>
          <w:tab w:val="left" w:pos="4962"/>
        </w:tabs>
        <w:contextualSpacing/>
        <w:rPr>
          <w:rFonts w:eastAsiaTheme="minorHAnsi" w:cs="Tahoma"/>
          <w:bCs/>
          <w:iCs/>
          <w:szCs w:val="22"/>
          <w:lang w:eastAsia="en-US"/>
        </w:rPr>
      </w:pPr>
    </w:p>
    <w:p w14:paraId="7B62F4F7" w14:textId="3F25CD68" w:rsidR="00DA54C1" w:rsidRPr="00CD55BA" w:rsidRDefault="00CF7586" w:rsidP="00CD55BA">
      <w:pPr>
        <w:tabs>
          <w:tab w:val="left" w:pos="4962"/>
        </w:tabs>
        <w:contextualSpacing/>
        <w:rPr>
          <w:rFonts w:eastAsiaTheme="minorHAnsi" w:cs="Tahoma"/>
          <w:bCs/>
          <w:iCs/>
          <w:szCs w:val="22"/>
          <w:lang w:eastAsia="en-US"/>
        </w:rPr>
      </w:pPr>
      <w:r w:rsidRPr="00CD55BA">
        <w:rPr>
          <w:rFonts w:eastAsiaTheme="minorHAnsi" w:cs="Tahoma"/>
          <w:bCs/>
          <w:iCs/>
          <w:szCs w:val="22"/>
          <w:lang w:eastAsia="en-US"/>
        </w:rPr>
        <w:t xml:space="preserve">Ahora bien, en la interposición del presente recurso </w:t>
      </w:r>
      <w:r w:rsidRPr="00CD55BA">
        <w:rPr>
          <w:rFonts w:eastAsiaTheme="minorHAnsi" w:cs="Tahoma"/>
          <w:b/>
          <w:iCs/>
          <w:szCs w:val="22"/>
          <w:lang w:eastAsia="en-US"/>
        </w:rPr>
        <w:t>LA PARTE RECURRENTE</w:t>
      </w:r>
      <w:r w:rsidR="00237120" w:rsidRPr="00CD55BA">
        <w:rPr>
          <w:rFonts w:eastAsiaTheme="minorHAnsi" w:cs="Tahoma"/>
          <w:bCs/>
          <w:iCs/>
          <w:szCs w:val="22"/>
          <w:lang w:eastAsia="en-US"/>
        </w:rPr>
        <w:t xml:space="preserve"> s</w:t>
      </w:r>
      <w:r w:rsidR="00E11AA0" w:rsidRPr="00CD55BA">
        <w:rPr>
          <w:rFonts w:eastAsiaTheme="minorHAnsi" w:cs="Tahoma"/>
          <w:bCs/>
          <w:iCs/>
          <w:szCs w:val="22"/>
          <w:lang w:eastAsia="en-US"/>
        </w:rPr>
        <w:t xml:space="preserve">e inconformó </w:t>
      </w:r>
      <w:r w:rsidR="00523605" w:rsidRPr="00CD55BA">
        <w:rPr>
          <w:rFonts w:eastAsiaTheme="minorHAnsi" w:cs="Tahoma"/>
          <w:bCs/>
          <w:iCs/>
          <w:szCs w:val="22"/>
          <w:lang w:eastAsia="en-US"/>
        </w:rPr>
        <w:t>por la negativa de entrega de la información requerida</w:t>
      </w:r>
      <w:r w:rsidR="0002630F" w:rsidRPr="00CD55BA">
        <w:rPr>
          <w:rFonts w:eastAsiaTheme="minorHAnsi" w:cs="Tahoma"/>
          <w:bCs/>
          <w:iCs/>
          <w:szCs w:val="22"/>
          <w:lang w:eastAsia="en-US"/>
        </w:rPr>
        <w:t xml:space="preserve">. </w:t>
      </w:r>
    </w:p>
    <w:p w14:paraId="62D736AD" w14:textId="77777777" w:rsidR="00DA54C1" w:rsidRPr="00CD55BA" w:rsidRDefault="00DA54C1" w:rsidP="00CD55BA">
      <w:pPr>
        <w:tabs>
          <w:tab w:val="left" w:pos="4962"/>
        </w:tabs>
        <w:contextualSpacing/>
        <w:rPr>
          <w:rFonts w:eastAsiaTheme="minorHAnsi" w:cs="Tahoma"/>
          <w:bCs/>
          <w:iCs/>
          <w:szCs w:val="22"/>
          <w:lang w:eastAsia="en-US"/>
        </w:rPr>
      </w:pPr>
    </w:p>
    <w:p w14:paraId="0BF46499" w14:textId="35E7B763" w:rsidR="00523605" w:rsidRPr="00CD55BA" w:rsidRDefault="00CA0628" w:rsidP="00CD55BA">
      <w:pPr>
        <w:pStyle w:val="Prrafodelista"/>
        <w:widowControl w:val="0"/>
        <w:autoSpaceDE w:val="0"/>
        <w:autoSpaceDN w:val="0"/>
        <w:adjustRightInd w:val="0"/>
        <w:ind w:left="0"/>
        <w:rPr>
          <w:rFonts w:cs="Tahoma"/>
          <w:szCs w:val="24"/>
        </w:rPr>
      </w:pPr>
      <w:r w:rsidRPr="00CD55BA">
        <w:rPr>
          <w:rFonts w:eastAsiaTheme="minorHAnsi" w:cs="Tahoma"/>
          <w:bCs/>
          <w:iCs/>
          <w:szCs w:val="22"/>
          <w:lang w:eastAsia="en-US"/>
        </w:rPr>
        <w:t>Asimismo</w:t>
      </w:r>
      <w:r w:rsidRPr="00CD55BA">
        <w:t xml:space="preserve">, es importante señalar que </w:t>
      </w:r>
      <w:r w:rsidRPr="00CD55BA">
        <w:rPr>
          <w:b/>
          <w:iCs/>
        </w:rPr>
        <w:t>LA PARTE RECURRENTE</w:t>
      </w:r>
      <w:r w:rsidRPr="00CD55BA">
        <w:rPr>
          <w:bCs/>
          <w:iCs/>
        </w:rPr>
        <w:t xml:space="preserve"> </w:t>
      </w:r>
      <w:r w:rsidRPr="00CD55BA">
        <w:t xml:space="preserve">no realizó manifestaciones, alegatos o pruebas y por su parte </w:t>
      </w:r>
      <w:r w:rsidRPr="00CD55BA">
        <w:rPr>
          <w:b/>
        </w:rPr>
        <w:t>EL SUJETO OBLIGADO</w:t>
      </w:r>
      <w:r w:rsidR="00523605" w:rsidRPr="00CD55BA">
        <w:rPr>
          <w:rFonts w:cs="Arial"/>
        </w:rPr>
        <w:t xml:space="preserve">, mediante </w:t>
      </w:r>
      <w:r w:rsidRPr="00CD55BA">
        <w:t>Informe Justificado</w:t>
      </w:r>
      <w:r w:rsidR="00523605" w:rsidRPr="00CD55BA">
        <w:t xml:space="preserve"> reiteró </w:t>
      </w:r>
      <w:r w:rsidR="00523605" w:rsidRPr="00CD55BA">
        <w:rPr>
          <w:rFonts w:cs="Tahoma"/>
          <w:szCs w:val="24"/>
        </w:rPr>
        <w:t xml:space="preserve">que no contaba con la información y que la misma sólo fue generada para el ente fiscalizador para cubrir las necesidades del auditor. </w:t>
      </w:r>
    </w:p>
    <w:p w14:paraId="1FF75127" w14:textId="77777777" w:rsidR="009E0652" w:rsidRPr="00CD55BA" w:rsidRDefault="009E0652" w:rsidP="00CD55BA"/>
    <w:p w14:paraId="42CD9852" w14:textId="64594E97" w:rsidR="009E0652" w:rsidRPr="00CD55BA" w:rsidRDefault="009E0652" w:rsidP="00CD55BA">
      <w:pPr>
        <w:tabs>
          <w:tab w:val="left" w:pos="4962"/>
        </w:tabs>
        <w:contextualSpacing/>
        <w:rPr>
          <w:rFonts w:eastAsiaTheme="minorHAnsi" w:cs="Tahoma"/>
          <w:bCs/>
          <w:iCs/>
          <w:szCs w:val="22"/>
          <w:lang w:eastAsia="en-US"/>
        </w:rPr>
      </w:pPr>
      <w:r w:rsidRPr="00CD55BA">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CD55BA">
        <w:rPr>
          <w:rFonts w:eastAsiaTheme="minorHAnsi" w:cs="Tahoma"/>
          <w:b/>
          <w:bCs/>
          <w:iCs/>
          <w:szCs w:val="22"/>
          <w:lang w:eastAsia="en-US"/>
        </w:rPr>
        <w:t>LA PARTE RECURRENTE</w:t>
      </w:r>
      <w:r w:rsidRPr="00CD55BA">
        <w:rPr>
          <w:rFonts w:eastAsiaTheme="minorHAnsi" w:cs="Tahoma"/>
          <w:bCs/>
          <w:iCs/>
          <w:szCs w:val="22"/>
          <w:lang w:eastAsia="en-US"/>
        </w:rPr>
        <w:t>.</w:t>
      </w:r>
    </w:p>
    <w:p w14:paraId="5128D7A9" w14:textId="77777777" w:rsidR="009E0652" w:rsidRPr="00CD55BA" w:rsidRDefault="009E0652" w:rsidP="00CD55BA">
      <w:pPr>
        <w:tabs>
          <w:tab w:val="left" w:pos="4962"/>
        </w:tabs>
        <w:contextualSpacing/>
        <w:rPr>
          <w:rFonts w:eastAsiaTheme="minorHAnsi" w:cs="Tahoma"/>
          <w:bCs/>
          <w:iCs/>
          <w:szCs w:val="22"/>
          <w:lang w:eastAsia="en-US"/>
        </w:rPr>
      </w:pPr>
    </w:p>
    <w:p w14:paraId="414FD2D5" w14:textId="4408E416" w:rsidR="00664420" w:rsidRPr="00CD55BA" w:rsidRDefault="00A21A20" w:rsidP="00CD55BA">
      <w:pPr>
        <w:pStyle w:val="Ttulo3"/>
      </w:pPr>
      <w:bookmarkStart w:id="33" w:name="_Toc205972608"/>
      <w:r w:rsidRPr="00CD55BA">
        <w:t>c)</w:t>
      </w:r>
      <w:r w:rsidR="00664420" w:rsidRPr="00CD55BA">
        <w:t xml:space="preserve"> </w:t>
      </w:r>
      <w:r w:rsidRPr="00CD55BA">
        <w:t>Estudio de la controversia</w:t>
      </w:r>
      <w:bookmarkEnd w:id="33"/>
    </w:p>
    <w:p w14:paraId="3102A667" w14:textId="77777777" w:rsidR="00523605" w:rsidRPr="00CD55BA" w:rsidRDefault="00523605" w:rsidP="00CD55BA">
      <w:r w:rsidRPr="00CD55BA">
        <w:t>Primero, se considera necesario precisar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4DB69828" w14:textId="77777777" w:rsidR="00523605" w:rsidRPr="00CD55BA" w:rsidRDefault="00523605" w:rsidP="00CD55BA">
      <w:pPr>
        <w:rPr>
          <w:rFonts w:cs="Arial"/>
        </w:rPr>
      </w:pPr>
    </w:p>
    <w:p w14:paraId="70F80F18" w14:textId="77777777" w:rsidR="00523605" w:rsidRPr="00CD55BA" w:rsidRDefault="00523605" w:rsidP="00CD55BA">
      <w:pPr>
        <w:spacing w:line="240" w:lineRule="auto"/>
        <w:ind w:left="567" w:right="567"/>
        <w:contextualSpacing/>
        <w:rPr>
          <w:rFonts w:eastAsia="Arial Unicode MS"/>
          <w:i/>
          <w:kern w:val="28"/>
          <w:szCs w:val="56"/>
        </w:rPr>
      </w:pPr>
      <w:r w:rsidRPr="00CD55BA">
        <w:rPr>
          <w:rFonts w:eastAsia="Arial Unicode MS"/>
          <w:i/>
          <w:kern w:val="28"/>
          <w:szCs w:val="56"/>
        </w:rPr>
        <w:t>“</w:t>
      </w:r>
      <w:r w:rsidRPr="00CD55BA">
        <w:rPr>
          <w:rFonts w:eastAsia="Arial Unicode MS"/>
          <w:b/>
          <w:i/>
          <w:kern w:val="28"/>
          <w:szCs w:val="56"/>
        </w:rPr>
        <w:t>Artículo 342.-</w:t>
      </w:r>
      <w:r w:rsidRPr="00CD55BA">
        <w:rPr>
          <w:rFonts w:eastAsia="Arial Unicode MS"/>
          <w:i/>
          <w:kern w:val="28"/>
          <w:szCs w:val="56"/>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7680061" w14:textId="77777777" w:rsidR="00523605" w:rsidRPr="00CD55BA" w:rsidRDefault="00523605" w:rsidP="00CD55BA">
      <w:pPr>
        <w:rPr>
          <w:rFonts w:eastAsia="Arial Unicode MS"/>
        </w:rPr>
      </w:pPr>
    </w:p>
    <w:p w14:paraId="6BE38265" w14:textId="77777777" w:rsidR="00523605" w:rsidRPr="00CD55BA" w:rsidRDefault="00523605" w:rsidP="00CD55BA">
      <w:pPr>
        <w:spacing w:line="240" w:lineRule="auto"/>
        <w:ind w:left="567" w:right="567"/>
        <w:contextualSpacing/>
        <w:rPr>
          <w:rFonts w:eastAsia="Arial Unicode MS"/>
          <w:b/>
          <w:i/>
          <w:kern w:val="28"/>
          <w:szCs w:val="56"/>
        </w:rPr>
      </w:pPr>
      <w:r w:rsidRPr="00CD55BA">
        <w:rPr>
          <w:rFonts w:eastAsia="Arial Unicode MS"/>
          <w:b/>
          <w:i/>
          <w:kern w:val="28"/>
          <w:szCs w:val="56"/>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120E51F5" w14:textId="77777777" w:rsidR="00523605" w:rsidRPr="00CD55BA" w:rsidRDefault="00523605" w:rsidP="00CD55BA">
      <w:pPr>
        <w:ind w:left="851" w:right="901"/>
        <w:rPr>
          <w:rFonts w:eastAsia="Arial Unicode MS" w:cs="Arial"/>
          <w:b/>
          <w:i/>
        </w:rPr>
      </w:pPr>
    </w:p>
    <w:p w14:paraId="4A6AE1D2" w14:textId="77777777" w:rsidR="00523605" w:rsidRPr="00CD55BA" w:rsidRDefault="00523605" w:rsidP="00CD55BA">
      <w:pPr>
        <w:spacing w:line="240" w:lineRule="auto"/>
        <w:ind w:left="567" w:right="567"/>
        <w:contextualSpacing/>
        <w:rPr>
          <w:i/>
          <w:kern w:val="28"/>
          <w:szCs w:val="56"/>
        </w:rPr>
      </w:pPr>
      <w:r w:rsidRPr="00CD55BA">
        <w:rPr>
          <w:b/>
          <w:i/>
          <w:kern w:val="28"/>
          <w:szCs w:val="56"/>
        </w:rPr>
        <w:lastRenderedPageBreak/>
        <w:t>Artículo 343.-</w:t>
      </w:r>
      <w:r w:rsidRPr="00CD55BA">
        <w:rPr>
          <w:i/>
          <w:kern w:val="28"/>
          <w:szCs w:val="56"/>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01660983" w14:textId="77777777" w:rsidR="00523605" w:rsidRPr="00CD55BA" w:rsidRDefault="00523605" w:rsidP="00CD55BA">
      <w:pPr>
        <w:spacing w:line="240" w:lineRule="auto"/>
        <w:ind w:left="567" w:right="567"/>
        <w:contextualSpacing/>
        <w:rPr>
          <w:rFonts w:eastAsia="Arial Unicode MS" w:cs="Arial"/>
          <w:b/>
          <w:i/>
          <w:kern w:val="28"/>
          <w:szCs w:val="56"/>
        </w:rPr>
      </w:pPr>
      <w:r w:rsidRPr="00CD55BA">
        <w:rPr>
          <w:i/>
          <w:kern w:val="28"/>
          <w:szCs w:val="56"/>
        </w:rPr>
        <w:t>El sistema de contabilidad sobre base acumulativa total, se sustentará en las normas emitidas por el Consejo Nacional de Armonización Contable.</w:t>
      </w:r>
    </w:p>
    <w:p w14:paraId="4287A05C" w14:textId="77777777" w:rsidR="00523605" w:rsidRPr="00CD55BA" w:rsidRDefault="00523605" w:rsidP="00CD55BA">
      <w:pPr>
        <w:spacing w:line="240" w:lineRule="auto"/>
        <w:ind w:left="567" w:right="567"/>
        <w:contextualSpacing/>
        <w:rPr>
          <w:b/>
          <w:i/>
          <w:kern w:val="28"/>
          <w:szCs w:val="56"/>
        </w:rPr>
      </w:pPr>
    </w:p>
    <w:p w14:paraId="681FC4FC" w14:textId="77777777" w:rsidR="00523605" w:rsidRPr="00CD55BA" w:rsidRDefault="00523605" w:rsidP="00CD55BA">
      <w:pPr>
        <w:spacing w:line="240" w:lineRule="auto"/>
        <w:ind w:left="567" w:right="567"/>
        <w:contextualSpacing/>
        <w:rPr>
          <w:i/>
          <w:kern w:val="28"/>
          <w:szCs w:val="56"/>
        </w:rPr>
      </w:pPr>
      <w:r w:rsidRPr="00CD55BA">
        <w:rPr>
          <w:b/>
          <w:i/>
          <w:kern w:val="28"/>
          <w:szCs w:val="56"/>
        </w:rPr>
        <w:t>Artículo 344.-</w:t>
      </w:r>
      <w:r w:rsidRPr="00CD55BA">
        <w:rPr>
          <w:i/>
          <w:kern w:val="28"/>
          <w:szCs w:val="56"/>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25D4DB81" w14:textId="77777777" w:rsidR="00523605" w:rsidRPr="00CD55BA" w:rsidRDefault="00523605" w:rsidP="00CD55BA">
      <w:pPr>
        <w:spacing w:line="240" w:lineRule="auto"/>
        <w:ind w:left="567" w:right="567"/>
        <w:contextualSpacing/>
        <w:rPr>
          <w:rFonts w:eastAsia="Arial Unicode MS" w:cs="Arial"/>
          <w:i/>
          <w:kern w:val="28"/>
          <w:szCs w:val="56"/>
        </w:rPr>
      </w:pPr>
      <w:r w:rsidRPr="00CD55BA">
        <w:rPr>
          <w:i/>
          <w:kern w:val="28"/>
          <w:szCs w:val="56"/>
        </w:rPr>
        <w:t>En el caso de los Municipios, dicha obligación corresponderá a la Tesorería.</w:t>
      </w:r>
      <w:r w:rsidRPr="00CD55BA">
        <w:rPr>
          <w:rFonts w:eastAsia="Arial Unicode MS" w:cs="Arial"/>
          <w:i/>
          <w:kern w:val="28"/>
          <w:szCs w:val="56"/>
        </w:rPr>
        <w:t xml:space="preserve">Tratándose de documentos de carácter histórico, se estará a lo dispuesto por la legislación de la materia. </w:t>
      </w:r>
    </w:p>
    <w:p w14:paraId="71F5A32D" w14:textId="77777777" w:rsidR="00523605" w:rsidRPr="00CD55BA" w:rsidRDefault="00523605" w:rsidP="00CD55BA">
      <w:pPr>
        <w:ind w:left="851" w:right="901"/>
        <w:rPr>
          <w:rFonts w:eastAsia="Arial Unicode MS" w:cs="Arial"/>
          <w:b/>
          <w:i/>
        </w:rPr>
      </w:pPr>
    </w:p>
    <w:p w14:paraId="7781E1D7" w14:textId="77777777" w:rsidR="00523605" w:rsidRPr="00CD55BA" w:rsidRDefault="00523605" w:rsidP="00CD55BA">
      <w:pPr>
        <w:spacing w:line="240" w:lineRule="auto"/>
        <w:ind w:left="567" w:right="567"/>
        <w:contextualSpacing/>
        <w:rPr>
          <w:i/>
          <w:kern w:val="28"/>
          <w:szCs w:val="56"/>
        </w:rPr>
      </w:pPr>
      <w:r w:rsidRPr="00CD55BA">
        <w:rPr>
          <w:b/>
          <w:i/>
          <w:kern w:val="28"/>
          <w:szCs w:val="56"/>
        </w:rPr>
        <w:t>Artículo 345.-</w:t>
      </w:r>
      <w:r w:rsidRPr="00CD55BA">
        <w:rPr>
          <w:i/>
          <w:kern w:val="28"/>
          <w:szCs w:val="56"/>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4CC1F5E8" w14:textId="77777777" w:rsidR="00523605" w:rsidRPr="00CD55BA" w:rsidRDefault="00523605" w:rsidP="00CD55BA"/>
    <w:p w14:paraId="4803A869" w14:textId="77777777" w:rsidR="00523605" w:rsidRPr="00CD55BA" w:rsidRDefault="00523605" w:rsidP="00CD55BA">
      <w:pPr>
        <w:spacing w:line="240" w:lineRule="auto"/>
        <w:ind w:left="567" w:right="567"/>
        <w:contextualSpacing/>
        <w:rPr>
          <w:rFonts w:eastAsia="Arial Unicode MS"/>
          <w:i/>
          <w:kern w:val="28"/>
          <w:szCs w:val="56"/>
        </w:rPr>
      </w:pPr>
      <w:r w:rsidRPr="00CD55BA">
        <w:rPr>
          <w:i/>
          <w:kern w:val="28"/>
          <w:szCs w:val="56"/>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CD55BA">
        <w:rPr>
          <w:rFonts w:eastAsia="Arial Unicode MS"/>
          <w:i/>
          <w:kern w:val="28"/>
          <w:szCs w:val="56"/>
        </w:rPr>
        <w:t xml:space="preserve"> (Énfasis añadido)</w:t>
      </w:r>
    </w:p>
    <w:p w14:paraId="4F60A9E6" w14:textId="77777777" w:rsidR="00523605" w:rsidRPr="00CD55BA" w:rsidRDefault="00523605" w:rsidP="00CD55BA">
      <w:pPr>
        <w:ind w:left="709"/>
        <w:rPr>
          <w:rFonts w:eastAsia="Arial Unicode MS" w:cs="Arial"/>
          <w:i/>
        </w:rPr>
      </w:pPr>
    </w:p>
    <w:p w14:paraId="4A62A9A8" w14:textId="77777777" w:rsidR="00523605" w:rsidRPr="00CD55BA" w:rsidRDefault="00523605" w:rsidP="00CD55BA">
      <w:pPr>
        <w:rPr>
          <w:rFonts w:cs="Arial"/>
        </w:rPr>
      </w:pPr>
      <w:r w:rsidRPr="00CD55BA">
        <w:rPr>
          <w:rFonts w:cs="Arial"/>
        </w:rPr>
        <w:lastRenderedPageBreak/>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46136859" w14:textId="77777777" w:rsidR="00523605" w:rsidRPr="00CD55BA" w:rsidRDefault="00523605" w:rsidP="00CD55BA">
      <w:pPr>
        <w:rPr>
          <w:rFonts w:cs="Arial"/>
        </w:rPr>
      </w:pPr>
    </w:p>
    <w:p w14:paraId="719701C2" w14:textId="77777777" w:rsidR="00523605" w:rsidRPr="00CD55BA" w:rsidRDefault="00523605" w:rsidP="00CD55BA">
      <w:pPr>
        <w:rPr>
          <w:rFonts w:cs="Arial"/>
        </w:rPr>
      </w:pPr>
      <w:r w:rsidRPr="00CD55BA">
        <w:rPr>
          <w:rFonts w:cs="Arial"/>
        </w:rPr>
        <w:t>Asimismo, se establece que el sistema de contabilidad sobre base acumulativa total se sustentará en las normas emitidas por el Consejo Nacional de Armonización Contable.</w:t>
      </w:r>
    </w:p>
    <w:p w14:paraId="492B711A" w14:textId="77777777" w:rsidR="00523605" w:rsidRPr="00CD55BA" w:rsidRDefault="00523605" w:rsidP="00CD55BA">
      <w:pPr>
        <w:rPr>
          <w:rFonts w:cs="Arial"/>
        </w:rPr>
      </w:pPr>
    </w:p>
    <w:p w14:paraId="229ED594" w14:textId="77777777" w:rsidR="00523605" w:rsidRPr="00CD55BA" w:rsidRDefault="00523605" w:rsidP="00CD55BA">
      <w:pPr>
        <w:rPr>
          <w:rFonts w:cs="Arial"/>
          <w:b/>
        </w:rPr>
      </w:pPr>
      <w:r w:rsidRPr="00CD55BA">
        <w:rPr>
          <w:rFonts w:cs="Arial"/>
        </w:rPr>
        <w:t xml:space="preserve">Igualmente, los preceptos legales citados señalan que en el caso de los Municipios es la </w:t>
      </w:r>
      <w:r w:rsidRPr="00CD55BA">
        <w:rPr>
          <w:rFonts w:cs="Arial"/>
          <w:b/>
        </w:rPr>
        <w:t>Tesorería Municipal</w:t>
      </w:r>
      <w:r w:rsidRPr="00CD55BA">
        <w:rPr>
          <w:rFonts w:cs="Arial"/>
        </w:rPr>
        <w:t xml:space="preserve"> la unidad administrativa que registra contablemente el efecto patrimonial y presupuestal de las operaciones financieras que realizan, en </w:t>
      </w:r>
      <w:r w:rsidRPr="00CD55BA">
        <w:rPr>
          <w:rFonts w:cs="Arial"/>
          <w:b/>
        </w:rPr>
        <w:t>el momento en que ocurran, con base en el sistema y políticas de registro establecidas</w:t>
      </w:r>
      <w:r w:rsidRPr="00CD55BA">
        <w:rPr>
          <w:rFonts w:cs="Arial"/>
        </w:rPr>
        <w:t>.</w:t>
      </w:r>
    </w:p>
    <w:p w14:paraId="42744E28" w14:textId="77777777" w:rsidR="00523605" w:rsidRPr="00CD55BA" w:rsidRDefault="00523605" w:rsidP="00CD55BA">
      <w:pPr>
        <w:rPr>
          <w:rFonts w:cs="Arial"/>
        </w:rPr>
      </w:pPr>
    </w:p>
    <w:p w14:paraId="02E721A3" w14:textId="77777777" w:rsidR="00523605" w:rsidRPr="00CD55BA" w:rsidRDefault="00523605" w:rsidP="00CD55BA">
      <w:pPr>
        <w:rPr>
          <w:rFonts w:cs="Arial"/>
        </w:rPr>
      </w:pPr>
      <w:r w:rsidRPr="00CD55BA">
        <w:rPr>
          <w:rFonts w:cs="Arial"/>
        </w:rPr>
        <w:t xml:space="preserve">Cabe destacar, que el ordenamiento legal en cita establece que todo registro contable y presupuestal deberá estar soportado con los </w:t>
      </w:r>
      <w:r w:rsidRPr="00CD55BA">
        <w:rPr>
          <w:rFonts w:cs="Arial"/>
          <w:b/>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CD55BA">
        <w:rPr>
          <w:rFonts w:cs="Arial"/>
        </w:rPr>
        <w:t xml:space="preserve">, en el caso de los municipios, y a disposición del Órgano Superior de Fiscalización del Estado de México y de los Órganos de Control Interno, por un término de </w:t>
      </w:r>
      <w:r w:rsidRPr="00CD55BA">
        <w:rPr>
          <w:rFonts w:cs="Arial"/>
          <w:b/>
        </w:rPr>
        <w:t>seis años</w:t>
      </w:r>
      <w:r w:rsidRPr="00CD55BA">
        <w:rPr>
          <w:rFonts w:cs="Arial"/>
        </w:rPr>
        <w:t xml:space="preserve"> contados a partir del ejercicio presupuestal siguiente al que corresponda.</w:t>
      </w:r>
    </w:p>
    <w:p w14:paraId="78021A2A" w14:textId="77777777" w:rsidR="00523605" w:rsidRPr="00CD55BA" w:rsidRDefault="00523605" w:rsidP="00CD55BA"/>
    <w:p w14:paraId="03B2C70F" w14:textId="77777777" w:rsidR="00523605" w:rsidRPr="00CD55BA" w:rsidRDefault="00523605" w:rsidP="00CD55BA">
      <w:pPr>
        <w:rPr>
          <w:rFonts w:cs="Arial"/>
          <w:lang w:eastAsia="es-MX"/>
        </w:rPr>
      </w:pPr>
      <w:r w:rsidRPr="00CD55BA">
        <w:rPr>
          <w:rFonts w:cs="Arial"/>
          <w:lang w:eastAsia="es-MX"/>
        </w:rPr>
        <w:t xml:space="preserve">Respecto al tema materia de la solicitud, es de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w:t>
      </w:r>
      <w:r w:rsidRPr="00CD55BA">
        <w:rPr>
          <w:rFonts w:cs="Arial"/>
          <w:lang w:eastAsia="es-MX"/>
        </w:rPr>
        <w:lastRenderedPageBreak/>
        <w:t xml:space="preserve">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C8B2FFC" w14:textId="77777777" w:rsidR="00523605" w:rsidRPr="00CD55BA" w:rsidRDefault="00523605" w:rsidP="00CD55BA">
      <w:pPr>
        <w:rPr>
          <w:rFonts w:cs="Arial"/>
          <w:lang w:eastAsia="es-MX"/>
        </w:rPr>
      </w:pPr>
    </w:p>
    <w:p w14:paraId="02BCD6D4" w14:textId="77777777" w:rsidR="00523605" w:rsidRPr="00CD55BA" w:rsidRDefault="00523605" w:rsidP="00CD55BA">
      <w:pPr>
        <w:spacing w:line="240" w:lineRule="auto"/>
        <w:ind w:left="567" w:right="567"/>
        <w:contextualSpacing/>
        <w:rPr>
          <w:rFonts w:eastAsia="Arial Unicode MS"/>
          <w:i/>
          <w:kern w:val="28"/>
          <w:szCs w:val="56"/>
        </w:rPr>
      </w:pPr>
      <w:r w:rsidRPr="00CD55BA">
        <w:rPr>
          <w:rFonts w:eastAsia="Arial Unicode MS"/>
          <w:i/>
          <w:kern w:val="28"/>
          <w:szCs w:val="56"/>
        </w:rPr>
        <w:t>“</w:t>
      </w:r>
      <w:r w:rsidRPr="00CD55BA">
        <w:rPr>
          <w:rFonts w:eastAsia="Arial Unicode MS"/>
          <w:b/>
          <w:i/>
          <w:kern w:val="28"/>
          <w:szCs w:val="56"/>
        </w:rPr>
        <w:t>REGISTRO CONTABLE</w:t>
      </w:r>
      <w:r w:rsidRPr="00CD55BA">
        <w:rPr>
          <w:rFonts w:eastAsia="Arial Unicode MS"/>
          <w:i/>
          <w:kern w:val="28"/>
          <w:szCs w:val="56"/>
        </w:rPr>
        <w:t xml:space="preserve"> </w:t>
      </w:r>
    </w:p>
    <w:p w14:paraId="218A354B" w14:textId="77777777" w:rsidR="00523605" w:rsidRPr="00CD55BA" w:rsidRDefault="00523605" w:rsidP="00CD55BA">
      <w:pPr>
        <w:spacing w:line="240" w:lineRule="auto"/>
        <w:ind w:left="567" w:right="567"/>
        <w:contextualSpacing/>
        <w:rPr>
          <w:rFonts w:eastAsia="Arial Unicode MS"/>
          <w:i/>
          <w:kern w:val="28"/>
          <w:szCs w:val="56"/>
        </w:rPr>
      </w:pPr>
      <w:r w:rsidRPr="00CD55BA">
        <w:rPr>
          <w:rFonts w:eastAsia="Arial Unicode MS"/>
          <w:i/>
          <w:kern w:val="28"/>
          <w:szCs w:val="56"/>
        </w:rPr>
        <w:t>Asiento que se realiza en los libros de contabilidad de las actividades relacionadas con el ingreso y egresos de un ente económico.”</w:t>
      </w:r>
    </w:p>
    <w:p w14:paraId="4E2B5384" w14:textId="77777777" w:rsidR="00523605" w:rsidRPr="00CD55BA" w:rsidRDefault="00523605" w:rsidP="00CD55BA">
      <w:pPr>
        <w:spacing w:line="240" w:lineRule="auto"/>
        <w:ind w:left="567" w:right="567"/>
        <w:contextualSpacing/>
        <w:rPr>
          <w:rFonts w:eastAsia="Arial Unicode MS"/>
          <w:i/>
          <w:kern w:val="28"/>
          <w:szCs w:val="56"/>
        </w:rPr>
      </w:pPr>
      <w:r w:rsidRPr="00CD55BA">
        <w:rPr>
          <w:rFonts w:eastAsia="Arial Unicode MS"/>
          <w:i/>
          <w:kern w:val="28"/>
          <w:szCs w:val="56"/>
        </w:rPr>
        <w:t>“</w:t>
      </w:r>
      <w:r w:rsidRPr="00CD55BA">
        <w:rPr>
          <w:rFonts w:eastAsia="Arial Unicode MS"/>
          <w:b/>
          <w:i/>
          <w:kern w:val="28"/>
          <w:szCs w:val="56"/>
        </w:rPr>
        <w:t>REGISTRO PRESUPUESTARIO</w:t>
      </w:r>
    </w:p>
    <w:p w14:paraId="6F2FD48E" w14:textId="77777777" w:rsidR="00523605" w:rsidRPr="00CD55BA" w:rsidRDefault="00523605" w:rsidP="00CD55BA">
      <w:pPr>
        <w:spacing w:line="240" w:lineRule="auto"/>
        <w:ind w:left="567" w:right="567"/>
        <w:contextualSpacing/>
        <w:rPr>
          <w:rFonts w:eastAsia="Arial Unicode MS"/>
          <w:i/>
          <w:kern w:val="28"/>
          <w:szCs w:val="56"/>
        </w:rPr>
      </w:pPr>
      <w:r w:rsidRPr="00CD55BA">
        <w:rPr>
          <w:rFonts w:eastAsia="Arial Unicode MS"/>
          <w:i/>
          <w:kern w:val="28"/>
          <w:szCs w:val="56"/>
        </w:rPr>
        <w:t>Asiento contable de las erogaciones realizadas por las dependencias y entidades con relación a la asignación, modificación y ejercicio de los recursos presupuestarios que se les hayan autorizado.”</w:t>
      </w:r>
    </w:p>
    <w:p w14:paraId="18FA311E" w14:textId="77777777" w:rsidR="00523605" w:rsidRPr="00CD55BA" w:rsidRDefault="00523605" w:rsidP="00CD55BA">
      <w:pPr>
        <w:ind w:left="851" w:right="901"/>
        <w:rPr>
          <w:rFonts w:eastAsia="Arial Unicode MS" w:cs="Arial"/>
          <w:i/>
        </w:rPr>
      </w:pPr>
    </w:p>
    <w:p w14:paraId="513B042B" w14:textId="77777777" w:rsidR="00523605" w:rsidRPr="00CD55BA" w:rsidRDefault="00523605" w:rsidP="00CD55BA">
      <w:pPr>
        <w:rPr>
          <w:rFonts w:cs="Arial"/>
          <w:lang w:eastAsia="es-MX"/>
        </w:rPr>
      </w:pPr>
      <w:r w:rsidRPr="00CD55BA">
        <w:rPr>
          <w:rFonts w:cs="Arial"/>
          <w:lang w:eastAsia="es-MX"/>
        </w:rPr>
        <w:t>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14:paraId="601BCF45" w14:textId="77777777" w:rsidR="00523605" w:rsidRPr="00CD55BA" w:rsidRDefault="00523605" w:rsidP="00CD55BA">
      <w:pPr>
        <w:rPr>
          <w:rFonts w:cs="Arial"/>
          <w:lang w:eastAsia="es-MX"/>
        </w:rPr>
      </w:pPr>
    </w:p>
    <w:p w14:paraId="25EB6841" w14:textId="77777777" w:rsidR="00523605" w:rsidRPr="00CD55BA" w:rsidRDefault="00523605" w:rsidP="00CD55BA">
      <w:pPr>
        <w:spacing w:line="240" w:lineRule="auto"/>
        <w:ind w:left="567" w:right="567"/>
        <w:contextualSpacing/>
        <w:rPr>
          <w:rFonts w:eastAsia="Arial Unicode MS"/>
          <w:b/>
          <w:i/>
          <w:kern w:val="28"/>
          <w:szCs w:val="56"/>
        </w:rPr>
      </w:pPr>
      <w:r w:rsidRPr="00CD55BA">
        <w:rPr>
          <w:rFonts w:eastAsia="Arial Unicode MS"/>
          <w:i/>
          <w:kern w:val="28"/>
          <w:szCs w:val="56"/>
        </w:rPr>
        <w:t>“</w:t>
      </w:r>
      <w:r w:rsidRPr="00CD55BA">
        <w:rPr>
          <w:rFonts w:eastAsia="Arial Unicode MS"/>
          <w:b/>
          <w:i/>
          <w:kern w:val="28"/>
          <w:szCs w:val="56"/>
        </w:rPr>
        <w:t>PÓLIZA CONTABLE</w:t>
      </w:r>
    </w:p>
    <w:p w14:paraId="530B4574" w14:textId="77777777" w:rsidR="00523605" w:rsidRPr="00CD55BA" w:rsidRDefault="00523605" w:rsidP="00CD55BA">
      <w:pPr>
        <w:spacing w:line="240" w:lineRule="auto"/>
        <w:ind w:left="567" w:right="567"/>
        <w:contextualSpacing/>
        <w:rPr>
          <w:rFonts w:eastAsia="Arial Unicode MS"/>
          <w:i/>
          <w:kern w:val="28"/>
          <w:szCs w:val="56"/>
        </w:rPr>
      </w:pPr>
      <w:r w:rsidRPr="00CD55BA">
        <w:rPr>
          <w:rFonts w:eastAsia="Arial Unicode MS"/>
          <w:i/>
          <w:kern w:val="28"/>
          <w:szCs w:val="56"/>
        </w:rPr>
        <w:t>Documento en el cual se asientan en forma individual todas y cada una de las operaciones desarrolladas por una institución, así como la información necesaria para la identificación necesaria para la identificación de dichas operaciones.”</w:t>
      </w:r>
    </w:p>
    <w:p w14:paraId="727443B0" w14:textId="77777777" w:rsidR="00523605" w:rsidRPr="00CD55BA" w:rsidRDefault="00523605" w:rsidP="00CD55BA">
      <w:pPr>
        <w:ind w:left="851" w:right="901"/>
        <w:rPr>
          <w:rFonts w:eastAsia="Arial Unicode MS" w:cs="Arial"/>
          <w:i/>
        </w:rPr>
      </w:pPr>
    </w:p>
    <w:p w14:paraId="71559AE4" w14:textId="77777777" w:rsidR="00523605" w:rsidRPr="00CD55BA" w:rsidRDefault="00523605" w:rsidP="00CD55BA">
      <w:pPr>
        <w:rPr>
          <w:rFonts w:cs="Arial"/>
          <w:lang w:eastAsia="es-MX"/>
        </w:rPr>
      </w:pPr>
      <w:r w:rsidRPr="00CD55BA">
        <w:rPr>
          <w:rFonts w:cs="Arial"/>
          <w:lang w:eastAsia="es-MX"/>
        </w:rPr>
        <w:lastRenderedPageBreak/>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4EC22B09" w14:textId="77777777" w:rsidR="00523605" w:rsidRPr="00CD55BA" w:rsidRDefault="00523605" w:rsidP="00CD55BA">
      <w:pPr>
        <w:rPr>
          <w:rFonts w:eastAsia="MS Mincho"/>
        </w:rPr>
      </w:pPr>
    </w:p>
    <w:p w14:paraId="5A0E754D" w14:textId="77777777" w:rsidR="00E54D79" w:rsidRPr="00CD55BA" w:rsidRDefault="00E54D79" w:rsidP="00CD55BA">
      <w:pPr>
        <w:rPr>
          <w:rStyle w:val="Textoennegrita"/>
          <w:rFonts w:eastAsiaTheme="majorEastAsia" w:cs="Arial"/>
        </w:rPr>
      </w:pPr>
      <w:r w:rsidRPr="00CD55BA">
        <w:rPr>
          <w:rFonts w:cs="Arial"/>
          <w:lang w:eastAsia="es-MX"/>
        </w:rPr>
        <w:t xml:space="preserve">Ahora bien, existen diversos tipos de pólizas de acuerdo a las operaciones realizadas, así encontramos que los pagos efectuados con cheque son controlados en “pólizas de cheque”, las cuales permiten registrar </w:t>
      </w:r>
      <w:r w:rsidRPr="00CD55BA">
        <w:rPr>
          <w:rFonts w:cs="Arial"/>
        </w:rPr>
        <w:t xml:space="preserve">una </w:t>
      </w:r>
      <w:r w:rsidRPr="00CD55BA">
        <w:rPr>
          <w:rStyle w:val="Textoennegrita"/>
          <w:rFonts w:eastAsiaTheme="majorEastAsia" w:cs="Arial"/>
        </w:rPr>
        <w:t xml:space="preserve">salida de dinero de la </w:t>
      </w:r>
      <w:hyperlink r:id="rId14" w:history="1">
        <w:r w:rsidRPr="00CD55BA">
          <w:rPr>
            <w:rStyle w:val="Textoennegrita"/>
            <w:rFonts w:eastAsiaTheme="majorEastAsia"/>
            <w:u w:val="single"/>
          </w:rPr>
          <w:t>cuenta bancaria</w:t>
        </w:r>
      </w:hyperlink>
      <w:r w:rsidRPr="00CD55BA">
        <w:rPr>
          <w:rStyle w:val="Textoennegrita"/>
          <w:rFonts w:eastAsiaTheme="majorEastAsia" w:cs="Arial"/>
          <w:u w:val="single"/>
        </w:rPr>
        <w:t xml:space="preserve"> </w:t>
      </w:r>
      <w:r w:rsidRPr="00CD55BA">
        <w:rPr>
          <w:rStyle w:val="Textoennegrita"/>
          <w:rFonts w:eastAsiaTheme="majorEastAsia" w:cs="Arial"/>
        </w:rPr>
        <w:t xml:space="preserve">propia, a través de la </w:t>
      </w:r>
      <w:hyperlink r:id="rId15" w:history="1">
        <w:r w:rsidRPr="00CD55BA">
          <w:rPr>
            <w:rStyle w:val="Textoennegrita"/>
            <w:rFonts w:eastAsiaTheme="majorEastAsia"/>
            <w:u w:val="single"/>
          </w:rPr>
          <w:t>emisión de un cheque</w:t>
        </w:r>
      </w:hyperlink>
      <w:r w:rsidRPr="00CD55BA">
        <w:rPr>
          <w:rStyle w:val="Textoennegrita"/>
          <w:rFonts w:eastAsiaTheme="majorEastAsia"/>
          <w:u w:val="single"/>
        </w:rPr>
        <w:t>,</w:t>
      </w:r>
      <w:r w:rsidRPr="00CD55BA">
        <w:rPr>
          <w:rFonts w:cs="Arial"/>
        </w:rPr>
        <w:t xml:space="preserve"> por lo que las dependencias públicas al librar un cheque, </w:t>
      </w:r>
      <w:r w:rsidRPr="00CD55BA">
        <w:rPr>
          <w:rStyle w:val="Textoennegrita"/>
          <w:rFonts w:eastAsiaTheme="majorEastAsia" w:cs="Arial"/>
        </w:rPr>
        <w:t>adhieren una fotocopia del mismo con una póliza que sirve para fines contables</w:t>
      </w:r>
      <w:r w:rsidRPr="00CD55BA">
        <w:rPr>
          <w:rFonts w:cs="Arial"/>
        </w:rPr>
        <w:t xml:space="preserve">, porque describe cuánto y para qué se expidió el título de crédito, la cual sirve a su vez, </w:t>
      </w:r>
      <w:r w:rsidRPr="00CD55BA">
        <w:rPr>
          <w:rStyle w:val="Textoennegrita"/>
          <w:rFonts w:eastAsiaTheme="majorEastAsia" w:cs="Arial"/>
        </w:rPr>
        <w:t>como un recibo del cheque entregado al beneficiario.</w:t>
      </w:r>
    </w:p>
    <w:p w14:paraId="77B6EFE6" w14:textId="77777777" w:rsidR="00E54D79" w:rsidRPr="00CD55BA" w:rsidRDefault="00E54D79" w:rsidP="00CD55BA">
      <w:pPr>
        <w:rPr>
          <w:rFonts w:cs="Arial"/>
          <w:lang w:eastAsia="es-MX"/>
        </w:rPr>
      </w:pPr>
    </w:p>
    <w:p w14:paraId="401E3E18" w14:textId="77777777" w:rsidR="00E54D79" w:rsidRPr="00CD55BA" w:rsidRDefault="00E54D79" w:rsidP="00CD55BA">
      <w:pPr>
        <w:rPr>
          <w:rFonts w:cs="Arial"/>
          <w:lang w:eastAsia="es-MX"/>
        </w:rPr>
      </w:pPr>
      <w:r w:rsidRPr="00CD55BA">
        <w:rPr>
          <w:rFonts w:cs="Arial"/>
          <w:lang w:eastAsia="es-MX"/>
        </w:rPr>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14:paraId="6340FC27" w14:textId="77777777" w:rsidR="00E54D79" w:rsidRPr="00CD55BA" w:rsidRDefault="00E54D79" w:rsidP="00CD55BA">
      <w:pPr>
        <w:rPr>
          <w:rFonts w:cs="Arial"/>
          <w:lang w:eastAsia="es-MX"/>
        </w:rPr>
      </w:pPr>
    </w:p>
    <w:p w14:paraId="61DEAE4A" w14:textId="3CD281D9" w:rsidR="0091308D" w:rsidRPr="00CD55BA" w:rsidRDefault="00E54D79" w:rsidP="00CD55BA">
      <w:pPr>
        <w:rPr>
          <w:rFonts w:cs="Arial"/>
          <w:lang w:eastAsia="es-MX"/>
        </w:rPr>
      </w:pPr>
      <w:r w:rsidRPr="00CD55BA">
        <w:rPr>
          <w:rFonts w:cs="Arial"/>
          <w:lang w:eastAsia="es-MX"/>
        </w:rPr>
        <w:t xml:space="preserve">Ahora bien, conforme al </w:t>
      </w:r>
      <w:r w:rsidR="0091308D" w:rsidRPr="00CD55BA">
        <w:rPr>
          <w:rFonts w:eastAsia="Palatino Linotype" w:cs="Palatino Linotype"/>
          <w:i/>
          <w:iCs/>
        </w:rPr>
        <w:t xml:space="preserve">“ACUERDO 7/2025 POR EL QUE SE EMITEN LOS LINEAMIENTOS, FECHAS DE CAPACITACIÓN Y CALENDARIZACIÓN PARA LA INTEGRACIÓN Y PRESENTACIÓN DE LOS INFORMES TRIMESTRALES ESTATALES Y MUNICIPALES DEL EJERCICIO FISCAL 2025, DE LAS ENTIDADES FISCALIZABLES DEL ESTADO DE </w:t>
      </w:r>
      <w:r w:rsidR="0091308D" w:rsidRPr="00CD55BA">
        <w:rPr>
          <w:rFonts w:eastAsia="Palatino Linotype" w:cs="Palatino Linotype"/>
          <w:i/>
          <w:iCs/>
        </w:rPr>
        <w:lastRenderedPageBreak/>
        <w:t>MÉXICO”</w:t>
      </w:r>
      <w:r w:rsidR="0091308D" w:rsidRPr="00CD55BA">
        <w:rPr>
          <w:rStyle w:val="Refdenotaalpie"/>
          <w:rFonts w:eastAsia="Palatino Linotype" w:cs="Palatino Linotype"/>
          <w:i/>
          <w:iCs/>
        </w:rPr>
        <w:footnoteReference w:id="1"/>
      </w:r>
      <w:r w:rsidR="0091308D" w:rsidRPr="00CD55BA">
        <w:rPr>
          <w:rFonts w:eastAsia="Palatino Linotype" w:cs="Palatino Linotype"/>
          <w:i/>
          <w:iCs/>
        </w:rPr>
        <w:t xml:space="preserve">, </w:t>
      </w:r>
      <w:r w:rsidR="0091308D" w:rsidRPr="00CD55BA">
        <w:rPr>
          <w:rFonts w:eastAsia="Palatino Linotype" w:cs="Palatino Linotype"/>
        </w:rPr>
        <w:t xml:space="preserve">la Matriz de documentos, archivos y firmas autógrafas del soporte documental, se advierte que dentro de los documentos requeridos </w:t>
      </w:r>
      <w:r w:rsidR="0091308D" w:rsidRPr="00CD55BA">
        <w:rPr>
          <w:rFonts w:cs="Arial"/>
          <w:lang w:eastAsia="es-MX"/>
        </w:rPr>
        <w:t xml:space="preserve">en el módulo 1, se encuentra el Diario General de Pólizas, </w:t>
      </w:r>
      <w:r w:rsidR="00E35F0B" w:rsidRPr="00CD55BA">
        <w:rPr>
          <w:rFonts w:cs="Arial"/>
          <w:lang w:eastAsia="es-MX"/>
        </w:rPr>
        <w:t xml:space="preserve">el cual debe ser firmado por el Tesorero Municipal </w:t>
      </w:r>
      <w:r w:rsidR="0091308D" w:rsidRPr="00CD55BA">
        <w:rPr>
          <w:rFonts w:cs="Arial"/>
          <w:lang w:eastAsia="es-MX"/>
        </w:rPr>
        <w:t xml:space="preserve">como se advierte en la siguiente imagen: </w:t>
      </w:r>
    </w:p>
    <w:p w14:paraId="1228E8FA" w14:textId="77777777" w:rsidR="0091308D" w:rsidRPr="00CD55BA" w:rsidRDefault="0091308D" w:rsidP="00CD55BA">
      <w:pPr>
        <w:rPr>
          <w:rFonts w:cs="Arial"/>
          <w:lang w:eastAsia="es-MX"/>
        </w:rPr>
      </w:pPr>
    </w:p>
    <w:p w14:paraId="68816F4D" w14:textId="47D069A1" w:rsidR="0091308D" w:rsidRPr="00CD55BA" w:rsidRDefault="0091308D" w:rsidP="00CD55BA">
      <w:pPr>
        <w:rPr>
          <w:rFonts w:cs="Arial"/>
          <w:b/>
          <w:bCs/>
          <w:lang w:eastAsia="es-MX"/>
        </w:rPr>
      </w:pPr>
      <w:r w:rsidRPr="00CD55BA">
        <w:rPr>
          <w:noProof/>
          <w:lang w:eastAsia="es-MX"/>
          <w14:ligatures w14:val="standardContextual"/>
        </w:rPr>
        <w:lastRenderedPageBreak/>
        <mc:AlternateContent>
          <mc:Choice Requires="wps">
            <w:drawing>
              <wp:anchor distT="0" distB="0" distL="114300" distR="114300" simplePos="0" relativeHeight="251659264" behindDoc="0" locked="0" layoutInCell="1" allowOverlap="1" wp14:anchorId="217133C9" wp14:editId="003ED9E1">
                <wp:simplePos x="0" y="0"/>
                <wp:positionH relativeFrom="column">
                  <wp:posOffset>986477</wp:posOffset>
                </wp:positionH>
                <wp:positionV relativeFrom="paragraph">
                  <wp:posOffset>6655988</wp:posOffset>
                </wp:positionV>
                <wp:extent cx="4560125" cy="201880"/>
                <wp:effectExtent l="19050" t="19050" r="12065" b="27305"/>
                <wp:wrapNone/>
                <wp:docPr id="131888140" name="Rectángulo: esquinas redondeadas 1"/>
                <wp:cNvGraphicFramePr/>
                <a:graphic xmlns:a="http://schemas.openxmlformats.org/drawingml/2006/main">
                  <a:graphicData uri="http://schemas.microsoft.com/office/word/2010/wordprocessingShape">
                    <wps:wsp>
                      <wps:cNvSpPr/>
                      <wps:spPr>
                        <a:xfrm>
                          <a:off x="0" y="0"/>
                          <a:ext cx="4560125" cy="201880"/>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E04291F" id="Rectángulo: esquinas redondeadas 1" o:spid="_x0000_s1026" style="position:absolute;margin-left:77.7pt;margin-top:524.1pt;width:359.05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" filled="f" strokecolor="#e00" strokeweight="2.25pt">
                <v:stroke joinstyle="miter"/>
              </v:roundrect>
            </w:pict>
          </mc:Fallback>
        </mc:AlternateContent>
      </w:r>
      <w:r w:rsidRPr="00CD55BA">
        <w:rPr>
          <w:noProof/>
          <w:lang w:eastAsia="es-MX"/>
          <w14:ligatures w14:val="standardContextual"/>
        </w:rPr>
        <w:drawing>
          <wp:inline distT="0" distB="0" distL="0" distR="0" wp14:anchorId="4ECC0239" wp14:editId="4848F799">
            <wp:extent cx="5741670" cy="7208322"/>
            <wp:effectExtent l="0" t="0" r="0" b="0"/>
            <wp:docPr id="90925184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51841" name="Imagen 1" descr="Tabla&#10;&#10;El contenido generado por IA puede ser incorrecto."/>
                    <pic:cNvPicPr/>
                  </pic:nvPicPr>
                  <pic:blipFill>
                    <a:blip r:embed="rId16"/>
                    <a:stretch>
                      <a:fillRect/>
                    </a:stretch>
                  </pic:blipFill>
                  <pic:spPr>
                    <a:xfrm>
                      <a:off x="0" y="0"/>
                      <a:ext cx="5755122" cy="7225210"/>
                    </a:xfrm>
                    <a:prstGeom prst="rect">
                      <a:avLst/>
                    </a:prstGeom>
                  </pic:spPr>
                </pic:pic>
              </a:graphicData>
            </a:graphic>
          </wp:inline>
        </w:drawing>
      </w:r>
    </w:p>
    <w:p w14:paraId="6DBD2CA1" w14:textId="77777777" w:rsidR="00E35F0B" w:rsidRPr="00CD55BA" w:rsidRDefault="00E35F0B" w:rsidP="00CD55BA">
      <w:pPr>
        <w:rPr>
          <w:rFonts w:cs="Arial"/>
          <w:lang w:eastAsia="es-MX"/>
        </w:rPr>
      </w:pPr>
    </w:p>
    <w:p w14:paraId="316C46A1" w14:textId="17529967" w:rsidR="00E54D79" w:rsidRPr="00CD55BA" w:rsidRDefault="00E35F0B" w:rsidP="00CD55BA">
      <w:pPr>
        <w:rPr>
          <w:rFonts w:cs="Arial"/>
          <w:lang w:eastAsia="es-MX"/>
        </w:rPr>
      </w:pPr>
      <w:r w:rsidRPr="00CD55BA">
        <w:rPr>
          <w:rFonts w:cs="Arial"/>
          <w:lang w:eastAsia="es-MX"/>
        </w:rPr>
        <w:t>Por su parte el Instructivo del Módulo 1</w:t>
      </w:r>
      <w:r w:rsidRPr="00CD55BA">
        <w:rPr>
          <w:rStyle w:val="Refdenotaalpie"/>
          <w:rFonts w:cs="Arial"/>
          <w:lang w:eastAsia="es-MX"/>
        </w:rPr>
        <w:footnoteReference w:id="2"/>
      </w:r>
      <w:r w:rsidRPr="00CD55BA">
        <w:rPr>
          <w:rFonts w:cs="Arial"/>
          <w:lang w:eastAsia="es-MX"/>
        </w:rPr>
        <w:t xml:space="preserve">, disponible en la página del Órgano Superior de Fiscalización del Estado de México, precisa que el Diario General de Pólizas tiene como finalidad llevar el control detallado y preciso de todos los registros contables que la entidad realizó en determinado tiempo; asimismo, es importante precisar que si bien, este documento deberá entregarse trimestralmente en cumplimiento de las obligaciones fiscales del </w:t>
      </w:r>
      <w:r w:rsidRPr="00CD55BA">
        <w:rPr>
          <w:rFonts w:cs="Arial"/>
          <w:b/>
          <w:bCs/>
          <w:lang w:eastAsia="es-MX"/>
        </w:rPr>
        <w:t>SUJETO OBLIGADO</w:t>
      </w:r>
      <w:r w:rsidRPr="00CD55BA">
        <w:rPr>
          <w:rFonts w:cs="Arial"/>
          <w:lang w:eastAsia="es-MX"/>
        </w:rPr>
        <w:t>, también lo es que debe ser generado mensualmente por los entes públicos, como se muestra a continuación:</w:t>
      </w:r>
    </w:p>
    <w:p w14:paraId="2C078226" w14:textId="77777777" w:rsidR="00E54D79" w:rsidRPr="00CD55BA" w:rsidRDefault="00E54D79" w:rsidP="00CD55BA">
      <w:pPr>
        <w:rPr>
          <w:rFonts w:eastAsia="MS Mincho"/>
        </w:rPr>
      </w:pPr>
    </w:p>
    <w:p w14:paraId="1578E464" w14:textId="306A7126" w:rsidR="00E35F0B" w:rsidRPr="00CD55BA" w:rsidRDefault="00E35F0B" w:rsidP="00CD55BA">
      <w:pPr>
        <w:rPr>
          <w:rFonts w:eastAsia="MS Mincho"/>
        </w:rPr>
      </w:pPr>
      <w:r w:rsidRPr="00CD55BA">
        <w:rPr>
          <w:noProof/>
          <w:lang w:eastAsia="es-MX"/>
          <w14:ligatures w14:val="standardContextual"/>
        </w:rPr>
        <w:lastRenderedPageBreak/>
        <w:drawing>
          <wp:inline distT="0" distB="0" distL="0" distR="0" wp14:anchorId="7E8394F8" wp14:editId="5A547F20">
            <wp:extent cx="5546725" cy="7357745"/>
            <wp:effectExtent l="0" t="0" r="0" b="0"/>
            <wp:docPr id="13073287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2875" name="Imagen 1" descr="Tabla&#10;&#10;El contenido generado por IA puede ser incorrecto."/>
                    <pic:cNvPicPr/>
                  </pic:nvPicPr>
                  <pic:blipFill>
                    <a:blip r:embed="rId17"/>
                    <a:stretch>
                      <a:fillRect/>
                    </a:stretch>
                  </pic:blipFill>
                  <pic:spPr>
                    <a:xfrm>
                      <a:off x="0" y="0"/>
                      <a:ext cx="5546725" cy="7357745"/>
                    </a:xfrm>
                    <a:prstGeom prst="rect">
                      <a:avLst/>
                    </a:prstGeom>
                  </pic:spPr>
                </pic:pic>
              </a:graphicData>
            </a:graphic>
          </wp:inline>
        </w:drawing>
      </w:r>
    </w:p>
    <w:p w14:paraId="7AAD02E2" w14:textId="3300B7DF" w:rsidR="00E35F0B" w:rsidRPr="00CD55BA" w:rsidRDefault="00E35F0B" w:rsidP="00CD55BA">
      <w:pPr>
        <w:rPr>
          <w:rFonts w:eastAsia="MS Mincho"/>
        </w:rPr>
      </w:pPr>
      <w:r w:rsidRPr="00CD55BA">
        <w:rPr>
          <w:noProof/>
          <w:lang w:eastAsia="es-MX"/>
          <w14:ligatures w14:val="standardContextual"/>
        </w:rPr>
        <w:lastRenderedPageBreak/>
        <w:drawing>
          <wp:inline distT="0" distB="0" distL="0" distR="0" wp14:anchorId="3D9AA6FA" wp14:editId="75A5B218">
            <wp:extent cx="5742940" cy="2757170"/>
            <wp:effectExtent l="0" t="0" r="0" b="5080"/>
            <wp:docPr id="616159160" name="Imagen 1" descr="Texto, Carta,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59160" name="Imagen 1" descr="Texto, Carta, Correo electrónico&#10;&#10;El contenido generado por IA puede ser incorrecto."/>
                    <pic:cNvPicPr/>
                  </pic:nvPicPr>
                  <pic:blipFill>
                    <a:blip r:embed="rId18"/>
                    <a:stretch>
                      <a:fillRect/>
                    </a:stretch>
                  </pic:blipFill>
                  <pic:spPr>
                    <a:xfrm>
                      <a:off x="0" y="0"/>
                      <a:ext cx="5742940" cy="2757170"/>
                    </a:xfrm>
                    <a:prstGeom prst="rect">
                      <a:avLst/>
                    </a:prstGeom>
                  </pic:spPr>
                </pic:pic>
              </a:graphicData>
            </a:graphic>
          </wp:inline>
        </w:drawing>
      </w:r>
    </w:p>
    <w:p w14:paraId="676433D3" w14:textId="4D144069" w:rsidR="00E35F0B" w:rsidRPr="00CD55BA" w:rsidRDefault="00E35F0B" w:rsidP="00CD55BA">
      <w:pPr>
        <w:rPr>
          <w:rFonts w:eastAsia="MS Mincho"/>
        </w:rPr>
      </w:pPr>
      <w:r w:rsidRPr="00CD55BA">
        <w:rPr>
          <w:rFonts w:eastAsia="MS Mincho"/>
        </w:rPr>
        <w:t xml:space="preserve">Por lo anterior, se tiene que el Diario General de Pólizas es un documento que forma parte de los Informes Trimestrales que se entregan al Órgano Superior de Fiscalización del Estado de México en cumplimiento de sus obligaciones fiscales y el cual, es generado y administrado por el Tesorero Municipal. </w:t>
      </w:r>
    </w:p>
    <w:p w14:paraId="6A93F952" w14:textId="77777777" w:rsidR="00E35F0B" w:rsidRPr="00CD55BA" w:rsidRDefault="00E35F0B" w:rsidP="00CD55BA">
      <w:pPr>
        <w:rPr>
          <w:rFonts w:eastAsia="MS Mincho"/>
        </w:rPr>
      </w:pPr>
    </w:p>
    <w:p w14:paraId="4A2AFF16" w14:textId="445ABD7B" w:rsidR="002B6672" w:rsidRPr="00CD55BA" w:rsidRDefault="00E35F0B" w:rsidP="00CD55BA">
      <w:pPr>
        <w:rPr>
          <w:rFonts w:eastAsia="Calibri" w:cs="Arial"/>
        </w:rPr>
      </w:pPr>
      <w:r w:rsidRPr="00CD55BA">
        <w:rPr>
          <w:rFonts w:eastAsia="MS Mincho"/>
        </w:rPr>
        <w:t xml:space="preserve">Ahora bien, </w:t>
      </w:r>
      <w:r w:rsidR="002B6672" w:rsidRPr="00CD55BA">
        <w:rPr>
          <w:rFonts w:eastAsia="MS Mincho"/>
        </w:rPr>
        <w:t xml:space="preserve">es importante destacar que </w:t>
      </w:r>
      <w:r w:rsidR="002B6672" w:rsidRPr="00CD55BA">
        <w:rPr>
          <w:rFonts w:eastAsia="MS Mincho"/>
          <w:b/>
          <w:bCs/>
        </w:rPr>
        <w:t xml:space="preserve">EL SUJETO OBLIGADO </w:t>
      </w:r>
      <w:r w:rsidR="002B6672" w:rsidRPr="00CD55BA">
        <w:rPr>
          <w:rFonts w:eastAsia="MS Mincho"/>
        </w:rPr>
        <w:t xml:space="preserve">asumió contar con la información mediante </w:t>
      </w:r>
      <w:r w:rsidRPr="00CD55BA">
        <w:rPr>
          <w:rFonts w:eastAsia="MS Mincho"/>
        </w:rPr>
        <w:t>Informe Justificado</w:t>
      </w:r>
      <w:r w:rsidR="002B6672" w:rsidRPr="00CD55BA">
        <w:rPr>
          <w:rFonts w:eastAsia="MS Mincho"/>
        </w:rPr>
        <w:t xml:space="preserve">; sin embargo, no hizo entrega de la misma, por considerar que </w:t>
      </w:r>
      <w:r w:rsidRPr="00CD55BA">
        <w:rPr>
          <w:rFonts w:eastAsia="MS Mincho"/>
        </w:rPr>
        <w:t>la información que genera cada mes es sólo para el ente fiscalizador para cubrir las necesidades del auditor</w:t>
      </w:r>
      <w:r w:rsidR="002B6672" w:rsidRPr="00CD55BA">
        <w:rPr>
          <w:rFonts w:eastAsia="MS Mincho"/>
        </w:rPr>
        <w:t>, sin embargo, se</w:t>
      </w:r>
      <w:r w:rsidR="002B6672" w:rsidRPr="00CD55BA">
        <w:rPr>
          <w:rFonts w:eastAsia="Palatino Linotype"/>
        </w:rPr>
        <w:t xml:space="preserve"> considera necesario precisar que </w:t>
      </w:r>
      <w:r w:rsidR="002B6672" w:rsidRPr="00CD55BA">
        <w:rPr>
          <w:rFonts w:eastAsia="Calibri"/>
        </w:rPr>
        <w:t xml:space="preserve">para tener por satisfecho </w:t>
      </w:r>
      <w:r w:rsidR="002B6672" w:rsidRPr="00CD55BA">
        <w:rPr>
          <w:rFonts w:eastAsia="Calibri" w:cs="Arial"/>
        </w:rPr>
        <w:t>el derecho de acceso a la información pública implica que cualquier persona conozca la información contenida en los documentos que se encuentren en los archivos de los Sujetos Obligados.</w:t>
      </w:r>
    </w:p>
    <w:p w14:paraId="6E88C8E7" w14:textId="77777777" w:rsidR="002B6672" w:rsidRPr="00CD55BA" w:rsidRDefault="002B6672" w:rsidP="00CD55BA">
      <w:pPr>
        <w:rPr>
          <w:rFonts w:eastAsia="Calibri"/>
        </w:rPr>
      </w:pPr>
    </w:p>
    <w:p w14:paraId="109044ED" w14:textId="682402D4" w:rsidR="002B6672" w:rsidRPr="00CD55BA" w:rsidRDefault="002B6672" w:rsidP="00CD55BA">
      <w:pPr>
        <w:rPr>
          <w:rFonts w:eastAsia="Calibri" w:cs="Arial"/>
        </w:rPr>
      </w:pPr>
      <w:r w:rsidRPr="00CD55BA">
        <w:rPr>
          <w:rFonts w:eastAsia="Calibri" w:cs="Arial"/>
        </w:rPr>
        <w:t xml:space="preserve">Así que la obligación de acceso a la información se tendrá por cumplida cuando el solicitante tenga a su disposición la información requerida, o cuando realice su consulta en el lugar que </w:t>
      </w:r>
      <w:r w:rsidRPr="00CD55BA">
        <w:rPr>
          <w:rFonts w:eastAsia="Calibri" w:cs="Arial"/>
        </w:rPr>
        <w:lastRenderedPageBreak/>
        <w:t xml:space="preserve">ésta se localice, conforme a los artículos 3 fracción XI, XII 4, 12 y 24 último párrafo </w:t>
      </w:r>
      <w:r w:rsidRPr="00CD55BA">
        <w:rPr>
          <w:rFonts w:eastAsia="Calibri" w:cs="Arial"/>
          <w:bCs/>
        </w:rPr>
        <w:t>de la Ley de Transparencia y Acceso a la Información Pública del Estado de México y Municipios</w:t>
      </w:r>
      <w:r w:rsidRPr="00CD55BA">
        <w:rPr>
          <w:rFonts w:eastAsia="Calibri" w:cs="Arial"/>
        </w:rPr>
        <w:t>:</w:t>
      </w:r>
    </w:p>
    <w:p w14:paraId="09B0E715" w14:textId="77777777" w:rsidR="002B6672" w:rsidRPr="00CD55BA" w:rsidRDefault="002B6672" w:rsidP="00CD55BA">
      <w:pPr>
        <w:rPr>
          <w:rFonts w:eastAsia="Calibri" w:cs="Arial"/>
        </w:rPr>
      </w:pPr>
      <w:r w:rsidRPr="00CD55BA">
        <w:rPr>
          <w:rFonts w:eastAsia="Calibri" w:cs="Arial"/>
        </w:rPr>
        <w:tab/>
      </w:r>
    </w:p>
    <w:p w14:paraId="629DBFD5" w14:textId="77777777" w:rsidR="002B6672" w:rsidRPr="00CD55BA" w:rsidRDefault="002B6672" w:rsidP="00CD55BA">
      <w:pPr>
        <w:spacing w:line="240" w:lineRule="auto"/>
        <w:ind w:left="567" w:right="567"/>
        <w:contextualSpacing/>
        <w:rPr>
          <w:rFonts w:eastAsia="Calibri"/>
          <w:b/>
          <w:i/>
          <w:kern w:val="28"/>
          <w:szCs w:val="56"/>
        </w:rPr>
      </w:pPr>
      <w:r w:rsidRPr="00CD55BA">
        <w:rPr>
          <w:rFonts w:eastAsia="Calibri"/>
          <w:i/>
          <w:kern w:val="28"/>
          <w:szCs w:val="56"/>
        </w:rPr>
        <w:t>“</w:t>
      </w:r>
      <w:r w:rsidRPr="00CD55BA">
        <w:rPr>
          <w:rFonts w:eastAsia="Calibri"/>
          <w:b/>
          <w:i/>
          <w:kern w:val="28"/>
          <w:szCs w:val="56"/>
        </w:rPr>
        <w:t>Artículo 3. Para los efectos de la presente Ley se entenderá por:</w:t>
      </w:r>
    </w:p>
    <w:p w14:paraId="58D538DA"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i/>
          <w:kern w:val="28"/>
          <w:szCs w:val="56"/>
        </w:rPr>
        <w:t>…</w:t>
      </w:r>
    </w:p>
    <w:p w14:paraId="06F2E14F"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b/>
          <w:i/>
          <w:kern w:val="28"/>
          <w:szCs w:val="56"/>
        </w:rPr>
        <w:t>XI. Documento:</w:t>
      </w:r>
      <w:r w:rsidRPr="00CD55BA">
        <w:rPr>
          <w:rFonts w:eastAsia="Calibri"/>
          <w:i/>
          <w:kern w:val="28"/>
          <w:szCs w:val="56"/>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EBA4C92"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b/>
          <w:i/>
          <w:kern w:val="28"/>
          <w:szCs w:val="56"/>
        </w:rPr>
        <w:t>XII. Documento electrónico:</w:t>
      </w:r>
      <w:r w:rsidRPr="00CD55BA">
        <w:rPr>
          <w:rFonts w:eastAsia="Calibri"/>
          <w:i/>
          <w:kern w:val="28"/>
          <w:szCs w:val="56"/>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C1851B5"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i/>
          <w:kern w:val="28"/>
          <w:szCs w:val="56"/>
        </w:rPr>
        <w:t>…</w:t>
      </w:r>
    </w:p>
    <w:p w14:paraId="0C037056" w14:textId="77777777" w:rsidR="002B6672" w:rsidRPr="00CD55BA" w:rsidRDefault="002B6672" w:rsidP="00CD55BA">
      <w:pPr>
        <w:spacing w:line="240" w:lineRule="auto"/>
        <w:ind w:left="567" w:right="567"/>
        <w:contextualSpacing/>
        <w:rPr>
          <w:rFonts w:eastAsia="Calibri"/>
          <w:bCs/>
          <w:i/>
          <w:kern w:val="28"/>
          <w:szCs w:val="56"/>
        </w:rPr>
      </w:pPr>
      <w:r w:rsidRPr="00CD55BA">
        <w:rPr>
          <w:rFonts w:eastAsia="Calibri"/>
          <w:b/>
          <w:bCs/>
          <w:i/>
          <w:kern w:val="28"/>
          <w:szCs w:val="56"/>
        </w:rPr>
        <w:t>Artículo 4. El derecho humano de acceso a la información pública es la prerrogativa de las personas para buscar, difundir, investigar, recabar, recibir y solicitar información pública</w:t>
      </w:r>
      <w:r w:rsidRPr="00CD55BA">
        <w:rPr>
          <w:rFonts w:eastAsia="Calibri"/>
          <w:bCs/>
          <w:i/>
          <w:kern w:val="28"/>
          <w:szCs w:val="56"/>
        </w:rPr>
        <w:t>, sin necesidad de acreditar personalidad ni interés jurídico.</w:t>
      </w:r>
    </w:p>
    <w:p w14:paraId="7AF95613" w14:textId="77777777" w:rsidR="002B6672" w:rsidRPr="00CD55BA" w:rsidRDefault="002B6672" w:rsidP="00CD55BA">
      <w:pPr>
        <w:spacing w:line="240" w:lineRule="auto"/>
        <w:ind w:left="567" w:right="567"/>
        <w:contextualSpacing/>
        <w:rPr>
          <w:rFonts w:eastAsia="Calibri"/>
          <w:b/>
          <w:i/>
          <w:kern w:val="28"/>
          <w:szCs w:val="56"/>
        </w:rPr>
      </w:pPr>
      <w:r w:rsidRPr="00CD55BA">
        <w:rPr>
          <w:rFonts w:eastAsia="Calibri"/>
          <w:b/>
          <w:i/>
          <w:kern w:val="28"/>
          <w:szCs w:val="5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681801"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i/>
          <w:kern w:val="28"/>
          <w:szCs w:val="56"/>
        </w:rPr>
        <w:t>Los sujetos obligados deben poner en práctica, políticas y programas de acceso a la información que se apeguen a criterios de publicidad, veracidad, oportunidad, precisión y suficiencia en beneficio de los solicitantes.</w:t>
      </w:r>
    </w:p>
    <w:p w14:paraId="166DB702"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b/>
          <w:bCs/>
          <w:i/>
          <w:kern w:val="28"/>
          <w:szCs w:val="56"/>
        </w:rPr>
        <w:t xml:space="preserve">Artículo 12. </w:t>
      </w:r>
      <w:r w:rsidRPr="00CD55BA">
        <w:rPr>
          <w:rFonts w:eastAsia="Calibri"/>
          <w:i/>
          <w:kern w:val="28"/>
          <w:szCs w:val="56"/>
        </w:rPr>
        <w:t>Quienes generen, recopilen, administren, manejen, procesen, archiven o conserven información pública serán responsables de la misma en los términos de las disposiciones jurídicas aplicables.</w:t>
      </w:r>
    </w:p>
    <w:p w14:paraId="0A1276A3"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b/>
          <w:i/>
          <w:kern w:val="28"/>
          <w:szCs w:val="56"/>
        </w:rPr>
        <w:lastRenderedPageBreak/>
        <w:t>Los sujetos obligados sólo proporcionarán la información pública que se les requiera y que obre en sus archivos y en el estado en que ésta se encuentre.</w:t>
      </w:r>
      <w:r w:rsidRPr="00CD55BA">
        <w:rPr>
          <w:rFonts w:eastAsia="Calibri"/>
          <w:i/>
          <w:kern w:val="28"/>
          <w:szCs w:val="56"/>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15DF375" w14:textId="77777777" w:rsidR="002B6672" w:rsidRPr="00CD55BA" w:rsidRDefault="002B6672" w:rsidP="00CD55BA">
      <w:pPr>
        <w:ind w:left="851" w:right="850"/>
        <w:rPr>
          <w:rFonts w:eastAsia="Calibri" w:cs="Arial"/>
          <w:i/>
          <w:szCs w:val="22"/>
        </w:rPr>
      </w:pPr>
      <w:r w:rsidRPr="00CD55BA">
        <w:rPr>
          <w:rFonts w:eastAsia="Calibri" w:cs="Arial"/>
          <w:i/>
          <w:szCs w:val="22"/>
        </w:rPr>
        <w:t>…</w:t>
      </w:r>
    </w:p>
    <w:p w14:paraId="0C517160" w14:textId="77777777" w:rsidR="002B6672" w:rsidRPr="00CD55BA" w:rsidRDefault="002B6672" w:rsidP="00CD55BA">
      <w:pPr>
        <w:spacing w:line="240" w:lineRule="auto"/>
        <w:ind w:left="567" w:right="567"/>
        <w:contextualSpacing/>
        <w:rPr>
          <w:rFonts w:eastAsia="Calibri"/>
          <w:b/>
          <w:i/>
          <w:kern w:val="28"/>
          <w:szCs w:val="56"/>
        </w:rPr>
      </w:pPr>
      <w:r w:rsidRPr="00CD55BA">
        <w:rPr>
          <w:rFonts w:eastAsia="Calibri"/>
          <w:b/>
          <w:bCs/>
          <w:i/>
          <w:kern w:val="28"/>
          <w:szCs w:val="56"/>
        </w:rPr>
        <w:t xml:space="preserve">Artículo 24. </w:t>
      </w:r>
      <w:r w:rsidRPr="00CD55BA">
        <w:rPr>
          <w:rFonts w:eastAsia="Calibri"/>
          <w:b/>
          <w:i/>
          <w:kern w:val="28"/>
          <w:szCs w:val="56"/>
        </w:rPr>
        <w:t>Para el cumplimiento de los objetivos de esta Ley, los sujetos obligados deberán cumplir con las siguientes obligaciones, según corresponda, de acuerdo a su naturaleza:</w:t>
      </w:r>
    </w:p>
    <w:p w14:paraId="2B772740"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bCs/>
          <w:i/>
          <w:kern w:val="28"/>
          <w:szCs w:val="56"/>
        </w:rPr>
        <w:t>..</w:t>
      </w:r>
      <w:r w:rsidRPr="00CD55BA">
        <w:rPr>
          <w:rFonts w:eastAsia="Calibri"/>
          <w:i/>
          <w:kern w:val="28"/>
          <w:szCs w:val="56"/>
        </w:rPr>
        <w:t>.</w:t>
      </w:r>
    </w:p>
    <w:p w14:paraId="15298A26" w14:textId="77777777" w:rsidR="002B6672" w:rsidRPr="00CD55BA" w:rsidRDefault="002B6672" w:rsidP="00CD55BA">
      <w:pPr>
        <w:spacing w:line="240" w:lineRule="auto"/>
        <w:ind w:left="567" w:right="567"/>
        <w:contextualSpacing/>
        <w:rPr>
          <w:rFonts w:eastAsia="Calibri"/>
          <w:bCs/>
          <w:i/>
          <w:kern w:val="28"/>
          <w:szCs w:val="56"/>
        </w:rPr>
      </w:pPr>
      <w:r w:rsidRPr="00CD55BA">
        <w:rPr>
          <w:rFonts w:eastAsia="Calibri"/>
          <w:b/>
          <w:bCs/>
          <w:i/>
          <w:kern w:val="28"/>
          <w:szCs w:val="56"/>
        </w:rPr>
        <w:t>IX.</w:t>
      </w:r>
      <w:r w:rsidRPr="00CD55BA">
        <w:rPr>
          <w:rFonts w:eastAsia="Calibri"/>
          <w:bCs/>
          <w:i/>
          <w:kern w:val="28"/>
          <w:szCs w:val="56"/>
        </w:rPr>
        <w:t xml:space="preserve"> Fomentar el uso de tecnologías de la información para garantizar la transparencia, el derecho de acceso a la información y la accesibilidad a éstos;</w:t>
      </w:r>
    </w:p>
    <w:p w14:paraId="75A57EFF" w14:textId="77777777" w:rsidR="002B6672" w:rsidRPr="00CD55BA" w:rsidRDefault="002B6672" w:rsidP="00CD55BA">
      <w:pPr>
        <w:spacing w:line="240" w:lineRule="auto"/>
        <w:ind w:left="567" w:right="567"/>
        <w:contextualSpacing/>
        <w:rPr>
          <w:rFonts w:eastAsia="Calibri"/>
          <w:bCs/>
          <w:i/>
          <w:kern w:val="28"/>
          <w:szCs w:val="56"/>
        </w:rPr>
      </w:pPr>
      <w:r w:rsidRPr="00CD55BA">
        <w:rPr>
          <w:rFonts w:eastAsia="Calibri"/>
          <w:b/>
          <w:bCs/>
          <w:i/>
          <w:kern w:val="28"/>
          <w:szCs w:val="56"/>
        </w:rPr>
        <w:t>…</w:t>
      </w:r>
    </w:p>
    <w:p w14:paraId="6906051E" w14:textId="77777777" w:rsidR="002B6672" w:rsidRPr="00CD55BA" w:rsidRDefault="002B6672" w:rsidP="00CD55BA">
      <w:pPr>
        <w:spacing w:line="240" w:lineRule="auto"/>
        <w:ind w:left="567" w:right="567"/>
        <w:contextualSpacing/>
        <w:rPr>
          <w:rFonts w:eastAsia="Calibri"/>
          <w:b/>
          <w:bCs/>
          <w:i/>
          <w:kern w:val="28"/>
          <w:szCs w:val="56"/>
        </w:rPr>
      </w:pPr>
      <w:r w:rsidRPr="00CD55BA">
        <w:rPr>
          <w:rFonts w:eastAsia="Calibri"/>
          <w:b/>
          <w:bCs/>
          <w:i/>
          <w:kern w:val="28"/>
          <w:szCs w:val="56"/>
        </w:rPr>
        <w:t>XI.</w:t>
      </w:r>
      <w:r w:rsidRPr="00CD55BA">
        <w:rPr>
          <w:rFonts w:eastAsia="Calibri"/>
          <w:bCs/>
          <w:i/>
          <w:kern w:val="28"/>
          <w:szCs w:val="56"/>
        </w:rPr>
        <w:t xml:space="preserve"> </w:t>
      </w:r>
      <w:r w:rsidRPr="00CD55BA">
        <w:rPr>
          <w:rFonts w:eastAsia="Calibri"/>
          <w:b/>
          <w:bCs/>
          <w:i/>
          <w:kern w:val="28"/>
          <w:szCs w:val="56"/>
        </w:rPr>
        <w:t>Dar acceso a la información pública que le sea requerida, en los términos de la Ley General, esta Ley y demás disposiciones jurídicas aplicables;</w:t>
      </w:r>
    </w:p>
    <w:p w14:paraId="26FF3787"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bCs/>
          <w:i/>
          <w:kern w:val="28"/>
          <w:szCs w:val="56"/>
        </w:rPr>
        <w:t>…</w:t>
      </w:r>
    </w:p>
    <w:p w14:paraId="2801F18A" w14:textId="77777777" w:rsidR="002B6672" w:rsidRPr="00CD55BA" w:rsidRDefault="002B6672" w:rsidP="00CD55BA">
      <w:pPr>
        <w:spacing w:line="240" w:lineRule="auto"/>
        <w:ind w:left="567" w:right="567"/>
        <w:contextualSpacing/>
        <w:rPr>
          <w:rFonts w:eastAsia="Calibri"/>
          <w:i/>
          <w:kern w:val="28"/>
          <w:szCs w:val="56"/>
        </w:rPr>
      </w:pPr>
      <w:r w:rsidRPr="00CD55BA">
        <w:rPr>
          <w:rFonts w:eastAsia="Calibri"/>
          <w:i/>
          <w:kern w:val="28"/>
          <w:szCs w:val="56"/>
        </w:rPr>
        <w:t>En la administración, gestión y custodia de los archivos de información pública, los sujetos obligados, los servidores públicos habilitados y los servidores públicos en general, se ajustarán a lo establecido por la normatividad aplicable.</w:t>
      </w:r>
    </w:p>
    <w:p w14:paraId="6D9BF726" w14:textId="77777777" w:rsidR="002B6672" w:rsidRPr="00CD55BA" w:rsidRDefault="002B6672" w:rsidP="00CD55BA">
      <w:pPr>
        <w:spacing w:line="240" w:lineRule="auto"/>
        <w:ind w:left="567" w:right="567"/>
        <w:contextualSpacing/>
        <w:rPr>
          <w:rFonts w:eastAsia="Calibri"/>
          <w:b/>
          <w:i/>
          <w:kern w:val="28"/>
          <w:szCs w:val="56"/>
        </w:rPr>
      </w:pPr>
      <w:r w:rsidRPr="00CD55BA">
        <w:rPr>
          <w:rFonts w:eastAsia="Calibri"/>
          <w:b/>
          <w:i/>
          <w:kern w:val="28"/>
          <w:szCs w:val="56"/>
        </w:rPr>
        <w:t>Los sujetos obligados solo proporcionarán la información pública que generen, administren o posean en el ejercicio de sus atribuciones.</w:t>
      </w:r>
    </w:p>
    <w:p w14:paraId="1365599B" w14:textId="77777777" w:rsidR="002B6672" w:rsidRPr="00CD55BA" w:rsidRDefault="002B6672" w:rsidP="00CD55BA">
      <w:pPr>
        <w:spacing w:line="240" w:lineRule="auto"/>
        <w:ind w:left="567" w:right="567"/>
        <w:contextualSpacing/>
        <w:rPr>
          <w:rFonts w:eastAsia="Calibri"/>
          <w:i/>
          <w:kern w:val="28"/>
          <w:szCs w:val="56"/>
        </w:rPr>
      </w:pPr>
    </w:p>
    <w:p w14:paraId="322B38E5" w14:textId="77777777" w:rsidR="002B6672" w:rsidRPr="00CD55BA" w:rsidRDefault="002B6672" w:rsidP="00CD55BA">
      <w:pPr>
        <w:rPr>
          <w:rFonts w:eastAsia="Calibri" w:cs="Arial"/>
        </w:rPr>
      </w:pPr>
      <w:r w:rsidRPr="00CD55BA">
        <w:rPr>
          <w:rFonts w:eastAsia="Calibri"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F327BC3" w14:textId="77777777" w:rsidR="002B6672" w:rsidRPr="00CD55BA" w:rsidRDefault="002B6672" w:rsidP="00CD55BA">
      <w:pPr>
        <w:rPr>
          <w:rFonts w:eastAsia="Calibri" w:cs="Arial"/>
        </w:rPr>
      </w:pPr>
    </w:p>
    <w:p w14:paraId="0EC2C820" w14:textId="77777777" w:rsidR="002B6672" w:rsidRPr="00CD55BA" w:rsidRDefault="002B6672" w:rsidP="00CD55BA">
      <w:pPr>
        <w:rPr>
          <w:rFonts w:eastAsia="Calibri" w:cs="Arial"/>
        </w:rPr>
      </w:pPr>
      <w:r w:rsidRPr="00CD55BA">
        <w:rPr>
          <w:rFonts w:eastAsia="Calibri" w:cs="Aria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18436C2" w14:textId="77777777" w:rsidR="002B6672" w:rsidRPr="00CD55BA" w:rsidRDefault="002B6672" w:rsidP="00CD55BA">
      <w:pPr>
        <w:rPr>
          <w:rFonts w:eastAsia="Calibri"/>
          <w:szCs w:val="22"/>
        </w:rPr>
      </w:pPr>
    </w:p>
    <w:p w14:paraId="2835A717" w14:textId="77777777" w:rsidR="002B6672" w:rsidRPr="00CD55BA" w:rsidRDefault="002B6672" w:rsidP="00CD55BA">
      <w:pPr>
        <w:tabs>
          <w:tab w:val="left" w:pos="709"/>
        </w:tabs>
        <w:rPr>
          <w:rFonts w:eastAsia="Calibri" w:cs="Arial"/>
        </w:rPr>
      </w:pPr>
      <w:r w:rsidRPr="00CD55BA">
        <w:rPr>
          <w:rFonts w:eastAsia="Calibri"/>
        </w:rPr>
        <w:t>En estricto sentido</w:t>
      </w:r>
      <w:r w:rsidRPr="00CD55BA">
        <w:rPr>
          <w:rFonts w:eastAsia="Calibri" w:cs="Arial"/>
        </w:rPr>
        <w:t xml:space="preserve">, el derecho de acceso a la información pública se satisface en aquellos casos en que se entregue el soporte documental en que conste la información pública, toda vez que, </w:t>
      </w:r>
      <w:r w:rsidRPr="00CD55BA">
        <w:rPr>
          <w:rFonts w:eastAsia="Calibri" w:cs="Arial"/>
        </w:rPr>
        <w:lastRenderedPageBreak/>
        <w:t>los Sujetos Obligados</w:t>
      </w:r>
      <w:r w:rsidRPr="00CD55BA">
        <w:rPr>
          <w:rFonts w:eastAsia="Calibri" w:cs="Arial"/>
          <w:b/>
        </w:rPr>
        <w:t xml:space="preserve"> </w:t>
      </w:r>
      <w:r w:rsidRPr="00CD55BA">
        <w:rPr>
          <w:rFonts w:eastAsia="Calibri" w:cs="Arial"/>
        </w:rPr>
        <w:t xml:space="preserve">no tienen el deber de generar, poseer o administrar la información pública con el grado de detalle solicitado; esto es, que no tienen el deber de generar un documento </w:t>
      </w:r>
      <w:r w:rsidRPr="00CD55BA">
        <w:rPr>
          <w:rFonts w:eastAsia="Calibri" w:cs="Arial"/>
          <w:i/>
        </w:rPr>
        <w:t>ad hoc</w:t>
      </w:r>
      <w:r w:rsidRPr="00CD55BA">
        <w:rPr>
          <w:rFonts w:eastAsia="Calibri" w:cs="Arial"/>
        </w:rPr>
        <w:t>, para satisfacer el derecho de acceso a la información pública, como lo establece el artículo 12 de la Ley de Transparencia y Acceso a la Información Pública del Estado de México y Municipios.</w:t>
      </w:r>
    </w:p>
    <w:p w14:paraId="2D57E570" w14:textId="77777777" w:rsidR="002B6672" w:rsidRPr="00CD55BA" w:rsidRDefault="002B6672" w:rsidP="00CD55BA">
      <w:pPr>
        <w:ind w:left="567" w:right="51"/>
        <w:rPr>
          <w:rFonts w:cs="Arial"/>
        </w:rPr>
      </w:pPr>
    </w:p>
    <w:p w14:paraId="2009C97D" w14:textId="77777777" w:rsidR="002B6672" w:rsidRPr="00CD55BA" w:rsidRDefault="002B6672" w:rsidP="00CD55BA">
      <w:pPr>
        <w:ind w:right="51"/>
        <w:rPr>
          <w:rFonts w:eastAsia="Calibri" w:cs="Arial"/>
        </w:rPr>
      </w:pPr>
      <w:r w:rsidRPr="00CD55BA">
        <w:rPr>
          <w:rFonts w:eastAsia="Calibri" w:cs="Arial"/>
        </w:rPr>
        <w:t xml:space="preserve">Como apoyo a lo anterior, es aplicable el Criterio 03-17, emitido por </w:t>
      </w:r>
      <w:r w:rsidRPr="00CD55BA">
        <w:rPr>
          <w:rFonts w:eastAsia="Arial Unicode MS" w:cs="Arial"/>
        </w:rPr>
        <w:t>el Instituto Nacional de Transparencia, Acceso a la Información y Protección de Datos Personales,</w:t>
      </w:r>
      <w:r w:rsidRPr="00CD55BA">
        <w:rPr>
          <w:rFonts w:eastAsia="Calibri"/>
          <w:bCs/>
        </w:rPr>
        <w:t xml:space="preserve"> que dice:</w:t>
      </w:r>
      <w:r w:rsidRPr="00CD55BA">
        <w:rPr>
          <w:rFonts w:eastAsia="Calibri"/>
          <w:b/>
          <w:bCs/>
        </w:rPr>
        <w:t xml:space="preserve"> </w:t>
      </w:r>
    </w:p>
    <w:p w14:paraId="3283850C" w14:textId="77777777" w:rsidR="002B6672" w:rsidRPr="00CD55BA" w:rsidRDefault="002B6672" w:rsidP="00CD55BA">
      <w:pPr>
        <w:ind w:left="928" w:right="850"/>
        <w:rPr>
          <w:rFonts w:cs="Arial"/>
          <w:i/>
          <w:szCs w:val="22"/>
        </w:rPr>
      </w:pPr>
    </w:p>
    <w:p w14:paraId="7A93DF85" w14:textId="77777777" w:rsidR="002B6672" w:rsidRPr="00CD55BA" w:rsidRDefault="002B6672" w:rsidP="00CD55BA">
      <w:pPr>
        <w:spacing w:line="240" w:lineRule="auto"/>
        <w:ind w:left="567" w:right="567"/>
        <w:contextualSpacing/>
        <w:rPr>
          <w:i/>
          <w:kern w:val="28"/>
          <w:szCs w:val="56"/>
        </w:rPr>
      </w:pPr>
      <w:r w:rsidRPr="00CD55BA">
        <w:rPr>
          <w:i/>
          <w:kern w:val="28"/>
          <w:szCs w:val="56"/>
        </w:rPr>
        <w:t>“</w:t>
      </w:r>
      <w:r w:rsidRPr="00CD55BA">
        <w:rPr>
          <w:b/>
          <w:i/>
          <w:kern w:val="28"/>
          <w:szCs w:val="56"/>
        </w:rPr>
        <w:t>No existe obligación de elaborar documentos ad hoc para atender las solicitudes de acceso a la información.</w:t>
      </w:r>
      <w:r w:rsidRPr="00CD55BA">
        <w:rPr>
          <w:i/>
          <w:kern w:val="28"/>
          <w:szCs w:val="56"/>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F2DA12" w14:textId="77777777" w:rsidR="002B6672" w:rsidRPr="00CD55BA" w:rsidRDefault="002B6672" w:rsidP="00CD55BA"/>
    <w:p w14:paraId="1E44CC49" w14:textId="77777777" w:rsidR="002B6672" w:rsidRPr="00CD55BA" w:rsidRDefault="002B6672" w:rsidP="00CD55BA">
      <w:r w:rsidRPr="00CD55BA">
        <w:t xml:space="preserve">En consecuencia, este Órgano Garante determina ordenar de ser procedente en </w:t>
      </w:r>
      <w:r w:rsidRPr="00CD55BA">
        <w:rPr>
          <w:b/>
        </w:rPr>
        <w:t xml:space="preserve">versión pública </w:t>
      </w:r>
      <w:r w:rsidRPr="00CD55BA">
        <w:t xml:space="preserve">la entrega del Diario General de Pólizas correspondientes a los meses de enero a diciembre de dos mil veinticuatro. </w:t>
      </w:r>
    </w:p>
    <w:p w14:paraId="371CF100" w14:textId="77777777" w:rsidR="002B6672" w:rsidRPr="00CD55BA" w:rsidRDefault="002B6672" w:rsidP="00CD55BA"/>
    <w:p w14:paraId="27122F7E" w14:textId="77777777" w:rsidR="002B6672" w:rsidRPr="00CD55BA" w:rsidRDefault="002B6672" w:rsidP="00CD55BA">
      <w:pPr>
        <w:keepNext/>
        <w:keepLines/>
        <w:spacing w:line="480" w:lineRule="auto"/>
        <w:jc w:val="left"/>
        <w:outlineLvl w:val="2"/>
        <w:rPr>
          <w:b/>
          <w:szCs w:val="28"/>
        </w:rPr>
      </w:pPr>
      <w:bookmarkStart w:id="34" w:name="_Toc170898812"/>
      <w:bookmarkStart w:id="35" w:name="_Toc172051201"/>
      <w:bookmarkStart w:id="36" w:name="_Toc174466654"/>
      <w:bookmarkStart w:id="37" w:name="_Toc205972609"/>
      <w:r w:rsidRPr="00CD55BA">
        <w:rPr>
          <w:b/>
          <w:szCs w:val="28"/>
        </w:rPr>
        <w:t>d) Versión pública</w:t>
      </w:r>
      <w:bookmarkEnd w:id="34"/>
      <w:bookmarkEnd w:id="35"/>
      <w:bookmarkEnd w:id="36"/>
      <w:bookmarkEnd w:id="37"/>
    </w:p>
    <w:p w14:paraId="7FB4C89D" w14:textId="77777777" w:rsidR="002B6672" w:rsidRPr="00CD55BA" w:rsidRDefault="002B6672" w:rsidP="00CD55BA">
      <w:pPr>
        <w:rPr>
          <w:bCs/>
        </w:rPr>
      </w:pPr>
      <w:r w:rsidRPr="00CD55BA">
        <w:t xml:space="preserve">Para el caso de que el o los documentos de los cuales se ordena su entrega contengan datos personales susceptibles de ser testados, deberán ser entregados en </w:t>
      </w:r>
      <w:r w:rsidRPr="00CD55BA">
        <w:rPr>
          <w:b/>
        </w:rPr>
        <w:t>versión pública</w:t>
      </w:r>
      <w:r w:rsidRPr="00CD55BA">
        <w:t>, pues el</w:t>
      </w:r>
      <w:r w:rsidRPr="00CD55BA">
        <w:rPr>
          <w:bCs/>
        </w:rPr>
        <w:t xml:space="preserve"> derecho de acceso a la información tiene como limitante el respeto a la intimidad y a la vida </w:t>
      </w:r>
      <w:r w:rsidRPr="00CD55BA">
        <w:rPr>
          <w:bCs/>
        </w:rPr>
        <w:lastRenderedPageBreak/>
        <w:t>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581390D" w14:textId="77777777" w:rsidR="002B6672" w:rsidRPr="00CD55BA" w:rsidRDefault="002B6672" w:rsidP="00CD55BA">
      <w:pPr>
        <w:rPr>
          <w:rFonts w:eastAsia="Calibri"/>
          <w:bCs/>
          <w:lang w:eastAsia="en-US"/>
        </w:rPr>
      </w:pPr>
    </w:p>
    <w:p w14:paraId="5976980A" w14:textId="77777777" w:rsidR="002B6672" w:rsidRPr="00CD55BA" w:rsidRDefault="002B6672" w:rsidP="00CD55BA">
      <w:pPr>
        <w:rPr>
          <w:bCs/>
        </w:rPr>
      </w:pPr>
      <w:r w:rsidRPr="00CD55BA">
        <w:rPr>
          <w:bCs/>
        </w:rPr>
        <w:t>A este respecto, los artículos 3, fracciones IX, XX, XXI y XLV; 51 y 52 de la Ley de Transparencia y Acceso a la Información Pública del Estado de México y Municipios establecen:</w:t>
      </w:r>
    </w:p>
    <w:p w14:paraId="35B39C30" w14:textId="77777777" w:rsidR="002B6672" w:rsidRPr="00CD55BA" w:rsidRDefault="002B6672" w:rsidP="00CD55BA"/>
    <w:p w14:paraId="467BAE23" w14:textId="77777777" w:rsidR="002B6672" w:rsidRPr="00CD55BA" w:rsidRDefault="002B6672" w:rsidP="00CD55BA">
      <w:pPr>
        <w:spacing w:line="240" w:lineRule="auto"/>
        <w:ind w:left="567" w:right="567"/>
        <w:contextualSpacing/>
        <w:rPr>
          <w:i/>
          <w:kern w:val="28"/>
          <w:szCs w:val="56"/>
        </w:rPr>
      </w:pPr>
      <w:r w:rsidRPr="00CD55BA">
        <w:rPr>
          <w:b/>
          <w:bCs/>
          <w:i/>
          <w:noProof/>
          <w:kern w:val="28"/>
          <w:szCs w:val="56"/>
        </w:rPr>
        <w:t>“</w:t>
      </w:r>
      <w:r w:rsidRPr="00CD55BA">
        <w:rPr>
          <w:b/>
          <w:bCs/>
          <w:i/>
          <w:kern w:val="28"/>
          <w:szCs w:val="56"/>
        </w:rPr>
        <w:t xml:space="preserve">Artículo 3. </w:t>
      </w:r>
      <w:r w:rsidRPr="00CD55BA">
        <w:rPr>
          <w:i/>
          <w:kern w:val="28"/>
          <w:szCs w:val="56"/>
        </w:rPr>
        <w:t xml:space="preserve">Para los efectos de la presente Ley se entenderá por: </w:t>
      </w:r>
    </w:p>
    <w:p w14:paraId="11D4403F" w14:textId="77777777" w:rsidR="002B6672" w:rsidRPr="00CD55BA" w:rsidRDefault="002B6672" w:rsidP="00CD55BA">
      <w:pPr>
        <w:spacing w:line="240" w:lineRule="auto"/>
        <w:ind w:left="567" w:right="567"/>
        <w:contextualSpacing/>
        <w:rPr>
          <w:i/>
          <w:kern w:val="28"/>
          <w:szCs w:val="56"/>
        </w:rPr>
      </w:pPr>
      <w:r w:rsidRPr="00CD55BA">
        <w:rPr>
          <w:b/>
          <w:i/>
          <w:kern w:val="28"/>
          <w:szCs w:val="56"/>
        </w:rPr>
        <w:t>IX.</w:t>
      </w:r>
      <w:r w:rsidRPr="00CD55BA">
        <w:rPr>
          <w:i/>
          <w:kern w:val="28"/>
          <w:szCs w:val="56"/>
        </w:rPr>
        <w:t xml:space="preserve"> </w:t>
      </w:r>
      <w:r w:rsidRPr="00CD55BA">
        <w:rPr>
          <w:b/>
          <w:i/>
          <w:kern w:val="28"/>
          <w:szCs w:val="56"/>
        </w:rPr>
        <w:t xml:space="preserve">Datos personales: </w:t>
      </w:r>
      <w:r w:rsidRPr="00CD55BA">
        <w:rPr>
          <w:i/>
          <w:kern w:val="28"/>
          <w:szCs w:val="56"/>
        </w:rPr>
        <w:t xml:space="preserve">La información concerniente a una persona, identificada o identificable según lo dispuesto por la Ley de Protección de Datos Personales del Estado de México; </w:t>
      </w:r>
    </w:p>
    <w:p w14:paraId="16B167F6" w14:textId="77777777" w:rsidR="002B6672" w:rsidRPr="00CD55BA" w:rsidRDefault="002B6672" w:rsidP="00CD55BA"/>
    <w:p w14:paraId="2EEE0F40" w14:textId="77777777" w:rsidR="002B6672" w:rsidRPr="00CD55BA" w:rsidRDefault="002B6672" w:rsidP="00CD55BA">
      <w:pPr>
        <w:spacing w:line="240" w:lineRule="auto"/>
        <w:ind w:left="567" w:right="567"/>
        <w:contextualSpacing/>
        <w:rPr>
          <w:i/>
          <w:kern w:val="28"/>
          <w:szCs w:val="56"/>
        </w:rPr>
      </w:pPr>
      <w:r w:rsidRPr="00CD55BA">
        <w:rPr>
          <w:b/>
          <w:i/>
          <w:kern w:val="28"/>
          <w:szCs w:val="56"/>
        </w:rPr>
        <w:t>XX.</w:t>
      </w:r>
      <w:r w:rsidRPr="00CD55BA">
        <w:rPr>
          <w:i/>
          <w:kern w:val="28"/>
          <w:szCs w:val="56"/>
        </w:rPr>
        <w:t xml:space="preserve"> </w:t>
      </w:r>
      <w:r w:rsidRPr="00CD55BA">
        <w:rPr>
          <w:b/>
          <w:i/>
          <w:kern w:val="28"/>
          <w:szCs w:val="56"/>
        </w:rPr>
        <w:t>Información clasificada:</w:t>
      </w:r>
      <w:r w:rsidRPr="00CD55BA">
        <w:rPr>
          <w:i/>
          <w:kern w:val="28"/>
          <w:szCs w:val="56"/>
        </w:rPr>
        <w:t xml:space="preserve"> Aquella considerada por la presente Ley como reservada o confidencial; </w:t>
      </w:r>
    </w:p>
    <w:p w14:paraId="7DCBDDA4" w14:textId="77777777" w:rsidR="002B6672" w:rsidRPr="00CD55BA" w:rsidRDefault="002B6672" w:rsidP="00CD55BA"/>
    <w:p w14:paraId="1102E327" w14:textId="77777777" w:rsidR="002B6672" w:rsidRPr="00CD55BA" w:rsidRDefault="002B6672" w:rsidP="00CD55BA">
      <w:pPr>
        <w:spacing w:line="240" w:lineRule="auto"/>
        <w:ind w:left="567" w:right="567"/>
        <w:contextualSpacing/>
        <w:rPr>
          <w:i/>
          <w:kern w:val="28"/>
          <w:szCs w:val="56"/>
        </w:rPr>
      </w:pPr>
      <w:r w:rsidRPr="00CD55BA">
        <w:rPr>
          <w:b/>
          <w:i/>
          <w:kern w:val="28"/>
          <w:szCs w:val="56"/>
        </w:rPr>
        <w:t>XXI.</w:t>
      </w:r>
      <w:r w:rsidRPr="00CD55BA">
        <w:rPr>
          <w:i/>
          <w:kern w:val="28"/>
          <w:szCs w:val="56"/>
        </w:rPr>
        <w:t xml:space="preserve"> </w:t>
      </w:r>
      <w:r w:rsidRPr="00CD55BA">
        <w:rPr>
          <w:b/>
          <w:i/>
          <w:kern w:val="28"/>
          <w:szCs w:val="56"/>
        </w:rPr>
        <w:t>Información confidencial</w:t>
      </w:r>
      <w:r w:rsidRPr="00CD55BA">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6D10B56" w14:textId="77777777" w:rsidR="002B6672" w:rsidRPr="00CD55BA" w:rsidRDefault="002B6672" w:rsidP="00CD55BA"/>
    <w:p w14:paraId="0CACB69D" w14:textId="77777777" w:rsidR="002B6672" w:rsidRPr="00CD55BA" w:rsidRDefault="002B6672" w:rsidP="00CD55BA">
      <w:pPr>
        <w:spacing w:line="240" w:lineRule="auto"/>
        <w:ind w:left="567" w:right="567"/>
        <w:contextualSpacing/>
        <w:rPr>
          <w:i/>
          <w:kern w:val="28"/>
          <w:szCs w:val="56"/>
        </w:rPr>
      </w:pPr>
      <w:r w:rsidRPr="00CD55BA">
        <w:rPr>
          <w:b/>
          <w:i/>
          <w:kern w:val="28"/>
          <w:szCs w:val="56"/>
        </w:rPr>
        <w:t>XLV. Versión pública:</w:t>
      </w:r>
      <w:r w:rsidRPr="00CD55BA">
        <w:rPr>
          <w:i/>
          <w:kern w:val="28"/>
          <w:szCs w:val="56"/>
        </w:rPr>
        <w:t xml:space="preserve"> Documento en el que se elimine, suprime o borra la información clasificada como reservada o confidencial para permitir su acceso. </w:t>
      </w:r>
    </w:p>
    <w:p w14:paraId="58E66CBE" w14:textId="77777777" w:rsidR="002B6672" w:rsidRPr="00CD55BA" w:rsidRDefault="002B6672" w:rsidP="00CD55BA"/>
    <w:p w14:paraId="1AE68859" w14:textId="77777777" w:rsidR="002B6672" w:rsidRPr="00CD55BA" w:rsidRDefault="002B6672" w:rsidP="00CD55BA">
      <w:pPr>
        <w:spacing w:line="240" w:lineRule="auto"/>
        <w:ind w:left="567" w:right="567"/>
        <w:contextualSpacing/>
        <w:rPr>
          <w:i/>
          <w:kern w:val="28"/>
          <w:szCs w:val="56"/>
        </w:rPr>
      </w:pPr>
      <w:r w:rsidRPr="00CD55BA">
        <w:rPr>
          <w:b/>
          <w:i/>
          <w:kern w:val="28"/>
          <w:szCs w:val="56"/>
        </w:rPr>
        <w:t>Artículo 51.</w:t>
      </w:r>
      <w:r w:rsidRPr="00CD55BA">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D55BA">
        <w:rPr>
          <w:b/>
          <w:i/>
          <w:kern w:val="28"/>
          <w:szCs w:val="56"/>
        </w:rPr>
        <w:t xml:space="preserve">y tendrá la responsabilidad de verificar en cada caso que la misma no sea confidencial o </w:t>
      </w:r>
      <w:r w:rsidRPr="00CD55BA">
        <w:rPr>
          <w:b/>
          <w:i/>
          <w:kern w:val="28"/>
          <w:szCs w:val="56"/>
        </w:rPr>
        <w:lastRenderedPageBreak/>
        <w:t xml:space="preserve">reservada. </w:t>
      </w:r>
      <w:r w:rsidRPr="00CD55BA">
        <w:rPr>
          <w:i/>
          <w:kern w:val="28"/>
          <w:szCs w:val="56"/>
        </w:rPr>
        <w:t>Dicha Unidad contará con las facultades internas necesarias para gestionar la atención a las solicitudes de información en los términos de la Ley General y la presente Ley.</w:t>
      </w:r>
    </w:p>
    <w:p w14:paraId="19097136" w14:textId="77777777" w:rsidR="002B6672" w:rsidRPr="00CD55BA" w:rsidRDefault="002B6672" w:rsidP="00CD55BA"/>
    <w:p w14:paraId="1A48E4E9" w14:textId="77777777" w:rsidR="002B6672" w:rsidRPr="00CD55BA" w:rsidRDefault="002B6672" w:rsidP="00CD55BA">
      <w:pPr>
        <w:spacing w:line="240" w:lineRule="auto"/>
        <w:ind w:left="567" w:right="567"/>
        <w:contextualSpacing/>
        <w:rPr>
          <w:i/>
          <w:kern w:val="28"/>
          <w:szCs w:val="56"/>
        </w:rPr>
      </w:pPr>
      <w:r w:rsidRPr="00CD55BA">
        <w:rPr>
          <w:b/>
          <w:i/>
          <w:kern w:val="28"/>
          <w:szCs w:val="56"/>
        </w:rPr>
        <w:t>Artículo 52.</w:t>
      </w:r>
      <w:r w:rsidRPr="00CD55BA">
        <w:rPr>
          <w:i/>
          <w:kern w:val="28"/>
          <w:szCs w:val="56"/>
        </w:rPr>
        <w:t xml:space="preserve"> Las solicitudes de acceso a la información y las respuestas que se les dé, incluyendo, en su caso, </w:t>
      </w:r>
      <w:r w:rsidRPr="00CD55BA">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CD55BA">
        <w:rPr>
          <w:i/>
          <w:kern w:val="28"/>
          <w:szCs w:val="56"/>
        </w:rPr>
        <w:t>, siempre y cuando la resolución de referencia se someta a un proceso de disociación, es decir, no haga identificable al titular de tales datos personales.</w:t>
      </w:r>
      <w:r w:rsidRPr="00CD55BA">
        <w:rPr>
          <w:bCs/>
          <w:i/>
          <w:noProof/>
          <w:kern w:val="28"/>
          <w:szCs w:val="56"/>
        </w:rPr>
        <w:t xml:space="preserve">” </w:t>
      </w:r>
      <w:r w:rsidRPr="00CD55BA">
        <w:rPr>
          <w:iCs/>
          <w:kern w:val="28"/>
          <w:szCs w:val="22"/>
        </w:rPr>
        <w:t>(Énfasis añadido)</w:t>
      </w:r>
    </w:p>
    <w:p w14:paraId="79826C46" w14:textId="77777777" w:rsidR="002B6672" w:rsidRPr="00CD55BA" w:rsidRDefault="002B6672" w:rsidP="00CD55BA"/>
    <w:p w14:paraId="1B80AB06" w14:textId="77777777" w:rsidR="002B6672" w:rsidRPr="00CD55BA" w:rsidRDefault="002B6672" w:rsidP="00CD55BA">
      <w:r w:rsidRPr="00CD55B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22DC6BE" w14:textId="77777777" w:rsidR="002B6672" w:rsidRPr="00CD55BA" w:rsidRDefault="002B6672" w:rsidP="00CD55BA"/>
    <w:p w14:paraId="212E3E64" w14:textId="77777777" w:rsidR="002B6672" w:rsidRPr="00CD55BA" w:rsidRDefault="002B6672" w:rsidP="00CD55BA">
      <w:pPr>
        <w:spacing w:line="240" w:lineRule="auto"/>
        <w:ind w:left="567" w:right="567"/>
        <w:contextualSpacing/>
        <w:rPr>
          <w:rFonts w:eastAsia="Arial Unicode MS"/>
          <w:i/>
          <w:kern w:val="28"/>
          <w:szCs w:val="56"/>
        </w:rPr>
      </w:pPr>
      <w:r w:rsidRPr="00CD55BA">
        <w:rPr>
          <w:rFonts w:eastAsia="Arial Unicode MS"/>
          <w:b/>
          <w:i/>
          <w:kern w:val="28"/>
          <w:szCs w:val="56"/>
        </w:rPr>
        <w:t>“Artículo 22.</w:t>
      </w:r>
      <w:r w:rsidRPr="00CD55BA">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061C543B" w14:textId="77777777" w:rsidR="002B6672" w:rsidRPr="00CD55BA" w:rsidRDefault="002B6672" w:rsidP="00CD55BA">
      <w:pPr>
        <w:rPr>
          <w:rFonts w:eastAsia="Arial Unicode MS"/>
        </w:rPr>
      </w:pPr>
    </w:p>
    <w:p w14:paraId="07D7FD01" w14:textId="77777777" w:rsidR="002B6672" w:rsidRPr="00CD55BA" w:rsidRDefault="002B6672" w:rsidP="00CD55BA">
      <w:pPr>
        <w:spacing w:line="240" w:lineRule="auto"/>
        <w:ind w:left="567" w:right="567"/>
        <w:contextualSpacing/>
        <w:rPr>
          <w:rFonts w:eastAsia="Arial Unicode MS"/>
          <w:i/>
          <w:kern w:val="28"/>
          <w:szCs w:val="56"/>
        </w:rPr>
      </w:pPr>
      <w:r w:rsidRPr="00CD55BA">
        <w:rPr>
          <w:rFonts w:eastAsia="Arial Unicode MS"/>
          <w:b/>
          <w:i/>
          <w:kern w:val="28"/>
          <w:szCs w:val="56"/>
        </w:rPr>
        <w:t>Artículo 38.</w:t>
      </w:r>
      <w:r w:rsidRPr="00CD55BA">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D55BA">
        <w:rPr>
          <w:rFonts w:eastAsia="Arial Unicode MS"/>
          <w:b/>
          <w:i/>
          <w:kern w:val="28"/>
          <w:szCs w:val="56"/>
        </w:rPr>
        <w:t>”</w:t>
      </w:r>
      <w:r w:rsidRPr="00CD55BA">
        <w:rPr>
          <w:rFonts w:eastAsia="Arial Unicode MS"/>
          <w:i/>
          <w:kern w:val="28"/>
          <w:szCs w:val="56"/>
        </w:rPr>
        <w:t xml:space="preserve"> </w:t>
      </w:r>
    </w:p>
    <w:p w14:paraId="0411D13B" w14:textId="77777777" w:rsidR="002B6672" w:rsidRPr="00CD55BA" w:rsidRDefault="002B6672" w:rsidP="00CD55BA">
      <w:pPr>
        <w:rPr>
          <w:rFonts w:eastAsia="Arial Unicode MS"/>
          <w:i/>
          <w:szCs w:val="22"/>
        </w:rPr>
      </w:pPr>
    </w:p>
    <w:p w14:paraId="3A946AF3" w14:textId="77777777" w:rsidR="002B6672" w:rsidRPr="00CD55BA" w:rsidRDefault="002B6672" w:rsidP="00CD55BA">
      <w:r w:rsidRPr="00CD55BA">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AD7ADB0" w14:textId="77777777" w:rsidR="002B6672" w:rsidRPr="00CD55BA" w:rsidRDefault="002B6672" w:rsidP="00CD55BA"/>
    <w:p w14:paraId="6F2F28BA" w14:textId="77777777" w:rsidR="002B6672" w:rsidRPr="00CD55BA" w:rsidRDefault="002B6672" w:rsidP="00CD55BA">
      <w:r w:rsidRPr="00CD55BA">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D55BA">
        <w:rPr>
          <w:rFonts w:eastAsia="Arial Unicode MS"/>
        </w:rPr>
        <w:t xml:space="preserve"> que debe ser protegida por </w:t>
      </w:r>
      <w:r w:rsidRPr="00CD55BA">
        <w:rPr>
          <w:rFonts w:eastAsia="Arial Unicode MS"/>
          <w:b/>
        </w:rPr>
        <w:t>EL SUJETO OBLIGADO,</w:t>
      </w:r>
      <w:r w:rsidRPr="00CD55BA">
        <w:rPr>
          <w:rFonts w:eastAsia="Arial Unicode MS"/>
        </w:rPr>
        <w:t xml:space="preserve"> por lo </w:t>
      </w:r>
      <w:r w:rsidRPr="00CD55BA">
        <w:t>que, todo dato personal susceptible de clasificación debe ser protegido.</w:t>
      </w:r>
    </w:p>
    <w:p w14:paraId="7F3A6812" w14:textId="77777777" w:rsidR="002B6672" w:rsidRPr="00CD55BA" w:rsidRDefault="002B6672" w:rsidP="00CD55BA"/>
    <w:p w14:paraId="7EB76828" w14:textId="77777777" w:rsidR="002B6672" w:rsidRPr="00CD55BA" w:rsidRDefault="002B6672" w:rsidP="00CD55BA">
      <w:r w:rsidRPr="00CD55B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D23BCD7" w14:textId="77777777" w:rsidR="002B6672" w:rsidRPr="00CD55BA" w:rsidRDefault="002B6672" w:rsidP="00CD55BA"/>
    <w:p w14:paraId="3F107D1D" w14:textId="77777777" w:rsidR="002B6672" w:rsidRPr="00CD55BA" w:rsidRDefault="002B6672" w:rsidP="00CD55BA">
      <w:r w:rsidRPr="00CD55B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9CA8C9" w14:textId="77777777" w:rsidR="002B6672" w:rsidRPr="00CD55BA" w:rsidRDefault="002B6672" w:rsidP="00CD55BA"/>
    <w:p w14:paraId="73040C65" w14:textId="77777777" w:rsidR="002B6672" w:rsidRPr="00CD55BA" w:rsidRDefault="002B6672" w:rsidP="00CD55BA">
      <w:pPr>
        <w:jc w:val="center"/>
        <w:rPr>
          <w:b/>
          <w:i/>
          <w:szCs w:val="22"/>
        </w:rPr>
      </w:pPr>
      <w:r w:rsidRPr="00CD55BA">
        <w:rPr>
          <w:b/>
          <w:i/>
          <w:szCs w:val="22"/>
          <w:lang w:val="es-ES_tradnl"/>
        </w:rPr>
        <w:t>Ley de Transparencia y Acceso a la Información Pública del Estado de México y Municipios</w:t>
      </w:r>
    </w:p>
    <w:p w14:paraId="7D5C75C0" w14:textId="77777777" w:rsidR="002B6672" w:rsidRPr="00CD55BA" w:rsidRDefault="002B6672" w:rsidP="00CD55BA"/>
    <w:p w14:paraId="5F1E38B7" w14:textId="77777777" w:rsidR="002B6672" w:rsidRPr="00CD55BA" w:rsidRDefault="002B6672" w:rsidP="00CD55BA">
      <w:pPr>
        <w:spacing w:line="240" w:lineRule="auto"/>
        <w:ind w:left="567" w:right="567"/>
        <w:contextualSpacing/>
        <w:rPr>
          <w:i/>
          <w:kern w:val="28"/>
          <w:szCs w:val="56"/>
        </w:rPr>
      </w:pPr>
      <w:r w:rsidRPr="00CD55BA">
        <w:rPr>
          <w:b/>
          <w:i/>
          <w:kern w:val="28"/>
          <w:szCs w:val="56"/>
        </w:rPr>
        <w:t xml:space="preserve">“Artículo 49. </w:t>
      </w:r>
      <w:r w:rsidRPr="00CD55BA">
        <w:rPr>
          <w:i/>
          <w:kern w:val="28"/>
          <w:szCs w:val="56"/>
        </w:rPr>
        <w:t>Los Comités de Transparencia tendrán las siguientes atribuciones:</w:t>
      </w:r>
    </w:p>
    <w:p w14:paraId="2572A8F6" w14:textId="77777777" w:rsidR="002B6672" w:rsidRPr="00CD55BA" w:rsidRDefault="002B6672" w:rsidP="00CD55BA">
      <w:pPr>
        <w:spacing w:line="240" w:lineRule="auto"/>
        <w:ind w:left="567" w:right="567"/>
        <w:contextualSpacing/>
        <w:rPr>
          <w:i/>
          <w:kern w:val="28"/>
          <w:szCs w:val="56"/>
        </w:rPr>
      </w:pPr>
      <w:r w:rsidRPr="00CD55BA">
        <w:rPr>
          <w:b/>
          <w:i/>
          <w:kern w:val="28"/>
          <w:szCs w:val="56"/>
        </w:rPr>
        <w:t>VIII.</w:t>
      </w:r>
      <w:r w:rsidRPr="00CD55BA">
        <w:rPr>
          <w:i/>
          <w:kern w:val="28"/>
          <w:szCs w:val="56"/>
        </w:rPr>
        <w:t xml:space="preserve"> Aprobar, modificar o revocar la clasificación de la información;</w:t>
      </w:r>
    </w:p>
    <w:p w14:paraId="3AC8AF19" w14:textId="77777777" w:rsidR="002B6672" w:rsidRPr="00CD55BA" w:rsidRDefault="002B6672" w:rsidP="00CD55BA"/>
    <w:p w14:paraId="3FF221BB" w14:textId="77777777" w:rsidR="002B6672" w:rsidRPr="00CD55BA" w:rsidRDefault="002B6672" w:rsidP="00CD55BA">
      <w:pPr>
        <w:spacing w:line="240" w:lineRule="auto"/>
        <w:ind w:left="567" w:right="567"/>
        <w:contextualSpacing/>
        <w:rPr>
          <w:i/>
          <w:kern w:val="28"/>
          <w:szCs w:val="56"/>
        </w:rPr>
      </w:pPr>
      <w:r w:rsidRPr="00CD55BA">
        <w:rPr>
          <w:b/>
          <w:i/>
          <w:kern w:val="28"/>
          <w:szCs w:val="56"/>
        </w:rPr>
        <w:t>Artículo 132.</w:t>
      </w:r>
      <w:r w:rsidRPr="00CD55BA">
        <w:rPr>
          <w:i/>
          <w:kern w:val="28"/>
          <w:szCs w:val="56"/>
        </w:rPr>
        <w:t xml:space="preserve"> La clasificación de la información se llevará a cabo en el momento en que:</w:t>
      </w:r>
    </w:p>
    <w:p w14:paraId="4704DFFF" w14:textId="77777777" w:rsidR="002B6672" w:rsidRPr="00CD55BA" w:rsidRDefault="002B6672" w:rsidP="00CD55BA">
      <w:pPr>
        <w:spacing w:line="240" w:lineRule="auto"/>
        <w:ind w:left="567" w:right="567"/>
        <w:contextualSpacing/>
        <w:rPr>
          <w:i/>
          <w:kern w:val="28"/>
          <w:szCs w:val="56"/>
        </w:rPr>
      </w:pPr>
      <w:r w:rsidRPr="00CD55BA">
        <w:rPr>
          <w:b/>
          <w:i/>
          <w:kern w:val="28"/>
          <w:szCs w:val="56"/>
        </w:rPr>
        <w:t>I.</w:t>
      </w:r>
      <w:r w:rsidRPr="00CD55BA">
        <w:rPr>
          <w:i/>
          <w:kern w:val="28"/>
          <w:szCs w:val="56"/>
        </w:rPr>
        <w:t xml:space="preserve"> Se reciba una solicitud de acceso a la información;</w:t>
      </w:r>
    </w:p>
    <w:p w14:paraId="2112040B" w14:textId="77777777" w:rsidR="002B6672" w:rsidRPr="00CD55BA" w:rsidRDefault="002B6672" w:rsidP="00CD55BA">
      <w:pPr>
        <w:spacing w:line="240" w:lineRule="auto"/>
        <w:ind w:left="567" w:right="567"/>
        <w:contextualSpacing/>
        <w:rPr>
          <w:i/>
          <w:kern w:val="28"/>
          <w:szCs w:val="56"/>
        </w:rPr>
      </w:pPr>
      <w:r w:rsidRPr="00CD55BA">
        <w:rPr>
          <w:b/>
          <w:i/>
          <w:kern w:val="28"/>
          <w:szCs w:val="56"/>
        </w:rPr>
        <w:t>II.</w:t>
      </w:r>
      <w:r w:rsidRPr="00CD55BA">
        <w:rPr>
          <w:i/>
          <w:kern w:val="28"/>
          <w:szCs w:val="56"/>
        </w:rPr>
        <w:t xml:space="preserve"> Se determine mediante resolución de autoridad competente; o</w:t>
      </w:r>
    </w:p>
    <w:p w14:paraId="4B31DBA2" w14:textId="77777777" w:rsidR="002B6672" w:rsidRPr="00CD55BA" w:rsidRDefault="002B6672" w:rsidP="00CD55BA">
      <w:pPr>
        <w:spacing w:line="240" w:lineRule="auto"/>
        <w:ind w:left="567" w:right="567"/>
        <w:contextualSpacing/>
        <w:rPr>
          <w:b/>
          <w:i/>
          <w:kern w:val="28"/>
          <w:szCs w:val="56"/>
        </w:rPr>
      </w:pPr>
      <w:r w:rsidRPr="00CD55BA">
        <w:rPr>
          <w:b/>
          <w:bCs/>
          <w:i/>
          <w:kern w:val="28"/>
          <w:szCs w:val="56"/>
        </w:rPr>
        <w:t>III.</w:t>
      </w:r>
      <w:r w:rsidRPr="00CD55BA">
        <w:rPr>
          <w:i/>
          <w:kern w:val="28"/>
          <w:szCs w:val="56"/>
        </w:rPr>
        <w:t xml:space="preserve"> Se generen versiones públicas para dar cumplimiento a las obligaciones de transparencia previstas en esta Ley.</w:t>
      </w:r>
      <w:r w:rsidRPr="00CD55BA">
        <w:rPr>
          <w:b/>
          <w:i/>
          <w:kern w:val="28"/>
          <w:szCs w:val="56"/>
        </w:rPr>
        <w:t>”</w:t>
      </w:r>
    </w:p>
    <w:p w14:paraId="52C3B42F" w14:textId="77777777" w:rsidR="002B6672" w:rsidRPr="00CD55BA" w:rsidRDefault="002B6672" w:rsidP="00CD55BA"/>
    <w:p w14:paraId="38E46337" w14:textId="77777777" w:rsidR="002B6672" w:rsidRPr="00CD55BA" w:rsidRDefault="002B6672" w:rsidP="00CD55BA">
      <w:pPr>
        <w:spacing w:line="240" w:lineRule="auto"/>
        <w:ind w:left="567" w:right="567"/>
        <w:contextualSpacing/>
        <w:rPr>
          <w:i/>
          <w:kern w:val="28"/>
          <w:szCs w:val="56"/>
        </w:rPr>
      </w:pPr>
      <w:r w:rsidRPr="00CD55BA">
        <w:rPr>
          <w:b/>
          <w:i/>
          <w:kern w:val="28"/>
          <w:szCs w:val="56"/>
        </w:rPr>
        <w:t>“Segundo. -</w:t>
      </w:r>
      <w:r w:rsidRPr="00CD55BA">
        <w:rPr>
          <w:i/>
          <w:kern w:val="28"/>
          <w:szCs w:val="56"/>
        </w:rPr>
        <w:t xml:space="preserve"> Para efectos de los presentes Lineamientos Generales, se entenderá por:</w:t>
      </w:r>
    </w:p>
    <w:p w14:paraId="2CBEFD4A" w14:textId="77777777" w:rsidR="002B6672" w:rsidRPr="00CD55BA" w:rsidRDefault="002B6672" w:rsidP="00CD55BA">
      <w:pPr>
        <w:spacing w:line="240" w:lineRule="auto"/>
        <w:ind w:left="567" w:right="567"/>
        <w:contextualSpacing/>
        <w:rPr>
          <w:i/>
          <w:kern w:val="28"/>
          <w:szCs w:val="56"/>
        </w:rPr>
      </w:pPr>
      <w:r w:rsidRPr="00CD55BA">
        <w:rPr>
          <w:b/>
          <w:i/>
          <w:kern w:val="28"/>
          <w:szCs w:val="56"/>
        </w:rPr>
        <w:t>XVIII.</w:t>
      </w:r>
      <w:r w:rsidRPr="00CD55BA">
        <w:rPr>
          <w:i/>
          <w:kern w:val="28"/>
          <w:szCs w:val="56"/>
        </w:rPr>
        <w:t xml:space="preserve">  </w:t>
      </w:r>
      <w:r w:rsidRPr="00CD55BA">
        <w:rPr>
          <w:b/>
          <w:i/>
          <w:kern w:val="28"/>
          <w:szCs w:val="56"/>
        </w:rPr>
        <w:t>Versión pública:</w:t>
      </w:r>
      <w:r w:rsidRPr="00CD55BA">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07BE39" w14:textId="77777777" w:rsidR="002B6672" w:rsidRPr="00CD55BA" w:rsidRDefault="002B6672" w:rsidP="00CD55BA">
      <w:pPr>
        <w:spacing w:line="240" w:lineRule="auto"/>
        <w:ind w:left="567" w:right="567"/>
        <w:contextualSpacing/>
        <w:rPr>
          <w:i/>
          <w:kern w:val="28"/>
          <w:szCs w:val="56"/>
        </w:rPr>
      </w:pPr>
    </w:p>
    <w:p w14:paraId="62196F57" w14:textId="77777777" w:rsidR="002B6672" w:rsidRPr="00CD55BA" w:rsidRDefault="002B6672" w:rsidP="00CD55BA">
      <w:pPr>
        <w:spacing w:line="240" w:lineRule="auto"/>
        <w:ind w:left="567" w:right="567"/>
        <w:contextualSpacing/>
        <w:rPr>
          <w:b/>
          <w:i/>
          <w:kern w:val="28"/>
          <w:szCs w:val="56"/>
          <w:lang w:val="es-ES_tradnl" w:eastAsia="es-MX"/>
        </w:rPr>
      </w:pPr>
      <w:r w:rsidRPr="00CD55BA">
        <w:rPr>
          <w:b/>
          <w:i/>
          <w:kern w:val="28"/>
          <w:szCs w:val="56"/>
          <w:lang w:val="es-ES_tradnl" w:eastAsia="es-MX"/>
        </w:rPr>
        <w:t xml:space="preserve">Lineamientos Generales en materia de Clasificación y Desclasificación de la </w:t>
      </w:r>
      <w:r w:rsidRPr="00CD55BA">
        <w:rPr>
          <w:b/>
          <w:i/>
          <w:kern w:val="28"/>
          <w:szCs w:val="56"/>
          <w:lang w:val="es-ES_tradnl"/>
        </w:rPr>
        <w:t>Información</w:t>
      </w:r>
    </w:p>
    <w:p w14:paraId="04D14642" w14:textId="77777777" w:rsidR="002B6672" w:rsidRPr="00CD55BA" w:rsidRDefault="002B6672" w:rsidP="00CD55BA">
      <w:pPr>
        <w:spacing w:line="240" w:lineRule="auto"/>
        <w:ind w:left="567" w:right="567"/>
        <w:contextualSpacing/>
        <w:rPr>
          <w:i/>
          <w:kern w:val="28"/>
          <w:szCs w:val="56"/>
        </w:rPr>
      </w:pPr>
    </w:p>
    <w:p w14:paraId="6B8109CC" w14:textId="77777777" w:rsidR="002B6672" w:rsidRPr="00CD55BA" w:rsidRDefault="002B6672" w:rsidP="00CD55BA">
      <w:pPr>
        <w:spacing w:line="240" w:lineRule="auto"/>
        <w:ind w:left="567" w:right="567"/>
        <w:contextualSpacing/>
        <w:rPr>
          <w:i/>
          <w:kern w:val="28"/>
          <w:szCs w:val="56"/>
        </w:rPr>
      </w:pPr>
      <w:r w:rsidRPr="00CD55BA">
        <w:rPr>
          <w:b/>
          <w:i/>
          <w:kern w:val="28"/>
          <w:szCs w:val="56"/>
        </w:rPr>
        <w:t>Cuarto.</w:t>
      </w:r>
      <w:r w:rsidRPr="00CD55BA">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61BD50" w14:textId="77777777" w:rsidR="002B6672" w:rsidRPr="00CD55BA" w:rsidRDefault="002B6672" w:rsidP="00CD55BA">
      <w:pPr>
        <w:spacing w:line="240" w:lineRule="auto"/>
        <w:ind w:left="567" w:right="567"/>
        <w:contextualSpacing/>
        <w:rPr>
          <w:i/>
          <w:kern w:val="28"/>
          <w:szCs w:val="56"/>
        </w:rPr>
      </w:pPr>
      <w:r w:rsidRPr="00CD55BA">
        <w:rPr>
          <w:i/>
          <w:kern w:val="28"/>
          <w:szCs w:val="56"/>
        </w:rPr>
        <w:t>Los sujetos obligados deberán aplicar, de manera estricta, las excepciones al derecho de acceso a la información y sólo podrán invocarlas cuando acrediten su procedencia.</w:t>
      </w:r>
    </w:p>
    <w:p w14:paraId="50A8769C" w14:textId="77777777" w:rsidR="002B6672" w:rsidRPr="00CD55BA" w:rsidRDefault="002B6672" w:rsidP="00CD55BA"/>
    <w:p w14:paraId="69DB22A0" w14:textId="77777777" w:rsidR="002B6672" w:rsidRPr="00CD55BA" w:rsidRDefault="002B6672" w:rsidP="00CD55BA">
      <w:pPr>
        <w:spacing w:line="240" w:lineRule="auto"/>
        <w:ind w:left="567" w:right="567"/>
        <w:contextualSpacing/>
        <w:rPr>
          <w:i/>
          <w:kern w:val="28"/>
          <w:szCs w:val="56"/>
        </w:rPr>
      </w:pPr>
      <w:r w:rsidRPr="00CD55BA">
        <w:rPr>
          <w:b/>
          <w:i/>
          <w:kern w:val="28"/>
          <w:szCs w:val="56"/>
        </w:rPr>
        <w:t>Quinto.</w:t>
      </w:r>
      <w:r w:rsidRPr="00CD55BA">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CD55BA">
        <w:rPr>
          <w:i/>
          <w:kern w:val="28"/>
          <w:szCs w:val="56"/>
        </w:rPr>
        <w:lastRenderedPageBreak/>
        <w:t>transparencia, observando lo dispuesto en la Ley General y las demás disposiciones aplicables en la materia.</w:t>
      </w:r>
    </w:p>
    <w:p w14:paraId="16CC39CE" w14:textId="77777777" w:rsidR="002B6672" w:rsidRPr="00CD55BA" w:rsidRDefault="002B6672" w:rsidP="00CD55BA"/>
    <w:p w14:paraId="33D259F8" w14:textId="77777777" w:rsidR="002B6672" w:rsidRPr="00CD55BA" w:rsidRDefault="002B6672" w:rsidP="00CD55BA">
      <w:pPr>
        <w:spacing w:line="240" w:lineRule="auto"/>
        <w:ind w:left="567" w:right="567"/>
        <w:contextualSpacing/>
        <w:rPr>
          <w:i/>
          <w:kern w:val="28"/>
          <w:szCs w:val="56"/>
        </w:rPr>
      </w:pPr>
      <w:r w:rsidRPr="00CD55BA">
        <w:rPr>
          <w:b/>
          <w:i/>
          <w:kern w:val="28"/>
          <w:szCs w:val="56"/>
        </w:rPr>
        <w:t>Sexto.</w:t>
      </w:r>
      <w:r w:rsidRPr="00CD55BA">
        <w:rPr>
          <w:i/>
          <w:kern w:val="28"/>
          <w:szCs w:val="56"/>
        </w:rPr>
        <w:t xml:space="preserve"> Se deroga.</w:t>
      </w:r>
    </w:p>
    <w:p w14:paraId="27D25989" w14:textId="77777777" w:rsidR="002B6672" w:rsidRPr="00CD55BA" w:rsidRDefault="002B6672" w:rsidP="00CD55BA"/>
    <w:p w14:paraId="4BC19976" w14:textId="77777777" w:rsidR="002B6672" w:rsidRPr="00CD55BA" w:rsidRDefault="002B6672" w:rsidP="00CD55BA">
      <w:pPr>
        <w:spacing w:line="240" w:lineRule="auto"/>
        <w:ind w:left="567" w:right="567"/>
        <w:contextualSpacing/>
        <w:rPr>
          <w:i/>
          <w:kern w:val="28"/>
          <w:szCs w:val="56"/>
        </w:rPr>
      </w:pPr>
      <w:r w:rsidRPr="00CD55BA">
        <w:rPr>
          <w:b/>
          <w:i/>
          <w:kern w:val="28"/>
          <w:szCs w:val="56"/>
        </w:rPr>
        <w:t>Séptimo.</w:t>
      </w:r>
      <w:r w:rsidRPr="00CD55BA">
        <w:rPr>
          <w:i/>
          <w:kern w:val="28"/>
          <w:szCs w:val="56"/>
        </w:rPr>
        <w:t xml:space="preserve"> La clasificación de la información se llevará a cabo en el momento en que:</w:t>
      </w:r>
    </w:p>
    <w:p w14:paraId="5D2922A6" w14:textId="77777777" w:rsidR="002B6672" w:rsidRPr="00CD55BA" w:rsidRDefault="002B6672" w:rsidP="00CD55BA">
      <w:pPr>
        <w:spacing w:line="240" w:lineRule="auto"/>
        <w:ind w:left="567" w:right="567"/>
        <w:contextualSpacing/>
        <w:rPr>
          <w:i/>
          <w:kern w:val="28"/>
          <w:szCs w:val="56"/>
        </w:rPr>
      </w:pPr>
      <w:r w:rsidRPr="00CD55BA">
        <w:rPr>
          <w:b/>
          <w:i/>
          <w:kern w:val="28"/>
          <w:szCs w:val="56"/>
        </w:rPr>
        <w:t>I.</w:t>
      </w:r>
      <w:r w:rsidRPr="00CD55BA">
        <w:rPr>
          <w:i/>
          <w:kern w:val="28"/>
          <w:szCs w:val="56"/>
        </w:rPr>
        <w:t xml:space="preserve">        Se reciba una solicitud de acceso a la información;</w:t>
      </w:r>
    </w:p>
    <w:p w14:paraId="0E2331E5" w14:textId="77777777" w:rsidR="002B6672" w:rsidRPr="00CD55BA" w:rsidRDefault="002B6672" w:rsidP="00CD55BA">
      <w:pPr>
        <w:spacing w:line="240" w:lineRule="auto"/>
        <w:ind w:left="567" w:right="567"/>
        <w:contextualSpacing/>
        <w:rPr>
          <w:i/>
          <w:kern w:val="28"/>
          <w:szCs w:val="56"/>
        </w:rPr>
      </w:pPr>
      <w:r w:rsidRPr="00CD55BA">
        <w:rPr>
          <w:b/>
          <w:i/>
          <w:kern w:val="28"/>
          <w:szCs w:val="56"/>
        </w:rPr>
        <w:t>II.</w:t>
      </w:r>
      <w:r w:rsidRPr="00CD55BA">
        <w:rPr>
          <w:i/>
          <w:kern w:val="28"/>
          <w:szCs w:val="56"/>
        </w:rPr>
        <w:t xml:space="preserve">       Se determine mediante resolución del Comité de Transparencia, el órgano garante competente, o en cumplimiento a una sentencia del Poder Judicial; o</w:t>
      </w:r>
    </w:p>
    <w:p w14:paraId="773DCDC5" w14:textId="77777777" w:rsidR="002B6672" w:rsidRPr="00CD55BA" w:rsidRDefault="002B6672" w:rsidP="00CD55BA">
      <w:pPr>
        <w:spacing w:line="240" w:lineRule="auto"/>
        <w:ind w:left="567" w:right="567"/>
        <w:contextualSpacing/>
        <w:rPr>
          <w:i/>
          <w:kern w:val="28"/>
          <w:szCs w:val="56"/>
        </w:rPr>
      </w:pPr>
      <w:r w:rsidRPr="00CD55BA">
        <w:rPr>
          <w:b/>
          <w:i/>
          <w:kern w:val="28"/>
          <w:szCs w:val="56"/>
        </w:rPr>
        <w:t>III.</w:t>
      </w:r>
      <w:r w:rsidRPr="00CD55BA">
        <w:rPr>
          <w:i/>
          <w:kern w:val="28"/>
          <w:szCs w:val="56"/>
        </w:rPr>
        <w:t xml:space="preserve">      Se generen versiones públicas para dar cumplimiento a las obligaciones de transparencia previstas en la Ley General, la Ley Federal y las correspondientes de las entidades federativas.</w:t>
      </w:r>
    </w:p>
    <w:p w14:paraId="190BE585" w14:textId="77777777" w:rsidR="002B6672" w:rsidRPr="00CD55BA" w:rsidRDefault="002B6672" w:rsidP="00CD55BA">
      <w:pPr>
        <w:spacing w:line="240" w:lineRule="auto"/>
        <w:ind w:left="567" w:right="567"/>
        <w:contextualSpacing/>
        <w:rPr>
          <w:i/>
          <w:kern w:val="28"/>
          <w:szCs w:val="56"/>
        </w:rPr>
      </w:pPr>
      <w:r w:rsidRPr="00CD55BA">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7870E8F8" w14:textId="77777777" w:rsidR="002B6672" w:rsidRPr="00CD55BA" w:rsidRDefault="002B6672" w:rsidP="00CD55BA"/>
    <w:p w14:paraId="1EA66124" w14:textId="77777777" w:rsidR="002B6672" w:rsidRPr="00CD55BA" w:rsidRDefault="002B6672" w:rsidP="00CD55BA">
      <w:pPr>
        <w:spacing w:line="240" w:lineRule="auto"/>
        <w:ind w:left="567" w:right="567"/>
        <w:contextualSpacing/>
        <w:rPr>
          <w:i/>
          <w:kern w:val="28"/>
          <w:szCs w:val="56"/>
        </w:rPr>
      </w:pPr>
      <w:r w:rsidRPr="00CD55BA">
        <w:rPr>
          <w:b/>
          <w:i/>
          <w:kern w:val="28"/>
          <w:szCs w:val="56"/>
        </w:rPr>
        <w:t>Octavo.</w:t>
      </w:r>
      <w:r w:rsidRPr="00CD55BA">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E95D0B" w14:textId="77777777" w:rsidR="002B6672" w:rsidRPr="00CD55BA" w:rsidRDefault="002B6672" w:rsidP="00CD55BA">
      <w:pPr>
        <w:spacing w:line="240" w:lineRule="auto"/>
        <w:ind w:left="567" w:right="567"/>
        <w:contextualSpacing/>
        <w:rPr>
          <w:i/>
          <w:kern w:val="28"/>
          <w:szCs w:val="56"/>
        </w:rPr>
      </w:pPr>
      <w:r w:rsidRPr="00CD55BA">
        <w:rPr>
          <w:i/>
          <w:kern w:val="28"/>
          <w:szCs w:val="56"/>
        </w:rPr>
        <w:t>Para motivar la clasificación se deberán señalar las razones o circunstancias especiales que lo llevaron a concluir que el caso particular se ajusta al supuesto previsto por la norma legal invocada como fundamento.</w:t>
      </w:r>
    </w:p>
    <w:p w14:paraId="66A36D53" w14:textId="77777777" w:rsidR="002B6672" w:rsidRPr="00CD55BA" w:rsidRDefault="002B6672" w:rsidP="00CD55BA">
      <w:pPr>
        <w:spacing w:line="240" w:lineRule="auto"/>
        <w:ind w:left="567" w:right="567"/>
        <w:contextualSpacing/>
        <w:rPr>
          <w:i/>
          <w:kern w:val="28"/>
          <w:szCs w:val="56"/>
        </w:rPr>
      </w:pPr>
      <w:r w:rsidRPr="00CD55BA">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6A5EC96" w14:textId="77777777" w:rsidR="002B6672" w:rsidRPr="00CD55BA" w:rsidRDefault="002B6672" w:rsidP="00CD55BA"/>
    <w:p w14:paraId="4671EB64" w14:textId="77777777" w:rsidR="002B6672" w:rsidRPr="00CD55BA" w:rsidRDefault="002B6672" w:rsidP="00CD55BA">
      <w:pPr>
        <w:spacing w:line="240" w:lineRule="auto"/>
        <w:ind w:left="567" w:right="567"/>
        <w:contextualSpacing/>
        <w:rPr>
          <w:i/>
          <w:kern w:val="28"/>
          <w:szCs w:val="56"/>
        </w:rPr>
      </w:pPr>
      <w:r w:rsidRPr="00CD55BA">
        <w:rPr>
          <w:b/>
          <w:i/>
          <w:kern w:val="28"/>
          <w:szCs w:val="56"/>
        </w:rPr>
        <w:t>Noveno.</w:t>
      </w:r>
      <w:r w:rsidRPr="00CD55BA">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603E50" w14:textId="77777777" w:rsidR="002B6672" w:rsidRPr="00CD55BA" w:rsidRDefault="002B6672" w:rsidP="00CD55BA"/>
    <w:p w14:paraId="56433484" w14:textId="77777777" w:rsidR="002B6672" w:rsidRPr="00CD55BA" w:rsidRDefault="002B6672" w:rsidP="00CD55BA">
      <w:pPr>
        <w:spacing w:line="240" w:lineRule="auto"/>
        <w:ind w:left="567" w:right="567"/>
        <w:contextualSpacing/>
        <w:rPr>
          <w:i/>
          <w:kern w:val="28"/>
          <w:szCs w:val="56"/>
        </w:rPr>
      </w:pPr>
      <w:r w:rsidRPr="00CD55BA">
        <w:rPr>
          <w:b/>
          <w:i/>
          <w:kern w:val="28"/>
          <w:szCs w:val="56"/>
        </w:rPr>
        <w:t>Décimo.</w:t>
      </w:r>
      <w:r w:rsidRPr="00CD55BA">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CD55BA">
        <w:rPr>
          <w:i/>
          <w:kern w:val="28"/>
          <w:szCs w:val="56"/>
        </w:rPr>
        <w:lastRenderedPageBreak/>
        <w:t>clasificada, en los términos de la Ley General de Archivo, Lineamientos para la Organización y Conservación de Archivos y demás normatividad aplicable.</w:t>
      </w:r>
    </w:p>
    <w:p w14:paraId="6B42814B" w14:textId="77777777" w:rsidR="002B6672" w:rsidRPr="00CD55BA" w:rsidRDefault="002B6672" w:rsidP="00CD55BA">
      <w:pPr>
        <w:spacing w:line="240" w:lineRule="auto"/>
        <w:ind w:left="567" w:right="567"/>
        <w:contextualSpacing/>
        <w:rPr>
          <w:i/>
          <w:kern w:val="28"/>
          <w:szCs w:val="56"/>
        </w:rPr>
      </w:pPr>
      <w:r w:rsidRPr="00CD55BA">
        <w:rPr>
          <w:i/>
          <w:kern w:val="28"/>
          <w:szCs w:val="56"/>
        </w:rPr>
        <w:t>En ausencia de los titulares de las áreas, la información será clasificada o desclasificada por la persona que lo supla, en términos de la normativa que rija la actuación del sujeto obligado.</w:t>
      </w:r>
    </w:p>
    <w:p w14:paraId="7167162D" w14:textId="77777777" w:rsidR="002B6672" w:rsidRPr="00CD55BA" w:rsidRDefault="002B6672" w:rsidP="00CD55BA">
      <w:pPr>
        <w:spacing w:line="240" w:lineRule="auto"/>
        <w:ind w:left="567" w:right="567"/>
        <w:contextualSpacing/>
        <w:rPr>
          <w:b/>
          <w:i/>
          <w:kern w:val="28"/>
          <w:szCs w:val="56"/>
        </w:rPr>
      </w:pPr>
      <w:r w:rsidRPr="00CD55BA">
        <w:rPr>
          <w:b/>
          <w:i/>
          <w:kern w:val="28"/>
          <w:szCs w:val="56"/>
        </w:rPr>
        <w:t>Décimo primero.</w:t>
      </w:r>
      <w:r w:rsidRPr="00CD55BA">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D55BA">
        <w:rPr>
          <w:b/>
          <w:i/>
          <w:kern w:val="28"/>
          <w:szCs w:val="56"/>
        </w:rPr>
        <w:t>”</w:t>
      </w:r>
    </w:p>
    <w:p w14:paraId="1ACAA6F9" w14:textId="77777777" w:rsidR="002B6672" w:rsidRPr="00CD55BA" w:rsidRDefault="002B6672" w:rsidP="00CD55BA"/>
    <w:p w14:paraId="6B746437" w14:textId="77777777" w:rsidR="002B6672" w:rsidRPr="00CD55BA" w:rsidRDefault="002B6672" w:rsidP="00CD55BA">
      <w:pPr>
        <w:rPr>
          <w:lang w:eastAsia="es-CO"/>
        </w:rPr>
      </w:pPr>
      <w:r w:rsidRPr="00CD55BA">
        <w:t xml:space="preserve">Consecuentemente, se destaca que la versión pública que elabore </w:t>
      </w:r>
      <w:r w:rsidRPr="00CD55BA">
        <w:rPr>
          <w:b/>
        </w:rPr>
        <w:t>EL SUJETO OBLIGADO</w:t>
      </w:r>
      <w:r w:rsidRPr="00CD55BA">
        <w:t xml:space="preserve"> debe cumplir con las formalidades exigidas en la Ley, por lo que para tal efecto emitirá el </w:t>
      </w:r>
      <w:r w:rsidRPr="00CD55BA">
        <w:rPr>
          <w:b/>
        </w:rPr>
        <w:t>Acuerdo del Comité de Transparencia</w:t>
      </w:r>
      <w:r w:rsidRPr="00CD55B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D55BA">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B356FF0" w14:textId="77777777" w:rsidR="002B6672" w:rsidRPr="00CD55BA" w:rsidRDefault="002B6672" w:rsidP="00CD55BA"/>
    <w:p w14:paraId="3273BAA3" w14:textId="77777777" w:rsidR="000A509B" w:rsidRPr="00CD55BA" w:rsidRDefault="000A509B" w:rsidP="00CD55BA">
      <w:pPr>
        <w:rPr>
          <w:b/>
        </w:rPr>
      </w:pPr>
      <w:bookmarkStart w:id="38" w:name="_Toc195007310"/>
      <w:r w:rsidRPr="00CD55BA">
        <w:rPr>
          <w:b/>
        </w:rPr>
        <w:t>d) Conclusión</w:t>
      </w:r>
      <w:bookmarkEnd w:id="38"/>
    </w:p>
    <w:p w14:paraId="1F09FD8D" w14:textId="5D50C08B" w:rsidR="002B6672" w:rsidRPr="00CD55BA" w:rsidRDefault="002B6672" w:rsidP="00CD55BA">
      <w:pPr>
        <w:rPr>
          <w:rFonts w:eastAsia="Palatino Linotype" w:cs="Palatino Linotype"/>
        </w:rPr>
      </w:pPr>
      <w:r w:rsidRPr="00CD55BA">
        <w:rPr>
          <w:rFonts w:eastAsia="Palatino Linotype" w:cs="Palatino Linotype"/>
        </w:rPr>
        <w:t xml:space="preserve">En razón de lo anteriormente expuesto, este Instituto estima que las razones o motivos de inconformidad hechos valer por </w:t>
      </w:r>
      <w:r w:rsidRPr="00CD55BA">
        <w:rPr>
          <w:rFonts w:eastAsia="Aptos" w:cs="Tahoma"/>
          <w:b/>
          <w:iCs/>
          <w:szCs w:val="22"/>
          <w:lang w:eastAsia="en-US"/>
        </w:rPr>
        <w:t>LA PARTE RECURRENTE</w:t>
      </w:r>
      <w:r w:rsidRPr="00CD55BA">
        <w:rPr>
          <w:rFonts w:eastAsia="Aptos" w:cs="Tahoma"/>
          <w:bCs/>
          <w:iCs/>
          <w:szCs w:val="22"/>
          <w:lang w:eastAsia="en-US"/>
        </w:rPr>
        <w:t xml:space="preserve"> </w:t>
      </w:r>
      <w:r w:rsidRPr="00CD55BA">
        <w:rPr>
          <w:rFonts w:eastAsia="Palatino Linotype" w:cs="Palatino Linotype"/>
        </w:rPr>
        <w:t xml:space="preserve">devienen </w:t>
      </w:r>
      <w:r w:rsidRPr="00CD55BA">
        <w:rPr>
          <w:rFonts w:eastAsia="Palatino Linotype" w:cs="Palatino Linotype"/>
          <w:b/>
        </w:rPr>
        <w:t>fundadas</w:t>
      </w:r>
      <w:r w:rsidRPr="00CD55BA">
        <w:rPr>
          <w:rFonts w:eastAsia="Palatino Linotype" w:cs="Palatino Linotype"/>
        </w:rPr>
        <w:t xml:space="preserve"> y suficientes para </w:t>
      </w:r>
      <w:r w:rsidRPr="00CD55BA">
        <w:rPr>
          <w:rFonts w:eastAsia="Palatino Linotype" w:cs="Palatino Linotype"/>
          <w:b/>
        </w:rPr>
        <w:t>REVOCAR</w:t>
      </w:r>
      <w:r w:rsidRPr="00CD55BA">
        <w:rPr>
          <w:rFonts w:eastAsia="Palatino Linotype" w:cs="Palatino Linotype"/>
        </w:rPr>
        <w:t xml:space="preserve"> la respuesta del </w:t>
      </w:r>
      <w:r w:rsidRPr="00CD55BA">
        <w:rPr>
          <w:rFonts w:eastAsia="Palatino Linotype" w:cs="Palatino Linotype"/>
          <w:b/>
        </w:rPr>
        <w:t>SUJETO OBLIGADO</w:t>
      </w:r>
      <w:r w:rsidRPr="00CD55BA">
        <w:rPr>
          <w:rFonts w:eastAsia="Palatino Linotype" w:cs="Palatino Linotype"/>
        </w:rPr>
        <w:t xml:space="preserve"> y ordenarle haga entrega de la información descrita en el presente Considerando</w:t>
      </w:r>
    </w:p>
    <w:p w14:paraId="4140274D" w14:textId="77777777" w:rsidR="002B6672" w:rsidRDefault="002B6672" w:rsidP="00CD55BA">
      <w:pPr>
        <w:ind w:right="-93"/>
        <w:rPr>
          <w:rFonts w:cs="Tahoma"/>
          <w:bCs/>
          <w:szCs w:val="22"/>
        </w:rPr>
      </w:pPr>
      <w:r w:rsidRPr="00CD55BA">
        <w:rPr>
          <w:rFonts w:cs="Tahoma"/>
          <w:bCs/>
          <w:szCs w:val="22"/>
        </w:rPr>
        <w:lastRenderedPageBreak/>
        <w:t xml:space="preserve">Así, con fundamento en lo establecido en los artículos 5, párrafos </w:t>
      </w:r>
      <w:r w:rsidRPr="00CD55BA">
        <w:t>trigésimo séptimo, trigésimo octavo, trigésimo noveno, fracciones IV y V</w:t>
      </w:r>
      <w:r w:rsidRPr="00CD55B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C0C5B2" w14:textId="77777777" w:rsidR="00CD55BA" w:rsidRPr="00CD55BA" w:rsidRDefault="00CD55BA" w:rsidP="00CD55BA">
      <w:pPr>
        <w:ind w:right="-93"/>
        <w:rPr>
          <w:rFonts w:cs="Tahoma"/>
          <w:bCs/>
          <w:szCs w:val="22"/>
        </w:rPr>
      </w:pPr>
    </w:p>
    <w:p w14:paraId="55307E40" w14:textId="77777777" w:rsidR="002B6672" w:rsidRPr="00CD55BA" w:rsidRDefault="002B6672" w:rsidP="00CD55BA"/>
    <w:p w14:paraId="40684FD1" w14:textId="77777777" w:rsidR="002B6672" w:rsidRPr="00CD55BA" w:rsidRDefault="002B6672" w:rsidP="00CD55BA">
      <w:pPr>
        <w:pStyle w:val="Ttulo1"/>
      </w:pPr>
      <w:bookmarkStart w:id="39" w:name="_Toc204179150"/>
      <w:bookmarkStart w:id="40" w:name="_Toc205972610"/>
      <w:r w:rsidRPr="00CD55BA">
        <w:t>RESUELVE</w:t>
      </w:r>
      <w:bookmarkEnd w:id="39"/>
      <w:bookmarkEnd w:id="40"/>
    </w:p>
    <w:p w14:paraId="7CCAD459" w14:textId="77777777" w:rsidR="002B6672" w:rsidRPr="00CD55BA" w:rsidRDefault="002B6672" w:rsidP="00CD55BA">
      <w:pPr>
        <w:ind w:right="113"/>
        <w:rPr>
          <w:rFonts w:cs="Arial"/>
          <w:b/>
          <w:szCs w:val="22"/>
        </w:rPr>
      </w:pPr>
    </w:p>
    <w:p w14:paraId="590F4472" w14:textId="5FCD89FF" w:rsidR="002B6672" w:rsidRPr="00CD55BA" w:rsidRDefault="002B6672" w:rsidP="00CD55BA">
      <w:pPr>
        <w:widowControl w:val="0"/>
        <w:rPr>
          <w:rFonts w:eastAsia="Calibri" w:cs="Tahoma"/>
          <w:bCs/>
          <w:szCs w:val="22"/>
          <w:lang w:eastAsia="en-US"/>
        </w:rPr>
      </w:pPr>
      <w:r w:rsidRPr="00CD55BA">
        <w:rPr>
          <w:b/>
          <w:bCs/>
        </w:rPr>
        <w:t>PRIMERO.</w:t>
      </w:r>
      <w:r w:rsidRPr="00CD55BA">
        <w:t xml:space="preserve"> </w:t>
      </w:r>
      <w:r w:rsidRPr="00CD55BA">
        <w:rPr>
          <w:rFonts w:cs="Tahoma"/>
          <w:szCs w:val="22"/>
        </w:rPr>
        <w:t xml:space="preserve">Se </w:t>
      </w:r>
      <w:r w:rsidRPr="00CD55BA">
        <w:rPr>
          <w:rFonts w:cs="Tahoma"/>
          <w:b/>
          <w:bCs/>
          <w:szCs w:val="22"/>
        </w:rPr>
        <w:t>REVOCA</w:t>
      </w:r>
      <w:r w:rsidRPr="00CD55BA">
        <w:rPr>
          <w:rFonts w:cs="Tahoma"/>
          <w:szCs w:val="22"/>
        </w:rPr>
        <w:t xml:space="preserve"> la respuesta entregada por el </w:t>
      </w:r>
      <w:r w:rsidRPr="00CD55BA">
        <w:rPr>
          <w:rFonts w:cs="Tahoma"/>
          <w:b/>
          <w:bCs/>
          <w:szCs w:val="22"/>
        </w:rPr>
        <w:t>SUJETO OBLIGADO</w:t>
      </w:r>
      <w:r w:rsidRPr="00CD55BA">
        <w:rPr>
          <w:rFonts w:cs="Tahoma"/>
          <w:szCs w:val="22"/>
        </w:rPr>
        <w:t xml:space="preserve"> en la solicitud de información </w:t>
      </w:r>
      <w:r w:rsidRPr="00CD55BA">
        <w:rPr>
          <w:rFonts w:cs="Tahoma"/>
          <w:b/>
          <w:bCs/>
          <w:szCs w:val="22"/>
        </w:rPr>
        <w:t>00109/TLALMANA/IP/2025</w:t>
      </w:r>
      <w:r w:rsidRPr="00CD55BA">
        <w:rPr>
          <w:rFonts w:eastAsia="Palatino Linotype"/>
          <w:b/>
          <w:szCs w:val="22"/>
        </w:rPr>
        <w:t>,</w:t>
      </w:r>
      <w:r w:rsidRPr="00CD55BA">
        <w:rPr>
          <w:rFonts w:cs="Tahoma"/>
          <w:bCs/>
          <w:szCs w:val="22"/>
        </w:rPr>
        <w:t xml:space="preserve"> </w:t>
      </w:r>
      <w:r w:rsidRPr="00CD55BA">
        <w:rPr>
          <w:rFonts w:eastAsia="Calibri" w:cs="Tahoma"/>
          <w:bCs/>
          <w:szCs w:val="22"/>
          <w:lang w:eastAsia="en-US"/>
        </w:rPr>
        <w:t xml:space="preserve">por resultar </w:t>
      </w:r>
      <w:r w:rsidRPr="00CD55BA">
        <w:rPr>
          <w:rFonts w:eastAsia="Calibri" w:cs="Tahoma"/>
          <w:b/>
          <w:bCs/>
          <w:szCs w:val="22"/>
          <w:lang w:eastAsia="en-US"/>
        </w:rPr>
        <w:t>FUNDADAS</w:t>
      </w:r>
      <w:r w:rsidRPr="00CD55BA">
        <w:rPr>
          <w:rFonts w:eastAsia="Calibri" w:cs="Tahoma"/>
          <w:bCs/>
          <w:szCs w:val="22"/>
          <w:lang w:eastAsia="en-US"/>
        </w:rPr>
        <w:t xml:space="preserve"> las razones o motivos de inconformidad hechos valer por </w:t>
      </w:r>
      <w:r w:rsidRPr="00CD55BA">
        <w:rPr>
          <w:rFonts w:eastAsia="Calibri" w:cs="Tahoma"/>
          <w:b/>
          <w:szCs w:val="22"/>
          <w:lang w:eastAsia="en-US"/>
        </w:rPr>
        <w:t>LA PARTE RECURRENTE</w:t>
      </w:r>
      <w:r w:rsidRPr="00CD55BA">
        <w:rPr>
          <w:rFonts w:eastAsia="Calibri" w:cs="Tahoma"/>
          <w:bCs/>
          <w:szCs w:val="22"/>
          <w:lang w:eastAsia="en-US"/>
        </w:rPr>
        <w:t xml:space="preserve"> en el Recurso de Revisión </w:t>
      </w:r>
      <w:r w:rsidRPr="00CD55BA">
        <w:rPr>
          <w:rFonts w:eastAsia="Calibri"/>
          <w:b/>
          <w:lang w:eastAsia="en-US"/>
        </w:rPr>
        <w:t>05692/INFOEM/IP/RR/2025</w:t>
      </w:r>
      <w:r w:rsidRPr="00CD55BA">
        <w:rPr>
          <w:rFonts w:eastAsiaTheme="minorHAnsi" w:cstheme="minorBidi"/>
          <w:szCs w:val="22"/>
          <w:lang w:eastAsia="en-US"/>
        </w:rPr>
        <w:t>,</w:t>
      </w:r>
      <w:r w:rsidRPr="00CD55BA">
        <w:rPr>
          <w:rFonts w:cs="Tahoma"/>
          <w:b/>
          <w:szCs w:val="22"/>
        </w:rPr>
        <w:t xml:space="preserve"> </w:t>
      </w:r>
      <w:r w:rsidRPr="00CD55BA">
        <w:rPr>
          <w:rFonts w:eastAsia="Calibri" w:cs="Tahoma"/>
          <w:bCs/>
          <w:szCs w:val="22"/>
          <w:lang w:eastAsia="en-US"/>
        </w:rPr>
        <w:t xml:space="preserve">en términos del considerando </w:t>
      </w:r>
      <w:r w:rsidRPr="00CD55BA">
        <w:rPr>
          <w:rFonts w:eastAsia="Calibri" w:cs="Tahoma"/>
          <w:b/>
          <w:szCs w:val="22"/>
          <w:lang w:eastAsia="en-US"/>
        </w:rPr>
        <w:t>SEGUNDO</w:t>
      </w:r>
      <w:r w:rsidRPr="00CD55BA">
        <w:rPr>
          <w:rFonts w:eastAsia="Calibri" w:cs="Tahoma"/>
          <w:bCs/>
          <w:szCs w:val="22"/>
          <w:lang w:eastAsia="en-US"/>
        </w:rPr>
        <w:t xml:space="preserve"> de la presente Resolución.</w:t>
      </w:r>
    </w:p>
    <w:p w14:paraId="39C1BDA1" w14:textId="77777777" w:rsidR="002B6672" w:rsidRPr="00CD55BA" w:rsidRDefault="002B6672" w:rsidP="00CD55BA">
      <w:pPr>
        <w:rPr>
          <w:rFonts w:eastAsia="Palatino Linotype"/>
          <w:b/>
          <w:szCs w:val="22"/>
        </w:rPr>
      </w:pPr>
    </w:p>
    <w:p w14:paraId="589498C3" w14:textId="44E950C0" w:rsidR="002B6672" w:rsidRPr="00CD55BA" w:rsidRDefault="002B6672" w:rsidP="00CD55BA">
      <w:pPr>
        <w:ind w:right="-93"/>
        <w:rPr>
          <w:rFonts w:eastAsia="Calibri" w:cs="Tahoma"/>
          <w:bCs/>
          <w:szCs w:val="22"/>
          <w:lang w:eastAsia="en-US"/>
        </w:rPr>
      </w:pPr>
      <w:r w:rsidRPr="00CD55BA">
        <w:rPr>
          <w:rFonts w:eastAsia="Calibri" w:cs="Tahoma"/>
          <w:b/>
          <w:bCs/>
          <w:szCs w:val="22"/>
          <w:lang w:eastAsia="en-US"/>
        </w:rPr>
        <w:t>SEGUNDO.</w:t>
      </w:r>
      <w:r w:rsidRPr="00CD55BA">
        <w:rPr>
          <w:rFonts w:eastAsia="Calibri" w:cs="Tahoma"/>
          <w:szCs w:val="22"/>
          <w:lang w:eastAsia="es-MX"/>
        </w:rPr>
        <w:t xml:space="preserve"> Se </w:t>
      </w:r>
      <w:r w:rsidRPr="00CD55BA">
        <w:rPr>
          <w:rFonts w:eastAsia="Calibri" w:cs="Tahoma"/>
          <w:b/>
          <w:szCs w:val="22"/>
          <w:lang w:eastAsia="es-MX"/>
        </w:rPr>
        <w:t xml:space="preserve">ORDENA </w:t>
      </w:r>
      <w:r w:rsidRPr="00CD55BA">
        <w:rPr>
          <w:rFonts w:eastAsia="Calibri" w:cs="Tahoma"/>
          <w:szCs w:val="22"/>
          <w:lang w:eastAsia="es-MX"/>
        </w:rPr>
        <w:t xml:space="preserve">al </w:t>
      </w:r>
      <w:r w:rsidRPr="00CD55BA">
        <w:rPr>
          <w:rFonts w:eastAsia="Calibri" w:cs="Tahoma"/>
          <w:b/>
          <w:bCs/>
          <w:szCs w:val="22"/>
          <w:lang w:eastAsia="es-MX"/>
        </w:rPr>
        <w:t>SUJETO OBLIGADO</w:t>
      </w:r>
      <w:r w:rsidRPr="00CD55BA">
        <w:rPr>
          <w:rFonts w:eastAsia="Calibri" w:cs="Tahoma"/>
          <w:szCs w:val="22"/>
          <w:lang w:eastAsia="es-MX"/>
        </w:rPr>
        <w:t xml:space="preserve">, </w:t>
      </w:r>
      <w:r w:rsidRPr="00CD55BA">
        <w:rPr>
          <w:rFonts w:eastAsia="Calibri" w:cs="Tahoma"/>
          <w:bCs/>
          <w:szCs w:val="22"/>
          <w:lang w:eastAsia="en-US"/>
        </w:rPr>
        <w:t xml:space="preserve">a efecto de que entregue a través del </w:t>
      </w:r>
      <w:r w:rsidRPr="00CD55BA">
        <w:rPr>
          <w:rFonts w:eastAsia="Calibri" w:cs="Tahoma"/>
          <w:b/>
          <w:bCs/>
          <w:szCs w:val="22"/>
          <w:lang w:eastAsia="en-US"/>
        </w:rPr>
        <w:t>SAIMEX</w:t>
      </w:r>
      <w:r w:rsidRPr="00CD55BA">
        <w:rPr>
          <w:rFonts w:eastAsia="Calibri" w:cs="Tahoma"/>
          <w:bCs/>
          <w:szCs w:val="22"/>
          <w:lang w:eastAsia="en-US"/>
        </w:rPr>
        <w:t xml:space="preserve">, </w:t>
      </w:r>
      <w:r w:rsidR="003A0C7B" w:rsidRPr="00CD55BA">
        <w:rPr>
          <w:rFonts w:eastAsia="Calibri" w:cs="Tahoma"/>
          <w:bCs/>
          <w:szCs w:val="22"/>
          <w:lang w:eastAsia="en-US"/>
        </w:rPr>
        <w:t xml:space="preserve">de ser procedente en </w:t>
      </w:r>
      <w:r w:rsidR="003A0C7B" w:rsidRPr="00CD55BA">
        <w:rPr>
          <w:rFonts w:eastAsia="Calibri" w:cs="Tahoma"/>
          <w:b/>
          <w:bCs/>
          <w:szCs w:val="22"/>
          <w:lang w:eastAsia="en-US"/>
        </w:rPr>
        <w:t xml:space="preserve">versión pública </w:t>
      </w:r>
      <w:r w:rsidRPr="00CD55BA">
        <w:rPr>
          <w:rFonts w:eastAsia="Calibri" w:cs="Tahoma"/>
          <w:bCs/>
          <w:szCs w:val="22"/>
          <w:lang w:eastAsia="en-US"/>
        </w:rPr>
        <w:t>lo siguiente:</w:t>
      </w:r>
    </w:p>
    <w:p w14:paraId="57B5516C" w14:textId="77777777" w:rsidR="002B6672" w:rsidRPr="00CD55BA" w:rsidRDefault="002B6672" w:rsidP="00CD55BA">
      <w:pPr>
        <w:rPr>
          <w:rFonts w:eastAsia="Palatino Linotype"/>
          <w:b/>
          <w:szCs w:val="22"/>
        </w:rPr>
      </w:pPr>
    </w:p>
    <w:p w14:paraId="62017B3E" w14:textId="2E03D450" w:rsidR="002B6672" w:rsidRPr="00CD55BA" w:rsidRDefault="002B6672" w:rsidP="00CD55BA">
      <w:pPr>
        <w:pStyle w:val="Ttulo"/>
        <w:rPr>
          <w:b/>
          <w:lang w:val="es-ES"/>
        </w:rPr>
      </w:pPr>
      <w:r w:rsidRPr="00CD55BA">
        <w:rPr>
          <w:b/>
        </w:rPr>
        <w:t>Diario General de Pólizas de los meses de enero, febrero, marzo, abril, mayo, junio, julio, agosto, septiembre, octubre, noviembre y diciembre de 2024</w:t>
      </w:r>
      <w:r w:rsidRPr="00CD55BA">
        <w:rPr>
          <w:b/>
          <w:lang w:val="es-ES"/>
        </w:rPr>
        <w:t xml:space="preserve">. </w:t>
      </w:r>
    </w:p>
    <w:p w14:paraId="6DE1DFA6" w14:textId="77777777" w:rsidR="002B6672" w:rsidRPr="00CD55BA" w:rsidRDefault="002B6672" w:rsidP="00CD55BA">
      <w:pPr>
        <w:rPr>
          <w:lang w:val="es-ES"/>
        </w:rPr>
      </w:pPr>
    </w:p>
    <w:p w14:paraId="0D4DD340" w14:textId="77777777" w:rsidR="002B6672" w:rsidRPr="00CD55BA" w:rsidRDefault="002B6672" w:rsidP="00CD55BA">
      <w:pPr>
        <w:rPr>
          <w:bCs/>
        </w:rPr>
      </w:pPr>
      <w:r w:rsidRPr="00CD55BA">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AE001C" w14:textId="77777777" w:rsidR="002B6672" w:rsidRPr="00CD55BA" w:rsidRDefault="002B6672" w:rsidP="00CD55BA"/>
    <w:p w14:paraId="1747256A" w14:textId="77777777" w:rsidR="002B6672" w:rsidRPr="00CD55BA" w:rsidRDefault="002B6672" w:rsidP="00CD55BA">
      <w:r w:rsidRPr="00CD55BA">
        <w:rPr>
          <w:b/>
          <w:bCs/>
        </w:rPr>
        <w:lastRenderedPageBreak/>
        <w:t>TERCERO.</w:t>
      </w:r>
      <w:r w:rsidRPr="00CD55BA">
        <w:t xml:space="preserve"> </w:t>
      </w:r>
      <w:r w:rsidRPr="00CD55BA">
        <w:rPr>
          <w:rFonts w:eastAsia="Palatino Linotype" w:cs="Palatino Linotype"/>
          <w:b/>
          <w:lang w:eastAsia="es-MX"/>
        </w:rPr>
        <w:t xml:space="preserve">Notifíquese </w:t>
      </w:r>
      <w:r w:rsidRPr="00CD55BA">
        <w:rPr>
          <w:szCs w:val="17"/>
          <w:lang w:eastAsia="es-ES_tradnl"/>
        </w:rPr>
        <w:t xml:space="preserve">vía </w:t>
      </w:r>
      <w:r w:rsidRPr="00CD55BA">
        <w:rPr>
          <w:rFonts w:cs="Arial"/>
        </w:rPr>
        <w:t>Sistema de Acceso a la Información Mexiquense (</w:t>
      </w:r>
      <w:r w:rsidRPr="00CD55BA">
        <w:rPr>
          <w:rFonts w:cs="Arial"/>
          <w:b/>
          <w:bCs/>
        </w:rPr>
        <w:t>SAIMEX)</w:t>
      </w:r>
      <w:r w:rsidRPr="00CD55BA">
        <w:rPr>
          <w:shd w:val="clear" w:color="auto" w:fill="FFFFFF"/>
        </w:rPr>
        <w:t xml:space="preserve"> la presente resolución al Titular de la Unidad de Transparencia del Sujeto Obligado</w:t>
      </w:r>
      <w:r w:rsidRPr="00CD55BA">
        <w:t xml:space="preserve">, para que conforme al artículo 186 último párrafo, 189 segundo párrafo y 194 de la Ley de Transparencia y Acceso a la Información Pública del Estado de México y Municipios, dé cumplimiento a lo ordenado dentro del plazo de </w:t>
      </w:r>
      <w:r w:rsidRPr="00CD55BA">
        <w:rPr>
          <w:b/>
          <w:bCs/>
        </w:rPr>
        <w:t>diez días hábiles</w:t>
      </w:r>
      <w:r w:rsidRPr="00CD55BA">
        <w:t xml:space="preserve">, e informe a este Instituto en un plazo de </w:t>
      </w:r>
      <w:r w:rsidRPr="00CD55BA">
        <w:rPr>
          <w:b/>
          <w:bCs/>
        </w:rPr>
        <w:t>tres días hábiles</w:t>
      </w:r>
      <w:r w:rsidRPr="00CD55BA">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731513" w14:textId="77777777" w:rsidR="002B6672" w:rsidRPr="00CD55BA" w:rsidRDefault="002B6672" w:rsidP="00CD55BA"/>
    <w:p w14:paraId="1CFC2AE8" w14:textId="77777777" w:rsidR="002B6672" w:rsidRPr="00CD55BA" w:rsidRDefault="002B6672" w:rsidP="00CD55BA">
      <w:r w:rsidRPr="00CD55BA">
        <w:rPr>
          <w:b/>
          <w:bCs/>
        </w:rPr>
        <w:t>CUARTO.</w:t>
      </w:r>
      <w:r w:rsidRPr="00CD55BA">
        <w:t xml:space="preserve"> Notifíquese a </w:t>
      </w:r>
      <w:r w:rsidRPr="00CD55BA">
        <w:rPr>
          <w:b/>
          <w:bCs/>
        </w:rPr>
        <w:t>LA PARTE RECURRENTE</w:t>
      </w:r>
      <w:r w:rsidRPr="00CD55BA">
        <w:t xml:space="preserve"> la presente resolución vía Sistema de Acceso a la Información Mexiquense (SAIMEX).</w:t>
      </w:r>
    </w:p>
    <w:p w14:paraId="1106D82E" w14:textId="77777777" w:rsidR="002B6672" w:rsidRPr="00CD55BA" w:rsidRDefault="002B6672" w:rsidP="00CD55BA"/>
    <w:p w14:paraId="4EA024A4" w14:textId="77777777" w:rsidR="002B6672" w:rsidRPr="00CD55BA" w:rsidRDefault="002B6672" w:rsidP="00CD55BA">
      <w:r w:rsidRPr="00CD55BA">
        <w:rPr>
          <w:b/>
          <w:bCs/>
        </w:rPr>
        <w:t>QUINTO</w:t>
      </w:r>
      <w:r w:rsidRPr="00CD55BA">
        <w:t xml:space="preserve">. Hágase del conocimiento a </w:t>
      </w:r>
      <w:r w:rsidRPr="00CD55BA">
        <w:rPr>
          <w:b/>
          <w:bCs/>
        </w:rPr>
        <w:t>LA PARTE RECURRENTE</w:t>
      </w:r>
      <w:r w:rsidRPr="00CD55B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0AA8FCD" w14:textId="77777777" w:rsidR="002B6672" w:rsidRPr="00CD55BA" w:rsidRDefault="002B6672" w:rsidP="00CD55BA">
      <w:pPr>
        <w:widowControl w:val="0"/>
        <w:autoSpaceDE w:val="0"/>
        <w:autoSpaceDN w:val="0"/>
        <w:adjustRightInd w:val="0"/>
      </w:pPr>
    </w:p>
    <w:p w14:paraId="5A5B9EB6" w14:textId="77777777" w:rsidR="002B6672" w:rsidRPr="00CD55BA" w:rsidRDefault="002B6672" w:rsidP="00CD55BA">
      <w:r w:rsidRPr="00CD55BA">
        <w:rPr>
          <w:b/>
          <w:bCs/>
        </w:rPr>
        <w:t>SEXTO.</w:t>
      </w:r>
      <w:r w:rsidRPr="00CD55BA">
        <w:t xml:space="preserve"> De conformidad con el artículo 198 de la Ley de Transparencia y Acceso a la Información Pública del Estado de México y Municipios, el </w:t>
      </w:r>
      <w:r w:rsidRPr="00CD55BA">
        <w:rPr>
          <w:b/>
          <w:bCs/>
        </w:rPr>
        <w:t>SUJETO OBLIGADO</w:t>
      </w:r>
      <w:r w:rsidRPr="00CD55BA">
        <w:t xml:space="preserve"> podrá solicitar una ampliación de plazo de manera fundada y motivada, para el cumplimiento de la presente resolución.</w:t>
      </w:r>
    </w:p>
    <w:p w14:paraId="430D4192" w14:textId="77777777" w:rsidR="00B137E8" w:rsidRDefault="00B137E8" w:rsidP="00CD55BA">
      <w:pPr>
        <w:ind w:right="113"/>
        <w:rPr>
          <w:rFonts w:cs="Arial"/>
          <w:b/>
          <w:szCs w:val="22"/>
        </w:rPr>
      </w:pPr>
    </w:p>
    <w:p w14:paraId="6A6D20B8" w14:textId="77777777" w:rsidR="00CD55BA" w:rsidRPr="00CD55BA" w:rsidRDefault="00CD55BA" w:rsidP="00CD55BA">
      <w:pPr>
        <w:ind w:right="113"/>
        <w:rPr>
          <w:rFonts w:cs="Arial"/>
          <w:b/>
          <w:szCs w:val="22"/>
        </w:rPr>
      </w:pPr>
    </w:p>
    <w:p w14:paraId="0F91A6D8" w14:textId="77777777" w:rsidR="002B6672" w:rsidRPr="00CD55BA" w:rsidRDefault="002B6672" w:rsidP="00CD55BA">
      <w:pPr>
        <w:ind w:right="-93"/>
      </w:pPr>
      <w:r w:rsidRPr="00CD55BA">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64E59AFC" w14:textId="1DAEF4D3" w:rsidR="00B822AE" w:rsidRPr="00CD55BA" w:rsidRDefault="009C04A8" w:rsidP="00CD55BA">
      <w:pPr>
        <w:ind w:right="-93"/>
        <w:rPr>
          <w:rFonts w:eastAsia="Palatino Linotype" w:cs="Palatino Linotype"/>
          <w:sz w:val="20"/>
        </w:rPr>
      </w:pPr>
      <w:r w:rsidRPr="00CD55BA">
        <w:rPr>
          <w:rFonts w:eastAsia="Palatino Linotype" w:cs="Palatino Linotype"/>
          <w:sz w:val="20"/>
        </w:rPr>
        <w:t>SCMM/AGZ/DEMF/RPG</w:t>
      </w:r>
    </w:p>
    <w:p w14:paraId="5BF3172C" w14:textId="77777777" w:rsidR="00B822AE" w:rsidRPr="00CD55BA" w:rsidRDefault="00B822AE" w:rsidP="00CD55BA">
      <w:pPr>
        <w:spacing w:after="160" w:line="259" w:lineRule="auto"/>
        <w:jc w:val="left"/>
        <w:rPr>
          <w:rFonts w:eastAsia="Palatino Linotype" w:cs="Palatino Linotype"/>
          <w:sz w:val="20"/>
        </w:rPr>
      </w:pPr>
      <w:r w:rsidRPr="00CD55BA">
        <w:rPr>
          <w:rFonts w:eastAsia="Palatino Linotype" w:cs="Palatino Linotype"/>
          <w:sz w:val="20"/>
        </w:rPr>
        <w:br w:type="page"/>
      </w:r>
    </w:p>
    <w:p w14:paraId="1A2522A6" w14:textId="77777777" w:rsidR="009C04A8" w:rsidRPr="00CD55BA" w:rsidRDefault="009C04A8" w:rsidP="00CD55BA">
      <w:pPr>
        <w:ind w:right="-93"/>
        <w:rPr>
          <w:rFonts w:eastAsia="Calibri" w:cs="Tahoma"/>
          <w:szCs w:val="22"/>
          <w:lang w:val="es-ES"/>
        </w:rPr>
      </w:pPr>
    </w:p>
    <w:p w14:paraId="696BC976" w14:textId="77777777" w:rsidR="00664420" w:rsidRPr="00CD55BA" w:rsidRDefault="00664420" w:rsidP="00CD55BA">
      <w:pPr>
        <w:ind w:right="-93"/>
        <w:rPr>
          <w:rFonts w:eastAsia="Calibri" w:cs="Tahoma"/>
          <w:bCs/>
          <w:szCs w:val="22"/>
          <w:lang w:val="es-ES" w:eastAsia="en-US"/>
        </w:rPr>
      </w:pPr>
    </w:p>
    <w:p w14:paraId="671CB0C5" w14:textId="77777777" w:rsidR="00664420" w:rsidRPr="00CD55BA" w:rsidRDefault="00664420" w:rsidP="00CD55BA">
      <w:pPr>
        <w:ind w:right="-93"/>
        <w:rPr>
          <w:rFonts w:eastAsia="Calibri" w:cs="Tahoma"/>
          <w:bCs/>
          <w:szCs w:val="22"/>
          <w:lang w:val="es-ES_tradnl" w:eastAsia="en-US"/>
        </w:rPr>
      </w:pPr>
    </w:p>
    <w:p w14:paraId="6FDF3D7E" w14:textId="77777777" w:rsidR="00664420" w:rsidRPr="00CD55BA" w:rsidRDefault="00664420" w:rsidP="00CD55BA">
      <w:pPr>
        <w:tabs>
          <w:tab w:val="center" w:pos="4568"/>
        </w:tabs>
        <w:ind w:right="-93"/>
        <w:rPr>
          <w:rFonts w:eastAsia="Calibri" w:cs="Tahoma"/>
          <w:bCs/>
          <w:szCs w:val="22"/>
          <w:lang w:eastAsia="en-US"/>
        </w:rPr>
      </w:pPr>
    </w:p>
    <w:p w14:paraId="6246F818" w14:textId="77777777" w:rsidR="00664420" w:rsidRPr="00CD55BA" w:rsidRDefault="00664420" w:rsidP="00CD55BA">
      <w:pPr>
        <w:tabs>
          <w:tab w:val="center" w:pos="4568"/>
        </w:tabs>
        <w:ind w:right="-93"/>
        <w:rPr>
          <w:rFonts w:eastAsia="Calibri" w:cs="Tahoma"/>
          <w:bCs/>
          <w:szCs w:val="22"/>
          <w:lang w:eastAsia="en-US"/>
        </w:rPr>
      </w:pPr>
    </w:p>
    <w:p w14:paraId="57A88B28" w14:textId="77777777" w:rsidR="00664420" w:rsidRPr="00CD55BA" w:rsidRDefault="00664420" w:rsidP="00CD55BA">
      <w:pPr>
        <w:tabs>
          <w:tab w:val="center" w:pos="4568"/>
        </w:tabs>
        <w:ind w:right="-93"/>
        <w:rPr>
          <w:rFonts w:eastAsia="Calibri" w:cs="Tahoma"/>
          <w:bCs/>
          <w:szCs w:val="22"/>
          <w:lang w:eastAsia="en-US"/>
        </w:rPr>
      </w:pPr>
    </w:p>
    <w:p w14:paraId="77EF6095" w14:textId="77777777" w:rsidR="00664420" w:rsidRPr="00CD55BA" w:rsidRDefault="00664420" w:rsidP="00CD55BA">
      <w:pPr>
        <w:tabs>
          <w:tab w:val="center" w:pos="4568"/>
        </w:tabs>
        <w:ind w:right="-93"/>
        <w:rPr>
          <w:rFonts w:eastAsia="Calibri" w:cs="Tahoma"/>
          <w:bCs/>
          <w:szCs w:val="22"/>
          <w:lang w:eastAsia="en-US"/>
        </w:rPr>
      </w:pPr>
    </w:p>
    <w:p w14:paraId="35593947" w14:textId="77777777" w:rsidR="00664420" w:rsidRPr="00CD55BA" w:rsidRDefault="00664420" w:rsidP="00CD55BA">
      <w:pPr>
        <w:tabs>
          <w:tab w:val="center" w:pos="4568"/>
        </w:tabs>
        <w:ind w:right="-93"/>
        <w:rPr>
          <w:rFonts w:eastAsia="Calibri" w:cs="Tahoma"/>
          <w:bCs/>
          <w:szCs w:val="22"/>
          <w:lang w:eastAsia="en-US"/>
        </w:rPr>
      </w:pPr>
    </w:p>
    <w:p w14:paraId="3AF72A17" w14:textId="77777777" w:rsidR="00664420" w:rsidRPr="00CD55BA" w:rsidRDefault="00664420" w:rsidP="00CD55BA">
      <w:pPr>
        <w:tabs>
          <w:tab w:val="center" w:pos="4568"/>
        </w:tabs>
        <w:ind w:right="-93"/>
        <w:rPr>
          <w:rFonts w:eastAsia="Calibri" w:cs="Tahoma"/>
          <w:bCs/>
          <w:szCs w:val="22"/>
          <w:lang w:eastAsia="en-US"/>
        </w:rPr>
      </w:pPr>
    </w:p>
    <w:p w14:paraId="37169144" w14:textId="77777777" w:rsidR="00664420" w:rsidRPr="00CD55BA" w:rsidRDefault="00664420" w:rsidP="00CD55BA">
      <w:pPr>
        <w:tabs>
          <w:tab w:val="center" w:pos="4568"/>
        </w:tabs>
        <w:ind w:right="-93"/>
        <w:rPr>
          <w:rFonts w:eastAsia="Calibri" w:cs="Tahoma"/>
          <w:bCs/>
          <w:szCs w:val="22"/>
          <w:lang w:eastAsia="en-US"/>
        </w:rPr>
      </w:pPr>
    </w:p>
    <w:p w14:paraId="77CFC088" w14:textId="77777777" w:rsidR="00664420" w:rsidRPr="00CD55BA" w:rsidRDefault="00664420" w:rsidP="00CD55BA">
      <w:pPr>
        <w:tabs>
          <w:tab w:val="center" w:pos="4568"/>
        </w:tabs>
        <w:ind w:right="-93"/>
        <w:rPr>
          <w:rFonts w:eastAsia="Calibri" w:cs="Tahoma"/>
          <w:bCs/>
          <w:szCs w:val="22"/>
          <w:lang w:eastAsia="en-US"/>
        </w:rPr>
      </w:pPr>
    </w:p>
    <w:p w14:paraId="781A11A5" w14:textId="77777777" w:rsidR="00664420" w:rsidRPr="00CD55BA" w:rsidRDefault="00664420" w:rsidP="00CD55BA">
      <w:pPr>
        <w:tabs>
          <w:tab w:val="center" w:pos="4568"/>
        </w:tabs>
        <w:ind w:right="-93"/>
        <w:rPr>
          <w:rFonts w:eastAsia="Calibri" w:cs="Tahoma"/>
          <w:bCs/>
          <w:szCs w:val="22"/>
          <w:lang w:eastAsia="en-US"/>
        </w:rPr>
      </w:pPr>
    </w:p>
    <w:p w14:paraId="5B4ADFF3" w14:textId="77777777" w:rsidR="00A131AC" w:rsidRPr="00CD55BA" w:rsidRDefault="00A131AC" w:rsidP="00CD55BA"/>
    <w:sectPr w:rsidR="00A131AC" w:rsidRPr="00CD55BA" w:rsidSect="00EE2AF2">
      <w:footerReference w:type="default" r:id="rId19"/>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2D107" w14:textId="77777777" w:rsidR="00E01E55" w:rsidRDefault="00E01E55" w:rsidP="00664420">
      <w:pPr>
        <w:spacing w:line="240" w:lineRule="auto"/>
      </w:pPr>
      <w:r>
        <w:separator/>
      </w:r>
    </w:p>
  </w:endnote>
  <w:endnote w:type="continuationSeparator" w:id="0">
    <w:p w14:paraId="3EF72C4D" w14:textId="77777777" w:rsidR="00E01E55" w:rsidRDefault="00E01E5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panose1 w:val="020B0604020202020204"/>
    <w:charset w:val="00"/>
    <w:family w:val="swiss"/>
    <w:pitch w:val="variable"/>
    <w:sig w:usb0="00000001" w:usb1="00000003" w:usb2="00000000" w:usb3="00000000" w:csb0="0000019F" w:csb1="00000000"/>
  </w:font>
  <w:font w:name="Aptos Display">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1E7615" w:rsidRDefault="001E7615">
    <w:pPr>
      <w:tabs>
        <w:tab w:val="center" w:pos="4550"/>
        <w:tab w:val="left" w:pos="5818"/>
      </w:tabs>
      <w:ind w:right="260"/>
      <w:jc w:val="right"/>
      <w:rPr>
        <w:color w:val="071320" w:themeColor="text2" w:themeShade="80"/>
        <w:sz w:val="24"/>
        <w:szCs w:val="24"/>
      </w:rPr>
    </w:pPr>
  </w:p>
  <w:p w14:paraId="1BCA7F23" w14:textId="77777777" w:rsidR="001E7615" w:rsidRDefault="001E76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77777777" w:rsidR="001E7615" w:rsidRDefault="001E761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B03479" w:rsidRPr="00B03479">
      <w:rPr>
        <w:noProof/>
        <w:color w:val="0A1D30" w:themeColor="text2" w:themeShade="BF"/>
        <w:sz w:val="24"/>
        <w:szCs w:val="24"/>
        <w:lang w:val="es-ES"/>
      </w:rPr>
      <w:t>37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B03479" w:rsidRPr="00B03479">
      <w:rPr>
        <w:noProof/>
        <w:color w:val="0A1D30" w:themeColor="text2" w:themeShade="BF"/>
        <w:sz w:val="24"/>
        <w:szCs w:val="24"/>
        <w:lang w:val="es-ES"/>
      </w:rPr>
      <w:t>38</w:t>
    </w:r>
    <w:r>
      <w:rPr>
        <w:color w:val="0A1D30" w:themeColor="text2" w:themeShade="BF"/>
        <w:sz w:val="24"/>
        <w:szCs w:val="24"/>
      </w:rPr>
      <w:fldChar w:fldCharType="end"/>
    </w:r>
  </w:p>
  <w:p w14:paraId="310E15C0" w14:textId="77777777" w:rsidR="001E7615" w:rsidRDefault="001E76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310C" w14:textId="77777777" w:rsidR="00E01E55" w:rsidRDefault="00E01E55" w:rsidP="00664420">
      <w:pPr>
        <w:spacing w:line="240" w:lineRule="auto"/>
      </w:pPr>
      <w:r>
        <w:separator/>
      </w:r>
    </w:p>
  </w:footnote>
  <w:footnote w:type="continuationSeparator" w:id="0">
    <w:p w14:paraId="4E722815" w14:textId="77777777" w:rsidR="00E01E55" w:rsidRDefault="00E01E55" w:rsidP="00664420">
      <w:pPr>
        <w:spacing w:line="240" w:lineRule="auto"/>
      </w:pPr>
      <w:r>
        <w:continuationSeparator/>
      </w:r>
    </w:p>
  </w:footnote>
  <w:footnote w:id="1">
    <w:p w14:paraId="44E5DE06" w14:textId="77777777" w:rsidR="0091308D" w:rsidRDefault="0091308D" w:rsidP="0091308D">
      <w:pPr>
        <w:pStyle w:val="Textonotapie"/>
      </w:pPr>
      <w:r>
        <w:rPr>
          <w:rStyle w:val="Refdenotaalpie"/>
        </w:rPr>
        <w:footnoteRef/>
      </w:r>
      <w:r>
        <w:t xml:space="preserve"> </w:t>
      </w:r>
      <w:r w:rsidRPr="00CC5ED7">
        <w:rPr>
          <w:i/>
          <w:iCs/>
        </w:rPr>
        <w:t>https://legislacion.edomex.gob.mx/sites/legislacion.edomex.gob.mx/files/files/pdf/gct/2025/abril/abr011/abr011a.pdf</w:t>
      </w:r>
    </w:p>
  </w:footnote>
  <w:footnote w:id="2">
    <w:p w14:paraId="092B6D02" w14:textId="003165CE" w:rsidR="00E35F0B" w:rsidRPr="00E35F0B" w:rsidRDefault="00E35F0B">
      <w:pPr>
        <w:pStyle w:val="Textonotapie"/>
        <w:rPr>
          <w:i/>
          <w:iCs/>
        </w:rPr>
      </w:pPr>
      <w:r>
        <w:rPr>
          <w:rStyle w:val="Refdenotaalpie"/>
        </w:rPr>
        <w:footnoteRef/>
      </w:r>
      <w:r>
        <w:t xml:space="preserve"> </w:t>
      </w:r>
      <w:r w:rsidRPr="00E35F0B">
        <w:rPr>
          <w:i/>
          <w:iCs/>
        </w:rPr>
        <w:t>https://www.osfem.gob.mx/assets/entidades/documentos_apoyo/2025/info_trim/mpal/modulo1.pdf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7615" w:rsidRPr="00330DA7" w14:paraId="070A4B18" w14:textId="77777777" w:rsidTr="003F35FD">
      <w:trPr>
        <w:trHeight w:val="144"/>
        <w:jc w:val="right"/>
      </w:trPr>
      <w:tc>
        <w:tcPr>
          <w:tcW w:w="2727" w:type="dxa"/>
        </w:tcPr>
        <w:p w14:paraId="62B7493A"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3B60C7F" w:rsidR="001E7615" w:rsidRPr="00A90C72" w:rsidRDefault="001E7615" w:rsidP="004F6D6C">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0C424C">
            <w:rPr>
              <w:rFonts w:eastAsia="Calibri" w:cs="Tahoma"/>
              <w:szCs w:val="22"/>
              <w:lang w:eastAsia="en-US"/>
            </w:rPr>
            <w:t>5692</w:t>
          </w:r>
          <w:r w:rsidRPr="006E7E69">
            <w:rPr>
              <w:rFonts w:eastAsia="Calibri" w:cs="Tahoma"/>
              <w:szCs w:val="22"/>
              <w:lang w:eastAsia="en-US"/>
            </w:rPr>
            <w:t>/INFOEM/IP/RR/2025</w:t>
          </w:r>
        </w:p>
      </w:tc>
    </w:tr>
    <w:tr w:rsidR="001E7615" w:rsidRPr="00330DA7" w14:paraId="4521E058" w14:textId="77777777" w:rsidTr="003F35FD">
      <w:trPr>
        <w:trHeight w:val="283"/>
        <w:jc w:val="right"/>
      </w:trPr>
      <w:tc>
        <w:tcPr>
          <w:tcW w:w="2727" w:type="dxa"/>
        </w:tcPr>
        <w:p w14:paraId="0B68C086"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D1A8AAD" w:rsidR="001E7615" w:rsidRPr="009233A1" w:rsidRDefault="000C424C" w:rsidP="004F6D6C">
          <w:pPr>
            <w:tabs>
              <w:tab w:val="right" w:pos="8838"/>
            </w:tabs>
            <w:spacing w:line="240" w:lineRule="auto"/>
            <w:ind w:left="-74" w:right="-105"/>
            <w:rPr>
              <w:rFonts w:eastAsia="Calibri" w:cs="Tahoma"/>
              <w:szCs w:val="22"/>
              <w:lang w:val="es-MX" w:eastAsia="en-US"/>
            </w:rPr>
          </w:pPr>
          <w:r w:rsidRPr="000C424C">
            <w:rPr>
              <w:rFonts w:eastAsia="Calibri" w:cs="Tahoma"/>
              <w:szCs w:val="22"/>
              <w:lang w:eastAsia="en-US"/>
            </w:rPr>
            <w:t xml:space="preserve">Ayuntamiento de </w:t>
          </w:r>
          <w:proofErr w:type="spellStart"/>
          <w:r w:rsidRPr="000C424C">
            <w:rPr>
              <w:rFonts w:eastAsia="Calibri" w:cs="Tahoma"/>
              <w:szCs w:val="22"/>
              <w:lang w:eastAsia="en-US"/>
            </w:rPr>
            <w:t>Tlalmanalco</w:t>
          </w:r>
          <w:proofErr w:type="spellEnd"/>
        </w:p>
      </w:tc>
    </w:tr>
    <w:tr w:rsidR="001E7615" w:rsidRPr="00330DA7" w14:paraId="6331D9B6" w14:textId="77777777" w:rsidTr="003F35FD">
      <w:trPr>
        <w:trHeight w:val="283"/>
        <w:jc w:val="right"/>
      </w:trPr>
      <w:tc>
        <w:tcPr>
          <w:tcW w:w="2727" w:type="dxa"/>
        </w:tcPr>
        <w:p w14:paraId="3FA86BAE" w14:textId="6568823B" w:rsidR="001E7615" w:rsidRPr="00330DA7" w:rsidRDefault="001E761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7615" w:rsidRPr="00EA66FC" w:rsidRDefault="001E761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E7615" w:rsidRPr="00443C6B" w:rsidRDefault="001E761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1E7615" w:rsidRPr="00330DA7" w14:paraId="29CFF901" w14:textId="77777777" w:rsidTr="004D0573">
      <w:trPr>
        <w:trHeight w:val="1435"/>
      </w:trPr>
      <w:tc>
        <w:tcPr>
          <w:tcW w:w="283" w:type="dxa"/>
        </w:tcPr>
        <w:p w14:paraId="046B9F8F" w14:textId="77777777" w:rsidR="001E7615" w:rsidRPr="00330DA7" w:rsidRDefault="001E7615"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7615" w:rsidRPr="00330DA7" w14:paraId="04F272D2" w14:textId="77777777" w:rsidTr="004D0573">
            <w:trPr>
              <w:trHeight w:val="144"/>
            </w:trPr>
            <w:tc>
              <w:tcPr>
                <w:tcW w:w="2727" w:type="dxa"/>
              </w:tcPr>
              <w:p w14:paraId="2FD4DBF6" w14:textId="77777777" w:rsidR="001E7615" w:rsidRPr="00330DA7" w:rsidRDefault="001E7615"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DF7C342" w:rsidR="001E7615" w:rsidRPr="004D0573" w:rsidRDefault="001E7615" w:rsidP="003F3B8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0C424C">
                  <w:rPr>
                    <w:rFonts w:eastAsia="Calibri" w:cs="Tahoma"/>
                    <w:szCs w:val="22"/>
                    <w:lang w:eastAsia="en-US"/>
                  </w:rPr>
                  <w:t>5692</w:t>
                </w:r>
                <w:r w:rsidRPr="006E7E69">
                  <w:rPr>
                    <w:rFonts w:eastAsia="Calibri" w:cs="Tahoma"/>
                    <w:szCs w:val="22"/>
                    <w:lang w:eastAsia="en-US"/>
                  </w:rPr>
                  <w:t>/INFOEM/IP/RR/2025</w:t>
                </w:r>
              </w:p>
            </w:tc>
            <w:tc>
              <w:tcPr>
                <w:tcW w:w="3402" w:type="dxa"/>
              </w:tcPr>
              <w:p w14:paraId="71DEA1CF" w14:textId="77777777" w:rsidR="001E7615" w:rsidRDefault="001E7615" w:rsidP="004D0573">
                <w:pPr>
                  <w:tabs>
                    <w:tab w:val="right" w:pos="8838"/>
                  </w:tabs>
                  <w:spacing w:line="240" w:lineRule="auto"/>
                  <w:ind w:left="-74" w:right="-105"/>
                  <w:rPr>
                    <w:rFonts w:eastAsia="Calibri" w:cs="Tahoma"/>
                    <w:szCs w:val="22"/>
                    <w:lang w:eastAsia="en-US"/>
                  </w:rPr>
                </w:pPr>
              </w:p>
            </w:tc>
          </w:tr>
          <w:tr w:rsidR="001E7615" w:rsidRPr="00330DA7" w14:paraId="05C58951" w14:textId="77777777" w:rsidTr="004D0573">
            <w:trPr>
              <w:trHeight w:val="144"/>
            </w:trPr>
            <w:tc>
              <w:tcPr>
                <w:tcW w:w="2727" w:type="dxa"/>
              </w:tcPr>
              <w:p w14:paraId="642B9610" w14:textId="77777777" w:rsidR="001E7615" w:rsidRPr="00330DA7" w:rsidRDefault="001E7615"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F905384" w:rsidR="001E7615" w:rsidRPr="004D0573" w:rsidRDefault="00440354"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 XXXX XXXXX X</w:t>
                </w:r>
              </w:p>
            </w:tc>
            <w:tc>
              <w:tcPr>
                <w:tcW w:w="3402" w:type="dxa"/>
              </w:tcPr>
              <w:p w14:paraId="73F47F53" w14:textId="77777777" w:rsidR="001E7615" w:rsidRPr="005F19B1" w:rsidRDefault="001E7615" w:rsidP="004D0573">
                <w:pPr>
                  <w:tabs>
                    <w:tab w:val="left" w:pos="3122"/>
                    <w:tab w:val="right" w:pos="8838"/>
                  </w:tabs>
                  <w:spacing w:line="240" w:lineRule="auto"/>
                  <w:ind w:left="-105" w:right="-105"/>
                  <w:rPr>
                    <w:rFonts w:eastAsia="Calibri" w:cs="Tahoma"/>
                    <w:szCs w:val="22"/>
                    <w:lang w:eastAsia="en-US"/>
                  </w:rPr>
                </w:pPr>
              </w:p>
            </w:tc>
          </w:tr>
          <w:bookmarkEnd w:id="1"/>
          <w:tr w:rsidR="001E7615" w:rsidRPr="00330DA7" w14:paraId="00E6CDC1" w14:textId="77777777" w:rsidTr="004D0573">
            <w:trPr>
              <w:trHeight w:val="283"/>
            </w:trPr>
            <w:tc>
              <w:tcPr>
                <w:tcW w:w="2727" w:type="dxa"/>
              </w:tcPr>
              <w:p w14:paraId="0631AD24"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22CC9CE" w:rsidR="001E7615" w:rsidRPr="004D0573" w:rsidRDefault="000C424C" w:rsidP="004F6D6C">
                <w:pPr>
                  <w:tabs>
                    <w:tab w:val="right" w:pos="8838"/>
                  </w:tabs>
                  <w:spacing w:line="240" w:lineRule="auto"/>
                  <w:ind w:left="-74" w:right="-105"/>
                  <w:rPr>
                    <w:rFonts w:eastAsia="Calibri" w:cs="Tahoma"/>
                    <w:szCs w:val="22"/>
                    <w:lang w:eastAsia="en-US"/>
                  </w:rPr>
                </w:pPr>
                <w:r w:rsidRPr="000C424C">
                  <w:rPr>
                    <w:rFonts w:eastAsia="Calibri" w:cs="Tahoma"/>
                    <w:szCs w:val="22"/>
                    <w:lang w:eastAsia="en-US"/>
                  </w:rPr>
                  <w:t xml:space="preserve">Ayuntamiento de </w:t>
                </w:r>
                <w:proofErr w:type="spellStart"/>
                <w:r w:rsidRPr="000C424C">
                  <w:rPr>
                    <w:rFonts w:eastAsia="Calibri" w:cs="Tahoma"/>
                    <w:szCs w:val="22"/>
                    <w:lang w:eastAsia="en-US"/>
                  </w:rPr>
                  <w:t>Tlalmanalco</w:t>
                </w:r>
                <w:proofErr w:type="spellEnd"/>
              </w:p>
            </w:tc>
            <w:tc>
              <w:tcPr>
                <w:tcW w:w="3402" w:type="dxa"/>
              </w:tcPr>
              <w:p w14:paraId="3A7DA319" w14:textId="77777777" w:rsidR="001E7615" w:rsidRPr="00A90C72" w:rsidRDefault="001E7615" w:rsidP="004D0573">
                <w:pPr>
                  <w:tabs>
                    <w:tab w:val="left" w:pos="2834"/>
                    <w:tab w:val="right" w:pos="8838"/>
                  </w:tabs>
                  <w:spacing w:line="240" w:lineRule="auto"/>
                  <w:ind w:left="-108" w:right="-105"/>
                  <w:rPr>
                    <w:rFonts w:eastAsia="Calibri" w:cs="Tahoma"/>
                    <w:szCs w:val="22"/>
                    <w:lang w:eastAsia="en-US"/>
                  </w:rPr>
                </w:pPr>
              </w:p>
            </w:tc>
          </w:tr>
          <w:tr w:rsidR="001E7615" w:rsidRPr="00330DA7" w14:paraId="0F6CD8D2" w14:textId="77777777" w:rsidTr="004D0573">
            <w:trPr>
              <w:trHeight w:val="283"/>
            </w:trPr>
            <w:tc>
              <w:tcPr>
                <w:tcW w:w="2727" w:type="dxa"/>
              </w:tcPr>
              <w:p w14:paraId="31700628" w14:textId="0565A62A" w:rsidR="001E7615" w:rsidRPr="00330DA7" w:rsidRDefault="001E761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E7615" w:rsidRPr="00EA66FC" w:rsidRDefault="001E761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E7615" w:rsidRPr="00330DA7" w:rsidRDefault="001E7615" w:rsidP="004D0573">
                <w:pPr>
                  <w:tabs>
                    <w:tab w:val="right" w:pos="8838"/>
                  </w:tabs>
                  <w:spacing w:line="240" w:lineRule="auto"/>
                  <w:ind w:left="-108" w:right="-105"/>
                  <w:rPr>
                    <w:rFonts w:eastAsia="Calibri" w:cs="Tahoma"/>
                    <w:szCs w:val="22"/>
                    <w:lang w:eastAsia="en-US"/>
                  </w:rPr>
                </w:pPr>
              </w:p>
            </w:tc>
          </w:tr>
        </w:tbl>
        <w:p w14:paraId="5DC6AC61" w14:textId="77777777" w:rsidR="001E7615" w:rsidRPr="00330DA7" w:rsidRDefault="001E7615" w:rsidP="004D0573">
          <w:pPr>
            <w:tabs>
              <w:tab w:val="right" w:pos="8838"/>
            </w:tabs>
            <w:ind w:left="-28"/>
            <w:rPr>
              <w:rFonts w:ascii="Arial" w:eastAsia="Calibri" w:hAnsi="Arial" w:cs="Arial"/>
              <w:b/>
              <w:szCs w:val="22"/>
              <w:lang w:eastAsia="en-US"/>
            </w:rPr>
          </w:pPr>
        </w:p>
      </w:tc>
    </w:tr>
  </w:tbl>
  <w:p w14:paraId="2A906731" w14:textId="77777777" w:rsidR="001E7615" w:rsidRPr="00765661" w:rsidRDefault="00E01E5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B6917AD"/>
    <w:multiLevelType w:val="hybridMultilevel"/>
    <w:tmpl w:val="0D0A8F8A"/>
    <w:lvl w:ilvl="0" w:tplc="ED30F600">
      <w:start w:val="3"/>
      <w:numFmt w:val="bullet"/>
      <w:lvlText w:val="-"/>
      <w:lvlJc w:val="left"/>
      <w:pPr>
        <w:ind w:left="1080" w:hanging="360"/>
      </w:pPr>
      <w:rPr>
        <w:rFonts w:ascii="Palatino Linotype" w:eastAsia="Times New Roman" w:hAnsi="Palatino Linotype" w:cs="Tahoma" w:hint="default"/>
        <w:b/>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52C52212"/>
    <w:multiLevelType w:val="multilevel"/>
    <w:tmpl w:val="7B76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50AC3"/>
    <w:rsid w:val="00052043"/>
    <w:rsid w:val="00057B2D"/>
    <w:rsid w:val="00065518"/>
    <w:rsid w:val="000777E2"/>
    <w:rsid w:val="00080071"/>
    <w:rsid w:val="000954C3"/>
    <w:rsid w:val="000A0798"/>
    <w:rsid w:val="000A509B"/>
    <w:rsid w:val="000C3BBA"/>
    <w:rsid w:val="000C424C"/>
    <w:rsid w:val="000D0D67"/>
    <w:rsid w:val="000E0131"/>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2A2E"/>
    <w:rsid w:val="001F329F"/>
    <w:rsid w:val="001F3515"/>
    <w:rsid w:val="002015AE"/>
    <w:rsid w:val="00211F42"/>
    <w:rsid w:val="00233005"/>
    <w:rsid w:val="00233F17"/>
    <w:rsid w:val="00237120"/>
    <w:rsid w:val="00240234"/>
    <w:rsid w:val="00245D19"/>
    <w:rsid w:val="002553CD"/>
    <w:rsid w:val="00261743"/>
    <w:rsid w:val="00293D29"/>
    <w:rsid w:val="002958FA"/>
    <w:rsid w:val="002961A6"/>
    <w:rsid w:val="002961B5"/>
    <w:rsid w:val="0029641C"/>
    <w:rsid w:val="002A3601"/>
    <w:rsid w:val="002B0493"/>
    <w:rsid w:val="002B1D44"/>
    <w:rsid w:val="002B4ED6"/>
    <w:rsid w:val="002B6672"/>
    <w:rsid w:val="002B7C6F"/>
    <w:rsid w:val="002D111C"/>
    <w:rsid w:val="002E18F0"/>
    <w:rsid w:val="002E3E00"/>
    <w:rsid w:val="002F6393"/>
    <w:rsid w:val="00302476"/>
    <w:rsid w:val="00303004"/>
    <w:rsid w:val="00304C8C"/>
    <w:rsid w:val="00306C07"/>
    <w:rsid w:val="00327203"/>
    <w:rsid w:val="00331F35"/>
    <w:rsid w:val="00335CDF"/>
    <w:rsid w:val="00341E94"/>
    <w:rsid w:val="00346BC2"/>
    <w:rsid w:val="00353A30"/>
    <w:rsid w:val="00362A11"/>
    <w:rsid w:val="00386CD1"/>
    <w:rsid w:val="00386DD1"/>
    <w:rsid w:val="003A0C7B"/>
    <w:rsid w:val="003A3A7E"/>
    <w:rsid w:val="003A40C1"/>
    <w:rsid w:val="003A67CC"/>
    <w:rsid w:val="003B0255"/>
    <w:rsid w:val="003B0AEC"/>
    <w:rsid w:val="003B2486"/>
    <w:rsid w:val="003B5D3E"/>
    <w:rsid w:val="003F28CD"/>
    <w:rsid w:val="003F35FD"/>
    <w:rsid w:val="003F3B84"/>
    <w:rsid w:val="0041385B"/>
    <w:rsid w:val="00416357"/>
    <w:rsid w:val="00430170"/>
    <w:rsid w:val="00440354"/>
    <w:rsid w:val="00441BFA"/>
    <w:rsid w:val="00454FBD"/>
    <w:rsid w:val="004565C2"/>
    <w:rsid w:val="00475FF6"/>
    <w:rsid w:val="00487054"/>
    <w:rsid w:val="004A4241"/>
    <w:rsid w:val="004B001B"/>
    <w:rsid w:val="004B287B"/>
    <w:rsid w:val="004C1963"/>
    <w:rsid w:val="004C43D3"/>
    <w:rsid w:val="004D0573"/>
    <w:rsid w:val="004D7CD8"/>
    <w:rsid w:val="004E2939"/>
    <w:rsid w:val="004E5068"/>
    <w:rsid w:val="004F165A"/>
    <w:rsid w:val="004F6D6C"/>
    <w:rsid w:val="004F7A00"/>
    <w:rsid w:val="005122DD"/>
    <w:rsid w:val="00522385"/>
    <w:rsid w:val="00523605"/>
    <w:rsid w:val="00523E60"/>
    <w:rsid w:val="00523F48"/>
    <w:rsid w:val="005365FA"/>
    <w:rsid w:val="00536C50"/>
    <w:rsid w:val="005432B1"/>
    <w:rsid w:val="00550AB5"/>
    <w:rsid w:val="0055624C"/>
    <w:rsid w:val="0056448D"/>
    <w:rsid w:val="005723CB"/>
    <w:rsid w:val="0057419A"/>
    <w:rsid w:val="00575400"/>
    <w:rsid w:val="0058676B"/>
    <w:rsid w:val="00590E23"/>
    <w:rsid w:val="00591A20"/>
    <w:rsid w:val="005A468E"/>
    <w:rsid w:val="005A5BF2"/>
    <w:rsid w:val="005B18AF"/>
    <w:rsid w:val="005B45A1"/>
    <w:rsid w:val="005C253D"/>
    <w:rsid w:val="005D2071"/>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7E59"/>
    <w:rsid w:val="00724F22"/>
    <w:rsid w:val="007517BD"/>
    <w:rsid w:val="0075751F"/>
    <w:rsid w:val="0076337C"/>
    <w:rsid w:val="007667E1"/>
    <w:rsid w:val="00773DD6"/>
    <w:rsid w:val="00773EAB"/>
    <w:rsid w:val="00774516"/>
    <w:rsid w:val="00775BFC"/>
    <w:rsid w:val="007770D8"/>
    <w:rsid w:val="00785289"/>
    <w:rsid w:val="00794BA5"/>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50DC"/>
    <w:rsid w:val="008A6003"/>
    <w:rsid w:val="008A6F88"/>
    <w:rsid w:val="008B1E16"/>
    <w:rsid w:val="008E1316"/>
    <w:rsid w:val="008E6224"/>
    <w:rsid w:val="008F28F9"/>
    <w:rsid w:val="00903DBE"/>
    <w:rsid w:val="00910FD2"/>
    <w:rsid w:val="00911079"/>
    <w:rsid w:val="0091308D"/>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047F0"/>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44A7"/>
    <w:rsid w:val="00AB6BBD"/>
    <w:rsid w:val="00AC2DB8"/>
    <w:rsid w:val="00AC3CA0"/>
    <w:rsid w:val="00AD4855"/>
    <w:rsid w:val="00AE3DA7"/>
    <w:rsid w:val="00AE5AEF"/>
    <w:rsid w:val="00AF03C4"/>
    <w:rsid w:val="00B03479"/>
    <w:rsid w:val="00B137E8"/>
    <w:rsid w:val="00B169A2"/>
    <w:rsid w:val="00B22A80"/>
    <w:rsid w:val="00B348A2"/>
    <w:rsid w:val="00B36848"/>
    <w:rsid w:val="00B373AF"/>
    <w:rsid w:val="00B427F6"/>
    <w:rsid w:val="00B47DF0"/>
    <w:rsid w:val="00B56734"/>
    <w:rsid w:val="00B61BCE"/>
    <w:rsid w:val="00B65555"/>
    <w:rsid w:val="00B80A20"/>
    <w:rsid w:val="00B822AE"/>
    <w:rsid w:val="00B85975"/>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4165"/>
    <w:rsid w:val="00C15830"/>
    <w:rsid w:val="00C229BF"/>
    <w:rsid w:val="00C30616"/>
    <w:rsid w:val="00C351EC"/>
    <w:rsid w:val="00C36795"/>
    <w:rsid w:val="00C42CA7"/>
    <w:rsid w:val="00C45145"/>
    <w:rsid w:val="00C461EC"/>
    <w:rsid w:val="00C507D4"/>
    <w:rsid w:val="00C71CEF"/>
    <w:rsid w:val="00C72DAA"/>
    <w:rsid w:val="00C73A98"/>
    <w:rsid w:val="00C7571D"/>
    <w:rsid w:val="00C80B14"/>
    <w:rsid w:val="00CA0628"/>
    <w:rsid w:val="00CA1D89"/>
    <w:rsid w:val="00CA50B3"/>
    <w:rsid w:val="00CB7ACA"/>
    <w:rsid w:val="00CB7C31"/>
    <w:rsid w:val="00CB7E9A"/>
    <w:rsid w:val="00CD0B92"/>
    <w:rsid w:val="00CD3244"/>
    <w:rsid w:val="00CD55BA"/>
    <w:rsid w:val="00CE1DFB"/>
    <w:rsid w:val="00CE29D3"/>
    <w:rsid w:val="00CE3DBD"/>
    <w:rsid w:val="00CE58F2"/>
    <w:rsid w:val="00CF2D8B"/>
    <w:rsid w:val="00CF57E4"/>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91CB4"/>
    <w:rsid w:val="00DA54C1"/>
    <w:rsid w:val="00DA77BA"/>
    <w:rsid w:val="00DB1C09"/>
    <w:rsid w:val="00DC11A3"/>
    <w:rsid w:val="00DC30FA"/>
    <w:rsid w:val="00DC669D"/>
    <w:rsid w:val="00DD22A2"/>
    <w:rsid w:val="00DE1133"/>
    <w:rsid w:val="00DE4A42"/>
    <w:rsid w:val="00DE5DCF"/>
    <w:rsid w:val="00DF73A4"/>
    <w:rsid w:val="00E01E55"/>
    <w:rsid w:val="00E11AA0"/>
    <w:rsid w:val="00E16BF5"/>
    <w:rsid w:val="00E27023"/>
    <w:rsid w:val="00E32CB8"/>
    <w:rsid w:val="00E33233"/>
    <w:rsid w:val="00E35F0B"/>
    <w:rsid w:val="00E37496"/>
    <w:rsid w:val="00E37A3F"/>
    <w:rsid w:val="00E37D3C"/>
    <w:rsid w:val="00E47A6C"/>
    <w:rsid w:val="00E54D79"/>
    <w:rsid w:val="00E615B5"/>
    <w:rsid w:val="00E62E6A"/>
    <w:rsid w:val="00E73A29"/>
    <w:rsid w:val="00E83EF5"/>
    <w:rsid w:val="00E9335C"/>
    <w:rsid w:val="00EA1A4D"/>
    <w:rsid w:val="00EB7527"/>
    <w:rsid w:val="00ED1C1E"/>
    <w:rsid w:val="00EE1CF5"/>
    <w:rsid w:val="00EE2AF2"/>
    <w:rsid w:val="00EE7028"/>
    <w:rsid w:val="00EE77E9"/>
    <w:rsid w:val="00EF6D46"/>
    <w:rsid w:val="00F06548"/>
    <w:rsid w:val="00F07EE6"/>
    <w:rsid w:val="00F25625"/>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 w:type="character" w:styleId="Textoennegrita">
    <w:name w:val="Strong"/>
    <w:uiPriority w:val="22"/>
    <w:qFormat/>
    <w:rsid w:val="00E54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aeconomia.com.mx/cheque-sin-fondo-que-hace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uentasahorro.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824F0-9F23-3D43-B717-49007D24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9244</Words>
  <Characters>50845</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5</cp:revision>
  <cp:lastPrinted>2025-08-15T16:14:00Z</cp:lastPrinted>
  <dcterms:created xsi:type="dcterms:W3CDTF">2025-08-12T21:25:00Z</dcterms:created>
  <dcterms:modified xsi:type="dcterms:W3CDTF">2025-10-16T23:45:00Z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