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veinticuatro de septiembre de dos mil veinticinco.</w:t>
      </w:r>
    </w:p>
    <w:p w:rsidR="00000000" w:rsidDel="00000000" w:rsidP="00000000" w:rsidRDefault="00000000" w:rsidRPr="00000000" w14:paraId="00000002">
      <w:pPr>
        <w:spacing w:after="240" w:before="240" w:line="360" w:lineRule="auto"/>
        <w:ind w:right="-112"/>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b w:val="1"/>
          <w:bCs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bCs w:val="1"/>
          <w:rtl w:val="0"/>
        </w:rPr>
        <w:t xml:space="preserve">06224/INFOEM/IP/RR/2025 y 06240/INFOEM/IP/RR/2025, 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bCs w:val="1"/>
          <w:rtl w:val="0"/>
        </w:rPr>
        <w:t xml:space="preserve"> un particular que no proporcionó su nombre, </w:t>
      </w:r>
      <w:r w:rsidDel="00000000" w:rsidR="00000000" w:rsidRPr="00000000">
        <w:rPr>
          <w:rFonts w:ascii="Palatino Linotype" w:cs="Palatino Linotype" w:eastAsia="Palatino Linotype" w:hAnsi="Palatino Linotype"/>
          <w:rtl w:val="0"/>
        </w:rPr>
        <w:t xml:space="preserve">en lo sucesivo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respuestas a sus solicitudes de información con números de folio </w:t>
      </w:r>
      <w:r w:rsidDel="00000000" w:rsidR="00000000" w:rsidRPr="00000000">
        <w:rPr>
          <w:rFonts w:ascii="Palatino Linotype" w:cs="Palatino Linotype" w:eastAsia="Palatino Linotype" w:hAnsi="Palatino Linotype"/>
          <w:b w:val="1"/>
          <w:bCs w:val="1"/>
          <w:rtl w:val="0"/>
        </w:rPr>
        <w:t xml:space="preserve">00062/ACULCO/IP/2025 y 00095/ACULCO/IP/2025 </w:t>
      </w:r>
      <w:r w:rsidDel="00000000" w:rsidR="00000000" w:rsidRPr="00000000">
        <w:rPr>
          <w:rFonts w:ascii="Palatino Linotype" w:cs="Palatino Linotype" w:eastAsia="Palatino Linotype" w:hAnsi="Palatino Linotype"/>
          <w:rtl w:val="0"/>
        </w:rPr>
        <w:t xml:space="preserve">respectivamente, por parte del</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rtl w:val="0"/>
        </w:rPr>
        <w:t xml:space="preserve">Ayuntamiento de Aculco,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 A N T E C E D E N T E S:</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567"/>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veintiocho de marzo y once de mayo de dos mil veinticinco, </w:t>
      </w:r>
      <w:r w:rsidDel="00000000" w:rsidR="00000000" w:rsidRPr="00000000">
        <w:rPr>
          <w:rFonts w:ascii="Palatino Linotype" w:cs="Palatino Linotype" w:eastAsia="Palatino Linotype" w:hAnsi="Palatino Linotype"/>
          <w:rtl w:val="0"/>
        </w:rPr>
        <w:t xml:space="preserve">sin embargo, al corresponder a un día inhábil se tuvo por presentada el día </w:t>
      </w:r>
      <w:r w:rsidDel="00000000" w:rsidR="00000000" w:rsidRPr="00000000">
        <w:rPr>
          <w:rFonts w:ascii="Palatino Linotype" w:cs="Palatino Linotype" w:eastAsia="Palatino Linotype" w:hAnsi="Palatino Linotype"/>
          <w:b w:val="1"/>
          <w:bCs w:val="1"/>
          <w:rtl w:val="0"/>
        </w:rPr>
        <w:t xml:space="preserve">doce de mayo de dos mil veinticinco</w:t>
      </w:r>
      <w:r w:rsidDel="00000000" w:rsidR="00000000" w:rsidRPr="00000000">
        <w:rPr>
          <w:rFonts w:ascii="Palatino Linotype" w:cs="Palatino Linotype" w:eastAsia="Palatino Linotype" w:hAnsi="Palatino Linotype"/>
          <w:rtl w:val="0"/>
        </w:rPr>
        <w:t xml:space="preserve">, la persona solicitante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bCs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mediante las cuales requirió la información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a6a6a6" w:val="clear"/>
          </w:tcPr>
          <w:p w:rsidR="00000000" w:rsidDel="00000000" w:rsidP="00000000" w:rsidRDefault="00000000" w:rsidRPr="00000000" w14:paraId="00000005">
            <w:pPr>
              <w:spacing w:after="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Solicitud</w:t>
            </w:r>
          </w:p>
        </w:tc>
        <w:tc>
          <w:tcPr>
            <w:shd w:fill="a6a6a6" w:val="clear"/>
          </w:tcPr>
          <w:p w:rsidR="00000000" w:rsidDel="00000000" w:rsidP="00000000" w:rsidRDefault="00000000" w:rsidRPr="00000000" w14:paraId="00000006">
            <w:pPr>
              <w:spacing w:after="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7">
            <w:pPr>
              <w:spacing w:after="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00062/ACULCO/IP/2025</w:t>
            </w:r>
          </w:p>
        </w:tc>
        <w:tc>
          <w:tcPr/>
          <w:p w:rsidR="00000000" w:rsidDel="00000000" w:rsidP="00000000" w:rsidRDefault="00000000" w:rsidRPr="00000000" w14:paraId="00000008">
            <w:pPr>
              <w:spacing w:after="0" w:line="240" w:lineRule="auto"/>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“Actas de cabildo del 01 de enero a la fecha” (sic)</w:t>
            </w:r>
          </w:p>
        </w:tc>
      </w:tr>
      <w:tr>
        <w:trPr>
          <w:cantSplit w:val="0"/>
          <w:tblHeader w:val="0"/>
        </w:trPr>
        <w:tc>
          <w:tcPr>
            <w:vAlign w:val="center"/>
          </w:tcPr>
          <w:p w:rsidR="00000000" w:rsidDel="00000000" w:rsidP="00000000" w:rsidRDefault="00000000" w:rsidRPr="00000000" w14:paraId="00000009">
            <w:pPr>
              <w:spacing w:after="0" w:line="240" w:lineRule="auto"/>
              <w:jc w:val="center"/>
              <w:rPr>
                <w:rFonts w:ascii="Palatino Linotype" w:cs="Palatino Linotype" w:eastAsia="Palatino Linotype" w:hAnsi="Palatino Linotype"/>
                <w:b w:val="1"/>
                <w:bCs w:val="1"/>
                <w:sz w:val="20"/>
                <w:szCs w:val="20"/>
              </w:rPr>
            </w:pPr>
            <w:bookmarkStart w:colFirst="0" w:colLast="0" w:name="_heading=h.ayupxk8xi2xn" w:id="1"/>
            <w:bookmarkEnd w:id="1"/>
            <w:r w:rsidDel="00000000" w:rsidR="00000000" w:rsidRPr="00000000">
              <w:rPr>
                <w:rFonts w:ascii="Palatino Linotype" w:cs="Palatino Linotype" w:eastAsia="Palatino Linotype" w:hAnsi="Palatino Linotype"/>
                <w:b w:val="1"/>
                <w:bCs w:val="1"/>
                <w:sz w:val="20"/>
                <w:szCs w:val="20"/>
                <w:rtl w:val="0"/>
              </w:rPr>
              <w:t xml:space="preserve">00095/ACULCO/IP/2025</w:t>
            </w:r>
          </w:p>
        </w:tc>
        <w:tc>
          <w:tcPr/>
          <w:p w:rsidR="00000000" w:rsidDel="00000000" w:rsidP="00000000" w:rsidRDefault="00000000" w:rsidRPr="00000000" w14:paraId="0000000A">
            <w:pPr>
              <w:spacing w:after="0" w:line="240" w:lineRule="auto"/>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“Actas de cabildo de enero 2025 a la fecha y videos de sesiones de cabildo” (sic)</w:t>
            </w:r>
          </w:p>
        </w:tc>
      </w:tr>
    </w:tbl>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bookmarkStart w:colFirst="0" w:colLast="0" w:name="_heading=h.2et92p0" w:id="2"/>
      <w:bookmarkEnd w:id="2"/>
      <w:r w:rsidDel="00000000" w:rsidR="00000000" w:rsidRPr="00000000">
        <w:rPr>
          <w:rFonts w:ascii="Palatino Linotype" w:cs="Palatino Linotype" w:eastAsia="Palatino Linotype" w:hAnsi="Palatino Linotype"/>
          <w:b w:val="1"/>
          <w:bCs w:val="1"/>
          <w:rtl w:val="0"/>
        </w:rPr>
        <w:t xml:space="preserve">2. Respuestas.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veintidós y veintiséis de mayo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envió sus respuestas a las solicitudes de acceso a la información a través de SAIMEX, sustancialmente en los términos siguientes:</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tl w:val="0"/>
        </w:rPr>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a6a6a6" w:val="clear"/>
          </w:tcPr>
          <w:p w:rsidR="00000000" w:rsidDel="00000000" w:rsidP="00000000" w:rsidRDefault="00000000" w:rsidRPr="00000000" w14:paraId="0000000D">
            <w:pPr>
              <w:spacing w:after="120" w:before="12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Solicitud</w:t>
            </w:r>
          </w:p>
        </w:tc>
        <w:tc>
          <w:tcPr>
            <w:shd w:fill="a6a6a6" w:val="clear"/>
          </w:tcPr>
          <w:p w:rsidR="00000000" w:rsidDel="00000000" w:rsidP="00000000" w:rsidRDefault="00000000" w:rsidRPr="00000000" w14:paraId="0000000E">
            <w:pPr>
              <w:spacing w:after="120" w:before="12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0F">
            <w:pPr>
              <w:spacing w:after="120" w:before="12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00062/ACULCO/IP/2025</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iCs w:val="1"/>
                <w:sz w:val="20"/>
                <w:szCs w:val="20"/>
                <w:rtl w:val="0"/>
              </w:rPr>
              <w:t xml:space="preserve">Se adjuntan respuestas, así mismo, hago mención que se le turno en tiempo y forma, sin embargo el área no atendió en el plazo establecido</w:t>
            </w:r>
            <w:r w:rsidDel="00000000" w:rsidR="00000000" w:rsidRPr="00000000">
              <w:rPr>
                <w:rFonts w:ascii="Palatino Linotype" w:cs="Palatino Linotype" w:eastAsia="Palatino Linotype" w:hAnsi="Palatino Linotype"/>
                <w:sz w:val="20"/>
                <w:szCs w:val="20"/>
                <w:rtl w:val="0"/>
              </w:rPr>
              <w:t xml:space="preserve">.” (sic)</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Anexos: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 SOL622025.pdf:</w:t>
            </w:r>
            <w:r w:rsidDel="00000000" w:rsidR="00000000" w:rsidRPr="00000000">
              <w:rPr>
                <w:rFonts w:ascii="Palatino Linotype" w:cs="Palatino Linotype" w:eastAsia="Palatino Linotype" w:hAnsi="Palatino Linotype"/>
                <w:sz w:val="20"/>
                <w:szCs w:val="20"/>
                <w:rtl w:val="0"/>
              </w:rPr>
              <w:t xml:space="preserve"> Oficio de fecha veinte de mayo de dos mil veinticinco, mediante el cual el Secretario del Ayuntamiento, refiere adjuntar las Actas del  01 de enero a la fecha.</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 ACTAS CABILDO 01 DE ENERO AL 20 DE MAYO 2025.pdf</w:t>
            </w:r>
            <w:r w:rsidDel="00000000" w:rsidR="00000000" w:rsidRPr="00000000">
              <w:rPr>
                <w:rFonts w:ascii="Palatino Linotype" w:cs="Palatino Linotype" w:eastAsia="Palatino Linotype" w:hAnsi="Palatino Linotype"/>
                <w:sz w:val="20"/>
                <w:szCs w:val="20"/>
                <w:rtl w:val="0"/>
              </w:rPr>
              <w:t xml:space="preserve">: Documento que consta de 327 fojas las cuales corresponden a las actas de sesión de cabildo.</w:t>
            </w:r>
          </w:p>
        </w:tc>
      </w:tr>
      <w:tr>
        <w:trPr>
          <w:cantSplit w:val="0"/>
          <w:tblHeader w:val="0"/>
        </w:trPr>
        <w:tc>
          <w:tcPr>
            <w:vAlign w:val="center"/>
          </w:tcPr>
          <w:p w:rsidR="00000000" w:rsidDel="00000000" w:rsidP="00000000" w:rsidRDefault="00000000" w:rsidRPr="00000000" w14:paraId="00000014">
            <w:pPr>
              <w:spacing w:after="120" w:before="120" w:line="24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00095/ACULCO/IP/2025</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iCs w:val="1"/>
                <w:sz w:val="20"/>
                <w:szCs w:val="20"/>
                <w:rtl w:val="0"/>
              </w:rPr>
              <w:t xml:space="preserve">Se adjuntan respuestas</w:t>
            </w:r>
            <w:r w:rsidDel="00000000" w:rsidR="00000000" w:rsidRPr="00000000">
              <w:rPr>
                <w:rFonts w:ascii="Palatino Linotype" w:cs="Palatino Linotype" w:eastAsia="Palatino Linotype" w:hAnsi="Palatino Linotype"/>
                <w:sz w:val="20"/>
                <w:szCs w:val="20"/>
                <w:rtl w:val="0"/>
              </w:rPr>
              <w:t xml:space="preserve">” (sic)</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 SOL952025.pdf: </w:t>
            </w:r>
            <w:r w:rsidDel="00000000" w:rsidR="00000000" w:rsidRPr="00000000">
              <w:rPr>
                <w:rFonts w:ascii="Palatino Linotype" w:cs="Palatino Linotype" w:eastAsia="Palatino Linotype" w:hAnsi="Palatino Linotype"/>
                <w:sz w:val="20"/>
                <w:szCs w:val="20"/>
                <w:rtl w:val="0"/>
              </w:rPr>
              <w:t xml:space="preserve">Oficio de fecha veinte de mayo de dos mil veinticinco, mediante el cual el Secretario del Ayuntamiento, refiere adjuntar las Actas del  01 de enero a la fecha, y por lo que se refiere a los videos de las sesiones de cabildo ordinarias y extraordinarias, refirió que se encontraban en la página oficial del municipio de Aculco, cuya dirección electrónica proporcionó para efectos de la consulta, en formato cerrado.</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 ACTAS CABILDO 01 DE ENERO AL 20 DE MAYO 2025. 2.pdf: </w:t>
            </w:r>
            <w:r w:rsidDel="00000000" w:rsidR="00000000" w:rsidRPr="00000000">
              <w:rPr>
                <w:rFonts w:ascii="Palatino Linotype" w:cs="Palatino Linotype" w:eastAsia="Palatino Linotype" w:hAnsi="Palatino Linotype"/>
                <w:sz w:val="20"/>
                <w:szCs w:val="20"/>
                <w:rtl w:val="0"/>
              </w:rPr>
              <w:t xml:space="preserve">Documento que consta de 327 fojas las cuales correspondes a las actas de sesión de cabildo.</w:t>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bookmarkStart w:colFirst="0" w:colLast="0" w:name="_heading=h.gjdgxs" w:id="3"/>
      <w:bookmarkEnd w:id="3"/>
      <w:r w:rsidDel="00000000" w:rsidR="00000000" w:rsidRPr="00000000">
        <w:rPr>
          <w:rFonts w:ascii="Palatino Linotype" w:cs="Palatino Linotype" w:eastAsia="Palatino Linotype" w:hAnsi="Palatino Linotype"/>
          <w:b w:val="1"/>
          <w:bCs w:val="1"/>
          <w:rtl w:val="0"/>
        </w:rPr>
        <w:t xml:space="preserve">3. Interposición de los recursos de revisión. </w:t>
      </w:r>
      <w:r w:rsidDel="00000000" w:rsidR="00000000" w:rsidRPr="00000000">
        <w:rPr>
          <w:rFonts w:ascii="Palatino Linotype" w:cs="Palatino Linotype" w:eastAsia="Palatino Linotype" w:hAnsi="Palatino Linotype"/>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sus solicitudes, el </w:t>
      </w:r>
      <w:r w:rsidDel="00000000" w:rsidR="00000000" w:rsidRPr="00000000">
        <w:rPr>
          <w:rFonts w:ascii="Palatino Linotype" w:cs="Palatino Linotype" w:eastAsia="Palatino Linotype" w:hAnsi="Palatino Linotype"/>
          <w:b w:val="1"/>
          <w:bCs w:val="1"/>
          <w:rtl w:val="0"/>
        </w:rPr>
        <w:t xml:space="preserve">veintinueve de mayo de</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rtl w:val="0"/>
        </w:rPr>
        <w:t xml:space="preserve">dos mil veinticinco</w:t>
      </w:r>
      <w:r w:rsidDel="00000000" w:rsidR="00000000" w:rsidRPr="00000000">
        <w:rPr>
          <w:rFonts w:ascii="Palatino Linotype" w:cs="Palatino Linotype" w:eastAsia="Palatino Linotype" w:hAnsi="Palatino Linotype"/>
          <w:rtl w:val="0"/>
        </w:rPr>
        <w:t xml:space="preserve">, interpuso los recursos de revisión a través del SAIMEX, expresando lo siguiente en ambos casos:</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after="120" w:before="120" w:line="240" w:lineRule="auto"/>
        <w:ind w:left="357"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Acto Impugnado</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after="120" w:before="120" w:line="240" w:lineRule="auto"/>
        <w:ind w:left="357"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“Información incompleta” (</w:t>
      </w:r>
      <w:r w:rsidDel="00000000" w:rsidR="00000000" w:rsidRPr="00000000">
        <w:rPr>
          <w:rFonts w:ascii="Palatino Linotype" w:cs="Palatino Linotype" w:eastAsia="Palatino Linotype" w:hAnsi="Palatino Linotype"/>
          <w:rtl w:val="0"/>
        </w:rPr>
        <w:t xml:space="preserve">sic</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after="120" w:before="120" w:line="240" w:lineRule="auto"/>
        <w:ind w:left="357"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Motivos de Inconformidad</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after="120" w:before="120" w:line="240" w:lineRule="auto"/>
        <w:ind w:left="357"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“Incompleta” (</w:t>
      </w:r>
      <w:r w:rsidDel="00000000" w:rsidR="00000000" w:rsidRPr="00000000">
        <w:rPr>
          <w:rFonts w:ascii="Palatino Linotype" w:cs="Palatino Linotype" w:eastAsia="Palatino Linotype" w:hAnsi="Palatino Linotype"/>
          <w:rtl w:val="0"/>
        </w:rPr>
        <w:t xml:space="preserve">sic</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4. Turno.</w:t>
      </w:r>
      <w:r w:rsidDel="00000000" w:rsidR="00000000" w:rsidRPr="00000000">
        <w:rPr>
          <w:rFonts w:ascii="Palatino Linotype" w:cs="Palatino Linotype" w:eastAsia="Palatino Linotype" w:hAnsi="Palatino Linotype"/>
          <w:rtl w:val="0"/>
        </w:rPr>
        <w:t xml:space="preserve"> De conformidad con el artículo 185 fracción I de la Ley Transparencia y Acceso a la Información Pública, el Recurso de Revisión </w:t>
      </w:r>
      <w:r w:rsidDel="00000000" w:rsidR="00000000" w:rsidRPr="00000000">
        <w:rPr>
          <w:rFonts w:ascii="Palatino Linotype" w:cs="Palatino Linotype" w:eastAsia="Palatino Linotype" w:hAnsi="Palatino Linotype"/>
          <w:b w:val="1"/>
          <w:bCs w:val="1"/>
          <w:rtl w:val="0"/>
        </w:rPr>
        <w:t xml:space="preserve">06224/INFOEM/IP/RR/2025, </w:t>
      </w:r>
      <w:r w:rsidDel="00000000" w:rsidR="00000000" w:rsidRPr="00000000">
        <w:rPr>
          <w:rFonts w:ascii="Palatino Linotype" w:cs="Palatino Linotype" w:eastAsia="Palatino Linotype" w:hAnsi="Palatino Linotype"/>
          <w:rtl w:val="0"/>
        </w:rPr>
        <w:t xml:space="preserve">fue turnado a la Comisionada Guadalupe Ramírez Peña y</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el Recurso de Revisión</w:t>
      </w:r>
      <w:r w:rsidDel="00000000" w:rsidR="00000000" w:rsidRPr="00000000">
        <w:rPr>
          <w:rFonts w:ascii="Palatino Linotype" w:cs="Palatino Linotype" w:eastAsia="Palatino Linotype" w:hAnsi="Palatino Linotype"/>
          <w:b w:val="1"/>
          <w:bCs w:val="1"/>
          <w:rtl w:val="0"/>
        </w:rPr>
        <w:t xml:space="preserve"> 06240/INFOEM/IP/RR/2025 </w:t>
      </w:r>
      <w:r w:rsidDel="00000000" w:rsidR="00000000" w:rsidRPr="00000000">
        <w:rPr>
          <w:rFonts w:ascii="Palatino Linotype" w:cs="Palatino Linotype" w:eastAsia="Palatino Linotype" w:hAnsi="Palatino Linotype"/>
          <w:rtl w:val="0"/>
        </w:rPr>
        <w:t xml:space="preserve">al Comisionado Presidente José Martínez Vilchis.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5. Admisión de los Recursos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treinta de mayo y tres de junio de dos mil veinticinco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6. Manifestaciones. </w:t>
      </w:r>
      <w:r w:rsidDel="00000000" w:rsidR="00000000" w:rsidRPr="00000000">
        <w:rPr>
          <w:rFonts w:ascii="Palatino Linotype" w:cs="Palatino Linotype" w:eastAsia="Palatino Linotype" w:hAnsi="Palatino Linotype"/>
          <w:rtl w:val="0"/>
        </w:rPr>
        <w:t xml:space="preserve">En fecha nueve de junio de dos mil veinticinco el Sujeto Obligado rindió su informe Justificado como se advierte a continuación:</w:t>
      </w:r>
    </w:p>
    <w:tbl>
      <w:tblPr>
        <w:tblStyle w:val="Table3"/>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99"/>
        <w:tblGridChange w:id="0">
          <w:tblGrid>
            <w:gridCol w:w="3256"/>
            <w:gridCol w:w="5799"/>
          </w:tblGrid>
        </w:tblGridChange>
      </w:tblGrid>
      <w:tr>
        <w:trPr>
          <w:cantSplit w:val="0"/>
          <w:tblHeader w:val="0"/>
        </w:trPr>
        <w:tc>
          <w:tcPr>
            <w:shd w:fill="bfbfbf" w:val="clear"/>
            <w:vAlign w:val="center"/>
          </w:tcPr>
          <w:p w:rsidR="00000000" w:rsidDel="00000000" w:rsidP="00000000" w:rsidRDefault="00000000" w:rsidRPr="00000000" w14:paraId="00000020">
            <w:pPr>
              <w:tabs>
                <w:tab w:val="left" w:leader="none" w:pos="284"/>
              </w:tabs>
              <w:spacing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Recurso de Revisión</w:t>
            </w:r>
          </w:p>
        </w:tc>
        <w:tc>
          <w:tcPr>
            <w:shd w:fill="bfbfbf" w:val="clear"/>
            <w:vAlign w:val="center"/>
          </w:tcPr>
          <w:p w:rsidR="00000000" w:rsidDel="00000000" w:rsidP="00000000" w:rsidRDefault="00000000" w:rsidRPr="00000000" w14:paraId="00000021">
            <w:pPr>
              <w:tabs>
                <w:tab w:val="left" w:leader="none" w:pos="284"/>
              </w:tabs>
              <w:spacing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Informe Justificado</w:t>
            </w:r>
          </w:p>
        </w:tc>
      </w:tr>
      <w:tr>
        <w:trPr>
          <w:cantSplit w:val="0"/>
          <w:tblHeader w:val="0"/>
        </w:trPr>
        <w:tc>
          <w:tcPr/>
          <w:p w:rsidR="00000000" w:rsidDel="00000000" w:rsidP="00000000" w:rsidRDefault="00000000" w:rsidRPr="00000000" w14:paraId="00000022">
            <w:pPr>
              <w:tabs>
                <w:tab w:val="left" w:leader="none" w:pos="284"/>
              </w:tabs>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06224/INFOEM/IP/RR/2025</w:t>
            </w:r>
          </w:p>
        </w:tc>
        <w:tc>
          <w:tcPr/>
          <w:p w:rsidR="00000000" w:rsidDel="00000000" w:rsidP="00000000" w:rsidRDefault="00000000" w:rsidRPr="00000000" w14:paraId="00000023">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omitió rendir su informe justificado como se advierte a continuación:</w:t>
            </w:r>
          </w:p>
          <w:p w:rsidR="00000000" w:rsidDel="00000000" w:rsidP="00000000" w:rsidRDefault="00000000" w:rsidRPr="00000000" w14:paraId="00000024">
            <w:pPr>
              <w:tabs>
                <w:tab w:val="left" w:leader="none" w:pos="284"/>
              </w:tabs>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51394" cy="979670"/>
                  <wp:effectExtent b="0" l="0" r="0" t="0"/>
                  <wp:docPr id="214310819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451394" cy="97967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left" w:leader="none" w:pos="284"/>
              </w:tabs>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27">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06240/INFOEM/IP/RR/2025</w:t>
            </w:r>
            <w:r w:rsidDel="00000000" w:rsidR="00000000" w:rsidRPr="00000000">
              <w:rPr>
                <w:rtl w:val="0"/>
              </w:rPr>
            </w:r>
          </w:p>
        </w:tc>
        <w:tc>
          <w:tcPr/>
          <w:p w:rsidR="00000000" w:rsidDel="00000000" w:rsidP="00000000" w:rsidRDefault="00000000" w:rsidRPr="00000000" w14:paraId="00000028">
            <w:pPr>
              <w:tabs>
                <w:tab w:val="left" w:leader="none" w:pos="284"/>
              </w:tabs>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IJ 6240.pdf: </w:t>
            </w:r>
            <w:r w:rsidDel="00000000" w:rsidR="00000000" w:rsidRPr="00000000">
              <w:rPr>
                <w:rFonts w:ascii="Palatino Linotype" w:cs="Palatino Linotype" w:eastAsia="Palatino Linotype" w:hAnsi="Palatino Linotype"/>
                <w:rtl w:val="0"/>
              </w:rPr>
              <w:t xml:space="preserve">Documento mediante el cual el Sujeto Obligado ratifica su respuesta inicial.</w:t>
            </w:r>
            <w:r w:rsidDel="00000000" w:rsidR="00000000" w:rsidRPr="00000000">
              <w:rPr>
                <w:rtl w:val="0"/>
              </w:rPr>
            </w:r>
          </w:p>
          <w:p w:rsidR="00000000" w:rsidDel="00000000" w:rsidP="00000000" w:rsidRDefault="00000000" w:rsidRPr="00000000" w14:paraId="00000029">
            <w:pPr>
              <w:tabs>
                <w:tab w:val="left" w:leader="none" w:pos="284"/>
              </w:tabs>
              <w:jc w:val="both"/>
              <w:rPr>
                <w:rFonts w:ascii="Palatino Linotype" w:cs="Palatino Linotype" w:eastAsia="Palatino Linotype" w:hAnsi="Palatino Linotype"/>
                <w:b w:val="1"/>
                <w:bCs w:val="1"/>
              </w:rPr>
            </w:pPr>
            <w:r w:rsidDel="00000000" w:rsidR="00000000" w:rsidRPr="00000000">
              <w:rPr>
                <w:rtl w:val="0"/>
              </w:rPr>
            </w:r>
          </w:p>
        </w:tc>
      </w:tr>
    </w:tbl>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2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7.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mediante acuerdo de fecha </w:t>
      </w:r>
      <w:r w:rsidDel="00000000" w:rsidR="00000000" w:rsidRPr="00000000">
        <w:rPr>
          <w:rFonts w:ascii="Palatino Linotype" w:cs="Palatino Linotype" w:eastAsia="Palatino Linotype" w:hAnsi="Palatino Linotype"/>
          <w:b w:val="1"/>
          <w:bCs w:val="1"/>
          <w:rtl w:val="0"/>
        </w:rPr>
        <w:t xml:space="preserve">dieciocho de junio de dos mil veinticinco,</w:t>
      </w:r>
      <w:r w:rsidDel="00000000" w:rsidR="00000000" w:rsidRPr="00000000">
        <w:rPr>
          <w:rFonts w:ascii="Palatino Linotype" w:cs="Palatino Linotype" w:eastAsia="Palatino Linotype" w:hAnsi="Palatino Linotype"/>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bCs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“Artículo 18.-</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iCs w:val="1"/>
          <w:rtl w:val="0"/>
        </w:rPr>
        <w:t xml:space="preserve"> o a petición de parte, </w:t>
      </w:r>
      <w:r w:rsidDel="00000000" w:rsidR="00000000" w:rsidRPr="00000000">
        <w:rPr>
          <w:rFonts w:ascii="Palatino Linotype" w:cs="Palatino Linotype" w:eastAsia="Palatino Linotype" w:hAnsi="Palatino Linotype"/>
          <w:b w:val="1"/>
          <w:bCs w:val="1"/>
          <w:i w:val="1"/>
          <w:iCs w:val="1"/>
          <w:rtl w:val="0"/>
        </w:rPr>
        <w:t xml:space="preserve">cuando las partes</w:t>
      </w:r>
      <w:r w:rsidDel="00000000" w:rsidR="00000000" w:rsidRPr="00000000">
        <w:rPr>
          <w:rFonts w:ascii="Palatino Linotype" w:cs="Palatino Linotype" w:eastAsia="Palatino Linotype" w:hAnsi="Palatino Linotype"/>
          <w:i w:val="1"/>
          <w:iCs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bCs w:val="1"/>
          <w:i w:val="1"/>
          <w:iCs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iCs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“Artículo 195.-</w:t>
      </w:r>
      <w:r w:rsidDel="00000000" w:rsidR="00000000" w:rsidRPr="00000000">
        <w:rPr>
          <w:rFonts w:ascii="Palatino Linotype" w:cs="Palatino Linotype" w:eastAsia="Palatino Linotype" w:hAnsi="Palatino Linotype"/>
          <w:i w:val="1"/>
          <w:iCs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 los expedientes, el </w:t>
      </w:r>
      <w:r w:rsidDel="00000000" w:rsidR="00000000" w:rsidRPr="00000000">
        <w:rPr>
          <w:rFonts w:ascii="Palatino Linotype" w:cs="Palatino Linotype" w:eastAsia="Palatino Linotype" w:hAnsi="Palatino Linotype"/>
          <w:b w:val="1"/>
          <w:bCs w:val="1"/>
          <w:rtl w:val="0"/>
        </w:rPr>
        <w:t xml:space="preserve">diecisiete de septiembre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dieciocho de septiembre de dos mil veinticinco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8">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bookmarkStart w:colFirst="0" w:colLast="0" w:name="_heading=h.basgyl8bd0sf" w:id="4"/>
      <w:bookmarkEnd w:id="4"/>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9">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A">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B">
      <w:p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1">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4">
      <w:pPr>
        <w:widowControl w:val="0"/>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 C O N S I D E R A N D O 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bCs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las solicitudes de información los días </w:t>
      </w:r>
      <w:r w:rsidDel="00000000" w:rsidR="00000000" w:rsidRPr="00000000">
        <w:rPr>
          <w:rFonts w:ascii="Palatino Linotype" w:cs="Palatino Linotype" w:eastAsia="Palatino Linotype" w:hAnsi="Palatino Linotype"/>
          <w:b w:val="1"/>
          <w:bCs w:val="1"/>
          <w:rtl w:val="0"/>
        </w:rPr>
        <w:t xml:space="preserve">veintidós y veintiséis de mayo de dos mil veinticinco, </w:t>
      </w:r>
      <w:r w:rsidDel="00000000" w:rsidR="00000000" w:rsidRPr="00000000">
        <w:rPr>
          <w:rFonts w:ascii="Palatino Linotype" w:cs="Palatino Linotype" w:eastAsia="Palatino Linotype" w:hAnsi="Palatino Linotype"/>
          <w:rtl w:val="0"/>
        </w:rPr>
        <w:t xml:space="preserve">mientras que los recursos de revisión interpuestos por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se tuvieron por presentados el día</w:t>
      </w:r>
      <w:r w:rsidDel="00000000" w:rsidR="00000000" w:rsidRPr="00000000">
        <w:rPr>
          <w:rFonts w:ascii="Palatino Linotype" w:cs="Palatino Linotype" w:eastAsia="Palatino Linotype" w:hAnsi="Palatino Linotype"/>
          <w:b w:val="1"/>
          <w:bCs w:val="1"/>
          <w:rtl w:val="0"/>
        </w:rPr>
        <w:t xml:space="preserve"> veintinueve de mayo de dos mil veinticinco, </w:t>
      </w:r>
      <w:r w:rsidDel="00000000" w:rsidR="00000000" w:rsidRPr="00000000">
        <w:rPr>
          <w:rFonts w:ascii="Palatino Linotype" w:cs="Palatino Linotype" w:eastAsia="Palatino Linotype" w:hAnsi="Palatino Linotype"/>
          <w:rtl w:val="0"/>
        </w:rPr>
        <w:t xml:space="preserve">esto es, al tercer y quinto día hábil posterior a aquel en el que tuvo conocimiento de las respuestas impugnadas. En este sentido, se concluye que los recursos de revisión se encuentran dentro de los márgenes temporales previstos en las disposiciones legales referidas.</w:t>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Además, por cuanto hace a la procedibilidad de los recursos de revisión, es de suma importancia señalar que la parte</w:t>
      </w:r>
      <w:r w:rsidDel="00000000" w:rsidR="00000000" w:rsidRPr="00000000">
        <w:rPr>
          <w:rFonts w:ascii="Palatino Linotype" w:cs="Palatino Linotype" w:eastAsia="Palatino Linotype" w:hAnsi="Palatino Linotype"/>
          <w:b w:val="1"/>
          <w:bCs w:val="1"/>
          <w:rtl w:val="0"/>
        </w:rPr>
        <w:t xml:space="preserve"> Recurrente</w:t>
      </w:r>
      <w:r w:rsidDel="00000000" w:rsidR="00000000" w:rsidRPr="00000000">
        <w:rPr>
          <w:rFonts w:ascii="Palatino Linotype" w:cs="Palatino Linotype" w:eastAsia="Palatino Linotype" w:hAnsi="Palatino Linotype"/>
          <w:rtl w:val="0"/>
        </w:rPr>
        <w:t xml:space="preserve">, no señaló </w:t>
      </w:r>
      <w:r w:rsidDel="00000000" w:rsidR="00000000" w:rsidRPr="00000000">
        <w:rPr>
          <w:rFonts w:ascii="Palatino Linotype" w:cs="Palatino Linotype" w:eastAsia="Palatino Linotype" w:hAnsi="Palatino Linotype"/>
          <w:b w:val="1"/>
          <w:bCs w:val="1"/>
          <w:rtl w:val="0"/>
        </w:rPr>
        <w:t xml:space="preserve">nombre,</w:t>
      </w:r>
      <w:r w:rsidDel="00000000" w:rsidR="00000000" w:rsidRPr="00000000">
        <w:rPr>
          <w:rFonts w:ascii="Palatino Linotype" w:cs="Palatino Linotype" w:eastAsia="Palatino Linotype" w:hAnsi="Palatino Linotype"/>
          <w:rtl w:val="0"/>
        </w:rPr>
        <w:t xml:space="preserve"> como se advierte en el detalle de seguimiento del SAIMEX, no obstante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9">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Las solicitudes anónimas</w:t>
      </w:r>
      <w:r w:rsidDel="00000000" w:rsidR="00000000" w:rsidRPr="00000000">
        <w:rPr>
          <w:rFonts w:ascii="Palatino Linotype" w:cs="Palatino Linotype" w:eastAsia="Palatino Linotype" w:hAnsi="Palatino Linotype"/>
          <w:i w:val="1"/>
          <w:iCs w:val="1"/>
          <w:rtl w:val="0"/>
        </w:rPr>
        <w:t xml:space="preserve">, con nombre incompleto o </w:t>
      </w:r>
      <w:r w:rsidDel="00000000" w:rsidR="00000000" w:rsidRPr="00000000">
        <w:rPr>
          <w:rFonts w:ascii="Palatino Linotype" w:cs="Palatino Linotype" w:eastAsia="Palatino Linotype" w:hAnsi="Palatino Linotype"/>
          <w:b w:val="1"/>
          <w:bCs w:val="1"/>
          <w:i w:val="1"/>
          <w:iCs w:val="1"/>
          <w:rtl w:val="0"/>
        </w:rPr>
        <w:t xml:space="preserve">seudónimo</w:t>
      </w:r>
      <w:r w:rsidDel="00000000" w:rsidR="00000000" w:rsidRPr="00000000">
        <w:rPr>
          <w:rFonts w:ascii="Palatino Linotype" w:cs="Palatino Linotype" w:eastAsia="Palatino Linotype" w:hAnsi="Palatino Linotype"/>
          <w:i w:val="1"/>
          <w:iCs w:val="1"/>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bCs w:val="1"/>
          <w:rtl w:val="0"/>
        </w:rPr>
        <w:t xml:space="preserve"> SAIMEX.</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4C">
      <w:pPr>
        <w:tabs>
          <w:tab w:val="left" w:leader="none" w:pos="7938"/>
        </w:tabs>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w:t>
      </w:r>
      <w:r w:rsidDel="00000000" w:rsidR="00000000" w:rsidRPr="00000000">
        <w:rPr>
          <w:rFonts w:ascii="Palatino Linotype" w:cs="Palatino Linotype" w:eastAsia="Palatino Linotype" w:hAnsi="Palatino Linotype"/>
          <w:i w:val="1"/>
          <w:iCs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D">
      <w:pPr>
        <w:tabs>
          <w:tab w:val="left" w:leader="none" w:pos="7938"/>
        </w:tabs>
        <w:spacing w:after="120" w:before="12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4E">
      <w:pPr>
        <w:tabs>
          <w:tab w:val="left" w:leader="none" w:pos="7938"/>
        </w:tabs>
        <w:spacing w:after="120" w:before="12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 </w:t>
      </w:r>
      <w:r w:rsidDel="00000000" w:rsidR="00000000" w:rsidRPr="00000000">
        <w:rPr>
          <w:rFonts w:ascii="Palatino Linotype" w:cs="Palatino Linotype" w:eastAsia="Palatino Linotype" w:hAnsi="Palatino Linotype"/>
          <w:i w:val="1"/>
          <w:iCs w:val="1"/>
          <w:rtl w:val="0"/>
        </w:rPr>
        <w:t xml:space="preserve">La entrega de información incompleta;”</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1">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2">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3">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5">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57">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59">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A">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B">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5D">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0">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1">
      <w:pPr>
        <w:spacing w:after="120" w:before="12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6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las solicitudes de información, motivo de los recursos de revisión que ahora se resuelven, se advierte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68">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Actas de Cabildo del uno de enero al doce de mayo de dos mil veinticinco.</w:t>
      </w:r>
    </w:p>
    <w:p w:rsidR="00000000" w:rsidDel="00000000" w:rsidP="00000000" w:rsidRDefault="00000000" w:rsidRPr="00000000" w14:paraId="00000069">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Videos de las sesiones de Cabildo del uno de enero al doce de mayo de dos mil veinticinco.</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conviene señalar que, en cumplimiento del procedimiento previsto en los artículos 53 fracciones II y IV y 162 de la Ley de Transparencia y Acceso a la Información Pública del Estado de México, la Unidad de Transparencia turnó la solicitud al área que pudiera tener la información materia del requerimiento de información combatido, de acuerdo a sus atribuciones, competencias o funciones, esto es a la Secretaría del Ayuntamiento, como el área competente para conocer de la información que es del interés de la persona solicitante, al ser la dependencia de la administración pública municipal responsable de levantar las actas de las sesiones del ayuntamiento, así como de llevar y conservar los libros de actas de cabildo, de conformidad con el artículo 91, fracciones I y IV de la Ley Orgánica Municipal del Estado de México, como se lee enseguida:</w:t>
      </w:r>
    </w:p>
    <w:p w:rsidR="00000000" w:rsidDel="00000000" w:rsidP="00000000" w:rsidRDefault="00000000" w:rsidRPr="00000000" w14:paraId="0000006B">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000000" w:rsidDel="00000000" w:rsidP="00000000" w:rsidRDefault="00000000" w:rsidRPr="00000000" w14:paraId="0000006C">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Asistir a las sesiones del ayuntamiento y levantar las actas correspondientes; </w:t>
      </w:r>
    </w:p>
    <w:p w:rsidR="00000000" w:rsidDel="00000000" w:rsidP="00000000" w:rsidRDefault="00000000" w:rsidRPr="00000000" w14:paraId="0000006D">
      <w:pPr>
        <w:spacing w:after="120" w:before="120" w:line="240" w:lineRule="auto"/>
        <w:ind w:left="1134"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06E">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Llevar y conservar los libros de actas de cabildo, obteniendo las firmas de los asistentes a las sesiones;”</w:t>
      </w:r>
    </w:p>
    <w:p w:rsidR="00000000" w:rsidDel="00000000" w:rsidP="00000000" w:rsidRDefault="00000000" w:rsidRPr="00000000" w14:paraId="0000006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persona servidora pública habilitada de la Secretaría del Ayuntamiento, hizo entrega de un archivo que contiene las Actas de las sesiones de Cabildo ordinarias y extraordinarias celebradas del uno de enero al veinticinco de abril de dos mil veinticinco, integras.</w:t>
      </w:r>
    </w:p>
    <w:p w:rsidR="00000000" w:rsidDel="00000000" w:rsidP="00000000" w:rsidRDefault="00000000" w:rsidRPr="00000000" w14:paraId="0000007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refirió que los videos de las sesiones de cabildo ordinarias y extraordinarias, refirió que se encontraban en la página oficial del municipio de Aculco, cuya dirección electrónica proporcionó para efectos de la consulta, en formato cerrado.</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al no estar conforme con los términos de las respuestas emitidas,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interpuso los recursos de revisión que ahora se resuelven, donde señaló como motivos de inconformidad, que la información entregada estaba incompleta.</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por conducto de la Secretaría del Ayuntamiento, ratificó la respuesta proporcionada en primera instancia a la solicitud 00095/ACULCO/IP/2025.</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ordenar el soporte documental correspondiente, en caso de ser procedente.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como se advierte, de la respuesta proporcionada se desprende que no se niega la existencia de la información solicitada, sino por el contrario, la Secretaría del Ayuntamiento se encuentra encaminada a atender el requerimiento de información, por ello es que, una vez analizado, proporcionó información en el ámbito de sus competencias con la finalidad de satisfacer la pretensión de la persona solicitante.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efecto, el hecho de que la persona servidora pública habilitada de la Secretaría del Ayuntamiento, haya asumido contar con la información pública solicitada, acepta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la generó, posee y/o administra, en ejercicio de sus funciones de derecho público, motivo por el cual se actualiza el supuesto previsto en el artículo 12 de la Ley de Transparencia y Acceso a la Información Pública del Estado de México y Municipios, previamente citado.</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lo que se refiere a la información proporcionada, es de señalar, en primer lugar, que si bien,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entregó, para efectos de la consulta de los videos de las Sesiones de Cabildo, una dirección electrónica a través de un documento digitalizado en formato cerrado que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 decir, letras, números, signos, espacios, etcétera, existe una gran probabilidad de cometer errores en la captura, lo cual implicaría invariablemente la imposibilidad de acceder a la información, en el caso particular, de la lectura del motivo de inconformidad hecho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se advierte que ésta accedió a la liga electrónica, sin embargo, no contienen la información completa.</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imprescindible traer a colación el artículo 161 de la Ley de Transparencia y Acceso a la Información Pública del Estado de México y Municipios</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rtl w:val="0"/>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078">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fuente</w:t>
      </w:r>
    </w:p>
    <w:p w:rsidR="00000000" w:rsidDel="00000000" w:rsidP="00000000" w:rsidRDefault="00000000" w:rsidRPr="00000000" w14:paraId="00000079">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lugar y</w:t>
      </w:r>
    </w:p>
    <w:p w:rsidR="00000000" w:rsidDel="00000000" w:rsidP="00000000" w:rsidRDefault="00000000" w:rsidRPr="00000000" w14:paraId="0000007A">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forma</w:t>
      </w:r>
    </w:p>
    <w:p w:rsidR="00000000" w:rsidDel="00000000" w:rsidP="00000000" w:rsidRDefault="00000000" w:rsidRPr="00000000" w14:paraId="0000007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07C">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Precisa</w:t>
      </w:r>
    </w:p>
    <w:p w:rsidR="00000000" w:rsidDel="00000000" w:rsidP="00000000" w:rsidRDefault="00000000" w:rsidRPr="00000000" w14:paraId="0000007D">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Concreta</w:t>
      </w:r>
    </w:p>
    <w:p w:rsidR="00000000" w:rsidDel="00000000" w:rsidP="00000000" w:rsidRDefault="00000000" w:rsidRPr="00000000" w14:paraId="0000007E">
      <w:pPr>
        <w:spacing w:after="120" w:before="12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Y no debe implicar que el solicitante realice una búsqueda en toda la información que se encuentre disponible.</w:t>
      </w:r>
    </w:p>
    <w:p w:rsidR="00000000" w:rsidDel="00000000" w:rsidP="00000000" w:rsidRDefault="00000000" w:rsidRPr="00000000" w14:paraId="0000007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establecen el procedimiento que deben seguir los Sujetos Obligados para que pueda tomarse como válida su orientación sobre la forma en que puede consultar la información requerida.</w:t>
      </w:r>
    </w:p>
    <w:p w:rsidR="00000000" w:rsidDel="00000000" w:rsidP="00000000" w:rsidRDefault="00000000" w:rsidRPr="00000000" w14:paraId="0000008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la liga proporcionada dirige al siguiente portal:</w:t>
      </w:r>
    </w:p>
    <w:p w:rsidR="00000000" w:rsidDel="00000000" w:rsidP="00000000" w:rsidRDefault="00000000" w:rsidRPr="00000000" w14:paraId="00000081">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960000" cy="1995057"/>
            <wp:effectExtent b="0" l="0" r="0" t="0"/>
            <wp:docPr id="2143108193" name="image4.png"/>
            <a:graphic>
              <a:graphicData uri="http://schemas.openxmlformats.org/drawingml/2006/picture">
                <pic:pic>
                  <pic:nvPicPr>
                    <pic:cNvPr id="0" name="image4.png"/>
                    <pic:cNvPicPr preferRelativeResize="0"/>
                  </pic:nvPicPr>
                  <pic:blipFill>
                    <a:blip r:embed="rId8"/>
                    <a:srcRect b="30793" l="0" r="0" t="0"/>
                    <a:stretch>
                      <a:fillRect/>
                    </a:stretch>
                  </pic:blipFill>
                  <pic:spPr>
                    <a:xfrm>
                      <a:off x="0" y="0"/>
                      <a:ext cx="3960000" cy="1995057"/>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las fechas de las sesiones contienen un hipervínculo que dirige a los videos de las sesiones respectivas:</w:t>
      </w:r>
    </w:p>
    <w:p w:rsidR="00000000" w:rsidDel="00000000" w:rsidP="00000000" w:rsidRDefault="00000000" w:rsidRPr="00000000" w14:paraId="0000008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3078447"/>
            <wp:effectExtent b="0" l="0" r="0" t="0"/>
            <wp:docPr id="214310819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860000" cy="307844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Acto seguido, este Organismo Garante procedió al análisis de las actas de las Sesiones de Cabildo, así como de las videograbaciones de las sesiones publicadas en el portal referido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como a continuación se expone:</w:t>
      </w:r>
    </w:p>
    <w:tbl>
      <w:tblPr>
        <w:tblStyle w:val="Table4"/>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4"/>
        <w:gridCol w:w="14"/>
        <w:gridCol w:w="2987"/>
        <w:gridCol w:w="31"/>
        <w:gridCol w:w="3019"/>
        <w:tblGridChange w:id="0">
          <w:tblGrid>
            <w:gridCol w:w="3004"/>
            <w:gridCol w:w="14"/>
            <w:gridCol w:w="2987"/>
            <w:gridCol w:w="31"/>
            <w:gridCol w:w="3019"/>
          </w:tblGrid>
        </w:tblGridChange>
      </w:tblGrid>
      <w:tr>
        <w:trPr>
          <w:cantSplit w:val="0"/>
          <w:tblHeader w:val="0"/>
        </w:trPr>
        <w:tc>
          <w:tcPr>
            <w:shd w:fill="bfbfbf" w:val="clear"/>
            <w:vAlign w:val="center"/>
          </w:tcPr>
          <w:p w:rsidR="00000000" w:rsidDel="00000000" w:rsidP="00000000" w:rsidRDefault="00000000" w:rsidRPr="00000000" w14:paraId="00000085">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SESIÓN </w:t>
            </w:r>
            <w:r w:rsidDel="00000000" w:rsidR="00000000" w:rsidRPr="00000000">
              <w:rPr>
                <w:rFonts w:ascii="Palatino Linotype" w:cs="Palatino Linotype" w:eastAsia="Palatino Linotype" w:hAnsi="Palatino Linotype"/>
                <w:b w:val="1"/>
                <w:bCs w:val="1"/>
                <w:sz w:val="20"/>
                <w:szCs w:val="20"/>
                <w:u w:val="single"/>
                <w:rtl w:val="0"/>
              </w:rPr>
              <w:t xml:space="preserve">ORDINARIA</w:t>
            </w:r>
            <w:r w:rsidDel="00000000" w:rsidR="00000000" w:rsidRPr="00000000">
              <w:rPr>
                <w:rtl w:val="0"/>
              </w:rPr>
            </w:r>
          </w:p>
        </w:tc>
        <w:tc>
          <w:tcPr>
            <w:gridSpan w:val="2"/>
            <w:shd w:fill="bfbfbf" w:val="clear"/>
            <w:vAlign w:val="center"/>
          </w:tcPr>
          <w:p w:rsidR="00000000" w:rsidDel="00000000" w:rsidP="00000000" w:rsidRDefault="00000000" w:rsidRPr="00000000" w14:paraId="0000008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ENTREGA EL ACTA?</w:t>
            </w:r>
          </w:p>
        </w:tc>
        <w:tc>
          <w:tcPr>
            <w:gridSpan w:val="2"/>
            <w:shd w:fill="bfbfbf" w:val="clear"/>
            <w:vAlign w:val="center"/>
          </w:tcPr>
          <w:p w:rsidR="00000000" w:rsidDel="00000000" w:rsidP="00000000" w:rsidRDefault="00000000" w:rsidRPr="00000000" w14:paraId="00000088">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ENCUENTRA LA VIDEOGRABACIÓN?</w:t>
            </w:r>
          </w:p>
        </w:tc>
      </w:tr>
      <w:tr>
        <w:trPr>
          <w:cantSplit w:val="0"/>
          <w:tblHeader w:val="0"/>
        </w:trPr>
        <w:tc>
          <w:tcPr>
            <w:vAlign w:val="center"/>
          </w:tcPr>
          <w:p w:rsidR="00000000" w:rsidDel="00000000" w:rsidP="00000000" w:rsidRDefault="00000000" w:rsidRPr="00000000" w14:paraId="0000008A">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001/2025</w:t>
            </w:r>
          </w:p>
          <w:p w:rsidR="00000000" w:rsidDel="00000000" w:rsidP="00000000" w:rsidRDefault="00000000" w:rsidRPr="00000000" w14:paraId="0000008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01 de enero de 2025</w:t>
            </w:r>
            <w:r w:rsidDel="00000000" w:rsidR="00000000" w:rsidRPr="00000000">
              <w:rPr>
                <w:rtl w:val="0"/>
              </w:rPr>
            </w:r>
          </w:p>
        </w:tc>
        <w:tc>
          <w:tcPr>
            <w:gridSpan w:val="2"/>
            <w:vAlign w:val="center"/>
          </w:tcPr>
          <w:p w:rsidR="00000000" w:rsidDel="00000000" w:rsidP="00000000" w:rsidRDefault="00000000" w:rsidRPr="00000000" w14:paraId="0000008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8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90">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002/2025</w:t>
            </w:r>
          </w:p>
          <w:p w:rsidR="00000000" w:rsidDel="00000000" w:rsidP="00000000" w:rsidRDefault="00000000" w:rsidRPr="00000000" w14:paraId="00000091">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10 de enero de 2025</w:t>
            </w:r>
          </w:p>
        </w:tc>
        <w:tc>
          <w:tcPr>
            <w:gridSpan w:val="2"/>
            <w:vAlign w:val="center"/>
          </w:tcPr>
          <w:p w:rsidR="00000000" w:rsidDel="00000000" w:rsidP="00000000" w:rsidRDefault="00000000" w:rsidRPr="00000000" w14:paraId="0000009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9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9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003/2025</w:t>
            </w:r>
          </w:p>
          <w:p w:rsidR="00000000" w:rsidDel="00000000" w:rsidP="00000000" w:rsidRDefault="00000000" w:rsidRPr="00000000" w14:paraId="0000009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17 de enero de 2025</w:t>
            </w:r>
          </w:p>
        </w:tc>
        <w:tc>
          <w:tcPr>
            <w:gridSpan w:val="2"/>
            <w:vAlign w:val="center"/>
          </w:tcPr>
          <w:p w:rsidR="00000000" w:rsidDel="00000000" w:rsidP="00000000" w:rsidRDefault="00000000" w:rsidRPr="00000000" w14:paraId="0000009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9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9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004/2025</w:t>
            </w:r>
          </w:p>
          <w:p w:rsidR="00000000" w:rsidDel="00000000" w:rsidP="00000000" w:rsidRDefault="00000000" w:rsidRPr="00000000" w14:paraId="0000009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24 de enero de 2025</w:t>
            </w:r>
            <w:r w:rsidDel="00000000" w:rsidR="00000000" w:rsidRPr="00000000">
              <w:rPr>
                <w:rtl w:val="0"/>
              </w:rPr>
            </w:r>
          </w:p>
        </w:tc>
        <w:tc>
          <w:tcPr>
            <w:gridSpan w:val="2"/>
            <w:vAlign w:val="center"/>
          </w:tcPr>
          <w:p w:rsidR="00000000" w:rsidDel="00000000" w:rsidP="00000000" w:rsidRDefault="00000000" w:rsidRPr="00000000" w14:paraId="0000009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shd w:fill="f7d8d5" w:val="clear"/>
            <w:vAlign w:val="center"/>
          </w:tcPr>
          <w:p w:rsidR="00000000" w:rsidDel="00000000" w:rsidP="00000000" w:rsidRDefault="00000000" w:rsidRPr="00000000" w14:paraId="000000A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p w:rsidR="00000000" w:rsidDel="00000000" w:rsidP="00000000" w:rsidRDefault="00000000" w:rsidRPr="00000000" w14:paraId="000000A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videograbación corresponde a la 6ª Sesión)</w:t>
            </w:r>
          </w:p>
        </w:tc>
      </w:tr>
      <w:tr>
        <w:trPr>
          <w:cantSplit w:val="0"/>
          <w:tblHeader w:val="0"/>
        </w:trPr>
        <w:tc>
          <w:tcPr>
            <w:vAlign w:val="center"/>
          </w:tcPr>
          <w:p w:rsidR="00000000" w:rsidDel="00000000" w:rsidP="00000000" w:rsidRDefault="00000000" w:rsidRPr="00000000" w14:paraId="000000A3">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005/2025</w:t>
            </w:r>
          </w:p>
          <w:p w:rsidR="00000000" w:rsidDel="00000000" w:rsidP="00000000" w:rsidRDefault="00000000" w:rsidRPr="00000000" w14:paraId="000000A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28 de enero de 2025</w:t>
            </w:r>
            <w:r w:rsidDel="00000000" w:rsidR="00000000" w:rsidRPr="00000000">
              <w:rPr>
                <w:rtl w:val="0"/>
              </w:rPr>
            </w:r>
          </w:p>
        </w:tc>
        <w:tc>
          <w:tcPr>
            <w:gridSpan w:val="2"/>
            <w:vAlign w:val="center"/>
          </w:tcPr>
          <w:p w:rsidR="00000000" w:rsidDel="00000000" w:rsidP="00000000" w:rsidRDefault="00000000" w:rsidRPr="00000000" w14:paraId="000000A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shd w:fill="f7d8d5" w:val="clear"/>
            <w:vAlign w:val="center"/>
          </w:tcPr>
          <w:p w:rsidR="00000000" w:rsidDel="00000000" w:rsidP="00000000" w:rsidRDefault="00000000" w:rsidRPr="00000000" w14:paraId="000000A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p w:rsidR="00000000" w:rsidDel="00000000" w:rsidP="00000000" w:rsidRDefault="00000000" w:rsidRPr="00000000" w14:paraId="000000A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videograbación corresponde a la 6ª Sesión)</w:t>
            </w:r>
          </w:p>
        </w:tc>
      </w:tr>
      <w:tr>
        <w:trPr>
          <w:cantSplit w:val="0"/>
          <w:tblHeader w:val="0"/>
        </w:trPr>
        <w:tc>
          <w:tcPr>
            <w:vAlign w:val="center"/>
          </w:tcPr>
          <w:p w:rsidR="00000000" w:rsidDel="00000000" w:rsidP="00000000" w:rsidRDefault="00000000" w:rsidRPr="00000000" w14:paraId="000000AA">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006/2025</w:t>
            </w:r>
          </w:p>
          <w:p w:rsidR="00000000" w:rsidDel="00000000" w:rsidP="00000000" w:rsidRDefault="00000000" w:rsidRPr="00000000" w14:paraId="000000A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07 de febrero de 2025</w:t>
            </w:r>
            <w:r w:rsidDel="00000000" w:rsidR="00000000" w:rsidRPr="00000000">
              <w:rPr>
                <w:rtl w:val="0"/>
              </w:rPr>
            </w:r>
          </w:p>
        </w:tc>
        <w:tc>
          <w:tcPr>
            <w:gridSpan w:val="2"/>
            <w:vAlign w:val="center"/>
          </w:tcPr>
          <w:p w:rsidR="00000000" w:rsidDel="00000000" w:rsidP="00000000" w:rsidRDefault="00000000" w:rsidRPr="00000000" w14:paraId="000000A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A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B0">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007/2025</w:t>
            </w:r>
          </w:p>
          <w:p w:rsidR="00000000" w:rsidDel="00000000" w:rsidP="00000000" w:rsidRDefault="00000000" w:rsidRPr="00000000" w14:paraId="000000B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13 de febrero de 2025</w:t>
            </w:r>
            <w:r w:rsidDel="00000000" w:rsidR="00000000" w:rsidRPr="00000000">
              <w:rPr>
                <w:rtl w:val="0"/>
              </w:rPr>
            </w:r>
          </w:p>
        </w:tc>
        <w:tc>
          <w:tcPr>
            <w:gridSpan w:val="2"/>
            <w:vAlign w:val="center"/>
          </w:tcPr>
          <w:p w:rsidR="00000000" w:rsidDel="00000000" w:rsidP="00000000" w:rsidRDefault="00000000" w:rsidRPr="00000000" w14:paraId="000000B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B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B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008/2025</w:t>
            </w:r>
          </w:p>
          <w:p w:rsidR="00000000" w:rsidDel="00000000" w:rsidP="00000000" w:rsidRDefault="00000000" w:rsidRPr="00000000" w14:paraId="000000B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21 de febrero de 2025</w:t>
            </w:r>
            <w:r w:rsidDel="00000000" w:rsidR="00000000" w:rsidRPr="00000000">
              <w:rPr>
                <w:rtl w:val="0"/>
              </w:rPr>
            </w:r>
          </w:p>
        </w:tc>
        <w:tc>
          <w:tcPr>
            <w:gridSpan w:val="2"/>
            <w:vAlign w:val="center"/>
          </w:tcPr>
          <w:p w:rsidR="00000000" w:rsidDel="00000000" w:rsidP="00000000" w:rsidRDefault="00000000" w:rsidRPr="00000000" w14:paraId="000000B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B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B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009/2025</w:t>
            </w:r>
          </w:p>
          <w:p w:rsidR="00000000" w:rsidDel="00000000" w:rsidP="00000000" w:rsidRDefault="00000000" w:rsidRPr="00000000" w14:paraId="000000BD">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27 de febrero de 2025</w:t>
            </w:r>
          </w:p>
        </w:tc>
        <w:tc>
          <w:tcPr>
            <w:gridSpan w:val="2"/>
            <w:vAlign w:val="center"/>
          </w:tcPr>
          <w:p w:rsidR="00000000" w:rsidDel="00000000" w:rsidP="00000000" w:rsidRDefault="00000000" w:rsidRPr="00000000" w14:paraId="000000B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C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C2">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010/2025</w:t>
            </w:r>
          </w:p>
          <w:p w:rsidR="00000000" w:rsidDel="00000000" w:rsidP="00000000" w:rsidRDefault="00000000" w:rsidRPr="00000000" w14:paraId="000000C3">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05 de marzo de 2025</w:t>
            </w:r>
          </w:p>
        </w:tc>
        <w:tc>
          <w:tcPr>
            <w:gridSpan w:val="2"/>
            <w:vAlign w:val="center"/>
          </w:tcPr>
          <w:p w:rsidR="00000000" w:rsidDel="00000000" w:rsidP="00000000" w:rsidRDefault="00000000" w:rsidRPr="00000000" w14:paraId="000000C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shd w:fill="f7d8d5" w:val="clear"/>
            <w:vAlign w:val="center"/>
          </w:tcPr>
          <w:p w:rsidR="00000000" w:rsidDel="00000000" w:rsidP="00000000" w:rsidRDefault="00000000" w:rsidRPr="00000000" w14:paraId="000000C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p w:rsidR="00000000" w:rsidDel="00000000" w:rsidP="00000000" w:rsidRDefault="00000000" w:rsidRPr="00000000" w14:paraId="000000C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hipervínculo no dirige a la videograbación de la Sesión)</w:t>
            </w:r>
          </w:p>
          <w:p w:rsidR="00000000" w:rsidDel="00000000" w:rsidP="00000000" w:rsidRDefault="00000000" w:rsidRPr="00000000" w14:paraId="000000C8">
            <w:pPr>
              <w:jc w:val="center"/>
              <w:rPr>
                <w:rFonts w:ascii="Palatino Linotype" w:cs="Palatino Linotype" w:eastAsia="Palatino Linotype" w:hAnsi="Palatino Linotype"/>
                <w:sz w:val="20"/>
                <w:szCs w:val="20"/>
              </w:rPr>
            </w:pPr>
            <w:r w:rsidDel="00000000" w:rsidR="00000000" w:rsidRPr="00000000">
              <w:rPr/>
              <w:drawing>
                <wp:inline distB="0" distT="0" distL="0" distR="0">
                  <wp:extent cx="1800000" cy="757434"/>
                  <wp:effectExtent b="0" l="0" r="0" t="0"/>
                  <wp:docPr id="214310819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800000" cy="75743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A">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011/2025</w:t>
            </w:r>
          </w:p>
          <w:p w:rsidR="00000000" w:rsidDel="00000000" w:rsidP="00000000" w:rsidRDefault="00000000" w:rsidRPr="00000000" w14:paraId="000000CB">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14 de marzo de 2025</w:t>
            </w:r>
          </w:p>
        </w:tc>
        <w:tc>
          <w:tcPr>
            <w:gridSpan w:val="2"/>
            <w:vAlign w:val="center"/>
          </w:tcPr>
          <w:p w:rsidR="00000000" w:rsidDel="00000000" w:rsidP="00000000" w:rsidRDefault="00000000" w:rsidRPr="00000000" w14:paraId="000000C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C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D0">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012/2025</w:t>
            </w:r>
          </w:p>
          <w:p w:rsidR="00000000" w:rsidDel="00000000" w:rsidP="00000000" w:rsidRDefault="00000000" w:rsidRPr="00000000" w14:paraId="000000D1">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21 de marzo de 2025</w:t>
            </w:r>
          </w:p>
        </w:tc>
        <w:tc>
          <w:tcPr>
            <w:gridSpan w:val="2"/>
            <w:vAlign w:val="center"/>
          </w:tcPr>
          <w:p w:rsidR="00000000" w:rsidDel="00000000" w:rsidP="00000000" w:rsidRDefault="00000000" w:rsidRPr="00000000" w14:paraId="000000D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D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D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013/2025</w:t>
            </w:r>
          </w:p>
          <w:p w:rsidR="00000000" w:rsidDel="00000000" w:rsidP="00000000" w:rsidRDefault="00000000" w:rsidRPr="00000000" w14:paraId="000000D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28 de marzo de 2025</w:t>
            </w:r>
          </w:p>
        </w:tc>
        <w:tc>
          <w:tcPr>
            <w:gridSpan w:val="2"/>
            <w:vAlign w:val="center"/>
          </w:tcPr>
          <w:p w:rsidR="00000000" w:rsidDel="00000000" w:rsidP="00000000" w:rsidRDefault="00000000" w:rsidRPr="00000000" w14:paraId="000000D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D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D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014/2025</w:t>
            </w:r>
          </w:p>
          <w:p w:rsidR="00000000" w:rsidDel="00000000" w:rsidP="00000000" w:rsidRDefault="00000000" w:rsidRPr="00000000" w14:paraId="000000DD">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04 de abril de 2025</w:t>
            </w:r>
          </w:p>
        </w:tc>
        <w:tc>
          <w:tcPr>
            <w:gridSpan w:val="2"/>
            <w:shd w:fill="f7d8d5" w:val="clear"/>
            <w:vAlign w:val="center"/>
          </w:tcPr>
          <w:p w:rsidR="00000000" w:rsidDel="00000000" w:rsidP="00000000" w:rsidRDefault="00000000" w:rsidRPr="00000000" w14:paraId="000000D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gridSpan w:val="2"/>
            <w:vAlign w:val="center"/>
          </w:tcPr>
          <w:p w:rsidR="00000000" w:rsidDel="00000000" w:rsidP="00000000" w:rsidRDefault="00000000" w:rsidRPr="00000000" w14:paraId="000000E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E2">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015/2025</w:t>
            </w:r>
          </w:p>
          <w:p w:rsidR="00000000" w:rsidDel="00000000" w:rsidP="00000000" w:rsidRDefault="00000000" w:rsidRPr="00000000" w14:paraId="000000E3">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11 de abril de 2025</w:t>
            </w:r>
          </w:p>
        </w:tc>
        <w:tc>
          <w:tcPr>
            <w:gridSpan w:val="2"/>
            <w:vAlign w:val="center"/>
          </w:tcPr>
          <w:p w:rsidR="00000000" w:rsidDel="00000000" w:rsidP="00000000" w:rsidRDefault="00000000" w:rsidRPr="00000000" w14:paraId="000000E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shd w:fill="f7d8d5" w:val="clear"/>
            <w:vAlign w:val="center"/>
          </w:tcPr>
          <w:p w:rsidR="00000000" w:rsidDel="00000000" w:rsidP="00000000" w:rsidRDefault="00000000" w:rsidRPr="00000000" w14:paraId="000000E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vAlign w:val="center"/>
          </w:tcPr>
          <w:p w:rsidR="00000000" w:rsidDel="00000000" w:rsidP="00000000" w:rsidRDefault="00000000" w:rsidRPr="00000000" w14:paraId="000000E8">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016/2025</w:t>
            </w:r>
          </w:p>
          <w:p w:rsidR="00000000" w:rsidDel="00000000" w:rsidP="00000000" w:rsidRDefault="00000000" w:rsidRPr="00000000" w14:paraId="000000E9">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25 de abril de 2025</w:t>
            </w:r>
          </w:p>
        </w:tc>
        <w:tc>
          <w:tcPr>
            <w:gridSpan w:val="2"/>
            <w:vAlign w:val="center"/>
          </w:tcPr>
          <w:p w:rsidR="00000000" w:rsidDel="00000000" w:rsidP="00000000" w:rsidRDefault="00000000" w:rsidRPr="00000000" w14:paraId="000000E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gridSpan w:val="2"/>
            <w:vAlign w:val="center"/>
          </w:tcPr>
          <w:p w:rsidR="00000000" w:rsidDel="00000000" w:rsidP="00000000" w:rsidRDefault="00000000" w:rsidRPr="00000000" w14:paraId="000000E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EE">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017/2025</w:t>
            </w:r>
          </w:p>
          <w:p w:rsidR="00000000" w:rsidDel="00000000" w:rsidP="00000000" w:rsidRDefault="00000000" w:rsidRPr="00000000" w14:paraId="000000EF">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30 de abril de 2025</w:t>
            </w:r>
          </w:p>
        </w:tc>
        <w:tc>
          <w:tcPr>
            <w:gridSpan w:val="2"/>
            <w:shd w:fill="f7d8d5" w:val="clear"/>
            <w:vAlign w:val="center"/>
          </w:tcPr>
          <w:p w:rsidR="00000000" w:rsidDel="00000000" w:rsidP="00000000" w:rsidRDefault="00000000" w:rsidRPr="00000000" w14:paraId="000000F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gridSpan w:val="2"/>
            <w:vAlign w:val="center"/>
          </w:tcPr>
          <w:p w:rsidR="00000000" w:rsidDel="00000000" w:rsidP="00000000" w:rsidRDefault="00000000" w:rsidRPr="00000000" w14:paraId="000000F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vAlign w:val="center"/>
          </w:tcPr>
          <w:p w:rsidR="00000000" w:rsidDel="00000000" w:rsidP="00000000" w:rsidRDefault="00000000" w:rsidRPr="00000000" w14:paraId="000000F4">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018/2025</w:t>
            </w:r>
          </w:p>
          <w:p w:rsidR="00000000" w:rsidDel="00000000" w:rsidP="00000000" w:rsidRDefault="00000000" w:rsidRPr="00000000" w14:paraId="000000F5">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02 de mayo de 2025</w:t>
            </w:r>
          </w:p>
        </w:tc>
        <w:tc>
          <w:tcPr>
            <w:gridSpan w:val="2"/>
            <w:shd w:fill="f7d8d5" w:val="clear"/>
            <w:vAlign w:val="center"/>
          </w:tcPr>
          <w:p w:rsidR="00000000" w:rsidDel="00000000" w:rsidP="00000000" w:rsidRDefault="00000000" w:rsidRPr="00000000" w14:paraId="000000F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gridSpan w:val="2"/>
            <w:shd w:fill="f7d8d5" w:val="clear"/>
            <w:vAlign w:val="center"/>
          </w:tcPr>
          <w:p w:rsidR="00000000" w:rsidDel="00000000" w:rsidP="00000000" w:rsidRDefault="00000000" w:rsidRPr="00000000" w14:paraId="000000F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p w:rsidR="00000000" w:rsidDel="00000000" w:rsidP="00000000" w:rsidRDefault="00000000" w:rsidRPr="00000000" w14:paraId="000000F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hipervínculo no dirige a la videograbación de la Sesión, se requiere usuario y contraseña)</w:t>
            </w:r>
          </w:p>
          <w:p w:rsidR="00000000" w:rsidDel="00000000" w:rsidP="00000000" w:rsidRDefault="00000000" w:rsidRPr="00000000" w14:paraId="000000FA">
            <w:pPr>
              <w:jc w:val="center"/>
              <w:rPr>
                <w:rFonts w:ascii="Palatino Linotype" w:cs="Palatino Linotype" w:eastAsia="Palatino Linotype" w:hAnsi="Palatino Linotype"/>
                <w:sz w:val="20"/>
                <w:szCs w:val="20"/>
              </w:rPr>
            </w:pPr>
            <w:r w:rsidDel="00000000" w:rsidR="00000000" w:rsidRPr="00000000">
              <w:rPr/>
              <w:drawing>
                <wp:inline distB="0" distT="0" distL="0" distR="0">
                  <wp:extent cx="1800000" cy="1347251"/>
                  <wp:effectExtent b="0" l="0" r="0" t="0"/>
                  <wp:docPr id="214310819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0000" cy="134725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019/2025</w:t>
            </w:r>
          </w:p>
          <w:p w:rsidR="00000000" w:rsidDel="00000000" w:rsidP="00000000" w:rsidRDefault="00000000" w:rsidRPr="00000000" w14:paraId="000000FD">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09 de mayo de 2025</w:t>
            </w:r>
          </w:p>
        </w:tc>
        <w:tc>
          <w:tcPr>
            <w:gridSpan w:val="2"/>
            <w:shd w:fill="f7d8d5" w:val="clear"/>
            <w:vAlign w:val="center"/>
          </w:tcPr>
          <w:p w:rsidR="00000000" w:rsidDel="00000000" w:rsidP="00000000" w:rsidRDefault="00000000" w:rsidRPr="00000000" w14:paraId="000000F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gridSpan w:val="2"/>
            <w:shd w:fill="f7d8d5" w:val="clear"/>
            <w:vAlign w:val="center"/>
          </w:tcPr>
          <w:p w:rsidR="00000000" w:rsidDel="00000000" w:rsidP="00000000" w:rsidRDefault="00000000" w:rsidRPr="00000000" w14:paraId="0000010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p w:rsidR="00000000" w:rsidDel="00000000" w:rsidP="00000000" w:rsidRDefault="00000000" w:rsidRPr="00000000" w14:paraId="0000010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hipervínculo no dirige a la videograbación de la Sesión se requiere usuario y contraseña)</w:t>
            </w:r>
          </w:p>
          <w:p w:rsidR="00000000" w:rsidDel="00000000" w:rsidP="00000000" w:rsidRDefault="00000000" w:rsidRPr="00000000" w14:paraId="00000102">
            <w:pPr>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3">
            <w:pPr>
              <w:jc w:val="center"/>
              <w:rPr>
                <w:rFonts w:ascii="Palatino Linotype" w:cs="Palatino Linotype" w:eastAsia="Palatino Linotype" w:hAnsi="Palatino Linotype"/>
                <w:sz w:val="20"/>
                <w:szCs w:val="20"/>
              </w:rPr>
            </w:pPr>
            <w:r w:rsidDel="00000000" w:rsidR="00000000" w:rsidRPr="00000000">
              <w:rPr/>
              <w:drawing>
                <wp:inline distB="0" distT="0" distL="0" distR="0">
                  <wp:extent cx="1800000" cy="1347251"/>
                  <wp:effectExtent b="0" l="0" r="0" t="0"/>
                  <wp:docPr id="214310819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0000" cy="1347251"/>
                          </a:xfrm>
                          <a:prstGeom prst="rect"/>
                          <a:ln/>
                        </pic:spPr>
                      </pic:pic>
                    </a:graphicData>
                  </a:graphic>
                </wp:inline>
              </w:drawing>
            </w:r>
            <w:r w:rsidDel="00000000" w:rsidR="00000000" w:rsidRPr="00000000">
              <w:rPr>
                <w:rtl w:val="0"/>
              </w:rPr>
            </w:r>
          </w:p>
        </w:tc>
      </w:tr>
      <w:tr>
        <w:trPr>
          <w:cantSplit w:val="0"/>
          <w:tblHeader w:val="0"/>
        </w:trPr>
        <w:tc>
          <w:tcPr>
            <w:gridSpan w:val="2"/>
            <w:shd w:fill="bfbfbf" w:val="clear"/>
            <w:vAlign w:val="center"/>
          </w:tcPr>
          <w:p w:rsidR="00000000" w:rsidDel="00000000" w:rsidP="00000000" w:rsidRDefault="00000000" w:rsidRPr="00000000" w14:paraId="00000105">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SESIÓN </w:t>
            </w:r>
            <w:r w:rsidDel="00000000" w:rsidR="00000000" w:rsidRPr="00000000">
              <w:rPr>
                <w:rFonts w:ascii="Palatino Linotype" w:cs="Palatino Linotype" w:eastAsia="Palatino Linotype" w:hAnsi="Palatino Linotype"/>
                <w:b w:val="1"/>
                <w:bCs w:val="1"/>
                <w:sz w:val="20"/>
                <w:szCs w:val="20"/>
                <w:u w:val="single"/>
                <w:rtl w:val="0"/>
              </w:rPr>
              <w:t xml:space="preserve">EXTRAORDINARIA</w:t>
            </w:r>
            <w:r w:rsidDel="00000000" w:rsidR="00000000" w:rsidRPr="00000000">
              <w:rPr>
                <w:rtl w:val="0"/>
              </w:rPr>
            </w:r>
          </w:p>
        </w:tc>
        <w:tc>
          <w:tcPr>
            <w:gridSpan w:val="2"/>
            <w:shd w:fill="bfbfbf" w:val="clear"/>
            <w:vAlign w:val="center"/>
          </w:tcPr>
          <w:p w:rsidR="00000000" w:rsidDel="00000000" w:rsidP="00000000" w:rsidRDefault="00000000" w:rsidRPr="00000000" w14:paraId="0000010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ENTREGA EL ACTA?</w:t>
            </w:r>
          </w:p>
        </w:tc>
        <w:tc>
          <w:tcPr>
            <w:shd w:fill="bfbfbf" w:val="clear"/>
            <w:vAlign w:val="center"/>
          </w:tcPr>
          <w:p w:rsidR="00000000" w:rsidDel="00000000" w:rsidP="00000000" w:rsidRDefault="00000000" w:rsidRPr="00000000" w14:paraId="00000109">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ENCUENTRA LA VIDEOGRABACIÓN?</w:t>
            </w:r>
          </w:p>
        </w:tc>
      </w:tr>
      <w:tr>
        <w:trPr>
          <w:cantSplit w:val="0"/>
          <w:tblHeader w:val="0"/>
        </w:trPr>
        <w:tc>
          <w:tcPr>
            <w:gridSpan w:val="2"/>
            <w:vAlign w:val="center"/>
          </w:tcPr>
          <w:p w:rsidR="00000000" w:rsidDel="00000000" w:rsidP="00000000" w:rsidRDefault="00000000" w:rsidRPr="00000000" w14:paraId="0000010A">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001/2025</w:t>
            </w:r>
          </w:p>
          <w:p w:rsidR="00000000" w:rsidDel="00000000" w:rsidP="00000000" w:rsidRDefault="00000000" w:rsidRPr="00000000" w14:paraId="0000010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24 de febrero de 2025</w:t>
            </w:r>
            <w:r w:rsidDel="00000000" w:rsidR="00000000" w:rsidRPr="00000000">
              <w:rPr>
                <w:rtl w:val="0"/>
              </w:rPr>
            </w:r>
          </w:p>
        </w:tc>
        <w:tc>
          <w:tcPr>
            <w:gridSpan w:val="2"/>
            <w:vAlign w:val="center"/>
          </w:tcPr>
          <w:p w:rsidR="00000000" w:rsidDel="00000000" w:rsidP="00000000" w:rsidRDefault="00000000" w:rsidRPr="00000000" w14:paraId="0000010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vAlign w:val="center"/>
          </w:tcPr>
          <w:p w:rsidR="00000000" w:rsidDel="00000000" w:rsidP="00000000" w:rsidRDefault="00000000" w:rsidRPr="00000000" w14:paraId="0000010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gridSpan w:val="2"/>
            <w:vAlign w:val="center"/>
          </w:tcPr>
          <w:p w:rsidR="00000000" w:rsidDel="00000000" w:rsidP="00000000" w:rsidRDefault="00000000" w:rsidRPr="00000000" w14:paraId="00000110">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002/2025</w:t>
            </w:r>
          </w:p>
          <w:p w:rsidR="00000000" w:rsidDel="00000000" w:rsidP="00000000" w:rsidRDefault="00000000" w:rsidRPr="00000000" w14:paraId="00000111">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24 de febrero de 2025</w:t>
            </w:r>
          </w:p>
        </w:tc>
        <w:tc>
          <w:tcPr>
            <w:gridSpan w:val="2"/>
            <w:vAlign w:val="center"/>
          </w:tcPr>
          <w:p w:rsidR="00000000" w:rsidDel="00000000" w:rsidP="00000000" w:rsidRDefault="00000000" w:rsidRPr="00000000" w14:paraId="0000011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c>
          <w:tcPr>
            <w:vAlign w:val="center"/>
          </w:tcPr>
          <w:p w:rsidR="00000000" w:rsidDel="00000000" w:rsidP="00000000" w:rsidRDefault="00000000" w:rsidRPr="00000000" w14:paraId="0000011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Sí</w:t>
            </w:r>
          </w:p>
        </w:tc>
      </w:tr>
      <w:tr>
        <w:trPr>
          <w:cantSplit w:val="0"/>
          <w:tblHeader w:val="0"/>
        </w:trPr>
        <w:tc>
          <w:tcPr>
            <w:gridSpan w:val="2"/>
            <w:vAlign w:val="center"/>
          </w:tcPr>
          <w:p w:rsidR="00000000" w:rsidDel="00000000" w:rsidP="00000000" w:rsidRDefault="00000000" w:rsidRPr="00000000" w14:paraId="00000116">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003/2025</w:t>
            </w:r>
          </w:p>
          <w:p w:rsidR="00000000" w:rsidDel="00000000" w:rsidP="00000000" w:rsidRDefault="00000000" w:rsidRPr="00000000" w14:paraId="0000011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22 de abril de 2025</w:t>
            </w:r>
          </w:p>
        </w:tc>
        <w:tc>
          <w:tcPr>
            <w:gridSpan w:val="2"/>
            <w:vAlign w:val="center"/>
          </w:tcPr>
          <w:p w:rsidR="00000000" w:rsidDel="00000000" w:rsidP="00000000" w:rsidRDefault="00000000" w:rsidRPr="00000000" w14:paraId="0000011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tc>
        <w:tc>
          <w:tcPr>
            <w:shd w:fill="f7d8d5" w:val="clear"/>
            <w:vAlign w:val="center"/>
          </w:tcPr>
          <w:p w:rsidR="00000000" w:rsidDel="00000000" w:rsidP="00000000" w:rsidRDefault="00000000" w:rsidRPr="00000000" w14:paraId="0000011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r>
      <w:tr>
        <w:trPr>
          <w:cantSplit w:val="0"/>
          <w:tblHeader w:val="0"/>
        </w:trPr>
        <w:tc>
          <w:tcPr>
            <w:gridSpan w:val="2"/>
            <w:shd w:fill="bfbfbf" w:val="clear"/>
            <w:vAlign w:val="center"/>
          </w:tcPr>
          <w:p w:rsidR="00000000" w:rsidDel="00000000" w:rsidP="00000000" w:rsidRDefault="00000000" w:rsidRPr="00000000" w14:paraId="0000011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CABILDO </w:t>
            </w:r>
            <w:r w:rsidDel="00000000" w:rsidR="00000000" w:rsidRPr="00000000">
              <w:rPr>
                <w:rFonts w:ascii="Palatino Linotype" w:cs="Palatino Linotype" w:eastAsia="Palatino Linotype" w:hAnsi="Palatino Linotype"/>
                <w:b w:val="1"/>
                <w:bCs w:val="1"/>
                <w:sz w:val="20"/>
                <w:szCs w:val="20"/>
                <w:u w:val="single"/>
                <w:rtl w:val="0"/>
              </w:rPr>
              <w:t xml:space="preserve">ABIERTO</w:t>
            </w:r>
            <w:r w:rsidDel="00000000" w:rsidR="00000000" w:rsidRPr="00000000">
              <w:rPr>
                <w:rtl w:val="0"/>
              </w:rPr>
            </w:r>
          </w:p>
        </w:tc>
        <w:tc>
          <w:tcPr>
            <w:gridSpan w:val="2"/>
            <w:shd w:fill="bfbfbf" w:val="clear"/>
            <w:vAlign w:val="center"/>
          </w:tcPr>
          <w:p w:rsidR="00000000" w:rsidDel="00000000" w:rsidP="00000000" w:rsidRDefault="00000000" w:rsidRPr="00000000" w14:paraId="0000011E">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ENTREGA EL ACTA?</w:t>
            </w:r>
          </w:p>
        </w:tc>
        <w:tc>
          <w:tcPr>
            <w:shd w:fill="bfbfbf" w:val="clear"/>
            <w:vAlign w:val="center"/>
          </w:tcPr>
          <w:p w:rsidR="00000000" w:rsidDel="00000000" w:rsidP="00000000" w:rsidRDefault="00000000" w:rsidRPr="00000000" w14:paraId="00000120">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¿SE ENCUENTRA LA VIDEOGRABACIÓN?</w:t>
            </w:r>
          </w:p>
        </w:tc>
      </w:tr>
      <w:tr>
        <w:trPr>
          <w:cantSplit w:val="0"/>
          <w:tblHeader w:val="0"/>
        </w:trPr>
        <w:tc>
          <w:tcPr>
            <w:gridSpan w:val="2"/>
            <w:vAlign w:val="center"/>
          </w:tcPr>
          <w:p w:rsidR="00000000" w:rsidDel="00000000" w:rsidP="00000000" w:rsidRDefault="00000000" w:rsidRPr="00000000" w14:paraId="00000121">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001/2025</w:t>
            </w:r>
          </w:p>
          <w:p w:rsidR="00000000" w:rsidDel="00000000" w:rsidP="00000000" w:rsidRDefault="00000000" w:rsidRPr="00000000" w14:paraId="0000012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27 de febrero de 2025</w:t>
            </w:r>
            <w:r w:rsidDel="00000000" w:rsidR="00000000" w:rsidRPr="00000000">
              <w:rPr>
                <w:rtl w:val="0"/>
              </w:rPr>
            </w:r>
          </w:p>
        </w:tc>
        <w:tc>
          <w:tcPr>
            <w:gridSpan w:val="2"/>
            <w:shd w:fill="f7d8d5" w:val="clear"/>
            <w:vAlign w:val="center"/>
          </w:tcPr>
          <w:p w:rsidR="00000000" w:rsidDel="00000000" w:rsidP="00000000" w:rsidRDefault="00000000" w:rsidRPr="00000000" w14:paraId="0000012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vAlign w:val="center"/>
          </w:tcPr>
          <w:p w:rsidR="00000000" w:rsidDel="00000000" w:rsidP="00000000" w:rsidRDefault="00000000" w:rsidRPr="00000000" w14:paraId="0000012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tc>
      </w:tr>
      <w:tr>
        <w:trPr>
          <w:cantSplit w:val="0"/>
          <w:tblHeader w:val="0"/>
        </w:trPr>
        <w:tc>
          <w:tcPr>
            <w:gridSpan w:val="2"/>
            <w:vAlign w:val="center"/>
          </w:tcPr>
          <w:p w:rsidR="00000000" w:rsidDel="00000000" w:rsidP="00000000" w:rsidRDefault="00000000" w:rsidRPr="00000000" w14:paraId="0000012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002/2025</w:t>
            </w:r>
          </w:p>
          <w:p w:rsidR="00000000" w:rsidDel="00000000" w:rsidP="00000000" w:rsidRDefault="00000000" w:rsidRPr="00000000" w14:paraId="00000128">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25 de abril de 2025</w:t>
            </w:r>
          </w:p>
        </w:tc>
        <w:tc>
          <w:tcPr>
            <w:gridSpan w:val="2"/>
            <w:shd w:fill="f7d8d5" w:val="clear"/>
            <w:vAlign w:val="center"/>
          </w:tcPr>
          <w:p w:rsidR="00000000" w:rsidDel="00000000" w:rsidP="00000000" w:rsidRDefault="00000000" w:rsidRPr="00000000" w14:paraId="0000012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w:t>
            </w:r>
          </w:p>
        </w:tc>
        <w:tc>
          <w:tcPr>
            <w:vAlign w:val="center"/>
          </w:tcPr>
          <w:p w:rsidR="00000000" w:rsidDel="00000000" w:rsidP="00000000" w:rsidRDefault="00000000" w:rsidRPr="00000000" w14:paraId="0000012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w:t>
            </w:r>
          </w:p>
        </w:tc>
      </w:tr>
    </w:tbl>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Con base en la tabla anterior, se puede concluir que los motivos de inconformidad alegados por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devienen fundados, en virtud de que no se hizo entrega de la totalidad de la información requerida, </w:t>
      </w:r>
      <w:r w:rsidDel="00000000" w:rsidR="00000000" w:rsidRPr="00000000">
        <w:rPr>
          <w:rFonts w:ascii="Palatino Linotype" w:cs="Palatino Linotype" w:eastAsia="Palatino Linotype" w:hAnsi="Palatino Linotype"/>
          <w:b w:val="1"/>
          <w:bCs w:val="1"/>
          <w:rtl w:val="0"/>
        </w:rPr>
        <w:t xml:space="preserve">al haberse omitido la entrega de las Actas de las Sesiones Cabildo </w:t>
      </w:r>
      <w:r w:rsidDel="00000000" w:rsidR="00000000" w:rsidRPr="00000000">
        <w:rPr>
          <w:rFonts w:ascii="Palatino Linotype" w:cs="Palatino Linotype" w:eastAsia="Palatino Linotype" w:hAnsi="Palatino Linotype"/>
          <w:b w:val="1"/>
          <w:bCs w:val="1"/>
          <w:u w:val="single"/>
          <w:rtl w:val="0"/>
        </w:rPr>
        <w:t xml:space="preserve">Décima Cuarta, Décima Séptima, Décima Octava y Décima Novena Ordinarias</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así como</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las correspondientes a la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u w:val="single"/>
          <w:rtl w:val="0"/>
        </w:rPr>
        <w:t xml:space="preserve">Primera y Segunda Sesiones de Cabildo Abierto</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y finalmente, </w:t>
      </w:r>
      <w:r w:rsidDel="00000000" w:rsidR="00000000" w:rsidRPr="00000000">
        <w:rPr>
          <w:rFonts w:ascii="Palatino Linotype" w:cs="Palatino Linotype" w:eastAsia="Palatino Linotype" w:hAnsi="Palatino Linotype"/>
          <w:b w:val="1"/>
          <w:bCs w:val="1"/>
          <w:rtl w:val="0"/>
        </w:rPr>
        <w:t xml:space="preserve">las videograbaciones de las Sesiones Cuarta, Quinta, Décima, Décima Quinta,  Décima Octava y Decima Novena Ordinaria</w:t>
      </w:r>
      <w:r w:rsidDel="00000000" w:rsidR="00000000" w:rsidRPr="00000000">
        <w:rPr>
          <w:rFonts w:ascii="Palatino Linotype" w:cs="Palatino Linotype" w:eastAsia="Palatino Linotype" w:hAnsi="Palatino Linotype"/>
          <w:rtl w:val="0"/>
        </w:rPr>
        <w:t xml:space="preserve">, así como de la </w:t>
      </w:r>
      <w:r w:rsidDel="00000000" w:rsidR="00000000" w:rsidRPr="00000000">
        <w:rPr>
          <w:rFonts w:ascii="Palatino Linotype" w:cs="Palatino Linotype" w:eastAsia="Palatino Linotype" w:hAnsi="Palatino Linotype"/>
          <w:b w:val="1"/>
          <w:bCs w:val="1"/>
          <w:rtl w:val="0"/>
        </w:rPr>
        <w:t xml:space="preserve">Tercera Sesión Extraordinaria.</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se estima que para tener por satisfecho el Derecho de acceso de la persona solicitante, es necesario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previa búsqueda exhaustiva y razonable, haga entrega de las actas de las Sesiones de Cabildo, así como de las videograbaciones de las sesiones de Cabildo faltantes, en versión pública de ser procedente.</w:t>
      </w:r>
    </w:p>
    <w:p w:rsidR="00000000" w:rsidDel="00000000" w:rsidP="00000000" w:rsidRDefault="00000000" w:rsidRPr="00000000" w14:paraId="0000012F">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la publicación de las actas de las sesiones de cabildo es una obligación de transparencia que se les confiere a los municipios, de conformidad con el artículo 94, fracción II, inciso b) de la Ley de Transparencia y Acceso a la Información Pública del Estado de México y Municipios, a saber:</w:t>
      </w:r>
    </w:p>
    <w:p w:rsidR="00000000" w:rsidDel="00000000" w:rsidP="00000000" w:rsidRDefault="00000000" w:rsidRPr="00000000" w14:paraId="00000130">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94</w:t>
      </w:r>
      <w:r w:rsidDel="00000000" w:rsidR="00000000" w:rsidRPr="00000000">
        <w:rPr>
          <w:rFonts w:ascii="Palatino Linotype" w:cs="Palatino Linotype" w:eastAsia="Palatino Linotype" w:hAnsi="Palatino Linotype"/>
          <w:i w:val="1"/>
          <w:iCs w:val="1"/>
          <w:rtl w:val="0"/>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000000" w:rsidDel="00000000" w:rsidP="00000000" w:rsidRDefault="00000000" w:rsidRPr="00000000" w14:paraId="00000131">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32">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Adicionalmente en el caso de los municipios:</w:t>
      </w:r>
    </w:p>
    <w:p w:rsidR="00000000" w:rsidDel="00000000" w:rsidP="00000000" w:rsidRDefault="00000000" w:rsidRPr="00000000" w14:paraId="00000133">
      <w:pPr>
        <w:spacing w:after="120" w:before="120" w:line="240" w:lineRule="auto"/>
        <w:ind w:left="1418"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34">
      <w:pPr>
        <w:spacing w:after="120" w:before="120" w:line="240" w:lineRule="auto"/>
        <w:ind w:left="1418"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b) Las actas de sesiones de cabildo</w:t>
      </w:r>
      <w:r w:rsidDel="00000000" w:rsidR="00000000" w:rsidRPr="00000000">
        <w:rPr>
          <w:rFonts w:ascii="Palatino Linotype" w:cs="Palatino Linotype" w:eastAsia="Palatino Linotype" w:hAnsi="Palatino Linotype"/>
          <w:i w:val="1"/>
          <w:iCs w:val="1"/>
          <w:rtl w:val="0"/>
        </w:rPr>
        <w:t xml:space="preserve">, los controles de asistencia de los integrantes del Ayuntamiento a las sesiones de cabildo y el sentido de votación de los miembros del cabildo sobre las iniciativas o acuerdos;”</w:t>
      </w:r>
    </w:p>
    <w:p w:rsidR="00000000" w:rsidDel="00000000" w:rsidP="00000000" w:rsidRDefault="00000000" w:rsidRPr="00000000" w14:paraId="0000013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lo siguiente:</w:t>
      </w:r>
    </w:p>
    <w:p w:rsidR="00000000" w:rsidDel="00000000" w:rsidP="00000000" w:rsidRDefault="00000000" w:rsidRPr="00000000" w14:paraId="00000136">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“Se publicará el calendario trimestral de las reuniones a celebrar en sesión de cabildo en todos los ayuntamientos y la información de aquellas reuniones que ya han sido celebradas en el ejercicio que se curse.</w:t>
      </w:r>
    </w:p>
    <w:p w:rsidR="00000000" w:rsidDel="00000000" w:rsidP="00000000" w:rsidRDefault="00000000" w:rsidRPr="00000000" w14:paraId="00000137">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Respecto de las sesiones que ya hayan sido llevadas a cabo, se incluirá </w:t>
      </w:r>
      <w:r w:rsidDel="00000000" w:rsidR="00000000" w:rsidRPr="00000000">
        <w:rPr>
          <w:rFonts w:ascii="Palatino Linotype" w:cs="Palatino Linotype" w:eastAsia="Palatino Linotype" w:hAnsi="Palatino Linotype"/>
          <w:i w:val="1"/>
          <w:iCs w:val="1"/>
          <w:rtl w:val="0"/>
        </w:rPr>
        <w:t xml:space="preserve">lo correspondiente a cada sesión, </w:t>
      </w:r>
      <w:r w:rsidDel="00000000" w:rsidR="00000000" w:rsidRPr="00000000">
        <w:rPr>
          <w:rFonts w:ascii="Palatino Linotype" w:cs="Palatino Linotype" w:eastAsia="Palatino Linotype" w:hAnsi="Palatino Linotype"/>
          <w:b w:val="1"/>
          <w:bCs w:val="1"/>
          <w:i w:val="1"/>
          <w:iCs w:val="1"/>
          <w:rtl w:val="0"/>
        </w:rPr>
        <w:t xml:space="preserve">así como </w:t>
      </w:r>
      <w:r w:rsidDel="00000000" w:rsidR="00000000" w:rsidRPr="00000000">
        <w:rPr>
          <w:rFonts w:ascii="Palatino Linotype" w:cs="Palatino Linotype" w:eastAsia="Palatino Linotype" w:hAnsi="Palatino Linotype"/>
          <w:b w:val="1"/>
          <w:bCs w:val="1"/>
          <w:i w:val="1"/>
          <w:iCs w:val="1"/>
          <w:u w:val="single"/>
          <w:rtl w:val="0"/>
        </w:rPr>
        <w:t xml:space="preserve">las actas que de ellas deriven</w:t>
      </w:r>
      <w:r w:rsidDel="00000000" w:rsidR="00000000" w:rsidRPr="00000000">
        <w:rPr>
          <w:rFonts w:ascii="Palatino Linotype" w:cs="Palatino Linotype" w:eastAsia="Palatino Linotype" w:hAnsi="Palatino Linotype"/>
          <w:i w:val="1"/>
          <w:iCs w:val="1"/>
          <w:rtl w:val="0"/>
        </w:rPr>
        <w:t xml:space="preserve">. Se presentarán los documentos completos en su versión pública. En caso, de que las actas se encuentren en proceso de firma, el sujeto obligado deberá aclararlo y establecerá una fecha compromiso para la publicación de la versión con firmas incluidas.</w:t>
      </w:r>
    </w:p>
    <w:p w:rsidR="00000000" w:rsidDel="00000000" w:rsidP="00000000" w:rsidRDefault="00000000" w:rsidRPr="00000000" w14:paraId="00000138">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w:t>
      </w:r>
    </w:p>
    <w:p w:rsidR="00000000" w:rsidDel="00000000" w:rsidP="00000000" w:rsidRDefault="00000000" w:rsidRPr="00000000" w14:paraId="00000139">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Respecto de la votación o sentido de participación se debe entender los argumentos que se usaron para llegar a una determinada conclusión, por cada integrante del cabildo con derecho de voz y voto.</w:t>
      </w:r>
    </w:p>
    <w:p w:rsidR="00000000" w:rsidDel="00000000" w:rsidP="00000000" w:rsidRDefault="00000000" w:rsidRPr="00000000" w14:paraId="0000013A">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aquellos trimestres en los que no se llegara a generar información, se incluirá una nota fundamentada, motivada y actualizada al periodo correspondiente, que explique las razones por las cuales no se publica información.”</w:t>
      </w:r>
    </w:p>
    <w:p w:rsidR="00000000" w:rsidDel="00000000" w:rsidP="00000000" w:rsidRDefault="00000000" w:rsidRPr="00000000" w14:paraId="0000013B">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los Sujetos Obligados deben observar los criterios sustantivos de contenido, los criterios adjetivos  de actualización, los criterios adjetivos de confiabilidad, y los criterios adjetivos de formato que establecen los Lineamientos Técnicos Generales para la publicación, homologación y estandarización de la información referidos con antelación. </w:t>
      </w:r>
    </w:p>
    <w:p w:rsidR="00000000" w:rsidDel="00000000" w:rsidP="00000000" w:rsidRDefault="00000000" w:rsidRPr="00000000" w14:paraId="0000013C">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tema que nos ocupa, los Lineamientos establecen el formato 2IIb, para la publicación de la información, el cual incluye todos los campos especificados en los criterios sustantivos de contenido: </w:t>
      </w:r>
    </w:p>
    <w:p w:rsidR="00000000" w:rsidDel="00000000" w:rsidP="00000000" w:rsidRDefault="00000000" w:rsidRPr="00000000" w14:paraId="0000013D">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1965336"/>
            <wp:effectExtent b="0" l="0" r="0" t="0"/>
            <wp:docPr id="214310819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60000" cy="1965336"/>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4860000" cy="419572"/>
            <wp:effectExtent b="0" l="0" r="0" t="0"/>
            <wp:docPr id="214310819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860000" cy="41957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se estima que para tener por satisfecho el Derecho de acceso de la persona solicitante, bastará con que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dé cumplimiento de la presente resolución a través del SAIMEX, pudiendo entregar a través de dicho sistema el hipervínculo </w:t>
      </w:r>
      <w:r w:rsidDel="00000000" w:rsidR="00000000" w:rsidRPr="00000000">
        <w:rPr>
          <w:rFonts w:ascii="Palatino Linotype" w:cs="Palatino Linotype" w:eastAsia="Palatino Linotype" w:hAnsi="Palatino Linotype"/>
          <w:b w:val="1"/>
          <w:bCs w:val="1"/>
          <w:u w:val="single"/>
          <w:rtl w:val="0"/>
        </w:rPr>
        <w:t xml:space="preserve">en formato abierto</w:t>
      </w:r>
      <w:r w:rsidDel="00000000" w:rsidR="00000000" w:rsidRPr="00000000">
        <w:rPr>
          <w:rFonts w:ascii="Palatino Linotype" w:cs="Palatino Linotype" w:eastAsia="Palatino Linotype" w:hAnsi="Palatino Linotype"/>
          <w:rtl w:val="0"/>
        </w:rPr>
        <w:t xml:space="preserve">, mediante el cual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pueda consultar la información, debiendo observar lo previsto en el artículo 161 de la Ley de Transparencia y Acceso a la Información Pública del Estado de México y Municipios, citado con antelación.</w:t>
      </w:r>
    </w:p>
    <w:p w:rsidR="00000000" w:rsidDel="00000000" w:rsidP="00000000" w:rsidRDefault="00000000" w:rsidRPr="00000000" w14:paraId="000001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suma importancia referir que la información se proporcionó de manera íntegra, sin embargo, no escapa de la óptica de este Organismo Garante que se dejaron visibles datos susceptibles de ser clasificados, de manera enunciativa, más no limitativa, el nombre de actores en los litigios laborales en contra del Ayuntamiento, en trámite o que no han causado estado, sin embargo, </w:t>
      </w:r>
      <w:r w:rsidDel="00000000" w:rsidR="00000000" w:rsidRPr="00000000">
        <w:rPr>
          <w:rFonts w:ascii="Palatino Linotype" w:cs="Palatino Linotype" w:eastAsia="Palatino Linotype" w:hAnsi="Palatino Linotype"/>
          <w:b w:val="1"/>
          <w:bCs w:val="1"/>
          <w:rtl w:val="0"/>
        </w:rPr>
        <w:t xml:space="preserve">dicha información es pública únicamente en aquellos procedimientos laborales con un laudo favorable para la parte actora que hubieran quedado firmes,</w:t>
      </w:r>
      <w:r w:rsidDel="00000000" w:rsidR="00000000" w:rsidRPr="00000000">
        <w:rPr>
          <w:rFonts w:ascii="Palatino Linotype" w:cs="Palatino Linotype" w:eastAsia="Palatino Linotype" w:hAnsi="Palatino Linotype"/>
          <w:rtl w:val="0"/>
        </w:rPr>
        <w:t xml:space="preserve"> por consiguiente, se debe clasificar como reservado en los procedimientos laborales en trámite o que no han causado estado hasta en tanto no se emita un laudo y este hubiera quedado firme, y como confidencial en los procedimientos laborales con laudo desfavorable para los actores, al no obtener un beneficio que deba ser motivo de rendición de cuentas, ello en atención a que este Órgano Garante debe ofrecer la mayor protección de una persona que al demandar ejercita su derecho a reclamar ante un órgano el cumplimiento de sus derechos laborales, por lo que, dar a conocer su nombre puede hacerlo identificable.</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entonces Instituto Nacional de Transparencia, Acceso a la Información y Protección de Datos Personales (INAI), se pronunció a través del Criterio orientador con clave de control SO/015/2023, el cual a la letra precisa lo siguiente:</w:t>
      </w:r>
    </w:p>
    <w:p w:rsidR="00000000" w:rsidDel="00000000" w:rsidP="00000000" w:rsidRDefault="00000000" w:rsidRPr="00000000" w14:paraId="00000141">
      <w:pPr>
        <w:spacing w:after="120" w:before="120" w:lineRule="auto"/>
        <w:ind w:left="851" w:right="618"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Nombre de actores en juicios laborales</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Constituye, en principio, información confidencial</w:t>
      </w:r>
      <w:r w:rsidDel="00000000" w:rsidR="00000000" w:rsidRPr="00000000">
        <w:rPr>
          <w:rFonts w:ascii="Palatino Linotype" w:cs="Palatino Linotype" w:eastAsia="Palatino Linotype" w:hAnsi="Palatino Linotype"/>
          <w:i w:val="1"/>
          <w:iCs w:val="1"/>
          <w:rtl w:val="0"/>
        </w:rPr>
        <w:t xml:space="preserve">. El nombre es un atributo de la personalidad y la manifestación principal del derecho a la identidad, debido a que por sí mismo permite identificar a una persona física. Por lo que respecta al nombre de las personas que han entablado un juicio laboral, éste permite identificar a quienes presentaron una demanda laboral y participan en un juicio, lo cual constituye una decisión personal que refleja un acto de voluntad de quien lo realiza. En efecto, las acciones legales que emprende la parte actora en el ejercicio de sus derechos laborales hacen evidente la posición jurídica en la cual se ha colocado por decisión propia, con relación a determinados entes públicos, para la obtención de algunas prestaciones laborales o económicas, lo cual constituye cuestiones de carácter estrictamente privado. </w:t>
      </w:r>
      <w:r w:rsidDel="00000000" w:rsidR="00000000" w:rsidRPr="00000000">
        <w:rPr>
          <w:rFonts w:ascii="Palatino Linotype" w:cs="Palatino Linotype" w:eastAsia="Palatino Linotype" w:hAnsi="Palatino Linotype"/>
          <w:b w:val="1"/>
          <w:bCs w:val="1"/>
          <w:i w:val="1"/>
          <w:iCs w:val="1"/>
          <w:rtl w:val="0"/>
        </w:rPr>
        <w:t xml:space="preserve">En este tenor, el nombre de la parte actora en un juicio laboral que se encuentra en trámite o que, en su defecto, concluyó con la emisión de un laudo desfavorable a los intereses personales de dicha parte, constituye información confidencial. No obstante, procede la entrega del nombre de las partes actoras en juicios laborales cuando, en definitiva, se haya condenado al sujeto obligado demandado al pago de las prestaciones económicas reclamadas y/o a la reinstalación de la persona servidora pública, en virtud de que el cumplimiento de dicho fallo se realiza necesariamente con recursos públicos a cargo del presupuesto del sujeto obligado, lo cual por una parte permite dar cumplimiento a la obligación de transparentar la gestión pública y por la otra favorece la rendición de cuentas a las y los ciudadanos, ya que se refiere al ejercicio de los recursos públicos y al cumplimiento que se da a las resoluciones emitidas por alguna autoridad jurisdiccional encargada de dirimir conflictos laborales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4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Razón por la cual resulta procedente girar oficio al Titular de la Dirección General de Protección de Datos Personales, en atención al artículo 82, fracción XXVII de la Ley de Protección de Datos Personales del Estado de México y Municipios.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iCs w:val="1"/>
          <w:rtl w:val="0"/>
        </w:rPr>
        <w:t xml:space="preserve">Modificar </w:t>
      </w:r>
      <w:r w:rsidDel="00000000" w:rsidR="00000000" w:rsidRPr="00000000">
        <w:rPr>
          <w:rFonts w:ascii="Palatino Linotype" w:cs="Palatino Linotype" w:eastAsia="Palatino Linotype" w:hAnsi="Palatino Linotype"/>
          <w:rtl w:val="0"/>
        </w:rPr>
        <w:t xml:space="preserve">las respuestas proporcionadas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 que les identifiquen o les hagan identificables.</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146">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147">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48">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IX. Datos personales</w:t>
      </w:r>
      <w:r w:rsidDel="00000000" w:rsidR="00000000" w:rsidRPr="00000000">
        <w:rPr>
          <w:rFonts w:ascii="Palatino Linotype" w:cs="Palatino Linotype" w:eastAsia="Palatino Linotype" w:hAnsi="Palatino Linotype"/>
          <w:i w:val="1"/>
          <w:iCs w:val="1"/>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49">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XX. Información clasificada</w:t>
      </w:r>
      <w:r w:rsidDel="00000000" w:rsidR="00000000" w:rsidRPr="00000000">
        <w:rPr>
          <w:rFonts w:ascii="Palatino Linotype" w:cs="Palatino Linotype" w:eastAsia="Palatino Linotype" w:hAnsi="Palatino Linotype"/>
          <w:i w:val="1"/>
          <w:iCs w:val="1"/>
          <w:rtl w:val="0"/>
        </w:rPr>
        <w:t xml:space="preserve">: Aquella considerada por la presente Ley como reservada o confidencial;</w:t>
      </w:r>
    </w:p>
    <w:p w:rsidR="00000000" w:rsidDel="00000000" w:rsidP="00000000" w:rsidRDefault="00000000" w:rsidRPr="00000000" w14:paraId="0000014A">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XXI. Información confidencial: </w:t>
      </w:r>
      <w:r w:rsidDel="00000000" w:rsidR="00000000" w:rsidRPr="00000000">
        <w:rPr>
          <w:rFonts w:ascii="Palatino Linotype" w:cs="Palatino Linotype" w:eastAsia="Palatino Linotype" w:hAnsi="Palatino Linotype"/>
          <w:i w:val="1"/>
          <w:iCs w:val="1"/>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4B">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XLV. Versión pública:</w:t>
      </w:r>
      <w:r w:rsidDel="00000000" w:rsidR="00000000" w:rsidRPr="00000000">
        <w:rPr>
          <w:rFonts w:ascii="Palatino Linotype" w:cs="Palatino Linotype" w:eastAsia="Palatino Linotype" w:hAnsi="Palatino Linotype"/>
          <w:i w:val="1"/>
          <w:iCs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4C">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4D">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4E">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132.</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14F">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reciba una solicitud de acceso a la información;</w:t>
      </w:r>
    </w:p>
    <w:p w:rsidR="00000000" w:rsidDel="00000000" w:rsidP="00000000" w:rsidRDefault="00000000" w:rsidRPr="00000000" w14:paraId="00000150">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 determine mediante resolución de autoridad competente; o</w:t>
      </w:r>
    </w:p>
    <w:p w:rsidR="00000000" w:rsidDel="00000000" w:rsidP="00000000" w:rsidRDefault="00000000" w:rsidRPr="00000000" w14:paraId="00000151">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 generen versiones públicas para dar cumplimiento a las obligaciones de transparencia previstas en esta Ley.</w:t>
      </w:r>
    </w:p>
    <w:p w:rsidR="00000000" w:rsidDel="00000000" w:rsidP="00000000" w:rsidRDefault="00000000" w:rsidRPr="00000000" w14:paraId="00000152">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53">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137.</w:t>
      </w:r>
      <w:r w:rsidDel="00000000" w:rsidR="00000000" w:rsidRPr="00000000">
        <w:rPr>
          <w:rFonts w:ascii="Palatino Linotype" w:cs="Palatino Linotype" w:eastAsia="Palatino Linotype" w:hAnsi="Palatino Linotype"/>
          <w:i w:val="1"/>
          <w:iCs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54">
      <w:pPr>
        <w:spacing w:after="120" w:before="120" w:line="24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155">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6">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5A">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 “Quincuagésimo. </w:t>
      </w:r>
      <w:r w:rsidDel="00000000" w:rsidR="00000000" w:rsidRPr="00000000">
        <w:rPr>
          <w:rFonts w:ascii="Palatino Linotype" w:cs="Palatino Linotype" w:eastAsia="Palatino Linotype" w:hAnsi="Palatino Linotype"/>
          <w:i w:val="1"/>
          <w:iCs w:val="1"/>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primero. </w:t>
      </w:r>
      <w:r w:rsidDel="00000000" w:rsidR="00000000" w:rsidRPr="00000000">
        <w:rPr>
          <w:rFonts w:ascii="Palatino Linotype" w:cs="Palatino Linotype" w:eastAsia="Palatino Linotype" w:hAnsi="Palatino Linotype"/>
          <w:i w:val="1"/>
          <w:iCs w:val="1"/>
          <w:rtl w:val="0"/>
        </w:rPr>
        <w:t xml:space="preserve">Toda acta del Comité de Transparencia deberá contener: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El número de sesión y fecha;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El nombre del área que solicitó la clasificación de información;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fundamentación legal y motivación correspondiente;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La resolución o resoluciones aprobadas; y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V</w:t>
      </w:r>
      <w:r w:rsidDel="00000000" w:rsidR="00000000" w:rsidRPr="00000000">
        <w:rPr>
          <w:rFonts w:ascii="Palatino Linotype" w:cs="Palatino Linotype" w:eastAsia="Palatino Linotype" w:hAnsi="Palatino Linotype"/>
          <w:i w:val="1"/>
          <w:iCs w:val="1"/>
          <w:rtl w:val="0"/>
        </w:rPr>
        <w:t xml:space="preserve">. La rúbrica o firma digital de cada integrante del Comité de Transparencia.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Los motivos y razonamientos que sustenten la confirmación o modificación de la prueba de daño;</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El periodo por el que mantendrá su clasificación y fecha de expiración; y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El nombre del titular y área encargada de realizar la versión pública del documento, en su caso.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169">
      <w:pPr>
        <w:spacing w:after="120" w:before="120" w:line="24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Quincuagésimo segundo</w:t>
      </w:r>
      <w:r w:rsidDel="00000000" w:rsidR="00000000" w:rsidRPr="00000000">
        <w:rPr>
          <w:rFonts w:ascii="Palatino Linotype" w:cs="Palatino Linotype" w:eastAsia="Palatino Linotype" w:hAnsi="Palatino Linotype"/>
          <w:i w:val="1"/>
          <w:iCs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6A">
      <w:pPr>
        <w:spacing w:after="120" w:before="120" w:line="24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B">
      <w:pPr>
        <w:spacing w:after="120" w:before="120" w:line="24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Fijar la fecha en que se elaboró la versión pública y la fecha en la cual el Comité de Transparencia confirmó dicha versión;</w:t>
      </w:r>
    </w:p>
    <w:p w:rsidR="00000000" w:rsidDel="00000000" w:rsidP="00000000" w:rsidRDefault="00000000" w:rsidRPr="00000000" w14:paraId="0000016C">
      <w:pPr>
        <w:spacing w:after="120" w:before="120" w:line="24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6D">
      <w:pPr>
        <w:spacing w:after="120" w:before="120" w:line="240" w:lineRule="auto"/>
        <w:ind w:left="1134"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Señalar las personas o instancias autorizadas a acceder a la información clasificada.</w:t>
      </w:r>
    </w:p>
    <w:p w:rsidR="00000000" w:rsidDel="00000000" w:rsidP="00000000" w:rsidRDefault="00000000" w:rsidRPr="00000000" w14:paraId="0000016E">
      <w:pPr>
        <w:spacing w:after="120" w:before="120" w:line="24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before="120" w:line="240" w:lineRule="auto"/>
        <w:ind w:left="851" w:right="90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20" w:before="120" w:line="240" w:lineRule="auto"/>
        <w:ind w:left="851" w:right="900"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cuarto. </w:t>
      </w:r>
      <w:r w:rsidDel="00000000" w:rsidR="00000000" w:rsidRPr="00000000">
        <w:rPr>
          <w:rFonts w:ascii="Palatino Linotype" w:cs="Palatino Linotype" w:eastAsia="Palatino Linotype" w:hAnsi="Palatino Linotype"/>
          <w:i w:val="1"/>
          <w:iCs w:val="1"/>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171">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quinto. </w:t>
      </w:r>
      <w:r w:rsidDel="00000000" w:rsidR="00000000" w:rsidRPr="00000000">
        <w:rPr>
          <w:rFonts w:ascii="Palatino Linotype" w:cs="Palatino Linotype" w:eastAsia="Palatino Linotype" w:hAnsi="Palatino Linotype"/>
          <w:i w:val="1"/>
          <w:iCs w:val="1"/>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72">
      <w:pPr>
        <w:spacing w:after="120" w:before="120" w:line="240" w:lineRule="auto"/>
        <w:ind w:left="851" w:right="902"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173">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séptimo</w:t>
      </w:r>
      <w:r w:rsidDel="00000000" w:rsidR="00000000" w:rsidRPr="00000000">
        <w:rPr>
          <w:rFonts w:ascii="Palatino Linotype" w:cs="Palatino Linotype" w:eastAsia="Palatino Linotype" w:hAnsi="Palatino Linotype"/>
          <w:i w:val="1"/>
          <w:iCs w:val="1"/>
          <w:rtl w:val="0"/>
        </w:rPr>
        <w:t xml:space="preserve">. Se considera, en principio, como información pública y no podrá omitirse de las versiones públicas la siguiente: </w:t>
      </w:r>
    </w:p>
    <w:p w:rsidR="00000000" w:rsidDel="00000000" w:rsidP="00000000" w:rsidRDefault="00000000" w:rsidRPr="00000000" w14:paraId="00000174">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w:t>
      </w:r>
      <w:r w:rsidDel="00000000" w:rsidR="00000000" w:rsidRPr="00000000">
        <w:rPr>
          <w:rFonts w:ascii="Palatino Linotype" w:cs="Palatino Linotype" w:eastAsia="Palatino Linotype" w:hAnsi="Palatino Linotype"/>
          <w:i w:val="1"/>
          <w:iCs w:val="1"/>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75">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w:t>
      </w:r>
      <w:r w:rsidDel="00000000" w:rsidR="00000000" w:rsidRPr="00000000">
        <w:rPr>
          <w:rFonts w:ascii="Palatino Linotype" w:cs="Palatino Linotype" w:eastAsia="Palatino Linotype" w:hAnsi="Palatino Linotype"/>
          <w:i w:val="1"/>
          <w:iCs w:val="1"/>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76">
      <w:pPr>
        <w:spacing w:after="120" w:before="120" w:line="240" w:lineRule="auto"/>
        <w:ind w:left="1134"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III</w:t>
      </w:r>
      <w:r w:rsidDel="00000000" w:rsidR="00000000" w:rsidRPr="00000000">
        <w:rPr>
          <w:rFonts w:ascii="Palatino Linotype" w:cs="Palatino Linotype" w:eastAsia="Palatino Linotype" w:hAnsi="Palatino Linotype"/>
          <w:i w:val="1"/>
          <w:iCs w:val="1"/>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77">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78">
      <w:pPr>
        <w:spacing w:after="120" w:before="120" w:line="24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octavo</w:t>
      </w:r>
      <w:r w:rsidDel="00000000" w:rsidR="00000000" w:rsidRPr="00000000">
        <w:rPr>
          <w:rFonts w:ascii="Palatino Linotype" w:cs="Palatino Linotype" w:eastAsia="Palatino Linotype" w:hAnsi="Palatino Linotype"/>
          <w:i w:val="1"/>
          <w:iCs w:val="1"/>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 R E S U E L V E</w:t>
      </w:r>
    </w:p>
    <w:p w:rsidR="00000000" w:rsidDel="00000000" w:rsidP="00000000" w:rsidRDefault="00000000" w:rsidRPr="00000000" w14:paraId="0000017B">
      <w:pPr>
        <w:spacing w:after="240" w:before="240" w:line="360" w:lineRule="auto"/>
        <w:jc w:val="both"/>
        <w:rPr>
          <w:rFonts w:ascii="Palatino Linotype" w:cs="Palatino Linotype" w:eastAsia="Palatino Linotype" w:hAnsi="Palatino Linotype"/>
        </w:rPr>
      </w:pPr>
      <w:bookmarkStart w:colFirst="0" w:colLast="0" w:name="_heading=h.1t3h5sf" w:id="7"/>
      <w:bookmarkEnd w:id="7"/>
      <w:r w:rsidDel="00000000" w:rsidR="00000000" w:rsidRPr="00000000">
        <w:rPr>
          <w:rFonts w:ascii="Palatino Linotype" w:cs="Palatino Linotype" w:eastAsia="Palatino Linotype" w:hAnsi="Palatino Linotype"/>
          <w:b w:val="1"/>
          <w:bCs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bCs w:val="1"/>
          <w:rtl w:val="0"/>
        </w:rPr>
        <w:t xml:space="preserve"> fundadas</w:t>
      </w:r>
      <w:r w:rsidDel="00000000" w:rsidR="00000000" w:rsidRPr="00000000">
        <w:rPr>
          <w:rFonts w:ascii="Palatino Linotype" w:cs="Palatino Linotype" w:eastAsia="Palatino Linotype" w:hAnsi="Palatino Linotype"/>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rtl w:val="0"/>
        </w:rPr>
        <w:t xml:space="preserve"> 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bCs w:val="1"/>
          <w:rtl w:val="0"/>
        </w:rPr>
        <w:t xml:space="preserve">06224/INFOEM/IP/RR/2025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rtl w:val="0"/>
        </w:rPr>
        <w:t xml:space="preserve">06240/INFOEM/IP/RR/2025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bCs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bCs w:val="1"/>
          <w:rtl w:val="0"/>
        </w:rPr>
        <w:t xml:space="preserve">Modifican</w:t>
      </w:r>
      <w:r w:rsidDel="00000000" w:rsidR="00000000" w:rsidRPr="00000000">
        <w:rPr>
          <w:rFonts w:ascii="Palatino Linotype" w:cs="Palatino Linotype" w:eastAsia="Palatino Linotype" w:hAnsi="Palatino Linotype"/>
          <w:rtl w:val="0"/>
        </w:rPr>
        <w:t xml:space="preserve"> las respuestas emitidas por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tl w:val="0"/>
        </w:rPr>
      </w:r>
    </w:p>
    <w:p w:rsidR="00000000" w:rsidDel="00000000" w:rsidP="00000000" w:rsidRDefault="00000000" w:rsidRPr="00000000" w14:paraId="0000017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bCs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bCs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previa búsqueda exhaustiva y razonable en versión pública, de ser procedente, de lo siguiente:</w:t>
      </w:r>
    </w:p>
    <w:p w:rsidR="00000000" w:rsidDel="00000000" w:rsidP="00000000" w:rsidRDefault="00000000" w:rsidRPr="00000000" w14:paraId="0000017D">
      <w:pPr>
        <w:spacing w:after="240" w:before="240" w:line="360" w:lineRule="auto"/>
        <w:ind w:left="284" w:firstLine="0"/>
        <w:jc w:val="both"/>
        <w:rPr>
          <w:rFonts w:ascii="Palatino Linotype" w:cs="Palatino Linotype" w:eastAsia="Palatino Linotype" w:hAnsi="Palatino Linotype"/>
        </w:rPr>
      </w:pPr>
      <w:bookmarkStart w:colFirst="0" w:colLast="0" w:name="_heading=h.1fob9te" w:id="8"/>
      <w:bookmarkEnd w:id="8"/>
      <w:r w:rsidDel="00000000" w:rsidR="00000000" w:rsidRPr="00000000">
        <w:rPr>
          <w:rFonts w:ascii="Palatino Linotype" w:cs="Palatino Linotype" w:eastAsia="Palatino Linotype" w:hAnsi="Palatino Linotype"/>
          <w:rtl w:val="0"/>
        </w:rPr>
        <w:t xml:space="preserve">1. Actas y videograbaciones de las Sesiones de Cabildo celebradas del uno de enero al doce de mayo de dos mil veinticinco, faltantes.</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40" w:lineRule="auto"/>
        <w:ind w:left="284"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r w:rsidDel="00000000" w:rsidR="00000000" w:rsidRPr="00000000">
        <w:rPr>
          <w:rFonts w:ascii="Palatino Linotype" w:cs="Palatino Linotype" w:eastAsia="Palatino Linotype" w:hAnsi="Palatino Linotype"/>
          <w:i w:val="1"/>
          <w:iCs w:val="1"/>
          <w:sz w:val="20"/>
          <w:szCs w:val="20"/>
          <w:rtl w:val="0"/>
        </w:rPr>
        <w:t xml:space="preserve">, mismo que igualmente hará de su conocimiento.</w:t>
      </w:r>
    </w:p>
    <w:p w:rsidR="00000000" w:rsidDel="00000000" w:rsidP="00000000" w:rsidRDefault="00000000" w:rsidRPr="00000000" w14:paraId="0000017F">
      <w:pPr>
        <w:spacing w:after="240" w:before="240" w:line="360" w:lineRule="auto"/>
        <w:jc w:val="both"/>
        <w:rPr>
          <w:rFonts w:ascii="Palatino Linotype" w:cs="Palatino Linotype" w:eastAsia="Palatino Linotype" w:hAnsi="Palatino Linotype"/>
        </w:rPr>
      </w:pPr>
      <w:bookmarkStart w:colFirst="0" w:colLast="0" w:name="_heading=h.hnzxsch5gysz" w:id="9"/>
      <w:bookmarkEnd w:id="9"/>
      <w:r w:rsidDel="00000000" w:rsidR="00000000" w:rsidRPr="00000000">
        <w:rPr>
          <w:rFonts w:ascii="Palatino Linotype" w:cs="Palatino Linotype" w:eastAsia="Palatino Linotype" w:hAnsi="Palatino Linotype"/>
          <w:b w:val="1"/>
          <w:bCs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81">
      <w:pPr>
        <w:spacing w:after="240" w:before="240" w:line="360" w:lineRule="auto"/>
        <w:jc w:val="both"/>
        <w:rPr>
          <w:rFonts w:ascii="Palatino Linotype" w:cs="Palatino Linotype" w:eastAsia="Palatino Linotype" w:hAnsi="Palatino Linotype"/>
        </w:rPr>
      </w:pPr>
      <w:bookmarkStart w:colFirst="0" w:colLast="0" w:name="_heading=h.ot3qq6vxa08f" w:id="10"/>
      <w:bookmarkEnd w:id="10"/>
      <w:r w:rsidDel="00000000" w:rsidR="00000000" w:rsidRPr="00000000">
        <w:rPr>
          <w:rFonts w:ascii="Palatino Linotype" w:cs="Palatino Linotype" w:eastAsia="Palatino Linotype" w:hAnsi="Palatino Linotype"/>
          <w:b w:val="1"/>
          <w:bCs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82">
      <w:pPr>
        <w:spacing w:after="240" w:before="240" w:line="360" w:lineRule="auto"/>
        <w:jc w:val="both"/>
        <w:rPr>
          <w:rFonts w:ascii="Palatino Linotype" w:cs="Palatino Linotype" w:eastAsia="Palatino Linotype" w:hAnsi="Palatino Linotype"/>
        </w:rPr>
      </w:pPr>
      <w:bookmarkStart w:colFirst="0" w:colLast="0" w:name="_heading=h.lnxbz9" w:id="11"/>
      <w:bookmarkEnd w:id="11"/>
      <w:r w:rsidDel="00000000" w:rsidR="00000000" w:rsidRPr="00000000">
        <w:rPr>
          <w:rFonts w:ascii="Palatino Linotype" w:cs="Palatino Linotype" w:eastAsia="Palatino Linotype" w:hAnsi="Palatino Linotype"/>
          <w:b w:val="1"/>
          <w:bCs w:val="1"/>
          <w:rtl w:val="0"/>
        </w:rPr>
        <w:t xml:space="preserve">Quinto. Gírese</w:t>
      </w:r>
      <w:r w:rsidDel="00000000" w:rsidR="00000000" w:rsidRPr="00000000">
        <w:rPr>
          <w:rFonts w:ascii="Palatino Linotype" w:cs="Palatino Linotype" w:eastAsia="Palatino Linotype" w:hAnsi="Palatino Linotype"/>
          <w:rtl w:val="0"/>
        </w:rPr>
        <w:t xml:space="preserve"> oficio a la </w:t>
      </w:r>
      <w:r w:rsidDel="00000000" w:rsidR="00000000" w:rsidRPr="00000000">
        <w:rPr>
          <w:rFonts w:ascii="Palatino Linotype" w:cs="Palatino Linotype" w:eastAsia="Palatino Linotype" w:hAnsi="Palatino Linotype"/>
          <w:b w:val="1"/>
          <w:bCs w:val="1"/>
          <w:rtl w:val="0"/>
        </w:rPr>
        <w:t xml:space="preserve">Dirección General de Protección de Datos Personales</w:t>
      </w:r>
      <w:r w:rsidDel="00000000" w:rsidR="00000000" w:rsidRPr="00000000">
        <w:rPr>
          <w:rFonts w:ascii="Palatino Linotype" w:cs="Palatino Linotype" w:eastAsia="Palatino Linotype" w:hAnsi="Palatino Linotype"/>
          <w:rtl w:val="0"/>
        </w:rPr>
        <w:t xml:space="preserve">, en atención al artículo 82, fracción XXVII de la Ley de Protección de Datos Personales en Posesión de Sujetos Obligados del Estado de México y Municipios en términos de lo señalado en el </w:t>
      </w:r>
      <w:r w:rsidDel="00000000" w:rsidR="00000000" w:rsidRPr="00000000">
        <w:rPr>
          <w:rFonts w:ascii="Palatino Linotype" w:cs="Palatino Linotype" w:eastAsia="Palatino Linotype" w:hAnsi="Palatino Linotype"/>
          <w:b w:val="1"/>
          <w:bCs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8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VEINTICUATRO DE SEPTIEMBRE DE DOS MIL VEINTICINCO, ANTE EL SECRETARIO TÉCNICO DEL PLENO ALEXIS TAPIA RAMÍREZ.</w:t>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E">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-746117</wp:posOffset>
          </wp:positionH>
          <wp:positionV relativeFrom="paragraph">
            <wp:posOffset>-448302</wp:posOffset>
          </wp:positionV>
          <wp:extent cx="7809876" cy="10165823"/>
          <wp:effectExtent b="0" l="0" r="0" t="0"/>
          <wp:wrapNone/>
          <wp:docPr id="2143108189" name="image5.png"/>
          <a:graphic>
            <a:graphicData uri="http://schemas.openxmlformats.org/drawingml/2006/picture">
              <pic:pic>
                <pic:nvPicPr>
                  <pic:cNvPr id="0" name="image5.png"/>
                  <pic:cNvPicPr preferRelativeResize="0"/>
                </pic:nvPicPr>
                <pic:blipFill>
                  <a:blip r:embed="rId1"/>
                  <a:srcRect b="0" l="-608" r="608" t="0"/>
                  <a:stretch>
                    <a:fillRect/>
                  </a:stretch>
                </pic:blipFill>
                <pic:spPr>
                  <a:xfrm>
                    <a:off x="0" y="0"/>
                    <a:ext cx="7809876" cy="10165823"/>
                  </a:xfrm>
                  <a:prstGeom prst="rect"/>
                  <a:ln/>
                </pic:spPr>
              </pic:pic>
            </a:graphicData>
          </a:graphic>
        </wp:anchor>
      </w:drawing>
    </w:r>
  </w:p>
  <w:tbl>
    <w:tblPr>
      <w:tblStyle w:val="Table5"/>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06224/INFOEM/IP/RR/2025y acumulado</w:t>
          </w:r>
        </w:p>
      </w:tc>
    </w:tr>
    <w:tr>
      <w:trPr>
        <w:cantSplit w:val="0"/>
        <w:trHeight w:val="228" w:hRule="atLeast"/>
        <w:tblHeader w:val="0"/>
      </w:trPr>
      <w:tc>
        <w:tcPr>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Aculco</w:t>
          </w:r>
        </w:p>
      </w:tc>
    </w:tr>
    <w:tr>
      <w:trPr>
        <w:cantSplit w:val="0"/>
        <w:tblHeader w:val="0"/>
      </w:trPr>
      <w:tc>
        <w:tcPr>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-683890</wp:posOffset>
          </wp:positionH>
          <wp:positionV relativeFrom="paragraph">
            <wp:posOffset>-249549</wp:posOffset>
          </wp:positionV>
          <wp:extent cx="7809876" cy="10165823"/>
          <wp:effectExtent b="0" l="0" r="0" t="0"/>
          <wp:wrapNone/>
          <wp:docPr id="214310819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6"/>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06224/INFOEM/IP/RR/2025 y acumulado</w:t>
          </w:r>
        </w:p>
      </w:tc>
    </w:tr>
    <w:tr>
      <w:trPr>
        <w:cantSplit w:val="0"/>
        <w:tblHeader w:val="0"/>
      </w:trPr>
      <w:tc>
        <w:tcPr>
          <w:vAlign w:val="center"/>
        </w:tcPr>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Recurrente:</w:t>
          </w:r>
        </w:p>
      </w:tc>
      <w:tc>
        <w:tcPr>
          <w:vAlign w:val="center"/>
        </w:tcPr>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bCs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Aculco</w:t>
          </w:r>
        </w:p>
      </w:tc>
    </w:tr>
    <w:tr>
      <w:trPr>
        <w:cantSplit w:val="0"/>
        <w:tblHeader w:val="0"/>
      </w:trPr>
      <w:tc>
        <w:tcPr>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rsid w:val="00FD48C3"/>
    <w:rPr>
      <w:b w:val="1"/>
      <w:sz w:val="48"/>
      <w:szCs w:val="48"/>
    </w:rPr>
  </w:style>
  <w:style w:type="character" w:styleId="Ttulo2Car" w:customStyle="1">
    <w:name w:val="Título 2 Car"/>
    <w:basedOn w:val="Fuentedeprrafopredeter"/>
    <w:rsid w:val="00FD48C3"/>
    <w:rPr>
      <w:b w:val="1"/>
      <w:sz w:val="36"/>
      <w:szCs w:val="36"/>
    </w:rPr>
  </w:style>
  <w:style w:type="character" w:styleId="Ttulo3Car" w:customStyle="1">
    <w:name w:val="Título 3 Car"/>
    <w:basedOn w:val="Fuentedeprrafopredeter"/>
    <w:rsid w:val="00FD48C3"/>
    <w:rPr>
      <w:b w:val="1"/>
      <w:sz w:val="28"/>
      <w:szCs w:val="28"/>
    </w:rPr>
  </w:style>
  <w:style w:type="character" w:styleId="Ttulo4Car" w:customStyle="1">
    <w:name w:val="Título 4 Car"/>
    <w:basedOn w:val="Fuentedeprrafopredeter"/>
    <w:rsid w:val="00FD48C3"/>
    <w:rPr>
      <w:b w:val="1"/>
      <w:sz w:val="24"/>
      <w:szCs w:val="24"/>
    </w:rPr>
  </w:style>
  <w:style w:type="character" w:styleId="Ttulo5Car" w:customStyle="1">
    <w:name w:val="Título 5 Car"/>
    <w:basedOn w:val="Fuentedeprrafopredeter"/>
    <w:rsid w:val="00FD48C3"/>
    <w:rPr>
      <w:b w:val="1"/>
    </w:rPr>
  </w:style>
  <w:style w:type="character" w:styleId="Ttulo6Car" w:customStyle="1">
    <w:name w:val="Título 6 Car"/>
    <w:basedOn w:val="Fuentedeprrafopredeter"/>
    <w:rsid w:val="00FD48C3"/>
    <w:rPr>
      <w:b w:val="1"/>
      <w:sz w:val="20"/>
      <w:szCs w:val="20"/>
    </w:rPr>
  </w:style>
  <w:style w:type="table" w:styleId="TableNormal2" w:customStyle="1">
    <w:name w:val="Table Normal"/>
    <w:tblPr>
      <w:tblCellMar>
        <w:top w:w="0.0" w:type="dxa"/>
        <w:left w:w="0.0" w:type="dxa"/>
        <w:bottom w:w="0.0" w:type="dxa"/>
        <w:right w:w="0.0" w:type="dxa"/>
      </w:tblCellMar>
    </w:tblPr>
  </w:style>
  <w:style w:type="character" w:styleId="PuestoCar" w:customStyle="1">
    <w:name w:val="Puesto Car"/>
    <w:basedOn w:val="Fuentedeprrafopredeter"/>
    <w:rsid w:val="00FD48C3"/>
    <w:rPr>
      <w:b w:val="1"/>
      <w:sz w:val="72"/>
      <w:szCs w:val="72"/>
    </w:r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SubttuloCar" w:customStyle="1">
    <w:name w:val="Subtítulo Car"/>
    <w:basedOn w:val="Fuentedeprrafopredeter"/>
    <w:rsid w:val="00FD48C3"/>
    <w:rPr>
      <w:rFonts w:ascii="Georgia" w:cs="Georgia" w:eastAsia="Georgia" w:hAnsi="Georgia"/>
      <w:i w:val="1"/>
      <w:color w:val="666666"/>
      <w:sz w:val="48"/>
      <w:szCs w:val="48"/>
    </w:rPr>
  </w:style>
  <w:style w:type="table" w:styleId="a" w:customStyle="1">
    <w:basedOn w:val="TableNormal5"/>
    <w:tblPr>
      <w:tblStyleRowBandSize w:val="1"/>
      <w:tblStyleColBandSize w:val="1"/>
      <w:tblCellMar>
        <w:top w:w="15.0" w:type="dxa"/>
        <w:left w:w="15.0" w:type="dxa"/>
        <w:bottom w:w="15.0" w:type="dxa"/>
        <w:right w:w="15.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top w:w="15.0" w:type="dxa"/>
        <w:left w:w="115.0" w:type="dxa"/>
        <w:bottom w:w="15.0" w:type="dxa"/>
        <w:right w:w="115.0" w:type="dxa"/>
      </w:tblCellMar>
    </w:tblPr>
  </w:style>
  <w:style w:type="table" w:styleId="a3" w:customStyle="1">
    <w:basedOn w:val="TableNormal5"/>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4"/>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3"/>
    <w:pPr>
      <w:spacing w:after="0" w:line="240" w:lineRule="auto"/>
    </w:pPr>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top w:w="15.0" w:type="dxa"/>
        <w:left w:w="115.0" w:type="dxa"/>
        <w:bottom w:w="15.0" w:type="dxa"/>
        <w:right w:w="115.0" w:type="dxa"/>
      </w:tblCellMar>
    </w:tblPr>
  </w:style>
  <w:style w:type="table" w:styleId="a8" w:customStyle="1">
    <w:basedOn w:val="TableNormal3"/>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INAI"/>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ind w:left="7306"/>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paragraph" w:styleId="INFOEM" w:customStyle="1">
    <w:name w:val="INFOEM"/>
    <w:basedOn w:val="Normal"/>
    <w:qFormat w:val="1"/>
    <w:rsid w:val="00616865"/>
    <w:pPr>
      <w:spacing w:before="240" w:line="360" w:lineRule="auto"/>
      <w:ind w:left="851" w:right="851"/>
      <w:jc w:val="both"/>
    </w:pPr>
    <w:rPr>
      <w:rFonts w:ascii="Palatino Linotype" w:hAnsi="Palatino Linotype" w:cstheme="minorBidi" w:eastAsiaTheme="minorHAnsi"/>
      <w:i w:val="1"/>
      <w:szCs w:val="14"/>
      <w:lang w:eastAsia="en-US"/>
    </w:rPr>
  </w:style>
  <w:style w:type="paragraph" w:styleId="Citas" w:customStyle="1">
    <w:name w:val="Citas"/>
    <w:basedOn w:val="Normal"/>
    <w:qFormat w:val="1"/>
    <w:rsid w:val="00616865"/>
    <w:pPr>
      <w:spacing w:before="240" w:line="360" w:lineRule="auto"/>
      <w:ind w:left="851" w:right="851"/>
      <w:jc w:val="both"/>
    </w:pPr>
    <w:rPr>
      <w:rFonts w:ascii="Palatino Linotype" w:cs="Arial" w:hAnsi="Palatino Linotype" w:eastAsiaTheme="minorHAnsi"/>
      <w:i w:val="1"/>
      <w:lang w:eastAsia="en-US"/>
    </w:r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pPr>
      <w:spacing w:after="0" w:line="240" w:lineRule="auto"/>
    </w:pPr>
    <w:tblPr>
      <w:tblStyleRowBandSize w:val="1"/>
      <w:tblStyleColBandSize w:val="1"/>
      <w:tblCellMar>
        <w:left w:w="108.0" w:type="dxa"/>
        <w:right w:w="108.0" w:type="dxa"/>
      </w:tblCellMar>
    </w:tblPr>
  </w:style>
  <w:style w:type="table" w:styleId="af9" w:customStyle="1">
    <w:basedOn w:val="TableNormal0"/>
    <w:pPr>
      <w:spacing w:after="0" w:line="240" w:lineRule="auto"/>
    </w:pPr>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8GexxIa1d+AdWCvH1eAWqxGZwA==">CgMxLjAyCWguMzBqMHpsbDIOaC5heXVweGs4eGkyeG4yCWguMmV0OTJwMDIIaC5namRneHMyDmguYmFzZ3lsOGJkMHNmMghoLnR5amN3dDIJaC4zem55c2g3MgloLjF0M2g1c2YyCWguMWZvYjl0ZTIOaC5obnp4c2NoNWd5c3oyDmgub3QzcXE2dnhhMDhmMghoLmxueGJ6OTgAciExQWtkZ1lUcWJuTE1pUXhjdVlrOXp1aW90My1nWVBFemQ=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2025-10-07T17:33:00Z</dcterms:created>
  <dc:creator>Cuenta Microsoft</dc:creator>
</cp:coreProperties>
</file>