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4B" w:rsidRPr="0024200F" w:rsidRDefault="00B4444B" w:rsidP="00B4444B">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doce de febrero de dos mil veinticinco.</w:t>
      </w:r>
    </w:p>
    <w:p w:rsidR="00B4444B" w:rsidRPr="0024200F" w:rsidRDefault="00B4444B" w:rsidP="00B4444B">
      <w:pPr>
        <w:spacing w:line="360" w:lineRule="auto"/>
        <w:jc w:val="both"/>
        <w:rPr>
          <w:rFonts w:ascii="Palatino Linotype" w:hAnsi="Palatino Linotype"/>
        </w:rPr>
      </w:pPr>
    </w:p>
    <w:p w:rsidR="00B4444B" w:rsidRPr="00BF0355" w:rsidRDefault="00B4444B" w:rsidP="00B4444B">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bookmarkStart w:id="0" w:name="_GoBack"/>
      <w:r>
        <w:rPr>
          <w:rFonts w:ascii="Palatino Linotype" w:hAnsi="Palatino Linotype"/>
          <w:b/>
        </w:rPr>
        <w:t>00</w:t>
      </w:r>
      <w:r w:rsidR="00732F2C">
        <w:rPr>
          <w:rFonts w:ascii="Palatino Linotype" w:hAnsi="Palatino Linotype"/>
          <w:b/>
        </w:rPr>
        <w:t>0</w:t>
      </w:r>
      <w:r>
        <w:rPr>
          <w:rFonts w:ascii="Palatino Linotype" w:hAnsi="Palatino Linotype"/>
          <w:b/>
        </w:rPr>
        <w:t>60/INFOEM/IP/RR/2025</w:t>
      </w:r>
      <w:bookmarkEnd w:id="0"/>
      <w:r>
        <w:rPr>
          <w:rFonts w:ascii="Palatino Linotype" w:hAnsi="Palatino Linotype"/>
          <w:b/>
        </w:rPr>
        <w:t xml:space="preserve">, </w:t>
      </w:r>
      <w:r w:rsidRPr="00BF0355">
        <w:rPr>
          <w:rFonts w:ascii="Palatino Linotype" w:eastAsiaTheme="minorHAnsi" w:hAnsi="Palatino Linotype" w:cs="Arial"/>
          <w:lang w:val="es-MX" w:eastAsia="en-US"/>
        </w:rPr>
        <w:t xml:space="preserve">interpuesto por </w:t>
      </w:r>
      <w:r w:rsidRPr="00B4444B">
        <w:rPr>
          <w:rFonts w:ascii="Palatino Linotype" w:eastAsia="Palatino Linotype" w:hAnsi="Palatino Linotype" w:cs="Palatino Linotype"/>
          <w:b/>
          <w:bCs/>
          <w:color w:val="000000"/>
          <w:szCs w:val="22"/>
          <w:lang w:eastAsia="es-MX"/>
        </w:rPr>
        <w:t>una persona de manera anónima</w:t>
      </w:r>
      <w:r w:rsidRPr="003D64BB">
        <w:rPr>
          <w:rFonts w:ascii="Palatino Linotype" w:eastAsiaTheme="minorHAnsi" w:hAnsi="Palatino Linotype"/>
        </w:rPr>
        <w:t>,</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w:t>
      </w:r>
      <w:r>
        <w:rPr>
          <w:rFonts w:ascii="Palatino Linotype" w:eastAsiaTheme="minorHAnsi" w:hAnsi="Palatino Linotype" w:cs="Arial"/>
          <w:lang w:val="es-MX" w:eastAsia="en-US"/>
        </w:rPr>
        <w:t>del</w:t>
      </w:r>
      <w:r w:rsidRPr="00BF0355">
        <w:rPr>
          <w:rFonts w:ascii="Palatino Linotype" w:eastAsiaTheme="minorHAnsi" w:hAnsi="Palatino Linotype" w:cs="Arial"/>
          <w:lang w:val="es-MX" w:eastAsia="en-US"/>
        </w:rPr>
        <w:t xml:space="preserve"> </w:t>
      </w:r>
      <w:r>
        <w:rPr>
          <w:rFonts w:ascii="Palatino Linotype" w:hAnsi="Palatino Linotype"/>
          <w:b/>
        </w:rPr>
        <w:t>Secretaría de Movilidad</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rsidR="00B4444B" w:rsidRPr="002478BC" w:rsidRDefault="00B4444B" w:rsidP="00B4444B">
      <w:pPr>
        <w:spacing w:line="360" w:lineRule="auto"/>
        <w:jc w:val="both"/>
        <w:rPr>
          <w:rFonts w:ascii="Palatino Linotype" w:hAnsi="Palatino Linotype"/>
          <w:b/>
          <w:bCs/>
          <w:spacing w:val="60"/>
          <w:lang w:val="es-ES_tradnl"/>
        </w:rPr>
      </w:pPr>
    </w:p>
    <w:p w:rsidR="00B4444B" w:rsidRPr="0024200F" w:rsidRDefault="00B4444B" w:rsidP="00B4444B">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rsidR="00B4444B" w:rsidRPr="0024200F" w:rsidRDefault="00B4444B" w:rsidP="00B4444B">
      <w:pPr>
        <w:spacing w:line="360" w:lineRule="auto"/>
        <w:jc w:val="center"/>
        <w:rPr>
          <w:rFonts w:ascii="Palatino Linotype" w:hAnsi="Palatino Linotype"/>
          <w:b/>
          <w:bCs/>
          <w:spacing w:val="60"/>
          <w:lang w:val="es-ES_tradnl"/>
        </w:rPr>
      </w:pPr>
    </w:p>
    <w:p w:rsidR="00B4444B" w:rsidRPr="00B4444B" w:rsidRDefault="00B4444B" w:rsidP="00B4444B">
      <w:pPr>
        <w:keepNext/>
        <w:keepLines/>
        <w:spacing w:line="360" w:lineRule="auto"/>
        <w:jc w:val="both"/>
        <w:outlineLvl w:val="1"/>
        <w:rPr>
          <w:rFonts w:ascii="Palatino Linotype" w:eastAsia="Palatino Linotype" w:hAnsi="Palatino Linotype"/>
          <w:b/>
          <w:color w:val="000000"/>
          <w:sz w:val="26"/>
          <w:szCs w:val="26"/>
          <w:lang w:val="es-ES_tradnl" w:eastAsia="es-MX"/>
        </w:rPr>
      </w:pPr>
      <w:r w:rsidRPr="00B4444B">
        <w:rPr>
          <w:rFonts w:ascii="Palatino Linotype" w:eastAsia="Palatino Linotype" w:hAnsi="Palatino Linotype"/>
          <w:b/>
          <w:color w:val="000000"/>
          <w:sz w:val="26"/>
          <w:szCs w:val="26"/>
          <w:lang w:val="es-ES_tradnl" w:eastAsia="es-MX"/>
        </w:rPr>
        <w:t>PRIMERO. De la solicitud de información.</w:t>
      </w: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B4444B">
        <w:rPr>
          <w:rFonts w:ascii="Palatino Linotype" w:eastAsia="Palatino Linotype" w:hAnsi="Palatino Linotype" w:cs="Palatino Linotype"/>
          <w:color w:val="000000"/>
          <w:lang w:val="es-ES_tradnl" w:eastAsia="es-MX"/>
        </w:rPr>
        <w:t>Con fecha veintiocho de noviembre de dos mil veinticuatro, el Recurrente presentó solicitud de información que fue registrada en el Sistema de Acceso a la Información Mexiquense (SAIMEX) con el número de expediente</w:t>
      </w:r>
      <w:r w:rsidRPr="00B4444B">
        <w:rPr>
          <w:rFonts w:ascii="Palatino Linotype" w:eastAsia="Palatino Linotype" w:hAnsi="Palatino Linotype" w:cs="Palatino Linotype"/>
          <w:b/>
          <w:bCs/>
          <w:color w:val="000000"/>
          <w:lang w:val="es-ES_tradnl" w:eastAsia="es-MX"/>
        </w:rPr>
        <w:t xml:space="preserve"> 00885/SMOV/IP/2024</w:t>
      </w:r>
      <w:r w:rsidRPr="00B4444B">
        <w:rPr>
          <w:rFonts w:ascii="Palatino Linotype" w:eastAsia="Palatino Linotype" w:hAnsi="Palatino Linotype" w:cs="Palatino Linotype"/>
          <w:color w:val="000000"/>
          <w:lang w:val="es-ES_tradnl" w:eastAsia="es-MX"/>
        </w:rPr>
        <w:t>,</w:t>
      </w:r>
      <w:r w:rsidRPr="00B4444B">
        <w:rPr>
          <w:rFonts w:ascii="Palatino Linotype" w:eastAsia="Palatino Linotype" w:hAnsi="Palatino Linotype" w:cs="Palatino Linotype"/>
          <w:b/>
          <w:color w:val="000000"/>
          <w:lang w:val="es-ES_tradnl" w:eastAsia="es-MX"/>
        </w:rPr>
        <w:t xml:space="preserve"> </w:t>
      </w:r>
      <w:r w:rsidRPr="00B4444B">
        <w:rPr>
          <w:rFonts w:ascii="Palatino Linotype" w:eastAsia="Palatino Linotype" w:hAnsi="Palatino Linotype" w:cs="Palatino Linotype"/>
          <w:color w:val="000000"/>
          <w:lang w:val="es-ES_tradnl" w:eastAsia="es-MX"/>
        </w:rPr>
        <w:t>mediante la cual solicitó información en el tenor siguiente:</w:t>
      </w: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B4444B" w:rsidRPr="00B4444B" w:rsidRDefault="00B4444B" w:rsidP="00B4444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ES_tradnl" w:eastAsia="es-MX"/>
        </w:rPr>
      </w:pPr>
      <w:r w:rsidRPr="00B4444B">
        <w:rPr>
          <w:rFonts w:ascii="Palatino Linotype" w:eastAsia="Palatino Linotype" w:hAnsi="Palatino Linotype" w:cs="Palatino Linotype"/>
          <w:i/>
          <w:color w:val="000000"/>
          <w:sz w:val="22"/>
          <w:lang w:eastAsia="es-MX"/>
        </w:rPr>
        <w:t xml:space="preserve">“Ya en que diversas ocasiones se solicitan y los niegan cuando es de obligación reglamentaria tenerlos se solicitan todos los mapas de las rutas y derroteros que corren en el municipio de Valle de </w:t>
      </w:r>
      <w:proofErr w:type="spellStart"/>
      <w:r w:rsidRPr="00B4444B">
        <w:rPr>
          <w:rFonts w:ascii="Palatino Linotype" w:eastAsia="Palatino Linotype" w:hAnsi="Palatino Linotype" w:cs="Palatino Linotype"/>
          <w:i/>
          <w:color w:val="000000"/>
          <w:sz w:val="22"/>
          <w:lang w:eastAsia="es-MX"/>
        </w:rPr>
        <w:t>Ectapec</w:t>
      </w:r>
      <w:proofErr w:type="spellEnd"/>
      <w:r w:rsidRPr="00B4444B">
        <w:rPr>
          <w:rFonts w:ascii="Palatino Linotype" w:eastAsia="Palatino Linotype" w:hAnsi="Palatino Linotype" w:cs="Palatino Linotype"/>
          <w:i/>
          <w:color w:val="000000"/>
          <w:sz w:val="22"/>
          <w:lang w:eastAsia="es-MX"/>
        </w:rPr>
        <w:t xml:space="preserve"> y los que estas registrados en el Centro de Control de la Secretaría de Movilidad, con cuantas unidades brindan el servicio por derrotero y los mapas en el estado que estén no importa el formato” (Sic)</w:t>
      </w: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lang w:val="es-ES_tradnl" w:eastAsia="es-MX"/>
        </w:rPr>
      </w:pPr>
      <w:r w:rsidRPr="00B4444B">
        <w:rPr>
          <w:rFonts w:ascii="Palatino Linotype" w:eastAsia="Palatino Linotype" w:hAnsi="Palatino Linotype" w:cs="Palatino Linotype"/>
          <w:color w:val="000000"/>
          <w:lang w:val="es-ES_tradnl" w:eastAsia="es-MX"/>
        </w:rPr>
        <w:t xml:space="preserve">Modalidad de entrega: </w:t>
      </w:r>
      <w:r w:rsidRPr="00B4444B">
        <w:rPr>
          <w:rFonts w:ascii="Palatino Linotype" w:eastAsia="Palatino Linotype" w:hAnsi="Palatino Linotype" w:cs="Palatino Linotype"/>
          <w:b/>
          <w:color w:val="000000"/>
          <w:lang w:val="es-ES_tradnl" w:eastAsia="es-MX"/>
        </w:rPr>
        <w:t>A través del SAIMEX</w:t>
      </w:r>
    </w:p>
    <w:p w:rsidR="00B4444B" w:rsidRPr="00B4444B" w:rsidRDefault="00B4444B" w:rsidP="00B4444B">
      <w:pPr>
        <w:keepNext/>
        <w:keepLines/>
        <w:spacing w:line="360" w:lineRule="auto"/>
        <w:jc w:val="both"/>
        <w:outlineLvl w:val="1"/>
        <w:rPr>
          <w:rFonts w:ascii="Palatino Linotype" w:eastAsia="Palatino Linotype" w:hAnsi="Palatino Linotype"/>
          <w:b/>
          <w:color w:val="000000"/>
          <w:sz w:val="26"/>
          <w:szCs w:val="26"/>
          <w:lang w:val="es-ES_tradnl" w:eastAsia="es-MX"/>
        </w:rPr>
      </w:pPr>
      <w:r w:rsidRPr="00B4444B">
        <w:rPr>
          <w:rFonts w:ascii="Palatino Linotype" w:eastAsia="Palatino Linotype" w:hAnsi="Palatino Linotype"/>
          <w:b/>
          <w:color w:val="000000"/>
          <w:sz w:val="28"/>
          <w:szCs w:val="26"/>
          <w:lang w:val="es-ES_tradnl" w:eastAsia="es-MX"/>
        </w:rPr>
        <w:lastRenderedPageBreak/>
        <w:t>SEGUNDO. De la respuesta del Sujeto Obligado</w:t>
      </w:r>
      <w:r w:rsidRPr="00B4444B">
        <w:rPr>
          <w:rFonts w:ascii="Palatino Linotype" w:eastAsia="Palatino Linotype" w:hAnsi="Palatino Linotype"/>
          <w:b/>
          <w:color w:val="000000"/>
          <w:sz w:val="26"/>
          <w:szCs w:val="26"/>
          <w:lang w:val="es-ES_tradnl" w:eastAsia="es-MX"/>
        </w:rPr>
        <w:t>.</w:t>
      </w: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B4444B">
        <w:rPr>
          <w:rFonts w:ascii="Palatino Linotype" w:eastAsia="Palatino Linotype" w:hAnsi="Palatino Linotype" w:cs="Palatino Linotype"/>
          <w:color w:val="000000"/>
          <w:lang w:val="es-ES_tradnl" w:eastAsia="es-MX"/>
        </w:rPr>
        <w:t>De las constancias que obran en el expediente electrónico, se observa que el día diecinueve de diciembre de dos mil veinticuatro, el Sujeto Obligado dio respuesta a la solicitud de información manifestando lo siguiente:</w:t>
      </w: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B4444B" w:rsidRPr="00B4444B" w:rsidRDefault="00B4444B" w:rsidP="00B4444B">
      <w:pPr>
        <w:pBdr>
          <w:top w:val="nil"/>
          <w:left w:val="nil"/>
          <w:bottom w:val="nil"/>
          <w:right w:val="nil"/>
          <w:between w:val="nil"/>
        </w:pBdr>
        <w:ind w:left="567" w:right="567"/>
        <w:contextualSpacing/>
        <w:jc w:val="right"/>
        <w:rPr>
          <w:rFonts w:ascii="Palatino Linotype" w:eastAsia="Palatino Linotype" w:hAnsi="Palatino Linotype" w:cs="Palatino Linotype"/>
          <w:i/>
          <w:color w:val="000000"/>
          <w:sz w:val="22"/>
          <w:lang w:eastAsia="es-MX"/>
        </w:rPr>
      </w:pPr>
      <w:r w:rsidRPr="00B4444B">
        <w:rPr>
          <w:rFonts w:ascii="Palatino Linotype" w:eastAsia="Palatino Linotype" w:hAnsi="Palatino Linotype" w:cs="Palatino Linotype"/>
          <w:i/>
          <w:color w:val="000000"/>
          <w:sz w:val="22"/>
          <w:lang w:eastAsia="es-MX"/>
        </w:rPr>
        <w:t>“Folio de la solicitud: 00885/SMOV/IP/2024</w:t>
      </w:r>
    </w:p>
    <w:p w:rsidR="00B4444B" w:rsidRPr="00B4444B" w:rsidRDefault="00B4444B" w:rsidP="00B4444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eastAsia="es-MX"/>
        </w:rPr>
      </w:pPr>
    </w:p>
    <w:p w:rsidR="00B4444B" w:rsidRPr="00B4444B" w:rsidRDefault="00B4444B" w:rsidP="00B4444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eastAsia="es-MX"/>
        </w:rPr>
      </w:pPr>
      <w:r w:rsidRPr="00B4444B">
        <w:rPr>
          <w:rFonts w:ascii="Palatino Linotype" w:eastAsia="Palatino Linotype" w:hAnsi="Palatino Linotype" w:cs="Palatino Linotype"/>
          <w:i/>
          <w:color w:val="000000"/>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4444B" w:rsidRPr="00B4444B" w:rsidRDefault="00B4444B" w:rsidP="00B4444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eastAsia="es-MX"/>
        </w:rPr>
      </w:pPr>
    </w:p>
    <w:p w:rsidR="00B4444B" w:rsidRPr="00B4444B" w:rsidRDefault="00B4444B" w:rsidP="00B4444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eastAsia="es-MX"/>
        </w:rPr>
      </w:pPr>
      <w:proofErr w:type="gramStart"/>
      <w:r w:rsidRPr="00B4444B">
        <w:rPr>
          <w:rFonts w:ascii="Palatino Linotype" w:eastAsia="Palatino Linotype" w:hAnsi="Palatino Linotype" w:cs="Palatino Linotype"/>
          <w:i/>
          <w:color w:val="000000"/>
          <w:sz w:val="22"/>
          <w:lang w:eastAsia="es-MX"/>
        </w:rPr>
        <w:t>se</w:t>
      </w:r>
      <w:proofErr w:type="gramEnd"/>
      <w:r w:rsidRPr="00B4444B">
        <w:rPr>
          <w:rFonts w:ascii="Palatino Linotype" w:eastAsia="Palatino Linotype" w:hAnsi="Palatino Linotype" w:cs="Palatino Linotype"/>
          <w:i/>
          <w:color w:val="000000"/>
          <w:sz w:val="22"/>
          <w:lang w:eastAsia="es-MX"/>
        </w:rPr>
        <w:t xml:space="preserve"> anexa respuesta</w:t>
      </w:r>
    </w:p>
    <w:p w:rsidR="00B4444B" w:rsidRPr="00B4444B" w:rsidRDefault="00B4444B" w:rsidP="00B4444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eastAsia="es-MX"/>
        </w:rPr>
      </w:pPr>
    </w:p>
    <w:p w:rsidR="00B4444B" w:rsidRPr="00B4444B" w:rsidRDefault="00B4444B" w:rsidP="00B4444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eastAsia="es-MX"/>
        </w:rPr>
      </w:pPr>
      <w:r w:rsidRPr="00B4444B">
        <w:rPr>
          <w:rFonts w:ascii="Palatino Linotype" w:eastAsia="Palatino Linotype" w:hAnsi="Palatino Linotype" w:cs="Palatino Linotype"/>
          <w:i/>
          <w:color w:val="000000"/>
          <w:sz w:val="22"/>
          <w:lang w:eastAsia="es-MX"/>
        </w:rPr>
        <w:t>ATENTAMENTE</w:t>
      </w:r>
    </w:p>
    <w:p w:rsidR="00B4444B" w:rsidRPr="00B4444B" w:rsidRDefault="00B4444B" w:rsidP="00B4444B">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sz w:val="22"/>
          <w:lang w:val="es-MX" w:eastAsia="es-MX"/>
        </w:rPr>
      </w:pPr>
      <w:r w:rsidRPr="00B4444B">
        <w:rPr>
          <w:rFonts w:ascii="Palatino Linotype" w:eastAsia="Palatino Linotype" w:hAnsi="Palatino Linotype" w:cs="Palatino Linotype"/>
          <w:i/>
          <w:color w:val="000000"/>
          <w:sz w:val="22"/>
          <w:lang w:eastAsia="es-MX"/>
        </w:rPr>
        <w:t>Lic. Alejandro Hernández Aguilar</w:t>
      </w:r>
      <w:r w:rsidRPr="00B4444B">
        <w:rPr>
          <w:rFonts w:ascii="Palatino Linotype" w:eastAsia="Palatino Linotype" w:hAnsi="Palatino Linotype" w:cs="Palatino Linotype"/>
          <w:i/>
          <w:color w:val="000000"/>
          <w:sz w:val="22"/>
          <w:lang w:val="es-MX" w:eastAsia="es-MX"/>
        </w:rPr>
        <w:t>” (Sic)</w:t>
      </w: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MX" w:eastAsia="es-MX"/>
        </w:rPr>
      </w:pPr>
    </w:p>
    <w:p w:rsidR="00CE6074" w:rsidRPr="00CE6074" w:rsidRDefault="00CE6074" w:rsidP="00CE6074">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Cs w:val="22"/>
          <w:lang w:eastAsia="es-MX"/>
        </w:rPr>
      </w:pPr>
      <w:r w:rsidRPr="00CE6074">
        <w:rPr>
          <w:rFonts w:ascii="Palatino Linotype" w:eastAsia="Palatino Linotype" w:hAnsi="Palatino Linotype" w:cs="Palatino Linotype"/>
          <w:color w:val="000000"/>
          <w:szCs w:val="22"/>
          <w:lang w:eastAsia="es-MX"/>
        </w:rPr>
        <w:t xml:space="preserve">El Sujeto Obligado adjuntó a su respuesta el documento denominado </w:t>
      </w:r>
      <w:r w:rsidRPr="00CE6074">
        <w:rPr>
          <w:rFonts w:ascii="Palatino Linotype" w:eastAsia="Palatino Linotype" w:hAnsi="Palatino Linotype" w:cs="Palatino Linotype"/>
          <w:b/>
          <w:bCs/>
          <w:color w:val="000000"/>
          <w:szCs w:val="22"/>
          <w:lang w:eastAsia="es-MX"/>
        </w:rPr>
        <w:t>“Rutas y Derroteros DGMZIII (1).</w:t>
      </w:r>
      <w:proofErr w:type="spellStart"/>
      <w:r w:rsidRPr="00CE6074">
        <w:rPr>
          <w:rFonts w:ascii="Palatino Linotype" w:eastAsia="Palatino Linotype" w:hAnsi="Palatino Linotype" w:cs="Palatino Linotype"/>
          <w:b/>
          <w:bCs/>
          <w:color w:val="000000"/>
          <w:szCs w:val="22"/>
          <w:lang w:eastAsia="es-MX"/>
        </w:rPr>
        <w:t>xlsx</w:t>
      </w:r>
      <w:proofErr w:type="spellEnd"/>
      <w:r w:rsidRPr="00CE6074">
        <w:rPr>
          <w:rFonts w:ascii="Palatino Linotype" w:eastAsia="Palatino Linotype" w:hAnsi="Palatino Linotype" w:cs="Palatino Linotype"/>
          <w:b/>
          <w:bCs/>
          <w:color w:val="000000"/>
          <w:szCs w:val="22"/>
          <w:lang w:eastAsia="es-MX"/>
        </w:rPr>
        <w:t>”</w:t>
      </w:r>
      <w:r w:rsidRPr="00CE6074">
        <w:rPr>
          <w:rFonts w:ascii="Palatino Linotype" w:eastAsia="Palatino Linotype" w:hAnsi="Palatino Linotype" w:cs="Palatino Linotype"/>
          <w:color w:val="000000"/>
          <w:szCs w:val="22"/>
          <w:lang w:eastAsia="es-MX"/>
        </w:rPr>
        <w:t xml:space="preserve"> y “</w:t>
      </w:r>
      <w:r w:rsidRPr="00CE6074">
        <w:rPr>
          <w:rFonts w:ascii="Palatino Linotype" w:eastAsia="Palatino Linotype" w:hAnsi="Palatino Linotype" w:cs="Palatino Linotype"/>
          <w:b/>
          <w:bCs/>
          <w:color w:val="000000"/>
          <w:szCs w:val="22"/>
          <w:lang w:eastAsia="es-MX"/>
        </w:rPr>
        <w:t>Respuesta a solicitud 885.pdf”</w:t>
      </w:r>
      <w:r w:rsidRPr="00CE6074">
        <w:rPr>
          <w:rFonts w:ascii="Palatino Linotype" w:eastAsia="Palatino Linotype" w:hAnsi="Palatino Linotype" w:cs="Palatino Linotype"/>
          <w:color w:val="000000"/>
          <w:szCs w:val="22"/>
          <w:lang w:eastAsia="es-MX"/>
        </w:rPr>
        <w:t>, cuyo contenido no se reproduce por ser del conocimiento de las partes; no obstante, será motivo de análisis en el estudio correspondiente.</w:t>
      </w:r>
    </w:p>
    <w:p w:rsidR="00B4444B" w:rsidRPr="00B4444B" w:rsidRDefault="00B4444B" w:rsidP="00B4444B">
      <w:pPr>
        <w:pBdr>
          <w:top w:val="nil"/>
          <w:left w:val="nil"/>
          <w:bottom w:val="nil"/>
          <w:right w:val="nil"/>
          <w:between w:val="nil"/>
        </w:pBdr>
        <w:tabs>
          <w:tab w:val="left" w:pos="3675"/>
        </w:tabs>
        <w:spacing w:line="360" w:lineRule="auto"/>
        <w:contextualSpacing/>
        <w:jc w:val="both"/>
        <w:rPr>
          <w:rFonts w:ascii="Palatino Linotype" w:eastAsia="Palatino Linotype" w:hAnsi="Palatino Linotype" w:cs="Palatino Linotype"/>
          <w:color w:val="000000"/>
          <w:lang w:val="es-ES_tradnl" w:eastAsia="es-MX"/>
        </w:rPr>
      </w:pPr>
    </w:p>
    <w:p w:rsidR="00B4444B" w:rsidRPr="00B4444B" w:rsidRDefault="00B4444B" w:rsidP="00B4444B">
      <w:pPr>
        <w:keepNext/>
        <w:keepLines/>
        <w:spacing w:line="360" w:lineRule="auto"/>
        <w:jc w:val="both"/>
        <w:outlineLvl w:val="1"/>
        <w:rPr>
          <w:rFonts w:ascii="Palatino Linotype" w:eastAsia="Palatino Linotype" w:hAnsi="Palatino Linotype"/>
          <w:b/>
          <w:color w:val="000000"/>
          <w:sz w:val="28"/>
          <w:szCs w:val="26"/>
          <w:lang w:val="es-ES_tradnl" w:eastAsia="es-MX"/>
        </w:rPr>
      </w:pPr>
      <w:r w:rsidRPr="00B4444B">
        <w:rPr>
          <w:rFonts w:ascii="Palatino Linotype" w:eastAsia="Palatino Linotype" w:hAnsi="Palatino Linotype"/>
          <w:b/>
          <w:color w:val="000000"/>
          <w:sz w:val="28"/>
          <w:szCs w:val="26"/>
          <w:lang w:val="es-ES_tradnl" w:eastAsia="es-MX"/>
        </w:rPr>
        <w:t>TERCERO. Del recurso de revisión.</w:t>
      </w: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B4444B">
        <w:rPr>
          <w:rFonts w:ascii="Palatino Linotype" w:eastAsia="Palatino Linotype" w:hAnsi="Palatino Linotype" w:cs="Palatino Linotype"/>
          <w:color w:val="000000"/>
          <w:lang w:val="es-ES_tradnl" w:eastAsia="es-MX"/>
        </w:rPr>
        <w:t xml:space="preserve">Inconforme con la respuesta emitida, el Recurrente interpuso el presente recurso de revisión el día trece de enero de dos mil veinticinco, el cual se registró en el SAIMEX con el expediente </w:t>
      </w:r>
      <w:r w:rsidRPr="00B4444B">
        <w:rPr>
          <w:rFonts w:ascii="Palatino Linotype" w:eastAsia="Palatino Linotype" w:hAnsi="Palatino Linotype" w:cs="Palatino Linotype"/>
          <w:b/>
          <w:color w:val="000000"/>
          <w:lang w:val="es-ES_tradnl" w:eastAsia="es-MX"/>
        </w:rPr>
        <w:t>00060/INFOEM/IP/RR/2025</w:t>
      </w:r>
      <w:r w:rsidRPr="00B4444B">
        <w:rPr>
          <w:rFonts w:ascii="Palatino Linotype" w:eastAsia="Palatino Linotype" w:hAnsi="Palatino Linotype" w:cs="Palatino Linotype"/>
          <w:color w:val="000000"/>
          <w:lang w:val="es-ES_tradnl" w:eastAsia="es-MX"/>
        </w:rPr>
        <w:t>, en el que manifestó lo siguiente:</w:t>
      </w: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B4444B" w:rsidRPr="00B4444B" w:rsidRDefault="00B4444B" w:rsidP="00B4444B">
      <w:pPr>
        <w:spacing w:line="360" w:lineRule="auto"/>
        <w:contextualSpacing/>
        <w:jc w:val="both"/>
        <w:rPr>
          <w:rFonts w:ascii="Palatino Linotype" w:eastAsia="Palatino Linotype" w:hAnsi="Palatino Linotype" w:cs="Palatino Linotype"/>
          <w:b/>
          <w:szCs w:val="22"/>
          <w:lang w:val="es-ES_tradnl" w:eastAsia="es-MX"/>
        </w:rPr>
      </w:pPr>
      <w:r w:rsidRPr="00B4444B">
        <w:rPr>
          <w:rFonts w:ascii="Palatino Linotype" w:eastAsia="Palatino Linotype" w:hAnsi="Palatino Linotype" w:cs="Palatino Linotype"/>
          <w:b/>
          <w:szCs w:val="22"/>
          <w:lang w:val="es-ES_tradnl" w:eastAsia="es-MX"/>
        </w:rPr>
        <w:t xml:space="preserve">Acto Impugnado: </w:t>
      </w:r>
    </w:p>
    <w:p w:rsidR="00B4444B" w:rsidRPr="00B4444B" w:rsidRDefault="00B4444B" w:rsidP="00B4444B">
      <w:pPr>
        <w:pBdr>
          <w:top w:val="nil"/>
          <w:left w:val="nil"/>
          <w:bottom w:val="nil"/>
          <w:right w:val="nil"/>
          <w:between w:val="nil"/>
        </w:pBdr>
        <w:ind w:left="567" w:right="567"/>
        <w:contextualSpacing/>
        <w:jc w:val="both"/>
        <w:rPr>
          <w:rFonts w:ascii="Palatino Linotype" w:eastAsia="Palatino Linotype" w:hAnsi="Palatino Linotype" w:cs="Palatino Linotype"/>
          <w:b/>
          <w:bCs/>
          <w:i/>
          <w:color w:val="000000"/>
          <w:sz w:val="22"/>
          <w:lang w:eastAsia="es-MX"/>
        </w:rPr>
      </w:pPr>
      <w:r w:rsidRPr="00B4444B">
        <w:rPr>
          <w:rFonts w:ascii="Palatino Linotype" w:eastAsia="Palatino Linotype" w:hAnsi="Palatino Linotype" w:cs="Palatino Linotype"/>
          <w:i/>
          <w:color w:val="000000"/>
          <w:sz w:val="22"/>
          <w:lang w:eastAsia="es-MX"/>
        </w:rPr>
        <w:t>“Ese no es el programa de mejoramiento de Movilidad ese es un plan de desarrollo no solicite eso deberían aprender sus facultades” (Sic)</w:t>
      </w:r>
    </w:p>
    <w:p w:rsidR="00B4444B" w:rsidRPr="00B4444B" w:rsidRDefault="00B4444B" w:rsidP="00B4444B">
      <w:pPr>
        <w:spacing w:line="360" w:lineRule="auto"/>
        <w:contextualSpacing/>
        <w:jc w:val="both"/>
        <w:rPr>
          <w:rFonts w:ascii="Palatino Linotype" w:eastAsia="Palatino Linotype" w:hAnsi="Palatino Linotype" w:cs="Palatino Linotype"/>
          <w:iCs/>
          <w:lang w:eastAsia="es-MX"/>
        </w:rPr>
      </w:pPr>
    </w:p>
    <w:p w:rsidR="00B4444B" w:rsidRPr="00B4444B" w:rsidRDefault="00B4444B" w:rsidP="00B4444B">
      <w:pPr>
        <w:spacing w:line="360" w:lineRule="auto"/>
        <w:contextualSpacing/>
        <w:jc w:val="both"/>
        <w:rPr>
          <w:rFonts w:ascii="Palatino Linotype" w:eastAsia="Palatino Linotype" w:hAnsi="Palatino Linotype" w:cs="Palatino Linotype"/>
          <w:b/>
          <w:szCs w:val="22"/>
          <w:lang w:val="es-ES_tradnl" w:eastAsia="es-MX"/>
        </w:rPr>
      </w:pPr>
      <w:r w:rsidRPr="00B4444B">
        <w:rPr>
          <w:rFonts w:ascii="Palatino Linotype" w:eastAsia="Palatino Linotype" w:hAnsi="Palatino Linotype" w:cs="Palatino Linotype"/>
          <w:b/>
          <w:szCs w:val="22"/>
          <w:lang w:val="es-ES_tradnl" w:eastAsia="es-MX"/>
        </w:rPr>
        <w:t xml:space="preserve">Razones o motivos de inconformidad: </w:t>
      </w:r>
    </w:p>
    <w:p w:rsidR="00B4444B" w:rsidRPr="00B4444B" w:rsidRDefault="00B4444B" w:rsidP="00B4444B">
      <w:pPr>
        <w:pBdr>
          <w:top w:val="nil"/>
          <w:left w:val="nil"/>
          <w:bottom w:val="nil"/>
          <w:right w:val="nil"/>
          <w:between w:val="nil"/>
        </w:pBdr>
        <w:ind w:left="567" w:right="567"/>
        <w:contextualSpacing/>
        <w:jc w:val="both"/>
        <w:rPr>
          <w:rFonts w:ascii="Palatino Linotype" w:eastAsia="Palatino Linotype" w:hAnsi="Palatino Linotype" w:cs="Palatino Linotype"/>
          <w:b/>
          <w:bCs/>
          <w:i/>
          <w:color w:val="000000"/>
          <w:sz w:val="22"/>
          <w:lang w:eastAsia="es-MX"/>
        </w:rPr>
      </w:pPr>
      <w:r w:rsidRPr="00B4444B">
        <w:rPr>
          <w:rFonts w:ascii="Palatino Linotype" w:eastAsia="Palatino Linotype" w:hAnsi="Palatino Linotype" w:cs="Palatino Linotype"/>
          <w:i/>
          <w:color w:val="000000"/>
          <w:sz w:val="22"/>
          <w:lang w:eastAsia="es-MX"/>
        </w:rPr>
        <w:t>“</w:t>
      </w:r>
      <w:r w:rsidRPr="00B4444B">
        <w:rPr>
          <w:rFonts w:ascii="Palatino Linotype" w:eastAsia="Palatino Linotype" w:hAnsi="Palatino Linotype" w:cs="Palatino Linotype"/>
          <w:i/>
          <w:color w:val="000000"/>
          <w:sz w:val="22"/>
          <w:lang w:val="es-ES_tradnl" w:eastAsia="es-MX"/>
        </w:rPr>
        <w:t xml:space="preserve">No es lo que se </w:t>
      </w:r>
      <w:proofErr w:type="spellStart"/>
      <w:r w:rsidRPr="00B4444B">
        <w:rPr>
          <w:rFonts w:ascii="Palatino Linotype" w:eastAsia="Palatino Linotype" w:hAnsi="Palatino Linotype" w:cs="Palatino Linotype"/>
          <w:i/>
          <w:color w:val="000000"/>
          <w:sz w:val="22"/>
          <w:lang w:val="es-ES_tradnl" w:eastAsia="es-MX"/>
        </w:rPr>
        <w:t>solicito</w:t>
      </w:r>
      <w:proofErr w:type="spellEnd"/>
      <w:r w:rsidRPr="00B4444B">
        <w:rPr>
          <w:rFonts w:ascii="Palatino Linotype" w:eastAsia="Palatino Linotype" w:hAnsi="Palatino Linotype" w:cs="Palatino Linotype"/>
          <w:i/>
          <w:color w:val="000000"/>
          <w:sz w:val="22"/>
          <w:lang w:val="es-ES_tradnl" w:eastAsia="es-MX"/>
        </w:rPr>
        <w:t xml:space="preserve"> ese no es el programa de mejoramiento por que no hacen la inexistente por no cumplir con su trabajo”</w:t>
      </w:r>
      <w:r w:rsidRPr="00B4444B">
        <w:rPr>
          <w:rFonts w:ascii="Palatino Linotype" w:eastAsia="Palatino Linotype" w:hAnsi="Palatino Linotype" w:cs="Palatino Linotype"/>
          <w:i/>
          <w:color w:val="000000"/>
          <w:sz w:val="22"/>
          <w:lang w:eastAsia="es-MX"/>
        </w:rPr>
        <w:t xml:space="preserve"> (Sic)</w:t>
      </w:r>
    </w:p>
    <w:p w:rsidR="00B4444B" w:rsidRPr="00B4444B" w:rsidRDefault="00B4444B" w:rsidP="00B4444B">
      <w:pPr>
        <w:spacing w:line="360" w:lineRule="auto"/>
        <w:contextualSpacing/>
        <w:jc w:val="both"/>
        <w:rPr>
          <w:rFonts w:ascii="Palatino Linotype" w:eastAsia="Palatino Linotype" w:hAnsi="Palatino Linotype" w:cs="Palatino Linotype"/>
          <w:iCs/>
          <w:lang w:eastAsia="es-MX"/>
        </w:rPr>
      </w:pPr>
    </w:p>
    <w:p w:rsidR="00B4444B" w:rsidRPr="00B4444B" w:rsidRDefault="00B4444B" w:rsidP="00B4444B">
      <w:pPr>
        <w:keepNext/>
        <w:keepLines/>
        <w:spacing w:line="360" w:lineRule="auto"/>
        <w:jc w:val="both"/>
        <w:outlineLvl w:val="1"/>
        <w:rPr>
          <w:rFonts w:ascii="Palatino Linotype" w:eastAsia="Palatino Linotype" w:hAnsi="Palatino Linotype"/>
          <w:b/>
          <w:color w:val="000000"/>
          <w:sz w:val="26"/>
          <w:szCs w:val="26"/>
          <w:lang w:val="es-ES_tradnl" w:eastAsia="es-MX"/>
        </w:rPr>
      </w:pPr>
      <w:r w:rsidRPr="00B4444B">
        <w:rPr>
          <w:rFonts w:ascii="Palatino Linotype" w:eastAsia="Palatino Linotype" w:hAnsi="Palatino Linotype"/>
          <w:b/>
          <w:color w:val="000000"/>
          <w:sz w:val="26"/>
          <w:szCs w:val="26"/>
          <w:lang w:val="es-ES_tradnl" w:eastAsia="es-MX"/>
        </w:rPr>
        <w:t>CUARTO. Del turno y admisión del recurso de revisión.</w:t>
      </w: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Cs w:val="22"/>
          <w:lang w:eastAsia="es-MX"/>
        </w:rPr>
      </w:pPr>
      <w:r w:rsidRPr="00B4444B">
        <w:rPr>
          <w:rFonts w:ascii="Palatino Linotype" w:eastAsia="Palatino Linotype" w:hAnsi="Palatino Linotype" w:cs="Palatino Linotype"/>
          <w:color w:val="000000"/>
          <w:szCs w:val="22"/>
          <w:lang w:eastAsia="es-MX"/>
        </w:rPr>
        <w:t xml:space="preserve">Medio de impugnación que le fue turnado al </w:t>
      </w:r>
      <w:r w:rsidRPr="00B4444B">
        <w:rPr>
          <w:rFonts w:ascii="Palatino Linotype" w:eastAsia="Palatino Linotype" w:hAnsi="Palatino Linotype" w:cs="Palatino Linotype"/>
          <w:b/>
          <w:bCs/>
          <w:color w:val="000000"/>
          <w:szCs w:val="22"/>
          <w:lang w:eastAsia="es-MX"/>
        </w:rPr>
        <w:t>Comisionado Presidente José Martínez Vilchis</w:t>
      </w:r>
      <w:r w:rsidRPr="00B4444B">
        <w:rPr>
          <w:rFonts w:ascii="Palatino Linotype" w:eastAsia="Palatino Linotype" w:hAnsi="Palatino Linotype" w:cs="Palatino Linotype"/>
          <w:color w:val="000000"/>
          <w:szCs w:val="22"/>
          <w:lang w:eastAsia="es-MX"/>
        </w:rPr>
        <w:t xml:space="preserve">, por medio del sistema electrónico en términos del numeral 185 fracción I de la Ley de Transparencia y Acceso a la información Pública del Estado de México y Municipios, al cual recayó acuerdo de admisión de fecha diecisiete de enero de dos mil veinticinco, </w:t>
      </w:r>
      <w:r w:rsidRPr="00B4444B">
        <w:rPr>
          <w:rFonts w:ascii="Palatino Linotype" w:eastAsia="Palatino Linotype" w:hAnsi="Palatino Linotype" w:cs="Palatino Linotype"/>
          <w:szCs w:val="22"/>
          <w:lang w:eastAsia="es-MX"/>
        </w:rPr>
        <w:t>otorgándose</w:t>
      </w:r>
      <w:r w:rsidRPr="00B4444B">
        <w:rPr>
          <w:rFonts w:ascii="Palatino Linotype" w:eastAsia="Palatino Linotype" w:hAnsi="Palatino Linotype" w:cs="Palatino Linotype"/>
          <w:color w:val="000000"/>
          <w:szCs w:val="22"/>
          <w:lang w:eastAsia="es-MX"/>
        </w:rPr>
        <w:t xml:space="preserve"> en él un plazo de siete días para que las partes manifestaran lo que a su derecho corresponda en términos del numeral ya citado.</w:t>
      </w: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B4444B" w:rsidRPr="00B4444B" w:rsidRDefault="00B4444B" w:rsidP="00B4444B">
      <w:pPr>
        <w:keepNext/>
        <w:keepLines/>
        <w:spacing w:line="360" w:lineRule="auto"/>
        <w:jc w:val="both"/>
        <w:outlineLvl w:val="1"/>
        <w:rPr>
          <w:rFonts w:ascii="Palatino Linotype" w:eastAsia="Palatino Linotype" w:hAnsi="Palatino Linotype"/>
          <w:b/>
          <w:color w:val="000000"/>
          <w:sz w:val="26"/>
          <w:szCs w:val="26"/>
          <w:lang w:val="es-ES_tradnl" w:eastAsia="es-MX"/>
        </w:rPr>
      </w:pPr>
      <w:r w:rsidRPr="00B4444B">
        <w:rPr>
          <w:rFonts w:ascii="Palatino Linotype" w:eastAsia="Palatino Linotype" w:hAnsi="Palatino Linotype"/>
          <w:b/>
          <w:color w:val="000000"/>
          <w:sz w:val="26"/>
          <w:szCs w:val="26"/>
          <w:lang w:val="es-ES_tradnl" w:eastAsia="es-MX"/>
        </w:rPr>
        <w:t>QUINTO. De la etapa de instrucción.</w:t>
      </w:r>
    </w:p>
    <w:p w:rsidR="00020228" w:rsidRDefault="00020228" w:rsidP="00020228">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020228">
        <w:rPr>
          <w:rFonts w:ascii="Palatino Linotype" w:eastAsia="Palatino Linotype" w:hAnsi="Palatino Linotype" w:cs="Palatino Linotype"/>
          <w:color w:val="000000"/>
          <w:lang w:val="es-ES_tradnl" w:eastAsia="es-MX"/>
        </w:rPr>
        <w:t>Durante la etapa de instrucción, en el sumario se observa que el ocho de noviembre de dos mil veinticuatro, el Sujeto Obligado rindió su Informe Justificado</w:t>
      </w:r>
      <w:r>
        <w:rPr>
          <w:rFonts w:ascii="Palatino Linotype" w:eastAsia="Palatino Linotype" w:hAnsi="Palatino Linotype" w:cs="Palatino Linotype"/>
          <w:color w:val="000000"/>
          <w:lang w:val="es-ES_tradnl" w:eastAsia="es-MX"/>
        </w:rPr>
        <w:t>, en el que sustancialmente ratifica su respuesta,</w:t>
      </w:r>
      <w:r w:rsidRPr="00020228">
        <w:rPr>
          <w:rFonts w:ascii="Palatino Linotype" w:eastAsia="Palatino Linotype" w:hAnsi="Palatino Linotype" w:cs="Palatino Linotype"/>
          <w:color w:val="000000"/>
          <w:lang w:val="es-ES_tradnl" w:eastAsia="es-MX"/>
        </w:rPr>
        <w:t xml:space="preserve"> mediante la presentación de los documentos denominados </w:t>
      </w:r>
      <w:r w:rsidRPr="00020228">
        <w:rPr>
          <w:rFonts w:ascii="Palatino Linotype" w:eastAsia="Palatino Linotype" w:hAnsi="Palatino Linotype" w:cs="Palatino Linotype"/>
          <w:b/>
          <w:bCs/>
          <w:color w:val="000000"/>
          <w:lang w:val="es-ES_tradnl" w:eastAsia="es-MX"/>
        </w:rPr>
        <w:t xml:space="preserve">“CI.pdf”, “DGRETP.pdf”, “INFORME JUSTIFICADO 60.pdf” y “RESPUESTA ZONA III.pdf”, </w:t>
      </w:r>
      <w:r w:rsidRPr="00020228">
        <w:rPr>
          <w:rFonts w:ascii="Palatino Linotype" w:eastAsia="Palatino Linotype" w:hAnsi="Palatino Linotype" w:cs="Palatino Linotype"/>
          <w:color w:val="000000"/>
          <w:lang w:val="es-ES_tradnl" w:eastAsia="es-MX"/>
        </w:rPr>
        <w:t xml:space="preserve">los cuales fueron puestos a la vista de la Recurrente mediante acuerdo de fecha cuatro de febrero del año en curso, en términos de la fracción III del artículo 185 de la Ley de Transparencia y Acceso a la Información Pública del Estado de México y Municipios, otorgando al solicitante un término de tres días para manifestar lo que a su derecho conviniera. </w:t>
      </w:r>
    </w:p>
    <w:p w:rsidR="00020228" w:rsidRDefault="00020228" w:rsidP="00020228">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rsidR="00020228" w:rsidRPr="00020228" w:rsidRDefault="00020228" w:rsidP="00020228">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sidRPr="00020228">
        <w:rPr>
          <w:rFonts w:ascii="Palatino Linotype" w:eastAsia="Palatino Linotype" w:hAnsi="Palatino Linotype" w:cs="Palatino Linotype"/>
          <w:color w:val="000000"/>
          <w:lang w:val="es-ES_tradnl" w:eastAsia="es-MX"/>
        </w:rPr>
        <w:lastRenderedPageBreak/>
        <w:t>Por su parte, el Recurrente no realizó manifestaciones, vertió alegatos ni presentó pruebas que a su derecho convinieran. El contenido de los documentos referidos será motivo de análisis en el estudio correspondiente.</w:t>
      </w:r>
    </w:p>
    <w:p w:rsidR="00020228" w:rsidRPr="00020228" w:rsidRDefault="00020228" w:rsidP="000202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B4444B" w:rsidRPr="00B4444B" w:rsidRDefault="00B4444B" w:rsidP="00B4444B">
      <w:pPr>
        <w:keepNext/>
        <w:keepLines/>
        <w:spacing w:line="360" w:lineRule="auto"/>
        <w:jc w:val="both"/>
        <w:outlineLvl w:val="1"/>
        <w:rPr>
          <w:rFonts w:ascii="Palatino Linotype" w:eastAsia="Palatino Linotype" w:hAnsi="Palatino Linotype"/>
          <w:b/>
          <w:color w:val="000000"/>
          <w:sz w:val="26"/>
          <w:szCs w:val="26"/>
          <w:lang w:val="es-ES_tradnl" w:eastAsia="es-MX"/>
        </w:rPr>
      </w:pPr>
      <w:r w:rsidRPr="00B4444B">
        <w:rPr>
          <w:rFonts w:ascii="Palatino Linotype" w:eastAsia="Palatino Linotype" w:hAnsi="Palatino Linotype"/>
          <w:b/>
          <w:color w:val="000000"/>
          <w:sz w:val="26"/>
          <w:szCs w:val="26"/>
          <w:lang w:val="es-ES_tradnl" w:eastAsia="es-MX"/>
        </w:rPr>
        <w:t>SEXTO. Del cierre de instrucción.</w:t>
      </w:r>
    </w:p>
    <w:p w:rsidR="00B4444B" w:rsidRPr="00B4444B" w:rsidRDefault="00B4444B" w:rsidP="00B4444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B4444B">
        <w:rPr>
          <w:rFonts w:ascii="Palatino Linotype" w:eastAsia="Palatino Linotype" w:hAnsi="Palatino Linotype" w:cs="Palatino Linotype"/>
          <w:color w:val="000000"/>
          <w:lang w:val="es-ES_tradnl" w:eastAsia="es-MX"/>
        </w:rPr>
        <w:t>Así, una vez transcurrido el término legal, se decretó el cierre de instru</w:t>
      </w:r>
      <w:r w:rsidR="00732F2C">
        <w:rPr>
          <w:rFonts w:ascii="Palatino Linotype" w:eastAsia="Palatino Linotype" w:hAnsi="Palatino Linotype" w:cs="Palatino Linotype"/>
          <w:color w:val="000000"/>
          <w:lang w:val="es-ES_tradnl" w:eastAsia="es-MX"/>
        </w:rPr>
        <w:t>cción el doce</w:t>
      </w:r>
      <w:r w:rsidRPr="00B4444B">
        <w:rPr>
          <w:rFonts w:ascii="Palatino Linotype" w:eastAsia="Palatino Linotype" w:hAnsi="Palatino Linotype" w:cs="Palatino Linotype"/>
          <w:color w:val="000000"/>
          <w:lang w:val="es-ES_tradnl" w:eastAsia="es-MX"/>
        </w:rPr>
        <w:t xml:space="preserve"> de febrero de dos mil veinticinco, en términos del artículo 185 fracción VI de la Ley de Transparencia y Acceso a la Información Pública del Estado de México y Municipios, iniciando el término legal para dictar resolución definitiva del asunto.</w:t>
      </w:r>
    </w:p>
    <w:p w:rsidR="00B4444B" w:rsidRDefault="00B4444B" w:rsidP="00B4444B">
      <w:pPr>
        <w:spacing w:line="360" w:lineRule="auto"/>
        <w:jc w:val="both"/>
        <w:rPr>
          <w:rFonts w:ascii="Palatino Linotype" w:eastAsia="Calibri" w:hAnsi="Palatino Linotype" w:cs="Arial"/>
          <w:lang w:val="es-MX" w:eastAsia="en-US"/>
        </w:rPr>
      </w:pPr>
    </w:p>
    <w:p w:rsidR="00B4444B" w:rsidRPr="00E3454E" w:rsidRDefault="00B4444B" w:rsidP="00B4444B">
      <w:pPr>
        <w:spacing w:line="360" w:lineRule="auto"/>
        <w:jc w:val="both"/>
        <w:rPr>
          <w:rFonts w:ascii="Palatino Linotype" w:eastAsia="Calibri" w:hAnsi="Palatino Linotype" w:cs="Arial"/>
          <w:lang w:val="es-MX" w:eastAsia="en-US"/>
        </w:rPr>
      </w:pPr>
    </w:p>
    <w:p w:rsidR="00B4444B" w:rsidRPr="0024200F" w:rsidRDefault="00B4444B" w:rsidP="00B4444B">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B4444B" w:rsidRPr="00825F67" w:rsidRDefault="00B4444B" w:rsidP="00B4444B">
      <w:pPr>
        <w:spacing w:line="360" w:lineRule="auto"/>
        <w:ind w:right="49"/>
        <w:jc w:val="both"/>
        <w:rPr>
          <w:rFonts w:ascii="Palatino Linotype" w:hAnsi="Palatino Linotype"/>
          <w:szCs w:val="28"/>
        </w:rPr>
      </w:pPr>
    </w:p>
    <w:p w:rsidR="00B4444B" w:rsidRPr="00FB3150" w:rsidRDefault="00B4444B" w:rsidP="00B4444B">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rsidR="00B4444B" w:rsidRPr="007C6AB6" w:rsidRDefault="00B4444B" w:rsidP="00B4444B">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w:t>
      </w:r>
      <w:r w:rsidRPr="007C6AB6">
        <w:rPr>
          <w:rFonts w:ascii="Palatino Linotype" w:hAnsi="Palatino Linotype"/>
        </w:rPr>
        <w:lastRenderedPageBreak/>
        <w:t>Acceso a la Información Pública y Protección de Datos Personales del Estado de México y Municipios.</w:t>
      </w:r>
    </w:p>
    <w:p w:rsidR="00B4444B" w:rsidRPr="002C3EC8" w:rsidRDefault="00B4444B" w:rsidP="00B4444B">
      <w:pPr>
        <w:spacing w:before="240" w:line="360" w:lineRule="auto"/>
        <w:jc w:val="both"/>
        <w:rPr>
          <w:rFonts w:ascii="Palatino Linotype" w:eastAsia="Calibri" w:hAnsi="Palatino Linotype"/>
          <w:b/>
          <w:color w:val="000000" w:themeColor="text1"/>
        </w:rPr>
      </w:pPr>
    </w:p>
    <w:p w:rsidR="00B4444B" w:rsidRPr="002C3EC8" w:rsidRDefault="00B4444B" w:rsidP="00B4444B">
      <w:pPr>
        <w:pStyle w:val="Prrafodelista"/>
        <w:autoSpaceDE w:val="0"/>
        <w:autoSpaceDN w:val="0"/>
        <w:adjustRightInd w:val="0"/>
        <w:spacing w:before="240" w:after="160" w:line="360" w:lineRule="auto"/>
        <w:ind w:left="0"/>
        <w:jc w:val="both"/>
        <w:rPr>
          <w:rFonts w:ascii="Palatino Linotype" w:hAnsi="Palatino Linotype" w:cs="Arial"/>
          <w:b/>
        </w:rPr>
      </w:pPr>
      <w:r w:rsidRPr="00DB16C5">
        <w:rPr>
          <w:rFonts w:ascii="Palatino Linotype" w:hAnsi="Palatino Linotype" w:cs="Arial"/>
          <w:b/>
          <w:sz w:val="28"/>
        </w:rPr>
        <w:t>SEGUNDO</w:t>
      </w:r>
      <w:r w:rsidRPr="002C3EC8">
        <w:rPr>
          <w:rFonts w:ascii="Palatino Linotype" w:hAnsi="Palatino Linotype" w:cs="Arial"/>
          <w:b/>
        </w:rPr>
        <w:t xml:space="preserve">. </w:t>
      </w:r>
      <w:r w:rsidRPr="00F94FF2">
        <w:rPr>
          <w:rFonts w:ascii="Palatino Linotype" w:hAnsi="Palatino Linotype" w:cs="Arial"/>
          <w:b/>
          <w:sz w:val="28"/>
        </w:rPr>
        <w:t>De</w:t>
      </w:r>
      <w:r>
        <w:rPr>
          <w:rFonts w:ascii="Palatino Linotype" w:hAnsi="Palatino Linotype" w:cs="Arial"/>
          <w:b/>
          <w:sz w:val="28"/>
          <w:szCs w:val="28"/>
        </w:rPr>
        <w:t xml:space="preserv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B4444B" w:rsidRPr="00207E23" w:rsidRDefault="00B4444B" w:rsidP="00B4444B">
      <w:pPr>
        <w:autoSpaceDE w:val="0"/>
        <w:autoSpaceDN w:val="0"/>
        <w:adjustRightInd w:val="0"/>
        <w:spacing w:line="360" w:lineRule="auto"/>
        <w:jc w:val="both"/>
        <w:rPr>
          <w:rFonts w:ascii="Palatino Linotype" w:hAnsi="Palatino Linotype" w:cs="Arial"/>
        </w:rPr>
      </w:pPr>
      <w:r w:rsidRPr="00207E23">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B4444B" w:rsidRDefault="00B4444B" w:rsidP="00B4444B">
      <w:pPr>
        <w:pStyle w:val="Prrafodelista"/>
        <w:autoSpaceDE w:val="0"/>
        <w:autoSpaceDN w:val="0"/>
        <w:adjustRightInd w:val="0"/>
        <w:spacing w:before="240" w:after="160" w:line="360" w:lineRule="auto"/>
        <w:ind w:left="0"/>
        <w:jc w:val="both"/>
        <w:rPr>
          <w:rFonts w:ascii="Palatino Linotype" w:hAnsi="Palatino Linotype" w:cs="Arial"/>
          <w:b/>
          <w:sz w:val="28"/>
        </w:rPr>
      </w:pPr>
    </w:p>
    <w:p w:rsidR="00B4444B" w:rsidRDefault="00B4444B" w:rsidP="00B4444B">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9510B5">
        <w:rPr>
          <w:rFonts w:ascii="Palatino Linotype" w:hAnsi="Palatino Linotype" w:cs="Arial"/>
          <w:b/>
        </w:rPr>
        <w:t xml:space="preserve">. </w:t>
      </w:r>
      <w:r w:rsidRPr="009510B5">
        <w:rPr>
          <w:rFonts w:ascii="Palatino Linotype" w:hAnsi="Palatino Linotype" w:cs="Arial"/>
          <w:b/>
          <w:sz w:val="28"/>
          <w:szCs w:val="28"/>
        </w:rPr>
        <w:t>Del estudio de las causas de improcedencia y sobreseimiento</w:t>
      </w:r>
    </w:p>
    <w:p w:rsidR="00B4444B" w:rsidRPr="00B21190" w:rsidRDefault="00B4444B" w:rsidP="00B4444B">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B21190">
        <w:rPr>
          <w:rFonts w:ascii="Palatino Linotype" w:hAnsi="Palatino Linotype" w:cs="Arial"/>
        </w:rPr>
        <w:t>procedibilidad</w:t>
      </w:r>
      <w:proofErr w:type="spellEnd"/>
      <w:r w:rsidRPr="00B21190">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B4444B" w:rsidRPr="00B21190" w:rsidRDefault="00B4444B" w:rsidP="00B4444B">
      <w:pPr>
        <w:pStyle w:val="Prrafodelista"/>
        <w:autoSpaceDE w:val="0"/>
        <w:autoSpaceDN w:val="0"/>
        <w:adjustRightInd w:val="0"/>
        <w:spacing w:line="360" w:lineRule="auto"/>
        <w:ind w:left="0"/>
        <w:jc w:val="both"/>
        <w:rPr>
          <w:rFonts w:ascii="Palatino Linotype" w:hAnsi="Palatino Linotype" w:cs="Arial"/>
        </w:rPr>
      </w:pPr>
    </w:p>
    <w:p w:rsidR="00B4444B" w:rsidRDefault="00B4444B" w:rsidP="00B4444B">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lastRenderedPageBreak/>
        <w:t xml:space="preserve">Siendo una facultad legal entrar al estudio de las causas de improcedencia que hagan valer las partes o que se adviertan de oficio por este </w:t>
      </w:r>
      <w:proofErr w:type="spellStart"/>
      <w:r w:rsidRPr="00B21190">
        <w:rPr>
          <w:rFonts w:ascii="Palatino Linotype" w:hAnsi="Palatino Linotype" w:cs="Arial"/>
        </w:rPr>
        <w:t>Resolutor</w:t>
      </w:r>
      <w:proofErr w:type="spellEnd"/>
      <w:r w:rsidRPr="00B21190">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rsidR="00B4444B" w:rsidRDefault="00B4444B" w:rsidP="00B4444B">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B21190">
        <w:rPr>
          <w:rStyle w:val="Refdenotaalpie"/>
          <w:rFonts w:ascii="Palatino Linotype" w:eastAsiaTheme="minorEastAsia" w:hAnsi="Palatino Linotype" w:cs="Arial"/>
        </w:rPr>
        <w:footnoteReference w:id="1"/>
      </w:r>
      <w:r w:rsidRPr="00B21190">
        <w:rPr>
          <w:rFonts w:ascii="Palatino Linotype" w:hAnsi="Palatino Linotype" w:cs="Arial"/>
        </w:rPr>
        <w:t>.</w:t>
      </w:r>
    </w:p>
    <w:p w:rsidR="00020228" w:rsidRPr="00B21190" w:rsidRDefault="00020228" w:rsidP="00B4444B">
      <w:pPr>
        <w:pStyle w:val="Prrafodelista"/>
        <w:autoSpaceDE w:val="0"/>
        <w:autoSpaceDN w:val="0"/>
        <w:adjustRightInd w:val="0"/>
        <w:spacing w:line="360" w:lineRule="auto"/>
        <w:ind w:left="0"/>
        <w:jc w:val="both"/>
        <w:rPr>
          <w:rFonts w:ascii="Palatino Linotype" w:hAnsi="Palatino Linotype" w:cs="Arial"/>
        </w:rPr>
      </w:pPr>
    </w:p>
    <w:p w:rsidR="00B4444B" w:rsidRPr="00B21190" w:rsidRDefault="00B4444B" w:rsidP="00B4444B">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w:t>
      </w:r>
      <w:r w:rsidRPr="00B21190">
        <w:rPr>
          <w:rFonts w:ascii="Palatino Linotype" w:hAnsi="Palatino Linotype" w:cs="Arial"/>
        </w:rPr>
        <w:lastRenderedPageBreak/>
        <w:t>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rsidR="00B4444B" w:rsidRDefault="00B4444B" w:rsidP="00B4444B">
      <w:pPr>
        <w:pStyle w:val="Prrafodelista"/>
        <w:autoSpaceDE w:val="0"/>
        <w:autoSpaceDN w:val="0"/>
        <w:adjustRightInd w:val="0"/>
        <w:spacing w:line="360" w:lineRule="auto"/>
        <w:ind w:left="0"/>
        <w:jc w:val="both"/>
        <w:rPr>
          <w:rFonts w:ascii="Palatino Linotype" w:hAnsi="Palatino Linotype" w:cs="Arial"/>
        </w:rPr>
      </w:pPr>
    </w:p>
    <w:p w:rsidR="00B4444B" w:rsidRPr="00B21190" w:rsidRDefault="00B4444B" w:rsidP="00B4444B">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Ya que el planteamiento del problema es de toral importancia, a efecto de determinar la intención o voluntad del </w:t>
      </w:r>
      <w:r>
        <w:rPr>
          <w:rFonts w:ascii="Palatino Linotype" w:hAnsi="Palatino Linotype" w:cs="Arial"/>
        </w:rPr>
        <w:t>R</w:t>
      </w:r>
      <w:r w:rsidRPr="00B21190">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rsidR="00B4444B" w:rsidRPr="006A6545" w:rsidRDefault="00B4444B" w:rsidP="00B4444B">
      <w:pPr>
        <w:pStyle w:val="Prrafodelista"/>
        <w:autoSpaceDE w:val="0"/>
        <w:autoSpaceDN w:val="0"/>
        <w:adjustRightInd w:val="0"/>
        <w:spacing w:before="240" w:after="160" w:line="360" w:lineRule="auto"/>
        <w:ind w:left="0"/>
        <w:jc w:val="both"/>
        <w:rPr>
          <w:rFonts w:ascii="Palatino Linotype" w:hAnsi="Palatino Linotype" w:cs="Arial"/>
        </w:rPr>
      </w:pPr>
      <w:r w:rsidRPr="00B21190">
        <w:rPr>
          <w:rFonts w:ascii="Palatino Linotype" w:hAnsi="Palatino Linotype" w:cs="Arial"/>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B4444B" w:rsidRDefault="00B4444B" w:rsidP="00B4444B">
      <w:pPr>
        <w:tabs>
          <w:tab w:val="left" w:pos="709"/>
        </w:tabs>
        <w:spacing w:line="360" w:lineRule="auto"/>
        <w:jc w:val="both"/>
        <w:rPr>
          <w:rFonts w:ascii="Palatino Linotype" w:hAnsi="Palatino Linotype" w:cs="Arial"/>
        </w:rPr>
      </w:pPr>
    </w:p>
    <w:p w:rsidR="00B4444B" w:rsidRPr="004D52B1" w:rsidRDefault="00B4444B" w:rsidP="00B4444B">
      <w:pPr>
        <w:tabs>
          <w:tab w:val="left" w:pos="709"/>
        </w:tabs>
        <w:spacing w:line="360" w:lineRule="auto"/>
        <w:jc w:val="both"/>
        <w:rPr>
          <w:rFonts w:ascii="Palatino Linotype" w:hAnsi="Palatino Linotype" w:cs="Arial"/>
        </w:rPr>
      </w:pPr>
      <w:r w:rsidRPr="004D52B1">
        <w:rPr>
          <w:rFonts w:ascii="Palatino Linotype" w:hAnsi="Palatino Linotype" w:cs="Arial"/>
        </w:rPr>
        <w:t xml:space="preserve">La Ley de Transparencia de la entidad, en su artículo 192, contempla la figura jurídica del sobreseimiento, y específicamente en sus hipótesis inmersas en las fracciones III y IV, refieren que se sobreseerá el asunto cuando </w:t>
      </w:r>
      <w:r w:rsidRPr="004D52B1">
        <w:rPr>
          <w:rFonts w:ascii="Palatino Linotype" w:hAnsi="Palatino Linotype" w:cs="Arial"/>
          <w:b/>
        </w:rPr>
        <w:t>El Sujeto Obligado</w:t>
      </w:r>
      <w:r w:rsidRPr="004D52B1">
        <w:rPr>
          <w:rFonts w:ascii="Palatino Linotype" w:hAnsi="Palatino Linotype" w:cs="Arial"/>
        </w:rPr>
        <w:t xml:space="preserve"> responsable del acto lo modifique o revoque de tal manera que el recurso de revisión quede sin materia </w:t>
      </w:r>
      <w:r w:rsidRPr="004D52B1">
        <w:rPr>
          <w:rFonts w:ascii="Palatino Linotype" w:hAnsi="Palatino Linotype" w:cs="Arial"/>
        </w:rPr>
        <w:lastRenderedPageBreak/>
        <w:t>o admitido el recurso de revisión, aparezca alguna causal de improcedencia en los términos de la presente Ley.</w:t>
      </w:r>
    </w:p>
    <w:p w:rsidR="00B4444B" w:rsidRPr="004D52B1" w:rsidRDefault="00B4444B" w:rsidP="00B4444B">
      <w:pPr>
        <w:tabs>
          <w:tab w:val="left" w:pos="709"/>
        </w:tabs>
        <w:spacing w:line="360" w:lineRule="auto"/>
        <w:jc w:val="both"/>
        <w:rPr>
          <w:rFonts w:ascii="Palatino Linotype" w:hAnsi="Palatino Linotype" w:cs="Arial"/>
        </w:rPr>
      </w:pPr>
    </w:p>
    <w:p w:rsidR="00B4444B" w:rsidRDefault="00B4444B" w:rsidP="00B4444B">
      <w:pPr>
        <w:tabs>
          <w:tab w:val="left" w:pos="709"/>
        </w:tabs>
        <w:spacing w:line="360" w:lineRule="auto"/>
        <w:jc w:val="both"/>
        <w:rPr>
          <w:rFonts w:ascii="Palatino Linotype" w:hAnsi="Palatino Linotype" w:cs="Arial"/>
        </w:rPr>
      </w:pPr>
      <w:r w:rsidRPr="004D52B1">
        <w:rPr>
          <w:rFonts w:ascii="Palatino Linotype" w:hAnsi="Palatino Linotype" w:cs="Arial"/>
        </w:rPr>
        <w:t xml:space="preserve">Bajo esa línea, con la finalidad de determinar si se modificó o revocó el acto u omisión del </w:t>
      </w:r>
      <w:r w:rsidRPr="004D52B1">
        <w:rPr>
          <w:rFonts w:ascii="Palatino Linotype" w:hAnsi="Palatino Linotype" w:cs="Arial"/>
          <w:b/>
        </w:rPr>
        <w:t>Sujeto Obligado</w:t>
      </w:r>
      <w:r w:rsidRPr="004D52B1">
        <w:rPr>
          <w:rFonts w:ascii="Palatino Linotype" w:hAnsi="Palatino Linotype" w:cs="Arial"/>
        </w:rPr>
        <w:t xml:space="preserve"> o</w:t>
      </w:r>
      <w:r w:rsidRPr="004D52B1">
        <w:t xml:space="preserve"> </w:t>
      </w:r>
      <w:r w:rsidRPr="004D52B1">
        <w:rPr>
          <w:rFonts w:ascii="Palatino Linotype" w:hAnsi="Palatino Linotype" w:cs="Arial"/>
        </w:rPr>
        <w:t>admitido el recurso de revisión, aparezca alguna causal de improcedencia para el efecto de que quede sin materia el recurso de revisión, es 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rsidR="00B4444B" w:rsidRDefault="00B4444B" w:rsidP="00B4444B">
      <w:pPr>
        <w:tabs>
          <w:tab w:val="left" w:pos="709"/>
        </w:tabs>
        <w:spacing w:line="360" w:lineRule="auto"/>
        <w:jc w:val="both"/>
        <w:rPr>
          <w:rFonts w:ascii="Palatino Linotype" w:hAnsi="Palatino Linotype" w:cs="Arial"/>
        </w:rPr>
      </w:pPr>
    </w:p>
    <w:p w:rsidR="00B4444B" w:rsidRDefault="00B4444B" w:rsidP="00B4444B">
      <w:pPr>
        <w:tabs>
          <w:tab w:val="left" w:pos="709"/>
        </w:tabs>
        <w:spacing w:line="360" w:lineRule="auto"/>
        <w:jc w:val="both"/>
        <w:rPr>
          <w:rFonts w:ascii="Palatino Linotype" w:hAnsi="Palatino Linotype" w:cs="Arial"/>
        </w:rPr>
      </w:pPr>
      <w:r>
        <w:rPr>
          <w:rFonts w:ascii="Palatino Linotype" w:hAnsi="Palatino Linotype" w:cs="Arial"/>
        </w:rPr>
        <w:t>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Federación, Tomo IX, Enero de 1999, Materia Común, cuyo rubro y texto disponen a la literalidad lo siguiente:</w:t>
      </w:r>
    </w:p>
    <w:p w:rsidR="00B4444B" w:rsidRPr="00F74FB1" w:rsidRDefault="00B4444B" w:rsidP="00B4444B">
      <w:pPr>
        <w:pStyle w:val="Citas"/>
        <w:rPr>
          <w:b/>
          <w:bCs/>
        </w:rPr>
      </w:pPr>
      <w:r>
        <w:rPr>
          <w:b/>
          <w:bCs/>
        </w:rPr>
        <w:t>“</w:t>
      </w:r>
      <w:r w:rsidRPr="00F74FB1">
        <w:rPr>
          <w:b/>
          <w:bCs/>
        </w:rPr>
        <w:t>IMPROCEDENCIA. ESTUDIO PREFERENCIAL DE LAS CAUSALES PREVISTAS EN EL ARTÍCULO 73 DE LA LEY DE AMPARO.</w:t>
      </w:r>
    </w:p>
    <w:p w:rsidR="00B4444B" w:rsidRDefault="00B4444B" w:rsidP="00B4444B">
      <w:pPr>
        <w:pStyle w:val="Citas"/>
      </w:pPr>
      <w:r>
        <w:t xml:space="preserve">De conformidad con lo dispuesto en el </w:t>
      </w:r>
      <w:r w:rsidRPr="00F74FB1">
        <w:t>último párrafo del artículo </w:t>
      </w:r>
      <w:hyperlink r:id="rId7" w:history="1">
        <w:r w:rsidRPr="00F74FB1">
          <w:t>73 de la Ley de Amparo</w:t>
        </w:r>
      </w:hyperlink>
      <w:r w:rsidRPr="00F74FB1">
        <w:t> las causales de improcedencia deben</w:t>
      </w:r>
      <w:r>
        <w:t xml:space="preserve"> ser examinadas de oficio y debe abordarse en cualquier instancia en que el juicio se encuentre; de tal manera que si en la revisión se advierte que existen otras causas de </w:t>
      </w:r>
      <w:r w:rsidRPr="00F74FB1">
        <w:t>estudio preferente</w:t>
      </w:r>
      <w:r>
        <w:t xml:space="preserve"> a la invocada </w:t>
      </w:r>
      <w:r>
        <w:lastRenderedPageBreak/>
        <w:t xml:space="preserve">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importancia amerita que se estudien de </w:t>
      </w:r>
      <w:r w:rsidRPr="00F74FB1">
        <w:t>forma preferente.</w:t>
      </w:r>
      <w:r>
        <w:t xml:space="preserve"> Una de estas causas es la inobservancia al principio de </w:t>
      </w:r>
      <w:proofErr w:type="spellStart"/>
      <w:r>
        <w:t>definitividad</w:t>
      </w:r>
      <w:proofErr w:type="spellEnd"/>
      <w:r>
        <w:t xml:space="preserve">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w:t>
      </w:r>
      <w:r w:rsidRPr="00F74FB1">
        <w:t>estudio preferente</w:t>
      </w:r>
      <w:r>
        <w:t xml:space="preserve"> (inobservancia al principio de </w:t>
      </w:r>
      <w:proofErr w:type="spellStart"/>
      <w:r>
        <w:t>definitividad</w:t>
      </w:r>
      <w:proofErr w:type="spellEnd"/>
      <w:r>
        <w:t>)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rsidR="00B4444B" w:rsidRDefault="00B4444B" w:rsidP="00B4444B">
      <w:pPr>
        <w:pStyle w:val="Citas"/>
      </w:pPr>
      <w:r>
        <w:t>Amparo en revisión 355/98. Raúl Salinas de Gortari. 1o. de abril de 1998. Cinco votos. Ponente: José de Jesús Gudiño Pelayo. Secretario: Mario Flores García.</w:t>
      </w:r>
    </w:p>
    <w:p w:rsidR="00B4444B" w:rsidRDefault="00B4444B" w:rsidP="00B4444B">
      <w:pPr>
        <w:pStyle w:val="Citas"/>
      </w:pPr>
      <w:r>
        <w:t>Amparo en revisión 807/98. Byron Jackson Co., S.A. de C.V. 24 de junio de 1998. Cinco votos. Ponente: José de Jesús Gudiño Pelayo. Secretario: Miguel Ángel Ramírez González.</w:t>
      </w:r>
    </w:p>
    <w:p w:rsidR="00B4444B" w:rsidRDefault="00B4444B" w:rsidP="00B4444B">
      <w:pPr>
        <w:pStyle w:val="Citas"/>
      </w:pPr>
      <w:r w:rsidRPr="00A65594">
        <w:t>A</w:t>
      </w:r>
      <w:r>
        <w:t>mparo en revisión 2257/97. Servicios Hoteleros Presidente San José del Cabo, S.A. de C.V. 4 de noviembre de 1998. Unanimidad de cuatro votos. Ausente: Juan N. Silva Meza. Ponente: Humberto Román Palacios. Secretario: Álvaro Tovilla León.</w:t>
      </w:r>
    </w:p>
    <w:p w:rsidR="00B4444B" w:rsidRDefault="00B4444B" w:rsidP="00B4444B">
      <w:pPr>
        <w:pStyle w:val="Citas"/>
      </w:pPr>
      <w:r>
        <w:lastRenderedPageBreak/>
        <w:t>Amparo en revisión 1753/98. Seguros Comercial América, S.A. de C.V. 11 de noviembre de 1998. Unanimidad de cuatro votos. Ausente: José de Jesús Gudiño Pelayo. Ponente: José de Jesús Gudiño Pelayo; en su ausencia hizo suyo el asunto el Ministro Juan N. Silva Meza. Secretario: Mario Flores García.</w:t>
      </w:r>
    </w:p>
    <w:p w:rsidR="00B4444B" w:rsidRDefault="00B4444B" w:rsidP="00B4444B">
      <w:pPr>
        <w:pStyle w:val="Citas"/>
      </w:pPr>
      <w:r>
        <w:t>Amparo en revisión 2447/98. José Virgilio Hernández. 18 de noviembre de 1998. Unanimidad de cuatro votos. Ausente: José de Jesús Gudiño Pelayo. Ponente: Humberto Román Palacios. Secretario: Urbano Martínez Hernández.</w:t>
      </w:r>
    </w:p>
    <w:p w:rsidR="00B4444B" w:rsidRPr="00F74FB1" w:rsidRDefault="00B4444B" w:rsidP="00B4444B">
      <w:pPr>
        <w:pStyle w:val="Citas"/>
        <w:rPr>
          <w:b/>
          <w:bCs/>
        </w:rPr>
      </w:pPr>
      <w:r>
        <w:t xml:space="preserve">Tesis de jurisprudencia 3/99. Aprobada por la Primera Sala de esta Suprema Corte de Justicia de la Nación, en sesión de trece de enero de mil novecientos noventa y nueve, por unanimidad de cinco votos de los señores Ministros: presidente Humberto Román Palacios, Juventino V. Castro y Castro, José de Jesús Gudiño Pelayo, Juan N. Silva Meza y Olga Sánchez Cordero de García Villegas” </w:t>
      </w:r>
      <w:r>
        <w:rPr>
          <w:b/>
          <w:bCs/>
        </w:rPr>
        <w:t>(Sic)</w:t>
      </w:r>
    </w:p>
    <w:p w:rsidR="00B4444B" w:rsidRDefault="00B4444B" w:rsidP="00B4444B">
      <w:pPr>
        <w:tabs>
          <w:tab w:val="left" w:pos="709"/>
        </w:tabs>
        <w:spacing w:line="360" w:lineRule="auto"/>
        <w:jc w:val="both"/>
        <w:rPr>
          <w:rFonts w:ascii="Palatino Linotype" w:hAnsi="Palatino Linotype" w:cs="Arial"/>
        </w:rPr>
      </w:pPr>
    </w:p>
    <w:p w:rsidR="00B4444B" w:rsidRDefault="00B4444B" w:rsidP="00B4444B">
      <w:pPr>
        <w:spacing w:line="360" w:lineRule="auto"/>
        <w:jc w:val="both"/>
        <w:rPr>
          <w:rFonts w:ascii="Palatino Linotype" w:hAnsi="Palatino Linotype" w:cs="Arial"/>
        </w:rPr>
      </w:pPr>
      <w:r w:rsidRPr="00C13F8E">
        <w:rPr>
          <w:rFonts w:ascii="Palatino Linotype" w:hAnsi="Palatino Linotype" w:cs="Arial"/>
        </w:rPr>
        <w:t xml:space="preserve">Así, tenemos en un primer plano de estudio el texto de la solicitud de información, plasmada por </w:t>
      </w:r>
      <w:r>
        <w:rPr>
          <w:rFonts w:ascii="Palatino Linotype" w:hAnsi="Palatino Linotype" w:cs="Arial"/>
          <w:b/>
          <w:bCs/>
        </w:rPr>
        <w:t>El</w:t>
      </w:r>
      <w:r w:rsidRPr="00C13F8E">
        <w:rPr>
          <w:rFonts w:ascii="Palatino Linotype" w:hAnsi="Palatino Linotype" w:cs="Arial"/>
          <w:b/>
          <w:bCs/>
        </w:rPr>
        <w:t xml:space="preserve"> Recurrente,</w:t>
      </w:r>
      <w:r w:rsidRPr="00C13F8E">
        <w:rPr>
          <w:rFonts w:ascii="Palatino Linotype" w:hAnsi="Palatino Linotype" w:cs="Arial"/>
        </w:rPr>
        <w:t xml:space="preserve"> ello a efecto de poder determinar la materia de la solicitud de información que nos ocupa, así </w:t>
      </w:r>
      <w:r>
        <w:rPr>
          <w:rFonts w:ascii="Palatino Linotype" w:hAnsi="Palatino Linotype" w:cs="Arial"/>
        </w:rPr>
        <w:t>el</w:t>
      </w:r>
      <w:r w:rsidRPr="00C13F8E">
        <w:rPr>
          <w:rFonts w:ascii="Palatino Linotype" w:hAnsi="Palatino Linotype" w:cs="Arial"/>
        </w:rPr>
        <w:t xml:space="preserve"> particular </w:t>
      </w:r>
      <w:r>
        <w:rPr>
          <w:rFonts w:ascii="Palatino Linotype" w:hAnsi="Palatino Linotype" w:cs="Arial"/>
        </w:rPr>
        <w:t xml:space="preserve">formuló la solicitud de información </w:t>
      </w:r>
      <w:r>
        <w:rPr>
          <w:rFonts w:ascii="Palatino Linotype" w:hAnsi="Palatino Linotype" w:cs="Arial"/>
          <w:b/>
          <w:bCs/>
        </w:rPr>
        <w:t xml:space="preserve">00885/SMOV/IP/2024, </w:t>
      </w:r>
      <w:r>
        <w:rPr>
          <w:rFonts w:ascii="Palatino Linotype" w:hAnsi="Palatino Linotype" w:cs="Arial"/>
        </w:rPr>
        <w:t xml:space="preserve">que dispone a la literalidad lo siguiente: </w:t>
      </w:r>
    </w:p>
    <w:p w:rsidR="00B4444B" w:rsidRPr="006922F5" w:rsidRDefault="00B4444B" w:rsidP="00020228">
      <w:pPr>
        <w:pStyle w:val="Fundamentos"/>
        <w:spacing w:line="360" w:lineRule="auto"/>
      </w:pPr>
      <w:r>
        <w:rPr>
          <w:lang w:val="es-ES"/>
        </w:rPr>
        <w:t>“</w:t>
      </w:r>
      <w:r w:rsidRPr="001F4E40">
        <w:rPr>
          <w:lang w:val="es-ES"/>
        </w:rPr>
        <w:t xml:space="preserve">Ya en que diversas ocasiones se solicitan y los niegan cuando es de obligación reglamentaria tenerlos </w:t>
      </w:r>
      <w:r w:rsidRPr="00020228">
        <w:rPr>
          <w:b/>
          <w:u w:val="single"/>
          <w:lang w:val="es-ES"/>
        </w:rPr>
        <w:t xml:space="preserve">se solicitan todos los mapas de las rutas y derroteros que corren en el municipio de Valle de </w:t>
      </w:r>
      <w:proofErr w:type="spellStart"/>
      <w:r w:rsidRPr="00020228">
        <w:rPr>
          <w:b/>
          <w:u w:val="single"/>
          <w:lang w:val="es-ES"/>
        </w:rPr>
        <w:t>Ectapec</w:t>
      </w:r>
      <w:proofErr w:type="spellEnd"/>
      <w:r w:rsidRPr="00020228">
        <w:rPr>
          <w:b/>
          <w:u w:val="single"/>
          <w:lang w:val="es-ES"/>
        </w:rPr>
        <w:t xml:space="preserve"> y los que estas registrados en el Centro de Control de la Secretaría de Movilidad, con cuantas unidades brindan el servicio por derrotero y los mapas en el estado que estén no importa el formato</w:t>
      </w:r>
      <w:r>
        <w:rPr>
          <w:lang w:val="es-ES"/>
        </w:rPr>
        <w:t>”</w:t>
      </w:r>
      <w:r w:rsidRPr="70652167">
        <w:rPr>
          <w:lang w:val="es-ES"/>
        </w:rPr>
        <w:t xml:space="preserve"> (Sic)</w:t>
      </w:r>
    </w:p>
    <w:p w:rsidR="00B4444B" w:rsidRDefault="00B4444B" w:rsidP="00B4444B">
      <w:pPr>
        <w:spacing w:line="360" w:lineRule="auto"/>
        <w:jc w:val="both"/>
        <w:rPr>
          <w:rFonts w:ascii="Palatino Linotype" w:hAnsi="Palatino Linotype" w:cs="Arial"/>
          <w:lang w:val="en-US"/>
        </w:rPr>
      </w:pPr>
    </w:p>
    <w:p w:rsidR="00B4444B" w:rsidRDefault="00B4444B" w:rsidP="00B4444B">
      <w:pPr>
        <w:pStyle w:val="Prrafodelista"/>
        <w:spacing w:line="360" w:lineRule="auto"/>
        <w:ind w:left="0"/>
        <w:contextualSpacing/>
        <w:jc w:val="both"/>
        <w:rPr>
          <w:rFonts w:ascii="Palatino Linotype" w:hAnsi="Palatino Linotype"/>
          <w:color w:val="000000"/>
          <w:lang w:val="es-ES_tradnl"/>
        </w:rPr>
      </w:pPr>
      <w:r w:rsidRPr="005836DA">
        <w:rPr>
          <w:rFonts w:ascii="Palatino Linotype" w:hAnsi="Palatino Linotype"/>
          <w:color w:val="000000"/>
          <w:lang w:val="es-ES_tradnl"/>
        </w:rPr>
        <w:t xml:space="preserve">Ahora bien, en respuesta a </w:t>
      </w:r>
      <w:r>
        <w:rPr>
          <w:rFonts w:ascii="Palatino Linotype" w:hAnsi="Palatino Linotype"/>
          <w:color w:val="000000"/>
          <w:lang w:val="es-ES_tradnl"/>
        </w:rPr>
        <w:t>la solicitud de información formulada</w:t>
      </w:r>
      <w:r w:rsidRPr="005836DA">
        <w:rPr>
          <w:rFonts w:ascii="Palatino Linotype" w:hAnsi="Palatino Linotype"/>
          <w:color w:val="000000"/>
          <w:lang w:val="es-ES_tradnl"/>
        </w:rPr>
        <w:t xml:space="preserve"> por </w:t>
      </w:r>
      <w:r>
        <w:rPr>
          <w:rFonts w:ascii="Palatino Linotype" w:hAnsi="Palatino Linotype"/>
          <w:color w:val="000000"/>
          <w:lang w:val="es-ES_tradnl"/>
        </w:rPr>
        <w:t>la</w:t>
      </w:r>
      <w:r w:rsidRPr="005836DA">
        <w:rPr>
          <w:rFonts w:ascii="Palatino Linotype" w:hAnsi="Palatino Linotype"/>
          <w:color w:val="000000"/>
          <w:lang w:val="es-ES_tradnl"/>
        </w:rPr>
        <w:t xml:space="preserve"> particular, </w:t>
      </w:r>
      <w:r>
        <w:rPr>
          <w:rFonts w:ascii="Palatino Linotype" w:hAnsi="Palatino Linotype"/>
          <w:b/>
          <w:bCs/>
          <w:color w:val="000000"/>
          <w:lang w:val="es-ES_tradnl"/>
        </w:rPr>
        <w:t>El</w:t>
      </w:r>
      <w:r w:rsidRPr="005836DA">
        <w:rPr>
          <w:rFonts w:ascii="Palatino Linotype" w:hAnsi="Palatino Linotype"/>
          <w:color w:val="000000"/>
          <w:lang w:val="es-ES_tradnl"/>
        </w:rPr>
        <w:t xml:space="preserve"> </w:t>
      </w:r>
      <w:r>
        <w:rPr>
          <w:rFonts w:ascii="Palatino Linotype" w:hAnsi="Palatino Linotype"/>
          <w:b/>
          <w:color w:val="000000"/>
          <w:lang w:val="es-ES_tradnl"/>
        </w:rPr>
        <w:t>S</w:t>
      </w:r>
      <w:r w:rsidRPr="005836DA">
        <w:rPr>
          <w:rFonts w:ascii="Palatino Linotype" w:hAnsi="Palatino Linotype"/>
          <w:b/>
          <w:color w:val="000000"/>
          <w:lang w:val="es-ES_tradnl"/>
        </w:rPr>
        <w:t xml:space="preserve">ujeto </w:t>
      </w:r>
      <w:r>
        <w:rPr>
          <w:rFonts w:ascii="Palatino Linotype" w:hAnsi="Palatino Linotype"/>
          <w:b/>
          <w:color w:val="000000"/>
          <w:lang w:val="es-ES_tradnl"/>
        </w:rPr>
        <w:t>O</w:t>
      </w:r>
      <w:r w:rsidRPr="005836DA">
        <w:rPr>
          <w:rFonts w:ascii="Palatino Linotype" w:hAnsi="Palatino Linotype"/>
          <w:b/>
          <w:color w:val="000000"/>
          <w:lang w:val="es-ES_tradnl"/>
        </w:rPr>
        <w:t xml:space="preserve">bligado </w:t>
      </w:r>
      <w:r w:rsidRPr="005836DA">
        <w:rPr>
          <w:rFonts w:ascii="Palatino Linotype" w:hAnsi="Palatino Linotype"/>
          <w:color w:val="000000"/>
          <w:lang w:val="es-ES_tradnl"/>
        </w:rPr>
        <w:t xml:space="preserve">emitió su respuesta </w:t>
      </w:r>
      <w:r>
        <w:rPr>
          <w:rFonts w:ascii="Palatino Linotype" w:hAnsi="Palatino Linotype"/>
          <w:color w:val="000000"/>
          <w:lang w:val="es-ES_tradnl"/>
        </w:rPr>
        <w:t>en los siguientes términos:</w:t>
      </w:r>
    </w:p>
    <w:p w:rsidR="00CE6074" w:rsidRPr="00CE6074" w:rsidRDefault="00CE6074" w:rsidP="00CE6074">
      <w:pPr>
        <w:numPr>
          <w:ilvl w:val="0"/>
          <w:numId w:val="5"/>
        </w:numPr>
        <w:spacing w:line="360" w:lineRule="auto"/>
        <w:jc w:val="both"/>
        <w:rPr>
          <w:rFonts w:ascii="Palatino Linotype" w:eastAsia="Palatino Linotype" w:hAnsi="Palatino Linotype" w:cs="Palatino Linotype"/>
          <w:color w:val="000000"/>
        </w:rPr>
      </w:pPr>
      <w:r w:rsidRPr="00CE6074">
        <w:rPr>
          <w:rFonts w:ascii="Palatino Linotype" w:eastAsia="Palatino Linotype" w:hAnsi="Palatino Linotype" w:cs="Palatino Linotype"/>
          <w:b/>
          <w:bCs/>
          <w:color w:val="000000"/>
        </w:rPr>
        <w:lastRenderedPageBreak/>
        <w:t>Rutas y Derroteros DGMZIII (1).</w:t>
      </w:r>
      <w:proofErr w:type="spellStart"/>
      <w:r w:rsidRPr="00CE6074">
        <w:rPr>
          <w:rFonts w:ascii="Palatino Linotype" w:eastAsia="Palatino Linotype" w:hAnsi="Palatino Linotype" w:cs="Palatino Linotype"/>
          <w:b/>
          <w:bCs/>
          <w:color w:val="000000"/>
        </w:rPr>
        <w:t>xlsx</w:t>
      </w:r>
      <w:proofErr w:type="spellEnd"/>
      <w:r w:rsidRPr="00CE6074">
        <w:rPr>
          <w:rFonts w:ascii="Palatino Linotype" w:eastAsia="Palatino Linotype" w:hAnsi="Palatino Linotype" w:cs="Palatino Linotype"/>
          <w:bCs/>
          <w:color w:val="000000"/>
        </w:rPr>
        <w:t xml:space="preserve">: Consta de un documento en formato Excel en el </w:t>
      </w:r>
      <w:r w:rsidR="00020228" w:rsidRPr="00CE6074">
        <w:rPr>
          <w:rFonts w:ascii="Palatino Linotype" w:eastAsia="Palatino Linotype" w:hAnsi="Palatino Linotype" w:cs="Palatino Linotype"/>
          <w:bCs/>
          <w:color w:val="000000"/>
        </w:rPr>
        <w:t>que,</w:t>
      </w:r>
      <w:r w:rsidRPr="00CE6074">
        <w:rPr>
          <w:rFonts w:ascii="Palatino Linotype" w:eastAsia="Palatino Linotype" w:hAnsi="Palatino Linotype" w:cs="Palatino Linotype"/>
          <w:bCs/>
          <w:color w:val="000000"/>
        </w:rPr>
        <w:t xml:space="preserve"> en dos columnas, la primera consta del nombre de la empresa, mientras que la segunda contempla los derroteros, tal como se muestra en la siguiente imagen a manera de ejemplo.</w:t>
      </w:r>
    </w:p>
    <w:p w:rsidR="00CE6074" w:rsidRPr="00CE6074" w:rsidRDefault="00CE6074" w:rsidP="00020228">
      <w:pPr>
        <w:spacing w:line="360" w:lineRule="auto"/>
        <w:ind w:left="284"/>
        <w:jc w:val="center"/>
        <w:rPr>
          <w:rFonts w:ascii="Palatino Linotype" w:eastAsia="Palatino Linotype" w:hAnsi="Palatino Linotype" w:cs="Palatino Linotype"/>
          <w:color w:val="000000"/>
        </w:rPr>
      </w:pPr>
      <w:r w:rsidRPr="00CE6074">
        <w:rPr>
          <w:rFonts w:ascii="Palatino Linotype" w:eastAsia="Palatino Linotype" w:hAnsi="Palatino Linotype" w:cs="Palatino Linotype"/>
          <w:noProof/>
          <w:color w:val="000000"/>
          <w:lang w:val="es-MX" w:eastAsia="es-MX"/>
        </w:rPr>
        <w:drawing>
          <wp:inline distT="0" distB="0" distL="0" distR="0" wp14:anchorId="38B1F60A" wp14:editId="1E38C2B7">
            <wp:extent cx="3743207" cy="2124075"/>
            <wp:effectExtent l="190500" t="190500" r="181610" b="1809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4548" cy="2136185"/>
                    </a:xfrm>
                    <a:prstGeom prst="rect">
                      <a:avLst/>
                    </a:prstGeom>
                    <a:ln>
                      <a:noFill/>
                    </a:ln>
                    <a:effectLst>
                      <a:outerShdw blurRad="190500" algn="tl" rotWithShape="0">
                        <a:srgbClr val="000000">
                          <a:alpha val="70000"/>
                        </a:srgbClr>
                      </a:outerShdw>
                    </a:effectLst>
                  </pic:spPr>
                </pic:pic>
              </a:graphicData>
            </a:graphic>
          </wp:inline>
        </w:drawing>
      </w:r>
    </w:p>
    <w:p w:rsidR="00CE6074" w:rsidRPr="00CE6074" w:rsidRDefault="00CE6074" w:rsidP="00CE6074">
      <w:pPr>
        <w:numPr>
          <w:ilvl w:val="0"/>
          <w:numId w:val="5"/>
        </w:numPr>
        <w:spacing w:line="360" w:lineRule="auto"/>
        <w:jc w:val="both"/>
        <w:rPr>
          <w:rFonts w:ascii="Palatino Linotype" w:eastAsia="Palatino Linotype" w:hAnsi="Palatino Linotype" w:cs="Palatino Linotype"/>
          <w:color w:val="000000"/>
        </w:rPr>
      </w:pPr>
      <w:r w:rsidRPr="00CE6074">
        <w:rPr>
          <w:rFonts w:ascii="Palatino Linotype" w:eastAsia="Palatino Linotype" w:hAnsi="Palatino Linotype" w:cs="Palatino Linotype"/>
          <w:b/>
          <w:bCs/>
          <w:color w:val="000000"/>
        </w:rPr>
        <w:t>Respuesta a solicitud 885.pdf:</w:t>
      </w:r>
      <w:r w:rsidRPr="00CE6074">
        <w:rPr>
          <w:rFonts w:ascii="Palatino Linotype" w:eastAsia="Palatino Linotype" w:hAnsi="Palatino Linotype" w:cs="Palatino Linotype"/>
          <w:bCs/>
          <w:color w:val="000000"/>
          <w:lang w:val="es-ES_tradnl"/>
        </w:rPr>
        <w:t xml:space="preserve"> Consta de un documento remitido por el Titular de la Unidad de Transparencia de la Secretaría de Movilidad, mediante el cual las diversas áreas competentes dan respuesta a la solicitud de información conforme a lo siguiente:</w:t>
      </w:r>
    </w:p>
    <w:p w:rsidR="00CE6074" w:rsidRPr="00CE6074" w:rsidRDefault="00CE6074" w:rsidP="00020228">
      <w:pPr>
        <w:numPr>
          <w:ilvl w:val="0"/>
          <w:numId w:val="6"/>
        </w:numPr>
        <w:spacing w:line="360" w:lineRule="auto"/>
        <w:ind w:left="709" w:hanging="295"/>
        <w:jc w:val="both"/>
        <w:rPr>
          <w:rFonts w:ascii="Palatino Linotype" w:eastAsia="Palatino Linotype" w:hAnsi="Palatino Linotype" w:cs="Palatino Linotype"/>
          <w:color w:val="000000"/>
        </w:rPr>
      </w:pPr>
      <w:r w:rsidRPr="00CE6074">
        <w:rPr>
          <w:rFonts w:ascii="Palatino Linotype" w:eastAsia="Palatino Linotype" w:hAnsi="Palatino Linotype" w:cs="Palatino Linotype"/>
          <w:b/>
          <w:color w:val="000000"/>
        </w:rPr>
        <w:t>Coordinación de Informática</w:t>
      </w:r>
      <w:r w:rsidRPr="00CE6074">
        <w:rPr>
          <w:rFonts w:ascii="Palatino Linotype" w:eastAsia="Palatino Linotype" w:hAnsi="Palatino Linotype" w:cs="Palatino Linotype"/>
          <w:color w:val="000000"/>
        </w:rPr>
        <w:t>: refiere que no cuenta con facultades relativas a la petición, sin embargo, se informa que realizó una búsqueda encontrando 851 unidades registradas en el centro de control de la secretaría de movilidad.</w:t>
      </w:r>
    </w:p>
    <w:p w:rsidR="00CE6074" w:rsidRPr="00CE6074" w:rsidRDefault="00CE6074" w:rsidP="00020228">
      <w:pPr>
        <w:numPr>
          <w:ilvl w:val="0"/>
          <w:numId w:val="6"/>
        </w:numPr>
        <w:spacing w:line="360" w:lineRule="auto"/>
        <w:ind w:left="709" w:hanging="295"/>
        <w:jc w:val="both"/>
        <w:rPr>
          <w:rFonts w:ascii="Palatino Linotype" w:eastAsia="Palatino Linotype" w:hAnsi="Palatino Linotype" w:cs="Palatino Linotype"/>
          <w:color w:val="000000"/>
        </w:rPr>
      </w:pPr>
      <w:r w:rsidRPr="00CE6074">
        <w:rPr>
          <w:rFonts w:ascii="Palatino Linotype" w:eastAsia="Palatino Linotype" w:hAnsi="Palatino Linotype" w:cs="Palatino Linotype"/>
          <w:b/>
          <w:color w:val="000000"/>
        </w:rPr>
        <w:t>Dirección General de Movilidad de Zona II</w:t>
      </w:r>
      <w:r w:rsidRPr="00CE6074">
        <w:rPr>
          <w:rFonts w:ascii="Palatino Linotype" w:eastAsia="Palatino Linotype" w:hAnsi="Palatino Linotype" w:cs="Palatino Linotype"/>
          <w:color w:val="000000"/>
        </w:rPr>
        <w:t xml:space="preserve">: Refiere que después de la búsqueda exhaustiva se hace entrega de un documento que contempla los </w:t>
      </w:r>
      <w:r w:rsidR="00020228" w:rsidRPr="00CE6074">
        <w:rPr>
          <w:rFonts w:ascii="Palatino Linotype" w:eastAsia="Palatino Linotype" w:hAnsi="Palatino Linotype" w:cs="Palatino Linotype"/>
          <w:color w:val="000000"/>
        </w:rPr>
        <w:t>derroteros de</w:t>
      </w:r>
      <w:r w:rsidRPr="00CE6074">
        <w:rPr>
          <w:rFonts w:ascii="Palatino Linotype" w:eastAsia="Palatino Linotype" w:hAnsi="Palatino Linotype" w:cs="Palatino Linotype"/>
          <w:color w:val="000000"/>
        </w:rPr>
        <w:t xml:space="preserve"> los que la Unidad Administrativa tiene conocimiento en los cuales se indica el nombre de la empresa que lo presta y el origen-destino. Referente a los mapas en cualquier formato, no se localizó dicha información, asimismo, </w:t>
      </w:r>
      <w:r w:rsidRPr="00CE6074">
        <w:rPr>
          <w:rFonts w:ascii="Palatino Linotype" w:eastAsia="Palatino Linotype" w:hAnsi="Palatino Linotype" w:cs="Palatino Linotype"/>
          <w:color w:val="000000"/>
        </w:rPr>
        <w:lastRenderedPageBreak/>
        <w:t>aclara que no tiene atribuciones para generar, resguardar o solicitar la información referida. Ahora bien, relativo a la cantidad de unidades que prestan el servicio por derrotero, refiere que después de una búsqueda, no se localizó dicha información; aunado a lo anterior, refiere que la unidad administrativa no tiene atribuciones de contar con mapas de todas las rutas que circulen en el municipio o circunscripción territorial referida, ni de manipular, controlar, resguardar u operar el Centro de Control de la Secretaría de Movilidad; tampoco de conocer el número total de unidades por empresa concesionaria que presten el servicio en cada derrotero, para lo cual trascribe el artículo 12 del Reglamento Interior de la Secretaría de Movilidad, con la finalidad de dar a conocer punto por punto las atribuciones.</w:t>
      </w:r>
    </w:p>
    <w:p w:rsidR="00CE6074" w:rsidRPr="00CE6074" w:rsidRDefault="00CE6074" w:rsidP="00020228">
      <w:pPr>
        <w:numPr>
          <w:ilvl w:val="0"/>
          <w:numId w:val="6"/>
        </w:numPr>
        <w:spacing w:line="360" w:lineRule="auto"/>
        <w:ind w:left="709" w:hanging="295"/>
        <w:jc w:val="both"/>
        <w:rPr>
          <w:rFonts w:ascii="Palatino Linotype" w:eastAsia="Palatino Linotype" w:hAnsi="Palatino Linotype" w:cs="Palatino Linotype"/>
          <w:color w:val="000000"/>
        </w:rPr>
      </w:pPr>
      <w:r w:rsidRPr="00CE6074">
        <w:rPr>
          <w:rFonts w:ascii="Palatino Linotype" w:eastAsia="Palatino Linotype" w:hAnsi="Palatino Linotype" w:cs="Palatino Linotype"/>
          <w:b/>
          <w:color w:val="000000"/>
        </w:rPr>
        <w:t>Dirección del Registro Estatal de Transporte Público</w:t>
      </w:r>
      <w:r w:rsidRPr="00CE6074">
        <w:rPr>
          <w:rFonts w:ascii="Palatino Linotype" w:eastAsia="Palatino Linotype" w:hAnsi="Palatino Linotype" w:cs="Palatino Linotype"/>
          <w:color w:val="000000"/>
        </w:rPr>
        <w:t xml:space="preserve">: Refiere medularmente que dicha unidad administrativa no cuenta con atribuciones para suscribir los documentos para su debida autorización, por </w:t>
      </w:r>
      <w:r w:rsidR="00020228" w:rsidRPr="00CE6074">
        <w:rPr>
          <w:rFonts w:ascii="Palatino Linotype" w:eastAsia="Palatino Linotype" w:hAnsi="Palatino Linotype" w:cs="Palatino Linotype"/>
          <w:color w:val="000000"/>
        </w:rPr>
        <w:t>ende,</w:t>
      </w:r>
      <w:r w:rsidRPr="00CE6074">
        <w:rPr>
          <w:rFonts w:ascii="Palatino Linotype" w:eastAsia="Palatino Linotype" w:hAnsi="Palatino Linotype" w:cs="Palatino Linotype"/>
          <w:color w:val="000000"/>
        </w:rPr>
        <w:t xml:space="preserve"> no genera documentos para tales efectos. </w:t>
      </w:r>
    </w:p>
    <w:p w:rsidR="00CE6074" w:rsidRDefault="00CE6074" w:rsidP="00B4444B">
      <w:pPr>
        <w:pStyle w:val="Prrafodelista"/>
        <w:spacing w:line="360" w:lineRule="auto"/>
        <w:ind w:left="0"/>
        <w:contextualSpacing/>
        <w:jc w:val="both"/>
        <w:rPr>
          <w:rFonts w:ascii="Palatino Linotype" w:hAnsi="Palatino Linotype"/>
          <w:iCs/>
        </w:rPr>
      </w:pPr>
    </w:p>
    <w:p w:rsidR="00B4444B" w:rsidRPr="00996BE9" w:rsidRDefault="00B4444B" w:rsidP="00B4444B">
      <w:pPr>
        <w:spacing w:line="360" w:lineRule="auto"/>
        <w:jc w:val="both"/>
        <w:rPr>
          <w:rFonts w:ascii="Palatino Linotype" w:hAnsi="Palatino Linotype" w:cs="Arial"/>
        </w:rPr>
      </w:pPr>
      <w:r w:rsidRPr="00996BE9">
        <w:rPr>
          <w:rFonts w:ascii="Palatino Linotype" w:hAnsi="Palatino Linotype" w:cs="Arial"/>
        </w:rPr>
        <w:t>En ese orden de ideas, debemos recordar el contenido del artículo 12 de la Ley de Transparencia local, que establece lo siguiente:</w:t>
      </w:r>
    </w:p>
    <w:p w:rsidR="00B4444B" w:rsidRPr="00996BE9" w:rsidRDefault="00B4444B" w:rsidP="00B4444B">
      <w:pPr>
        <w:spacing w:line="360" w:lineRule="auto"/>
        <w:jc w:val="both"/>
        <w:rPr>
          <w:rFonts w:ascii="Palatino Linotype" w:hAnsi="Palatino Linotype" w:cs="Arial"/>
        </w:rPr>
      </w:pPr>
    </w:p>
    <w:p w:rsidR="00B4444B" w:rsidRPr="00996BE9" w:rsidRDefault="00B4444B" w:rsidP="00B4444B">
      <w:pPr>
        <w:spacing w:line="276" w:lineRule="auto"/>
        <w:ind w:left="567" w:right="616"/>
        <w:jc w:val="both"/>
        <w:rPr>
          <w:rFonts w:ascii="Palatino Linotype" w:hAnsi="Palatino Linotype" w:cs="Arial"/>
          <w:i/>
          <w:sz w:val="22"/>
        </w:rPr>
      </w:pPr>
      <w:r w:rsidRPr="00996BE9">
        <w:rPr>
          <w:rFonts w:ascii="Palatino Linotype" w:hAnsi="Palatino Linotype" w:cs="Arial"/>
          <w:i/>
          <w:sz w:val="22"/>
        </w:rPr>
        <w:t>“</w:t>
      </w:r>
      <w:r w:rsidRPr="00996BE9">
        <w:rPr>
          <w:rFonts w:ascii="Palatino Linotype" w:hAnsi="Palatino Linotype" w:cs="Arial"/>
          <w:b/>
          <w:i/>
          <w:sz w:val="22"/>
        </w:rPr>
        <w:t>Artículo 12.</w:t>
      </w:r>
      <w:r w:rsidRPr="00996BE9">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w:t>
      </w:r>
    </w:p>
    <w:p w:rsidR="00B4444B" w:rsidRPr="00996BE9" w:rsidRDefault="00B4444B" w:rsidP="00B4444B">
      <w:pPr>
        <w:spacing w:line="276" w:lineRule="auto"/>
        <w:ind w:left="567" w:right="616"/>
        <w:jc w:val="both"/>
        <w:rPr>
          <w:rFonts w:ascii="Palatino Linotype" w:hAnsi="Palatino Linotype" w:cs="Arial"/>
          <w:i/>
          <w:sz w:val="22"/>
        </w:rPr>
      </w:pPr>
      <w:r w:rsidRPr="00996BE9">
        <w:rPr>
          <w:rFonts w:ascii="Palatino Linotype" w:hAnsi="Palatino Linotype" w:cs="Arial"/>
          <w:i/>
          <w:sz w:val="22"/>
          <w:u w:val="single"/>
        </w:rPr>
        <w:t>Los sujetos obligados sólo proporcionarán la información pública que se les requiera y que obre en sus archivos y en el estado en que ésta se encuentre.</w:t>
      </w:r>
      <w:r w:rsidRPr="00996BE9">
        <w:rPr>
          <w:rFonts w:ascii="Palatino Linotype" w:hAnsi="Palatino Linotype" w:cs="Arial"/>
          <w:i/>
          <w:sz w:val="22"/>
        </w:rPr>
        <w:t xml:space="preserve"> La obligación de proporcionar información no comprende el procesamiento de la misma, ni el presentarla conforme al interés del solicitante; no estarán obligados a generarla, resumirla, efectuar cálculos o practicar investigaciones.” </w:t>
      </w:r>
    </w:p>
    <w:p w:rsidR="00B4444B" w:rsidRPr="00996BE9" w:rsidRDefault="00B4444B" w:rsidP="00B4444B">
      <w:pPr>
        <w:spacing w:line="276" w:lineRule="auto"/>
        <w:ind w:left="567" w:right="616"/>
        <w:jc w:val="both"/>
        <w:rPr>
          <w:rFonts w:ascii="Palatino Linotype" w:hAnsi="Palatino Linotype" w:cs="Arial"/>
          <w:i/>
          <w:sz w:val="22"/>
        </w:rPr>
      </w:pPr>
    </w:p>
    <w:p w:rsidR="00B4444B" w:rsidRPr="00996BE9" w:rsidRDefault="00B4444B" w:rsidP="00B4444B">
      <w:pPr>
        <w:spacing w:line="276" w:lineRule="auto"/>
        <w:ind w:left="567" w:right="616"/>
        <w:jc w:val="right"/>
        <w:rPr>
          <w:rFonts w:ascii="Palatino Linotype" w:hAnsi="Palatino Linotype" w:cs="Arial"/>
          <w:sz w:val="22"/>
        </w:rPr>
      </w:pPr>
      <w:r w:rsidRPr="00996BE9">
        <w:rPr>
          <w:rFonts w:ascii="Palatino Linotype" w:hAnsi="Palatino Linotype" w:cs="Arial"/>
          <w:sz w:val="22"/>
        </w:rPr>
        <w:t>(Énfasis añadido)</w:t>
      </w:r>
    </w:p>
    <w:p w:rsidR="00B4444B" w:rsidRDefault="00B4444B" w:rsidP="00B4444B">
      <w:pPr>
        <w:spacing w:line="360" w:lineRule="auto"/>
        <w:jc w:val="both"/>
        <w:rPr>
          <w:rFonts w:ascii="Palatino Linotype" w:hAnsi="Palatino Linotype" w:cs="Arial"/>
        </w:rPr>
      </w:pPr>
    </w:p>
    <w:p w:rsidR="00B4444B" w:rsidRPr="00996BE9" w:rsidRDefault="00B4444B" w:rsidP="00B4444B">
      <w:pPr>
        <w:spacing w:line="360" w:lineRule="auto"/>
        <w:jc w:val="both"/>
        <w:rPr>
          <w:rFonts w:ascii="Palatino Linotype" w:hAnsi="Palatino Linotype" w:cs="Arial"/>
          <w:b/>
        </w:rPr>
      </w:pPr>
      <w:r w:rsidRPr="00996BE9">
        <w:rPr>
          <w:rFonts w:ascii="Palatino Linotype" w:hAnsi="Palatino Linotype" w:cs="Arial"/>
        </w:rPr>
        <w:t>Orden normativo que consagra la obligación de los Sujeto Obligados de hacer entrega de la información que se les requiera y que obre en sus archivos</w:t>
      </w:r>
      <w:r>
        <w:rPr>
          <w:rFonts w:ascii="Palatino Linotype" w:hAnsi="Palatino Linotype" w:cs="Arial"/>
        </w:rPr>
        <w:t xml:space="preserve"> </w:t>
      </w:r>
      <w:r w:rsidRPr="00FC7CA0">
        <w:rPr>
          <w:rFonts w:ascii="Palatino Linotype" w:hAnsi="Palatino Linotype" w:cs="Arial"/>
        </w:rPr>
        <w:t>en el estado en que ésta se encuentre</w:t>
      </w:r>
      <w:r>
        <w:rPr>
          <w:rFonts w:ascii="Palatino Linotype" w:hAnsi="Palatino Linotype" w:cs="Arial"/>
        </w:rPr>
        <w:t>, sin que comprenda</w:t>
      </w:r>
      <w:r w:rsidRPr="00FC7CA0">
        <w:rPr>
          <w:rFonts w:ascii="Palatino Linotype" w:hAnsi="Palatino Linotype" w:cs="Arial"/>
        </w:rPr>
        <w:t xml:space="preserve"> el procesamiento de la misma, ni el presentarla conforme al interés del solicitante</w:t>
      </w:r>
      <w:r>
        <w:rPr>
          <w:rFonts w:ascii="Palatino Linotype" w:hAnsi="Palatino Linotype" w:cs="Arial"/>
        </w:rPr>
        <w:t>.</w:t>
      </w:r>
    </w:p>
    <w:p w:rsidR="00B4444B" w:rsidRPr="00996BE9" w:rsidRDefault="00B4444B" w:rsidP="00B4444B">
      <w:pPr>
        <w:tabs>
          <w:tab w:val="left" w:pos="709"/>
        </w:tabs>
        <w:spacing w:line="360" w:lineRule="auto"/>
        <w:jc w:val="both"/>
        <w:rPr>
          <w:rFonts w:ascii="Palatino Linotype" w:eastAsiaTheme="minorHAnsi" w:hAnsi="Palatino Linotype" w:cs="Arial"/>
          <w:b/>
          <w:lang w:val="es-MX" w:eastAsia="en-US"/>
        </w:rPr>
      </w:pPr>
    </w:p>
    <w:p w:rsidR="00020228" w:rsidRPr="00020228" w:rsidRDefault="00B4444B" w:rsidP="00020228">
      <w:pPr>
        <w:spacing w:line="360" w:lineRule="auto"/>
        <w:jc w:val="both"/>
        <w:rPr>
          <w:rFonts w:ascii="Palatino Linotype" w:hAnsi="Palatino Linotype"/>
          <w:b/>
          <w:bCs/>
          <w:i/>
          <w:caps/>
          <w:highlight w:val="yellow"/>
        </w:rPr>
      </w:pPr>
      <w:r w:rsidRPr="00020228">
        <w:rPr>
          <w:rFonts w:ascii="Palatino Linotype" w:hAnsi="Palatino Linotype"/>
          <w:bCs/>
          <w:highlight w:val="yellow"/>
          <w:lang w:val="es-MX"/>
        </w:rPr>
        <w:t xml:space="preserve">Ahora bien, </w:t>
      </w:r>
      <w:r w:rsidRPr="00020228">
        <w:rPr>
          <w:rFonts w:ascii="Palatino Linotype" w:hAnsi="Palatino Linotype"/>
          <w:bCs/>
          <w:highlight w:val="yellow"/>
        </w:rPr>
        <w:t xml:space="preserve">inconforme con la respuesta proporcionada, el </w:t>
      </w:r>
      <w:r w:rsidRPr="00020228">
        <w:rPr>
          <w:rFonts w:ascii="Palatino Linotype" w:hAnsi="Palatino Linotype"/>
          <w:b/>
          <w:bCs/>
          <w:highlight w:val="yellow"/>
        </w:rPr>
        <w:t>Recurrente</w:t>
      </w:r>
      <w:r w:rsidRPr="00020228">
        <w:rPr>
          <w:rFonts w:ascii="Palatino Linotype" w:hAnsi="Palatino Linotype"/>
          <w:bCs/>
          <w:highlight w:val="yellow"/>
        </w:rPr>
        <w:t xml:space="preserve"> interpone el presente recurso de revisión, señalando objetivamente como acto impugnado y razo</w:t>
      </w:r>
      <w:r w:rsidR="00020228" w:rsidRPr="00020228">
        <w:rPr>
          <w:rFonts w:ascii="Palatino Linotype" w:hAnsi="Palatino Linotype"/>
          <w:bCs/>
          <w:highlight w:val="yellow"/>
        </w:rPr>
        <w:t xml:space="preserve">nes o motivos de inconformidad </w:t>
      </w:r>
      <w:r w:rsidR="00020228" w:rsidRPr="00020228">
        <w:rPr>
          <w:rFonts w:ascii="Palatino Linotype" w:hAnsi="Palatino Linotype"/>
          <w:b/>
          <w:bCs/>
          <w:i/>
          <w:caps/>
          <w:highlight w:val="yellow"/>
        </w:rPr>
        <w:t>“</w:t>
      </w:r>
      <w:r w:rsidR="00020228" w:rsidRPr="00020228">
        <w:rPr>
          <w:rFonts w:ascii="Palatino Linotype" w:hAnsi="Palatino Linotype"/>
          <w:b/>
          <w:bCs/>
          <w:i/>
          <w:caps/>
          <w:highlight w:val="yellow"/>
          <w:u w:val="single"/>
          <w:lang w:val="es-ES_tradnl"/>
        </w:rPr>
        <w:t>No es lo que se solicito ese no es el programa de mejoramiento por que no hacen la inexistente por no cumplir con su trabajo</w:t>
      </w:r>
      <w:r w:rsidR="00020228" w:rsidRPr="00020228">
        <w:rPr>
          <w:rFonts w:ascii="Palatino Linotype" w:hAnsi="Palatino Linotype"/>
          <w:b/>
          <w:bCs/>
          <w:i/>
          <w:caps/>
          <w:highlight w:val="yellow"/>
          <w:lang w:val="es-ES_tradnl"/>
        </w:rPr>
        <w:t>”</w:t>
      </w:r>
      <w:r w:rsidR="00020228" w:rsidRPr="00020228">
        <w:rPr>
          <w:rFonts w:ascii="Palatino Linotype" w:hAnsi="Palatino Linotype"/>
          <w:b/>
          <w:bCs/>
          <w:i/>
          <w:caps/>
          <w:highlight w:val="yellow"/>
        </w:rPr>
        <w:t xml:space="preserve"> (Sic)</w:t>
      </w:r>
    </w:p>
    <w:p w:rsidR="00B4444B" w:rsidRPr="00020228" w:rsidRDefault="00B4444B" w:rsidP="00B4444B">
      <w:pPr>
        <w:spacing w:line="360" w:lineRule="auto"/>
        <w:jc w:val="both"/>
        <w:rPr>
          <w:rFonts w:ascii="Palatino Linotype" w:hAnsi="Palatino Linotype"/>
          <w:bCs/>
          <w:highlight w:val="yellow"/>
        </w:rPr>
      </w:pPr>
    </w:p>
    <w:p w:rsidR="00B4444B" w:rsidRPr="00020228" w:rsidRDefault="00B4444B" w:rsidP="00B4444B">
      <w:pPr>
        <w:spacing w:line="360" w:lineRule="auto"/>
        <w:jc w:val="both"/>
        <w:rPr>
          <w:rFonts w:ascii="Palatino Linotype" w:hAnsi="Palatino Linotype"/>
          <w:bCs/>
          <w:i/>
          <w:highlight w:val="yellow"/>
        </w:rPr>
      </w:pPr>
      <w:r w:rsidRPr="00020228">
        <w:rPr>
          <w:rFonts w:ascii="Palatino Linotype" w:hAnsi="Palatino Linotype"/>
          <w:bCs/>
          <w:highlight w:val="yellow"/>
        </w:rPr>
        <w:t>Ante ello se destaca que dichos señalamientos resultan improcedentes para la interposición del recurso de revisión, ello con base en la fracción III del artículo 191 de la citada Ley de Transparencia Local, que consagra:</w:t>
      </w:r>
    </w:p>
    <w:p w:rsidR="00B4444B" w:rsidRPr="00020228" w:rsidRDefault="00B4444B" w:rsidP="00B4444B">
      <w:pPr>
        <w:spacing w:line="360" w:lineRule="auto"/>
        <w:jc w:val="both"/>
        <w:rPr>
          <w:rFonts w:ascii="Palatino Linotype" w:hAnsi="Palatino Linotype"/>
          <w:bCs/>
          <w:highlight w:val="yellow"/>
        </w:rPr>
      </w:pPr>
    </w:p>
    <w:p w:rsidR="00B4444B" w:rsidRPr="00020228" w:rsidRDefault="00B4444B" w:rsidP="00B4444B">
      <w:pPr>
        <w:pStyle w:val="Citas"/>
        <w:rPr>
          <w:highlight w:val="yellow"/>
        </w:rPr>
      </w:pPr>
      <w:r w:rsidRPr="00020228">
        <w:rPr>
          <w:highlight w:val="yellow"/>
        </w:rPr>
        <w:t xml:space="preserve">“Artículo 191. El recurso será desechado por improcedente cuando: </w:t>
      </w:r>
      <w:r w:rsidRPr="00020228">
        <w:rPr>
          <w:highlight w:val="yellow"/>
        </w:rPr>
        <w:tab/>
      </w:r>
    </w:p>
    <w:p w:rsidR="00B4444B" w:rsidRPr="00020228" w:rsidRDefault="00B4444B" w:rsidP="00B4444B">
      <w:pPr>
        <w:pStyle w:val="Citas"/>
        <w:numPr>
          <w:ilvl w:val="0"/>
          <w:numId w:val="2"/>
        </w:numPr>
        <w:rPr>
          <w:rFonts w:cs="Times New Roman"/>
          <w:highlight w:val="yellow"/>
          <w:lang w:val="es-ES" w:eastAsia="es-ES"/>
        </w:rPr>
      </w:pPr>
      <w:r w:rsidRPr="00020228">
        <w:rPr>
          <w:rFonts w:cs="Times New Roman"/>
          <w:highlight w:val="yellow"/>
          <w:lang w:val="es-ES" w:eastAsia="es-ES"/>
        </w:rPr>
        <w:t xml:space="preserve">Sea extemporáneo por haber transcurrido el plazo establecido en la presente Ley, a partir de la respuesta; </w:t>
      </w:r>
    </w:p>
    <w:p w:rsidR="00B4444B" w:rsidRPr="00020228" w:rsidRDefault="00B4444B" w:rsidP="00B4444B">
      <w:pPr>
        <w:pStyle w:val="Citas"/>
        <w:numPr>
          <w:ilvl w:val="0"/>
          <w:numId w:val="2"/>
        </w:numPr>
        <w:rPr>
          <w:highlight w:val="yellow"/>
          <w:lang w:val="es-ES" w:eastAsia="es-ES"/>
        </w:rPr>
      </w:pPr>
      <w:r w:rsidRPr="00020228">
        <w:rPr>
          <w:rFonts w:cs="Times New Roman"/>
          <w:highlight w:val="yellow"/>
          <w:lang w:val="es-ES" w:eastAsia="es-ES"/>
        </w:rPr>
        <w:t xml:space="preserve">Se esté tramitando ante el Poder Judicial de la Federación algún recurso o medio de defensa interpuesto por el recurrente; </w:t>
      </w:r>
    </w:p>
    <w:p w:rsidR="00B4444B" w:rsidRPr="00020228" w:rsidRDefault="00B4444B" w:rsidP="00B4444B">
      <w:pPr>
        <w:pStyle w:val="Citas"/>
        <w:numPr>
          <w:ilvl w:val="0"/>
          <w:numId w:val="2"/>
        </w:numPr>
        <w:rPr>
          <w:b/>
          <w:highlight w:val="yellow"/>
          <w:u w:val="single"/>
          <w:lang w:val="es-ES" w:eastAsia="es-ES"/>
        </w:rPr>
      </w:pPr>
      <w:r w:rsidRPr="00020228">
        <w:rPr>
          <w:rFonts w:cs="Times New Roman"/>
          <w:b/>
          <w:highlight w:val="yellow"/>
          <w:u w:val="single"/>
          <w:lang w:val="es-ES" w:eastAsia="es-ES"/>
        </w:rPr>
        <w:t xml:space="preserve">No actualice alguno de los supuestos previstos en la presente Ley; </w:t>
      </w:r>
    </w:p>
    <w:p w:rsidR="00B4444B" w:rsidRPr="00020228" w:rsidRDefault="00B4444B" w:rsidP="00B4444B">
      <w:pPr>
        <w:pStyle w:val="Citas"/>
        <w:numPr>
          <w:ilvl w:val="0"/>
          <w:numId w:val="2"/>
        </w:numPr>
        <w:rPr>
          <w:highlight w:val="yellow"/>
          <w:lang w:val="es-ES" w:eastAsia="es-ES"/>
        </w:rPr>
      </w:pPr>
      <w:r w:rsidRPr="00020228">
        <w:rPr>
          <w:rFonts w:cs="Times New Roman"/>
          <w:highlight w:val="yellow"/>
          <w:lang w:val="es-ES" w:eastAsia="es-ES"/>
        </w:rPr>
        <w:lastRenderedPageBreak/>
        <w:t xml:space="preserve">No se haya desahogado la prevención en los términos establecidos en la presente Ley; </w:t>
      </w:r>
    </w:p>
    <w:p w:rsidR="00B4444B" w:rsidRPr="00020228" w:rsidRDefault="00B4444B" w:rsidP="00B4444B">
      <w:pPr>
        <w:pStyle w:val="Citas"/>
        <w:numPr>
          <w:ilvl w:val="0"/>
          <w:numId w:val="2"/>
        </w:numPr>
        <w:rPr>
          <w:highlight w:val="yellow"/>
          <w:lang w:val="es-ES" w:eastAsia="es-ES"/>
        </w:rPr>
      </w:pPr>
      <w:r w:rsidRPr="00020228">
        <w:rPr>
          <w:rFonts w:cs="Times New Roman"/>
          <w:highlight w:val="yellow"/>
          <w:lang w:val="es-ES" w:eastAsia="es-ES"/>
        </w:rPr>
        <w:t xml:space="preserve">Se impugne la veracidad de la información proporcionada; </w:t>
      </w:r>
    </w:p>
    <w:p w:rsidR="00B4444B" w:rsidRPr="00020228" w:rsidRDefault="00B4444B" w:rsidP="00B4444B">
      <w:pPr>
        <w:pStyle w:val="Citas"/>
        <w:numPr>
          <w:ilvl w:val="0"/>
          <w:numId w:val="2"/>
        </w:numPr>
        <w:rPr>
          <w:bCs/>
          <w:highlight w:val="yellow"/>
          <w:lang w:val="es-ES" w:eastAsia="es-ES"/>
        </w:rPr>
      </w:pPr>
      <w:r w:rsidRPr="00020228">
        <w:rPr>
          <w:rFonts w:cs="Times New Roman"/>
          <w:bCs/>
          <w:highlight w:val="yellow"/>
          <w:lang w:val="es-ES" w:eastAsia="es-ES"/>
        </w:rPr>
        <w:t xml:space="preserve">Se trate de una consulta, o trámite en específico; y </w:t>
      </w:r>
    </w:p>
    <w:p w:rsidR="00B4444B" w:rsidRPr="00020228" w:rsidRDefault="00B4444B" w:rsidP="00B4444B">
      <w:pPr>
        <w:pStyle w:val="Citas"/>
        <w:numPr>
          <w:ilvl w:val="0"/>
          <w:numId w:val="2"/>
        </w:numPr>
        <w:rPr>
          <w:highlight w:val="yellow"/>
          <w:lang w:val="es-ES" w:eastAsia="es-ES"/>
        </w:rPr>
      </w:pPr>
      <w:r w:rsidRPr="00020228">
        <w:rPr>
          <w:rFonts w:cs="Times New Roman"/>
          <w:highlight w:val="yellow"/>
          <w:lang w:val="es-ES" w:eastAsia="es-ES"/>
        </w:rPr>
        <w:t xml:space="preserve">El recurrente amplíe su solicitud en el recurso de revisión, únicamente respecto de los nuevos contenidos.” </w:t>
      </w:r>
      <w:r w:rsidRPr="00020228">
        <w:rPr>
          <w:rFonts w:cs="Times New Roman"/>
          <w:b/>
          <w:bCs/>
          <w:highlight w:val="yellow"/>
          <w:lang w:val="es-ES" w:eastAsia="es-ES"/>
        </w:rPr>
        <w:t>(Sic)</w:t>
      </w:r>
    </w:p>
    <w:p w:rsidR="00B4444B" w:rsidRPr="00020228" w:rsidRDefault="00B4444B" w:rsidP="00B4444B">
      <w:pPr>
        <w:spacing w:line="360" w:lineRule="auto"/>
        <w:jc w:val="both"/>
        <w:rPr>
          <w:rFonts w:ascii="Palatino Linotype" w:hAnsi="Palatino Linotype"/>
          <w:bCs/>
          <w:highlight w:val="yellow"/>
        </w:rPr>
      </w:pPr>
    </w:p>
    <w:p w:rsidR="00B4444B" w:rsidRPr="00020228" w:rsidRDefault="00B4444B" w:rsidP="00B4444B">
      <w:pPr>
        <w:spacing w:line="360" w:lineRule="auto"/>
        <w:jc w:val="both"/>
        <w:rPr>
          <w:rFonts w:ascii="Palatino Linotype" w:hAnsi="Palatino Linotype"/>
          <w:bCs/>
          <w:highlight w:val="yellow"/>
        </w:rPr>
      </w:pPr>
    </w:p>
    <w:p w:rsidR="00B4444B" w:rsidRPr="00020228" w:rsidRDefault="00B4444B" w:rsidP="00B4444B">
      <w:pPr>
        <w:spacing w:line="360" w:lineRule="auto"/>
        <w:jc w:val="both"/>
        <w:rPr>
          <w:rFonts w:ascii="Palatino Linotype" w:hAnsi="Palatino Linotype"/>
          <w:bCs/>
          <w:highlight w:val="yellow"/>
        </w:rPr>
      </w:pPr>
      <w:r w:rsidRPr="00020228">
        <w:rPr>
          <w:rFonts w:ascii="Palatino Linotype" w:hAnsi="Palatino Linotype"/>
          <w:bCs/>
          <w:highlight w:val="yellow"/>
        </w:rPr>
        <w:t>Podemos concluir entonces que, en el presente asunto, se actualiza la causal de sobreseimiento prevista en la fracción IV del artículo 192, de la Ley de Transparencia y Acceso a información Pública del Estado de México y Municipios, que disponen lo siguiente:</w:t>
      </w:r>
    </w:p>
    <w:p w:rsidR="00B4444B" w:rsidRPr="00020228" w:rsidRDefault="00B4444B" w:rsidP="00B4444B">
      <w:pPr>
        <w:spacing w:line="360" w:lineRule="auto"/>
        <w:jc w:val="both"/>
        <w:rPr>
          <w:rFonts w:ascii="Palatino Linotype" w:hAnsi="Palatino Linotype"/>
          <w:bCs/>
          <w:highlight w:val="yellow"/>
        </w:rPr>
      </w:pPr>
    </w:p>
    <w:p w:rsidR="00B4444B" w:rsidRPr="00020228" w:rsidRDefault="00B4444B" w:rsidP="00B4444B">
      <w:pPr>
        <w:pStyle w:val="Citas"/>
        <w:rPr>
          <w:highlight w:val="yellow"/>
          <w:lang w:val="es-ES" w:eastAsia="es-ES"/>
        </w:rPr>
      </w:pPr>
      <w:r w:rsidRPr="00020228">
        <w:rPr>
          <w:highlight w:val="yellow"/>
          <w:lang w:val="es-ES" w:eastAsia="es-ES"/>
        </w:rPr>
        <w:t xml:space="preserve"> “Artículo 192. El recurso será sobreseído, en todo o en parte, cuando una vez admitido, se actualicen alguno de los siguientes supuestos:</w:t>
      </w:r>
    </w:p>
    <w:p w:rsidR="00B4444B" w:rsidRPr="00020228" w:rsidRDefault="00B4444B" w:rsidP="00B4444B">
      <w:pPr>
        <w:pStyle w:val="Citas"/>
        <w:numPr>
          <w:ilvl w:val="0"/>
          <w:numId w:val="3"/>
        </w:numPr>
        <w:rPr>
          <w:highlight w:val="yellow"/>
          <w:lang w:val="es-ES" w:eastAsia="es-ES"/>
        </w:rPr>
      </w:pPr>
      <w:r w:rsidRPr="00020228">
        <w:rPr>
          <w:highlight w:val="yellow"/>
          <w:lang w:val="es-ES" w:eastAsia="es-ES"/>
        </w:rPr>
        <w:t xml:space="preserve">El recurrente se desista expresamente del recurso; </w:t>
      </w:r>
    </w:p>
    <w:p w:rsidR="00B4444B" w:rsidRPr="00020228" w:rsidRDefault="00B4444B" w:rsidP="00B4444B">
      <w:pPr>
        <w:pStyle w:val="Citas"/>
        <w:numPr>
          <w:ilvl w:val="0"/>
          <w:numId w:val="3"/>
        </w:numPr>
        <w:rPr>
          <w:highlight w:val="yellow"/>
          <w:lang w:val="es-ES" w:eastAsia="es-ES"/>
        </w:rPr>
      </w:pPr>
      <w:r w:rsidRPr="00020228">
        <w:rPr>
          <w:highlight w:val="yellow"/>
          <w:lang w:val="es-ES" w:eastAsia="es-ES"/>
        </w:rPr>
        <w:t xml:space="preserve">El recurrente fallezca o, tratándose de personas jurídicas colectivas, se disuelva; </w:t>
      </w:r>
    </w:p>
    <w:p w:rsidR="00B4444B" w:rsidRPr="00020228" w:rsidRDefault="00B4444B" w:rsidP="00B4444B">
      <w:pPr>
        <w:pStyle w:val="Citas"/>
        <w:numPr>
          <w:ilvl w:val="0"/>
          <w:numId w:val="3"/>
        </w:numPr>
        <w:rPr>
          <w:highlight w:val="yellow"/>
          <w:lang w:val="es-ES" w:eastAsia="es-ES"/>
        </w:rPr>
      </w:pPr>
      <w:r w:rsidRPr="00020228">
        <w:rPr>
          <w:highlight w:val="yellow"/>
          <w:lang w:val="es-ES" w:eastAsia="es-ES"/>
        </w:rPr>
        <w:t xml:space="preserve">El sujeto obligado responsable del acto lo modifique o revoque de tal manera que el recurso de revisión quede sin materia; </w:t>
      </w:r>
    </w:p>
    <w:p w:rsidR="00B4444B" w:rsidRPr="00020228" w:rsidRDefault="00B4444B" w:rsidP="00B4444B">
      <w:pPr>
        <w:pStyle w:val="Citas"/>
        <w:numPr>
          <w:ilvl w:val="0"/>
          <w:numId w:val="3"/>
        </w:numPr>
        <w:rPr>
          <w:b/>
          <w:bCs/>
          <w:highlight w:val="yellow"/>
          <w:u w:val="single"/>
          <w:lang w:val="es-ES" w:eastAsia="es-ES"/>
        </w:rPr>
      </w:pPr>
      <w:r w:rsidRPr="00020228">
        <w:rPr>
          <w:b/>
          <w:bCs/>
          <w:highlight w:val="yellow"/>
          <w:u w:val="single"/>
          <w:lang w:val="es-ES" w:eastAsia="es-ES"/>
        </w:rPr>
        <w:t xml:space="preserve">Admitido el recurso de revisión, aparezca alguna causal de improcedencia en los términos de la presente Ley; y </w:t>
      </w:r>
    </w:p>
    <w:p w:rsidR="00B4444B" w:rsidRPr="00020228" w:rsidRDefault="00B4444B" w:rsidP="00B4444B">
      <w:pPr>
        <w:pStyle w:val="Citas"/>
        <w:numPr>
          <w:ilvl w:val="0"/>
          <w:numId w:val="3"/>
        </w:numPr>
        <w:rPr>
          <w:highlight w:val="yellow"/>
          <w:lang w:val="es-ES" w:eastAsia="es-ES"/>
        </w:rPr>
      </w:pPr>
      <w:r w:rsidRPr="00020228">
        <w:rPr>
          <w:highlight w:val="yellow"/>
          <w:lang w:val="es-ES" w:eastAsia="es-ES"/>
        </w:rPr>
        <w:lastRenderedPageBreak/>
        <w:t xml:space="preserve">Cuando por cualquier motivo quede sin materia el recurso.” </w:t>
      </w:r>
      <w:r w:rsidRPr="00020228">
        <w:rPr>
          <w:b/>
          <w:bCs/>
          <w:highlight w:val="yellow"/>
          <w:lang w:val="es-ES" w:eastAsia="es-ES"/>
        </w:rPr>
        <w:t>(Sic)</w:t>
      </w:r>
    </w:p>
    <w:p w:rsidR="00B4444B" w:rsidRPr="00020228" w:rsidRDefault="00B4444B" w:rsidP="00B4444B">
      <w:pPr>
        <w:autoSpaceDE w:val="0"/>
        <w:autoSpaceDN w:val="0"/>
        <w:adjustRightInd w:val="0"/>
        <w:spacing w:line="360" w:lineRule="auto"/>
        <w:jc w:val="both"/>
        <w:rPr>
          <w:rFonts w:ascii="Palatino Linotype" w:hAnsi="Palatino Linotype" w:cs="Arial"/>
          <w:highlight w:val="yellow"/>
        </w:rPr>
      </w:pPr>
    </w:p>
    <w:p w:rsidR="00B4444B" w:rsidRPr="00020228" w:rsidRDefault="00B4444B" w:rsidP="00B4444B">
      <w:pPr>
        <w:autoSpaceDE w:val="0"/>
        <w:autoSpaceDN w:val="0"/>
        <w:adjustRightInd w:val="0"/>
        <w:spacing w:line="360" w:lineRule="auto"/>
        <w:jc w:val="both"/>
        <w:rPr>
          <w:rFonts w:ascii="Palatino Linotype" w:hAnsi="Palatino Linotype"/>
          <w:highlight w:val="yellow"/>
        </w:rPr>
      </w:pPr>
      <w:r w:rsidRPr="00020228">
        <w:rPr>
          <w:rFonts w:ascii="Palatino Linotype" w:hAnsi="Palatino Linotype"/>
          <w:highlight w:val="yellow"/>
        </w:rPr>
        <w:t xml:space="preserve">Es importante resaltar a manera de analogía que la Suprema Corte de Justicia de la Nación mediante el número 2, de la Serie </w:t>
      </w:r>
      <w:r w:rsidRPr="00020228">
        <w:rPr>
          <w:rFonts w:ascii="Palatino Linotype" w:hAnsi="Palatino Linotype"/>
          <w:b/>
          <w:bCs/>
          <w:i/>
          <w:highlight w:val="yellow"/>
        </w:rPr>
        <w:t>Estudios Introductorios sobre el Juicio de Amparo</w:t>
      </w:r>
      <w:r w:rsidRPr="00020228">
        <w:rPr>
          <w:rFonts w:ascii="Palatino Linotype" w:hAnsi="Palatino Linotype"/>
          <w:i/>
          <w:highlight w:val="yellow"/>
        </w:rPr>
        <w:t xml:space="preserve"> </w:t>
      </w:r>
      <w:r w:rsidRPr="00020228">
        <w:rPr>
          <w:rFonts w:ascii="Palatino Linotype" w:hAnsi="Palatino Linotype"/>
          <w:highlight w:val="yellow"/>
        </w:rPr>
        <w:t xml:space="preserve">relativo a </w:t>
      </w:r>
      <w:r w:rsidRPr="00020228">
        <w:rPr>
          <w:rFonts w:ascii="Palatino Linotype" w:hAnsi="Palatino Linotype"/>
          <w:b/>
          <w:bCs/>
          <w:i/>
          <w:highlight w:val="yellow"/>
        </w:rPr>
        <w:t>LA IMPROCEDENCIA DE LA ACCIÓN DE AMPARO</w:t>
      </w:r>
      <w:r w:rsidRPr="00020228">
        <w:rPr>
          <w:rFonts w:ascii="Palatino Linotype" w:hAnsi="Palatino Linotype"/>
          <w:i/>
          <w:highlight w:val="yellow"/>
        </w:rPr>
        <w:t xml:space="preserve"> </w:t>
      </w:r>
      <w:r w:rsidRPr="00020228">
        <w:rPr>
          <w:rFonts w:ascii="Palatino Linotype" w:hAnsi="Palatino Linotype"/>
          <w:highlight w:val="yellow"/>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020228">
        <w:rPr>
          <w:rFonts w:ascii="Palatino Linotype" w:hAnsi="Palatino Linotype"/>
          <w:b/>
          <w:highlight w:val="yellow"/>
          <w:u w:val="single"/>
        </w:rPr>
        <w:t>lo que generará que la demanda sea desechada; o bien, después de admitida la demanda, lo que tendrá como consecuencia que se sobresea en el juicio.</w:t>
      </w:r>
    </w:p>
    <w:p w:rsidR="00B4444B" w:rsidRPr="00020228" w:rsidRDefault="00B4444B" w:rsidP="00B4444B">
      <w:pPr>
        <w:rPr>
          <w:highlight w:val="yellow"/>
        </w:rPr>
      </w:pPr>
    </w:p>
    <w:p w:rsidR="00B4444B" w:rsidRPr="00020228" w:rsidRDefault="00B4444B" w:rsidP="00B4444B">
      <w:pPr>
        <w:spacing w:line="360" w:lineRule="auto"/>
        <w:jc w:val="both"/>
        <w:rPr>
          <w:rFonts w:ascii="Palatino Linotype" w:eastAsiaTheme="minorEastAsia" w:hAnsi="Palatino Linotype"/>
          <w:highlight w:val="yellow"/>
          <w:lang w:val="es-ES_tradnl"/>
        </w:rPr>
      </w:pPr>
      <w:r w:rsidRPr="00020228">
        <w:rPr>
          <w:rFonts w:ascii="Palatino Linotype" w:hAnsi="Palatino Linotype"/>
          <w:bCs/>
          <w:highlight w:val="yellow"/>
        </w:rPr>
        <w:t xml:space="preserve">Por lo que </w:t>
      </w:r>
      <w:r w:rsidRPr="00020228">
        <w:rPr>
          <w:rFonts w:ascii="Palatino Linotype" w:eastAsiaTheme="minorEastAsia" w:hAnsi="Palatino Linotype" w:cs="Arial"/>
          <w:b/>
          <w:highlight w:val="yellow"/>
          <w:lang w:val="es-ES_tradnl"/>
        </w:rPr>
        <w:t xml:space="preserve">con fundamento en la segunda hipótesis de la fracción I del artículo 186, </w:t>
      </w:r>
      <w:r w:rsidRPr="00020228">
        <w:rPr>
          <w:rFonts w:ascii="Palatino Linotype" w:eastAsiaTheme="minorEastAsia" w:hAnsi="Palatino Linotype" w:cs="Arial"/>
          <w:highlight w:val="yellow"/>
          <w:lang w:val="es-ES_tradnl"/>
        </w:rPr>
        <w:t xml:space="preserve">de la Ley de Transparencia y Acceso a la Información Pública del Estado de México y Municipios, se </w:t>
      </w:r>
      <w:r w:rsidRPr="00020228">
        <w:rPr>
          <w:rFonts w:ascii="Palatino Linotype" w:eastAsiaTheme="minorEastAsia" w:hAnsi="Palatino Linotype" w:cs="Arial"/>
          <w:b/>
          <w:highlight w:val="yellow"/>
          <w:lang w:val="es-ES_tradnl"/>
        </w:rPr>
        <w:t xml:space="preserve">SOBRESEE </w:t>
      </w:r>
      <w:r w:rsidRPr="00020228">
        <w:rPr>
          <w:rFonts w:ascii="Palatino Linotype" w:eastAsiaTheme="minorEastAsia" w:hAnsi="Palatino Linotype" w:cs="Arial"/>
          <w:highlight w:val="yellow"/>
          <w:lang w:val="es-ES_tradnl"/>
        </w:rPr>
        <w:t xml:space="preserve">el recurso de revisión </w:t>
      </w:r>
      <w:r w:rsidRPr="00020228">
        <w:rPr>
          <w:rFonts w:ascii="Palatino Linotype" w:hAnsi="Palatino Linotype"/>
          <w:b/>
          <w:bCs/>
          <w:highlight w:val="yellow"/>
        </w:rPr>
        <w:t>0</w:t>
      </w:r>
      <w:r w:rsidR="00732F2C">
        <w:rPr>
          <w:rFonts w:ascii="Palatino Linotype" w:hAnsi="Palatino Linotype"/>
          <w:b/>
          <w:bCs/>
          <w:highlight w:val="yellow"/>
        </w:rPr>
        <w:t>0</w:t>
      </w:r>
      <w:r w:rsidRPr="00020228">
        <w:rPr>
          <w:rFonts w:ascii="Palatino Linotype" w:hAnsi="Palatino Linotype"/>
          <w:b/>
          <w:bCs/>
          <w:highlight w:val="yellow"/>
        </w:rPr>
        <w:t>060/INFOEM/IP/RR/2025</w:t>
      </w:r>
      <w:r w:rsidRPr="00020228">
        <w:rPr>
          <w:rFonts w:ascii="Palatino Linotype" w:eastAsiaTheme="minorEastAsia" w:hAnsi="Palatino Linotype" w:cs="Arial"/>
          <w:highlight w:val="yellow"/>
          <w:lang w:val="es-ES_tradnl"/>
        </w:rPr>
        <w:t>,</w:t>
      </w:r>
      <w:r w:rsidRPr="00020228">
        <w:rPr>
          <w:rFonts w:ascii="Palatino Linotype" w:eastAsiaTheme="minorEastAsia" w:hAnsi="Palatino Linotype"/>
          <w:highlight w:val="yellow"/>
          <w:lang w:val="es-ES_tradnl"/>
        </w:rPr>
        <w:t xml:space="preserve"> que ha sido materia del presente fallo.</w:t>
      </w:r>
    </w:p>
    <w:p w:rsidR="00B4444B" w:rsidRPr="00020228" w:rsidRDefault="00B4444B" w:rsidP="00B4444B">
      <w:pPr>
        <w:spacing w:line="360" w:lineRule="auto"/>
        <w:jc w:val="both"/>
        <w:rPr>
          <w:rFonts w:ascii="Palatino Linotype" w:hAnsi="Palatino Linotype"/>
          <w:highlight w:val="yellow"/>
          <w:lang w:val="es-ES_tradnl"/>
        </w:rPr>
      </w:pPr>
    </w:p>
    <w:p w:rsidR="00B4444B" w:rsidRPr="00020228" w:rsidRDefault="00B4444B" w:rsidP="00B4444B">
      <w:pPr>
        <w:spacing w:line="360" w:lineRule="auto"/>
        <w:jc w:val="both"/>
        <w:rPr>
          <w:rFonts w:ascii="Palatino Linotype" w:hAnsi="Palatino Linotype"/>
          <w:highlight w:val="yellow"/>
        </w:rPr>
      </w:pPr>
    </w:p>
    <w:p w:rsidR="00B4444B" w:rsidRPr="00020228" w:rsidRDefault="00B4444B" w:rsidP="00B4444B">
      <w:pPr>
        <w:spacing w:line="360" w:lineRule="auto"/>
        <w:jc w:val="both"/>
        <w:rPr>
          <w:rFonts w:ascii="Palatino Linotype" w:hAnsi="Palatino Linotype"/>
          <w:highlight w:val="yellow"/>
        </w:rPr>
      </w:pPr>
      <w:r w:rsidRPr="00020228">
        <w:rPr>
          <w:rFonts w:ascii="Palatino Linotype" w:hAnsi="Palatino Linotype"/>
          <w:highlight w:val="yellow"/>
        </w:rPr>
        <w:t>Por lo antes expuesto y fundado es de resolverse y,</w:t>
      </w:r>
    </w:p>
    <w:p w:rsidR="00B4444B" w:rsidRPr="00020228" w:rsidRDefault="00B4444B" w:rsidP="00B4444B">
      <w:pPr>
        <w:spacing w:line="360" w:lineRule="auto"/>
        <w:jc w:val="center"/>
        <w:rPr>
          <w:rFonts w:ascii="Palatino Linotype" w:hAnsi="Palatino Linotype"/>
          <w:bCs/>
          <w:spacing w:val="60"/>
          <w:highlight w:val="yellow"/>
          <w:lang w:val="es-ES_tradnl"/>
        </w:rPr>
      </w:pPr>
      <w:r w:rsidRPr="00020228">
        <w:rPr>
          <w:rFonts w:ascii="Palatino Linotype" w:hAnsi="Palatino Linotype"/>
          <w:b/>
          <w:bCs/>
          <w:spacing w:val="60"/>
          <w:sz w:val="28"/>
          <w:highlight w:val="yellow"/>
          <w:lang w:val="es-ES_tradnl"/>
        </w:rPr>
        <w:t>SE    RESUELVE</w:t>
      </w:r>
    </w:p>
    <w:p w:rsidR="00B4444B" w:rsidRPr="00020228" w:rsidRDefault="00B4444B" w:rsidP="00B4444B">
      <w:pPr>
        <w:spacing w:line="360" w:lineRule="auto"/>
        <w:jc w:val="center"/>
        <w:rPr>
          <w:rFonts w:ascii="Palatino Linotype" w:hAnsi="Palatino Linotype"/>
          <w:bCs/>
          <w:spacing w:val="60"/>
          <w:highlight w:val="yellow"/>
          <w:lang w:val="es-ES_tradnl"/>
        </w:rPr>
      </w:pPr>
    </w:p>
    <w:p w:rsidR="00B4444B" w:rsidRPr="00020228" w:rsidRDefault="00B4444B" w:rsidP="00B4444B">
      <w:pPr>
        <w:spacing w:line="360" w:lineRule="auto"/>
        <w:jc w:val="both"/>
        <w:rPr>
          <w:rFonts w:ascii="Palatino Linotype" w:eastAsia="Calibri" w:hAnsi="Palatino Linotype" w:cs="Arial"/>
          <w:highlight w:val="yellow"/>
          <w:lang w:val="es-ES_tradnl" w:eastAsia="es-MX"/>
        </w:rPr>
      </w:pPr>
      <w:r w:rsidRPr="00020228">
        <w:rPr>
          <w:rFonts w:ascii="Palatino Linotype" w:eastAsiaTheme="minorEastAsia" w:hAnsi="Palatino Linotype" w:cs="Arial"/>
          <w:b/>
          <w:sz w:val="28"/>
          <w:highlight w:val="yellow"/>
          <w:lang w:val="es-ES_tradnl"/>
        </w:rPr>
        <w:t>PRIMERO.</w:t>
      </w:r>
      <w:r w:rsidRPr="00020228">
        <w:rPr>
          <w:rFonts w:ascii="Palatino Linotype" w:eastAsiaTheme="minorEastAsia" w:hAnsi="Palatino Linotype" w:cs="Arial"/>
          <w:highlight w:val="yellow"/>
          <w:lang w:val="es-ES_tradnl"/>
        </w:rPr>
        <w:t xml:space="preserve"> Se </w:t>
      </w:r>
      <w:r w:rsidRPr="00020228">
        <w:rPr>
          <w:rFonts w:ascii="Palatino Linotype" w:eastAsiaTheme="minorEastAsia" w:hAnsi="Palatino Linotype" w:cs="Arial"/>
          <w:b/>
          <w:highlight w:val="yellow"/>
          <w:lang w:val="es-ES_tradnl"/>
        </w:rPr>
        <w:t>SOBRESEE</w:t>
      </w:r>
      <w:r w:rsidRPr="00020228">
        <w:rPr>
          <w:rFonts w:ascii="Palatino Linotype" w:eastAsiaTheme="minorEastAsia" w:hAnsi="Palatino Linotype" w:cs="Arial"/>
          <w:highlight w:val="yellow"/>
          <w:lang w:val="es-ES_tradnl"/>
        </w:rPr>
        <w:t xml:space="preserve"> el recurso de revisión </w:t>
      </w:r>
      <w:r w:rsidRPr="00020228">
        <w:rPr>
          <w:rFonts w:ascii="Palatino Linotype" w:eastAsiaTheme="minorEastAsia" w:hAnsi="Palatino Linotype" w:cs="Arial"/>
          <w:b/>
          <w:highlight w:val="yellow"/>
          <w:lang w:val="es-ES_tradnl"/>
        </w:rPr>
        <w:t>00</w:t>
      </w:r>
      <w:r w:rsidR="00732F2C">
        <w:rPr>
          <w:rFonts w:ascii="Palatino Linotype" w:eastAsiaTheme="minorEastAsia" w:hAnsi="Palatino Linotype" w:cs="Arial"/>
          <w:b/>
          <w:highlight w:val="yellow"/>
          <w:lang w:val="es-ES_tradnl"/>
        </w:rPr>
        <w:t>0</w:t>
      </w:r>
      <w:r w:rsidRPr="00020228">
        <w:rPr>
          <w:rFonts w:ascii="Palatino Linotype" w:eastAsiaTheme="minorEastAsia" w:hAnsi="Palatino Linotype" w:cs="Arial"/>
          <w:b/>
          <w:highlight w:val="yellow"/>
          <w:lang w:val="es-ES_tradnl"/>
        </w:rPr>
        <w:t>60/INFOEM/IP/RR/2025</w:t>
      </w:r>
      <w:r w:rsidRPr="00020228">
        <w:rPr>
          <w:rFonts w:ascii="Palatino Linotype" w:eastAsiaTheme="minorEastAsia" w:hAnsi="Palatino Linotype" w:cs="Arial"/>
          <w:highlight w:val="yellow"/>
          <w:lang w:val="es-ES_tradnl"/>
        </w:rPr>
        <w:t xml:space="preserve">, </w:t>
      </w:r>
      <w:r w:rsidRPr="00020228">
        <w:rPr>
          <w:rFonts w:ascii="Palatino Linotype" w:eastAsia="Calibri" w:hAnsi="Palatino Linotype" w:cs="Arial"/>
          <w:highlight w:val="yellow"/>
          <w:lang w:val="es-ES_tradnl" w:eastAsia="es-MX"/>
        </w:rPr>
        <w:t xml:space="preserve">de conformidad con el artículo 192, fracción IV por actualizarse la causal de improcedencia contenida en la fracción III, del artículo 191, ambos de la Ley de </w:t>
      </w:r>
      <w:r w:rsidRPr="00020228">
        <w:rPr>
          <w:rFonts w:ascii="Palatino Linotype" w:eastAsia="Calibri" w:hAnsi="Palatino Linotype" w:cs="Arial"/>
          <w:highlight w:val="yellow"/>
          <w:lang w:val="es-ES_tradnl" w:eastAsia="es-MX"/>
        </w:rPr>
        <w:lastRenderedPageBreak/>
        <w:t xml:space="preserve">Transparencia y Acceso a la Información Pública del Estado de México y Municipios, en términos del Considerando </w:t>
      </w:r>
      <w:r w:rsidRPr="00020228">
        <w:rPr>
          <w:rFonts w:ascii="Palatino Linotype" w:eastAsia="Calibri" w:hAnsi="Palatino Linotype" w:cs="Arial"/>
          <w:b/>
          <w:highlight w:val="yellow"/>
          <w:lang w:val="es-ES_tradnl" w:eastAsia="es-MX"/>
        </w:rPr>
        <w:t>TERCERO</w:t>
      </w:r>
      <w:r w:rsidRPr="00020228">
        <w:rPr>
          <w:rFonts w:ascii="Palatino Linotype" w:eastAsia="Calibri" w:hAnsi="Palatino Linotype" w:cs="Arial"/>
          <w:highlight w:val="yellow"/>
          <w:lang w:val="es-ES_tradnl" w:eastAsia="es-MX"/>
        </w:rPr>
        <w:t xml:space="preserve"> de la presente resolución.</w:t>
      </w:r>
    </w:p>
    <w:p w:rsidR="00B4444B" w:rsidRPr="00020228" w:rsidRDefault="00B4444B" w:rsidP="00B4444B">
      <w:pPr>
        <w:spacing w:line="360" w:lineRule="auto"/>
        <w:jc w:val="both"/>
        <w:rPr>
          <w:rFonts w:ascii="Palatino Linotype" w:hAnsi="Palatino Linotype" w:cs="Arial"/>
          <w:highlight w:val="yellow"/>
          <w:lang w:val="es-ES_tradnl"/>
        </w:rPr>
      </w:pPr>
    </w:p>
    <w:p w:rsidR="00B4444B" w:rsidRPr="00020228" w:rsidRDefault="00B4444B" w:rsidP="00B4444B">
      <w:pPr>
        <w:spacing w:line="360" w:lineRule="auto"/>
        <w:jc w:val="both"/>
        <w:rPr>
          <w:rFonts w:ascii="Palatino Linotype" w:hAnsi="Palatino Linotype" w:cs="Palatino Linotype"/>
          <w:highlight w:val="yellow"/>
        </w:rPr>
      </w:pPr>
      <w:r w:rsidRPr="00020228">
        <w:rPr>
          <w:rFonts w:ascii="Palatino Linotype" w:hAnsi="Palatino Linotype" w:cs="Palatino Linotype"/>
          <w:b/>
          <w:highlight w:val="yellow"/>
        </w:rPr>
        <w:t>SEGUNDO.</w:t>
      </w:r>
      <w:r w:rsidRPr="00020228">
        <w:rPr>
          <w:rFonts w:ascii="Palatino Linotype" w:hAnsi="Palatino Linotype" w:cs="Palatino Linotype"/>
          <w:highlight w:val="yellow"/>
        </w:rPr>
        <w:t xml:space="preserve"> </w:t>
      </w:r>
      <w:r w:rsidRPr="00020228">
        <w:rPr>
          <w:rFonts w:ascii="Palatino Linotype" w:hAnsi="Palatino Linotype" w:cs="Palatino Linotype"/>
          <w:b/>
          <w:highlight w:val="yellow"/>
        </w:rPr>
        <w:t>Notifíquese</w:t>
      </w:r>
      <w:r w:rsidRPr="00020228">
        <w:rPr>
          <w:rFonts w:ascii="Palatino Linotype" w:hAnsi="Palatino Linotype" w:cs="Palatino Linotype"/>
          <w:highlight w:val="yellow"/>
        </w:rPr>
        <w:t xml:space="preserve"> la presente resolución al Titular de la Unidad de Transparencia del Sujeto Obligado mediante el Sistema de Acceso a la Información Mexiquense (SAIMEX).</w:t>
      </w:r>
    </w:p>
    <w:p w:rsidR="00B4444B" w:rsidRPr="00020228" w:rsidRDefault="00B4444B" w:rsidP="00B4444B">
      <w:pPr>
        <w:spacing w:line="360" w:lineRule="auto"/>
        <w:jc w:val="both"/>
        <w:rPr>
          <w:rFonts w:ascii="Palatino Linotype" w:hAnsi="Palatino Linotype" w:cs="Palatino Linotype"/>
          <w:highlight w:val="yellow"/>
        </w:rPr>
      </w:pPr>
    </w:p>
    <w:p w:rsidR="00B4444B" w:rsidRDefault="00B4444B" w:rsidP="00B4444B">
      <w:pPr>
        <w:spacing w:line="360" w:lineRule="auto"/>
        <w:jc w:val="both"/>
        <w:rPr>
          <w:rFonts w:ascii="Palatino Linotype" w:hAnsi="Palatino Linotype" w:cs="Palatino Linotype"/>
        </w:rPr>
      </w:pPr>
      <w:r w:rsidRPr="00020228">
        <w:rPr>
          <w:rFonts w:ascii="Palatino Linotype" w:hAnsi="Palatino Linotype" w:cs="Palatino Linotype"/>
          <w:b/>
          <w:highlight w:val="yellow"/>
        </w:rPr>
        <w:t>TERCERO. Notifíquese</w:t>
      </w:r>
      <w:r w:rsidRPr="00020228">
        <w:rPr>
          <w:rFonts w:ascii="Palatino Linotype" w:hAnsi="Palatino Linotype" w:cs="Palatino Linotype"/>
          <w:highlight w:val="yellow"/>
        </w:rPr>
        <w:t xml:space="preserve"> la presente resolución al Recurrente</w:t>
      </w:r>
      <w:r w:rsidRPr="00020228">
        <w:rPr>
          <w:highlight w:val="yellow"/>
        </w:rPr>
        <w:t xml:space="preserve"> </w:t>
      </w:r>
      <w:r w:rsidRPr="00020228">
        <w:rPr>
          <w:rFonts w:ascii="Palatino Linotype" w:hAnsi="Palatino Linotype" w:cs="Palatino Linotype"/>
          <w:highlight w:val="yellow"/>
        </w:rPr>
        <w:t xml:space="preserve">a través del Sistema de Acceso a la Información Mexiquense </w:t>
      </w:r>
      <w:r w:rsidRPr="00D41877">
        <w:rPr>
          <w:rFonts w:ascii="Palatino Linotype" w:hAnsi="Palatino Linotype" w:cs="Palatino Linotype"/>
          <w:b/>
          <w:highlight w:val="yellow"/>
        </w:rPr>
        <w:t>(SAIMEX)</w:t>
      </w:r>
      <w:r w:rsidRPr="00020228">
        <w:rPr>
          <w:rFonts w:ascii="Palatino Linotype" w:hAnsi="Palatino Linotype" w:cs="Palatino Linotype"/>
          <w:highlight w:val="yellow"/>
        </w:rPr>
        <w:t>,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rsidR="00B4444B" w:rsidRPr="00732F2C" w:rsidRDefault="00B4444B" w:rsidP="00B4444B">
      <w:pPr>
        <w:pStyle w:val="Prrafodelista"/>
        <w:autoSpaceDE w:val="0"/>
        <w:autoSpaceDN w:val="0"/>
        <w:adjustRightInd w:val="0"/>
        <w:spacing w:before="240" w:after="160" w:line="360" w:lineRule="auto"/>
        <w:ind w:left="0"/>
        <w:jc w:val="both"/>
        <w:rPr>
          <w:rFonts w:ascii="Palatino Linotype" w:hAnsi="Palatino Linotype" w:cs="Arial"/>
          <w:sz w:val="16"/>
        </w:rPr>
      </w:pPr>
    </w:p>
    <w:p w:rsidR="00B4444B" w:rsidRPr="00A151D0" w:rsidRDefault="00B4444B" w:rsidP="00732F2C">
      <w:pPr>
        <w:spacing w:line="360" w:lineRule="auto"/>
        <w:jc w:val="both"/>
        <w:rPr>
          <w:rFonts w:ascii="Palatino Linotype" w:hAnsi="Palatino Linotype" w:cs="Arial"/>
          <w:sz w:val="20"/>
        </w:rPr>
      </w:pPr>
      <w:r w:rsidRPr="007C3942">
        <w:rPr>
          <w:rFonts w:ascii="Palatino Linotype" w:hAnsi="Palatino Linotype" w:cs="Arial"/>
        </w:rPr>
        <w:t xml:space="preserve">ASÍ LO RESUELVE, POR </w:t>
      </w:r>
      <w:r>
        <w:rPr>
          <w:rFonts w:ascii="Palatino Linotype" w:hAnsi="Palatino Linotype" w:cs="Arial"/>
        </w:rPr>
        <w:t xml:space="preserve">UNANIMIDAD </w:t>
      </w:r>
      <w:r w:rsidRPr="007C3942">
        <w:rPr>
          <w:rFonts w:ascii="Palatino Linotype" w:hAnsi="Palatino Linotype" w:cs="Arial"/>
        </w:rPr>
        <w:t>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w:t>
      </w:r>
      <w:r>
        <w:rPr>
          <w:rFonts w:ascii="Palatino Linotype" w:hAnsi="Palatino Linotype" w:cs="Arial"/>
        </w:rPr>
        <w:t>Y GUADALUPE RAMÍRE</w:t>
      </w:r>
      <w:r w:rsidR="00732F2C">
        <w:rPr>
          <w:rFonts w:ascii="Palatino Linotype" w:hAnsi="Palatino Linotype" w:cs="Arial"/>
        </w:rPr>
        <w:t>Z PEÑA, EN LA</w:t>
      </w:r>
      <w:r>
        <w:rPr>
          <w:rFonts w:ascii="Palatino Linotype" w:hAnsi="Palatino Linotype" w:cs="Arial"/>
        </w:rPr>
        <w:t xml:space="preserve"> QUINTA </w:t>
      </w:r>
      <w:r w:rsidRPr="007C3942">
        <w:rPr>
          <w:rFonts w:ascii="Palatino Linotype" w:hAnsi="Palatino Linotype" w:cs="Arial"/>
        </w:rPr>
        <w:t xml:space="preserve">SESIÓN ORDINARIA CELEBRADA </w:t>
      </w:r>
      <w:r w:rsidR="00D41877">
        <w:rPr>
          <w:rFonts w:ascii="Palatino Linotype" w:hAnsi="Palatino Linotype" w:cs="Arial"/>
        </w:rPr>
        <w:t>DOCE DE FEBRERO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732F2C">
        <w:rPr>
          <w:rFonts w:ascii="Palatino Linotype" w:hAnsi="Palatino Linotype" w:cs="Arial"/>
        </w:rPr>
        <w:t>-----------------------------------------------------</w:t>
      </w:r>
    </w:p>
    <w:p w:rsidR="00B4444B" w:rsidRPr="00326FE6" w:rsidRDefault="00B4444B" w:rsidP="00B4444B">
      <w:pPr>
        <w:pStyle w:val="Textoindependiente"/>
        <w:spacing w:after="0" w:line="360" w:lineRule="auto"/>
        <w:jc w:val="both"/>
        <w:rPr>
          <w:rFonts w:ascii="Palatino Linotype" w:eastAsiaTheme="minorEastAsia" w:hAnsi="Palatino Linotype"/>
          <w:color w:val="000000" w:themeColor="text1"/>
          <w:sz w:val="20"/>
          <w:szCs w:val="24"/>
          <w:lang w:val="es-ES_tradnl" w:eastAsia="es-ES"/>
        </w:rPr>
      </w:pPr>
      <w:r>
        <w:rPr>
          <w:rFonts w:ascii="Palatino Linotype" w:hAnsi="Palatino Linotype" w:cs="Arial"/>
          <w:sz w:val="16"/>
        </w:rPr>
        <w:t>JMV/CCR/</w:t>
      </w:r>
    </w:p>
    <w:p w:rsidR="00B4444B" w:rsidRPr="005323D1" w:rsidRDefault="00B4444B" w:rsidP="00B4444B">
      <w:pPr>
        <w:spacing w:line="360" w:lineRule="auto"/>
        <w:jc w:val="both"/>
        <w:rPr>
          <w:rFonts w:ascii="Palatino Linotype" w:hAnsi="Palatino Linotype" w:cs="Arial"/>
          <w:sz w:val="20"/>
        </w:rPr>
      </w:pPr>
    </w:p>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4444B" w:rsidRDefault="00B4444B" w:rsidP="00B4444B"/>
    <w:p w:rsidR="00B23D0F" w:rsidRDefault="00B23D0F"/>
    <w:sectPr w:rsidR="00B23D0F" w:rsidSect="000A5EBA">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624" w:rsidRDefault="00EF5624" w:rsidP="00B4444B">
      <w:r>
        <w:separator/>
      </w:r>
    </w:p>
  </w:endnote>
  <w:endnote w:type="continuationSeparator" w:id="0">
    <w:p w:rsidR="00EF5624" w:rsidRDefault="00EF5624" w:rsidP="00B4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EBA" w:rsidRPr="00A2780F" w:rsidRDefault="00EF5624" w:rsidP="000A5EB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377542">
      <w:rPr>
        <w:rFonts w:ascii="Arial" w:hAnsi="Arial" w:cs="Arial"/>
        <w:b/>
        <w:bCs/>
        <w:noProof/>
        <w:sz w:val="20"/>
        <w:szCs w:val="20"/>
      </w:rPr>
      <w:t>16</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377542">
      <w:rPr>
        <w:rFonts w:ascii="Arial" w:hAnsi="Arial" w:cs="Arial"/>
        <w:b/>
        <w:bCs/>
        <w:noProof/>
        <w:sz w:val="20"/>
        <w:szCs w:val="20"/>
      </w:rPr>
      <w:t>17</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EBA" w:rsidRPr="00070856" w:rsidRDefault="00EF5624" w:rsidP="000A5EBA">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377542">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377542">
      <w:rPr>
        <w:rFonts w:ascii="Arial" w:hAnsi="Arial" w:cs="Arial"/>
        <w:b/>
        <w:bCs/>
        <w:noProof/>
        <w:sz w:val="20"/>
        <w:szCs w:val="20"/>
      </w:rPr>
      <w:t>17</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624" w:rsidRDefault="00EF5624" w:rsidP="00B4444B">
      <w:r>
        <w:separator/>
      </w:r>
    </w:p>
  </w:footnote>
  <w:footnote w:type="continuationSeparator" w:id="0">
    <w:p w:rsidR="00EF5624" w:rsidRDefault="00EF5624" w:rsidP="00B4444B">
      <w:r>
        <w:continuationSeparator/>
      </w:r>
    </w:p>
  </w:footnote>
  <w:footnote w:id="1">
    <w:p w:rsidR="00B4444B" w:rsidRPr="00911081" w:rsidRDefault="00B4444B" w:rsidP="00B4444B">
      <w:pPr>
        <w:jc w:val="both"/>
        <w:rPr>
          <w:rFonts w:ascii="Palatino Linotype" w:hAnsi="Palatino Linotype"/>
          <w:b/>
          <w:bCs/>
          <w:i/>
          <w:sz w:val="16"/>
          <w:szCs w:val="16"/>
        </w:rPr>
      </w:pPr>
      <w:r>
        <w:rPr>
          <w:rStyle w:val="Refdenotaalpie"/>
          <w:rFonts w:asciiTheme="minorHAnsi" w:eastAsiaTheme="minorEastAsia" w:hAnsiTheme="minorHAnsi"/>
          <w:sz w:val="22"/>
          <w:szCs w:val="22"/>
          <w:lang w:val="es-MX" w:eastAsia="en-US"/>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B4444B" w:rsidRDefault="00B4444B" w:rsidP="00B4444B">
      <w:pPr>
        <w:jc w:val="both"/>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0A5EBA" w:rsidRPr="008F2CCC" w:rsidTr="000A5EBA">
      <w:tc>
        <w:tcPr>
          <w:tcW w:w="3620" w:type="dxa"/>
          <w:shd w:val="clear" w:color="auto" w:fill="auto"/>
        </w:tcPr>
        <w:p w:rsidR="000A5EBA" w:rsidRPr="007E5FC4" w:rsidRDefault="00EF5624"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0A5EBA" w:rsidRPr="00664658" w:rsidRDefault="00B4444B" w:rsidP="000A5EB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00</w:t>
          </w:r>
          <w:r w:rsidR="00732F2C">
            <w:rPr>
              <w:rFonts w:ascii="Palatino Linotype" w:hAnsi="Palatino Linotype"/>
              <w:b/>
              <w:sz w:val="22"/>
              <w:szCs w:val="22"/>
              <w:lang w:val="es-ES_tradnl"/>
            </w:rPr>
            <w:t>0</w:t>
          </w:r>
          <w:r>
            <w:rPr>
              <w:rFonts w:ascii="Palatino Linotype" w:hAnsi="Palatino Linotype"/>
              <w:b/>
              <w:sz w:val="22"/>
              <w:szCs w:val="22"/>
              <w:lang w:val="es-ES_tradnl"/>
            </w:rPr>
            <w:t>60/INFOEM/IP/RR/2025</w:t>
          </w:r>
        </w:p>
      </w:tc>
    </w:tr>
    <w:tr w:rsidR="000A5EBA" w:rsidRPr="008F2CCC" w:rsidTr="000A5EBA">
      <w:tc>
        <w:tcPr>
          <w:tcW w:w="3620" w:type="dxa"/>
          <w:shd w:val="clear" w:color="auto" w:fill="auto"/>
        </w:tcPr>
        <w:p w:rsidR="000A5EBA" w:rsidRPr="007E5FC4" w:rsidRDefault="00EF5624"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0A5EBA" w:rsidRPr="00B4444B" w:rsidRDefault="00B4444B" w:rsidP="000A5EBA">
          <w:pPr>
            <w:spacing w:line="276" w:lineRule="auto"/>
            <w:jc w:val="right"/>
            <w:rPr>
              <w:rFonts w:ascii="Palatino Linotype" w:hAnsi="Palatino Linotype"/>
              <w:b/>
              <w:sz w:val="22"/>
              <w:szCs w:val="22"/>
              <w:lang w:val="es-ES_tradnl"/>
            </w:rPr>
          </w:pPr>
          <w:r w:rsidRPr="00B4444B">
            <w:rPr>
              <w:rFonts w:ascii="Palatino Linotype" w:eastAsia="Calibri" w:hAnsi="Palatino Linotype" w:cs="Arial"/>
              <w:b/>
              <w:lang w:val="es-ES_tradnl" w:eastAsia="es-MX"/>
            </w:rPr>
            <w:t>Secretaría de Movilidad</w:t>
          </w:r>
        </w:p>
      </w:tc>
    </w:tr>
    <w:tr w:rsidR="000A5EBA" w:rsidRPr="008F2CCC" w:rsidTr="000A5EBA">
      <w:trPr>
        <w:trHeight w:val="228"/>
      </w:trPr>
      <w:tc>
        <w:tcPr>
          <w:tcW w:w="3620" w:type="dxa"/>
          <w:shd w:val="clear" w:color="auto" w:fill="auto"/>
        </w:tcPr>
        <w:p w:rsidR="000A5EBA" w:rsidRPr="007E5FC4" w:rsidRDefault="00EF5624" w:rsidP="000A5EBA">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0A5EBA" w:rsidRPr="00664658" w:rsidRDefault="00EF5624" w:rsidP="000A5EBA">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0A5EBA" w:rsidRDefault="00377542" w:rsidP="000A5EBA">
    <w:pPr>
      <w:pStyle w:val="Encabezado"/>
      <w:tabs>
        <w:tab w:val="clear" w:pos="4252"/>
        <w:tab w:val="clear" w:pos="8504"/>
        <w:tab w:val="left" w:pos="2326"/>
      </w:tabs>
      <w:rPr>
        <w:rFonts w:ascii="Palatino Linotype" w:hAnsi="Palatino Linotype"/>
        <w:sz w:val="20"/>
      </w:rPr>
    </w:pPr>
  </w:p>
  <w:p w:rsidR="000A5EBA" w:rsidRPr="001779E0" w:rsidRDefault="00EF5624" w:rsidP="000A5EBA">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3CA543C" wp14:editId="140E6707">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0A5EBA" w:rsidRPr="008F2CCC" w:rsidTr="000A5EBA">
      <w:tc>
        <w:tcPr>
          <w:tcW w:w="2977" w:type="dxa"/>
          <w:shd w:val="clear" w:color="auto" w:fill="auto"/>
        </w:tcPr>
        <w:p w:rsidR="000A5EBA" w:rsidRPr="007E5FC4" w:rsidRDefault="00EF5624"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0A5EBA" w:rsidRPr="008F2CCC" w:rsidRDefault="00B4444B" w:rsidP="000A5EB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00</w:t>
          </w:r>
          <w:r w:rsidR="00732F2C">
            <w:rPr>
              <w:rFonts w:ascii="Palatino Linotype" w:hAnsi="Palatino Linotype"/>
              <w:b/>
              <w:sz w:val="22"/>
              <w:szCs w:val="22"/>
              <w:lang w:val="es-ES_tradnl"/>
            </w:rPr>
            <w:t>0</w:t>
          </w:r>
          <w:r>
            <w:rPr>
              <w:rFonts w:ascii="Palatino Linotype" w:hAnsi="Palatino Linotype"/>
              <w:b/>
              <w:sz w:val="22"/>
              <w:szCs w:val="22"/>
              <w:lang w:val="es-ES_tradnl"/>
            </w:rPr>
            <w:t>60/INFOEM/IP/RR/2025</w:t>
          </w:r>
        </w:p>
      </w:tc>
    </w:tr>
    <w:tr w:rsidR="000A5EBA" w:rsidRPr="008F2CCC" w:rsidTr="000A5EBA">
      <w:tc>
        <w:tcPr>
          <w:tcW w:w="2977" w:type="dxa"/>
          <w:shd w:val="clear" w:color="auto" w:fill="auto"/>
          <w:vAlign w:val="center"/>
        </w:tcPr>
        <w:p w:rsidR="000A5EBA" w:rsidRPr="007E5FC4" w:rsidRDefault="00EF5624"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0A5EBA" w:rsidRPr="008F2CCC" w:rsidRDefault="00377542" w:rsidP="000A5EB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0A5EBA" w:rsidRPr="00B4444B" w:rsidTr="000A5EBA">
      <w:trPr>
        <w:trHeight w:val="228"/>
      </w:trPr>
      <w:tc>
        <w:tcPr>
          <w:tcW w:w="2977" w:type="dxa"/>
          <w:shd w:val="clear" w:color="auto" w:fill="auto"/>
        </w:tcPr>
        <w:p w:rsidR="000A5EBA" w:rsidRPr="007E5FC4" w:rsidRDefault="00EF5624"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0A5EBA" w:rsidRPr="00B4444B" w:rsidRDefault="00B4444B" w:rsidP="000A5EBA">
          <w:pPr>
            <w:spacing w:line="360" w:lineRule="auto"/>
            <w:jc w:val="right"/>
            <w:rPr>
              <w:rFonts w:ascii="Palatino Linotype" w:hAnsi="Palatino Linotype"/>
              <w:b/>
              <w:sz w:val="22"/>
              <w:szCs w:val="22"/>
            </w:rPr>
          </w:pPr>
          <w:r w:rsidRPr="00B4444B">
            <w:rPr>
              <w:rFonts w:ascii="Palatino Linotype" w:eastAsia="Calibri" w:hAnsi="Palatino Linotype" w:cs="Arial"/>
              <w:b/>
              <w:lang w:val="es-ES_tradnl" w:eastAsia="es-MX"/>
            </w:rPr>
            <w:t>Secretaría de Movilidad</w:t>
          </w:r>
        </w:p>
      </w:tc>
    </w:tr>
    <w:tr w:rsidR="000A5EBA" w:rsidRPr="008F2CCC" w:rsidTr="000A5EBA">
      <w:tc>
        <w:tcPr>
          <w:tcW w:w="2977" w:type="dxa"/>
          <w:shd w:val="clear" w:color="auto" w:fill="auto"/>
        </w:tcPr>
        <w:p w:rsidR="000A5EBA" w:rsidRPr="007E5FC4" w:rsidRDefault="00EF5624" w:rsidP="000A5EBA">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0A5EBA" w:rsidRPr="008F2CCC" w:rsidRDefault="00EF5624" w:rsidP="000A5EBA">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0A5EBA" w:rsidRPr="009F1AB6" w:rsidRDefault="00EF5624">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7933A3C" wp14:editId="362DB63C">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15:restartNumberingAfterBreak="0">
    <w:nsid w:val="0DA22E39"/>
    <w:multiLevelType w:val="multilevel"/>
    <w:tmpl w:val="8C5AFB6E"/>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 w15:restartNumberingAfterBreak="0">
    <w:nsid w:val="470F3D96"/>
    <w:multiLevelType w:val="hybridMultilevel"/>
    <w:tmpl w:val="CC20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112CFE"/>
    <w:multiLevelType w:val="hybridMultilevel"/>
    <w:tmpl w:val="6F823922"/>
    <w:lvl w:ilvl="0" w:tplc="7908B6F0">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59864569"/>
    <w:multiLevelType w:val="hybridMultilevel"/>
    <w:tmpl w:val="05D6492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4B"/>
    <w:rsid w:val="00020228"/>
    <w:rsid w:val="00377542"/>
    <w:rsid w:val="005A3C41"/>
    <w:rsid w:val="00732F2C"/>
    <w:rsid w:val="00B23D0F"/>
    <w:rsid w:val="00B4444B"/>
    <w:rsid w:val="00CE6074"/>
    <w:rsid w:val="00D41877"/>
    <w:rsid w:val="00E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EA3EB-8E2D-4FA1-918F-21002BDF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4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44B"/>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B4444B"/>
    <w:rPr>
      <w:rFonts w:eastAsiaTheme="minorEastAsia"/>
      <w:sz w:val="24"/>
      <w:szCs w:val="24"/>
      <w:lang w:val="es-ES_tradnl" w:eastAsia="es-ES"/>
    </w:rPr>
  </w:style>
  <w:style w:type="paragraph" w:styleId="Piedepgina">
    <w:name w:val="footer"/>
    <w:basedOn w:val="Normal"/>
    <w:link w:val="PiedepginaCar"/>
    <w:uiPriority w:val="99"/>
    <w:unhideWhenUsed/>
    <w:rsid w:val="00B4444B"/>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B4444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444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444B"/>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B4444B"/>
    <w:rPr>
      <w:color w:val="0563C1" w:themeColor="hyperlink"/>
      <w:u w:val="single"/>
    </w:rPr>
  </w:style>
  <w:style w:type="paragraph" w:customStyle="1" w:styleId="INFOEM">
    <w:name w:val="INFOEM"/>
    <w:basedOn w:val="Normal"/>
    <w:qFormat/>
    <w:rsid w:val="00B4444B"/>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B4444B"/>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4444B"/>
    <w:rPr>
      <w:vertAlign w:val="superscript"/>
    </w:rPr>
  </w:style>
  <w:style w:type="paragraph" w:customStyle="1" w:styleId="Citas">
    <w:name w:val="Citas"/>
    <w:basedOn w:val="Normal"/>
    <w:qFormat/>
    <w:rsid w:val="00B4444B"/>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independiente">
    <w:name w:val="Body Text"/>
    <w:basedOn w:val="Normal"/>
    <w:link w:val="TextoindependienteCar"/>
    <w:uiPriority w:val="1"/>
    <w:unhideWhenUsed/>
    <w:qFormat/>
    <w:rsid w:val="00B4444B"/>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4444B"/>
  </w:style>
  <w:style w:type="paragraph" w:customStyle="1" w:styleId="Fundamentos">
    <w:name w:val="Fundamentos"/>
    <w:basedOn w:val="Normal"/>
    <w:qFormat/>
    <w:rsid w:val="00B4444B"/>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3660</Words>
  <Characters>20135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4</cp:revision>
  <dcterms:created xsi:type="dcterms:W3CDTF">2025-02-10T19:13:00Z</dcterms:created>
  <dcterms:modified xsi:type="dcterms:W3CDTF">2025-02-25T20:12:00Z</dcterms:modified>
</cp:coreProperties>
</file>