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28DC" w14:textId="75E54969"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               </w:t>
      </w:r>
      <w:r w:rsidR="003D5A40" w:rsidRPr="00887863">
        <w:rPr>
          <w:rFonts w:ascii="Palatino Linotype" w:eastAsia="Palatino Linotype" w:hAnsi="Palatino Linotype" w:cs="Palatino Linotype"/>
          <w:sz w:val="22"/>
          <w:szCs w:val="22"/>
        </w:rPr>
        <w:t xml:space="preserve">                              </w:t>
      </w:r>
      <w:r w:rsidRPr="00887863">
        <w:rPr>
          <w:rFonts w:ascii="Palatino Linotype" w:eastAsia="Palatino Linotype" w:hAnsi="Palatino Linotype" w:cs="Palatino Linotype"/>
          <w:sz w:val="22"/>
          <w:szCs w:val="22"/>
        </w:rPr>
        <w:t xml:space="preserve">                                                                                                                                                                 Resolución del Pleno del Instituto de Transparencia, Acceso a la Información Pública y Protección de Datos Personales del Estado de México y Municipios, con domicilio en Metepec, Estado de México, a </w:t>
      </w:r>
      <w:r w:rsidR="00BA312A" w:rsidRPr="00887863">
        <w:rPr>
          <w:rFonts w:ascii="Palatino Linotype" w:eastAsia="Palatino Linotype" w:hAnsi="Palatino Linotype" w:cs="Palatino Linotype"/>
          <w:sz w:val="22"/>
          <w:szCs w:val="22"/>
        </w:rPr>
        <w:t>doce</w:t>
      </w:r>
      <w:r w:rsidRPr="00887863">
        <w:rPr>
          <w:rFonts w:ascii="Palatino Linotype" w:eastAsia="Palatino Linotype" w:hAnsi="Palatino Linotype" w:cs="Palatino Linotype"/>
          <w:sz w:val="22"/>
          <w:szCs w:val="22"/>
        </w:rPr>
        <w:t xml:space="preserve"> de </w:t>
      </w:r>
      <w:r w:rsidR="003D5A40" w:rsidRPr="00887863">
        <w:rPr>
          <w:rFonts w:ascii="Palatino Linotype" w:eastAsia="Palatino Linotype" w:hAnsi="Palatino Linotype" w:cs="Palatino Linotype"/>
          <w:sz w:val="22"/>
          <w:szCs w:val="22"/>
        </w:rPr>
        <w:t>marzo</w:t>
      </w:r>
      <w:r w:rsidRPr="00887863">
        <w:rPr>
          <w:rFonts w:ascii="Palatino Linotype" w:eastAsia="Palatino Linotype" w:hAnsi="Palatino Linotype" w:cs="Palatino Linotype"/>
          <w:sz w:val="22"/>
          <w:szCs w:val="22"/>
        </w:rPr>
        <w:t xml:space="preserve"> de dos mil veinticinco. </w:t>
      </w:r>
    </w:p>
    <w:p w14:paraId="5F2647A0" w14:textId="08A80DBB"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VISTO</w:t>
      </w:r>
      <w:r w:rsidRPr="00887863">
        <w:rPr>
          <w:rFonts w:ascii="Palatino Linotype" w:eastAsia="Palatino Linotype" w:hAnsi="Palatino Linotype" w:cs="Palatino Linotype"/>
          <w:sz w:val="22"/>
          <w:szCs w:val="22"/>
        </w:rPr>
        <w:t xml:space="preserve"> el expediente formado con motivo del recurso de revisión </w:t>
      </w:r>
      <w:r w:rsidR="003D5A40" w:rsidRPr="00887863">
        <w:rPr>
          <w:rFonts w:ascii="Palatino Linotype" w:eastAsia="Palatino Linotype" w:hAnsi="Palatino Linotype" w:cs="Palatino Linotype"/>
          <w:b/>
          <w:sz w:val="22"/>
          <w:szCs w:val="22"/>
        </w:rPr>
        <w:t>00</w:t>
      </w:r>
      <w:r w:rsidR="00BA312A" w:rsidRPr="00887863">
        <w:rPr>
          <w:rFonts w:ascii="Palatino Linotype" w:eastAsia="Palatino Linotype" w:hAnsi="Palatino Linotype" w:cs="Palatino Linotype"/>
          <w:b/>
          <w:sz w:val="22"/>
          <w:szCs w:val="22"/>
        </w:rPr>
        <w:t>934</w:t>
      </w:r>
      <w:r w:rsidR="003D5A40" w:rsidRPr="00887863">
        <w:rPr>
          <w:rFonts w:ascii="Palatino Linotype" w:eastAsia="Palatino Linotype" w:hAnsi="Palatino Linotype" w:cs="Palatino Linotype"/>
          <w:b/>
          <w:sz w:val="22"/>
          <w:szCs w:val="22"/>
        </w:rPr>
        <w:t>/INFOEM/IP/RR/2025</w:t>
      </w:r>
      <w:r w:rsidRPr="00887863">
        <w:rPr>
          <w:rFonts w:ascii="Palatino Linotype" w:eastAsia="Palatino Linotype" w:hAnsi="Palatino Linotype" w:cs="Palatino Linotype"/>
          <w:sz w:val="22"/>
          <w:szCs w:val="22"/>
        </w:rPr>
        <w:t>, por</w:t>
      </w:r>
      <w:r w:rsidRPr="00887863">
        <w:rPr>
          <w:rFonts w:ascii="Palatino Linotype" w:eastAsia="Palatino Linotype" w:hAnsi="Palatino Linotype" w:cs="Palatino Linotype"/>
          <w:b/>
          <w:sz w:val="22"/>
          <w:szCs w:val="22"/>
        </w:rPr>
        <w:t xml:space="preserve"> </w:t>
      </w:r>
      <w:r w:rsidRPr="00887863">
        <w:rPr>
          <w:rFonts w:ascii="Palatino Linotype" w:eastAsia="Palatino Linotype" w:hAnsi="Palatino Linotype" w:cs="Palatino Linotype"/>
          <w:sz w:val="22"/>
          <w:szCs w:val="22"/>
        </w:rPr>
        <w:t>interpuesto por</w:t>
      </w:r>
      <w:r w:rsidRPr="00887863">
        <w:rPr>
          <w:rFonts w:ascii="Palatino Linotype" w:eastAsia="Palatino Linotype" w:hAnsi="Palatino Linotype" w:cs="Palatino Linotype"/>
          <w:b/>
          <w:sz w:val="22"/>
          <w:szCs w:val="22"/>
        </w:rPr>
        <w:t xml:space="preserve"> un particular que no proporcionó su nombre,</w:t>
      </w:r>
      <w:r w:rsidRPr="00887863">
        <w:rPr>
          <w:rFonts w:ascii="Palatino Linotype" w:eastAsia="Palatino Linotype" w:hAnsi="Palatino Linotype" w:cs="Palatino Linotype"/>
          <w:sz w:val="22"/>
          <w:szCs w:val="22"/>
        </w:rPr>
        <w:t xml:space="preserve"> en lo sucesivo la parte </w:t>
      </w:r>
      <w:r w:rsidRPr="00887863">
        <w:rPr>
          <w:rFonts w:ascii="Palatino Linotype" w:eastAsia="Palatino Linotype" w:hAnsi="Palatino Linotype" w:cs="Palatino Linotype"/>
          <w:b/>
          <w:sz w:val="22"/>
          <w:szCs w:val="22"/>
        </w:rPr>
        <w:t>RECURRENTE,</w:t>
      </w:r>
      <w:r w:rsidRPr="00887863">
        <w:rPr>
          <w:rFonts w:ascii="Palatino Linotype" w:eastAsia="Palatino Linotype" w:hAnsi="Palatino Linotype" w:cs="Palatino Linotype"/>
          <w:sz w:val="22"/>
          <w:szCs w:val="22"/>
        </w:rPr>
        <w:t xml:space="preserve"> en contra de la respuesta a su solicitud por parte del </w:t>
      </w:r>
      <w:r w:rsidR="00D3094A" w:rsidRPr="00887863">
        <w:rPr>
          <w:rFonts w:ascii="Palatino Linotype" w:eastAsia="Palatino Linotype" w:hAnsi="Palatino Linotype" w:cs="Palatino Linotype"/>
          <w:b/>
          <w:sz w:val="22"/>
          <w:szCs w:val="22"/>
        </w:rPr>
        <w:t>Ayuntamiento de Toluca</w:t>
      </w:r>
      <w:r w:rsidRPr="00887863">
        <w:rPr>
          <w:rFonts w:ascii="Palatino Linotype" w:eastAsia="Palatino Linotype" w:hAnsi="Palatino Linotype" w:cs="Palatino Linotype"/>
          <w:b/>
          <w:sz w:val="22"/>
          <w:szCs w:val="22"/>
        </w:rPr>
        <w:t xml:space="preserve">, </w:t>
      </w:r>
      <w:r w:rsidRPr="00887863">
        <w:rPr>
          <w:rFonts w:ascii="Palatino Linotype" w:eastAsia="Palatino Linotype" w:hAnsi="Palatino Linotype" w:cs="Palatino Linotype"/>
          <w:sz w:val="22"/>
          <w:szCs w:val="22"/>
        </w:rPr>
        <w:t xml:space="preserve">en lo sucesivo el </w:t>
      </w:r>
      <w:r w:rsidRPr="00887863">
        <w:rPr>
          <w:rFonts w:ascii="Palatino Linotype" w:eastAsia="Palatino Linotype" w:hAnsi="Palatino Linotype" w:cs="Palatino Linotype"/>
          <w:b/>
          <w:sz w:val="22"/>
          <w:szCs w:val="22"/>
        </w:rPr>
        <w:t xml:space="preserve">SUJETO OBLIGADO, </w:t>
      </w:r>
      <w:r w:rsidRPr="00887863">
        <w:rPr>
          <w:rFonts w:ascii="Palatino Linotype" w:eastAsia="Palatino Linotype" w:hAnsi="Palatino Linotype" w:cs="Palatino Linotype"/>
          <w:sz w:val="22"/>
          <w:szCs w:val="22"/>
        </w:rPr>
        <w:t xml:space="preserve">se procede a dictar la presente resolución con base en los siguientes:  </w:t>
      </w:r>
    </w:p>
    <w:p w14:paraId="5A96BECF" w14:textId="77777777" w:rsidR="00003AD2" w:rsidRPr="00887863" w:rsidRDefault="00C82866">
      <w:pPr>
        <w:spacing w:before="240" w:after="240" w:line="360" w:lineRule="auto"/>
        <w:jc w:val="center"/>
        <w:rPr>
          <w:rFonts w:ascii="Palatino Linotype" w:eastAsia="Palatino Linotype" w:hAnsi="Palatino Linotype" w:cs="Palatino Linotype"/>
          <w:b/>
          <w:sz w:val="22"/>
          <w:szCs w:val="22"/>
        </w:rPr>
      </w:pPr>
      <w:r w:rsidRPr="00887863">
        <w:rPr>
          <w:rFonts w:ascii="Palatino Linotype" w:eastAsia="Palatino Linotype" w:hAnsi="Palatino Linotype" w:cs="Palatino Linotype"/>
          <w:b/>
          <w:sz w:val="22"/>
          <w:szCs w:val="22"/>
        </w:rPr>
        <w:t>I. A N T E C E D E N T E S</w:t>
      </w:r>
    </w:p>
    <w:p w14:paraId="6422E470" w14:textId="7EEAC72B"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1. Solicitud de acceso a la información.</w:t>
      </w:r>
      <w:r w:rsidRPr="00887863">
        <w:rPr>
          <w:rFonts w:ascii="Palatino Linotype" w:eastAsia="Palatino Linotype" w:hAnsi="Palatino Linotype" w:cs="Palatino Linotype"/>
          <w:sz w:val="22"/>
          <w:szCs w:val="22"/>
        </w:rPr>
        <w:t xml:space="preserve"> Con fecha </w:t>
      </w:r>
      <w:r w:rsidR="00BA312A" w:rsidRPr="00887863">
        <w:rPr>
          <w:rFonts w:ascii="Palatino Linotype" w:eastAsia="Palatino Linotype" w:hAnsi="Palatino Linotype" w:cs="Palatino Linotype"/>
          <w:b/>
          <w:bCs/>
          <w:sz w:val="22"/>
          <w:szCs w:val="22"/>
        </w:rPr>
        <w:t>dieciséis</w:t>
      </w:r>
      <w:r w:rsidRPr="00887863">
        <w:rPr>
          <w:rFonts w:ascii="Palatino Linotype" w:eastAsia="Palatino Linotype" w:hAnsi="Palatino Linotype" w:cs="Palatino Linotype"/>
          <w:b/>
          <w:sz w:val="22"/>
          <w:szCs w:val="22"/>
        </w:rPr>
        <w:t xml:space="preserve"> de </w:t>
      </w:r>
      <w:r w:rsidR="00746B13" w:rsidRPr="00887863">
        <w:rPr>
          <w:rFonts w:ascii="Palatino Linotype" w:eastAsia="Palatino Linotype" w:hAnsi="Palatino Linotype" w:cs="Palatino Linotype"/>
          <w:b/>
          <w:sz w:val="22"/>
          <w:szCs w:val="22"/>
        </w:rPr>
        <w:t>enero</w:t>
      </w:r>
      <w:r w:rsidRPr="00887863">
        <w:rPr>
          <w:rFonts w:ascii="Palatino Linotype" w:eastAsia="Palatino Linotype" w:hAnsi="Palatino Linotype" w:cs="Palatino Linotype"/>
          <w:b/>
          <w:sz w:val="22"/>
          <w:szCs w:val="22"/>
        </w:rPr>
        <w:t xml:space="preserve"> de dos mil veintic</w:t>
      </w:r>
      <w:r w:rsidR="003D5A40" w:rsidRPr="00887863">
        <w:rPr>
          <w:rFonts w:ascii="Palatino Linotype" w:eastAsia="Palatino Linotype" w:hAnsi="Palatino Linotype" w:cs="Palatino Linotype"/>
          <w:b/>
          <w:sz w:val="22"/>
          <w:szCs w:val="22"/>
        </w:rPr>
        <w:t>inco</w:t>
      </w:r>
      <w:r w:rsidRPr="00887863">
        <w:rPr>
          <w:rFonts w:ascii="Palatino Linotype" w:eastAsia="Palatino Linotype" w:hAnsi="Palatino Linotype" w:cs="Palatino Linotype"/>
          <w:sz w:val="22"/>
          <w:szCs w:val="22"/>
        </w:rPr>
        <w:t>, el R</w:t>
      </w:r>
      <w:r w:rsidR="003D5A40" w:rsidRPr="00887863">
        <w:rPr>
          <w:rFonts w:ascii="Palatino Linotype" w:eastAsia="Palatino Linotype" w:hAnsi="Palatino Linotype" w:cs="Palatino Linotype"/>
          <w:sz w:val="22"/>
          <w:szCs w:val="22"/>
        </w:rPr>
        <w:t>ecurrente formuló una solicitud,</w:t>
      </w:r>
      <w:r w:rsidRPr="00887863">
        <w:rPr>
          <w:rFonts w:ascii="Palatino Linotype" w:eastAsia="Palatino Linotype" w:hAnsi="Palatino Linotype" w:cs="Palatino Linotype"/>
          <w:sz w:val="22"/>
          <w:szCs w:val="22"/>
        </w:rPr>
        <w:t xml:space="preserve"> través del Sistema de Acceso a la Información Mexiquense, en lo subsecuente el </w:t>
      </w:r>
      <w:r w:rsidRPr="00887863">
        <w:rPr>
          <w:rFonts w:ascii="Palatino Linotype" w:eastAsia="Palatino Linotype" w:hAnsi="Palatino Linotype" w:cs="Palatino Linotype"/>
          <w:b/>
          <w:sz w:val="22"/>
          <w:szCs w:val="22"/>
        </w:rPr>
        <w:t>SAIMEX,</w:t>
      </w:r>
      <w:r w:rsidRPr="00887863">
        <w:rPr>
          <w:rFonts w:ascii="Palatino Linotype" w:eastAsia="Palatino Linotype" w:hAnsi="Palatino Linotype" w:cs="Palatino Linotype"/>
          <w:sz w:val="22"/>
          <w:szCs w:val="22"/>
        </w:rPr>
        <w:t xml:space="preserve"> ante el </w:t>
      </w:r>
      <w:r w:rsidRPr="00887863">
        <w:rPr>
          <w:rFonts w:ascii="Palatino Linotype" w:eastAsia="Palatino Linotype" w:hAnsi="Palatino Linotype" w:cs="Palatino Linotype"/>
          <w:b/>
          <w:sz w:val="22"/>
          <w:szCs w:val="22"/>
        </w:rPr>
        <w:t>SUJETO OBLIGADO</w:t>
      </w:r>
      <w:r w:rsidRPr="00887863">
        <w:rPr>
          <w:rFonts w:ascii="Palatino Linotype" w:eastAsia="Palatino Linotype" w:hAnsi="Palatino Linotype" w:cs="Palatino Linotype"/>
          <w:sz w:val="22"/>
          <w:szCs w:val="22"/>
        </w:rPr>
        <w:t>, la solicitud de acceso a la información pública, a la que se le asignó el número</w:t>
      </w:r>
      <w:r w:rsidRPr="00887863">
        <w:rPr>
          <w:rFonts w:ascii="Palatino Linotype" w:eastAsia="Palatino Linotype" w:hAnsi="Palatino Linotype" w:cs="Palatino Linotype"/>
          <w:b/>
          <w:sz w:val="22"/>
          <w:szCs w:val="22"/>
        </w:rPr>
        <w:t xml:space="preserve"> </w:t>
      </w:r>
      <w:r w:rsidR="00BA312A" w:rsidRPr="00887863">
        <w:rPr>
          <w:rFonts w:ascii="Palatino Linotype" w:eastAsia="Palatino Linotype" w:hAnsi="Palatino Linotype" w:cs="Palatino Linotype"/>
          <w:b/>
          <w:iCs/>
          <w:sz w:val="22"/>
          <w:szCs w:val="22"/>
        </w:rPr>
        <w:t>00331/TOLUCAIP/2025</w:t>
      </w:r>
      <w:r w:rsidRPr="00887863">
        <w:rPr>
          <w:rFonts w:ascii="Palatino Linotype" w:eastAsia="Palatino Linotype" w:hAnsi="Palatino Linotype" w:cs="Palatino Linotype"/>
          <w:b/>
          <w:sz w:val="22"/>
          <w:szCs w:val="22"/>
        </w:rPr>
        <w:t xml:space="preserve">, </w:t>
      </w:r>
      <w:r w:rsidRPr="00887863">
        <w:rPr>
          <w:rFonts w:ascii="Palatino Linotype" w:eastAsia="Palatino Linotype" w:hAnsi="Palatino Linotype" w:cs="Palatino Linotype"/>
          <w:sz w:val="22"/>
          <w:szCs w:val="22"/>
        </w:rPr>
        <w:t xml:space="preserve">mediante la cual requirió la información siguiente:  </w:t>
      </w:r>
    </w:p>
    <w:p w14:paraId="29A28357" w14:textId="5EA20B33" w:rsidR="00003AD2" w:rsidRPr="00887863" w:rsidRDefault="00C82866">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887863">
        <w:rPr>
          <w:rFonts w:ascii="Palatino Linotype" w:eastAsia="Palatino Linotype" w:hAnsi="Palatino Linotype" w:cs="Palatino Linotype"/>
          <w:i/>
          <w:sz w:val="22"/>
          <w:szCs w:val="22"/>
        </w:rPr>
        <w:t>“</w:t>
      </w:r>
      <w:r w:rsidR="00BA312A" w:rsidRPr="00887863">
        <w:rPr>
          <w:rFonts w:ascii="Palatino Linotype" w:eastAsia="Palatino Linotype" w:hAnsi="Palatino Linotype" w:cs="Palatino Linotype"/>
          <w:i/>
          <w:sz w:val="22"/>
          <w:szCs w:val="22"/>
        </w:rPr>
        <w:t>Las actas de sesión de cabildo donde se aprueban licencias de funcionamiento 2024</w:t>
      </w:r>
      <w:r w:rsidRPr="00887863">
        <w:rPr>
          <w:rFonts w:ascii="Palatino Linotype" w:eastAsia="Palatino Linotype" w:hAnsi="Palatino Linotype" w:cs="Palatino Linotype"/>
          <w:i/>
          <w:sz w:val="22"/>
          <w:szCs w:val="22"/>
        </w:rPr>
        <w:t>” (Sic)</w:t>
      </w:r>
    </w:p>
    <w:p w14:paraId="5A957499" w14:textId="77777777" w:rsidR="00003AD2" w:rsidRPr="00887863" w:rsidRDefault="00003AD2">
      <w:pPr>
        <w:ind w:left="851" w:right="902"/>
        <w:jc w:val="both"/>
        <w:rPr>
          <w:rFonts w:ascii="Palatino Linotype" w:eastAsia="Palatino Linotype" w:hAnsi="Palatino Linotype" w:cs="Palatino Linotype"/>
          <w:i/>
          <w:sz w:val="22"/>
          <w:szCs w:val="22"/>
        </w:rPr>
      </w:pPr>
    </w:p>
    <w:p w14:paraId="32A7032D" w14:textId="77777777" w:rsidR="00003AD2" w:rsidRPr="00887863" w:rsidRDefault="00C8286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Modalidad de Entrega:</w:t>
      </w:r>
      <w:r w:rsidRPr="00887863">
        <w:rPr>
          <w:rFonts w:ascii="Palatino Linotype" w:eastAsia="Palatino Linotype" w:hAnsi="Palatino Linotype" w:cs="Palatino Linotype"/>
          <w:sz w:val="22"/>
          <w:szCs w:val="22"/>
        </w:rPr>
        <w:t xml:space="preserve"> A través de SAIMEX.</w:t>
      </w:r>
    </w:p>
    <w:p w14:paraId="4C3196E9" w14:textId="77777777" w:rsidR="00003AD2" w:rsidRPr="00887863" w:rsidRDefault="00003AD2">
      <w:pPr>
        <w:spacing w:line="360" w:lineRule="auto"/>
        <w:jc w:val="both"/>
        <w:rPr>
          <w:rFonts w:ascii="Palatino Linotype" w:eastAsia="Palatino Linotype" w:hAnsi="Palatino Linotype" w:cs="Palatino Linotype"/>
          <w:sz w:val="22"/>
          <w:szCs w:val="22"/>
        </w:rPr>
      </w:pPr>
    </w:p>
    <w:p w14:paraId="25774003" w14:textId="39051A9A" w:rsidR="00003AD2" w:rsidRPr="00887863" w:rsidRDefault="00C82866">
      <w:pPr>
        <w:spacing w:after="240" w:line="360" w:lineRule="auto"/>
        <w:jc w:val="both"/>
        <w:rPr>
          <w:rFonts w:ascii="Palatino Linotype" w:eastAsia="Palatino Linotype" w:hAnsi="Palatino Linotype" w:cs="Palatino Linotype"/>
          <w:b/>
          <w:sz w:val="22"/>
          <w:szCs w:val="22"/>
        </w:rPr>
      </w:pPr>
      <w:r w:rsidRPr="00887863">
        <w:rPr>
          <w:rFonts w:ascii="Palatino Linotype" w:eastAsia="Palatino Linotype" w:hAnsi="Palatino Linotype" w:cs="Palatino Linotype"/>
          <w:b/>
          <w:sz w:val="22"/>
          <w:szCs w:val="22"/>
        </w:rPr>
        <w:t xml:space="preserve">2. Respuesta. </w:t>
      </w:r>
      <w:r w:rsidRPr="00887863">
        <w:rPr>
          <w:rFonts w:ascii="Palatino Linotype" w:eastAsia="Palatino Linotype" w:hAnsi="Palatino Linotype" w:cs="Palatino Linotype"/>
          <w:sz w:val="22"/>
          <w:szCs w:val="22"/>
        </w:rPr>
        <w:t xml:space="preserve">Con fecha </w:t>
      </w:r>
      <w:r w:rsidR="00BA312A" w:rsidRPr="00887863">
        <w:rPr>
          <w:rFonts w:ascii="Palatino Linotype" w:eastAsia="Palatino Linotype" w:hAnsi="Palatino Linotype" w:cs="Palatino Linotype"/>
          <w:b/>
          <w:sz w:val="22"/>
          <w:szCs w:val="22"/>
        </w:rPr>
        <w:t>siete</w:t>
      </w:r>
      <w:r w:rsidR="003D5A40" w:rsidRPr="00887863">
        <w:rPr>
          <w:rFonts w:ascii="Palatino Linotype" w:eastAsia="Palatino Linotype" w:hAnsi="Palatino Linotype" w:cs="Palatino Linotype"/>
          <w:b/>
          <w:sz w:val="22"/>
          <w:szCs w:val="22"/>
        </w:rPr>
        <w:t xml:space="preserve"> de febrero</w:t>
      </w:r>
      <w:r w:rsidRPr="00887863">
        <w:rPr>
          <w:rFonts w:ascii="Palatino Linotype" w:eastAsia="Palatino Linotype" w:hAnsi="Palatino Linotype" w:cs="Palatino Linotype"/>
          <w:b/>
          <w:sz w:val="22"/>
          <w:szCs w:val="22"/>
        </w:rPr>
        <w:t xml:space="preserve"> de dos mil veinticinco</w:t>
      </w:r>
      <w:r w:rsidRPr="00887863">
        <w:rPr>
          <w:rFonts w:ascii="Palatino Linotype" w:eastAsia="Palatino Linotype" w:hAnsi="Palatino Linotype" w:cs="Palatino Linotype"/>
          <w:sz w:val="22"/>
          <w:szCs w:val="22"/>
        </w:rPr>
        <w:t xml:space="preserve">, el </w:t>
      </w:r>
      <w:r w:rsidRPr="00887863">
        <w:rPr>
          <w:rFonts w:ascii="Palatino Linotype" w:eastAsia="Palatino Linotype" w:hAnsi="Palatino Linotype" w:cs="Palatino Linotype"/>
          <w:b/>
          <w:sz w:val="22"/>
          <w:szCs w:val="22"/>
        </w:rPr>
        <w:t xml:space="preserve">SUJETO OBLIGADO </w:t>
      </w:r>
      <w:r w:rsidRPr="0088786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A100E2D" w14:textId="77777777" w:rsidR="00BA312A" w:rsidRPr="00887863" w:rsidRDefault="00C82866" w:rsidP="00BA312A">
      <w:pPr>
        <w:spacing w:before="240" w:after="240"/>
        <w:ind w:left="851" w:right="902"/>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r w:rsidR="00BA312A" w:rsidRPr="00887863">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w:t>
      </w:r>
      <w:r w:rsidR="00BA312A" w:rsidRPr="00887863">
        <w:rPr>
          <w:rFonts w:ascii="Palatino Linotype" w:eastAsia="Palatino Linotype" w:hAnsi="Palatino Linotype" w:cs="Palatino Linotype"/>
          <w:i/>
          <w:sz w:val="22"/>
          <w:szCs w:val="22"/>
        </w:rPr>
        <w:lastRenderedPageBreak/>
        <w:t>Transparencia y Acceso a la Información Pública del Estado de México y Municipios, le contestamos que:</w:t>
      </w:r>
    </w:p>
    <w:p w14:paraId="44FC96CF" w14:textId="77777777" w:rsidR="00BA312A" w:rsidRPr="00887863" w:rsidRDefault="00BA312A" w:rsidP="00BA312A">
      <w:pPr>
        <w:spacing w:before="240" w:after="240"/>
        <w:ind w:left="851" w:right="902"/>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En atención a la solicitud con folio 0331/TOLUCA/IP/2025, me permito adjuntar al presente la respuesta correspondiente. Sin más por el momento, reciba un saludo.</w:t>
      </w:r>
    </w:p>
    <w:p w14:paraId="29326176" w14:textId="77777777" w:rsidR="00BA312A" w:rsidRPr="00887863" w:rsidRDefault="00BA312A" w:rsidP="00BA312A">
      <w:pPr>
        <w:spacing w:before="240" w:after="240"/>
        <w:ind w:left="851" w:right="902"/>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ATENTAMENTE</w:t>
      </w:r>
    </w:p>
    <w:p w14:paraId="0535B6C2" w14:textId="0CD1B2AE" w:rsidR="00003AD2" w:rsidRPr="00887863" w:rsidRDefault="00BA312A" w:rsidP="00BA312A">
      <w:pPr>
        <w:spacing w:before="240" w:after="240"/>
        <w:ind w:left="851" w:right="902"/>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Dr. Nahum Miguel Mendoza Morales</w:t>
      </w:r>
      <w:r w:rsidR="00C82866" w:rsidRPr="00887863">
        <w:rPr>
          <w:rFonts w:ascii="Palatino Linotype" w:eastAsia="Palatino Linotype" w:hAnsi="Palatino Linotype" w:cs="Palatino Linotype"/>
          <w:i/>
          <w:sz w:val="22"/>
          <w:szCs w:val="22"/>
        </w:rPr>
        <w:t>” (Sic)</w:t>
      </w:r>
    </w:p>
    <w:p w14:paraId="78B0F209" w14:textId="77777777" w:rsidR="00003AD2" w:rsidRPr="00887863" w:rsidRDefault="00C82866">
      <w:pPr>
        <w:spacing w:before="240"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El </w:t>
      </w:r>
      <w:r w:rsidRPr="00887863">
        <w:rPr>
          <w:rFonts w:ascii="Palatino Linotype" w:eastAsia="Palatino Linotype" w:hAnsi="Palatino Linotype" w:cs="Palatino Linotype"/>
          <w:b/>
          <w:sz w:val="22"/>
          <w:szCs w:val="22"/>
        </w:rPr>
        <w:t>SUJETO OBLIGADO</w:t>
      </w:r>
      <w:r w:rsidRPr="00887863">
        <w:rPr>
          <w:rFonts w:ascii="Palatino Linotype" w:eastAsia="Palatino Linotype" w:hAnsi="Palatino Linotype" w:cs="Palatino Linotype"/>
          <w:sz w:val="22"/>
          <w:szCs w:val="22"/>
        </w:rPr>
        <w:t xml:space="preserve"> adjuntó </w:t>
      </w:r>
      <w:r w:rsidR="003D5A40" w:rsidRPr="00887863">
        <w:rPr>
          <w:rFonts w:ascii="Palatino Linotype" w:eastAsia="Palatino Linotype" w:hAnsi="Palatino Linotype" w:cs="Palatino Linotype"/>
          <w:sz w:val="22"/>
          <w:szCs w:val="22"/>
        </w:rPr>
        <w:t>los</w:t>
      </w:r>
      <w:r w:rsidRPr="00887863">
        <w:rPr>
          <w:rFonts w:ascii="Palatino Linotype" w:eastAsia="Palatino Linotype" w:hAnsi="Palatino Linotype" w:cs="Palatino Linotype"/>
          <w:sz w:val="22"/>
          <w:szCs w:val="22"/>
        </w:rPr>
        <w:t xml:space="preserve"> siguiente</w:t>
      </w:r>
      <w:r w:rsidR="003D5A40" w:rsidRPr="00887863">
        <w:rPr>
          <w:rFonts w:ascii="Palatino Linotype" w:eastAsia="Palatino Linotype" w:hAnsi="Palatino Linotype" w:cs="Palatino Linotype"/>
          <w:sz w:val="22"/>
          <w:szCs w:val="22"/>
        </w:rPr>
        <w:t>s</w:t>
      </w:r>
      <w:r w:rsidRPr="00887863">
        <w:rPr>
          <w:rFonts w:ascii="Palatino Linotype" w:eastAsia="Palatino Linotype" w:hAnsi="Palatino Linotype" w:cs="Palatino Linotype"/>
          <w:sz w:val="22"/>
          <w:szCs w:val="22"/>
        </w:rPr>
        <w:t xml:space="preserve"> archivo</w:t>
      </w:r>
      <w:r w:rsidR="003D5A40" w:rsidRPr="00887863">
        <w:rPr>
          <w:rFonts w:ascii="Palatino Linotype" w:eastAsia="Palatino Linotype" w:hAnsi="Palatino Linotype" w:cs="Palatino Linotype"/>
          <w:sz w:val="22"/>
          <w:szCs w:val="22"/>
        </w:rPr>
        <w:t>s</w:t>
      </w:r>
      <w:r w:rsidRPr="00887863">
        <w:rPr>
          <w:rFonts w:ascii="Palatino Linotype" w:eastAsia="Palatino Linotype" w:hAnsi="Palatino Linotype" w:cs="Palatino Linotype"/>
          <w:sz w:val="22"/>
          <w:szCs w:val="22"/>
        </w:rPr>
        <w:t xml:space="preserve"> electrónico</w:t>
      </w:r>
      <w:r w:rsidR="003D5A40" w:rsidRPr="00887863">
        <w:rPr>
          <w:rFonts w:ascii="Palatino Linotype" w:eastAsia="Palatino Linotype" w:hAnsi="Palatino Linotype" w:cs="Palatino Linotype"/>
          <w:sz w:val="22"/>
          <w:szCs w:val="22"/>
        </w:rPr>
        <w:t>s</w:t>
      </w:r>
      <w:r w:rsidRPr="00887863">
        <w:rPr>
          <w:rFonts w:ascii="Palatino Linotype" w:eastAsia="Palatino Linotype" w:hAnsi="Palatino Linotype" w:cs="Palatino Linotype"/>
          <w:sz w:val="22"/>
          <w:szCs w:val="22"/>
        </w:rPr>
        <w:t>:</w:t>
      </w:r>
    </w:p>
    <w:p w14:paraId="529F4F45" w14:textId="6B9F961D" w:rsidR="00BA312A" w:rsidRPr="00887863" w:rsidRDefault="00BA312A" w:rsidP="003D5A40">
      <w:pPr>
        <w:numPr>
          <w:ilvl w:val="0"/>
          <w:numId w:val="6"/>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887863">
        <w:rPr>
          <w:rFonts w:ascii="Palatino Linotype" w:eastAsia="Palatino Linotype" w:hAnsi="Palatino Linotype" w:cs="Palatino Linotype"/>
          <w:b/>
          <w:sz w:val="22"/>
          <w:szCs w:val="22"/>
        </w:rPr>
        <w:t xml:space="preserve">SA anexo 0331.pdf: </w:t>
      </w:r>
      <w:r w:rsidRPr="00887863">
        <w:rPr>
          <w:rFonts w:ascii="Palatino Linotype" w:eastAsia="Palatino Linotype" w:hAnsi="Palatino Linotype" w:cs="Palatino Linotype"/>
          <w:bCs/>
          <w:sz w:val="22"/>
          <w:szCs w:val="22"/>
        </w:rPr>
        <w:t>Documento que se integra de 174 páginas que contiene diversas actas de cabildo del año 2024.</w:t>
      </w:r>
    </w:p>
    <w:p w14:paraId="3DE495C0" w14:textId="6FAD50CF" w:rsidR="00BA312A" w:rsidRPr="00887863" w:rsidRDefault="00BA312A" w:rsidP="003D5A40">
      <w:pPr>
        <w:numPr>
          <w:ilvl w:val="0"/>
          <w:numId w:val="6"/>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887863">
        <w:rPr>
          <w:rFonts w:ascii="Palatino Linotype" w:eastAsia="Palatino Linotype" w:hAnsi="Palatino Linotype" w:cs="Palatino Linotype"/>
          <w:b/>
          <w:sz w:val="22"/>
          <w:szCs w:val="22"/>
        </w:rPr>
        <w:t xml:space="preserve">RESPUESTA 331.2025.pdf: </w:t>
      </w:r>
      <w:r w:rsidRPr="00887863">
        <w:rPr>
          <w:rFonts w:ascii="Palatino Linotype" w:eastAsia="Palatino Linotype" w:hAnsi="Palatino Linotype" w:cs="Palatino Linotype"/>
          <w:bCs/>
          <w:sz w:val="22"/>
          <w:szCs w:val="22"/>
        </w:rPr>
        <w:t>Documento sin número de oficio suscrito por el Titular de la Unidad de Transparencia, mediante el cual refiere que la Secretaría del Ayuntamiento informó que proporciona las actas de cabildo del año 2024, donde se aprobaron licencias de funcionamiento</w:t>
      </w:r>
      <w:r w:rsidR="00CA4554" w:rsidRPr="00887863">
        <w:rPr>
          <w:rFonts w:ascii="Palatino Linotype" w:eastAsia="Palatino Linotype" w:hAnsi="Palatino Linotype" w:cs="Palatino Linotype"/>
          <w:bCs/>
          <w:sz w:val="22"/>
          <w:szCs w:val="22"/>
        </w:rPr>
        <w:t>, de conformidad con el artículo 12 y 24 de la Ley de Transparencia y Acceso a la Información Pública del Estado de México y Municipios.</w:t>
      </w:r>
    </w:p>
    <w:p w14:paraId="21E4F53B" w14:textId="3400235E" w:rsidR="00003AD2" w:rsidRPr="00887863" w:rsidRDefault="00C82866">
      <w:pPr>
        <w:spacing w:before="240"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 xml:space="preserve">3. Interposición del recurso de revisión. </w:t>
      </w:r>
      <w:r w:rsidRPr="00887863">
        <w:rPr>
          <w:rFonts w:ascii="Palatino Linotype" w:eastAsia="Palatino Linotype" w:hAnsi="Palatino Linotype" w:cs="Palatino Linotype"/>
          <w:sz w:val="22"/>
          <w:szCs w:val="22"/>
        </w:rPr>
        <w:t xml:space="preserve">Inconforme con los términos de la respuesta emitida por parte del </w:t>
      </w:r>
      <w:r w:rsidRPr="00887863">
        <w:rPr>
          <w:rFonts w:ascii="Palatino Linotype" w:eastAsia="Palatino Linotype" w:hAnsi="Palatino Linotype" w:cs="Palatino Linotype"/>
          <w:b/>
          <w:sz w:val="22"/>
          <w:szCs w:val="22"/>
        </w:rPr>
        <w:t>SUJETO OBLIGADO</w:t>
      </w:r>
      <w:r w:rsidRPr="00887863">
        <w:rPr>
          <w:rFonts w:ascii="Palatino Linotype" w:eastAsia="Palatino Linotype" w:hAnsi="Palatino Linotype" w:cs="Palatino Linotype"/>
          <w:sz w:val="22"/>
          <w:szCs w:val="22"/>
        </w:rPr>
        <w:t xml:space="preserve">, </w:t>
      </w:r>
      <w:r w:rsidR="002D59B8" w:rsidRPr="00887863">
        <w:rPr>
          <w:rFonts w:ascii="Palatino Linotype" w:eastAsia="Palatino Linotype" w:hAnsi="Palatino Linotype" w:cs="Palatino Linotype"/>
          <w:sz w:val="22"/>
          <w:szCs w:val="22"/>
        </w:rPr>
        <w:t xml:space="preserve">el nueve de febrero de dos mil veinticinco, </w:t>
      </w:r>
      <w:r w:rsidRPr="00887863">
        <w:rPr>
          <w:rFonts w:ascii="Palatino Linotype" w:eastAsia="Palatino Linotype" w:hAnsi="Palatino Linotype" w:cs="Palatino Linotype"/>
          <w:sz w:val="22"/>
          <w:szCs w:val="22"/>
        </w:rPr>
        <w:t xml:space="preserve">la parte </w:t>
      </w:r>
      <w:r w:rsidRPr="00887863">
        <w:rPr>
          <w:rFonts w:ascii="Palatino Linotype" w:eastAsia="Palatino Linotype" w:hAnsi="Palatino Linotype" w:cs="Palatino Linotype"/>
          <w:b/>
          <w:sz w:val="22"/>
          <w:szCs w:val="22"/>
        </w:rPr>
        <w:t>RECURRENTE</w:t>
      </w:r>
      <w:r w:rsidRPr="00887863">
        <w:rPr>
          <w:rFonts w:ascii="Palatino Linotype" w:eastAsia="Palatino Linotype" w:hAnsi="Palatino Linotype" w:cs="Palatino Linotype"/>
          <w:sz w:val="22"/>
          <w:szCs w:val="22"/>
        </w:rPr>
        <w:t xml:space="preserve"> interpuso el recurso de revisión a través de </w:t>
      </w:r>
      <w:r w:rsidR="002D59B8" w:rsidRPr="00887863">
        <w:rPr>
          <w:rFonts w:ascii="Palatino Linotype" w:eastAsia="Palatino Linotype" w:hAnsi="Palatino Linotype" w:cs="Palatino Linotype"/>
          <w:b/>
          <w:sz w:val="22"/>
          <w:szCs w:val="22"/>
        </w:rPr>
        <w:t xml:space="preserve">SAIMEX; sin embargo, al corresponder a día inhábil, se tuvo por presentado el </w:t>
      </w:r>
      <w:r w:rsidR="002D59B8" w:rsidRPr="00887863">
        <w:rPr>
          <w:rFonts w:ascii="Palatino Linotype" w:eastAsia="Palatino Linotype" w:hAnsi="Palatino Linotype" w:cs="Palatino Linotype"/>
          <w:b/>
          <w:bCs/>
          <w:sz w:val="22"/>
          <w:szCs w:val="22"/>
        </w:rPr>
        <w:t>diez</w:t>
      </w:r>
      <w:r w:rsidR="002D59B8" w:rsidRPr="00887863">
        <w:rPr>
          <w:rFonts w:ascii="Palatino Linotype" w:eastAsia="Palatino Linotype" w:hAnsi="Palatino Linotype" w:cs="Palatino Linotype"/>
          <w:sz w:val="22"/>
          <w:szCs w:val="22"/>
        </w:rPr>
        <w:t xml:space="preserve"> </w:t>
      </w:r>
      <w:r w:rsidR="002D59B8" w:rsidRPr="00887863">
        <w:rPr>
          <w:rFonts w:ascii="Palatino Linotype" w:eastAsia="Palatino Linotype" w:hAnsi="Palatino Linotype" w:cs="Palatino Linotype"/>
          <w:b/>
          <w:sz w:val="22"/>
          <w:szCs w:val="22"/>
        </w:rPr>
        <w:t>de febrero del año dos mil veinticinco</w:t>
      </w:r>
      <w:r w:rsidR="002D59B8" w:rsidRPr="00887863">
        <w:rPr>
          <w:rFonts w:ascii="Palatino Linotype" w:eastAsia="Palatino Linotype" w:hAnsi="Palatino Linotype" w:cs="Palatino Linotype"/>
          <w:sz w:val="22"/>
          <w:szCs w:val="22"/>
        </w:rPr>
        <w:t xml:space="preserve">, </w:t>
      </w:r>
      <w:r w:rsidRPr="00887863">
        <w:rPr>
          <w:rFonts w:ascii="Palatino Linotype" w:eastAsia="Palatino Linotype" w:hAnsi="Palatino Linotype" w:cs="Palatino Linotype"/>
          <w:sz w:val="22"/>
          <w:szCs w:val="22"/>
        </w:rPr>
        <w:t>en donde se manifestó de la siguiente manera:</w:t>
      </w:r>
    </w:p>
    <w:p w14:paraId="67A0920D" w14:textId="77777777" w:rsidR="00003AD2" w:rsidRPr="00887863" w:rsidRDefault="00C82866">
      <w:pPr>
        <w:numPr>
          <w:ilvl w:val="0"/>
          <w:numId w:val="6"/>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887863">
        <w:rPr>
          <w:rFonts w:ascii="Palatino Linotype" w:eastAsia="Palatino Linotype" w:hAnsi="Palatino Linotype" w:cs="Palatino Linotype"/>
          <w:b/>
          <w:sz w:val="22"/>
          <w:szCs w:val="22"/>
        </w:rPr>
        <w:t xml:space="preserve">Acto impugnado: </w:t>
      </w:r>
    </w:p>
    <w:p w14:paraId="160FF0B7" w14:textId="4C9DDB9B" w:rsidR="00003AD2" w:rsidRPr="00887863" w:rsidRDefault="00C82866">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r w:rsidR="00792A42" w:rsidRPr="00887863">
        <w:rPr>
          <w:rFonts w:ascii="Palatino Linotype" w:eastAsia="Palatino Linotype" w:hAnsi="Palatino Linotype" w:cs="Palatino Linotype"/>
          <w:i/>
          <w:sz w:val="22"/>
          <w:szCs w:val="22"/>
        </w:rPr>
        <w:t>Información incompleta solo dan una acta</w:t>
      </w:r>
      <w:r w:rsidRPr="00887863">
        <w:rPr>
          <w:rFonts w:ascii="Palatino Linotype" w:eastAsia="Palatino Linotype" w:hAnsi="Palatino Linotype" w:cs="Palatino Linotype"/>
          <w:i/>
          <w:sz w:val="22"/>
          <w:szCs w:val="22"/>
        </w:rPr>
        <w:t>” (Sic)</w:t>
      </w:r>
    </w:p>
    <w:p w14:paraId="7C9256D9" w14:textId="77777777" w:rsidR="00003AD2" w:rsidRPr="00887863" w:rsidRDefault="00003AD2">
      <w:pPr>
        <w:ind w:left="851" w:right="902"/>
        <w:jc w:val="both"/>
        <w:rPr>
          <w:rFonts w:ascii="Palatino Linotype" w:eastAsia="Palatino Linotype" w:hAnsi="Palatino Linotype" w:cs="Palatino Linotype"/>
          <w:i/>
          <w:sz w:val="22"/>
          <w:szCs w:val="22"/>
        </w:rPr>
      </w:pPr>
    </w:p>
    <w:p w14:paraId="151AAFC8" w14:textId="77777777" w:rsidR="00003AD2" w:rsidRPr="00887863" w:rsidRDefault="00C8286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Y Razones o motivos de inconformidad</w:t>
      </w:r>
      <w:r w:rsidRPr="00887863">
        <w:rPr>
          <w:rFonts w:ascii="Palatino Linotype" w:eastAsia="Palatino Linotype" w:hAnsi="Palatino Linotype" w:cs="Palatino Linotype"/>
          <w:sz w:val="22"/>
          <w:szCs w:val="22"/>
        </w:rPr>
        <w:t>:</w:t>
      </w:r>
    </w:p>
    <w:p w14:paraId="3BD64354" w14:textId="2F079167" w:rsidR="00003AD2" w:rsidRPr="00887863" w:rsidRDefault="00C82866">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887863">
        <w:rPr>
          <w:rFonts w:ascii="Palatino Linotype" w:eastAsia="Palatino Linotype" w:hAnsi="Palatino Linotype" w:cs="Palatino Linotype"/>
          <w:i/>
          <w:sz w:val="22"/>
          <w:szCs w:val="22"/>
        </w:rPr>
        <w:t>“</w:t>
      </w:r>
      <w:r w:rsidR="00792A42" w:rsidRPr="00887863">
        <w:rPr>
          <w:rFonts w:ascii="Palatino Linotype" w:eastAsia="Palatino Linotype" w:hAnsi="Palatino Linotype" w:cs="Palatino Linotype"/>
          <w:i/>
          <w:sz w:val="22"/>
          <w:szCs w:val="22"/>
        </w:rPr>
        <w:t xml:space="preserve">Información que no </w:t>
      </w:r>
      <w:proofErr w:type="spellStart"/>
      <w:r w:rsidR="00792A42" w:rsidRPr="00887863">
        <w:rPr>
          <w:rFonts w:ascii="Palatino Linotype" w:eastAsia="Palatino Linotype" w:hAnsi="Palatino Linotype" w:cs="Palatino Linotype"/>
          <w:i/>
          <w:sz w:val="22"/>
          <w:szCs w:val="22"/>
        </w:rPr>
        <w:t>esta</w:t>
      </w:r>
      <w:proofErr w:type="spellEnd"/>
      <w:r w:rsidR="00792A42" w:rsidRPr="00887863">
        <w:rPr>
          <w:rFonts w:ascii="Palatino Linotype" w:eastAsia="Palatino Linotype" w:hAnsi="Palatino Linotype" w:cs="Palatino Linotype"/>
          <w:i/>
          <w:sz w:val="22"/>
          <w:szCs w:val="22"/>
        </w:rPr>
        <w:t xml:space="preserve"> completa</w:t>
      </w:r>
      <w:r w:rsidRPr="00887863">
        <w:rPr>
          <w:rFonts w:ascii="Palatino Linotype" w:eastAsia="Palatino Linotype" w:hAnsi="Palatino Linotype" w:cs="Palatino Linotype"/>
          <w:i/>
          <w:sz w:val="22"/>
          <w:szCs w:val="22"/>
        </w:rPr>
        <w:t>” (Sic)</w:t>
      </w:r>
    </w:p>
    <w:p w14:paraId="25E1C5C8" w14:textId="77777777" w:rsidR="00003AD2" w:rsidRPr="00887863" w:rsidRDefault="00003AD2">
      <w:pPr>
        <w:pBdr>
          <w:top w:val="nil"/>
          <w:left w:val="nil"/>
          <w:bottom w:val="nil"/>
          <w:right w:val="nil"/>
          <w:between w:val="nil"/>
        </w:pBdr>
        <w:ind w:left="720" w:right="902"/>
        <w:jc w:val="both"/>
        <w:rPr>
          <w:rFonts w:ascii="Palatino Linotype" w:eastAsia="Palatino Linotype" w:hAnsi="Palatino Linotype" w:cs="Palatino Linotype"/>
          <w:i/>
          <w:sz w:val="22"/>
          <w:szCs w:val="22"/>
        </w:rPr>
      </w:pPr>
    </w:p>
    <w:p w14:paraId="4613A41F" w14:textId="77777777" w:rsidR="00003AD2" w:rsidRPr="00887863" w:rsidRDefault="00C82866">
      <w:pPr>
        <w:spacing w:line="360" w:lineRule="auto"/>
        <w:ind w:right="51"/>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 xml:space="preserve">4. Turno. </w:t>
      </w:r>
      <w:r w:rsidRPr="0088786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87863">
        <w:rPr>
          <w:rFonts w:ascii="Palatino Linotype" w:eastAsia="Palatino Linotype" w:hAnsi="Palatino Linotype" w:cs="Palatino Linotype"/>
          <w:b/>
          <w:sz w:val="22"/>
          <w:szCs w:val="22"/>
        </w:rPr>
        <w:t xml:space="preserve">Guadalupe Ramírez Peña, </w:t>
      </w:r>
      <w:r w:rsidRPr="00887863">
        <w:rPr>
          <w:rFonts w:ascii="Palatino Linotype" w:eastAsia="Palatino Linotype" w:hAnsi="Palatino Linotype" w:cs="Palatino Linotype"/>
          <w:sz w:val="22"/>
          <w:szCs w:val="22"/>
        </w:rPr>
        <w:t>a efecto de que analizara sobre su admisión o su desechamiento.</w:t>
      </w:r>
    </w:p>
    <w:p w14:paraId="7A8C023D" w14:textId="77777777" w:rsidR="00003AD2" w:rsidRPr="00887863" w:rsidRDefault="00003AD2">
      <w:pPr>
        <w:spacing w:line="360" w:lineRule="auto"/>
        <w:ind w:right="51"/>
        <w:jc w:val="both"/>
        <w:rPr>
          <w:rFonts w:ascii="Palatino Linotype" w:eastAsia="Palatino Linotype" w:hAnsi="Palatino Linotype" w:cs="Palatino Linotype"/>
          <w:sz w:val="22"/>
          <w:szCs w:val="22"/>
        </w:rPr>
      </w:pPr>
    </w:p>
    <w:p w14:paraId="683EDB37" w14:textId="62E279F0" w:rsidR="00003AD2" w:rsidRPr="00887863" w:rsidRDefault="00C82866">
      <w:pPr>
        <w:spacing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5. Admisión del Recurso de revisión.</w:t>
      </w:r>
      <w:r w:rsidRPr="00887863">
        <w:rPr>
          <w:rFonts w:ascii="Palatino Linotype" w:eastAsia="Palatino Linotype" w:hAnsi="Palatino Linotype" w:cs="Palatino Linotype"/>
          <w:sz w:val="22"/>
          <w:szCs w:val="22"/>
        </w:rPr>
        <w:t xml:space="preserve"> Con fecha</w:t>
      </w:r>
      <w:r w:rsidRPr="00887863">
        <w:rPr>
          <w:rFonts w:ascii="Palatino Linotype" w:eastAsia="Palatino Linotype" w:hAnsi="Palatino Linotype" w:cs="Palatino Linotype"/>
          <w:b/>
          <w:sz w:val="22"/>
          <w:szCs w:val="22"/>
        </w:rPr>
        <w:t xml:space="preserve"> </w:t>
      </w:r>
      <w:r w:rsidR="00792A42" w:rsidRPr="00887863">
        <w:rPr>
          <w:rFonts w:ascii="Palatino Linotype" w:eastAsia="Palatino Linotype" w:hAnsi="Palatino Linotype" w:cs="Palatino Linotype"/>
          <w:b/>
          <w:sz w:val="22"/>
          <w:szCs w:val="22"/>
        </w:rPr>
        <w:t>trece</w:t>
      </w:r>
      <w:r w:rsidRPr="00887863">
        <w:rPr>
          <w:rFonts w:ascii="Palatino Linotype" w:eastAsia="Palatino Linotype" w:hAnsi="Palatino Linotype" w:cs="Palatino Linotype"/>
          <w:b/>
          <w:sz w:val="22"/>
          <w:szCs w:val="22"/>
        </w:rPr>
        <w:t xml:space="preserve"> febrero de dos mil veinticinco, </w:t>
      </w:r>
      <w:r w:rsidRPr="00887863">
        <w:rPr>
          <w:rFonts w:ascii="Palatino Linotype" w:eastAsia="Palatino Linotype" w:hAnsi="Palatino Linotype" w:cs="Palatino Linotype"/>
          <w:sz w:val="22"/>
          <w:szCs w:val="22"/>
        </w:rPr>
        <w:t>este Instituto de Transparencia, Acceso a la Información Pública y Protección de Datos Personales del Estado de México y Municipios, admitió a trámite el recurso de revisión que ahora se resuelve</w:t>
      </w:r>
      <w:r w:rsidR="005356F4" w:rsidRPr="00887863">
        <w:rPr>
          <w:rFonts w:ascii="Palatino Linotype" w:eastAsia="Palatino Linotype" w:hAnsi="Palatino Linotype" w:cs="Palatino Linotype"/>
          <w:sz w:val="22"/>
          <w:szCs w:val="22"/>
        </w:rPr>
        <w:t xml:space="preserve">, </w:t>
      </w:r>
      <w:r w:rsidRPr="00887863">
        <w:rPr>
          <w:rFonts w:ascii="Palatino Linotype" w:eastAsia="Palatino Linotype" w:hAnsi="Palatino Linotype" w:cs="Palatino Linotype"/>
          <w:sz w:val="22"/>
          <w:szCs w:val="22"/>
        </w:rPr>
        <w:t xml:space="preserve">dando un plazo máximo de siete días hábiles para que las partes manifestaran lo que a su derecho resultara conveniente, ofrecieran pruebas, formularan alegatos y el </w:t>
      </w:r>
      <w:r w:rsidRPr="00887863">
        <w:rPr>
          <w:rFonts w:ascii="Palatino Linotype" w:eastAsia="Palatino Linotype" w:hAnsi="Palatino Linotype" w:cs="Palatino Linotype"/>
          <w:b/>
          <w:sz w:val="22"/>
          <w:szCs w:val="22"/>
        </w:rPr>
        <w:t xml:space="preserve">SUJETO OBLIGADO </w:t>
      </w:r>
      <w:r w:rsidRPr="00887863">
        <w:rPr>
          <w:rFonts w:ascii="Palatino Linotype" w:eastAsia="Palatino Linotype" w:hAnsi="Palatino Linotype" w:cs="Palatino Linotype"/>
          <w:sz w:val="22"/>
          <w:szCs w:val="22"/>
        </w:rPr>
        <w:t>presentara su informe justificado.</w:t>
      </w:r>
    </w:p>
    <w:p w14:paraId="74C61813" w14:textId="159192F7" w:rsidR="00792A42" w:rsidRPr="00887863" w:rsidRDefault="00C8286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887863">
        <w:rPr>
          <w:rFonts w:ascii="Palatino Linotype" w:eastAsia="Palatino Linotype" w:hAnsi="Palatino Linotype" w:cs="Palatino Linotype"/>
          <w:b/>
          <w:sz w:val="22"/>
          <w:szCs w:val="22"/>
        </w:rPr>
        <w:t>6. Manifestaciones</w:t>
      </w:r>
      <w:r w:rsidRPr="00887863">
        <w:rPr>
          <w:rFonts w:ascii="Palatino Linotype" w:eastAsia="Palatino Linotype" w:hAnsi="Palatino Linotype" w:cs="Palatino Linotype"/>
          <w:sz w:val="22"/>
          <w:szCs w:val="22"/>
        </w:rPr>
        <w:t>. De las constancias que obran en el expediente electró</w:t>
      </w:r>
      <w:r w:rsidR="005356F4" w:rsidRPr="00887863">
        <w:rPr>
          <w:rFonts w:ascii="Palatino Linotype" w:eastAsia="Palatino Linotype" w:hAnsi="Palatino Linotype" w:cs="Palatino Linotype"/>
          <w:sz w:val="22"/>
          <w:szCs w:val="22"/>
        </w:rPr>
        <w:t xml:space="preserve">nico del SAIMEX, se aprecia que el Sujeto Obligado </w:t>
      </w:r>
      <w:r w:rsidR="00792A42" w:rsidRPr="00887863">
        <w:rPr>
          <w:rFonts w:ascii="Palatino Linotype" w:eastAsia="Palatino Linotype" w:hAnsi="Palatino Linotype" w:cs="Palatino Linotype"/>
          <w:sz w:val="22"/>
          <w:szCs w:val="22"/>
        </w:rPr>
        <w:t xml:space="preserve">rindió su informe justificado el </w:t>
      </w:r>
      <w:r w:rsidR="00792A42" w:rsidRPr="00887863">
        <w:rPr>
          <w:rFonts w:ascii="Palatino Linotype" w:eastAsia="Palatino Linotype" w:hAnsi="Palatino Linotype" w:cs="Palatino Linotype"/>
          <w:b/>
          <w:sz w:val="22"/>
          <w:szCs w:val="22"/>
        </w:rPr>
        <w:t>veinticuatro de febrero de dos mil veinticinco</w:t>
      </w:r>
      <w:r w:rsidR="00792A42" w:rsidRPr="00887863">
        <w:rPr>
          <w:rFonts w:ascii="Palatino Linotype" w:eastAsia="Palatino Linotype" w:hAnsi="Palatino Linotype" w:cs="Palatino Linotype"/>
          <w:sz w:val="22"/>
          <w:szCs w:val="22"/>
        </w:rPr>
        <w:t xml:space="preserve">, a través del documento electrónico </w:t>
      </w:r>
      <w:r w:rsidR="00792A42" w:rsidRPr="00887863">
        <w:rPr>
          <w:rFonts w:ascii="Palatino Linotype" w:eastAsia="Palatino Linotype" w:hAnsi="Palatino Linotype" w:cs="Palatino Linotype"/>
          <w:b/>
          <w:bCs/>
          <w:i/>
          <w:iCs/>
          <w:sz w:val="22"/>
          <w:szCs w:val="22"/>
        </w:rPr>
        <w:t>RR-934-2025</w:t>
      </w:r>
      <w:r w:rsidR="00792A42" w:rsidRPr="00887863">
        <w:rPr>
          <w:rFonts w:ascii="Palatino Linotype" w:eastAsia="Palatino Linotype" w:hAnsi="Palatino Linotype" w:cs="Palatino Linotype"/>
          <w:sz w:val="22"/>
          <w:szCs w:val="22"/>
        </w:rPr>
        <w:t>.</w:t>
      </w:r>
      <w:r w:rsidR="00792A42" w:rsidRPr="00887863">
        <w:rPr>
          <w:rFonts w:ascii="Palatino Linotype" w:eastAsia="Palatino Linotype" w:hAnsi="Palatino Linotype" w:cs="Palatino Linotype"/>
          <w:b/>
          <w:bCs/>
          <w:i/>
          <w:iCs/>
          <w:sz w:val="22"/>
          <w:szCs w:val="22"/>
        </w:rPr>
        <w:t>pdf</w:t>
      </w:r>
      <w:r w:rsidR="00792A42" w:rsidRPr="00887863">
        <w:rPr>
          <w:rFonts w:ascii="Palatino Linotype" w:eastAsia="Palatino Linotype" w:hAnsi="Palatino Linotype" w:cs="Palatino Linotype"/>
          <w:sz w:val="22"/>
          <w:szCs w:val="22"/>
        </w:rPr>
        <w:t xml:space="preserve">, adjuntándose el mismo documento en dos ocasiones. Dicho informe justificado se puso a disposición del Recurrente el </w:t>
      </w:r>
      <w:r w:rsidR="00792A42" w:rsidRPr="00887863">
        <w:rPr>
          <w:rFonts w:ascii="Palatino Linotype" w:eastAsia="Palatino Linotype" w:hAnsi="Palatino Linotype" w:cs="Palatino Linotype"/>
          <w:b/>
          <w:sz w:val="22"/>
          <w:szCs w:val="22"/>
        </w:rPr>
        <w:t>cuatro de marzo de dos mil veinticinco</w:t>
      </w:r>
      <w:r w:rsidR="00792A42" w:rsidRPr="00887863">
        <w:rPr>
          <w:rFonts w:ascii="Palatino Linotype" w:eastAsia="Palatino Linotype" w:hAnsi="Palatino Linotype" w:cs="Palatino Linotype"/>
          <w:sz w:val="22"/>
          <w:szCs w:val="22"/>
        </w:rPr>
        <w:t>; sin embargo, se describe su contenido medular; siendo el siguiente:</w:t>
      </w:r>
    </w:p>
    <w:p w14:paraId="40577EBF" w14:textId="00089AE5" w:rsidR="00792A42" w:rsidRPr="00887863" w:rsidRDefault="00792A42" w:rsidP="00792A42">
      <w:pPr>
        <w:pStyle w:val="Prrafodelista"/>
        <w:widowControl w:val="0"/>
        <w:numPr>
          <w:ilvl w:val="0"/>
          <w:numId w:val="18"/>
        </w:numPr>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bCs/>
          <w:sz w:val="22"/>
          <w:szCs w:val="22"/>
        </w:rPr>
        <w:t>RR-934-2025</w:t>
      </w:r>
      <w:r w:rsidRPr="00887863">
        <w:rPr>
          <w:rFonts w:ascii="Palatino Linotype" w:eastAsia="Palatino Linotype" w:hAnsi="Palatino Linotype" w:cs="Palatino Linotype"/>
          <w:sz w:val="22"/>
          <w:szCs w:val="22"/>
        </w:rPr>
        <w:t>.</w:t>
      </w:r>
      <w:r w:rsidRPr="00887863">
        <w:rPr>
          <w:rFonts w:ascii="Palatino Linotype" w:eastAsia="Palatino Linotype" w:hAnsi="Palatino Linotype" w:cs="Palatino Linotype"/>
          <w:b/>
          <w:bCs/>
          <w:sz w:val="22"/>
          <w:szCs w:val="22"/>
        </w:rPr>
        <w:t>pdf:</w:t>
      </w:r>
      <w:r w:rsidR="006F2309" w:rsidRPr="00887863">
        <w:rPr>
          <w:rFonts w:ascii="Palatino Linotype" w:eastAsia="Palatino Linotype" w:hAnsi="Palatino Linotype" w:cs="Palatino Linotype"/>
          <w:b/>
          <w:bCs/>
          <w:sz w:val="22"/>
          <w:szCs w:val="22"/>
        </w:rPr>
        <w:t xml:space="preserve"> </w:t>
      </w:r>
      <w:r w:rsidR="006F2309" w:rsidRPr="00887863">
        <w:rPr>
          <w:rFonts w:ascii="Palatino Linotype" w:eastAsia="Palatino Linotype" w:hAnsi="Palatino Linotype" w:cs="Palatino Linotype"/>
          <w:sz w:val="22"/>
          <w:szCs w:val="22"/>
        </w:rPr>
        <w:t>Documento sin número de oficio suscrito por el Titular de la Unidad de Transparencia</w:t>
      </w:r>
      <w:r w:rsidR="006F2309" w:rsidRPr="00887863">
        <w:rPr>
          <w:rFonts w:ascii="Palatino Linotype" w:eastAsia="Palatino Linotype" w:hAnsi="Palatino Linotype" w:cs="Palatino Linotype"/>
          <w:b/>
          <w:bCs/>
          <w:sz w:val="22"/>
          <w:szCs w:val="22"/>
        </w:rPr>
        <w:t xml:space="preserve"> </w:t>
      </w:r>
      <w:r w:rsidR="006F2309" w:rsidRPr="00887863">
        <w:rPr>
          <w:rFonts w:ascii="Palatino Linotype" w:eastAsia="Palatino Linotype" w:hAnsi="Palatino Linotype" w:cs="Palatino Linotype"/>
          <w:sz w:val="22"/>
          <w:szCs w:val="22"/>
        </w:rPr>
        <w:t>mediante el cual ratifica su respuesta inicial, argumentando</w:t>
      </w:r>
      <w:r w:rsidR="006F2309" w:rsidRPr="00887863">
        <w:rPr>
          <w:rFonts w:ascii="Palatino Linotype" w:eastAsia="Palatino Linotype" w:hAnsi="Palatino Linotype" w:cs="Palatino Linotype"/>
          <w:b/>
          <w:bCs/>
          <w:sz w:val="22"/>
          <w:szCs w:val="22"/>
        </w:rPr>
        <w:t xml:space="preserve"> </w:t>
      </w:r>
      <w:r w:rsidR="00777979" w:rsidRPr="00887863">
        <w:rPr>
          <w:rFonts w:ascii="Palatino Linotype" w:eastAsia="Palatino Linotype" w:hAnsi="Palatino Linotype" w:cs="Palatino Linotype"/>
          <w:sz w:val="22"/>
          <w:szCs w:val="22"/>
        </w:rPr>
        <w:t>que entregó la información que obra en sus archivos en el estado que se encuentra.</w:t>
      </w:r>
    </w:p>
    <w:p w14:paraId="3DE5FBFD" w14:textId="77777777" w:rsidR="00792A42" w:rsidRPr="00887863" w:rsidRDefault="00792A42">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p>
    <w:p w14:paraId="2185E7C4" w14:textId="77777777" w:rsidR="00792A42" w:rsidRPr="00887863" w:rsidRDefault="00792A42">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p>
    <w:p w14:paraId="03887CCC" w14:textId="099F7551"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lastRenderedPageBreak/>
        <w:t xml:space="preserve">7. Cierre de instrucción. </w:t>
      </w:r>
      <w:r w:rsidRPr="0088786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00777979" w:rsidRPr="00887863">
        <w:rPr>
          <w:rFonts w:ascii="Palatino Linotype" w:eastAsia="Palatino Linotype" w:hAnsi="Palatino Linotype" w:cs="Palatino Linotype"/>
          <w:b/>
          <w:bCs/>
          <w:sz w:val="22"/>
          <w:szCs w:val="22"/>
        </w:rPr>
        <w:t>diez</w:t>
      </w:r>
      <w:r w:rsidRPr="00887863">
        <w:rPr>
          <w:rFonts w:ascii="Palatino Linotype" w:eastAsia="Palatino Linotype" w:hAnsi="Palatino Linotype" w:cs="Palatino Linotype"/>
          <w:sz w:val="22"/>
          <w:szCs w:val="22"/>
        </w:rPr>
        <w:t xml:space="preserve"> </w:t>
      </w:r>
      <w:r w:rsidRPr="00887863">
        <w:rPr>
          <w:rFonts w:ascii="Palatino Linotype" w:eastAsia="Palatino Linotype" w:hAnsi="Palatino Linotype" w:cs="Palatino Linotype"/>
          <w:b/>
          <w:sz w:val="22"/>
          <w:szCs w:val="22"/>
        </w:rPr>
        <w:t xml:space="preserve">de </w:t>
      </w:r>
      <w:r w:rsidR="008640D6" w:rsidRPr="00887863">
        <w:rPr>
          <w:rFonts w:ascii="Palatino Linotype" w:eastAsia="Palatino Linotype" w:hAnsi="Palatino Linotype" w:cs="Palatino Linotype"/>
          <w:b/>
          <w:sz w:val="22"/>
          <w:szCs w:val="22"/>
        </w:rPr>
        <w:t>marzo</w:t>
      </w:r>
      <w:r w:rsidRPr="00887863">
        <w:rPr>
          <w:rFonts w:ascii="Palatino Linotype" w:eastAsia="Palatino Linotype" w:hAnsi="Palatino Linotype" w:cs="Palatino Linotype"/>
          <w:b/>
          <w:sz w:val="22"/>
          <w:szCs w:val="22"/>
        </w:rPr>
        <w:t xml:space="preserve"> de dos mil veinticinco, </w:t>
      </w:r>
      <w:r w:rsidRPr="00887863">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26283E55" w14:textId="77777777"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0EBFA66" w14:textId="77777777" w:rsidR="00003AD2" w:rsidRPr="00887863" w:rsidRDefault="00C82866">
      <w:pPr>
        <w:widowControl w:val="0"/>
        <w:spacing w:line="360" w:lineRule="auto"/>
        <w:jc w:val="center"/>
        <w:rPr>
          <w:rFonts w:ascii="Palatino Linotype" w:eastAsia="Palatino Linotype" w:hAnsi="Palatino Linotype" w:cs="Palatino Linotype"/>
          <w:b/>
          <w:sz w:val="22"/>
          <w:szCs w:val="22"/>
        </w:rPr>
      </w:pPr>
      <w:r w:rsidRPr="00887863">
        <w:rPr>
          <w:rFonts w:ascii="Palatino Linotype" w:eastAsia="Palatino Linotype" w:hAnsi="Palatino Linotype" w:cs="Palatino Linotype"/>
          <w:b/>
          <w:sz w:val="22"/>
          <w:szCs w:val="22"/>
        </w:rPr>
        <w:t>II. C O N S I D E R A N D O S</w:t>
      </w:r>
    </w:p>
    <w:p w14:paraId="27F20BC0" w14:textId="77777777" w:rsidR="00003AD2" w:rsidRPr="00887863" w:rsidRDefault="00003AD2">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BB97F6C" w14:textId="77777777" w:rsidR="00003AD2" w:rsidRPr="00887863" w:rsidRDefault="00C8286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Primero. Competencia.</w:t>
      </w:r>
      <w:r w:rsidRPr="0088786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65A0E53" w14:textId="77777777" w:rsidR="00003AD2" w:rsidRPr="00887863" w:rsidRDefault="00C82866">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887863">
        <w:rPr>
          <w:rFonts w:ascii="Palatino Linotype" w:eastAsia="Palatino Linotype" w:hAnsi="Palatino Linotype" w:cs="Palatino Linotype"/>
          <w:b/>
          <w:sz w:val="22"/>
          <w:szCs w:val="22"/>
        </w:rPr>
        <w:t xml:space="preserve">Segundo. Oportunidad y Procedibilidad del Recurso de Revisión. </w:t>
      </w:r>
      <w:r w:rsidRPr="00887863">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7E479EB" w14:textId="77777777"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lastRenderedPageBreak/>
        <w:t>Al respecto la Ley de Transparencia y Acceso a la Información Pública del Estado de México y Municipios, establece lo siguiente:</w:t>
      </w:r>
    </w:p>
    <w:p w14:paraId="0325F834" w14:textId="77777777" w:rsidR="00003AD2" w:rsidRPr="00887863" w:rsidRDefault="00C82866">
      <w:pPr>
        <w:ind w:left="851" w:right="900"/>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z w:val="22"/>
          <w:szCs w:val="22"/>
        </w:rPr>
        <w:t xml:space="preserve">“Artículo 178. </w:t>
      </w:r>
      <w:r w:rsidRPr="0088786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2AF8F79" w14:textId="0E3CC086" w:rsidR="00003AD2" w:rsidRPr="00887863" w:rsidRDefault="00C82866">
      <w:pPr>
        <w:spacing w:before="240"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887863">
        <w:rPr>
          <w:rFonts w:ascii="Palatino Linotype" w:eastAsia="Palatino Linotype" w:hAnsi="Palatino Linotype" w:cs="Palatino Linotype"/>
          <w:b/>
          <w:sz w:val="22"/>
          <w:szCs w:val="22"/>
        </w:rPr>
        <w:t>SUJETO OBLIGADO</w:t>
      </w:r>
      <w:r w:rsidRPr="00887863">
        <w:rPr>
          <w:rFonts w:ascii="Palatino Linotype" w:eastAsia="Palatino Linotype" w:hAnsi="Palatino Linotype" w:cs="Palatino Linotype"/>
          <w:sz w:val="22"/>
          <w:szCs w:val="22"/>
        </w:rPr>
        <w:t xml:space="preserve"> remitió la respuesta a la solicitud de información el </w:t>
      </w:r>
      <w:r w:rsidR="00777979" w:rsidRPr="00887863">
        <w:rPr>
          <w:rFonts w:ascii="Palatino Linotype" w:eastAsia="Palatino Linotype" w:hAnsi="Palatino Linotype" w:cs="Palatino Linotype"/>
          <w:b/>
          <w:sz w:val="22"/>
          <w:szCs w:val="22"/>
        </w:rPr>
        <w:t>siete</w:t>
      </w:r>
      <w:r w:rsidRPr="00887863">
        <w:rPr>
          <w:rFonts w:ascii="Palatino Linotype" w:eastAsia="Palatino Linotype" w:hAnsi="Palatino Linotype" w:cs="Palatino Linotype"/>
          <w:b/>
          <w:sz w:val="22"/>
          <w:szCs w:val="22"/>
        </w:rPr>
        <w:t xml:space="preserve"> de </w:t>
      </w:r>
      <w:r w:rsidR="005356F4" w:rsidRPr="00887863">
        <w:rPr>
          <w:rFonts w:ascii="Palatino Linotype" w:eastAsia="Palatino Linotype" w:hAnsi="Palatino Linotype" w:cs="Palatino Linotype"/>
          <w:b/>
          <w:sz w:val="22"/>
          <w:szCs w:val="22"/>
        </w:rPr>
        <w:t>febrero</w:t>
      </w:r>
      <w:r w:rsidRPr="00887863">
        <w:rPr>
          <w:rFonts w:ascii="Palatino Linotype" w:eastAsia="Palatino Linotype" w:hAnsi="Palatino Linotype" w:cs="Palatino Linotype"/>
          <w:b/>
          <w:sz w:val="22"/>
          <w:szCs w:val="22"/>
        </w:rPr>
        <w:t xml:space="preserve"> de dos mil veinticinco, </w:t>
      </w:r>
      <w:r w:rsidRPr="00887863">
        <w:rPr>
          <w:rFonts w:ascii="Palatino Linotype" w:eastAsia="Palatino Linotype" w:hAnsi="Palatino Linotype" w:cs="Palatino Linotype"/>
          <w:sz w:val="22"/>
          <w:szCs w:val="22"/>
        </w:rPr>
        <w:t xml:space="preserve">mientras que el recurso de revisión interpuesto por la parte </w:t>
      </w:r>
      <w:r w:rsidRPr="00887863">
        <w:rPr>
          <w:rFonts w:ascii="Palatino Linotype" w:eastAsia="Palatino Linotype" w:hAnsi="Palatino Linotype" w:cs="Palatino Linotype"/>
          <w:b/>
          <w:sz w:val="22"/>
          <w:szCs w:val="22"/>
        </w:rPr>
        <w:t>RECURRENTE</w:t>
      </w:r>
      <w:r w:rsidRPr="00887863">
        <w:rPr>
          <w:rFonts w:ascii="Palatino Linotype" w:eastAsia="Palatino Linotype" w:hAnsi="Palatino Linotype" w:cs="Palatino Linotype"/>
          <w:sz w:val="22"/>
          <w:szCs w:val="22"/>
        </w:rPr>
        <w:t xml:space="preserve">, se tuvo por presentado el día </w:t>
      </w:r>
      <w:r w:rsidR="002D59B8" w:rsidRPr="00887863">
        <w:rPr>
          <w:rFonts w:ascii="Palatino Linotype" w:eastAsia="Palatino Linotype" w:hAnsi="Palatino Linotype" w:cs="Palatino Linotype"/>
          <w:b/>
          <w:sz w:val="22"/>
          <w:szCs w:val="22"/>
        </w:rPr>
        <w:t xml:space="preserve">diez </w:t>
      </w:r>
      <w:r w:rsidRPr="00887863">
        <w:rPr>
          <w:rFonts w:ascii="Palatino Linotype" w:eastAsia="Palatino Linotype" w:hAnsi="Palatino Linotype" w:cs="Palatino Linotype"/>
          <w:b/>
          <w:sz w:val="22"/>
          <w:szCs w:val="22"/>
        </w:rPr>
        <w:t xml:space="preserve">de </w:t>
      </w:r>
      <w:r w:rsidR="005356F4" w:rsidRPr="00887863">
        <w:rPr>
          <w:rFonts w:ascii="Palatino Linotype" w:eastAsia="Palatino Linotype" w:hAnsi="Palatino Linotype" w:cs="Palatino Linotype"/>
          <w:b/>
          <w:sz w:val="22"/>
          <w:szCs w:val="22"/>
        </w:rPr>
        <w:t>febrero</w:t>
      </w:r>
      <w:r w:rsidRPr="00887863">
        <w:rPr>
          <w:rFonts w:ascii="Palatino Linotype" w:eastAsia="Palatino Linotype" w:hAnsi="Palatino Linotype" w:cs="Palatino Linotype"/>
          <w:b/>
          <w:sz w:val="22"/>
          <w:szCs w:val="22"/>
        </w:rPr>
        <w:t xml:space="preserve"> del año dos mil veinticinco</w:t>
      </w:r>
      <w:r w:rsidRPr="00887863">
        <w:rPr>
          <w:rFonts w:ascii="Palatino Linotype" w:eastAsia="Palatino Linotype" w:hAnsi="Palatino Linotype" w:cs="Palatino Linotype"/>
          <w:sz w:val="22"/>
          <w:szCs w:val="22"/>
        </w:rPr>
        <w:t xml:space="preserve">; esto es, al </w:t>
      </w:r>
      <w:r w:rsidR="002D59B8" w:rsidRPr="00887863">
        <w:rPr>
          <w:rFonts w:ascii="Palatino Linotype" w:eastAsia="Palatino Linotype" w:hAnsi="Palatino Linotype" w:cs="Palatino Linotype"/>
          <w:sz w:val="22"/>
          <w:szCs w:val="22"/>
        </w:rPr>
        <w:t xml:space="preserve">primer </w:t>
      </w:r>
      <w:r w:rsidRPr="00887863">
        <w:rPr>
          <w:rFonts w:ascii="Palatino Linotype" w:eastAsia="Palatino Linotype" w:hAnsi="Palatino Linotype" w:cs="Palatino Linotype"/>
          <w:sz w:val="22"/>
          <w:szCs w:val="22"/>
        </w:rPr>
        <w:t>día hábil siguiente en que tuvo conocimiento de la respuesta.</w:t>
      </w:r>
    </w:p>
    <w:p w14:paraId="041FF1B9" w14:textId="77777777"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887863">
        <w:rPr>
          <w:rFonts w:ascii="Palatino Linotype" w:eastAsia="Palatino Linotype" w:hAnsi="Palatino Linotype" w:cs="Palatino Linotype"/>
          <w:b/>
          <w:sz w:val="22"/>
          <w:szCs w:val="22"/>
        </w:rPr>
        <w:t>RECURRENTE</w:t>
      </w:r>
      <w:r w:rsidRPr="00887863">
        <w:rPr>
          <w:rFonts w:ascii="Palatino Linotype" w:eastAsia="Palatino Linotype" w:hAnsi="Palatino Linotype" w:cs="Palatino Linotype"/>
          <w:sz w:val="22"/>
          <w:szCs w:val="22"/>
        </w:rPr>
        <w:t>, no proporcionó su nombre</w:t>
      </w:r>
      <w:r w:rsidRPr="00887863">
        <w:rPr>
          <w:rFonts w:ascii="Palatino Linotype" w:eastAsia="Palatino Linotype" w:hAnsi="Palatino Linotype" w:cs="Palatino Linotype"/>
          <w:b/>
          <w:sz w:val="22"/>
          <w:szCs w:val="22"/>
        </w:rPr>
        <w:t>,</w:t>
      </w:r>
      <w:r w:rsidRPr="00887863">
        <w:rPr>
          <w:rFonts w:ascii="Palatino Linotype" w:eastAsia="Palatino Linotype" w:hAnsi="Palatino Linotype" w:cs="Palatino Linotype"/>
          <w:sz w:val="22"/>
          <w:szCs w:val="22"/>
        </w:rPr>
        <w:t xml:space="preserve"> como se advierte en el detalle de seguimiento del SAIMEX,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8890BBD" w14:textId="77777777" w:rsidR="00003AD2" w:rsidRPr="00887863" w:rsidRDefault="00C82866">
      <w:pPr>
        <w:spacing w:before="240" w:after="240" w:line="276" w:lineRule="auto"/>
        <w:ind w:left="851" w:right="902"/>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r w:rsidRPr="00887863">
        <w:rPr>
          <w:rFonts w:ascii="Palatino Linotype" w:eastAsia="Palatino Linotype" w:hAnsi="Palatino Linotype" w:cs="Palatino Linotype"/>
          <w:b/>
          <w:i/>
          <w:sz w:val="22"/>
          <w:szCs w:val="22"/>
        </w:rPr>
        <w:t xml:space="preserve">Las solicitudes </w:t>
      </w:r>
      <w:r w:rsidRPr="00887863">
        <w:rPr>
          <w:rFonts w:ascii="Palatino Linotype" w:eastAsia="Palatino Linotype" w:hAnsi="Palatino Linotype" w:cs="Palatino Linotype"/>
          <w:i/>
          <w:sz w:val="22"/>
          <w:szCs w:val="22"/>
        </w:rPr>
        <w:t xml:space="preserve">anónimas, con </w:t>
      </w:r>
      <w:r w:rsidRPr="00887863">
        <w:rPr>
          <w:rFonts w:ascii="Palatino Linotype" w:eastAsia="Palatino Linotype" w:hAnsi="Palatino Linotype" w:cs="Palatino Linotype"/>
          <w:b/>
          <w:i/>
          <w:sz w:val="22"/>
          <w:szCs w:val="22"/>
        </w:rPr>
        <w:t>nombre incompleto o seudónimo</w:t>
      </w:r>
      <w:r w:rsidRPr="00887863">
        <w:rPr>
          <w:rFonts w:ascii="Palatino Linotype" w:eastAsia="Palatino Linotype" w:hAnsi="Palatino Linotype" w:cs="Palatino Linotype"/>
          <w:i/>
          <w:sz w:val="22"/>
          <w:szCs w:val="22"/>
        </w:rPr>
        <w:t xml:space="preserve"> </w:t>
      </w:r>
      <w:r w:rsidRPr="00887863">
        <w:rPr>
          <w:rFonts w:ascii="Palatino Linotype" w:eastAsia="Palatino Linotype" w:hAnsi="Palatino Linotype" w:cs="Palatino Linotype"/>
          <w:b/>
          <w:i/>
          <w:sz w:val="22"/>
          <w:szCs w:val="22"/>
        </w:rPr>
        <w:t>serán procedentes para su trámite por parte del sujeto obligado ante quien se presente</w:t>
      </w:r>
      <w:r w:rsidRPr="00887863">
        <w:rPr>
          <w:rFonts w:ascii="Palatino Linotype" w:eastAsia="Palatino Linotype" w:hAnsi="Palatino Linotype" w:cs="Palatino Linotype"/>
          <w:i/>
          <w:sz w:val="22"/>
          <w:szCs w:val="22"/>
        </w:rPr>
        <w:t>. No podrá requerirse información adicional con motivo del nombre proporcionado por el solicitante."(Sic)</w:t>
      </w:r>
    </w:p>
    <w:p w14:paraId="1C944115" w14:textId="77777777" w:rsidR="00003AD2" w:rsidRPr="00887863" w:rsidRDefault="00C82866">
      <w:pPr>
        <w:spacing w:before="240"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E9179EC" w14:textId="7B2B1FFA"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777979" w:rsidRPr="00887863">
        <w:rPr>
          <w:rFonts w:ascii="Palatino Linotype" w:eastAsia="Palatino Linotype" w:hAnsi="Palatino Linotype" w:cs="Palatino Linotype"/>
          <w:sz w:val="22"/>
          <w:szCs w:val="22"/>
        </w:rPr>
        <w:t>V</w:t>
      </w:r>
      <w:r w:rsidRPr="00887863">
        <w:rPr>
          <w:rFonts w:ascii="Palatino Linotype" w:eastAsia="Palatino Linotype" w:hAnsi="Palatino Linotype" w:cs="Palatino Linotype"/>
          <w:sz w:val="22"/>
          <w:szCs w:val="22"/>
        </w:rPr>
        <w:t xml:space="preserve"> de la ley de la materia, que a la letra dice:</w:t>
      </w:r>
    </w:p>
    <w:p w14:paraId="2DFF54E3" w14:textId="77777777" w:rsidR="00003AD2" w:rsidRPr="00887863" w:rsidRDefault="00C82866">
      <w:pPr>
        <w:ind w:left="851" w:right="1041"/>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r w:rsidRPr="00887863">
        <w:rPr>
          <w:rFonts w:ascii="Palatino Linotype" w:eastAsia="Palatino Linotype" w:hAnsi="Palatino Linotype" w:cs="Palatino Linotype"/>
          <w:b/>
          <w:i/>
          <w:sz w:val="22"/>
          <w:szCs w:val="22"/>
        </w:rPr>
        <w:t xml:space="preserve">Artículo 179. </w:t>
      </w:r>
      <w:r w:rsidRPr="0088786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7684F93" w14:textId="77777777" w:rsidR="005356F4" w:rsidRPr="00887863" w:rsidRDefault="005356F4">
      <w:pPr>
        <w:ind w:left="851" w:right="1041"/>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p>
    <w:p w14:paraId="28EFFE6E" w14:textId="02CC4D28" w:rsidR="00777979" w:rsidRPr="00887863" w:rsidRDefault="00777979" w:rsidP="005356F4">
      <w:pPr>
        <w:ind w:left="851" w:right="1041"/>
        <w:jc w:val="both"/>
        <w:rPr>
          <w:rFonts w:ascii="Palatino Linotype" w:hAnsi="Palatino Linotype"/>
          <w:i/>
          <w:sz w:val="22"/>
          <w:szCs w:val="22"/>
        </w:rPr>
      </w:pPr>
      <w:r w:rsidRPr="00887863">
        <w:rPr>
          <w:rFonts w:ascii="Palatino Linotype" w:hAnsi="Palatino Linotype"/>
          <w:i/>
          <w:sz w:val="22"/>
          <w:szCs w:val="22"/>
        </w:rPr>
        <w:t>V</w:t>
      </w:r>
      <w:r w:rsidR="005356F4" w:rsidRPr="00887863">
        <w:rPr>
          <w:rFonts w:ascii="Palatino Linotype" w:hAnsi="Palatino Linotype"/>
          <w:i/>
          <w:sz w:val="22"/>
          <w:szCs w:val="22"/>
        </w:rPr>
        <w:t xml:space="preserve">. </w:t>
      </w:r>
      <w:r w:rsidRPr="00887863">
        <w:rPr>
          <w:rFonts w:ascii="Palatino Linotype" w:hAnsi="Palatino Linotype"/>
          <w:i/>
          <w:sz w:val="22"/>
          <w:szCs w:val="22"/>
        </w:rPr>
        <w:t xml:space="preserve">La entrega de información incompleta; </w:t>
      </w:r>
    </w:p>
    <w:p w14:paraId="14CBE974" w14:textId="77777777" w:rsidR="005356F4" w:rsidRPr="00887863" w:rsidRDefault="005356F4" w:rsidP="005356F4">
      <w:pPr>
        <w:ind w:left="851" w:right="1041"/>
        <w:jc w:val="both"/>
        <w:rPr>
          <w:rFonts w:ascii="Palatino Linotype" w:eastAsia="Palatino Linotype" w:hAnsi="Palatino Linotype" w:cs="Palatino Linotype"/>
          <w:i/>
          <w:sz w:val="22"/>
          <w:szCs w:val="22"/>
        </w:rPr>
      </w:pPr>
      <w:r w:rsidRPr="00887863">
        <w:rPr>
          <w:rFonts w:ascii="Palatino Linotype" w:hAnsi="Palatino Linotype"/>
          <w:i/>
          <w:sz w:val="22"/>
          <w:szCs w:val="22"/>
        </w:rPr>
        <w:t>…</w:t>
      </w:r>
    </w:p>
    <w:p w14:paraId="6DC7C46E" w14:textId="77777777" w:rsidR="00003AD2" w:rsidRPr="00887863" w:rsidRDefault="00C82866">
      <w:pPr>
        <w:spacing w:before="280" w:after="28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Tercero. Materia de Revisión</w:t>
      </w:r>
      <w:r w:rsidRPr="00887863">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887863">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887863">
        <w:rPr>
          <w:rFonts w:ascii="Palatino Linotype" w:eastAsia="Palatino Linotype" w:hAnsi="Palatino Linotype" w:cs="Palatino Linotype"/>
          <w:sz w:val="22"/>
          <w:szCs w:val="22"/>
        </w:rPr>
        <w:t xml:space="preserve">del </w:t>
      </w:r>
      <w:r w:rsidRPr="00887863">
        <w:rPr>
          <w:rFonts w:ascii="Palatino Linotype" w:eastAsia="Palatino Linotype" w:hAnsi="Palatino Linotype" w:cs="Palatino Linotype"/>
          <w:b/>
          <w:sz w:val="22"/>
          <w:szCs w:val="22"/>
        </w:rPr>
        <w:t>RECURRENTE</w:t>
      </w:r>
      <w:r w:rsidRPr="00887863">
        <w:rPr>
          <w:rFonts w:ascii="Palatino Linotype" w:eastAsia="Palatino Linotype" w:hAnsi="Palatino Linotype" w:cs="Palatino Linotype"/>
          <w:sz w:val="22"/>
          <w:szCs w:val="22"/>
        </w:rPr>
        <w:t>, o en su defecto, en caso de ser procedente, ordenar la entrega de información.</w:t>
      </w:r>
    </w:p>
    <w:p w14:paraId="23C7A021" w14:textId="77777777"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 xml:space="preserve">Cuarto. Estudio de fondo del asunto. </w:t>
      </w:r>
      <w:r w:rsidRPr="00887863">
        <w:rPr>
          <w:rFonts w:ascii="Palatino Linotype" w:eastAsia="Palatino Linotype" w:hAnsi="Palatino Linotype" w:cs="Palatino Linotype"/>
          <w:sz w:val="22"/>
          <w:szCs w:val="22"/>
        </w:rPr>
        <w:t xml:space="preserve">Es conveniente analizar si la respuesta del </w:t>
      </w:r>
      <w:r w:rsidRPr="00887863">
        <w:rPr>
          <w:rFonts w:ascii="Palatino Linotype" w:eastAsia="Palatino Linotype" w:hAnsi="Palatino Linotype" w:cs="Palatino Linotype"/>
          <w:b/>
          <w:sz w:val="22"/>
          <w:szCs w:val="22"/>
        </w:rPr>
        <w:t>SUJETO OBLIGADO</w:t>
      </w:r>
      <w:r w:rsidRPr="00887863">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C56E8AE" w14:textId="77777777" w:rsidR="00003AD2" w:rsidRPr="00887863" w:rsidRDefault="00C82866">
      <w:pPr>
        <w:spacing w:before="240"/>
        <w:ind w:left="709" w:right="760"/>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lastRenderedPageBreak/>
        <w:t>“</w:t>
      </w:r>
      <w:r w:rsidRPr="00887863">
        <w:rPr>
          <w:rFonts w:ascii="Palatino Linotype" w:eastAsia="Palatino Linotype" w:hAnsi="Palatino Linotype" w:cs="Palatino Linotype"/>
          <w:b/>
          <w:i/>
          <w:sz w:val="22"/>
          <w:szCs w:val="22"/>
        </w:rPr>
        <w:t>Artículo 4</w:t>
      </w:r>
      <w:r w:rsidRPr="0088786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D293B1E" w14:textId="77777777" w:rsidR="00003AD2" w:rsidRPr="00887863" w:rsidRDefault="00C82866">
      <w:pPr>
        <w:ind w:left="709" w:right="760"/>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8786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1CDDAEB" w14:textId="77777777" w:rsidR="00003AD2" w:rsidRPr="00887863" w:rsidRDefault="00C82866">
      <w:pPr>
        <w:ind w:left="709" w:right="760"/>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87863">
        <w:rPr>
          <w:rFonts w:ascii="Palatino Linotype" w:eastAsia="Palatino Linotype" w:hAnsi="Palatino Linotype" w:cs="Palatino Linotype"/>
          <w:i/>
          <w:sz w:val="22"/>
          <w:szCs w:val="22"/>
        </w:rPr>
        <w:t>.”</w:t>
      </w:r>
    </w:p>
    <w:p w14:paraId="31544E4D" w14:textId="77777777" w:rsidR="00003AD2" w:rsidRPr="00887863" w:rsidRDefault="00003AD2">
      <w:pPr>
        <w:spacing w:line="360" w:lineRule="auto"/>
        <w:jc w:val="both"/>
        <w:rPr>
          <w:rFonts w:ascii="Palatino Linotype" w:eastAsia="Palatino Linotype" w:hAnsi="Palatino Linotype" w:cs="Palatino Linotype"/>
          <w:sz w:val="22"/>
          <w:szCs w:val="22"/>
        </w:rPr>
      </w:pPr>
    </w:p>
    <w:p w14:paraId="0A4CAD27" w14:textId="77777777" w:rsidR="00003AD2" w:rsidRPr="00887863" w:rsidRDefault="00C8286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A9B6817" w14:textId="77777777" w:rsidR="00003AD2" w:rsidRPr="00887863" w:rsidRDefault="00003AD2">
      <w:pPr>
        <w:spacing w:line="360" w:lineRule="auto"/>
        <w:jc w:val="both"/>
        <w:rPr>
          <w:rFonts w:ascii="Palatino Linotype" w:eastAsia="Palatino Linotype" w:hAnsi="Palatino Linotype" w:cs="Palatino Linotype"/>
          <w:sz w:val="22"/>
          <w:szCs w:val="22"/>
        </w:rPr>
      </w:pPr>
    </w:p>
    <w:p w14:paraId="76F519A9" w14:textId="77777777" w:rsidR="00003AD2" w:rsidRPr="00887863" w:rsidRDefault="00C82866">
      <w:pPr>
        <w:ind w:left="567" w:right="758"/>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z w:val="22"/>
          <w:szCs w:val="22"/>
        </w:rPr>
        <w:t>“Artículo 12.-</w:t>
      </w:r>
      <w:r w:rsidRPr="0088786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3E66A65" w14:textId="77777777" w:rsidR="00003AD2" w:rsidRPr="00887863" w:rsidRDefault="00003AD2">
      <w:pPr>
        <w:ind w:left="567" w:right="758"/>
        <w:jc w:val="both"/>
        <w:rPr>
          <w:rFonts w:ascii="Palatino Linotype" w:eastAsia="Palatino Linotype" w:hAnsi="Palatino Linotype" w:cs="Palatino Linotype"/>
          <w:i/>
          <w:sz w:val="22"/>
          <w:szCs w:val="22"/>
        </w:rPr>
      </w:pPr>
    </w:p>
    <w:p w14:paraId="298C843A" w14:textId="77777777" w:rsidR="00003AD2" w:rsidRPr="00887863" w:rsidRDefault="00C82866">
      <w:pPr>
        <w:ind w:left="567" w:right="758"/>
        <w:jc w:val="both"/>
        <w:rPr>
          <w:rFonts w:ascii="Palatino Linotype" w:eastAsia="Palatino Linotype" w:hAnsi="Palatino Linotype" w:cs="Palatino Linotype"/>
          <w:b/>
          <w:i/>
          <w:sz w:val="22"/>
          <w:szCs w:val="22"/>
        </w:rPr>
      </w:pPr>
      <w:r w:rsidRPr="0088786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87863">
        <w:rPr>
          <w:rFonts w:ascii="Palatino Linotype" w:eastAsia="Palatino Linotype" w:hAnsi="Palatino Linotype" w:cs="Palatino Linotype"/>
          <w:i/>
          <w:sz w:val="22"/>
          <w:szCs w:val="22"/>
        </w:rPr>
        <w:t xml:space="preserve">. </w:t>
      </w:r>
      <w:r w:rsidRPr="0088786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EB96F41" w14:textId="77777777" w:rsidR="00003AD2" w:rsidRPr="00887863" w:rsidRDefault="00003AD2">
      <w:pPr>
        <w:ind w:left="567" w:right="758"/>
        <w:jc w:val="both"/>
        <w:rPr>
          <w:rFonts w:ascii="Palatino Linotype" w:eastAsia="Palatino Linotype" w:hAnsi="Palatino Linotype" w:cs="Palatino Linotype"/>
          <w:i/>
          <w:sz w:val="22"/>
          <w:szCs w:val="22"/>
        </w:rPr>
      </w:pPr>
    </w:p>
    <w:p w14:paraId="7AEDBD58" w14:textId="77777777" w:rsidR="00003AD2" w:rsidRPr="00887863" w:rsidRDefault="00C82866">
      <w:pPr>
        <w:spacing w:line="360" w:lineRule="auto"/>
        <w:ind w:right="-93"/>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D85C3AC" w14:textId="77777777" w:rsidR="00003AD2" w:rsidRPr="00887863" w:rsidRDefault="00003AD2">
      <w:pPr>
        <w:spacing w:line="360" w:lineRule="auto"/>
        <w:ind w:right="-93"/>
        <w:jc w:val="both"/>
        <w:rPr>
          <w:rFonts w:ascii="Palatino Linotype" w:eastAsia="Palatino Linotype" w:hAnsi="Palatino Linotype" w:cs="Palatino Linotype"/>
          <w:sz w:val="22"/>
          <w:szCs w:val="22"/>
        </w:rPr>
      </w:pPr>
    </w:p>
    <w:p w14:paraId="5FB043C5" w14:textId="77777777" w:rsidR="00003AD2" w:rsidRPr="00887863" w:rsidRDefault="00C82866">
      <w:pPr>
        <w:spacing w:line="360" w:lineRule="auto"/>
        <w:jc w:val="both"/>
        <w:rPr>
          <w:rFonts w:ascii="Palatino Linotype" w:eastAsia="Palatino Linotype" w:hAnsi="Palatino Linotype" w:cs="Palatino Linotype"/>
          <w:b/>
          <w:sz w:val="22"/>
          <w:szCs w:val="22"/>
        </w:rPr>
      </w:pPr>
      <w:r w:rsidRPr="00887863">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887863">
        <w:rPr>
          <w:rFonts w:ascii="Palatino Linotype" w:eastAsia="Palatino Linotype" w:hAnsi="Palatino Linotype" w:cs="Palatino Linotype"/>
          <w:b/>
          <w:sz w:val="22"/>
          <w:szCs w:val="22"/>
        </w:rPr>
        <w:t xml:space="preserve"> </w:t>
      </w:r>
    </w:p>
    <w:p w14:paraId="0824D5CE" w14:textId="77777777" w:rsidR="00003AD2" w:rsidRPr="00887863" w:rsidRDefault="00003AD2">
      <w:pPr>
        <w:ind w:left="851" w:right="850"/>
        <w:jc w:val="both"/>
        <w:rPr>
          <w:rFonts w:ascii="Palatino Linotype" w:eastAsia="Palatino Linotype" w:hAnsi="Palatino Linotype" w:cs="Palatino Linotype"/>
          <w:sz w:val="22"/>
          <w:szCs w:val="22"/>
        </w:rPr>
      </w:pPr>
    </w:p>
    <w:p w14:paraId="082AEF45" w14:textId="77777777" w:rsidR="00003AD2" w:rsidRPr="00887863" w:rsidRDefault="00C82866">
      <w:pPr>
        <w:ind w:left="851" w:right="901"/>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r w:rsidRPr="00887863">
        <w:rPr>
          <w:rFonts w:ascii="Palatino Linotype" w:eastAsia="Palatino Linotype" w:hAnsi="Palatino Linotype" w:cs="Palatino Linotype"/>
          <w:b/>
          <w:i/>
          <w:sz w:val="22"/>
          <w:szCs w:val="22"/>
        </w:rPr>
        <w:t>No existe obligación de elaborar documentos ad hoc para atender las solicitudes de acceso a la información.</w:t>
      </w:r>
      <w:r w:rsidRPr="0088786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229DCB7" w14:textId="77777777" w:rsidR="00003AD2" w:rsidRPr="00887863" w:rsidRDefault="00C82866">
      <w:pPr>
        <w:ind w:left="851" w:right="901"/>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 xml:space="preserve">Resoluciones: </w:t>
      </w:r>
    </w:p>
    <w:p w14:paraId="4B055097" w14:textId="77777777" w:rsidR="00003AD2" w:rsidRPr="00887863" w:rsidRDefault="00C82866">
      <w:pPr>
        <w:ind w:left="851" w:right="901"/>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25F1914A" w14:textId="77777777" w:rsidR="00003AD2" w:rsidRPr="00887863" w:rsidRDefault="00C82866">
      <w:pPr>
        <w:ind w:left="851" w:right="901"/>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3F5F94F5" w14:textId="77777777" w:rsidR="00003AD2" w:rsidRPr="00887863" w:rsidRDefault="00C82866">
      <w:pPr>
        <w:ind w:left="851" w:right="901"/>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50E24302" w14:textId="77777777" w:rsidR="00003AD2" w:rsidRPr="00887863" w:rsidRDefault="00003AD2">
      <w:pPr>
        <w:spacing w:line="360" w:lineRule="auto"/>
        <w:ind w:right="-93"/>
        <w:jc w:val="both"/>
        <w:rPr>
          <w:rFonts w:ascii="Palatino Linotype" w:eastAsia="Palatino Linotype" w:hAnsi="Palatino Linotype" w:cs="Palatino Linotype"/>
          <w:sz w:val="22"/>
          <w:szCs w:val="22"/>
        </w:rPr>
      </w:pPr>
    </w:p>
    <w:p w14:paraId="133192EC" w14:textId="77777777" w:rsidR="00003AD2" w:rsidRPr="00887863" w:rsidRDefault="00C8286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887863">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6FDE307D" w14:textId="77777777" w:rsidR="00003AD2" w:rsidRPr="00887863" w:rsidRDefault="00003AD2">
      <w:pPr>
        <w:spacing w:line="360" w:lineRule="auto"/>
        <w:jc w:val="both"/>
        <w:rPr>
          <w:rFonts w:ascii="Palatino Linotype" w:eastAsia="Palatino Linotype" w:hAnsi="Palatino Linotype" w:cs="Palatino Linotype"/>
          <w:sz w:val="22"/>
          <w:szCs w:val="22"/>
        </w:rPr>
      </w:pPr>
    </w:p>
    <w:p w14:paraId="39F71390" w14:textId="77777777" w:rsidR="00003AD2" w:rsidRPr="00887863" w:rsidRDefault="00C82866">
      <w:pPr>
        <w:spacing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6B6415F" w14:textId="77777777" w:rsidR="00003AD2" w:rsidRPr="00887863" w:rsidRDefault="00003AD2">
      <w:pPr>
        <w:spacing w:line="360" w:lineRule="auto"/>
        <w:ind w:right="49"/>
        <w:jc w:val="both"/>
        <w:rPr>
          <w:rFonts w:ascii="Palatino Linotype" w:eastAsia="Palatino Linotype" w:hAnsi="Palatino Linotype" w:cs="Palatino Linotype"/>
          <w:sz w:val="22"/>
          <w:szCs w:val="22"/>
        </w:rPr>
      </w:pPr>
    </w:p>
    <w:p w14:paraId="28F6ACFC" w14:textId="77777777" w:rsidR="00003AD2" w:rsidRPr="00887863" w:rsidRDefault="00C8286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57005D" w14:textId="77777777" w:rsidR="00003AD2" w:rsidRPr="00887863" w:rsidRDefault="00003AD2">
      <w:pPr>
        <w:ind w:left="851" w:right="899"/>
        <w:jc w:val="both"/>
        <w:rPr>
          <w:rFonts w:ascii="Palatino Linotype" w:eastAsia="Palatino Linotype" w:hAnsi="Palatino Linotype" w:cs="Palatino Linotype"/>
          <w:i/>
          <w:sz w:val="22"/>
          <w:szCs w:val="22"/>
        </w:rPr>
      </w:pPr>
    </w:p>
    <w:p w14:paraId="16B5A7D6" w14:textId="77777777" w:rsidR="00003AD2" w:rsidRPr="00887863" w:rsidRDefault="00C82866">
      <w:pPr>
        <w:ind w:left="851" w:right="899"/>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r w:rsidRPr="00887863">
        <w:rPr>
          <w:rFonts w:ascii="Palatino Linotype" w:eastAsia="Palatino Linotype" w:hAnsi="Palatino Linotype" w:cs="Palatino Linotype"/>
          <w:b/>
          <w:i/>
          <w:sz w:val="22"/>
          <w:szCs w:val="22"/>
        </w:rPr>
        <w:t xml:space="preserve">Artículo 3. </w:t>
      </w:r>
      <w:r w:rsidRPr="00887863">
        <w:rPr>
          <w:rFonts w:ascii="Palatino Linotype" w:eastAsia="Palatino Linotype" w:hAnsi="Palatino Linotype" w:cs="Palatino Linotype"/>
          <w:i/>
          <w:sz w:val="22"/>
          <w:szCs w:val="22"/>
        </w:rPr>
        <w:t>Para los efectos de la presente Ley se entenderá por:</w:t>
      </w:r>
    </w:p>
    <w:p w14:paraId="51F46B1F" w14:textId="77777777" w:rsidR="00003AD2" w:rsidRPr="00887863" w:rsidRDefault="00C82866">
      <w:pPr>
        <w:ind w:left="851" w:right="899"/>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p>
    <w:p w14:paraId="28BE6ED0" w14:textId="77777777" w:rsidR="00003AD2" w:rsidRPr="00887863" w:rsidRDefault="00C82866">
      <w:pPr>
        <w:ind w:left="851" w:right="899"/>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z w:val="22"/>
          <w:szCs w:val="22"/>
        </w:rPr>
        <w:t>XI. Documento:</w:t>
      </w:r>
      <w:r w:rsidRPr="00887863">
        <w:rPr>
          <w:rFonts w:ascii="Palatino Linotype" w:eastAsia="Palatino Linotype" w:hAnsi="Palatino Linotype" w:cs="Palatino Linotype"/>
          <w:i/>
          <w:sz w:val="22"/>
          <w:szCs w:val="22"/>
        </w:rPr>
        <w:t xml:space="preserve"> Los expedientes, reportes, estudios, actas</w:t>
      </w:r>
      <w:r w:rsidRPr="00887863">
        <w:rPr>
          <w:rFonts w:ascii="Palatino Linotype" w:eastAsia="Palatino Linotype" w:hAnsi="Palatino Linotype" w:cs="Palatino Linotype"/>
          <w:b/>
          <w:i/>
          <w:sz w:val="22"/>
          <w:szCs w:val="22"/>
        </w:rPr>
        <w:t>,</w:t>
      </w:r>
      <w:r w:rsidRPr="0088786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CADE047" w14:textId="77777777" w:rsidR="00003AD2" w:rsidRPr="00887863" w:rsidRDefault="00003AD2">
      <w:pPr>
        <w:ind w:left="851" w:right="899"/>
        <w:jc w:val="both"/>
        <w:rPr>
          <w:rFonts w:ascii="Palatino Linotype" w:eastAsia="Palatino Linotype" w:hAnsi="Palatino Linotype" w:cs="Palatino Linotype"/>
          <w:sz w:val="22"/>
          <w:szCs w:val="22"/>
        </w:rPr>
      </w:pPr>
    </w:p>
    <w:p w14:paraId="2581DEE8" w14:textId="77777777" w:rsidR="00003AD2" w:rsidRPr="00887863" w:rsidRDefault="00C8286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2513F54" w14:textId="77777777" w:rsidR="00003AD2" w:rsidRPr="00887863" w:rsidRDefault="00003AD2">
      <w:pPr>
        <w:ind w:left="851" w:right="899"/>
        <w:jc w:val="both"/>
        <w:rPr>
          <w:rFonts w:ascii="Palatino Linotype" w:eastAsia="Palatino Linotype" w:hAnsi="Palatino Linotype" w:cs="Palatino Linotype"/>
          <w:sz w:val="22"/>
          <w:szCs w:val="22"/>
        </w:rPr>
      </w:pPr>
    </w:p>
    <w:p w14:paraId="01F73337" w14:textId="77777777" w:rsidR="00003AD2" w:rsidRPr="00887863" w:rsidRDefault="00C82866">
      <w:pPr>
        <w:ind w:left="851" w:right="899"/>
        <w:jc w:val="both"/>
        <w:rPr>
          <w:rFonts w:ascii="Palatino Linotype" w:eastAsia="Palatino Linotype" w:hAnsi="Palatino Linotype" w:cs="Palatino Linotype"/>
          <w:b/>
          <w:i/>
          <w:sz w:val="22"/>
          <w:szCs w:val="22"/>
        </w:rPr>
      </w:pPr>
      <w:r w:rsidRPr="00887863">
        <w:rPr>
          <w:rFonts w:ascii="Palatino Linotype" w:eastAsia="Palatino Linotype" w:hAnsi="Palatino Linotype" w:cs="Palatino Linotype"/>
          <w:b/>
          <w:sz w:val="22"/>
          <w:szCs w:val="22"/>
        </w:rPr>
        <w:t>“</w:t>
      </w:r>
      <w:r w:rsidRPr="00887863">
        <w:rPr>
          <w:rFonts w:ascii="Palatino Linotype" w:eastAsia="Palatino Linotype" w:hAnsi="Palatino Linotype" w:cs="Palatino Linotype"/>
          <w:b/>
          <w:i/>
          <w:sz w:val="22"/>
          <w:szCs w:val="22"/>
        </w:rPr>
        <w:t>CRITERIO 0002-11</w:t>
      </w:r>
    </w:p>
    <w:p w14:paraId="03747338" w14:textId="77777777" w:rsidR="00003AD2" w:rsidRPr="00887863" w:rsidRDefault="00C82866">
      <w:pPr>
        <w:ind w:left="851" w:right="899"/>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8786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574D23B" w14:textId="77777777" w:rsidR="00003AD2" w:rsidRPr="00887863" w:rsidRDefault="00C82866">
      <w:pPr>
        <w:ind w:left="851" w:right="899"/>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DB1D7B3" w14:textId="77777777" w:rsidR="00003AD2" w:rsidRPr="00887863" w:rsidRDefault="00C82866">
      <w:pPr>
        <w:ind w:left="851" w:right="899"/>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AACA582" w14:textId="77777777" w:rsidR="00003AD2" w:rsidRPr="00887863" w:rsidRDefault="00C82866">
      <w:pPr>
        <w:ind w:left="851" w:right="899"/>
        <w:jc w:val="both"/>
        <w:rPr>
          <w:rFonts w:ascii="Palatino Linotype" w:eastAsia="Palatino Linotype" w:hAnsi="Palatino Linotype" w:cs="Palatino Linotype"/>
          <w:b/>
          <w:i/>
          <w:sz w:val="22"/>
          <w:szCs w:val="22"/>
        </w:rPr>
      </w:pPr>
      <w:r w:rsidRPr="0088786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C566C9E" w14:textId="77777777" w:rsidR="00003AD2" w:rsidRPr="00887863" w:rsidRDefault="00C82866">
      <w:pPr>
        <w:ind w:left="851" w:right="899"/>
        <w:jc w:val="both"/>
        <w:rPr>
          <w:rFonts w:ascii="Palatino Linotype" w:eastAsia="Palatino Linotype" w:hAnsi="Palatino Linotype" w:cs="Palatino Linotype"/>
          <w:b/>
          <w:i/>
          <w:sz w:val="22"/>
          <w:szCs w:val="22"/>
        </w:rPr>
      </w:pPr>
      <w:r w:rsidRPr="0088786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2A91B959" w14:textId="77777777" w:rsidR="00003AD2" w:rsidRPr="00887863" w:rsidRDefault="00003AD2">
      <w:pPr>
        <w:spacing w:line="360" w:lineRule="auto"/>
        <w:jc w:val="both"/>
        <w:rPr>
          <w:rFonts w:ascii="Palatino Linotype" w:eastAsia="Palatino Linotype" w:hAnsi="Palatino Linotype" w:cs="Palatino Linotype"/>
          <w:sz w:val="22"/>
          <w:szCs w:val="22"/>
        </w:rPr>
      </w:pPr>
    </w:p>
    <w:p w14:paraId="33805DE7" w14:textId="0E0C9616" w:rsidR="00003AD2" w:rsidRPr="00887863" w:rsidRDefault="00C82866">
      <w:pPr>
        <w:spacing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00D3094A" w:rsidRPr="00887863">
        <w:rPr>
          <w:rFonts w:ascii="Palatino Linotype" w:eastAsia="Palatino Linotype" w:hAnsi="Palatino Linotype" w:cs="Palatino Linotype"/>
          <w:b/>
          <w:sz w:val="22"/>
          <w:szCs w:val="22"/>
        </w:rPr>
        <w:t>Ayuntamiento de Toluca</w:t>
      </w:r>
      <w:r w:rsidRPr="00887863">
        <w:rPr>
          <w:rFonts w:ascii="Palatino Linotype" w:eastAsia="Palatino Linotype" w:hAnsi="Palatino Linotype" w:cs="Palatino Linotype"/>
          <w:sz w:val="22"/>
          <w:szCs w:val="22"/>
        </w:rPr>
        <w:t xml:space="preserve">, lo siguiente: </w:t>
      </w:r>
    </w:p>
    <w:p w14:paraId="5E9F4733" w14:textId="7974E7B9" w:rsidR="00003AD2" w:rsidRPr="00887863" w:rsidRDefault="00C82866" w:rsidP="00F05F99">
      <w:pPr>
        <w:pBdr>
          <w:top w:val="nil"/>
          <w:left w:val="nil"/>
          <w:bottom w:val="nil"/>
          <w:right w:val="nil"/>
          <w:between w:val="nil"/>
        </w:pBdr>
        <w:spacing w:after="240" w:line="360" w:lineRule="auto"/>
        <w:ind w:left="567" w:right="616"/>
        <w:jc w:val="both"/>
        <w:rPr>
          <w:rFonts w:ascii="Palatino Linotype" w:eastAsia="Palatino Linotype" w:hAnsi="Palatino Linotype" w:cs="Palatino Linotype"/>
          <w:b/>
          <w:sz w:val="22"/>
          <w:szCs w:val="22"/>
        </w:rPr>
      </w:pPr>
      <w:r w:rsidRPr="00887863">
        <w:rPr>
          <w:rFonts w:ascii="Palatino Linotype" w:eastAsia="Palatino Linotype" w:hAnsi="Palatino Linotype" w:cs="Palatino Linotype"/>
          <w:i/>
          <w:sz w:val="22"/>
          <w:szCs w:val="22"/>
        </w:rPr>
        <w:t>“</w:t>
      </w:r>
      <w:r w:rsidR="00777979" w:rsidRPr="00887863">
        <w:rPr>
          <w:rFonts w:ascii="Palatino Linotype" w:eastAsia="Palatino Linotype" w:hAnsi="Palatino Linotype" w:cs="Palatino Linotype"/>
          <w:i/>
          <w:sz w:val="22"/>
          <w:szCs w:val="22"/>
        </w:rPr>
        <w:t>Las actas de sesión de cabildo donde se aprueban licencias de funcionamiento 2024</w:t>
      </w:r>
      <w:r w:rsidR="00F05F99" w:rsidRPr="00887863">
        <w:rPr>
          <w:rFonts w:ascii="Palatino Linotype" w:eastAsia="Palatino Linotype" w:hAnsi="Palatino Linotype" w:cs="Palatino Linotype"/>
          <w:i/>
          <w:sz w:val="22"/>
          <w:szCs w:val="22"/>
        </w:rPr>
        <w:t>”</w:t>
      </w:r>
    </w:p>
    <w:p w14:paraId="6A081505" w14:textId="77777777" w:rsidR="000462A9" w:rsidRPr="00887863" w:rsidRDefault="00F05F99">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En respuesta, el Secretario del Ayuntamiento entregó </w:t>
      </w:r>
      <w:r w:rsidR="000462A9" w:rsidRPr="00887863">
        <w:rPr>
          <w:rFonts w:ascii="Palatino Linotype" w:eastAsia="Palatino Linotype" w:hAnsi="Palatino Linotype" w:cs="Palatino Linotype"/>
          <w:sz w:val="22"/>
          <w:szCs w:val="22"/>
        </w:rPr>
        <w:t>las siguientes actas de sesiones de cabildo:</w:t>
      </w:r>
    </w:p>
    <w:p w14:paraId="5BBC361E" w14:textId="3473C3C9" w:rsidR="000462A9" w:rsidRPr="00887863" w:rsidRDefault="000462A9" w:rsidP="000462A9">
      <w:pPr>
        <w:pStyle w:val="Prrafodelista"/>
        <w:numPr>
          <w:ilvl w:val="0"/>
          <w:numId w:val="18"/>
        </w:numPr>
        <w:spacing w:after="240" w:line="360" w:lineRule="auto"/>
        <w:ind w:right="49"/>
        <w:jc w:val="both"/>
        <w:rPr>
          <w:rFonts w:ascii="Palatino Linotype" w:eastAsia="Palatino Linotype" w:hAnsi="Palatino Linotype" w:cs="Palatino Linotype"/>
          <w:b/>
          <w:bCs/>
          <w:sz w:val="22"/>
          <w:szCs w:val="22"/>
        </w:rPr>
      </w:pPr>
      <w:r w:rsidRPr="00887863">
        <w:rPr>
          <w:rFonts w:ascii="Palatino Linotype" w:eastAsia="Palatino Linotype" w:hAnsi="Palatino Linotype" w:cs="Palatino Linotype"/>
          <w:b/>
          <w:bCs/>
          <w:sz w:val="22"/>
          <w:szCs w:val="22"/>
        </w:rPr>
        <w:lastRenderedPageBreak/>
        <w:t>Quincuagésima Sesión Ordinaria del dieciocho de abril de dos mil veinticuatro; (Se adjunta en dos ocasiones)</w:t>
      </w:r>
      <w:r w:rsidR="00B75EC9" w:rsidRPr="00887863">
        <w:rPr>
          <w:rFonts w:ascii="Palatino Linotype" w:eastAsia="Palatino Linotype" w:hAnsi="Palatino Linotype" w:cs="Palatino Linotype"/>
          <w:b/>
          <w:bCs/>
          <w:sz w:val="22"/>
          <w:szCs w:val="22"/>
        </w:rPr>
        <w:t>.</w:t>
      </w:r>
    </w:p>
    <w:p w14:paraId="551DE0AB" w14:textId="72A7DD57" w:rsidR="000462A9" w:rsidRPr="00887863" w:rsidRDefault="000462A9" w:rsidP="000462A9">
      <w:pPr>
        <w:pStyle w:val="Prrafodelista"/>
        <w:numPr>
          <w:ilvl w:val="0"/>
          <w:numId w:val="18"/>
        </w:numPr>
        <w:spacing w:after="240" w:line="360" w:lineRule="auto"/>
        <w:ind w:right="49"/>
        <w:jc w:val="both"/>
        <w:rPr>
          <w:rFonts w:ascii="Palatino Linotype" w:eastAsia="Palatino Linotype" w:hAnsi="Palatino Linotype" w:cs="Palatino Linotype"/>
          <w:b/>
          <w:bCs/>
          <w:sz w:val="22"/>
          <w:szCs w:val="22"/>
        </w:rPr>
      </w:pPr>
      <w:r w:rsidRPr="00887863">
        <w:rPr>
          <w:rFonts w:ascii="Palatino Linotype" w:eastAsia="Palatino Linotype" w:hAnsi="Palatino Linotype" w:cs="Palatino Linotype"/>
          <w:b/>
          <w:bCs/>
          <w:sz w:val="22"/>
          <w:szCs w:val="22"/>
        </w:rPr>
        <w:t>Quincuagésima Quinta Sesión Ordinaria del cuatro de junio de dos mil veinticuatro;</w:t>
      </w:r>
    </w:p>
    <w:p w14:paraId="0B25D194" w14:textId="1FDA7319" w:rsidR="000462A9" w:rsidRPr="00887863" w:rsidRDefault="000462A9" w:rsidP="000462A9">
      <w:pPr>
        <w:pStyle w:val="Prrafodelista"/>
        <w:numPr>
          <w:ilvl w:val="0"/>
          <w:numId w:val="18"/>
        </w:numPr>
        <w:spacing w:after="240" w:line="360" w:lineRule="auto"/>
        <w:ind w:right="49"/>
        <w:jc w:val="both"/>
        <w:rPr>
          <w:rFonts w:ascii="Palatino Linotype" w:eastAsia="Palatino Linotype" w:hAnsi="Palatino Linotype" w:cs="Palatino Linotype"/>
          <w:b/>
          <w:bCs/>
          <w:sz w:val="22"/>
          <w:szCs w:val="22"/>
        </w:rPr>
      </w:pPr>
      <w:r w:rsidRPr="00887863">
        <w:rPr>
          <w:rFonts w:ascii="Palatino Linotype" w:eastAsia="Palatino Linotype" w:hAnsi="Palatino Linotype" w:cs="Palatino Linotype"/>
          <w:b/>
          <w:bCs/>
          <w:sz w:val="22"/>
          <w:szCs w:val="22"/>
        </w:rPr>
        <w:t>Quincuagésima Séptima Sesión Ordinaria del trece de junio de dos mil veinticuatro</w:t>
      </w:r>
    </w:p>
    <w:p w14:paraId="1049256A" w14:textId="50F44547" w:rsidR="00B55F53" w:rsidRPr="00887863" w:rsidRDefault="00B55F53">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El Recurrente se inconformó porque se le entregó la información incompleta, señalando que únicamente se proporcionó un acta de sesión de cabildo.</w:t>
      </w:r>
    </w:p>
    <w:p w14:paraId="3A78451F" w14:textId="66DB4954" w:rsidR="00567C54" w:rsidRPr="00887863" w:rsidRDefault="00567C54" w:rsidP="00567C5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Del agravio del particular, se aprecia que se inconforma porque únicamente se le entregó un acta de cabildo, señalando que la información está incompleta; es decir, no mostró agravio respecto a la información proporcionada, sino que el Particular considera que faltaron actas de cabildo. En consecuencia, la información proporcionada debe declarase consentida, pues se entiende que la parte Recurrente ésta conforme con la información proporcionada al no contravenir la misma. Sirve de Apoyo a lo anterior, por analogía la Tesis Jurisprudencial Número 3ª./J.7/91, Publicada en el Semanario Judicial de la Federación y su Gaceta bajo el número de registro 174,177, que establece lo siguiente:</w:t>
      </w:r>
    </w:p>
    <w:p w14:paraId="33009B6B" w14:textId="77777777" w:rsidR="00567C54" w:rsidRPr="00887863" w:rsidRDefault="00567C54" w:rsidP="00567C5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9571397" w14:textId="77777777" w:rsidR="00567C54" w:rsidRPr="00887863" w:rsidRDefault="00567C54" w:rsidP="00567C54">
      <w:pPr>
        <w:ind w:left="851" w:right="900"/>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z w:val="22"/>
          <w:szCs w:val="22"/>
        </w:rPr>
        <w:t xml:space="preserve">“REVISIÓN EN AMPARO. LOS RESOLUTIVOS NO COMBATIDOS DEBEN DECLARARSE FIRMES. </w:t>
      </w:r>
      <w:r w:rsidRPr="00887863">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C9758C7" w14:textId="77777777" w:rsidR="00567C54" w:rsidRPr="00887863" w:rsidRDefault="00567C54" w:rsidP="00567C54">
      <w:pPr>
        <w:ind w:left="851" w:right="900"/>
        <w:jc w:val="both"/>
        <w:rPr>
          <w:rFonts w:ascii="Palatino Linotype" w:eastAsia="Palatino Linotype" w:hAnsi="Palatino Linotype" w:cs="Palatino Linotype"/>
          <w:i/>
          <w:sz w:val="22"/>
          <w:szCs w:val="22"/>
        </w:rPr>
      </w:pPr>
    </w:p>
    <w:p w14:paraId="3535AABA" w14:textId="77777777" w:rsidR="00567C54" w:rsidRPr="00887863" w:rsidRDefault="00567C54" w:rsidP="00567C5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w:t>
      </w:r>
      <w:r w:rsidRPr="00887863">
        <w:rPr>
          <w:rFonts w:ascii="Palatino Linotype" w:eastAsia="Palatino Linotype" w:hAnsi="Palatino Linotype" w:cs="Palatino Linotype"/>
          <w:sz w:val="22"/>
          <w:szCs w:val="22"/>
        </w:rPr>
        <w:lastRenderedPageBreak/>
        <w:t xml:space="preserve">confirmar o modificar el acto reclamado ya que se infiere un consentimiento ante la falta de impugnación eficaz. </w:t>
      </w:r>
    </w:p>
    <w:p w14:paraId="66E372A4" w14:textId="77777777" w:rsidR="00567C54" w:rsidRPr="00887863" w:rsidRDefault="00567C54" w:rsidP="00567C5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B1EBF3" w14:textId="77777777" w:rsidR="00567C54" w:rsidRPr="00887863" w:rsidRDefault="00567C54" w:rsidP="00567C5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4AB5921B" w14:textId="77777777" w:rsidR="00567C54" w:rsidRPr="00887863" w:rsidRDefault="00567C54" w:rsidP="00567C54">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32B304EE" w14:textId="77777777" w:rsidR="00567C54" w:rsidRPr="00887863" w:rsidRDefault="00567C54" w:rsidP="00567C5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b/>
          <w:i/>
          <w:smallCaps/>
          <w:sz w:val="22"/>
          <w:szCs w:val="22"/>
        </w:rPr>
        <w:t xml:space="preserve">“ACTOS CONSENTIDOS. SON LOS QUE NO SE IMPUGNAN MEDIANTE EL RECURSO IDÓNEO. </w:t>
      </w:r>
      <w:r w:rsidRPr="00887863">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8D0E040" w14:textId="77777777" w:rsidR="00567C54" w:rsidRPr="00887863" w:rsidRDefault="00567C54" w:rsidP="00567C5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64B869F" w14:textId="68499196" w:rsidR="00567C54" w:rsidRPr="00887863" w:rsidRDefault="00567C54" w:rsidP="00567C5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Por lo expuesto, el presente asunto se </w:t>
      </w:r>
      <w:r w:rsidR="003F1433" w:rsidRPr="00887863">
        <w:rPr>
          <w:rFonts w:ascii="Palatino Linotype" w:eastAsia="Palatino Linotype" w:hAnsi="Palatino Linotype" w:cs="Palatino Linotype"/>
          <w:sz w:val="22"/>
          <w:szCs w:val="22"/>
        </w:rPr>
        <w:t xml:space="preserve">limitará </w:t>
      </w:r>
      <w:r w:rsidRPr="00887863">
        <w:rPr>
          <w:rFonts w:ascii="Palatino Linotype" w:eastAsia="Palatino Linotype" w:hAnsi="Palatino Linotype" w:cs="Palatino Linotype"/>
          <w:sz w:val="22"/>
          <w:szCs w:val="22"/>
        </w:rPr>
        <w:t>a analizar lo relativo a la</w:t>
      </w:r>
      <w:r w:rsidR="003F1433" w:rsidRPr="00887863">
        <w:rPr>
          <w:rFonts w:ascii="Palatino Linotype" w:eastAsia="Palatino Linotype" w:hAnsi="Palatino Linotype" w:cs="Palatino Linotype"/>
          <w:sz w:val="22"/>
          <w:szCs w:val="22"/>
        </w:rPr>
        <w:t>s actas de cabildo faltantes donde se hayan aprobado licencias de funcionamiento.</w:t>
      </w:r>
    </w:p>
    <w:p w14:paraId="01F00E5A" w14:textId="77777777" w:rsidR="00567C54" w:rsidRPr="00887863" w:rsidRDefault="00567C54" w:rsidP="00567C5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04D7655" w14:textId="6D03B20C" w:rsidR="00EB29DD" w:rsidRPr="00887863" w:rsidRDefault="00EB29DD">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Derivado de la naturaleza de la información</w:t>
      </w:r>
      <w:r w:rsidR="00372154" w:rsidRPr="00887863">
        <w:rPr>
          <w:rFonts w:ascii="Palatino Linotype" w:eastAsia="Palatino Linotype" w:hAnsi="Palatino Linotype" w:cs="Palatino Linotype"/>
          <w:sz w:val="22"/>
          <w:szCs w:val="22"/>
        </w:rPr>
        <w:t>, es necesario señalar que el artículo 84 del Bando Municipal del Ayuntamiento de Toluca vigente en el 2024 y el artículo 2, fracción XV de la Ley de Competitividad y Ordenamiento Comercial del Estado de México establece</w:t>
      </w:r>
      <w:r w:rsidR="00AE312E" w:rsidRPr="00887863">
        <w:rPr>
          <w:rFonts w:ascii="Palatino Linotype" w:eastAsia="Palatino Linotype" w:hAnsi="Palatino Linotype" w:cs="Palatino Linotype"/>
          <w:sz w:val="22"/>
          <w:szCs w:val="22"/>
        </w:rPr>
        <w:t>n</w:t>
      </w:r>
      <w:r w:rsidR="00372154" w:rsidRPr="00887863">
        <w:rPr>
          <w:rFonts w:ascii="Palatino Linotype" w:eastAsia="Palatino Linotype" w:hAnsi="Palatino Linotype" w:cs="Palatino Linotype"/>
          <w:sz w:val="22"/>
          <w:szCs w:val="22"/>
        </w:rPr>
        <w:t xml:space="preserve"> lo siguiente:</w:t>
      </w:r>
    </w:p>
    <w:p w14:paraId="3721AB5E" w14:textId="21B80CD1" w:rsidR="00372154" w:rsidRPr="00887863" w:rsidRDefault="00372154" w:rsidP="00AE312E">
      <w:pPr>
        <w:spacing w:after="240" w:line="360" w:lineRule="auto"/>
        <w:ind w:left="567" w:right="616"/>
        <w:jc w:val="center"/>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TÍTULO DÉCIMO</w:t>
      </w:r>
    </w:p>
    <w:p w14:paraId="3902B996" w14:textId="42905BE1" w:rsidR="00372154" w:rsidRPr="00887863" w:rsidRDefault="00372154" w:rsidP="00AE312E">
      <w:pPr>
        <w:spacing w:after="240" w:line="360" w:lineRule="auto"/>
        <w:ind w:left="567" w:right="616"/>
        <w:jc w:val="center"/>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SEGUNDO DE LAS ACTIVIDADES COMERCIALES, INDUSTRIALES Y DE PRESTACIÓN DE SERVICIOS</w:t>
      </w:r>
    </w:p>
    <w:p w14:paraId="261CA770" w14:textId="38966F1B" w:rsidR="00E51C6A" w:rsidRPr="00887863" w:rsidRDefault="00372154" w:rsidP="00AE312E">
      <w:pPr>
        <w:spacing w:after="240" w:line="360" w:lineRule="auto"/>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 xml:space="preserve">Artículo 84. Toda actividad comercial, industrial o de servicios que realicen las personas físicas o jurídicas colectivas requiere licencia o permiso de la autoridad municipal competente y, en su caso, de la autorización de las dependencias federales, estatales y </w:t>
      </w:r>
      <w:r w:rsidRPr="00887863">
        <w:rPr>
          <w:rFonts w:ascii="Palatino Linotype" w:eastAsia="Palatino Linotype" w:hAnsi="Palatino Linotype" w:cs="Palatino Linotype"/>
          <w:i/>
          <w:iCs/>
          <w:sz w:val="22"/>
          <w:szCs w:val="22"/>
        </w:rPr>
        <w:lastRenderedPageBreak/>
        <w:t>municipales que, conforme al giro comercial y condiciones en que se ejerza, deban otorgarlo</w:t>
      </w:r>
    </w:p>
    <w:p w14:paraId="5377CAB2" w14:textId="0866FB5E" w:rsidR="00AE312E" w:rsidRPr="00887863" w:rsidRDefault="00AE312E" w:rsidP="00AE312E">
      <w:pPr>
        <w:spacing w:after="240" w:line="360" w:lineRule="auto"/>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Artículo 2. Para los efectos de esta Ley, se entenderá por:</w:t>
      </w:r>
    </w:p>
    <w:p w14:paraId="18823196" w14:textId="3794E6CE" w:rsidR="00AE312E" w:rsidRPr="00887863" w:rsidRDefault="00AE312E" w:rsidP="00AE312E">
      <w:pPr>
        <w:spacing w:after="240" w:line="360" w:lineRule="auto"/>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w:t>
      </w:r>
    </w:p>
    <w:p w14:paraId="20070F71" w14:textId="39DCC4DB" w:rsidR="00AE312E" w:rsidRPr="00887863" w:rsidRDefault="00AE312E" w:rsidP="00AE312E">
      <w:pPr>
        <w:spacing w:after="240" w:line="360" w:lineRule="auto"/>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XV. Licencia de funcionamiento: Al acto administrativo que emite la autoridad, por el cual autoriza a una persona física o jurídica colectiva a desarrollar actividades económicas.</w:t>
      </w:r>
    </w:p>
    <w:p w14:paraId="3B05BC67" w14:textId="42C608A0" w:rsidR="00AE312E" w:rsidRPr="00887863" w:rsidRDefault="00AE312E" w:rsidP="00AE312E">
      <w:pPr>
        <w:spacing w:after="240" w:line="360" w:lineRule="auto"/>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w:t>
      </w:r>
    </w:p>
    <w:p w14:paraId="651E6167" w14:textId="1AA8C56F" w:rsidR="00372154" w:rsidRPr="00887863" w:rsidRDefault="00AE312E">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De lo anterior, se tiene que todas las unidades económicas que se encuentren dentro del municipio de Toluca, deben contar con una licencia de funcionamiento, entendiéndose esta última como el acto administrativo emitido por el Ayuntamiento, mediante el cual se autoriza a una persona para desarrollar actividades económicas dentro de la delimitación territorial del Municipio de Toluca.</w:t>
      </w:r>
    </w:p>
    <w:p w14:paraId="3E894ED2" w14:textId="3600E5CB" w:rsidR="00D32C17" w:rsidRPr="00887863" w:rsidRDefault="00D32C17" w:rsidP="00D32C17">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Por su parte, la Ley Orgánica Municipal del Estado de México en su artículo 96 </w:t>
      </w:r>
      <w:proofErr w:type="spellStart"/>
      <w:r w:rsidRPr="00887863">
        <w:rPr>
          <w:rFonts w:ascii="Palatino Linotype" w:eastAsia="Palatino Linotype" w:hAnsi="Palatino Linotype" w:cs="Palatino Linotype"/>
          <w:sz w:val="22"/>
          <w:szCs w:val="22"/>
        </w:rPr>
        <w:t>Quáter</w:t>
      </w:r>
      <w:proofErr w:type="spellEnd"/>
      <w:r w:rsidRPr="00887863">
        <w:rPr>
          <w:rFonts w:ascii="Palatino Linotype" w:eastAsia="Palatino Linotype" w:hAnsi="Palatino Linotype" w:cs="Palatino Linotype"/>
          <w:sz w:val="22"/>
          <w:szCs w:val="22"/>
        </w:rPr>
        <w:t xml:space="preserve"> señala que la Dirección de Desarrollo Económico Municipal o equivalente, tiene atribuciones para el otorgamiento de permisos y licencias para la apertura y funcionamiento de unidades económicas, como se observa a continuación: </w:t>
      </w:r>
    </w:p>
    <w:p w14:paraId="34A1A761" w14:textId="77777777" w:rsidR="00D32C17" w:rsidRPr="00887863" w:rsidRDefault="00D32C17" w:rsidP="00D32C17">
      <w:pPr>
        <w:spacing w:line="276" w:lineRule="auto"/>
        <w:ind w:left="851" w:right="616"/>
        <w:jc w:val="both"/>
        <w:rPr>
          <w:rFonts w:ascii="Palatino Linotype" w:eastAsia="Palatino Linotype" w:hAnsi="Palatino Linotype" w:cs="Palatino Linotype"/>
          <w:b/>
          <w:i/>
          <w:sz w:val="22"/>
          <w:szCs w:val="22"/>
        </w:rPr>
      </w:pPr>
      <w:r w:rsidRPr="00887863">
        <w:rPr>
          <w:rFonts w:ascii="Palatino Linotype" w:eastAsia="Palatino Linotype" w:hAnsi="Palatino Linotype" w:cs="Palatino Linotype"/>
          <w:i/>
          <w:sz w:val="22"/>
          <w:szCs w:val="22"/>
        </w:rPr>
        <w:t>“</w:t>
      </w:r>
      <w:r w:rsidRPr="00887863">
        <w:rPr>
          <w:rFonts w:ascii="Palatino Linotype" w:eastAsia="Palatino Linotype" w:hAnsi="Palatino Linotype" w:cs="Palatino Linotype"/>
          <w:b/>
          <w:i/>
          <w:sz w:val="22"/>
          <w:szCs w:val="22"/>
        </w:rPr>
        <w:t xml:space="preserve">Artículo 96 </w:t>
      </w:r>
      <w:proofErr w:type="spellStart"/>
      <w:r w:rsidRPr="00887863">
        <w:rPr>
          <w:rFonts w:ascii="Palatino Linotype" w:eastAsia="Palatino Linotype" w:hAnsi="Palatino Linotype" w:cs="Palatino Linotype"/>
          <w:b/>
          <w:i/>
          <w:sz w:val="22"/>
          <w:szCs w:val="22"/>
        </w:rPr>
        <w:t>Quáter</w:t>
      </w:r>
      <w:proofErr w:type="spellEnd"/>
      <w:r w:rsidRPr="00887863">
        <w:rPr>
          <w:rFonts w:ascii="Palatino Linotype" w:eastAsia="Palatino Linotype" w:hAnsi="Palatino Linotype" w:cs="Palatino Linotype"/>
          <w:i/>
          <w:sz w:val="22"/>
          <w:szCs w:val="22"/>
        </w:rPr>
        <w:t xml:space="preserve">.- El Titular de la </w:t>
      </w:r>
      <w:r w:rsidRPr="00887863">
        <w:rPr>
          <w:rFonts w:ascii="Palatino Linotype" w:eastAsia="Palatino Linotype" w:hAnsi="Palatino Linotype" w:cs="Palatino Linotype"/>
          <w:b/>
          <w:i/>
          <w:sz w:val="22"/>
          <w:szCs w:val="22"/>
        </w:rPr>
        <w:t>Dirección de Desarrollo Económico Municipal</w:t>
      </w:r>
      <w:r w:rsidRPr="00887863">
        <w:rPr>
          <w:rFonts w:ascii="Palatino Linotype" w:eastAsia="Palatino Linotype" w:hAnsi="Palatino Linotype" w:cs="Palatino Linotype"/>
          <w:i/>
          <w:sz w:val="22"/>
          <w:szCs w:val="22"/>
        </w:rPr>
        <w:t xml:space="preserve"> o el Titular de la Unidad Administrativa equivalente, tiene </w:t>
      </w:r>
      <w:r w:rsidRPr="00887863">
        <w:rPr>
          <w:rFonts w:ascii="Palatino Linotype" w:eastAsia="Palatino Linotype" w:hAnsi="Palatino Linotype" w:cs="Palatino Linotype"/>
          <w:b/>
          <w:i/>
          <w:sz w:val="22"/>
          <w:szCs w:val="22"/>
        </w:rPr>
        <w:t>las siguientes atribuciones:</w:t>
      </w:r>
    </w:p>
    <w:p w14:paraId="389F0CF4" w14:textId="77777777" w:rsidR="00D32C17" w:rsidRPr="00887863" w:rsidRDefault="00D32C17" w:rsidP="00D32C17">
      <w:pPr>
        <w:spacing w:line="276" w:lineRule="auto"/>
        <w:ind w:left="851" w:right="616"/>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p>
    <w:p w14:paraId="48C0C8E1" w14:textId="77777777" w:rsidR="00D32C17" w:rsidRPr="00887863" w:rsidRDefault="00D32C17" w:rsidP="00D32C17">
      <w:pPr>
        <w:spacing w:line="276" w:lineRule="auto"/>
        <w:ind w:left="851" w:right="616"/>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 xml:space="preserve">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w:t>
      </w:r>
      <w:r w:rsidRPr="00887863">
        <w:rPr>
          <w:rFonts w:ascii="Palatino Linotype" w:eastAsia="Palatino Linotype" w:hAnsi="Palatino Linotype" w:cs="Palatino Linotype"/>
          <w:i/>
          <w:sz w:val="22"/>
          <w:szCs w:val="22"/>
        </w:rPr>
        <w:lastRenderedPageBreak/>
        <w:t>México, la Ley de Fomento Económico del Estado de México, sus respectivos reglamentos y demás disposiciones jurídicas aplicables;</w:t>
      </w:r>
    </w:p>
    <w:p w14:paraId="26E72A38" w14:textId="77777777" w:rsidR="00D32C17" w:rsidRPr="00887863" w:rsidRDefault="00D32C17" w:rsidP="00D32C17">
      <w:pPr>
        <w:spacing w:line="276" w:lineRule="auto"/>
        <w:ind w:left="851" w:right="616"/>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w:t>
      </w:r>
    </w:p>
    <w:p w14:paraId="0D4B6EF4" w14:textId="77777777" w:rsidR="00D32C17" w:rsidRPr="00887863" w:rsidRDefault="00D32C17" w:rsidP="00D32C17">
      <w:pPr>
        <w:spacing w:line="276" w:lineRule="auto"/>
        <w:ind w:left="851" w:right="616"/>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 xml:space="preserve">XVIII. Conducir la coordinación interinstitucional de las dependencias municipales a las que corresponda conocer sobre </w:t>
      </w:r>
      <w:r w:rsidRPr="00887863">
        <w:rPr>
          <w:rFonts w:ascii="Palatino Linotype" w:eastAsia="Palatino Linotype" w:hAnsi="Palatino Linotype" w:cs="Palatino Linotype"/>
          <w:b/>
          <w:i/>
          <w:sz w:val="22"/>
          <w:szCs w:val="22"/>
        </w:rPr>
        <w:t>el otorgamiento de permisos y licencias para la apertura y funcionamiento de unidades económicas</w:t>
      </w:r>
      <w:r w:rsidRPr="00887863">
        <w:rPr>
          <w:rFonts w:ascii="Palatino Linotype" w:eastAsia="Palatino Linotype" w:hAnsi="Palatino Linotype" w:cs="Palatino Linotype"/>
          <w:i/>
          <w:sz w:val="22"/>
          <w:szCs w:val="22"/>
        </w:rPr>
        <w:t>;</w:t>
      </w:r>
    </w:p>
    <w:p w14:paraId="21EC3A7E" w14:textId="77777777" w:rsidR="00D32C17" w:rsidRPr="00887863" w:rsidRDefault="00D32C17" w:rsidP="00D32C17">
      <w:pPr>
        <w:spacing w:line="276" w:lineRule="auto"/>
        <w:ind w:left="851" w:right="616"/>
        <w:jc w:val="both"/>
        <w:rPr>
          <w:rFonts w:ascii="Palatino Linotype" w:eastAsia="Palatino Linotype" w:hAnsi="Palatino Linotype" w:cs="Palatino Linotype"/>
          <w:i/>
          <w:sz w:val="22"/>
          <w:szCs w:val="22"/>
        </w:rPr>
      </w:pPr>
      <w:r w:rsidRPr="00887863">
        <w:rPr>
          <w:rFonts w:ascii="Palatino Linotype" w:eastAsia="Palatino Linotype" w:hAnsi="Palatino Linotype" w:cs="Palatino Linotype"/>
          <w:i/>
          <w:sz w:val="22"/>
          <w:szCs w:val="22"/>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w:t>
      </w:r>
    </w:p>
    <w:p w14:paraId="7E8CC1EC" w14:textId="77777777" w:rsidR="00D32C17" w:rsidRPr="00887863" w:rsidRDefault="00D32C17" w:rsidP="00D32C17">
      <w:pPr>
        <w:spacing w:line="276" w:lineRule="auto"/>
        <w:ind w:left="851" w:right="616"/>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i/>
          <w:sz w:val="22"/>
          <w:szCs w:val="22"/>
        </w:rPr>
        <w:t xml:space="preserve">XIX. </w:t>
      </w:r>
      <w:r w:rsidRPr="00887863">
        <w:rPr>
          <w:rFonts w:ascii="Palatino Linotype" w:eastAsia="Palatino Linotype" w:hAnsi="Palatino Linotype" w:cs="Palatino Linotype"/>
          <w:b/>
          <w:i/>
          <w:sz w:val="22"/>
          <w:szCs w:val="22"/>
        </w:rPr>
        <w:t>Operar y actualizar el Registro Municipal de Unidades Económicas de los permisos o licencias de funcionamiento otorgadas a las unidades económicas respectivas</w:t>
      </w:r>
      <w:r w:rsidRPr="00887863">
        <w:rPr>
          <w:rFonts w:ascii="Palatino Linotype" w:eastAsia="Palatino Linotype" w:hAnsi="Palatino Linotype" w:cs="Palatino Linotype"/>
          <w:i/>
          <w:sz w:val="22"/>
          <w:szCs w:val="22"/>
        </w:rPr>
        <w:t>, así como remitir dentro de los cinco días hábiles siguientes los datos generados al Sistema que al efecto integre la Secretaría de Desarrollo Económico, a la Secretaría de Seguridad y a la Fiscalía General de Justicia del Estado de México, la información respectiva;</w:t>
      </w:r>
      <w:r w:rsidRPr="00887863">
        <w:rPr>
          <w:rFonts w:ascii="Palatino Linotype" w:eastAsia="Palatino Linotype" w:hAnsi="Palatino Linotype" w:cs="Palatino Linotype"/>
          <w:i/>
          <w:sz w:val="22"/>
          <w:szCs w:val="22"/>
        </w:rPr>
        <w:br/>
        <w:t>…”</w:t>
      </w:r>
    </w:p>
    <w:p w14:paraId="78F865E1" w14:textId="77777777" w:rsidR="00D32C17" w:rsidRPr="00887863" w:rsidRDefault="00D32C17" w:rsidP="00D32C17">
      <w:pPr>
        <w:spacing w:line="360" w:lineRule="auto"/>
        <w:ind w:firstLine="1"/>
        <w:jc w:val="both"/>
        <w:rPr>
          <w:rFonts w:ascii="Palatino Linotype" w:eastAsia="Palatino Linotype" w:hAnsi="Palatino Linotype" w:cs="Palatino Linotype"/>
          <w:sz w:val="22"/>
          <w:szCs w:val="22"/>
        </w:rPr>
      </w:pPr>
    </w:p>
    <w:p w14:paraId="083A38DA" w14:textId="3675272A" w:rsidR="00E83CB4" w:rsidRPr="00887863" w:rsidRDefault="00D32C17" w:rsidP="00E83CB4">
      <w:pPr>
        <w:spacing w:line="360" w:lineRule="auto"/>
        <w:ind w:firstLine="1"/>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rPr>
        <w:t xml:space="preserve">Por lo anterior, se advierte que la Dirección de Desarrollo Económico, es la unidad administrativa que cuenta con atribuciones para generar, poseer y administrar información relacionada con las licencias de funcionamiento. Sin embargo, no pasa desapercibido que el Recurrente no solicitó como tal las licencias de funcionamiento, sino las actas de cabildo donde fueron aprobadas las licencias de funcionamiento, por tal </w:t>
      </w:r>
      <w:r w:rsidR="00E83CB4" w:rsidRPr="00887863">
        <w:rPr>
          <w:rFonts w:ascii="Palatino Linotype" w:eastAsia="Palatino Linotype" w:hAnsi="Palatino Linotype" w:cs="Palatino Linotype"/>
          <w:sz w:val="22"/>
          <w:szCs w:val="22"/>
        </w:rPr>
        <w:t xml:space="preserve">motivo es necesario traer a contexto el artículo 2.4 del Código Reglamentario del Ayuntamiento de Toluca, y el artículo </w:t>
      </w:r>
      <w:r w:rsidR="00E83CB4" w:rsidRPr="00887863">
        <w:rPr>
          <w:rFonts w:ascii="Palatino Linotype" w:eastAsia="Palatino Linotype" w:hAnsi="Palatino Linotype" w:cs="Palatino Linotype"/>
          <w:sz w:val="22"/>
          <w:szCs w:val="22"/>
          <w:lang w:val="es-MX"/>
        </w:rPr>
        <w:t>91, fracciones I y IV, de la Ley Orgánica Municipal del Estado de México los cuales disponen lo siguiente, respectivamente:</w:t>
      </w:r>
    </w:p>
    <w:p w14:paraId="6FB4F561" w14:textId="77777777" w:rsidR="00E83CB4" w:rsidRPr="00887863" w:rsidRDefault="00E83CB4" w:rsidP="00E83CB4">
      <w:pPr>
        <w:spacing w:line="360" w:lineRule="auto"/>
        <w:ind w:firstLine="1"/>
        <w:jc w:val="both"/>
        <w:rPr>
          <w:rFonts w:ascii="Palatino Linotype" w:eastAsia="Palatino Linotype" w:hAnsi="Palatino Linotype" w:cs="Palatino Linotype"/>
          <w:sz w:val="22"/>
          <w:szCs w:val="22"/>
          <w:lang w:val="es-MX"/>
        </w:rPr>
      </w:pPr>
    </w:p>
    <w:p w14:paraId="3D5F3FD3" w14:textId="298FA1D5" w:rsidR="00E83CB4" w:rsidRPr="00887863" w:rsidRDefault="00E83CB4" w:rsidP="00E83CB4">
      <w:pPr>
        <w:spacing w:line="360" w:lineRule="auto"/>
        <w:ind w:left="567" w:firstLine="1"/>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sz w:val="22"/>
          <w:szCs w:val="22"/>
        </w:rPr>
        <w:t xml:space="preserve">  </w:t>
      </w:r>
      <w:r w:rsidRPr="00887863">
        <w:rPr>
          <w:rFonts w:ascii="Palatino Linotype" w:eastAsia="Palatino Linotype" w:hAnsi="Palatino Linotype" w:cs="Palatino Linotype"/>
          <w:i/>
          <w:iCs/>
          <w:sz w:val="22"/>
          <w:szCs w:val="22"/>
        </w:rPr>
        <w:t>Artículo 2.4. Son atribuciones del presidente municipal, además de las señaladas en la Constitución Estatal y en la Ley Orgánica Municipal, las siguientes:</w:t>
      </w:r>
    </w:p>
    <w:p w14:paraId="0A2050DB" w14:textId="77777777" w:rsidR="00E83CB4" w:rsidRPr="00887863" w:rsidRDefault="00E83CB4" w:rsidP="00E83CB4">
      <w:pPr>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w:t>
      </w:r>
    </w:p>
    <w:p w14:paraId="14CA94D0" w14:textId="6F030CB1" w:rsidR="00E83CB4" w:rsidRPr="00887863" w:rsidRDefault="00C93784" w:rsidP="00E83CB4">
      <w:pPr>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b/>
          <w:bCs/>
          <w:i/>
          <w:iCs/>
          <w:sz w:val="22"/>
          <w:szCs w:val="22"/>
          <w:u w:val="single"/>
        </w:rPr>
        <w:lastRenderedPageBreak/>
        <w:t>XII</w:t>
      </w:r>
      <w:r w:rsidR="00E83CB4" w:rsidRPr="00887863">
        <w:rPr>
          <w:rFonts w:ascii="Palatino Linotype" w:eastAsia="Palatino Linotype" w:hAnsi="Palatino Linotype" w:cs="Palatino Linotype"/>
          <w:b/>
          <w:bCs/>
          <w:i/>
          <w:iCs/>
          <w:sz w:val="22"/>
          <w:szCs w:val="22"/>
          <w:u w:val="single"/>
        </w:rPr>
        <w:t>. Expedir previo acuerdo del Ayuntamiento, licencias de funcionamiento de las unidades económicas</w:t>
      </w:r>
      <w:r w:rsidR="00E83CB4" w:rsidRPr="00887863">
        <w:rPr>
          <w:rFonts w:ascii="Palatino Linotype" w:eastAsia="Palatino Linotype" w:hAnsi="Palatino Linotype" w:cs="Palatino Linotype"/>
          <w:b/>
          <w:i/>
          <w:iCs/>
          <w:sz w:val="22"/>
          <w:szCs w:val="22"/>
        </w:rPr>
        <w:t xml:space="preserve"> o establecimientos destinados a la enajenación de vehículos automotores usados y autopartes nuevas y usadas</w:t>
      </w:r>
      <w:r w:rsidR="00E83CB4" w:rsidRPr="00887863">
        <w:rPr>
          <w:rFonts w:ascii="Palatino Linotype" w:eastAsia="Palatino Linotype" w:hAnsi="Palatino Linotype" w:cs="Palatino Linotype"/>
          <w:i/>
          <w:iCs/>
          <w:sz w:val="22"/>
          <w:szCs w:val="22"/>
        </w:rPr>
        <w:t>; y</w:t>
      </w:r>
    </w:p>
    <w:p w14:paraId="3ABBAC54" w14:textId="77777777" w:rsidR="00E83CB4" w:rsidRPr="00887863" w:rsidRDefault="00E83CB4" w:rsidP="00E83CB4">
      <w:pPr>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w:t>
      </w:r>
    </w:p>
    <w:p w14:paraId="4CCEF845" w14:textId="77777777" w:rsidR="00E83CB4" w:rsidRPr="00887863" w:rsidRDefault="00E83CB4" w:rsidP="00E83CB4">
      <w:pPr>
        <w:spacing w:after="240" w:line="360" w:lineRule="auto"/>
        <w:ind w:right="49"/>
        <w:jc w:val="both"/>
        <w:rPr>
          <w:rFonts w:ascii="Palatino Linotype" w:eastAsia="Palatino Linotype" w:hAnsi="Palatino Linotype" w:cs="Palatino Linotype"/>
          <w:sz w:val="22"/>
          <w:szCs w:val="22"/>
        </w:rPr>
      </w:pPr>
    </w:p>
    <w:p w14:paraId="07039A6C" w14:textId="77777777" w:rsidR="00E83CB4" w:rsidRPr="00887863" w:rsidRDefault="00E83CB4" w:rsidP="00E83CB4">
      <w:pPr>
        <w:ind w:left="567" w:right="616"/>
        <w:jc w:val="both"/>
        <w:rPr>
          <w:rFonts w:ascii="Palatino Linotype" w:eastAsia="Palatino Linotype" w:hAnsi="Palatino Linotype" w:cs="Palatino Linotype"/>
          <w:i/>
          <w:iCs/>
          <w:sz w:val="22"/>
          <w:szCs w:val="22"/>
        </w:rPr>
      </w:pPr>
      <w:r w:rsidRPr="00887863">
        <w:rPr>
          <w:rFonts w:ascii="Palatino Linotype" w:eastAsia="Palatino Linotype" w:hAnsi="Palatino Linotype" w:cs="Palatino Linotype"/>
          <w:i/>
          <w:iCs/>
          <w:sz w:val="22"/>
          <w:szCs w:val="22"/>
        </w:rPr>
        <w:t xml:space="preserve">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3047C4D4" w14:textId="77777777" w:rsidR="00E83CB4" w:rsidRPr="00887863" w:rsidRDefault="00E83CB4" w:rsidP="00E83CB4">
      <w:pPr>
        <w:ind w:left="567" w:right="616"/>
        <w:jc w:val="both"/>
        <w:rPr>
          <w:rFonts w:ascii="Palatino Linotype" w:eastAsia="Palatino Linotype" w:hAnsi="Palatino Linotype" w:cs="Palatino Linotype"/>
          <w:b/>
          <w:bCs/>
          <w:i/>
          <w:iCs/>
          <w:sz w:val="22"/>
          <w:szCs w:val="22"/>
        </w:rPr>
      </w:pPr>
      <w:r w:rsidRPr="00887863">
        <w:rPr>
          <w:rFonts w:ascii="Palatino Linotype" w:eastAsia="Palatino Linotype" w:hAnsi="Palatino Linotype" w:cs="Palatino Linotype"/>
          <w:b/>
          <w:bCs/>
          <w:i/>
          <w:iCs/>
          <w:sz w:val="22"/>
          <w:szCs w:val="22"/>
        </w:rPr>
        <w:t xml:space="preserve">I. Asistir a las sesiones del ayuntamiento y levantar las actas correspondientes; </w:t>
      </w:r>
    </w:p>
    <w:p w14:paraId="4C56B735" w14:textId="77777777" w:rsidR="00E83CB4" w:rsidRPr="00887863" w:rsidRDefault="00E83CB4" w:rsidP="00E83CB4">
      <w:pPr>
        <w:ind w:left="567" w:right="616"/>
        <w:jc w:val="both"/>
        <w:rPr>
          <w:rFonts w:ascii="Palatino Linotype" w:eastAsia="Palatino Linotype" w:hAnsi="Palatino Linotype" w:cs="Palatino Linotype"/>
          <w:b/>
          <w:bCs/>
          <w:i/>
          <w:iCs/>
          <w:sz w:val="22"/>
          <w:szCs w:val="22"/>
        </w:rPr>
      </w:pPr>
      <w:r w:rsidRPr="00887863">
        <w:rPr>
          <w:rFonts w:ascii="Palatino Linotype" w:eastAsia="Palatino Linotype" w:hAnsi="Palatino Linotype" w:cs="Palatino Linotype"/>
          <w:b/>
          <w:bCs/>
          <w:i/>
          <w:iCs/>
          <w:sz w:val="22"/>
          <w:szCs w:val="22"/>
        </w:rPr>
        <w:t>…</w:t>
      </w:r>
    </w:p>
    <w:p w14:paraId="35BF3CF4" w14:textId="77777777" w:rsidR="00E83CB4" w:rsidRPr="00887863" w:rsidRDefault="00E83CB4" w:rsidP="00E83CB4">
      <w:pPr>
        <w:ind w:left="567" w:right="616"/>
        <w:jc w:val="both"/>
        <w:rPr>
          <w:rFonts w:ascii="Palatino Linotype" w:eastAsia="Palatino Linotype" w:hAnsi="Palatino Linotype" w:cs="Palatino Linotype"/>
          <w:b/>
          <w:bCs/>
          <w:i/>
          <w:iCs/>
          <w:sz w:val="22"/>
          <w:szCs w:val="22"/>
          <w:lang w:val="es-MX"/>
        </w:rPr>
      </w:pPr>
      <w:r w:rsidRPr="00887863">
        <w:rPr>
          <w:rFonts w:ascii="Palatino Linotype" w:eastAsia="Palatino Linotype" w:hAnsi="Palatino Linotype" w:cs="Palatino Linotype"/>
          <w:b/>
          <w:bCs/>
          <w:i/>
          <w:iCs/>
          <w:sz w:val="22"/>
          <w:szCs w:val="22"/>
        </w:rPr>
        <w:t>IV. Llevar y conservar los libros de actas de cabildo, obteniendo las firmas de los asistentes a las sesiones;</w:t>
      </w:r>
    </w:p>
    <w:p w14:paraId="0492282C" w14:textId="77777777" w:rsidR="00E83CB4" w:rsidRPr="00887863" w:rsidRDefault="00E83CB4" w:rsidP="00E83CB4">
      <w:pPr>
        <w:spacing w:after="240" w:line="360" w:lineRule="auto"/>
        <w:ind w:right="49"/>
        <w:jc w:val="both"/>
        <w:rPr>
          <w:rFonts w:ascii="Palatino Linotype" w:eastAsia="Palatino Linotype" w:hAnsi="Palatino Linotype" w:cs="Palatino Linotype"/>
          <w:sz w:val="22"/>
          <w:szCs w:val="22"/>
        </w:rPr>
      </w:pPr>
    </w:p>
    <w:p w14:paraId="7C383741" w14:textId="71D38585" w:rsidR="00EF7406" w:rsidRPr="00887863" w:rsidRDefault="00E83CB4" w:rsidP="00E83CB4">
      <w:pPr>
        <w:spacing w:after="240" w:line="360" w:lineRule="auto"/>
        <w:ind w:right="49"/>
        <w:jc w:val="both"/>
        <w:rPr>
          <w:rFonts w:ascii="Palatino Linotype" w:eastAsia="Palatino Linotype" w:hAnsi="Palatino Linotype" w:cs="Palatino Linotype"/>
          <w:iCs/>
          <w:sz w:val="22"/>
          <w:szCs w:val="22"/>
        </w:rPr>
      </w:pPr>
      <w:r w:rsidRPr="00887863">
        <w:rPr>
          <w:rFonts w:ascii="Palatino Linotype" w:eastAsia="Palatino Linotype" w:hAnsi="Palatino Linotype" w:cs="Palatino Linotype"/>
          <w:sz w:val="22"/>
          <w:szCs w:val="22"/>
        </w:rPr>
        <w:t xml:space="preserve">Tal y como se aprecia, </w:t>
      </w:r>
      <w:r w:rsidR="00C93784" w:rsidRPr="00887863">
        <w:rPr>
          <w:rFonts w:ascii="Palatino Linotype" w:eastAsia="Palatino Linotype" w:hAnsi="Palatino Linotype" w:cs="Palatino Linotype"/>
          <w:sz w:val="22"/>
          <w:szCs w:val="22"/>
        </w:rPr>
        <w:t xml:space="preserve">la normatividad en cito establece que </w:t>
      </w:r>
      <w:r w:rsidRPr="00887863">
        <w:rPr>
          <w:rFonts w:ascii="Palatino Linotype" w:eastAsia="Palatino Linotype" w:hAnsi="Palatino Linotype" w:cs="Palatino Linotype"/>
          <w:sz w:val="22"/>
          <w:szCs w:val="22"/>
        </w:rPr>
        <w:t>es atribución del Presidente Municipal expedir, previo acuerdo del Ayuntamiento, las licencias de funcionamiento</w:t>
      </w:r>
      <w:r w:rsidR="00EF7406" w:rsidRPr="00887863">
        <w:rPr>
          <w:rFonts w:ascii="Palatino Linotype" w:eastAsia="Palatino Linotype" w:hAnsi="Palatino Linotype" w:cs="Palatino Linotype"/>
          <w:sz w:val="22"/>
          <w:szCs w:val="22"/>
        </w:rPr>
        <w:t xml:space="preserve"> a e</w:t>
      </w:r>
      <w:r w:rsidR="00EF7406" w:rsidRPr="00887863">
        <w:rPr>
          <w:rFonts w:ascii="Palatino Linotype" w:eastAsia="Palatino Linotype" w:hAnsi="Palatino Linotype" w:cs="Palatino Linotype"/>
          <w:iCs/>
          <w:sz w:val="22"/>
          <w:szCs w:val="22"/>
        </w:rPr>
        <w:t>stablecimientos destinados a la enajenación de vehículos automotores usados y autopartes nuevas y usadas</w:t>
      </w:r>
      <w:r w:rsidR="005453EB" w:rsidRPr="00887863">
        <w:rPr>
          <w:rFonts w:ascii="Palatino Linotype" w:eastAsia="Palatino Linotype" w:hAnsi="Palatino Linotype" w:cs="Palatino Linotype"/>
          <w:iCs/>
          <w:sz w:val="22"/>
          <w:szCs w:val="22"/>
        </w:rPr>
        <w:t>.</w:t>
      </w:r>
    </w:p>
    <w:p w14:paraId="104D9042" w14:textId="61E32BF4" w:rsidR="00E83CB4" w:rsidRPr="00887863" w:rsidRDefault="005453EB" w:rsidP="00E83CB4">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iCs/>
          <w:sz w:val="22"/>
          <w:szCs w:val="22"/>
        </w:rPr>
        <w:t>De la interpretación al precepto legal, se determina que no todas las licencias de funcionamiento son aprobadas por el Ayuntamiento, sino únicamente para las unidades económicas o establecimientos destinados a la enajenación de vehículos automotores usados y autopartes</w:t>
      </w:r>
      <w:r w:rsidR="00C93784" w:rsidRPr="00887863">
        <w:rPr>
          <w:rFonts w:ascii="Palatino Linotype" w:eastAsia="Palatino Linotype" w:hAnsi="Palatino Linotype" w:cs="Palatino Linotype"/>
          <w:iCs/>
          <w:sz w:val="22"/>
          <w:szCs w:val="22"/>
        </w:rPr>
        <w:t>. Mientras que corresponde a</w:t>
      </w:r>
      <w:r w:rsidR="00E83CB4" w:rsidRPr="00887863">
        <w:rPr>
          <w:rFonts w:ascii="Palatino Linotype" w:eastAsia="Palatino Linotype" w:hAnsi="Palatino Linotype" w:cs="Palatino Linotype"/>
          <w:sz w:val="22"/>
          <w:szCs w:val="22"/>
        </w:rPr>
        <w:t>l Secretario del Ayuntamiento asistir a las sesiones del Ayuntamiento y levantar las actas correspondientes, así como llevar y conservar los</w:t>
      </w:r>
      <w:r w:rsidR="003F1433" w:rsidRPr="00887863">
        <w:rPr>
          <w:rFonts w:ascii="Palatino Linotype" w:eastAsia="Palatino Linotype" w:hAnsi="Palatino Linotype" w:cs="Palatino Linotype"/>
          <w:sz w:val="22"/>
          <w:szCs w:val="22"/>
        </w:rPr>
        <w:t xml:space="preserve"> libros de las actas de cabildo, por lo que si bien, el primero tiene la atribución de generar la información;</w:t>
      </w:r>
      <w:r w:rsidR="00C93784" w:rsidRPr="00887863">
        <w:rPr>
          <w:rFonts w:ascii="Palatino Linotype" w:eastAsia="Palatino Linotype" w:hAnsi="Palatino Linotype" w:cs="Palatino Linotype"/>
          <w:sz w:val="22"/>
          <w:szCs w:val="22"/>
        </w:rPr>
        <w:t xml:space="preserve"> el segundo es quien</w:t>
      </w:r>
      <w:r w:rsidR="003F1433" w:rsidRPr="00887863">
        <w:rPr>
          <w:rFonts w:ascii="Palatino Linotype" w:eastAsia="Palatino Linotype" w:hAnsi="Palatino Linotype" w:cs="Palatino Linotype"/>
          <w:sz w:val="22"/>
          <w:szCs w:val="22"/>
        </w:rPr>
        <w:t xml:space="preserve"> resguarda la documentación soporte donde con</w:t>
      </w:r>
      <w:r w:rsidR="00C93784" w:rsidRPr="00887863">
        <w:rPr>
          <w:rFonts w:ascii="Palatino Linotype" w:eastAsia="Palatino Linotype" w:hAnsi="Palatino Linotype" w:cs="Palatino Linotype"/>
          <w:sz w:val="22"/>
          <w:szCs w:val="22"/>
        </w:rPr>
        <w:t>stan las atribuciones ejercidas, en este caso la aprobación de licencias de funcionamiento.</w:t>
      </w:r>
    </w:p>
    <w:p w14:paraId="37055146" w14:textId="31F1EF32" w:rsidR="00E83CB4" w:rsidRPr="00887863" w:rsidRDefault="00E83CB4" w:rsidP="00E83CB4">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lastRenderedPageBreak/>
        <w:t xml:space="preserve">En </w:t>
      </w:r>
      <w:r w:rsidR="00567C54" w:rsidRPr="00887863">
        <w:rPr>
          <w:rFonts w:ascii="Palatino Linotype" w:eastAsia="Palatino Linotype" w:hAnsi="Palatino Linotype" w:cs="Palatino Linotype"/>
          <w:sz w:val="22"/>
          <w:szCs w:val="22"/>
        </w:rPr>
        <w:t>consecuencia, quién</w:t>
      </w:r>
      <w:r w:rsidRPr="00887863">
        <w:rPr>
          <w:rFonts w:ascii="Palatino Linotype" w:eastAsia="Palatino Linotype" w:hAnsi="Palatino Linotype" w:cs="Palatino Linotype"/>
          <w:sz w:val="22"/>
          <w:szCs w:val="22"/>
        </w:rPr>
        <w:t xml:space="preserve"> tiene la atribución final de poseer y administrar la información de las actas de cabildo donde se aprobaron las licencias de funcionamiento emitidas por el Ayuntamiento de Toluca durante el año 2024, es el Secretario del Ayuntamiento</w:t>
      </w:r>
      <w:r w:rsidR="003F1433" w:rsidRPr="00887863">
        <w:rPr>
          <w:rFonts w:ascii="Palatino Linotype" w:eastAsia="Palatino Linotype" w:hAnsi="Palatino Linotype" w:cs="Palatino Linotype"/>
          <w:sz w:val="22"/>
          <w:szCs w:val="22"/>
        </w:rPr>
        <w:t>.</w:t>
      </w:r>
    </w:p>
    <w:p w14:paraId="089B6213" w14:textId="45BF7A99" w:rsidR="00B75EC9" w:rsidRPr="00887863" w:rsidRDefault="00B75EC9" w:rsidP="00B75EC9">
      <w:pPr>
        <w:spacing w:after="240" w:line="360" w:lineRule="auto"/>
        <w:ind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En mérito de lo expuesto, resulta importante señalar que de la revisión al expediente electrónico se advierte que la unidad de transparencia turnó la solicitud de información a la Secretaría del Ayuntamiento,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4C0E3178" w14:textId="77777777" w:rsidR="00B75EC9" w:rsidRPr="00887863" w:rsidRDefault="00B75EC9" w:rsidP="00B75EC9">
      <w:pPr>
        <w:spacing w:after="240" w:line="360" w:lineRule="auto"/>
        <w:ind w:left="284"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78C95C5" w14:textId="77777777" w:rsidR="00B75EC9" w:rsidRPr="00887863" w:rsidRDefault="00B75EC9" w:rsidP="00B75EC9">
      <w:pPr>
        <w:spacing w:after="240" w:line="360" w:lineRule="auto"/>
        <w:ind w:left="284"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 La respuesta a los requerimientos informativos, deberá notificarse al interesado en el menor tiempo posible, que no podrá exceder de quince días hábiles, contados a partir del día siguiente a la presentación de esta. </w:t>
      </w:r>
    </w:p>
    <w:p w14:paraId="475A83DA" w14:textId="77777777" w:rsidR="00B75EC9" w:rsidRPr="00887863" w:rsidRDefault="00B75EC9" w:rsidP="00B75EC9">
      <w:pPr>
        <w:spacing w:after="240" w:line="360" w:lineRule="auto"/>
        <w:ind w:left="284"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Excepcionalmente, el plazo referido podrá ampliarse por siete días hábiles más, cuando existan razones fundadas y motivadas, a través del Comité de Transparencia; </w:t>
      </w:r>
    </w:p>
    <w:p w14:paraId="76812180" w14:textId="77777777" w:rsidR="00B75EC9" w:rsidRPr="00887863" w:rsidRDefault="00B75EC9" w:rsidP="00B75EC9">
      <w:pPr>
        <w:spacing w:after="240" w:line="360" w:lineRule="auto"/>
        <w:ind w:left="284"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52EF2D80" w14:textId="77777777" w:rsidR="00B75EC9" w:rsidRPr="00887863" w:rsidRDefault="00B75EC9" w:rsidP="00B75EC9">
      <w:pPr>
        <w:spacing w:after="240" w:line="360" w:lineRule="auto"/>
        <w:ind w:left="284"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lastRenderedPageBreak/>
        <w:t>•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3CB16709" w14:textId="39245993" w:rsidR="00B75EC9" w:rsidRPr="00887863" w:rsidRDefault="00B75EC9" w:rsidP="00B75EC9">
      <w:pPr>
        <w:spacing w:after="240" w:line="360" w:lineRule="auto"/>
        <w:ind w:left="284"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r w:rsidR="00907E37" w:rsidRPr="00887863">
        <w:rPr>
          <w:rFonts w:ascii="Palatino Linotype" w:eastAsia="Palatino Linotype" w:hAnsi="Palatino Linotype" w:cs="Palatino Linotype"/>
          <w:sz w:val="22"/>
          <w:szCs w:val="22"/>
          <w:lang w:val="es-MX"/>
        </w:rPr>
        <w:t>.</w:t>
      </w:r>
    </w:p>
    <w:p w14:paraId="3C33C1BE" w14:textId="4242C6D4" w:rsidR="000E5646" w:rsidRPr="00887863" w:rsidRDefault="00B75EC9">
      <w:pPr>
        <w:spacing w:after="240" w:line="360" w:lineRule="auto"/>
        <w:ind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En este orden de ideas, se reitera que la Unidad de Transparencia turnó la solicitud de información a la Secretaría del Ayuntamiento, al ser la unidad administrativa competente, ello de conformidad con lo previsto</w:t>
      </w:r>
      <w:r w:rsidR="00907E37" w:rsidRPr="00887863">
        <w:rPr>
          <w:rFonts w:ascii="Palatino Linotype" w:eastAsia="Palatino Linotype" w:hAnsi="Palatino Linotype" w:cs="Palatino Linotype"/>
          <w:sz w:val="22"/>
          <w:szCs w:val="22"/>
          <w:lang w:val="es-MX"/>
        </w:rPr>
        <w:t xml:space="preserve"> por</w:t>
      </w:r>
      <w:r w:rsidRPr="00887863">
        <w:rPr>
          <w:rFonts w:ascii="Palatino Linotype" w:eastAsia="Palatino Linotype" w:hAnsi="Palatino Linotype" w:cs="Palatino Linotype"/>
          <w:sz w:val="22"/>
          <w:szCs w:val="22"/>
          <w:lang w:val="es-MX"/>
        </w:rPr>
        <w:t xml:space="preserve"> </w:t>
      </w:r>
      <w:r w:rsidR="00E83CB4" w:rsidRPr="00887863">
        <w:rPr>
          <w:rFonts w:ascii="Palatino Linotype" w:eastAsia="Palatino Linotype" w:hAnsi="Palatino Linotype" w:cs="Palatino Linotype"/>
          <w:sz w:val="22"/>
          <w:szCs w:val="22"/>
          <w:lang w:val="es-MX"/>
        </w:rPr>
        <w:t>el Reglamento Orgánico del Ayuntamiento de Toluca y la Ley Orgánica Municipal.</w:t>
      </w:r>
    </w:p>
    <w:p w14:paraId="2804ED20" w14:textId="0592BA12" w:rsidR="00E83CB4" w:rsidRPr="00887863" w:rsidRDefault="00106CD2">
      <w:pPr>
        <w:spacing w:after="240" w:line="360" w:lineRule="auto"/>
        <w:ind w:right="49"/>
        <w:jc w:val="both"/>
        <w:rPr>
          <w:rFonts w:ascii="Palatino Linotype" w:eastAsia="Palatino Linotype" w:hAnsi="Palatino Linotype" w:cs="Palatino Linotype"/>
          <w:sz w:val="22"/>
          <w:szCs w:val="22"/>
          <w:lang w:val="es-MX"/>
        </w:rPr>
      </w:pPr>
      <w:r w:rsidRPr="00887863">
        <w:rPr>
          <w:rFonts w:ascii="Palatino Linotype" w:eastAsia="Palatino Linotype" w:hAnsi="Palatino Linotype" w:cs="Palatino Linotype"/>
          <w:sz w:val="22"/>
          <w:szCs w:val="22"/>
          <w:lang w:val="es-MX"/>
        </w:rPr>
        <w:t>Dicho lo anterior, es de resaltar que el Sujeto Obligado entregó tres actas de cabildo, siendo las siguientes:</w:t>
      </w:r>
    </w:p>
    <w:p w14:paraId="5A0CB932" w14:textId="77777777" w:rsidR="00F5617B" w:rsidRPr="00887863" w:rsidRDefault="00F5617B" w:rsidP="00F5617B">
      <w:pPr>
        <w:pStyle w:val="Prrafodelista"/>
        <w:numPr>
          <w:ilvl w:val="0"/>
          <w:numId w:val="18"/>
        </w:numPr>
        <w:spacing w:after="240" w:line="360" w:lineRule="auto"/>
        <w:ind w:right="49"/>
        <w:jc w:val="both"/>
        <w:rPr>
          <w:rFonts w:ascii="Palatino Linotype" w:eastAsia="Palatino Linotype" w:hAnsi="Palatino Linotype" w:cs="Palatino Linotype"/>
          <w:b/>
          <w:bCs/>
          <w:sz w:val="22"/>
          <w:szCs w:val="22"/>
        </w:rPr>
      </w:pPr>
      <w:r w:rsidRPr="00887863">
        <w:rPr>
          <w:rFonts w:ascii="Palatino Linotype" w:eastAsia="Palatino Linotype" w:hAnsi="Palatino Linotype" w:cs="Palatino Linotype"/>
          <w:b/>
          <w:bCs/>
          <w:sz w:val="22"/>
          <w:szCs w:val="22"/>
        </w:rPr>
        <w:t>Quincuagésima Sesión Ordinaria del dieciocho de abril de dos mil veinticuatro; (Se adjunta en dos ocasiones).</w:t>
      </w:r>
    </w:p>
    <w:p w14:paraId="352992B3" w14:textId="77777777" w:rsidR="00F5617B" w:rsidRPr="00887863" w:rsidRDefault="00F5617B" w:rsidP="00F5617B">
      <w:pPr>
        <w:pStyle w:val="Prrafodelista"/>
        <w:numPr>
          <w:ilvl w:val="0"/>
          <w:numId w:val="18"/>
        </w:numPr>
        <w:spacing w:after="240" w:line="360" w:lineRule="auto"/>
        <w:ind w:right="49"/>
        <w:jc w:val="both"/>
        <w:rPr>
          <w:rFonts w:ascii="Palatino Linotype" w:eastAsia="Palatino Linotype" w:hAnsi="Palatino Linotype" w:cs="Palatino Linotype"/>
          <w:b/>
          <w:bCs/>
          <w:sz w:val="22"/>
          <w:szCs w:val="22"/>
        </w:rPr>
      </w:pPr>
      <w:r w:rsidRPr="00887863">
        <w:rPr>
          <w:rFonts w:ascii="Palatino Linotype" w:eastAsia="Palatino Linotype" w:hAnsi="Palatino Linotype" w:cs="Palatino Linotype"/>
          <w:b/>
          <w:bCs/>
          <w:sz w:val="22"/>
          <w:szCs w:val="22"/>
        </w:rPr>
        <w:t>Quincuagésima Quinta Sesión Ordinaria del cuatro de junio de dos mil veinticuatro;</w:t>
      </w:r>
    </w:p>
    <w:p w14:paraId="16EDA736" w14:textId="26496619" w:rsidR="00F5617B" w:rsidRPr="00887863" w:rsidRDefault="00F5617B" w:rsidP="00F5617B">
      <w:pPr>
        <w:pStyle w:val="Prrafodelista"/>
        <w:numPr>
          <w:ilvl w:val="0"/>
          <w:numId w:val="18"/>
        </w:numPr>
        <w:spacing w:after="240" w:line="360" w:lineRule="auto"/>
        <w:ind w:right="49"/>
        <w:jc w:val="both"/>
        <w:rPr>
          <w:rFonts w:ascii="Palatino Linotype" w:eastAsia="Palatino Linotype" w:hAnsi="Palatino Linotype" w:cs="Palatino Linotype"/>
          <w:b/>
          <w:bCs/>
          <w:sz w:val="22"/>
          <w:szCs w:val="22"/>
        </w:rPr>
      </w:pPr>
      <w:r w:rsidRPr="00887863">
        <w:rPr>
          <w:rFonts w:ascii="Palatino Linotype" w:eastAsia="Palatino Linotype" w:hAnsi="Palatino Linotype" w:cs="Palatino Linotype"/>
          <w:b/>
          <w:bCs/>
          <w:sz w:val="22"/>
          <w:szCs w:val="22"/>
        </w:rPr>
        <w:t>Quincuagésima Séptima Sesión Ordinaria del trece de junio de dos mil veinticuatro</w:t>
      </w:r>
      <w:r w:rsidR="00A76E81" w:rsidRPr="00887863">
        <w:rPr>
          <w:rFonts w:ascii="Palatino Linotype" w:eastAsia="Palatino Linotype" w:hAnsi="Palatino Linotype" w:cs="Palatino Linotype"/>
          <w:b/>
          <w:bCs/>
          <w:sz w:val="22"/>
          <w:szCs w:val="22"/>
        </w:rPr>
        <w:t>.</w:t>
      </w:r>
    </w:p>
    <w:p w14:paraId="7D839D03" w14:textId="1218376D" w:rsidR="00CA4BE6" w:rsidRPr="00887863" w:rsidRDefault="00C93784">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En dichas actas de cabildo se aprecia la aprobación de diversas licencias de funcionamiento de diversos giros. Ante esto, es conveniente recordar que no todas las licencias de funcionamiento que se emiten deben ser aprobadas por el cabildo, sólo las que establece el </w:t>
      </w:r>
      <w:r w:rsidRPr="00887863">
        <w:rPr>
          <w:rFonts w:ascii="Palatino Linotype" w:eastAsia="Palatino Linotype" w:hAnsi="Palatino Linotype" w:cs="Palatino Linotype"/>
          <w:sz w:val="22"/>
          <w:szCs w:val="22"/>
        </w:rPr>
        <w:lastRenderedPageBreak/>
        <w:t>artículo 2.4, fracción XII del Código Reglamentario Municipal de Toluca</w:t>
      </w:r>
      <w:r w:rsidR="00CA4BE6" w:rsidRPr="00887863">
        <w:rPr>
          <w:rFonts w:ascii="Palatino Linotype" w:eastAsia="Palatino Linotype" w:hAnsi="Palatino Linotype" w:cs="Palatino Linotype"/>
          <w:sz w:val="22"/>
          <w:szCs w:val="22"/>
        </w:rPr>
        <w:t>, esto cobra relevancia ya que el particular se inconformó por la entrega de información incompleta, si bien pudieron haberse emitido más licencias de funcionamiento durante el año dos mil veinticuatro, no necesariamente debieron ser aprobadas por el Ayuntamiento, conforme a la normatividad señalada, por lo que hasta este punto, le asiste la razón al Sujeto Obligado.</w:t>
      </w:r>
    </w:p>
    <w:p w14:paraId="6C92ED5B" w14:textId="2F462B5E" w:rsidR="00220020" w:rsidRPr="00887863" w:rsidRDefault="00CA4BE6">
      <w:pPr>
        <w:spacing w:after="240"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Además, no pasa desapercibido que el Recurrente se inconformó porque únicamente se le proporcionó una acta de cabildo, lo cual es incorrecto, pues como se ha señalado en líneas anteriores, el Sujeto Obligado, a través de la Secretaría del Ayuntamiento proporcionó tres actas de cabildo</w:t>
      </w:r>
      <w:r w:rsidR="00A76E81" w:rsidRPr="00887863">
        <w:rPr>
          <w:rFonts w:ascii="Palatino Linotype" w:eastAsia="Palatino Linotype" w:hAnsi="Palatino Linotype" w:cs="Palatino Linotype"/>
          <w:sz w:val="22"/>
          <w:szCs w:val="22"/>
        </w:rPr>
        <w:t>,</w:t>
      </w:r>
      <w:r w:rsidR="00014545" w:rsidRPr="00887863">
        <w:rPr>
          <w:rFonts w:ascii="Palatino Linotype" w:eastAsia="Palatino Linotype" w:hAnsi="Palatino Linotype" w:cs="Palatino Linotype"/>
          <w:sz w:val="22"/>
          <w:szCs w:val="22"/>
        </w:rPr>
        <w:t xml:space="preserve"> en las cuales se aprobaron diversas licencias de funcionamiento</w:t>
      </w:r>
      <w:r w:rsidR="00173067" w:rsidRPr="00887863">
        <w:rPr>
          <w:rFonts w:ascii="Palatino Linotype" w:eastAsia="Palatino Linotype" w:hAnsi="Palatino Linotype" w:cs="Palatino Linotype"/>
          <w:sz w:val="22"/>
          <w:szCs w:val="22"/>
        </w:rPr>
        <w:t>, por lo que el agravio del Recurrente deviene infundado.</w:t>
      </w:r>
    </w:p>
    <w:p w14:paraId="23384498" w14:textId="133443B3" w:rsidR="00CA4BE6" w:rsidRPr="00887863" w:rsidRDefault="00CA4BE6" w:rsidP="00CA4BE6">
      <w:pPr>
        <w:spacing w:line="360" w:lineRule="auto"/>
        <w:ind w:right="49"/>
        <w:jc w:val="both"/>
        <w:rPr>
          <w:rFonts w:ascii="Palatino Linotype" w:hAnsi="Palatino Linotype"/>
          <w:sz w:val="22"/>
          <w:szCs w:val="22"/>
        </w:rPr>
      </w:pPr>
      <w:r w:rsidRPr="00887863">
        <w:rPr>
          <w:rFonts w:ascii="Palatino Linotype" w:hAnsi="Palatino Linotype"/>
          <w:sz w:val="22"/>
          <w:szCs w:val="22"/>
        </w:rPr>
        <w:t>En consecuencia, al haber existido un pronunciamiento por parte de la Secretaría del Ayuntamiento y entregar tres actas de cabildo donde se aprobaron licencias de funcionamiento, es que no se puede dudar se la veracidad de la información proporcionada; situación que fue ratificada mediante informe justificado.</w:t>
      </w:r>
    </w:p>
    <w:p w14:paraId="40AC476C" w14:textId="77777777" w:rsidR="00CA4BE6" w:rsidRPr="00887863" w:rsidRDefault="00CA4BE6" w:rsidP="00CA4BE6">
      <w:pPr>
        <w:spacing w:line="360" w:lineRule="auto"/>
        <w:ind w:right="49"/>
        <w:jc w:val="both"/>
        <w:rPr>
          <w:rFonts w:ascii="Palatino Linotype" w:hAnsi="Palatino Linotype"/>
          <w:sz w:val="22"/>
          <w:szCs w:val="22"/>
        </w:rPr>
      </w:pPr>
    </w:p>
    <w:p w14:paraId="2C3CC9A9" w14:textId="77777777" w:rsidR="00CA4BE6" w:rsidRPr="00887863" w:rsidRDefault="00CA4BE6" w:rsidP="00CA4BE6">
      <w:pPr>
        <w:spacing w:line="360" w:lineRule="auto"/>
        <w:ind w:right="49"/>
        <w:jc w:val="both"/>
        <w:rPr>
          <w:rFonts w:ascii="Palatino Linotype" w:hAnsi="Palatino Linotype"/>
          <w:sz w:val="22"/>
          <w:szCs w:val="22"/>
        </w:rPr>
      </w:pPr>
      <w:r w:rsidRPr="00887863">
        <w:rPr>
          <w:rFonts w:ascii="Palatino Linotype" w:hAnsi="Palatino Linotype"/>
          <w:sz w:val="22"/>
          <w:szCs w:val="22"/>
        </w:rPr>
        <w:t xml:space="preserve">Sirve de sustento </w:t>
      </w:r>
      <w:r w:rsidRPr="00887863">
        <w:rPr>
          <w:rFonts w:ascii="Palatino Linotype" w:hAnsi="Palatino Linotype" w:cs="Arial"/>
          <w:sz w:val="22"/>
          <w:szCs w:val="22"/>
          <w:lang w:val="es-ES_tradnl"/>
        </w:rPr>
        <w:t>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p>
    <w:p w14:paraId="3311208D" w14:textId="77777777" w:rsidR="00CA4BE6" w:rsidRPr="00887863" w:rsidRDefault="00CA4BE6" w:rsidP="00CA4BE6">
      <w:pPr>
        <w:spacing w:line="360" w:lineRule="auto"/>
        <w:ind w:right="49"/>
        <w:jc w:val="both"/>
        <w:rPr>
          <w:rFonts w:ascii="Palatino Linotype" w:eastAsia="Palatino Linotype" w:hAnsi="Palatino Linotype" w:cs="Palatino Linotype"/>
          <w:bCs/>
          <w:sz w:val="22"/>
          <w:szCs w:val="22"/>
        </w:rPr>
      </w:pPr>
    </w:p>
    <w:p w14:paraId="331A97FE" w14:textId="77777777" w:rsidR="00CA4BE6" w:rsidRPr="00887863" w:rsidRDefault="00CA4BE6" w:rsidP="00CA4BE6">
      <w:pPr>
        <w:tabs>
          <w:tab w:val="left" w:pos="8222"/>
        </w:tabs>
        <w:ind w:left="567" w:right="567"/>
        <w:contextualSpacing/>
        <w:jc w:val="both"/>
        <w:rPr>
          <w:rFonts w:ascii="Palatino Linotype" w:eastAsia="MS Mincho" w:hAnsi="Palatino Linotype" w:cs="Arial"/>
          <w:i/>
          <w:sz w:val="22"/>
          <w:szCs w:val="22"/>
        </w:rPr>
      </w:pPr>
      <w:r w:rsidRPr="00887863">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887863">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w:t>
      </w:r>
      <w:r w:rsidRPr="00887863">
        <w:rPr>
          <w:rFonts w:ascii="Palatino Linotype" w:eastAsia="MS Mincho" w:hAnsi="Palatino Linotype" w:cs="Arial"/>
          <w:i/>
          <w:sz w:val="22"/>
          <w:szCs w:val="22"/>
        </w:rPr>
        <w:lastRenderedPageBreak/>
        <w:t>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E45ABCA" w14:textId="77777777" w:rsidR="00CA4BE6" w:rsidRPr="00887863" w:rsidRDefault="00CA4BE6" w:rsidP="00CA4BE6">
      <w:pPr>
        <w:tabs>
          <w:tab w:val="left" w:pos="8222"/>
        </w:tabs>
        <w:spacing w:line="360" w:lineRule="auto"/>
        <w:ind w:left="567" w:right="567"/>
        <w:contextualSpacing/>
        <w:jc w:val="both"/>
        <w:rPr>
          <w:rFonts w:ascii="Palatino Linotype" w:eastAsia="MS Mincho" w:hAnsi="Palatino Linotype" w:cs="Arial"/>
          <w:i/>
          <w:sz w:val="22"/>
          <w:szCs w:val="22"/>
        </w:rPr>
      </w:pPr>
    </w:p>
    <w:p w14:paraId="71DC26EB" w14:textId="77777777" w:rsidR="00CA4BE6" w:rsidRPr="00887863" w:rsidRDefault="00CA4BE6" w:rsidP="00CA4BE6">
      <w:pPr>
        <w:spacing w:line="360" w:lineRule="auto"/>
        <w:ind w:right="49"/>
        <w:jc w:val="both"/>
        <w:rPr>
          <w:rFonts w:ascii="Palatino Linotype" w:hAnsi="Palatino Linotype" w:cs="Arial"/>
          <w:bCs/>
          <w:sz w:val="22"/>
          <w:szCs w:val="22"/>
        </w:rPr>
      </w:pPr>
      <w:r w:rsidRPr="00887863">
        <w:rPr>
          <w:rFonts w:ascii="Palatino Linotype" w:hAnsi="Palatino Linotype" w:cs="Arial"/>
          <w:bCs/>
          <w:sz w:val="22"/>
          <w:szCs w:val="22"/>
        </w:rPr>
        <w:t>Por lo que, este Organismo Garante carece de facultades para dudar de la veracidad de la información que el Sujeto Obligado puso a disposición de la parte Recurrente.</w:t>
      </w:r>
    </w:p>
    <w:p w14:paraId="5715EB10" w14:textId="77777777" w:rsidR="00CA4BE6" w:rsidRPr="00887863" w:rsidRDefault="00CA4BE6" w:rsidP="00CA4BE6">
      <w:pPr>
        <w:spacing w:line="360" w:lineRule="auto"/>
        <w:ind w:right="49"/>
        <w:jc w:val="both"/>
        <w:rPr>
          <w:rFonts w:ascii="Palatino Linotype" w:hAnsi="Palatino Linotype" w:cs="Arial"/>
          <w:bCs/>
          <w:sz w:val="22"/>
          <w:szCs w:val="22"/>
        </w:rPr>
      </w:pPr>
    </w:p>
    <w:p w14:paraId="67ADD8B4" w14:textId="41EE492C" w:rsidR="00CA4BE6" w:rsidRPr="00887863" w:rsidRDefault="00CA4BE6" w:rsidP="00CA4BE6">
      <w:pPr>
        <w:spacing w:line="360" w:lineRule="auto"/>
        <w:ind w:right="49"/>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887863">
        <w:rPr>
          <w:rFonts w:ascii="Palatino Linotype" w:eastAsia="Palatino Linotype" w:hAnsi="Palatino Linotype" w:cs="Palatino Linotype"/>
          <w:b/>
          <w:sz w:val="22"/>
          <w:szCs w:val="22"/>
        </w:rPr>
        <w:t>RECURRENTE</w:t>
      </w:r>
      <w:r w:rsidRPr="00887863">
        <w:rPr>
          <w:rFonts w:ascii="Palatino Linotype" w:eastAsia="Palatino Linotype" w:hAnsi="Palatino Linotype" w:cs="Palatino Linotype"/>
          <w:sz w:val="22"/>
          <w:szCs w:val="22"/>
        </w:rPr>
        <w:t xml:space="preserve"> dentro del recurso de revisión </w:t>
      </w:r>
      <w:r w:rsidRPr="00887863">
        <w:rPr>
          <w:rFonts w:ascii="Palatino Linotype" w:eastAsia="Palatino Linotype" w:hAnsi="Palatino Linotype" w:cs="Palatino Linotype"/>
          <w:b/>
          <w:sz w:val="22"/>
          <w:szCs w:val="22"/>
        </w:rPr>
        <w:t>00</w:t>
      </w:r>
      <w:r w:rsidR="00A76E81" w:rsidRPr="00887863">
        <w:rPr>
          <w:rFonts w:ascii="Palatino Linotype" w:eastAsia="Palatino Linotype" w:hAnsi="Palatino Linotype" w:cs="Palatino Linotype"/>
          <w:b/>
          <w:sz w:val="22"/>
          <w:szCs w:val="22"/>
        </w:rPr>
        <w:t>934</w:t>
      </w:r>
      <w:r w:rsidRPr="00887863">
        <w:rPr>
          <w:rFonts w:ascii="Palatino Linotype" w:eastAsia="Palatino Linotype" w:hAnsi="Palatino Linotype" w:cs="Palatino Linotype"/>
          <w:b/>
          <w:sz w:val="22"/>
          <w:szCs w:val="22"/>
        </w:rPr>
        <w:t>/INFOEM/IP/RR/2025</w:t>
      </w:r>
      <w:r w:rsidRPr="00887863">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por lo que se </w:t>
      </w:r>
      <w:r w:rsidRPr="00887863">
        <w:rPr>
          <w:rFonts w:ascii="Palatino Linotype" w:eastAsia="Palatino Linotype" w:hAnsi="Palatino Linotype" w:cs="Palatino Linotype"/>
          <w:b/>
          <w:sz w:val="22"/>
          <w:szCs w:val="22"/>
        </w:rPr>
        <w:t xml:space="preserve">CONFIRMA </w:t>
      </w:r>
      <w:r w:rsidRPr="00887863">
        <w:rPr>
          <w:rFonts w:ascii="Palatino Linotype" w:eastAsia="Palatino Linotype" w:hAnsi="Palatino Linotype" w:cs="Palatino Linotype"/>
          <w:sz w:val="22"/>
          <w:szCs w:val="22"/>
        </w:rPr>
        <w:t xml:space="preserve">la respuesta del </w:t>
      </w:r>
      <w:r w:rsidRPr="00887863">
        <w:rPr>
          <w:rFonts w:ascii="Palatino Linotype" w:eastAsia="Palatino Linotype" w:hAnsi="Palatino Linotype" w:cs="Palatino Linotype"/>
          <w:b/>
          <w:sz w:val="22"/>
          <w:szCs w:val="22"/>
        </w:rPr>
        <w:t xml:space="preserve">SUJETO OBLIGADO </w:t>
      </w:r>
      <w:r w:rsidRPr="00887863">
        <w:rPr>
          <w:rFonts w:ascii="Palatino Linotype" w:eastAsia="Palatino Linotype" w:hAnsi="Palatino Linotype" w:cs="Palatino Linotype"/>
          <w:sz w:val="22"/>
          <w:szCs w:val="22"/>
        </w:rPr>
        <w:t xml:space="preserve">a la solicitud de información </w:t>
      </w:r>
      <w:r w:rsidRPr="00887863">
        <w:rPr>
          <w:rFonts w:ascii="Palatino Linotype" w:eastAsia="Palatino Linotype" w:hAnsi="Palatino Linotype" w:cs="Palatino Linotype"/>
          <w:b/>
          <w:sz w:val="22"/>
          <w:szCs w:val="22"/>
        </w:rPr>
        <w:t>00</w:t>
      </w:r>
      <w:r w:rsidR="00A76E81" w:rsidRPr="00887863">
        <w:rPr>
          <w:rFonts w:ascii="Palatino Linotype" w:eastAsia="Palatino Linotype" w:hAnsi="Palatino Linotype" w:cs="Palatino Linotype"/>
          <w:b/>
          <w:sz w:val="22"/>
          <w:szCs w:val="22"/>
        </w:rPr>
        <w:t>331</w:t>
      </w:r>
      <w:r w:rsidRPr="00887863">
        <w:rPr>
          <w:rFonts w:ascii="Palatino Linotype" w:eastAsia="Palatino Linotype" w:hAnsi="Palatino Linotype" w:cs="Palatino Linotype"/>
          <w:b/>
          <w:sz w:val="22"/>
          <w:szCs w:val="22"/>
        </w:rPr>
        <w:t>/</w:t>
      </w:r>
      <w:r w:rsidR="00A76E81" w:rsidRPr="00887863">
        <w:rPr>
          <w:rFonts w:ascii="Palatino Linotype" w:eastAsia="Palatino Linotype" w:hAnsi="Palatino Linotype" w:cs="Palatino Linotype"/>
          <w:b/>
          <w:sz w:val="22"/>
          <w:szCs w:val="22"/>
        </w:rPr>
        <w:t>TOLUCA</w:t>
      </w:r>
      <w:r w:rsidRPr="00887863">
        <w:rPr>
          <w:rFonts w:ascii="Palatino Linotype" w:eastAsia="Palatino Linotype" w:hAnsi="Palatino Linotype" w:cs="Palatino Linotype"/>
          <w:b/>
          <w:sz w:val="22"/>
          <w:szCs w:val="22"/>
        </w:rPr>
        <w:t>/IP/2025.</w:t>
      </w:r>
      <w:r w:rsidRPr="00887863">
        <w:rPr>
          <w:rFonts w:ascii="Palatino Linotype" w:eastAsia="Palatino Linotype" w:hAnsi="Palatino Linotype" w:cs="Palatino Linotype"/>
          <w:sz w:val="22"/>
          <w:szCs w:val="22"/>
        </w:rPr>
        <w:t xml:space="preserve">  </w:t>
      </w:r>
    </w:p>
    <w:p w14:paraId="135F6B87" w14:textId="77777777" w:rsidR="00CA4BE6" w:rsidRPr="00887863" w:rsidRDefault="00CA4BE6" w:rsidP="00CA4BE6">
      <w:pPr>
        <w:numPr>
          <w:ilvl w:val="0"/>
          <w:numId w:val="19"/>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887863">
        <w:rPr>
          <w:rFonts w:ascii="Palatino Linotype" w:eastAsia="Palatino Linotype" w:hAnsi="Palatino Linotype" w:cs="Palatino Linotype"/>
          <w:b/>
          <w:sz w:val="22"/>
          <w:szCs w:val="22"/>
        </w:rPr>
        <w:t>R E S U E L V E:</w:t>
      </w:r>
    </w:p>
    <w:p w14:paraId="4EACD05E" w14:textId="2C895B79" w:rsidR="00CA4BE6" w:rsidRPr="00887863" w:rsidRDefault="00CA4BE6" w:rsidP="00CA4BE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 xml:space="preserve">Primero. </w:t>
      </w:r>
      <w:r w:rsidRPr="00887863">
        <w:rPr>
          <w:rFonts w:ascii="Palatino Linotype" w:eastAsia="Palatino Linotype" w:hAnsi="Palatino Linotype" w:cs="Palatino Linotype"/>
          <w:sz w:val="22"/>
          <w:szCs w:val="22"/>
        </w:rPr>
        <w:t xml:space="preserve">Resultan </w:t>
      </w:r>
      <w:r w:rsidRPr="00887863">
        <w:rPr>
          <w:rFonts w:ascii="Palatino Linotype" w:eastAsia="Palatino Linotype" w:hAnsi="Palatino Linotype" w:cs="Palatino Linotype"/>
          <w:b/>
          <w:sz w:val="22"/>
          <w:szCs w:val="22"/>
        </w:rPr>
        <w:t>INFUNDADOS</w:t>
      </w:r>
      <w:r w:rsidRPr="00887863">
        <w:rPr>
          <w:rFonts w:ascii="Palatino Linotype" w:eastAsia="Palatino Linotype" w:hAnsi="Palatino Linotype" w:cs="Palatino Linotype"/>
          <w:sz w:val="22"/>
          <w:szCs w:val="22"/>
        </w:rPr>
        <w:t xml:space="preserve"> los motivos de inconformidad hechos valer por la parte </w:t>
      </w:r>
      <w:r w:rsidRPr="00887863">
        <w:rPr>
          <w:rFonts w:ascii="Palatino Linotype" w:eastAsia="Palatino Linotype" w:hAnsi="Palatino Linotype" w:cs="Palatino Linotype"/>
          <w:b/>
          <w:sz w:val="22"/>
          <w:szCs w:val="22"/>
        </w:rPr>
        <w:t>RECURRENTE</w:t>
      </w:r>
      <w:r w:rsidRPr="00887863">
        <w:rPr>
          <w:rFonts w:ascii="Palatino Linotype" w:eastAsia="Palatino Linotype" w:hAnsi="Palatino Linotype" w:cs="Palatino Linotype"/>
          <w:sz w:val="22"/>
          <w:szCs w:val="22"/>
        </w:rPr>
        <w:t xml:space="preserve"> en el Recurso de Revisión </w:t>
      </w:r>
      <w:r w:rsidRPr="00887863">
        <w:rPr>
          <w:rFonts w:ascii="Palatino Linotype" w:eastAsia="Palatino Linotype" w:hAnsi="Palatino Linotype" w:cs="Palatino Linotype"/>
          <w:b/>
          <w:sz w:val="22"/>
          <w:szCs w:val="22"/>
        </w:rPr>
        <w:t>00</w:t>
      </w:r>
      <w:r w:rsidR="00EB42E9" w:rsidRPr="00887863">
        <w:rPr>
          <w:rFonts w:ascii="Palatino Linotype" w:eastAsia="Palatino Linotype" w:hAnsi="Palatino Linotype" w:cs="Palatino Linotype"/>
          <w:b/>
          <w:sz w:val="22"/>
          <w:szCs w:val="22"/>
        </w:rPr>
        <w:t>934</w:t>
      </w:r>
      <w:r w:rsidRPr="00887863">
        <w:rPr>
          <w:rFonts w:ascii="Palatino Linotype" w:eastAsia="Palatino Linotype" w:hAnsi="Palatino Linotype" w:cs="Palatino Linotype"/>
          <w:b/>
          <w:sz w:val="22"/>
          <w:szCs w:val="22"/>
        </w:rPr>
        <w:t>/INFOEM/IP/RR/2025</w:t>
      </w:r>
      <w:r w:rsidRPr="00887863">
        <w:rPr>
          <w:rFonts w:ascii="Palatino Linotype" w:eastAsia="Palatino Linotype" w:hAnsi="Palatino Linotype" w:cs="Palatino Linotype"/>
          <w:sz w:val="22"/>
          <w:szCs w:val="22"/>
        </w:rPr>
        <w:t xml:space="preserve"> por lo que, en términos del</w:t>
      </w:r>
      <w:r w:rsidRPr="00887863">
        <w:rPr>
          <w:rFonts w:ascii="Palatino Linotype" w:eastAsia="Palatino Linotype" w:hAnsi="Palatino Linotype" w:cs="Palatino Linotype"/>
          <w:b/>
          <w:sz w:val="22"/>
          <w:szCs w:val="22"/>
        </w:rPr>
        <w:t xml:space="preserve"> Considerando Cuarto </w:t>
      </w:r>
      <w:r w:rsidRPr="00887863">
        <w:rPr>
          <w:rFonts w:ascii="Palatino Linotype" w:eastAsia="Palatino Linotype" w:hAnsi="Palatino Linotype" w:cs="Palatino Linotype"/>
          <w:sz w:val="22"/>
          <w:szCs w:val="22"/>
        </w:rPr>
        <w:t xml:space="preserve">de esta resolución, se </w:t>
      </w:r>
      <w:r w:rsidRPr="00887863">
        <w:rPr>
          <w:rFonts w:ascii="Palatino Linotype" w:eastAsia="Palatino Linotype" w:hAnsi="Palatino Linotype" w:cs="Palatino Linotype"/>
          <w:b/>
          <w:sz w:val="22"/>
          <w:szCs w:val="22"/>
        </w:rPr>
        <w:t xml:space="preserve">CONFIRMA </w:t>
      </w:r>
      <w:r w:rsidRPr="00887863">
        <w:rPr>
          <w:rFonts w:ascii="Palatino Linotype" w:eastAsia="Palatino Linotype" w:hAnsi="Palatino Linotype" w:cs="Palatino Linotype"/>
          <w:sz w:val="22"/>
          <w:szCs w:val="22"/>
        </w:rPr>
        <w:t xml:space="preserve">la respuesta emitida por el </w:t>
      </w:r>
      <w:r w:rsidRPr="00887863">
        <w:rPr>
          <w:rFonts w:ascii="Palatino Linotype" w:eastAsia="Palatino Linotype" w:hAnsi="Palatino Linotype" w:cs="Palatino Linotype"/>
          <w:b/>
          <w:sz w:val="22"/>
          <w:szCs w:val="22"/>
        </w:rPr>
        <w:t>SUJETO OBLIGADO</w:t>
      </w:r>
      <w:r w:rsidRPr="00887863">
        <w:rPr>
          <w:rFonts w:ascii="Palatino Linotype" w:eastAsia="Palatino Linotype" w:hAnsi="Palatino Linotype" w:cs="Palatino Linotype"/>
          <w:sz w:val="22"/>
          <w:szCs w:val="22"/>
        </w:rPr>
        <w:t>.</w:t>
      </w:r>
    </w:p>
    <w:p w14:paraId="56C27413" w14:textId="77777777" w:rsidR="00CA4BE6" w:rsidRPr="00887863" w:rsidRDefault="00CA4BE6" w:rsidP="00CA4BE6">
      <w:pPr>
        <w:spacing w:line="360" w:lineRule="auto"/>
        <w:jc w:val="both"/>
        <w:rPr>
          <w:rFonts w:ascii="Palatino Linotype" w:eastAsia="Palatino Linotype" w:hAnsi="Palatino Linotype" w:cs="Palatino Linotype"/>
          <w:sz w:val="22"/>
          <w:szCs w:val="22"/>
        </w:rPr>
      </w:pPr>
    </w:p>
    <w:p w14:paraId="7CEBD324" w14:textId="77777777" w:rsidR="00CA4BE6" w:rsidRPr="00887863" w:rsidRDefault="00CA4BE6" w:rsidP="00CA4BE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Segundo. Notifíquese vía Sistema de Acceso a la Información Mexiquense (SAIMEX)</w:t>
      </w:r>
      <w:r w:rsidRPr="00887863">
        <w:rPr>
          <w:rFonts w:ascii="Palatino Linotype" w:eastAsia="Palatino Linotype" w:hAnsi="Palatino Linotype" w:cs="Palatino Linotype"/>
          <w:sz w:val="22"/>
          <w:szCs w:val="22"/>
        </w:rPr>
        <w:t>, al Titular de la Unidad de Transparencia del Sujeto Obligado, para su conocimiento.</w:t>
      </w:r>
    </w:p>
    <w:p w14:paraId="7E100EE6" w14:textId="77777777" w:rsidR="00CA4BE6" w:rsidRPr="00887863" w:rsidRDefault="00CA4BE6" w:rsidP="00CA4BE6">
      <w:pPr>
        <w:spacing w:line="360" w:lineRule="auto"/>
        <w:jc w:val="both"/>
        <w:rPr>
          <w:rFonts w:ascii="Palatino Linotype" w:eastAsia="Palatino Linotype" w:hAnsi="Palatino Linotype" w:cs="Palatino Linotype"/>
          <w:sz w:val="22"/>
          <w:szCs w:val="22"/>
        </w:rPr>
      </w:pPr>
    </w:p>
    <w:p w14:paraId="49189374" w14:textId="77777777" w:rsidR="00CA4BE6" w:rsidRPr="00887863" w:rsidRDefault="00CA4BE6" w:rsidP="00CA4BE6">
      <w:pPr>
        <w:spacing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b/>
          <w:sz w:val="22"/>
          <w:szCs w:val="22"/>
        </w:rPr>
        <w:t xml:space="preserve">Tercero. Notifíquese vía Sistema de Acceso a la Información Mexiquense (SAIMEX) </w:t>
      </w:r>
      <w:r w:rsidRPr="00887863">
        <w:rPr>
          <w:rFonts w:ascii="Palatino Linotype" w:eastAsia="Palatino Linotype" w:hAnsi="Palatino Linotype" w:cs="Palatino Linotype"/>
          <w:sz w:val="22"/>
          <w:szCs w:val="22"/>
        </w:rPr>
        <w:t xml:space="preserve">la presente resolución a la parte recurrente, así como, que de conformidad con lo establecido en el artículo 196 de la Ley de Transparencia y Acceso a la Información Pública del Estado </w:t>
      </w:r>
      <w:r w:rsidRPr="00887863">
        <w:rPr>
          <w:rFonts w:ascii="Palatino Linotype" w:eastAsia="Palatino Linotype" w:hAnsi="Palatino Linotype" w:cs="Palatino Linotype"/>
          <w:sz w:val="22"/>
          <w:szCs w:val="22"/>
        </w:rPr>
        <w:lastRenderedPageBreak/>
        <w:t>de México y Municipios, podrá impugnarla vía Juicio de Amparo en los términos de las leyes aplicables.</w:t>
      </w:r>
    </w:p>
    <w:p w14:paraId="1D383290" w14:textId="7D4ACBDD" w:rsidR="00003AD2" w:rsidRPr="00887863" w:rsidRDefault="00C82866">
      <w:pPr>
        <w:spacing w:before="240" w:after="240" w:line="360" w:lineRule="auto"/>
        <w:jc w:val="both"/>
        <w:rPr>
          <w:rFonts w:ascii="Palatino Linotype" w:eastAsia="Palatino Linotype" w:hAnsi="Palatino Linotype" w:cs="Palatino Linotype"/>
          <w:sz w:val="22"/>
          <w:szCs w:val="22"/>
        </w:rPr>
      </w:pPr>
      <w:r w:rsidRPr="0088786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A312A" w:rsidRPr="00887863">
        <w:rPr>
          <w:rFonts w:ascii="Palatino Linotype" w:eastAsia="Palatino Linotype" w:hAnsi="Palatino Linotype" w:cs="Palatino Linotype"/>
          <w:sz w:val="22"/>
          <w:szCs w:val="22"/>
        </w:rPr>
        <w:t>NOVENA</w:t>
      </w:r>
      <w:r w:rsidRPr="00887863">
        <w:rPr>
          <w:rFonts w:ascii="Palatino Linotype" w:eastAsia="Palatino Linotype" w:hAnsi="Palatino Linotype" w:cs="Palatino Linotype"/>
          <w:sz w:val="22"/>
          <w:szCs w:val="22"/>
        </w:rPr>
        <w:t xml:space="preserve"> SESIÓN ORDINARIA CELEBRADA EL </w:t>
      </w:r>
      <w:r w:rsidR="00BA312A" w:rsidRPr="00887863">
        <w:rPr>
          <w:rFonts w:ascii="Palatino Linotype" w:eastAsia="Palatino Linotype" w:hAnsi="Palatino Linotype" w:cs="Palatino Linotype"/>
          <w:sz w:val="22"/>
          <w:szCs w:val="22"/>
        </w:rPr>
        <w:t>DOCE</w:t>
      </w:r>
      <w:r w:rsidRPr="00887863">
        <w:rPr>
          <w:rFonts w:ascii="Palatino Linotype" w:eastAsia="Palatino Linotype" w:hAnsi="Palatino Linotype" w:cs="Palatino Linotype"/>
          <w:sz w:val="22"/>
          <w:szCs w:val="22"/>
        </w:rPr>
        <w:t xml:space="preserve"> DE </w:t>
      </w:r>
      <w:r w:rsidR="003D5A40" w:rsidRPr="00887863">
        <w:rPr>
          <w:rFonts w:ascii="Palatino Linotype" w:eastAsia="Palatino Linotype" w:hAnsi="Palatino Linotype" w:cs="Palatino Linotype"/>
          <w:sz w:val="22"/>
          <w:szCs w:val="22"/>
        </w:rPr>
        <w:t>MARZO</w:t>
      </w:r>
      <w:r w:rsidRPr="00887863">
        <w:rPr>
          <w:rFonts w:ascii="Palatino Linotype" w:eastAsia="Palatino Linotype" w:hAnsi="Palatino Linotype" w:cs="Palatino Linotype"/>
          <w:sz w:val="22"/>
          <w:szCs w:val="22"/>
        </w:rPr>
        <w:t xml:space="preserve"> DEL DOS MIL VEINTICINCO, ANTE EL SECRETARIO TÉCNICO DEL PLENO ALEXIS TAPIA RAMÍREZ.</w:t>
      </w:r>
    </w:p>
    <w:p w14:paraId="4EEAFD2A" w14:textId="77777777" w:rsidR="00003AD2" w:rsidRPr="00887863" w:rsidRDefault="00003AD2">
      <w:pPr>
        <w:spacing w:before="240" w:after="240" w:line="360" w:lineRule="auto"/>
        <w:jc w:val="both"/>
        <w:rPr>
          <w:rFonts w:ascii="Palatino Linotype" w:eastAsia="Palatino Linotype" w:hAnsi="Palatino Linotype" w:cs="Palatino Linotype"/>
          <w:sz w:val="22"/>
          <w:szCs w:val="22"/>
        </w:rPr>
      </w:pPr>
    </w:p>
    <w:p w14:paraId="1BD88917" w14:textId="77777777" w:rsidR="005453EB" w:rsidRPr="00887863" w:rsidRDefault="005453EB">
      <w:pPr>
        <w:spacing w:before="240" w:after="240" w:line="360" w:lineRule="auto"/>
        <w:jc w:val="both"/>
        <w:rPr>
          <w:rFonts w:ascii="Palatino Linotype" w:eastAsia="Palatino Linotype" w:hAnsi="Palatino Linotype" w:cs="Palatino Linotype"/>
          <w:sz w:val="22"/>
          <w:szCs w:val="22"/>
        </w:rPr>
      </w:pPr>
    </w:p>
    <w:p w14:paraId="5D10074D" w14:textId="77777777" w:rsidR="005453EB" w:rsidRPr="00887863" w:rsidRDefault="005453EB">
      <w:pPr>
        <w:spacing w:before="240" w:after="240" w:line="360" w:lineRule="auto"/>
        <w:jc w:val="both"/>
        <w:rPr>
          <w:rFonts w:ascii="Palatino Linotype" w:eastAsia="Palatino Linotype" w:hAnsi="Palatino Linotype" w:cs="Palatino Linotype"/>
          <w:sz w:val="22"/>
          <w:szCs w:val="22"/>
        </w:rPr>
      </w:pPr>
    </w:p>
    <w:p w14:paraId="4AF50DE8" w14:textId="77777777" w:rsidR="005453EB" w:rsidRPr="00887863" w:rsidRDefault="005453EB">
      <w:pPr>
        <w:spacing w:before="240" w:after="240" w:line="360" w:lineRule="auto"/>
        <w:jc w:val="both"/>
        <w:rPr>
          <w:rFonts w:ascii="Palatino Linotype" w:eastAsia="Palatino Linotype" w:hAnsi="Palatino Linotype" w:cs="Palatino Linotype"/>
          <w:sz w:val="22"/>
          <w:szCs w:val="22"/>
        </w:rPr>
      </w:pPr>
    </w:p>
    <w:p w14:paraId="27FF06FB" w14:textId="00743479" w:rsidR="00003AD2" w:rsidRPr="00887863" w:rsidRDefault="00003AD2">
      <w:pPr>
        <w:spacing w:before="240" w:after="240" w:line="360" w:lineRule="auto"/>
        <w:jc w:val="both"/>
        <w:rPr>
          <w:rFonts w:ascii="Palatino Linotype" w:eastAsia="Palatino Linotype" w:hAnsi="Palatino Linotype" w:cs="Palatino Linotype"/>
          <w:sz w:val="22"/>
          <w:szCs w:val="22"/>
        </w:rPr>
      </w:pPr>
    </w:p>
    <w:p w14:paraId="050DA881" w14:textId="78060639"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1A29A83C" w14:textId="4B27D333"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51DE175B" w14:textId="5032D101"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4888F020" w14:textId="4870D085"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2AFC5070" w14:textId="2CA6B586"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128EB18B" w14:textId="073DEF80"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6E19B858" w14:textId="6BC206AC"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0D86D452" w14:textId="088C0D8F"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7FF0CA29" w14:textId="53889555"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39D5C342" w14:textId="58B08B99"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07E85782" w14:textId="7771D16B"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647BE2BD" w14:textId="7FB66A03"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140DF0E0" w14:textId="75DE778C" w:rsidR="00887863" w:rsidRPr="00887863" w:rsidRDefault="00887863">
      <w:pPr>
        <w:spacing w:before="240" w:after="240" w:line="360" w:lineRule="auto"/>
        <w:jc w:val="both"/>
        <w:rPr>
          <w:rFonts w:ascii="Palatino Linotype" w:eastAsia="Palatino Linotype" w:hAnsi="Palatino Linotype" w:cs="Palatino Linotype"/>
          <w:sz w:val="22"/>
          <w:szCs w:val="22"/>
        </w:rPr>
      </w:pPr>
    </w:p>
    <w:p w14:paraId="729D1C35" w14:textId="77777777" w:rsidR="00887863" w:rsidRPr="00887863" w:rsidRDefault="00887863">
      <w:pPr>
        <w:spacing w:before="240" w:after="240" w:line="360" w:lineRule="auto"/>
        <w:jc w:val="both"/>
        <w:rPr>
          <w:rFonts w:ascii="Palatino Linotype" w:eastAsia="Palatino Linotype" w:hAnsi="Palatino Linotype" w:cs="Palatino Linotype"/>
          <w:sz w:val="22"/>
          <w:szCs w:val="22"/>
        </w:rPr>
      </w:pPr>
    </w:p>
    <w:sectPr w:rsidR="00887863" w:rsidRPr="00887863">
      <w:headerReference w:type="default" r:id="rId8"/>
      <w:footerReference w:type="default" r:id="rId9"/>
      <w:headerReference w:type="first" r:id="rId10"/>
      <w:footerReference w:type="first" r:id="rId11"/>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2FB6" w14:textId="77777777" w:rsidR="000F33C4" w:rsidRDefault="000F33C4">
      <w:r>
        <w:separator/>
      </w:r>
    </w:p>
  </w:endnote>
  <w:endnote w:type="continuationSeparator" w:id="0">
    <w:p w14:paraId="78AA8E3C" w14:textId="77777777" w:rsidR="000F33C4" w:rsidRDefault="000F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867A" w14:textId="77777777" w:rsidR="00220020" w:rsidRDefault="0022002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4A1B">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4A1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2619E6F1" w14:textId="77777777" w:rsidR="00220020" w:rsidRDefault="0022002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40BB" w14:textId="77777777" w:rsidR="00220020" w:rsidRDefault="0022002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4A1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4A1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16A9058D" w14:textId="77777777" w:rsidR="00220020" w:rsidRDefault="0022002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93AD" w14:textId="77777777" w:rsidR="000F33C4" w:rsidRDefault="000F33C4">
      <w:r>
        <w:separator/>
      </w:r>
    </w:p>
  </w:footnote>
  <w:footnote w:type="continuationSeparator" w:id="0">
    <w:p w14:paraId="3723AABD" w14:textId="77777777" w:rsidR="000F33C4" w:rsidRDefault="000F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BFDC" w14:textId="77777777" w:rsidR="00220020" w:rsidRDefault="0022002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E29E393" wp14:editId="080C5612">
          <wp:simplePos x="0" y="0"/>
          <wp:positionH relativeFrom="column">
            <wp:posOffset>-1080129</wp:posOffset>
          </wp:positionH>
          <wp:positionV relativeFrom="paragraph">
            <wp:posOffset>-488309</wp:posOffset>
          </wp:positionV>
          <wp:extent cx="7809865" cy="10165715"/>
          <wp:effectExtent l="0" t="0" r="0" b="0"/>
          <wp:wrapNone/>
          <wp:docPr id="7702015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220020" w14:paraId="026958A4" w14:textId="77777777">
      <w:tc>
        <w:tcPr>
          <w:tcW w:w="2489" w:type="dxa"/>
          <w:shd w:val="clear" w:color="auto" w:fill="auto"/>
        </w:tcPr>
        <w:p w14:paraId="24961837" w14:textId="77777777" w:rsidR="00220020" w:rsidRDefault="002200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D2BBFC9" w14:textId="4AB7D37F" w:rsidR="00220020" w:rsidRDefault="00220020" w:rsidP="003D5A4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00934/INFOEM/IP/RR/2025</w:t>
          </w:r>
        </w:p>
      </w:tc>
    </w:tr>
    <w:tr w:rsidR="00220020" w14:paraId="2A82852F" w14:textId="77777777">
      <w:trPr>
        <w:trHeight w:val="228"/>
      </w:trPr>
      <w:tc>
        <w:tcPr>
          <w:tcW w:w="2489" w:type="dxa"/>
          <w:shd w:val="clear" w:color="auto" w:fill="auto"/>
          <w:vAlign w:val="center"/>
        </w:tcPr>
        <w:p w14:paraId="1E7A3E28" w14:textId="77777777" w:rsidR="00220020" w:rsidRDefault="002200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2AF4F50" w14:textId="31F8C88D" w:rsidR="00220020" w:rsidRDefault="0022002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20020" w14:paraId="5413A87D" w14:textId="77777777">
      <w:tc>
        <w:tcPr>
          <w:tcW w:w="2489" w:type="dxa"/>
          <w:shd w:val="clear" w:color="auto" w:fill="auto"/>
          <w:vAlign w:val="center"/>
        </w:tcPr>
        <w:p w14:paraId="6C3C1CBC" w14:textId="77777777" w:rsidR="00220020" w:rsidRDefault="0022002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9274F22" w14:textId="77777777" w:rsidR="00220020" w:rsidRDefault="0022002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3394C9" w14:textId="77777777" w:rsidR="00220020" w:rsidRDefault="0022002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91F" w14:textId="77777777" w:rsidR="00220020" w:rsidRDefault="0022002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a"/>
      <w:tblW w:w="5670" w:type="dxa"/>
      <w:tblInd w:w="3261" w:type="dxa"/>
      <w:tblLayout w:type="fixed"/>
      <w:tblLook w:val="0400" w:firstRow="0" w:lastRow="0" w:firstColumn="0" w:lastColumn="0" w:noHBand="0" w:noVBand="1"/>
    </w:tblPr>
    <w:tblGrid>
      <w:gridCol w:w="2551"/>
      <w:gridCol w:w="3119"/>
    </w:tblGrid>
    <w:tr w:rsidR="00220020" w14:paraId="694F80CD" w14:textId="77777777">
      <w:tc>
        <w:tcPr>
          <w:tcW w:w="2551" w:type="dxa"/>
          <w:shd w:val="clear" w:color="auto" w:fill="auto"/>
          <w:vAlign w:val="center"/>
        </w:tcPr>
        <w:p w14:paraId="66298E79" w14:textId="77777777" w:rsidR="00220020" w:rsidRDefault="002200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34BAD98" w14:textId="0026068A" w:rsidR="00220020" w:rsidRDefault="0022002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00934/INFOEM/IP/RR/2025</w:t>
          </w:r>
        </w:p>
      </w:tc>
    </w:tr>
    <w:tr w:rsidR="00220020" w14:paraId="73478824" w14:textId="77777777">
      <w:trPr>
        <w:trHeight w:val="130"/>
      </w:trPr>
      <w:tc>
        <w:tcPr>
          <w:tcW w:w="2551" w:type="dxa"/>
          <w:shd w:val="clear" w:color="auto" w:fill="auto"/>
          <w:vAlign w:val="center"/>
        </w:tcPr>
        <w:p w14:paraId="2A0D177C" w14:textId="77777777" w:rsidR="00220020" w:rsidRDefault="002200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34AAFCF" w14:textId="77777777" w:rsidR="00220020" w:rsidRDefault="00220020">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5C4EB7F2" wp14:editId="52F39CB9">
                <wp:simplePos x="0" y="0"/>
                <wp:positionH relativeFrom="column">
                  <wp:posOffset>-4425311</wp:posOffset>
                </wp:positionH>
                <wp:positionV relativeFrom="paragraph">
                  <wp:posOffset>-361945</wp:posOffset>
                </wp:positionV>
                <wp:extent cx="7809865" cy="10165715"/>
                <wp:effectExtent l="0" t="0" r="0" b="0"/>
                <wp:wrapNone/>
                <wp:docPr id="7702015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220020" w14:paraId="2ADB917C" w14:textId="77777777">
      <w:trPr>
        <w:trHeight w:val="228"/>
      </w:trPr>
      <w:tc>
        <w:tcPr>
          <w:tcW w:w="2551" w:type="dxa"/>
          <w:shd w:val="clear" w:color="auto" w:fill="auto"/>
          <w:vAlign w:val="center"/>
        </w:tcPr>
        <w:p w14:paraId="1A3EB528" w14:textId="77777777" w:rsidR="00220020" w:rsidRDefault="002200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2B87E8B" w14:textId="1DFA04B8" w:rsidR="00220020" w:rsidRDefault="00220020">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20020" w14:paraId="0D319029" w14:textId="77777777">
      <w:tc>
        <w:tcPr>
          <w:tcW w:w="2551" w:type="dxa"/>
          <w:shd w:val="clear" w:color="auto" w:fill="auto"/>
          <w:vAlign w:val="center"/>
        </w:tcPr>
        <w:p w14:paraId="4469069B" w14:textId="77777777" w:rsidR="00220020" w:rsidRDefault="002200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C2F49DE" w14:textId="77777777" w:rsidR="00220020" w:rsidRDefault="0022002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1742573" w14:textId="77777777" w:rsidR="00220020" w:rsidRDefault="0022002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86D"/>
    <w:multiLevelType w:val="multilevel"/>
    <w:tmpl w:val="D98E987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4C658BB"/>
    <w:multiLevelType w:val="multilevel"/>
    <w:tmpl w:val="8B920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1218E"/>
    <w:multiLevelType w:val="multilevel"/>
    <w:tmpl w:val="EF04F7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B613D4D"/>
    <w:multiLevelType w:val="multilevel"/>
    <w:tmpl w:val="E710FBB4"/>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D8130E9"/>
    <w:multiLevelType w:val="multilevel"/>
    <w:tmpl w:val="43F80E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701F67"/>
    <w:multiLevelType w:val="multilevel"/>
    <w:tmpl w:val="B5BEE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F53F19"/>
    <w:multiLevelType w:val="multilevel"/>
    <w:tmpl w:val="A67ED92E"/>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7" w15:restartNumberingAfterBreak="0">
    <w:nsid w:val="1B926D3A"/>
    <w:multiLevelType w:val="multilevel"/>
    <w:tmpl w:val="51967B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97D5A8B"/>
    <w:multiLevelType w:val="multilevel"/>
    <w:tmpl w:val="ACA6E83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756703"/>
    <w:multiLevelType w:val="multilevel"/>
    <w:tmpl w:val="65584D2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5A1652"/>
    <w:multiLevelType w:val="multilevel"/>
    <w:tmpl w:val="04C8B4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DB62B16"/>
    <w:multiLevelType w:val="hybridMultilevel"/>
    <w:tmpl w:val="33303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6C4561"/>
    <w:multiLevelType w:val="multilevel"/>
    <w:tmpl w:val="9F76F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353D81"/>
    <w:multiLevelType w:val="multilevel"/>
    <w:tmpl w:val="61345D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9550CDF"/>
    <w:multiLevelType w:val="hybridMultilevel"/>
    <w:tmpl w:val="7682C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7F37CA"/>
    <w:multiLevelType w:val="multilevel"/>
    <w:tmpl w:val="190EB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603906"/>
    <w:multiLevelType w:val="multilevel"/>
    <w:tmpl w:val="D0307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C05DB3"/>
    <w:multiLevelType w:val="multilevel"/>
    <w:tmpl w:val="C6240B6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EE4C11"/>
    <w:multiLevelType w:val="multilevel"/>
    <w:tmpl w:val="000E707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3"/>
  </w:num>
  <w:num w:numId="2">
    <w:abstractNumId w:val="17"/>
  </w:num>
  <w:num w:numId="3">
    <w:abstractNumId w:val="8"/>
  </w:num>
  <w:num w:numId="4">
    <w:abstractNumId w:val="1"/>
  </w:num>
  <w:num w:numId="5">
    <w:abstractNumId w:val="5"/>
  </w:num>
  <w:num w:numId="6">
    <w:abstractNumId w:val="16"/>
  </w:num>
  <w:num w:numId="7">
    <w:abstractNumId w:val="0"/>
  </w:num>
  <w:num w:numId="8">
    <w:abstractNumId w:val="2"/>
  </w:num>
  <w:num w:numId="9">
    <w:abstractNumId w:val="18"/>
  </w:num>
  <w:num w:numId="10">
    <w:abstractNumId w:val="4"/>
  </w:num>
  <w:num w:numId="11">
    <w:abstractNumId w:val="7"/>
  </w:num>
  <w:num w:numId="12">
    <w:abstractNumId w:val="13"/>
  </w:num>
  <w:num w:numId="13">
    <w:abstractNumId w:val="12"/>
  </w:num>
  <w:num w:numId="14">
    <w:abstractNumId w:val="15"/>
  </w:num>
  <w:num w:numId="15">
    <w:abstractNumId w:val="6"/>
  </w:num>
  <w:num w:numId="16">
    <w:abstractNumId w:val="10"/>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D2"/>
    <w:rsid w:val="00003AD2"/>
    <w:rsid w:val="00004E04"/>
    <w:rsid w:val="00014545"/>
    <w:rsid w:val="00021CF1"/>
    <w:rsid w:val="000462A9"/>
    <w:rsid w:val="000C65AF"/>
    <w:rsid w:val="000E5646"/>
    <w:rsid w:val="000F33C4"/>
    <w:rsid w:val="000F5858"/>
    <w:rsid w:val="000F73EE"/>
    <w:rsid w:val="00106CD2"/>
    <w:rsid w:val="00173067"/>
    <w:rsid w:val="00194BB1"/>
    <w:rsid w:val="001B189C"/>
    <w:rsid w:val="001F2379"/>
    <w:rsid w:val="00220020"/>
    <w:rsid w:val="00222C64"/>
    <w:rsid w:val="00244A1B"/>
    <w:rsid w:val="002D19A7"/>
    <w:rsid w:val="002D59B8"/>
    <w:rsid w:val="002F4E88"/>
    <w:rsid w:val="00303290"/>
    <w:rsid w:val="00327F9B"/>
    <w:rsid w:val="00372154"/>
    <w:rsid w:val="003A42B9"/>
    <w:rsid w:val="003C3166"/>
    <w:rsid w:val="003D5A40"/>
    <w:rsid w:val="003F1433"/>
    <w:rsid w:val="00481AD4"/>
    <w:rsid w:val="004B0D57"/>
    <w:rsid w:val="004D1CB0"/>
    <w:rsid w:val="004F0F72"/>
    <w:rsid w:val="005111BC"/>
    <w:rsid w:val="00532BE3"/>
    <w:rsid w:val="005356F4"/>
    <w:rsid w:val="005453EB"/>
    <w:rsid w:val="00567C54"/>
    <w:rsid w:val="005A38B3"/>
    <w:rsid w:val="005F0146"/>
    <w:rsid w:val="006678C7"/>
    <w:rsid w:val="0068035E"/>
    <w:rsid w:val="006B49A0"/>
    <w:rsid w:val="006F2309"/>
    <w:rsid w:val="006F52AE"/>
    <w:rsid w:val="00746B13"/>
    <w:rsid w:val="00777979"/>
    <w:rsid w:val="00792A42"/>
    <w:rsid w:val="0079497C"/>
    <w:rsid w:val="008519DC"/>
    <w:rsid w:val="00863D88"/>
    <w:rsid w:val="008640D6"/>
    <w:rsid w:val="008825D4"/>
    <w:rsid w:val="00887863"/>
    <w:rsid w:val="008B1C31"/>
    <w:rsid w:val="00907E37"/>
    <w:rsid w:val="00941864"/>
    <w:rsid w:val="00974AD3"/>
    <w:rsid w:val="00A45859"/>
    <w:rsid w:val="00A714C8"/>
    <w:rsid w:val="00A740E6"/>
    <w:rsid w:val="00A76E81"/>
    <w:rsid w:val="00AE312E"/>
    <w:rsid w:val="00B119D5"/>
    <w:rsid w:val="00B55F53"/>
    <w:rsid w:val="00B75EC9"/>
    <w:rsid w:val="00BA312A"/>
    <w:rsid w:val="00BF5BA8"/>
    <w:rsid w:val="00C260D8"/>
    <w:rsid w:val="00C82866"/>
    <w:rsid w:val="00C923DF"/>
    <w:rsid w:val="00C93784"/>
    <w:rsid w:val="00C93E4A"/>
    <w:rsid w:val="00CA1ED3"/>
    <w:rsid w:val="00CA4554"/>
    <w:rsid w:val="00CA4BE6"/>
    <w:rsid w:val="00CA55DA"/>
    <w:rsid w:val="00D3094A"/>
    <w:rsid w:val="00D32C17"/>
    <w:rsid w:val="00D44C16"/>
    <w:rsid w:val="00D9404B"/>
    <w:rsid w:val="00DD03CD"/>
    <w:rsid w:val="00DD66D9"/>
    <w:rsid w:val="00DF6A23"/>
    <w:rsid w:val="00E153C0"/>
    <w:rsid w:val="00E51C6A"/>
    <w:rsid w:val="00E520AF"/>
    <w:rsid w:val="00E83CB4"/>
    <w:rsid w:val="00EB29DD"/>
    <w:rsid w:val="00EB42E9"/>
    <w:rsid w:val="00EC4630"/>
    <w:rsid w:val="00ED7F5B"/>
    <w:rsid w:val="00EF7406"/>
    <w:rsid w:val="00F05F99"/>
    <w:rsid w:val="00F43932"/>
    <w:rsid w:val="00F5617B"/>
    <w:rsid w:val="00F87DC6"/>
    <w:rsid w:val="00F95BF1"/>
    <w:rsid w:val="00FD4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0E59D"/>
  <w15:docId w15:val="{B6973547-E7DD-4CFC-8621-379FF1C7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115">
      <w:bodyDiv w:val="1"/>
      <w:marLeft w:val="0"/>
      <w:marRight w:val="0"/>
      <w:marTop w:val="0"/>
      <w:marBottom w:val="0"/>
      <w:divBdr>
        <w:top w:val="none" w:sz="0" w:space="0" w:color="auto"/>
        <w:left w:val="none" w:sz="0" w:space="0" w:color="auto"/>
        <w:bottom w:val="none" w:sz="0" w:space="0" w:color="auto"/>
        <w:right w:val="none" w:sz="0" w:space="0" w:color="auto"/>
      </w:divBdr>
    </w:div>
    <w:div w:id="400714135">
      <w:bodyDiv w:val="1"/>
      <w:marLeft w:val="0"/>
      <w:marRight w:val="0"/>
      <w:marTop w:val="0"/>
      <w:marBottom w:val="0"/>
      <w:divBdr>
        <w:top w:val="none" w:sz="0" w:space="0" w:color="auto"/>
        <w:left w:val="none" w:sz="0" w:space="0" w:color="auto"/>
        <w:bottom w:val="none" w:sz="0" w:space="0" w:color="auto"/>
        <w:right w:val="none" w:sz="0" w:space="0" w:color="auto"/>
      </w:divBdr>
    </w:div>
    <w:div w:id="534318498">
      <w:bodyDiv w:val="1"/>
      <w:marLeft w:val="0"/>
      <w:marRight w:val="0"/>
      <w:marTop w:val="0"/>
      <w:marBottom w:val="0"/>
      <w:divBdr>
        <w:top w:val="none" w:sz="0" w:space="0" w:color="auto"/>
        <w:left w:val="none" w:sz="0" w:space="0" w:color="auto"/>
        <w:bottom w:val="none" w:sz="0" w:space="0" w:color="auto"/>
        <w:right w:val="none" w:sz="0" w:space="0" w:color="auto"/>
      </w:divBdr>
    </w:div>
    <w:div w:id="568685839">
      <w:bodyDiv w:val="1"/>
      <w:marLeft w:val="0"/>
      <w:marRight w:val="0"/>
      <w:marTop w:val="0"/>
      <w:marBottom w:val="0"/>
      <w:divBdr>
        <w:top w:val="none" w:sz="0" w:space="0" w:color="auto"/>
        <w:left w:val="none" w:sz="0" w:space="0" w:color="auto"/>
        <w:bottom w:val="none" w:sz="0" w:space="0" w:color="auto"/>
        <w:right w:val="none" w:sz="0" w:space="0" w:color="auto"/>
      </w:divBdr>
    </w:div>
    <w:div w:id="624193723">
      <w:bodyDiv w:val="1"/>
      <w:marLeft w:val="0"/>
      <w:marRight w:val="0"/>
      <w:marTop w:val="0"/>
      <w:marBottom w:val="0"/>
      <w:divBdr>
        <w:top w:val="none" w:sz="0" w:space="0" w:color="auto"/>
        <w:left w:val="none" w:sz="0" w:space="0" w:color="auto"/>
        <w:bottom w:val="none" w:sz="0" w:space="0" w:color="auto"/>
        <w:right w:val="none" w:sz="0" w:space="0" w:color="auto"/>
      </w:divBdr>
    </w:div>
    <w:div w:id="695469029">
      <w:bodyDiv w:val="1"/>
      <w:marLeft w:val="0"/>
      <w:marRight w:val="0"/>
      <w:marTop w:val="0"/>
      <w:marBottom w:val="0"/>
      <w:divBdr>
        <w:top w:val="none" w:sz="0" w:space="0" w:color="auto"/>
        <w:left w:val="none" w:sz="0" w:space="0" w:color="auto"/>
        <w:bottom w:val="none" w:sz="0" w:space="0" w:color="auto"/>
        <w:right w:val="none" w:sz="0" w:space="0" w:color="auto"/>
      </w:divBdr>
    </w:div>
    <w:div w:id="702025883">
      <w:bodyDiv w:val="1"/>
      <w:marLeft w:val="0"/>
      <w:marRight w:val="0"/>
      <w:marTop w:val="0"/>
      <w:marBottom w:val="0"/>
      <w:divBdr>
        <w:top w:val="none" w:sz="0" w:space="0" w:color="auto"/>
        <w:left w:val="none" w:sz="0" w:space="0" w:color="auto"/>
        <w:bottom w:val="none" w:sz="0" w:space="0" w:color="auto"/>
        <w:right w:val="none" w:sz="0" w:space="0" w:color="auto"/>
      </w:divBdr>
    </w:div>
    <w:div w:id="1279481944">
      <w:bodyDiv w:val="1"/>
      <w:marLeft w:val="0"/>
      <w:marRight w:val="0"/>
      <w:marTop w:val="0"/>
      <w:marBottom w:val="0"/>
      <w:divBdr>
        <w:top w:val="none" w:sz="0" w:space="0" w:color="auto"/>
        <w:left w:val="none" w:sz="0" w:space="0" w:color="auto"/>
        <w:bottom w:val="none" w:sz="0" w:space="0" w:color="auto"/>
        <w:right w:val="none" w:sz="0" w:space="0" w:color="auto"/>
      </w:divBdr>
    </w:div>
    <w:div w:id="1468082384">
      <w:bodyDiv w:val="1"/>
      <w:marLeft w:val="0"/>
      <w:marRight w:val="0"/>
      <w:marTop w:val="0"/>
      <w:marBottom w:val="0"/>
      <w:divBdr>
        <w:top w:val="none" w:sz="0" w:space="0" w:color="auto"/>
        <w:left w:val="none" w:sz="0" w:space="0" w:color="auto"/>
        <w:bottom w:val="none" w:sz="0" w:space="0" w:color="auto"/>
        <w:right w:val="none" w:sz="0" w:space="0" w:color="auto"/>
      </w:divBdr>
    </w:div>
    <w:div w:id="1876238520">
      <w:bodyDiv w:val="1"/>
      <w:marLeft w:val="0"/>
      <w:marRight w:val="0"/>
      <w:marTop w:val="0"/>
      <w:marBottom w:val="0"/>
      <w:divBdr>
        <w:top w:val="none" w:sz="0" w:space="0" w:color="auto"/>
        <w:left w:val="none" w:sz="0" w:space="0" w:color="auto"/>
        <w:bottom w:val="none" w:sz="0" w:space="0" w:color="auto"/>
        <w:right w:val="none" w:sz="0" w:space="0" w:color="auto"/>
      </w:divBdr>
    </w:div>
    <w:div w:id="1905138921">
      <w:bodyDiv w:val="1"/>
      <w:marLeft w:val="0"/>
      <w:marRight w:val="0"/>
      <w:marTop w:val="0"/>
      <w:marBottom w:val="0"/>
      <w:divBdr>
        <w:top w:val="none" w:sz="0" w:space="0" w:color="auto"/>
        <w:left w:val="none" w:sz="0" w:space="0" w:color="auto"/>
        <w:bottom w:val="none" w:sz="0" w:space="0" w:color="auto"/>
        <w:right w:val="none" w:sz="0" w:space="0" w:color="auto"/>
      </w:divBdr>
    </w:div>
    <w:div w:id="1932543775">
      <w:bodyDiv w:val="1"/>
      <w:marLeft w:val="0"/>
      <w:marRight w:val="0"/>
      <w:marTop w:val="0"/>
      <w:marBottom w:val="0"/>
      <w:divBdr>
        <w:top w:val="none" w:sz="0" w:space="0" w:color="auto"/>
        <w:left w:val="none" w:sz="0" w:space="0" w:color="auto"/>
        <w:bottom w:val="none" w:sz="0" w:space="0" w:color="auto"/>
        <w:right w:val="none" w:sz="0" w:space="0" w:color="auto"/>
      </w:divBdr>
    </w:div>
    <w:div w:id="1964799611">
      <w:bodyDiv w:val="1"/>
      <w:marLeft w:val="0"/>
      <w:marRight w:val="0"/>
      <w:marTop w:val="0"/>
      <w:marBottom w:val="0"/>
      <w:divBdr>
        <w:top w:val="none" w:sz="0" w:space="0" w:color="auto"/>
        <w:left w:val="none" w:sz="0" w:space="0" w:color="auto"/>
        <w:bottom w:val="none" w:sz="0" w:space="0" w:color="auto"/>
        <w:right w:val="none" w:sz="0" w:space="0" w:color="auto"/>
      </w:divBdr>
    </w:div>
    <w:div w:id="2010518364">
      <w:bodyDiv w:val="1"/>
      <w:marLeft w:val="0"/>
      <w:marRight w:val="0"/>
      <w:marTop w:val="0"/>
      <w:marBottom w:val="0"/>
      <w:divBdr>
        <w:top w:val="none" w:sz="0" w:space="0" w:color="auto"/>
        <w:left w:val="none" w:sz="0" w:space="0" w:color="auto"/>
        <w:bottom w:val="none" w:sz="0" w:space="0" w:color="auto"/>
        <w:right w:val="none" w:sz="0" w:space="0" w:color="auto"/>
      </w:divBdr>
    </w:div>
    <w:div w:id="2142377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q3+WL7bGGZ021HmY0d8mR9oBA==">CgMxLjAyCGguZ2pkZ3hzMgloLjMwajB6bGwyCWguMnM4ZXlvMTIIaC50eWpjd3QyCWguM3pueXNoNzIJaC4xZm9iOXRlMghoLmxueGJ6OTgAciExV2lGdS00NTJvYjc1WHlrSVNfRG1fRy1XOS1rQm13WUo=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5615</Words>
  <Characters>30888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2025-03-14T16:52:00Z</cp:lastPrinted>
  <dcterms:created xsi:type="dcterms:W3CDTF">2025-04-01T19:09:00Z</dcterms:created>
  <dcterms:modified xsi:type="dcterms:W3CDTF">2025-04-01T19:09:00Z</dcterms:modified>
</cp:coreProperties>
</file>