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CCF" w:rsidRPr="009470CF" w:rsidRDefault="00144B5A" w:rsidP="009470CF">
      <w:pPr>
        <w:spacing w:line="360" w:lineRule="auto"/>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CF2DDF">
        <w:rPr>
          <w:rFonts w:ascii="Palatino Linotype" w:eastAsia="Palatino Linotype" w:hAnsi="Palatino Linotype" w:cs="Palatino Linotype"/>
          <w:b/>
          <w:color w:val="000000" w:themeColor="text1"/>
        </w:rPr>
        <w:t xml:space="preserve">de fecha veinticinco (25) </w:t>
      </w:r>
      <w:r w:rsidR="00CF2DDF" w:rsidRPr="00157555">
        <w:rPr>
          <w:rFonts w:ascii="Palatino Linotype" w:eastAsia="Palatino Linotype" w:hAnsi="Palatino Linotype" w:cs="Palatino Linotype"/>
          <w:b/>
          <w:color w:val="000000" w:themeColor="text1"/>
        </w:rPr>
        <w:t xml:space="preserve">de </w:t>
      </w:r>
      <w:r w:rsidR="00CF2DDF">
        <w:rPr>
          <w:rFonts w:ascii="Palatino Linotype" w:eastAsia="Palatino Linotype" w:hAnsi="Palatino Linotype" w:cs="Palatino Linotype"/>
          <w:b/>
          <w:color w:val="000000" w:themeColor="text1"/>
        </w:rPr>
        <w:t xml:space="preserve">noviembre </w:t>
      </w:r>
      <w:r w:rsidR="00CF2DDF" w:rsidRPr="00157555">
        <w:rPr>
          <w:rFonts w:ascii="Palatino Linotype" w:eastAsia="Palatino Linotype" w:hAnsi="Palatino Linotype" w:cs="Palatino Linotype"/>
          <w:b/>
          <w:color w:val="000000" w:themeColor="text1"/>
        </w:rPr>
        <w:t>de dos mil veinticinco</w:t>
      </w:r>
      <w:r w:rsidRPr="009470CF">
        <w:rPr>
          <w:rFonts w:ascii="Palatino Linotype" w:eastAsia="Palatino Linotype" w:hAnsi="Palatino Linotype" w:cs="Palatino Linotype"/>
          <w:b/>
          <w:bCs/>
          <w:color w:val="000000" w:themeColor="text1"/>
        </w:rPr>
        <w:t>.</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color w:val="000000" w:themeColor="text1"/>
        </w:rPr>
      </w:pPr>
      <w:bookmarkStart w:id="0" w:name="_heading=h.yuxidz10zx40" w:colFirst="0" w:colLast="0"/>
      <w:bookmarkEnd w:id="0"/>
      <w:r w:rsidRPr="009470CF">
        <w:rPr>
          <w:rFonts w:ascii="Palatino Linotype" w:eastAsia="Palatino Linotype" w:hAnsi="Palatino Linotype" w:cs="Palatino Linotype"/>
          <w:b/>
          <w:bCs/>
          <w:color w:val="000000" w:themeColor="text1"/>
        </w:rPr>
        <w:t>VISTO</w:t>
      </w:r>
      <w:r w:rsidRPr="009470CF">
        <w:rPr>
          <w:rFonts w:ascii="Palatino Linotype" w:eastAsia="Palatino Linotype" w:hAnsi="Palatino Linotype" w:cs="Palatino Linotype"/>
          <w:color w:val="000000" w:themeColor="text1"/>
        </w:rPr>
        <w:t xml:space="preserve"> el expediente electrónico formado con motivo del recurso de revisión </w:t>
      </w:r>
      <w:r w:rsidRPr="009470CF">
        <w:rPr>
          <w:rFonts w:ascii="Palatino Linotype" w:eastAsia="Palatino Linotype" w:hAnsi="Palatino Linotype" w:cs="Palatino Linotype"/>
          <w:b/>
          <w:bCs/>
          <w:color w:val="000000" w:themeColor="text1"/>
        </w:rPr>
        <w:t xml:space="preserve">  10923/INFOEM/IP/RR/2025</w:t>
      </w:r>
      <w:r w:rsidRPr="009470CF">
        <w:rPr>
          <w:rFonts w:ascii="Palatino Linotype" w:eastAsia="Palatino Linotype" w:hAnsi="Palatino Linotype" w:cs="Palatino Linotype"/>
          <w:color w:val="000000" w:themeColor="text1"/>
        </w:rPr>
        <w:t>,</w:t>
      </w:r>
      <w:r w:rsidRPr="009470CF">
        <w:rPr>
          <w:rFonts w:ascii="Palatino Linotype" w:eastAsia="Palatino Linotype" w:hAnsi="Palatino Linotype" w:cs="Palatino Linotype"/>
          <w:b/>
          <w:bCs/>
          <w:color w:val="000000" w:themeColor="text1"/>
        </w:rPr>
        <w:t xml:space="preserve"> </w:t>
      </w:r>
      <w:r w:rsidRPr="009470CF">
        <w:rPr>
          <w:rFonts w:ascii="Palatino Linotype" w:eastAsia="Palatino Linotype" w:hAnsi="Palatino Linotype" w:cs="Palatino Linotype"/>
          <w:color w:val="000000" w:themeColor="text1"/>
        </w:rPr>
        <w:t xml:space="preserve">promovido por </w:t>
      </w:r>
      <w:r w:rsidRPr="009470CF">
        <w:rPr>
          <w:rFonts w:ascii="Palatino Linotype" w:eastAsia="Palatino Linotype" w:hAnsi="Palatino Linotype" w:cs="Palatino Linotype"/>
          <w:b/>
          <w:bCs/>
          <w:color w:val="000000" w:themeColor="text1"/>
        </w:rPr>
        <w:t>una persona que no proporciono dato</w:t>
      </w:r>
      <w:r w:rsidR="00CF2DDF">
        <w:rPr>
          <w:rFonts w:ascii="Palatino Linotype" w:eastAsia="Palatino Linotype" w:hAnsi="Palatino Linotype" w:cs="Palatino Linotype"/>
          <w:b/>
          <w:bCs/>
          <w:color w:val="000000" w:themeColor="text1"/>
        </w:rPr>
        <w:t>s</w:t>
      </w:r>
      <w:r w:rsidRPr="009470CF">
        <w:rPr>
          <w:rFonts w:ascii="Palatino Linotype" w:eastAsia="Palatino Linotype" w:hAnsi="Palatino Linotype" w:cs="Palatino Linotype"/>
          <w:b/>
          <w:bCs/>
          <w:color w:val="000000" w:themeColor="text1"/>
        </w:rPr>
        <w:t xml:space="preserve"> de identificación</w:t>
      </w:r>
      <w:r w:rsidR="00FE10B9">
        <w:rPr>
          <w:rFonts w:ascii="Palatino Linotype" w:eastAsia="Palatino Linotype" w:hAnsi="Palatino Linotype" w:cs="Palatino Linotype"/>
          <w:color w:val="000000" w:themeColor="text1"/>
        </w:rPr>
        <w:t xml:space="preserve">, </w:t>
      </w:r>
      <w:r w:rsidRPr="009470CF">
        <w:rPr>
          <w:rFonts w:ascii="Palatino Linotype" w:eastAsia="Palatino Linotype" w:hAnsi="Palatino Linotype" w:cs="Palatino Linotype"/>
          <w:color w:val="000000" w:themeColor="text1"/>
        </w:rPr>
        <w:t xml:space="preserve">a quien en lo sucesivo se le identificará como </w:t>
      </w:r>
      <w:r w:rsidRPr="009470CF">
        <w:rPr>
          <w:rFonts w:ascii="Palatino Linotype" w:eastAsia="Palatino Linotype" w:hAnsi="Palatino Linotype" w:cs="Palatino Linotype"/>
          <w:b/>
          <w:bCs/>
          <w:color w:val="000000" w:themeColor="text1"/>
        </w:rPr>
        <w:t>EL RECURRENTE</w:t>
      </w:r>
      <w:r w:rsidRPr="009470CF">
        <w:rPr>
          <w:rFonts w:ascii="Palatino Linotype" w:eastAsia="Palatino Linotype" w:hAnsi="Palatino Linotype" w:cs="Palatino Linotype"/>
          <w:color w:val="000000" w:themeColor="text1"/>
        </w:rPr>
        <w:t xml:space="preserve">, en contra de la respuesta del </w:t>
      </w:r>
      <w:r w:rsidRPr="009470CF">
        <w:rPr>
          <w:rFonts w:ascii="Palatino Linotype" w:eastAsia="Palatino Linotype" w:hAnsi="Palatino Linotype" w:cs="Palatino Linotype"/>
          <w:b/>
          <w:bCs/>
          <w:color w:val="000000" w:themeColor="text1"/>
        </w:rPr>
        <w:t>Ayuntamiento de Tezoyuca</w:t>
      </w:r>
      <w:r w:rsidR="00586E50">
        <w:rPr>
          <w:rFonts w:ascii="Palatino Linotype" w:eastAsia="Palatino Linotype" w:hAnsi="Palatino Linotype" w:cs="Palatino Linotype"/>
          <w:b/>
          <w:bCs/>
          <w:color w:val="000000" w:themeColor="text1"/>
        </w:rPr>
        <w:t>,</w:t>
      </w:r>
      <w:r w:rsidRPr="009470CF">
        <w:rPr>
          <w:rFonts w:ascii="Palatino Linotype" w:eastAsia="Palatino Linotype" w:hAnsi="Palatino Linotype" w:cs="Palatino Linotype"/>
          <w:b/>
          <w:bCs/>
          <w:color w:val="000000" w:themeColor="text1"/>
        </w:rPr>
        <w:t xml:space="preserve"> </w:t>
      </w:r>
      <w:r w:rsidRPr="009470CF">
        <w:rPr>
          <w:rFonts w:ascii="Palatino Linotype" w:eastAsia="Palatino Linotype" w:hAnsi="Palatino Linotype" w:cs="Palatino Linotype"/>
          <w:color w:val="000000" w:themeColor="text1"/>
        </w:rPr>
        <w:t xml:space="preserve">en </w:t>
      </w:r>
      <w:r w:rsidR="00FE10B9">
        <w:rPr>
          <w:rFonts w:ascii="Palatino Linotype" w:eastAsia="Palatino Linotype" w:hAnsi="Palatino Linotype" w:cs="Palatino Linotype"/>
          <w:color w:val="000000" w:themeColor="text1"/>
        </w:rPr>
        <w:t>adelante</w:t>
      </w:r>
      <w:r w:rsidRPr="009470CF">
        <w:rPr>
          <w:rFonts w:ascii="Palatino Linotype" w:eastAsia="Palatino Linotype" w:hAnsi="Palatino Linotype" w:cs="Palatino Linotype"/>
          <w:color w:val="000000" w:themeColor="text1"/>
        </w:rPr>
        <w:t xml:space="preserve"> el</w:t>
      </w:r>
      <w:r w:rsidRPr="009470CF">
        <w:rPr>
          <w:rFonts w:ascii="Palatino Linotype" w:eastAsia="Palatino Linotype" w:hAnsi="Palatino Linotype" w:cs="Palatino Linotype"/>
          <w:b/>
          <w:bCs/>
          <w:color w:val="000000" w:themeColor="text1"/>
        </w:rPr>
        <w:t xml:space="preserve"> SUJETO OBLIGADO</w:t>
      </w:r>
      <w:r w:rsidRPr="009470CF">
        <w:rPr>
          <w:rFonts w:ascii="Palatino Linotype" w:eastAsia="Palatino Linotype" w:hAnsi="Palatino Linotype" w:cs="Palatino Linotype"/>
          <w:color w:val="000000" w:themeColor="text1"/>
        </w:rPr>
        <w:t>, se procede a dictar la presente resolución, con base en los siguientes:</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Default="00144B5A" w:rsidP="009470CF">
      <w:pPr>
        <w:pStyle w:val="Ttulo1"/>
        <w:spacing w:before="0" w:line="360" w:lineRule="auto"/>
        <w:jc w:val="center"/>
        <w:rPr>
          <w:color w:val="000000" w:themeColor="text1"/>
        </w:rPr>
      </w:pPr>
      <w:bookmarkStart w:id="1" w:name="_heading=h.k05nxvz77vuw" w:colFirst="0" w:colLast="0"/>
      <w:bookmarkEnd w:id="1"/>
      <w:r w:rsidRPr="009470CF">
        <w:rPr>
          <w:color w:val="000000" w:themeColor="text1"/>
        </w:rPr>
        <w:t>A</w:t>
      </w:r>
      <w:r w:rsidR="00FE10B9">
        <w:rPr>
          <w:color w:val="000000" w:themeColor="text1"/>
        </w:rPr>
        <w:t xml:space="preserve"> </w:t>
      </w:r>
      <w:r w:rsidRPr="009470CF">
        <w:rPr>
          <w:color w:val="000000" w:themeColor="text1"/>
        </w:rPr>
        <w:t>N</w:t>
      </w:r>
      <w:r w:rsidR="00FE10B9">
        <w:rPr>
          <w:color w:val="000000" w:themeColor="text1"/>
        </w:rPr>
        <w:t xml:space="preserve"> </w:t>
      </w:r>
      <w:r w:rsidRPr="009470CF">
        <w:rPr>
          <w:color w:val="000000" w:themeColor="text1"/>
        </w:rPr>
        <w:t>T</w:t>
      </w:r>
      <w:r w:rsidR="00FE10B9">
        <w:rPr>
          <w:color w:val="000000" w:themeColor="text1"/>
        </w:rPr>
        <w:t xml:space="preserve"> </w:t>
      </w:r>
      <w:r w:rsidRPr="009470CF">
        <w:rPr>
          <w:color w:val="000000" w:themeColor="text1"/>
        </w:rPr>
        <w:t>E</w:t>
      </w:r>
      <w:r w:rsidR="00FE10B9">
        <w:rPr>
          <w:color w:val="000000" w:themeColor="text1"/>
        </w:rPr>
        <w:t xml:space="preserve"> </w:t>
      </w:r>
      <w:r w:rsidRPr="009470CF">
        <w:rPr>
          <w:color w:val="000000" w:themeColor="text1"/>
        </w:rPr>
        <w:t>C</w:t>
      </w:r>
      <w:r w:rsidR="00FE10B9">
        <w:rPr>
          <w:color w:val="000000" w:themeColor="text1"/>
        </w:rPr>
        <w:t xml:space="preserve"> </w:t>
      </w:r>
      <w:r w:rsidRPr="009470CF">
        <w:rPr>
          <w:color w:val="000000" w:themeColor="text1"/>
        </w:rPr>
        <w:t>E</w:t>
      </w:r>
      <w:r w:rsidR="00FE10B9">
        <w:rPr>
          <w:color w:val="000000" w:themeColor="text1"/>
        </w:rPr>
        <w:t xml:space="preserve"> </w:t>
      </w:r>
      <w:r w:rsidRPr="009470CF">
        <w:rPr>
          <w:color w:val="000000" w:themeColor="text1"/>
        </w:rPr>
        <w:t>D</w:t>
      </w:r>
      <w:r w:rsidR="00FE10B9">
        <w:rPr>
          <w:color w:val="000000" w:themeColor="text1"/>
        </w:rPr>
        <w:t xml:space="preserve"> </w:t>
      </w:r>
      <w:r w:rsidRPr="009470CF">
        <w:rPr>
          <w:color w:val="000000" w:themeColor="text1"/>
        </w:rPr>
        <w:t>E</w:t>
      </w:r>
      <w:r w:rsidR="00FE10B9">
        <w:rPr>
          <w:color w:val="000000" w:themeColor="text1"/>
        </w:rPr>
        <w:t xml:space="preserve"> </w:t>
      </w:r>
      <w:r w:rsidRPr="009470CF">
        <w:rPr>
          <w:color w:val="000000" w:themeColor="text1"/>
        </w:rPr>
        <w:t>N</w:t>
      </w:r>
      <w:r w:rsidR="00FE10B9">
        <w:rPr>
          <w:color w:val="000000" w:themeColor="text1"/>
        </w:rPr>
        <w:t xml:space="preserve"> </w:t>
      </w:r>
      <w:r w:rsidRPr="009470CF">
        <w:rPr>
          <w:color w:val="000000" w:themeColor="text1"/>
        </w:rPr>
        <w:t>T</w:t>
      </w:r>
      <w:r w:rsidR="00FE10B9">
        <w:rPr>
          <w:color w:val="000000" w:themeColor="text1"/>
        </w:rPr>
        <w:t xml:space="preserve"> </w:t>
      </w:r>
      <w:r w:rsidRPr="009470CF">
        <w:rPr>
          <w:color w:val="000000" w:themeColor="text1"/>
        </w:rPr>
        <w:t>E</w:t>
      </w:r>
      <w:r w:rsidR="00FE10B9">
        <w:rPr>
          <w:color w:val="000000" w:themeColor="text1"/>
        </w:rPr>
        <w:t xml:space="preserve"> </w:t>
      </w:r>
      <w:r w:rsidRPr="009470CF">
        <w:rPr>
          <w:color w:val="000000" w:themeColor="text1"/>
        </w:rPr>
        <w:t>S</w:t>
      </w:r>
    </w:p>
    <w:p w:rsidR="00FE10B9" w:rsidRPr="00FE10B9" w:rsidRDefault="00FE10B9" w:rsidP="00FE10B9"/>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El </w:t>
      </w:r>
      <w:r w:rsidRPr="009470CF">
        <w:rPr>
          <w:rFonts w:ascii="Palatino Linotype" w:eastAsia="Palatino Linotype" w:hAnsi="Palatino Linotype" w:cs="Palatino Linotype"/>
          <w:b/>
          <w:bCs/>
          <w:color w:val="000000" w:themeColor="text1"/>
        </w:rPr>
        <w:t xml:space="preserve">veintidós de agosto de dos mil veinticinco, </w:t>
      </w:r>
      <w:r w:rsidRPr="009470CF">
        <w:rPr>
          <w:rFonts w:ascii="Palatino Linotype" w:eastAsia="Palatino Linotype" w:hAnsi="Palatino Linotype" w:cs="Palatino Linotype"/>
          <w:color w:val="000000" w:themeColor="text1"/>
        </w:rPr>
        <w:t xml:space="preserve">se presentó ante el </w:t>
      </w:r>
      <w:r w:rsidRPr="009470CF">
        <w:rPr>
          <w:rFonts w:ascii="Palatino Linotype" w:eastAsia="Palatino Linotype" w:hAnsi="Palatino Linotype" w:cs="Palatino Linotype"/>
          <w:b/>
          <w:bCs/>
          <w:color w:val="000000" w:themeColor="text1"/>
        </w:rPr>
        <w:t>SUJETO OBLIGADO</w:t>
      </w:r>
      <w:r w:rsidRPr="009470CF">
        <w:rPr>
          <w:rFonts w:ascii="Palatino Linotype" w:eastAsia="Palatino Linotype" w:hAnsi="Palatino Linotype" w:cs="Palatino Linotype"/>
          <w:color w:val="000000" w:themeColor="text1"/>
        </w:rPr>
        <w:t xml:space="preserve"> vía SAIMEX, la solicitud de información pública registrada con el número</w:t>
      </w:r>
      <w:r w:rsidRPr="009470CF">
        <w:rPr>
          <w:rFonts w:ascii="Palatino Linotype" w:eastAsia="Palatino Linotype" w:hAnsi="Palatino Linotype" w:cs="Palatino Linotype"/>
          <w:b/>
          <w:bCs/>
          <w:color w:val="000000" w:themeColor="text1"/>
        </w:rPr>
        <w:t xml:space="preserve"> 00077/TEZOYUCA/IP/2025; </w:t>
      </w:r>
      <w:r w:rsidR="00FE10B9">
        <w:rPr>
          <w:rFonts w:ascii="Palatino Linotype" w:eastAsia="Palatino Linotype" w:hAnsi="Palatino Linotype" w:cs="Palatino Linotype"/>
          <w:color w:val="000000" w:themeColor="text1"/>
        </w:rPr>
        <w:t>en la que</w:t>
      </w:r>
      <w:r w:rsidRPr="009470CF">
        <w:rPr>
          <w:rFonts w:ascii="Palatino Linotype" w:eastAsia="Palatino Linotype" w:hAnsi="Palatino Linotype" w:cs="Palatino Linotype"/>
          <w:color w:val="000000" w:themeColor="text1"/>
        </w:rPr>
        <w:t xml:space="preserve"> se solicitó la siguiente información:</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w:t>
      </w:r>
      <w:r w:rsidRPr="009470CF">
        <w:rPr>
          <w:rFonts w:ascii="Palatino Linotype" w:eastAsia="Palatino Linotype" w:hAnsi="Palatino Linotype" w:cs="Palatino Linotype"/>
          <w:i/>
          <w:iCs/>
          <w:color w:val="000000" w:themeColor="text1"/>
        </w:rPr>
        <w:tab/>
        <w:t>Solicito todo el proceso de adjudicación mediante la compra de papelería de los años 2022 a 2025, así mismo todos los contratos o convenios realizados para la compra de papelería. Solicito la información vía saimex.” (Sic</w:t>
      </w:r>
      <w:r w:rsidRPr="009470CF">
        <w:rPr>
          <w:rFonts w:ascii="Palatino Linotype" w:eastAsia="Palatino Linotype" w:hAnsi="Palatino Linotype" w:cs="Palatino Linotype"/>
          <w:color w:val="000000" w:themeColor="text1"/>
        </w:rPr>
        <w:t>)</w:t>
      </w:r>
    </w:p>
    <w:p w:rsidR="00C11CCF" w:rsidRPr="009470CF" w:rsidRDefault="00C11CCF" w:rsidP="009470CF">
      <w:pPr>
        <w:pBdr>
          <w:top w:val="nil"/>
          <w:left w:val="nil"/>
          <w:bottom w:val="nil"/>
          <w:right w:val="nil"/>
          <w:between w:val="nil"/>
        </w:pBdr>
        <w:jc w:val="both"/>
        <w:rPr>
          <w:rFonts w:ascii="Palatino Linotype" w:eastAsia="Palatino Linotype" w:hAnsi="Palatino Linotype" w:cs="Palatino Linotype"/>
          <w:color w:val="000000" w:themeColor="text1"/>
        </w:rPr>
      </w:pPr>
    </w:p>
    <w:p w:rsidR="00C11CCF" w:rsidRPr="009470CF" w:rsidRDefault="00144B5A" w:rsidP="009470CF">
      <w:pPr>
        <w:numPr>
          <w:ilvl w:val="0"/>
          <w:numId w:val="2"/>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Se eligió como modalidad de entrega de la información: A través del </w:t>
      </w:r>
      <w:r w:rsidRPr="009470CF">
        <w:rPr>
          <w:rFonts w:ascii="Palatino Linotype" w:eastAsia="Palatino Linotype" w:hAnsi="Palatino Linotype" w:cs="Palatino Linotype"/>
          <w:b/>
          <w:bCs/>
          <w:color w:val="000000" w:themeColor="text1"/>
        </w:rPr>
        <w:t>SAIMEX.</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C11CCF" w:rsidP="009470CF">
      <w:pPr>
        <w:tabs>
          <w:tab w:val="left" w:pos="0"/>
        </w:tabs>
        <w:jc w:val="right"/>
        <w:rPr>
          <w:rFonts w:ascii="Palatino Linotype" w:eastAsia="Palatino Linotype" w:hAnsi="Palatino Linotype" w:cs="Palatino Linotype"/>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color w:val="000000" w:themeColor="text1"/>
        </w:rPr>
        <w:t xml:space="preserve">El </w:t>
      </w:r>
      <w:r w:rsidRPr="009470CF">
        <w:rPr>
          <w:rFonts w:ascii="Palatino Linotype" w:eastAsia="Palatino Linotype" w:hAnsi="Palatino Linotype" w:cs="Palatino Linotype"/>
          <w:b/>
          <w:bCs/>
          <w:color w:val="000000" w:themeColor="text1"/>
        </w:rPr>
        <w:t xml:space="preserve">diez de septiembre de dos mil veinticinco, el SUJETO OBLIGADO, </w:t>
      </w:r>
      <w:r w:rsidRPr="009470CF">
        <w:rPr>
          <w:rFonts w:ascii="Palatino Linotype" w:eastAsia="Palatino Linotype" w:hAnsi="Palatino Linotype" w:cs="Palatino Linotype"/>
          <w:color w:val="000000" w:themeColor="text1"/>
        </w:rPr>
        <w:t>dio respuesta a través de los siguientes archivos:</w:t>
      </w:r>
    </w:p>
    <w:p w:rsidR="00C11CCF" w:rsidRPr="009470CF" w:rsidRDefault="00144B5A" w:rsidP="009470CF">
      <w:pPr>
        <w:pBdr>
          <w:top w:val="nil"/>
          <w:left w:val="nil"/>
          <w:bottom w:val="nil"/>
          <w:right w:val="nil"/>
          <w:between w:val="nil"/>
        </w:pBdr>
        <w:tabs>
          <w:tab w:val="left" w:pos="0"/>
        </w:tabs>
        <w:spacing w:line="360" w:lineRule="auto"/>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rPr>
        <w:lastRenderedPageBreak/>
        <w:t xml:space="preserve">00077.pdf: </w:t>
      </w:r>
      <w:r w:rsidRPr="009470CF">
        <w:rPr>
          <w:rFonts w:ascii="Palatino Linotype" w:eastAsia="Palatino Linotype" w:hAnsi="Palatino Linotype" w:cs="Palatino Linotype"/>
          <w:color w:val="000000" w:themeColor="text1"/>
        </w:rPr>
        <w:t>Oficio firmado por la Tesorera Municipal, por el que informó que:</w:t>
      </w:r>
    </w:p>
    <w:p w:rsidR="00C11CCF" w:rsidRPr="009470CF" w:rsidRDefault="00144B5A" w:rsidP="009470CF">
      <w:pPr>
        <w:pBdr>
          <w:top w:val="nil"/>
          <w:left w:val="nil"/>
          <w:bottom w:val="nil"/>
          <w:right w:val="nil"/>
          <w:between w:val="nil"/>
        </w:pBdr>
        <w:tabs>
          <w:tab w:val="left" w:pos="426"/>
        </w:tabs>
        <w:spacing w:line="276"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esta Tesorería a mi cargo no contamos con la información solicitada, en virtud de que no somos el área competente para llevar a cabo los contratos y/o convenios y procedimientos de adjudicación para la adquisición de papelería, lo anterior con fundamento en los artículos 95 de la Ley Orgánica Municipal del Estado de México y 125 del Bando Municipal de Tezoyuca Estado de México, motivo por el cual se sugiere remitir la solicitud de información al área competente.</w:t>
      </w:r>
    </w:p>
    <w:p w:rsidR="00C11CCF" w:rsidRPr="009470CF" w:rsidRDefault="00C11CCF" w:rsidP="009470CF">
      <w:pPr>
        <w:rPr>
          <w:rFonts w:ascii="Palatino Linotype" w:hAnsi="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color w:val="000000" w:themeColor="text1"/>
        </w:rPr>
        <w:t xml:space="preserve">Inconforme con lo anterior, el </w:t>
      </w:r>
      <w:r w:rsidRPr="009470CF">
        <w:rPr>
          <w:rFonts w:ascii="Palatino Linotype" w:eastAsia="Palatino Linotype" w:hAnsi="Palatino Linotype" w:cs="Palatino Linotype"/>
          <w:b/>
          <w:bCs/>
          <w:color w:val="000000" w:themeColor="text1"/>
        </w:rPr>
        <w:t>PARTICULAR</w:t>
      </w:r>
      <w:r w:rsidRPr="009470CF">
        <w:rPr>
          <w:rFonts w:ascii="Palatino Linotype" w:eastAsia="Palatino Linotype" w:hAnsi="Palatino Linotype" w:cs="Palatino Linotype"/>
          <w:color w:val="000000" w:themeColor="text1"/>
        </w:rPr>
        <w:t xml:space="preserve"> en fecha </w:t>
      </w:r>
      <w:r w:rsidRPr="009470CF">
        <w:rPr>
          <w:rFonts w:ascii="Palatino Linotype" w:eastAsia="Palatino Linotype" w:hAnsi="Palatino Linotype" w:cs="Palatino Linotype"/>
          <w:b/>
          <w:bCs/>
          <w:color w:val="000000" w:themeColor="text1"/>
        </w:rPr>
        <w:t xml:space="preserve">veintidós de septiembre de dos mil veinticinco, </w:t>
      </w:r>
      <w:r w:rsidRPr="009470CF">
        <w:rPr>
          <w:rFonts w:ascii="Palatino Linotype" w:eastAsia="Palatino Linotype" w:hAnsi="Palatino Linotype" w:cs="Palatino Linotype"/>
          <w:color w:val="000000" w:themeColor="text1"/>
        </w:rPr>
        <w:t>interpuso el recurso de revisión en contra de la respuesta, manifestando las siguientes razones o motivos de inconformidad:</w:t>
      </w:r>
    </w:p>
    <w:p w:rsidR="00C11CCF" w:rsidRPr="009470CF" w:rsidRDefault="00C11CCF" w:rsidP="009470CF">
      <w:pPr>
        <w:pBdr>
          <w:top w:val="nil"/>
          <w:left w:val="nil"/>
          <w:bottom w:val="nil"/>
          <w:right w:val="nil"/>
          <w:between w:val="nil"/>
        </w:pBdr>
        <w:tabs>
          <w:tab w:val="left" w:pos="709"/>
        </w:tabs>
        <w:jc w:val="both"/>
        <w:rPr>
          <w:rFonts w:ascii="Palatino Linotype" w:eastAsia="Palatino Linotype" w:hAnsi="Palatino Linotype" w:cs="Palatino Linotype"/>
          <w:i/>
          <w:iCs/>
          <w:color w:val="000000" w:themeColor="text1"/>
        </w:rPr>
      </w:pPr>
    </w:p>
    <w:p w:rsidR="00C11CCF" w:rsidRPr="009470CF" w:rsidRDefault="00FE10B9" w:rsidP="009470CF">
      <w:pPr>
        <w:numPr>
          <w:ilvl w:val="0"/>
          <w:numId w:val="2"/>
        </w:numPr>
        <w:pBdr>
          <w:top w:val="nil"/>
          <w:left w:val="nil"/>
          <w:bottom w:val="nil"/>
          <w:right w:val="nil"/>
          <w:between w:val="nil"/>
        </w:pBdr>
        <w:tabs>
          <w:tab w:val="left" w:pos="709"/>
        </w:tabs>
        <w:ind w:left="0" w:firstLine="0"/>
        <w:jc w:val="both"/>
        <w:rPr>
          <w:rFonts w:ascii="Palatino Linotype" w:eastAsia="Palatino Linotype" w:hAnsi="Palatino Linotype" w:cs="Palatino Linotype"/>
          <w:i/>
          <w:iCs/>
          <w:color w:val="000000" w:themeColor="text1"/>
        </w:rPr>
      </w:pPr>
      <w:bookmarkStart w:id="2" w:name="_heading=h.k83ulj44gnwb" w:colFirst="0" w:colLast="0"/>
      <w:bookmarkEnd w:id="2"/>
      <w:r w:rsidRPr="009470CF">
        <w:rPr>
          <w:rFonts w:ascii="Palatino Linotype" w:eastAsia="Palatino Linotype" w:hAnsi="Palatino Linotype" w:cs="Palatino Linotype"/>
          <w:b/>
          <w:bCs/>
          <w:color w:val="000000" w:themeColor="text1"/>
        </w:rPr>
        <w:t>ACTO IMPUGNADO</w:t>
      </w:r>
      <w:r w:rsidR="00144B5A" w:rsidRPr="009470CF">
        <w:rPr>
          <w:rFonts w:ascii="Palatino Linotype" w:eastAsia="Palatino Linotype" w:hAnsi="Palatino Linotype" w:cs="Palatino Linotype"/>
          <w:color w:val="000000" w:themeColor="text1"/>
        </w:rPr>
        <w:t xml:space="preserve">: </w:t>
      </w:r>
      <w:r w:rsidR="00144B5A" w:rsidRPr="009470CF">
        <w:rPr>
          <w:rFonts w:ascii="Palatino Linotype" w:eastAsia="Palatino Linotype" w:hAnsi="Palatino Linotype" w:cs="Palatino Linotype"/>
          <w:i/>
          <w:iCs/>
          <w:color w:val="000000" w:themeColor="text1"/>
        </w:rPr>
        <w:t>“</w:t>
      </w:r>
      <w:r w:rsidR="00144B5A" w:rsidRPr="009470CF">
        <w:rPr>
          <w:rFonts w:ascii="Palatino Linotype" w:eastAsia="Palatino Linotype" w:hAnsi="Palatino Linotype" w:cs="Palatino Linotype"/>
          <w:i/>
          <w:iCs/>
          <w:color w:val="000000" w:themeColor="text1"/>
        </w:rPr>
        <w:tab/>
        <w:t>No dio contestación a lo solicitado”</w:t>
      </w:r>
    </w:p>
    <w:p w:rsidR="00C11CCF" w:rsidRPr="009470CF" w:rsidRDefault="00C11CCF" w:rsidP="009470CF">
      <w:pPr>
        <w:tabs>
          <w:tab w:val="left" w:pos="709"/>
        </w:tabs>
        <w:jc w:val="both"/>
        <w:rPr>
          <w:rFonts w:ascii="Palatino Linotype" w:eastAsia="Palatino Linotype" w:hAnsi="Palatino Linotype" w:cs="Palatino Linotype"/>
          <w:i/>
          <w:iCs/>
          <w:color w:val="000000" w:themeColor="text1"/>
        </w:rPr>
      </w:pPr>
    </w:p>
    <w:p w:rsidR="00C11CCF" w:rsidRPr="009470CF" w:rsidRDefault="00FE10B9" w:rsidP="009470CF">
      <w:pPr>
        <w:numPr>
          <w:ilvl w:val="0"/>
          <w:numId w:val="2"/>
        </w:numPr>
        <w:pBdr>
          <w:top w:val="nil"/>
          <w:left w:val="nil"/>
          <w:bottom w:val="nil"/>
          <w:right w:val="nil"/>
          <w:between w:val="nil"/>
        </w:pBdr>
        <w:tabs>
          <w:tab w:val="left" w:pos="709"/>
        </w:tabs>
        <w:ind w:left="0" w:firstLine="0"/>
        <w:jc w:val="both"/>
        <w:rPr>
          <w:rFonts w:ascii="Palatino Linotype" w:eastAsia="Palatino Linotype" w:hAnsi="Palatino Linotype" w:cs="Palatino Linotype"/>
          <w:i/>
          <w:iCs/>
          <w:color w:val="000000" w:themeColor="text1"/>
        </w:rPr>
      </w:pPr>
      <w:bookmarkStart w:id="3" w:name="_heading=h.veejkg20znvx" w:colFirst="0" w:colLast="0"/>
      <w:bookmarkEnd w:id="3"/>
      <w:r w:rsidRPr="009470CF">
        <w:rPr>
          <w:rFonts w:ascii="Palatino Linotype" w:eastAsia="Palatino Linotype" w:hAnsi="Palatino Linotype" w:cs="Palatino Linotype"/>
          <w:b/>
          <w:bCs/>
          <w:color w:val="000000" w:themeColor="text1"/>
        </w:rPr>
        <w:t>RAZONES O MOTIVOS DE INCONFORMIDAD</w:t>
      </w:r>
      <w:r w:rsidR="00144B5A" w:rsidRPr="009470CF">
        <w:rPr>
          <w:rFonts w:ascii="Palatino Linotype" w:eastAsia="Palatino Linotype" w:hAnsi="Palatino Linotype" w:cs="Palatino Linotype"/>
          <w:b/>
          <w:bCs/>
          <w:color w:val="000000" w:themeColor="text1"/>
        </w:rPr>
        <w:t xml:space="preserve">: </w:t>
      </w:r>
      <w:r w:rsidR="00144B5A" w:rsidRPr="009470CF">
        <w:rPr>
          <w:rFonts w:ascii="Palatino Linotype" w:eastAsia="Palatino Linotype" w:hAnsi="Palatino Linotype" w:cs="Palatino Linotype"/>
          <w:i/>
          <w:iCs/>
          <w:color w:val="000000" w:themeColor="text1"/>
        </w:rPr>
        <w:t>“No dio contestación a lo solicitado”</w:t>
      </w:r>
    </w:p>
    <w:p w:rsidR="00C11CCF" w:rsidRPr="009470CF" w:rsidRDefault="00C11CCF" w:rsidP="009470CF">
      <w:pPr>
        <w:spacing w:line="360" w:lineRule="auto"/>
        <w:rPr>
          <w:rFonts w:ascii="Palatino Linotype" w:eastAsia="Palatino Linotype" w:hAnsi="Palatino Linotype" w:cs="Palatino Linotype"/>
          <w:color w:val="000000" w:themeColor="text1"/>
        </w:rPr>
      </w:pPr>
    </w:p>
    <w:p w:rsidR="00C11CCF" w:rsidRPr="00FE10B9" w:rsidRDefault="00FE10B9" w:rsidP="009470CF">
      <w:pPr>
        <w:numPr>
          <w:ilvl w:val="0"/>
          <w:numId w:val="1"/>
        </w:numPr>
        <w:spacing w:line="360" w:lineRule="auto"/>
        <w:ind w:left="0"/>
        <w:jc w:val="both"/>
        <w:rPr>
          <w:rFonts w:ascii="Palatino Linotype" w:eastAsia="Palatino Linotype" w:hAnsi="Palatino Linotype" w:cs="Palatino Linotype"/>
          <w:i/>
          <w:iCs/>
          <w:color w:val="000000" w:themeColor="text1"/>
        </w:rPr>
      </w:pPr>
      <w:r>
        <w:rPr>
          <w:rFonts w:ascii="Palatino Linotype" w:eastAsia="Palatino Linotype" w:hAnsi="Palatino Linotype" w:cs="Palatino Linotype"/>
          <w:color w:val="000000" w:themeColor="text1"/>
        </w:rPr>
        <w:t>La Comisionada p</w:t>
      </w:r>
      <w:r w:rsidR="00144B5A" w:rsidRPr="009470CF">
        <w:rPr>
          <w:rFonts w:ascii="Palatino Linotype" w:eastAsia="Palatino Linotype" w:hAnsi="Palatino Linotype" w:cs="Palatino Linotype"/>
          <w:color w:val="000000" w:themeColor="text1"/>
        </w:rPr>
        <w:t xml:space="preserve">onente con fundamento en lo dispuesto por el artículo 185 fracción II de la ley de la materia, a través del acuerdo de admisión notificad en fecha </w:t>
      </w:r>
      <w:r w:rsidR="00144B5A" w:rsidRPr="009470CF">
        <w:rPr>
          <w:rFonts w:ascii="Palatino Linotype" w:eastAsia="Palatino Linotype" w:hAnsi="Palatino Linotype" w:cs="Palatino Linotype"/>
          <w:b/>
          <w:bCs/>
          <w:color w:val="000000" w:themeColor="text1"/>
        </w:rPr>
        <w:t>veintitrés de septiembre de dos mil veintitrés</w:t>
      </w:r>
      <w:r w:rsidR="00144B5A" w:rsidRPr="009470CF">
        <w:rPr>
          <w:rFonts w:ascii="Palatino Linotype" w:eastAsia="Palatino Linotype" w:hAnsi="Palatino Linotype" w:cs="Palatino Linotype"/>
          <w:color w:val="000000" w:themeColor="text1"/>
        </w:rPr>
        <w:t xml:space="preserve">, puso a disposición de las partes el expediente electrónico vía </w:t>
      </w:r>
      <w:r w:rsidR="00144B5A" w:rsidRPr="009470CF">
        <w:rPr>
          <w:rFonts w:ascii="Palatino Linotype" w:eastAsia="Palatino Linotype" w:hAnsi="Palatino Linotype" w:cs="Palatino Linotype"/>
          <w:b/>
          <w:bCs/>
          <w:color w:val="000000" w:themeColor="text1"/>
        </w:rPr>
        <w:t xml:space="preserve">SAIMEX </w:t>
      </w:r>
      <w:r w:rsidR="00144B5A" w:rsidRPr="009470CF">
        <w:rPr>
          <w:rFonts w:ascii="Palatino Linotype" w:eastAsia="Palatino Linotype" w:hAnsi="Palatino Linotype" w:cs="Palatino Linotype"/>
          <w:color w:val="000000" w:themeColor="text1"/>
        </w:rPr>
        <w:t xml:space="preserve">a efecto de que en un plazo máximo de siete días manifestaran lo que a su derecho conviniera, ofrecieran pruebas y alegatos según corresponda a los casos concretos, y el </w:t>
      </w:r>
      <w:r w:rsidR="00144B5A" w:rsidRPr="009470CF">
        <w:rPr>
          <w:rFonts w:ascii="Palatino Linotype" w:eastAsia="Palatino Linotype" w:hAnsi="Palatino Linotype" w:cs="Palatino Linotype"/>
          <w:b/>
          <w:bCs/>
          <w:color w:val="000000" w:themeColor="text1"/>
        </w:rPr>
        <w:t>SUJETO OBLIGADO</w:t>
      </w:r>
      <w:r w:rsidR="00144B5A" w:rsidRPr="009470CF">
        <w:rPr>
          <w:rFonts w:ascii="Palatino Linotype" w:eastAsia="Palatino Linotype" w:hAnsi="Palatino Linotype" w:cs="Palatino Linotype"/>
          <w:color w:val="000000" w:themeColor="text1"/>
        </w:rPr>
        <w:t xml:space="preserve"> presentará el Informe Justificado procedente.</w:t>
      </w:r>
      <w:r>
        <w:rPr>
          <w:rFonts w:ascii="Palatino Linotype" w:eastAsia="Palatino Linotype" w:hAnsi="Palatino Linotype" w:cs="Palatino Linotype"/>
          <w:color w:val="000000" w:themeColor="text1"/>
        </w:rPr>
        <w:t xml:space="preserve"> </w:t>
      </w:r>
    </w:p>
    <w:p w:rsidR="00C11CCF" w:rsidRPr="009470CF" w:rsidRDefault="00C11CCF" w:rsidP="009470CF">
      <w:pPr>
        <w:rPr>
          <w:rFonts w:ascii="Palatino Linotype" w:hAnsi="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El </w:t>
      </w:r>
      <w:r w:rsidRPr="009470CF">
        <w:rPr>
          <w:rFonts w:ascii="Palatino Linotype" w:eastAsia="Palatino Linotype" w:hAnsi="Palatino Linotype" w:cs="Palatino Linotype"/>
          <w:b/>
          <w:bCs/>
          <w:color w:val="000000" w:themeColor="text1"/>
        </w:rPr>
        <w:t>SUJETO OBLIGADO</w:t>
      </w:r>
      <w:r w:rsidRPr="009470CF">
        <w:rPr>
          <w:rFonts w:ascii="Palatino Linotype" w:eastAsia="Palatino Linotype" w:hAnsi="Palatino Linotype" w:cs="Palatino Linotype"/>
          <w:color w:val="000000" w:themeColor="text1"/>
        </w:rPr>
        <w:t>, rindió el Informe Justificado correspondiente a través de los archivos siguientes:</w:t>
      </w:r>
    </w:p>
    <w:p w:rsidR="00C11CCF" w:rsidRPr="009470CF" w:rsidRDefault="00144B5A" w:rsidP="009470CF">
      <w:pPr>
        <w:numPr>
          <w:ilvl w:val="0"/>
          <w:numId w:val="9"/>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rPr>
        <w:t xml:space="preserve">00077.pdf: </w:t>
      </w:r>
      <w:r w:rsidRPr="009470CF">
        <w:rPr>
          <w:rFonts w:ascii="Palatino Linotype" w:eastAsia="Palatino Linotype" w:hAnsi="Palatino Linotype" w:cs="Palatino Linotype"/>
          <w:color w:val="000000" w:themeColor="text1"/>
        </w:rPr>
        <w:t>Oficio remitido en respuesta por la Tesorera.</w:t>
      </w:r>
    </w:p>
    <w:p w:rsidR="00C11CCF" w:rsidRPr="009470CF" w:rsidRDefault="00144B5A" w:rsidP="009470CF">
      <w:pPr>
        <w:numPr>
          <w:ilvl w:val="0"/>
          <w:numId w:val="9"/>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rPr>
        <w:lastRenderedPageBreak/>
        <w:t xml:space="preserve">Administracion..pdf: </w:t>
      </w:r>
      <w:r w:rsidRPr="009470CF">
        <w:rPr>
          <w:rFonts w:ascii="Palatino Linotype" w:eastAsia="Palatino Linotype" w:hAnsi="Palatino Linotype" w:cs="Palatino Linotype"/>
          <w:color w:val="000000" w:themeColor="text1"/>
        </w:rPr>
        <w:t>Oficio por el que la Directora de la Unidad de Transparencia, le solicitó a la Directora de Administración atienda la solicitud de información que nos ocupa.</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bookmarkStart w:id="4" w:name="_heading=h.c15wmrnb9b3w" w:colFirst="0" w:colLast="0"/>
      <w:bookmarkEnd w:id="4"/>
      <w:r w:rsidRPr="009470CF">
        <w:rPr>
          <w:rFonts w:ascii="Palatino Linotype" w:eastAsia="Palatino Linotype" w:hAnsi="Palatino Linotype" w:cs="Palatino Linotype"/>
          <w:color w:val="000000" w:themeColor="text1"/>
        </w:rPr>
        <w:t>El</w:t>
      </w:r>
      <w:r w:rsidRPr="009470CF">
        <w:rPr>
          <w:rFonts w:ascii="Palatino Linotype" w:eastAsia="Palatino Linotype" w:hAnsi="Palatino Linotype" w:cs="Palatino Linotype"/>
          <w:b/>
          <w:bCs/>
          <w:color w:val="000000" w:themeColor="text1"/>
        </w:rPr>
        <w:t xml:space="preserve"> PARTICULAR </w:t>
      </w:r>
      <w:r w:rsidRPr="009470CF">
        <w:rPr>
          <w:rFonts w:ascii="Palatino Linotype" w:eastAsia="Palatino Linotype" w:hAnsi="Palatino Linotype" w:cs="Palatino Linotype"/>
          <w:color w:val="000000" w:themeColor="text1"/>
        </w:rPr>
        <w:t>no realizo manifestaciones conforme a su derecho conviniera y asistiera.</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5A0970"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5A0970">
        <w:rPr>
          <w:rFonts w:ascii="Palatino Linotype" w:eastAsia="Palatino Linotype" w:hAnsi="Palatino Linotype" w:cs="Palatino Linotype"/>
          <w:color w:val="000000" w:themeColor="text1"/>
        </w:rPr>
        <w:t xml:space="preserve">El </w:t>
      </w:r>
      <w:r w:rsidR="005D42EA" w:rsidRPr="005A0970">
        <w:rPr>
          <w:rFonts w:ascii="Palatino Linotype" w:eastAsia="Palatino Linotype" w:hAnsi="Palatino Linotype" w:cs="Palatino Linotype"/>
          <w:b/>
          <w:bCs/>
          <w:color w:val="000000" w:themeColor="text1"/>
        </w:rPr>
        <w:t>veintiuno</w:t>
      </w:r>
      <w:r w:rsidRPr="005A0970">
        <w:rPr>
          <w:rFonts w:ascii="Palatino Linotype" w:eastAsia="Palatino Linotype" w:hAnsi="Palatino Linotype" w:cs="Palatino Linotype"/>
          <w:b/>
          <w:bCs/>
          <w:color w:val="000000" w:themeColor="text1"/>
        </w:rPr>
        <w:t xml:space="preserve"> de noviembre de dos mil veinticinco</w:t>
      </w:r>
      <w:r w:rsidRPr="005A0970">
        <w:rPr>
          <w:rFonts w:ascii="Palatino Linotype" w:eastAsia="Palatino Linotype" w:hAnsi="Palatino Linotype" w:cs="Palatino Linotype"/>
          <w:color w:val="000000" w:themeColor="text1"/>
        </w:rPr>
        <w:t xml:space="preserve">, se notificó el acuerdo mediante el cual se aprobó la ampliación de plazo para emitir resolución. </w:t>
      </w:r>
    </w:p>
    <w:p w:rsidR="00C11CCF" w:rsidRPr="005A0970" w:rsidRDefault="00C11CCF" w:rsidP="009470CF">
      <w:pPr>
        <w:spacing w:line="360" w:lineRule="auto"/>
        <w:jc w:val="both"/>
        <w:rPr>
          <w:rFonts w:ascii="Palatino Linotype" w:eastAsia="Palatino Linotype" w:hAnsi="Palatino Linotype" w:cs="Palatino Linotype"/>
          <w:color w:val="000000" w:themeColor="text1"/>
        </w:rPr>
      </w:pPr>
    </w:p>
    <w:p w:rsidR="00C11CCF" w:rsidRPr="005A0970" w:rsidRDefault="00144B5A" w:rsidP="009470CF">
      <w:pPr>
        <w:numPr>
          <w:ilvl w:val="0"/>
          <w:numId w:val="1"/>
        </w:numPr>
        <w:spacing w:line="360" w:lineRule="auto"/>
        <w:ind w:left="0"/>
        <w:jc w:val="both"/>
        <w:rPr>
          <w:rFonts w:ascii="Palatino Linotype" w:eastAsia="Palatino Linotype" w:hAnsi="Palatino Linotype" w:cs="Palatino Linotype"/>
          <w:b/>
          <w:bCs/>
          <w:color w:val="000000" w:themeColor="text1"/>
        </w:rPr>
      </w:pPr>
      <w:r w:rsidRPr="005A0970">
        <w:rPr>
          <w:rFonts w:ascii="Palatino Linotype" w:eastAsia="Palatino Linotype" w:hAnsi="Palatino Linotype" w:cs="Palatino Linotype"/>
          <w:color w:val="000000" w:themeColor="text1"/>
        </w:rPr>
        <w:t xml:space="preserve">Mediante acuerdo de </w:t>
      </w:r>
      <w:r w:rsidR="005D42EA" w:rsidRPr="005A0970">
        <w:rPr>
          <w:rFonts w:ascii="Palatino Linotype" w:eastAsia="Palatino Linotype" w:hAnsi="Palatino Linotype" w:cs="Palatino Linotype"/>
          <w:b/>
          <w:bCs/>
          <w:color w:val="000000" w:themeColor="text1"/>
        </w:rPr>
        <w:t>veinticinco</w:t>
      </w:r>
      <w:r w:rsidRPr="005A0970">
        <w:rPr>
          <w:rFonts w:ascii="Palatino Linotype" w:eastAsia="Palatino Linotype" w:hAnsi="Palatino Linotype" w:cs="Palatino Linotype"/>
          <w:b/>
          <w:bCs/>
          <w:color w:val="000000" w:themeColor="text1"/>
        </w:rPr>
        <w:t xml:space="preserve"> de noviembre de dos mil veinticinco</w:t>
      </w:r>
      <w:r w:rsidRPr="005A0970">
        <w:rPr>
          <w:rFonts w:ascii="Palatino Linotype" w:eastAsia="Palatino Linotype" w:hAnsi="Palatino Linotype" w:cs="Palatino Linotype"/>
          <w:color w:val="000000" w:themeColor="text1"/>
        </w:rPr>
        <w:t>, se  decretó el cierre de instrucción, por lo que no habiendo más que hacer constar, y</w:t>
      </w:r>
    </w:p>
    <w:p w:rsidR="00C11CCF" w:rsidRPr="005A0970" w:rsidRDefault="00C11CCF" w:rsidP="009470CF">
      <w:pPr>
        <w:pBdr>
          <w:top w:val="nil"/>
          <w:left w:val="nil"/>
          <w:bottom w:val="nil"/>
          <w:right w:val="nil"/>
          <w:between w:val="nil"/>
        </w:pBdr>
        <w:rPr>
          <w:rFonts w:ascii="Palatino Linotype" w:eastAsia="Palatino Linotype" w:hAnsi="Palatino Linotype" w:cs="Palatino Linotype"/>
          <w:b/>
          <w:bCs/>
          <w:color w:val="000000" w:themeColor="text1"/>
        </w:rPr>
      </w:pPr>
    </w:p>
    <w:p w:rsidR="00C11CCF" w:rsidRPr="005A0970"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C11CCF" w:rsidRPr="005A0970" w:rsidRDefault="00144B5A" w:rsidP="009470CF">
      <w:pPr>
        <w:pStyle w:val="Ttulo1"/>
        <w:spacing w:before="0" w:line="360" w:lineRule="auto"/>
        <w:jc w:val="center"/>
        <w:rPr>
          <w:color w:val="000000" w:themeColor="text1"/>
        </w:rPr>
      </w:pPr>
      <w:bookmarkStart w:id="5" w:name="_heading=h.wxhmb336jj7u" w:colFirst="0" w:colLast="0"/>
      <w:bookmarkEnd w:id="5"/>
      <w:r w:rsidRPr="005A0970">
        <w:rPr>
          <w:color w:val="000000" w:themeColor="text1"/>
        </w:rPr>
        <w:t>C</w:t>
      </w:r>
      <w:r w:rsidR="00FE10B9">
        <w:rPr>
          <w:color w:val="000000" w:themeColor="text1"/>
        </w:rPr>
        <w:t xml:space="preserve"> </w:t>
      </w:r>
      <w:r w:rsidRPr="005A0970">
        <w:rPr>
          <w:color w:val="000000" w:themeColor="text1"/>
        </w:rPr>
        <w:t>O</w:t>
      </w:r>
      <w:r w:rsidR="00FE10B9">
        <w:rPr>
          <w:color w:val="000000" w:themeColor="text1"/>
        </w:rPr>
        <w:t xml:space="preserve"> </w:t>
      </w:r>
      <w:r w:rsidRPr="005A0970">
        <w:rPr>
          <w:color w:val="000000" w:themeColor="text1"/>
        </w:rPr>
        <w:t>N</w:t>
      </w:r>
      <w:r w:rsidR="00FE10B9">
        <w:rPr>
          <w:color w:val="000000" w:themeColor="text1"/>
        </w:rPr>
        <w:t xml:space="preserve"> </w:t>
      </w:r>
      <w:r w:rsidRPr="005A0970">
        <w:rPr>
          <w:color w:val="000000" w:themeColor="text1"/>
        </w:rPr>
        <w:t>S</w:t>
      </w:r>
      <w:r w:rsidR="00FE10B9">
        <w:rPr>
          <w:color w:val="000000" w:themeColor="text1"/>
        </w:rPr>
        <w:t xml:space="preserve"> </w:t>
      </w:r>
      <w:r w:rsidRPr="005A0970">
        <w:rPr>
          <w:color w:val="000000" w:themeColor="text1"/>
        </w:rPr>
        <w:t>I</w:t>
      </w:r>
      <w:r w:rsidR="00FE10B9">
        <w:rPr>
          <w:color w:val="000000" w:themeColor="text1"/>
        </w:rPr>
        <w:t xml:space="preserve"> </w:t>
      </w:r>
      <w:r w:rsidRPr="005A0970">
        <w:rPr>
          <w:color w:val="000000" w:themeColor="text1"/>
        </w:rPr>
        <w:t>D</w:t>
      </w:r>
      <w:r w:rsidR="00FE10B9">
        <w:rPr>
          <w:color w:val="000000" w:themeColor="text1"/>
        </w:rPr>
        <w:t xml:space="preserve"> </w:t>
      </w:r>
      <w:r w:rsidRPr="005A0970">
        <w:rPr>
          <w:color w:val="000000" w:themeColor="text1"/>
        </w:rPr>
        <w:t>E</w:t>
      </w:r>
      <w:r w:rsidR="00FE10B9">
        <w:rPr>
          <w:color w:val="000000" w:themeColor="text1"/>
        </w:rPr>
        <w:t xml:space="preserve"> </w:t>
      </w:r>
      <w:r w:rsidRPr="005A0970">
        <w:rPr>
          <w:color w:val="000000" w:themeColor="text1"/>
        </w:rPr>
        <w:t>R</w:t>
      </w:r>
      <w:r w:rsidR="00FE10B9">
        <w:rPr>
          <w:color w:val="000000" w:themeColor="text1"/>
        </w:rPr>
        <w:t xml:space="preserve"> </w:t>
      </w:r>
      <w:r w:rsidRPr="005A0970">
        <w:rPr>
          <w:color w:val="000000" w:themeColor="text1"/>
        </w:rPr>
        <w:t>A</w:t>
      </w:r>
      <w:r w:rsidR="00FE10B9">
        <w:rPr>
          <w:color w:val="000000" w:themeColor="text1"/>
        </w:rPr>
        <w:t xml:space="preserve"> </w:t>
      </w:r>
      <w:r w:rsidRPr="005A0970">
        <w:rPr>
          <w:color w:val="000000" w:themeColor="text1"/>
        </w:rPr>
        <w:t>N</w:t>
      </w:r>
      <w:r w:rsidR="00FE10B9">
        <w:rPr>
          <w:color w:val="000000" w:themeColor="text1"/>
        </w:rPr>
        <w:t xml:space="preserve"> </w:t>
      </w:r>
      <w:r w:rsidRPr="005A0970">
        <w:rPr>
          <w:color w:val="000000" w:themeColor="text1"/>
        </w:rPr>
        <w:t>D</w:t>
      </w:r>
      <w:r w:rsidR="00FE10B9">
        <w:rPr>
          <w:color w:val="000000" w:themeColor="text1"/>
        </w:rPr>
        <w:t xml:space="preserve"> </w:t>
      </w:r>
      <w:r w:rsidRPr="005A0970">
        <w:rPr>
          <w:color w:val="000000" w:themeColor="text1"/>
        </w:rPr>
        <w:t>O</w:t>
      </w:r>
    </w:p>
    <w:p w:rsidR="00C11CCF" w:rsidRPr="005A0970" w:rsidRDefault="00C11CCF" w:rsidP="009470CF">
      <w:pPr>
        <w:spacing w:line="360" w:lineRule="auto"/>
        <w:rPr>
          <w:rFonts w:ascii="Palatino Linotype" w:eastAsia="Palatino Linotype" w:hAnsi="Palatino Linotype" w:cs="Palatino Linotype"/>
          <w:color w:val="000000" w:themeColor="text1"/>
        </w:rPr>
      </w:pPr>
    </w:p>
    <w:p w:rsidR="00C11CCF" w:rsidRPr="005A0970" w:rsidRDefault="00144B5A" w:rsidP="009470CF">
      <w:pPr>
        <w:pStyle w:val="Ttulo1"/>
        <w:spacing w:before="0" w:line="360" w:lineRule="auto"/>
        <w:rPr>
          <w:b w:val="0"/>
          <w:bCs w:val="0"/>
          <w:color w:val="000000" w:themeColor="text1"/>
        </w:rPr>
      </w:pPr>
      <w:bookmarkStart w:id="6" w:name="_heading=h.o1ydaqudsvyn" w:colFirst="0" w:colLast="0"/>
      <w:bookmarkEnd w:id="6"/>
      <w:r w:rsidRPr="005A0970">
        <w:rPr>
          <w:color w:val="000000" w:themeColor="text1"/>
        </w:rPr>
        <w:t>PRIMERO. De la competencia</w:t>
      </w:r>
    </w:p>
    <w:p w:rsidR="00C11CCF" w:rsidRPr="005A0970"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5A0970">
        <w:rPr>
          <w:rFonts w:ascii="Palatino Linotype" w:eastAsia="Palatino Linotype" w:hAnsi="Palatino Linotype" w:cs="Palatino Linotype"/>
          <w:color w:val="000000" w:themeColor="text1"/>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w:t>
      </w:r>
      <w:r w:rsidRPr="005A0970">
        <w:rPr>
          <w:rFonts w:ascii="Palatino Linotype" w:eastAsia="Palatino Linotype" w:hAnsi="Palatino Linotype" w:cs="Palatino Linotype"/>
          <w:color w:val="000000" w:themeColor="text1"/>
        </w:rPr>
        <w:lastRenderedPageBreak/>
        <w:t>Interior del Instituto de Transparencia, Acceso a la Información Pública y Protección de Datos Personales del Estado de México y Municipios..</w:t>
      </w:r>
    </w:p>
    <w:p w:rsidR="00C11CCF" w:rsidRPr="005A0970" w:rsidRDefault="00C11CCF" w:rsidP="009470C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C11CCF" w:rsidRPr="005A0970" w:rsidRDefault="00144B5A" w:rsidP="009470CF">
      <w:pPr>
        <w:pStyle w:val="Ttulo2"/>
        <w:spacing w:before="0" w:line="360" w:lineRule="auto"/>
        <w:rPr>
          <w:b w:val="0"/>
          <w:bCs w:val="0"/>
          <w:color w:val="000000" w:themeColor="text1"/>
        </w:rPr>
      </w:pPr>
      <w:bookmarkStart w:id="7" w:name="_heading=h.ahz3hde5lqdh" w:colFirst="0" w:colLast="0"/>
      <w:bookmarkEnd w:id="7"/>
      <w:r w:rsidRPr="005A0970">
        <w:rPr>
          <w:color w:val="000000" w:themeColor="text1"/>
        </w:rPr>
        <w:t>SEGUNDO. De la oportunidad y procedencia.</w:t>
      </w:r>
    </w:p>
    <w:p w:rsidR="00C11CCF" w:rsidRPr="005A0970"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5A0970">
        <w:rPr>
          <w:rFonts w:ascii="Palatino Linotype" w:eastAsia="Palatino Linotype" w:hAnsi="Palatino Linotype" w:cs="Palatino Linotype"/>
          <w:color w:val="000000" w:themeColor="text1"/>
        </w:rPr>
        <w:t xml:space="preserve">El medio de impugnación fue presentado a través del </w:t>
      </w:r>
      <w:r w:rsidRPr="005A0970">
        <w:rPr>
          <w:rFonts w:ascii="Palatino Linotype" w:eastAsia="Palatino Linotype" w:hAnsi="Palatino Linotype" w:cs="Palatino Linotype"/>
          <w:b/>
          <w:bCs/>
          <w:color w:val="000000" w:themeColor="text1"/>
        </w:rPr>
        <w:t>SAIMEX,</w:t>
      </w:r>
      <w:r w:rsidRPr="005A0970">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5A0970">
        <w:rPr>
          <w:rFonts w:ascii="Palatino Linotype" w:eastAsia="Palatino Linotype" w:hAnsi="Palatino Linotype" w:cs="Palatino Linotype"/>
          <w:b/>
          <w:bCs/>
          <w:color w:val="000000" w:themeColor="text1"/>
        </w:rPr>
        <w:t>SUJETO OBLIGADO</w:t>
      </w:r>
      <w:r w:rsidRPr="005A0970">
        <w:rPr>
          <w:rFonts w:ascii="Palatino Linotype" w:eastAsia="Palatino Linotype" w:hAnsi="Palatino Linotype" w:cs="Palatino Linotype"/>
          <w:color w:val="000000" w:themeColor="text1"/>
        </w:rPr>
        <w:t xml:space="preserve"> entregó su respuesta el </w:t>
      </w:r>
      <w:r w:rsidRPr="005A0970">
        <w:rPr>
          <w:rFonts w:ascii="Palatino Linotype" w:eastAsia="Palatino Linotype" w:hAnsi="Palatino Linotype" w:cs="Palatino Linotype"/>
          <w:b/>
          <w:bCs/>
          <w:color w:val="000000" w:themeColor="text1"/>
        </w:rPr>
        <w:t>diez de septiembre de dos mil veinticinco</w:t>
      </w:r>
      <w:r w:rsidRPr="005A0970">
        <w:rPr>
          <w:rFonts w:ascii="Palatino Linotype" w:eastAsia="Palatino Linotype" w:hAnsi="Palatino Linotype" w:cs="Palatino Linotype"/>
          <w:color w:val="000000" w:themeColor="text1"/>
        </w:rPr>
        <w:t xml:space="preserve">, de tal forma que el plazo para interponer el recurso de revisión transcurrió del </w:t>
      </w:r>
      <w:r w:rsidRPr="005A0970">
        <w:rPr>
          <w:rFonts w:ascii="Palatino Linotype" w:eastAsia="Palatino Linotype" w:hAnsi="Palatino Linotype" w:cs="Palatino Linotype"/>
          <w:b/>
          <w:bCs/>
          <w:color w:val="000000" w:themeColor="text1"/>
        </w:rPr>
        <w:t xml:space="preserve">once </w:t>
      </w:r>
      <w:r w:rsidR="005D42EA" w:rsidRPr="005A0970">
        <w:rPr>
          <w:rFonts w:ascii="Palatino Linotype" w:eastAsia="Palatino Linotype" w:hAnsi="Palatino Linotype" w:cs="Palatino Linotype"/>
          <w:b/>
          <w:bCs/>
          <w:color w:val="000000" w:themeColor="text1"/>
        </w:rPr>
        <w:t>de septiembre al dos de octubre</w:t>
      </w:r>
      <w:r w:rsidRPr="005A0970">
        <w:rPr>
          <w:rFonts w:ascii="Palatino Linotype" w:eastAsia="Palatino Linotype" w:hAnsi="Palatino Linotype" w:cs="Palatino Linotype"/>
          <w:b/>
          <w:bCs/>
          <w:color w:val="000000" w:themeColor="text1"/>
        </w:rPr>
        <w:t xml:space="preserve"> de dos mil veinticinco</w:t>
      </w:r>
      <w:r w:rsidRPr="005A0970">
        <w:rPr>
          <w:rFonts w:ascii="Palatino Linotype" w:eastAsia="Palatino Linotype" w:hAnsi="Palatino Linotype" w:cs="Palatino Linotype"/>
          <w:color w:val="000000" w:themeColor="text1"/>
        </w:rPr>
        <w:t xml:space="preserve">; en consecuencia, el ahora </w:t>
      </w:r>
      <w:r w:rsidRPr="005A0970">
        <w:rPr>
          <w:rFonts w:ascii="Palatino Linotype" w:eastAsia="Palatino Linotype" w:hAnsi="Palatino Linotype" w:cs="Palatino Linotype"/>
          <w:b/>
          <w:bCs/>
          <w:color w:val="000000" w:themeColor="text1"/>
        </w:rPr>
        <w:t>RECURRENTE</w:t>
      </w:r>
      <w:r w:rsidRPr="005A0970">
        <w:rPr>
          <w:rFonts w:ascii="Palatino Linotype" w:eastAsia="Palatino Linotype" w:hAnsi="Palatino Linotype" w:cs="Palatino Linotype"/>
          <w:color w:val="000000" w:themeColor="text1"/>
        </w:rPr>
        <w:t xml:space="preserve"> presentó su inconformidad el </w:t>
      </w:r>
      <w:r w:rsidR="005D42EA" w:rsidRPr="005A0970">
        <w:rPr>
          <w:rFonts w:ascii="Palatino Linotype" w:eastAsia="Palatino Linotype" w:hAnsi="Palatino Linotype" w:cs="Palatino Linotype"/>
          <w:b/>
          <w:bCs/>
          <w:color w:val="000000" w:themeColor="text1"/>
        </w:rPr>
        <w:t>veintidós de septiembre</w:t>
      </w:r>
      <w:r w:rsidRPr="005A0970">
        <w:rPr>
          <w:rFonts w:ascii="Palatino Linotype" w:eastAsia="Palatino Linotype" w:hAnsi="Palatino Linotype" w:cs="Palatino Linotype"/>
          <w:b/>
          <w:bCs/>
          <w:color w:val="000000" w:themeColor="text1"/>
        </w:rPr>
        <w:t xml:space="preserve"> de dos mil veinticinco</w:t>
      </w:r>
      <w:r w:rsidRPr="005A0970">
        <w:rPr>
          <w:rFonts w:ascii="Palatino Linotype" w:eastAsia="Palatino Linotype" w:hAnsi="Palatino Linotype" w:cs="Palatino Linotype"/>
          <w:color w:val="000000" w:themeColor="text1"/>
        </w:rPr>
        <w:t>; por lo que se estima que la inconformidad se presentó dentro del lapso legalmente establecido para tal efecto.</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pStyle w:val="Ttulo1"/>
        <w:spacing w:before="0" w:line="360" w:lineRule="auto"/>
        <w:rPr>
          <w:color w:val="000000" w:themeColor="text1"/>
        </w:rPr>
      </w:pPr>
      <w:r w:rsidRPr="009470CF">
        <w:rPr>
          <w:color w:val="000000" w:themeColor="text1"/>
        </w:rPr>
        <w:t xml:space="preserve">TERCERO. Del planteamiento de la </w:t>
      </w:r>
      <w:r w:rsidRPr="009470CF">
        <w:rPr>
          <w:i/>
          <w:iCs/>
          <w:color w:val="000000" w:themeColor="text1"/>
        </w:rPr>
        <w:t>Litis</w:t>
      </w:r>
      <w:r w:rsidRPr="009470CF">
        <w:rPr>
          <w:color w:val="000000" w:themeColor="text1"/>
        </w:rPr>
        <w:t>.</w:t>
      </w: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color w:val="000000" w:themeColor="text1"/>
        </w:rPr>
        <w:t>De las constancias en el expediente al rubro indicado, se desprende que la particular solicitó la información que a continuación se desagrega:</w:t>
      </w:r>
    </w:p>
    <w:p w:rsidR="00C11CCF" w:rsidRPr="009470CF" w:rsidRDefault="00144B5A" w:rsidP="009470CF">
      <w:pPr>
        <w:numPr>
          <w:ilvl w:val="0"/>
          <w:numId w:val="7"/>
        </w:numPr>
        <w:pBdr>
          <w:top w:val="nil"/>
          <w:left w:val="nil"/>
          <w:bottom w:val="nil"/>
          <w:right w:val="nil"/>
          <w:between w:val="nil"/>
        </w:pBdr>
        <w:ind w:left="0" w:firstLine="0"/>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b/>
          <w:bCs/>
          <w:color w:val="000000" w:themeColor="text1"/>
        </w:rPr>
        <w:t>Solicito todo el proceso de adjudicación mediante la compra de papelería de los años 2022 a 2025, así mismo todos los contratos o convenios realizados para la compra de papelería. Solicito la información vía saimex.</w:t>
      </w:r>
    </w:p>
    <w:p w:rsidR="00C11CCF" w:rsidRDefault="00C11CCF" w:rsidP="009470CF">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586E50" w:rsidRPr="009470CF" w:rsidRDefault="00586E50" w:rsidP="009470CF">
      <w:pPr>
        <w:pBdr>
          <w:top w:val="nil"/>
          <w:left w:val="nil"/>
          <w:bottom w:val="nil"/>
          <w:right w:val="nil"/>
          <w:between w:val="nil"/>
        </w:pBdr>
        <w:jc w:val="both"/>
        <w:rPr>
          <w:rFonts w:ascii="Palatino Linotype" w:eastAsia="Palatino Linotype" w:hAnsi="Palatino Linotype" w:cs="Palatino Linotype"/>
          <w:b/>
          <w:b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En respuesta, el </w:t>
      </w:r>
      <w:r w:rsidRPr="009470CF">
        <w:rPr>
          <w:rFonts w:ascii="Palatino Linotype" w:eastAsia="Palatino Linotype" w:hAnsi="Palatino Linotype" w:cs="Palatino Linotype"/>
          <w:b/>
          <w:bCs/>
          <w:color w:val="000000" w:themeColor="text1"/>
        </w:rPr>
        <w:t xml:space="preserve">SUJETO OBLIGADO </w:t>
      </w:r>
      <w:r w:rsidRPr="009470CF">
        <w:rPr>
          <w:rFonts w:ascii="Palatino Linotype" w:eastAsia="Palatino Linotype" w:hAnsi="Palatino Linotype" w:cs="Palatino Linotype"/>
          <w:color w:val="000000" w:themeColor="text1"/>
        </w:rPr>
        <w:t>dio respuesta como quedo referido en el numeral dos de la presente resolución.</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lastRenderedPageBreak/>
        <w:t xml:space="preserve">Inconforme con la respuesta proporcionada por el </w:t>
      </w:r>
      <w:r w:rsidRPr="009470CF">
        <w:rPr>
          <w:rFonts w:ascii="Palatino Linotype" w:eastAsia="Palatino Linotype" w:hAnsi="Palatino Linotype" w:cs="Palatino Linotype"/>
          <w:b/>
          <w:bCs/>
          <w:color w:val="000000" w:themeColor="text1"/>
        </w:rPr>
        <w:t xml:space="preserve">SUJETO OBLIGADO, </w:t>
      </w:r>
      <w:r w:rsidRPr="009470CF">
        <w:rPr>
          <w:rFonts w:ascii="Palatino Linotype" w:eastAsia="Palatino Linotype" w:hAnsi="Palatino Linotype" w:cs="Palatino Linotype"/>
          <w:color w:val="000000" w:themeColor="text1"/>
        </w:rPr>
        <w:t xml:space="preserve">este interpuso recurso de revisión arguyendo la negativa de la entrega de la información por el </w:t>
      </w:r>
      <w:r w:rsidRPr="009470CF">
        <w:rPr>
          <w:rFonts w:ascii="Palatino Linotype" w:eastAsia="Palatino Linotype" w:hAnsi="Palatino Linotype" w:cs="Palatino Linotype"/>
          <w:b/>
          <w:bCs/>
          <w:color w:val="000000" w:themeColor="text1"/>
        </w:rPr>
        <w:t>SUJETO OBLIGADO</w:t>
      </w:r>
    </w:p>
    <w:p w:rsidR="00C11CCF" w:rsidRPr="009470CF" w:rsidRDefault="00C11CCF" w:rsidP="009470CF">
      <w:pPr>
        <w:pBdr>
          <w:top w:val="nil"/>
          <w:left w:val="nil"/>
          <w:bottom w:val="nil"/>
          <w:right w:val="nil"/>
          <w:between w:val="nil"/>
        </w:pBdr>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En dichas condiciones, la </w:t>
      </w:r>
      <w:r w:rsidRPr="009470CF">
        <w:rPr>
          <w:rFonts w:ascii="Palatino Linotype" w:eastAsia="Palatino Linotype" w:hAnsi="Palatino Linotype" w:cs="Palatino Linotype"/>
          <w:i/>
          <w:iCs/>
          <w:color w:val="000000" w:themeColor="text1"/>
        </w:rPr>
        <w:t>Litis</w:t>
      </w:r>
      <w:r w:rsidRPr="009470CF">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9470CF">
        <w:rPr>
          <w:rFonts w:ascii="Palatino Linotype" w:eastAsia="Palatino Linotype" w:hAnsi="Palatino Linotype" w:cs="Palatino Linotype"/>
          <w:b/>
          <w:bCs/>
          <w:color w:val="000000" w:themeColor="text1"/>
        </w:rPr>
        <w:t xml:space="preserve">fracción I </w:t>
      </w:r>
      <w:r w:rsidRPr="009470CF">
        <w:rPr>
          <w:rFonts w:ascii="Palatino Linotype" w:eastAsia="Palatino Linotype" w:hAnsi="Palatino Linotype" w:cs="Palatino Linotype"/>
          <w:color w:val="000000" w:themeColor="text1"/>
        </w:rPr>
        <w:t>de la Ley</w:t>
      </w:r>
      <w:r w:rsidRPr="009470CF">
        <w:rPr>
          <w:rFonts w:ascii="Palatino Linotype" w:eastAsia="Palatino Linotype" w:hAnsi="Palatino Linotype" w:cs="Palatino Linotype"/>
          <w:b/>
          <w:bCs/>
          <w:color w:val="000000" w:themeColor="text1"/>
        </w:rPr>
        <w:t xml:space="preserve"> de Transparencia y Acceso a la Información Pública del Estado de </w:t>
      </w:r>
      <w:r w:rsidRPr="009470CF">
        <w:rPr>
          <w:rFonts w:ascii="Palatino Linotype" w:eastAsia="Palatino Linotype" w:hAnsi="Palatino Linotype" w:cs="Palatino Linotype"/>
          <w:color w:val="000000" w:themeColor="text1"/>
        </w:rPr>
        <w:t>México</w:t>
      </w:r>
      <w:r w:rsidRPr="009470CF">
        <w:rPr>
          <w:rFonts w:ascii="Palatino Linotype" w:eastAsia="Palatino Linotype" w:hAnsi="Palatino Linotype" w:cs="Palatino Linotype"/>
          <w:b/>
          <w:bCs/>
          <w:color w:val="000000" w:themeColor="text1"/>
        </w:rPr>
        <w:t xml:space="preserve"> y Municipios</w:t>
      </w:r>
      <w:r w:rsidRPr="009470CF">
        <w:rPr>
          <w:rFonts w:ascii="Palatino Linotype" w:eastAsia="Palatino Linotype" w:hAnsi="Palatino Linotype" w:cs="Palatino Linotype"/>
          <w:color w:val="000000" w:themeColor="text1"/>
        </w:rPr>
        <w:t xml:space="preserve">; fracción que determina la hipótesis jurídica relativa a I. La negativa a la información solicitada; contexto del cual se dolió </w:t>
      </w:r>
      <w:r w:rsidRPr="009470CF">
        <w:rPr>
          <w:rFonts w:ascii="Palatino Linotype" w:eastAsia="Palatino Linotype" w:hAnsi="Palatino Linotype" w:cs="Palatino Linotype"/>
          <w:b/>
          <w:bCs/>
          <w:color w:val="000000" w:themeColor="text1"/>
        </w:rPr>
        <w:t xml:space="preserve">EL RECURRENTE </w:t>
      </w:r>
      <w:r w:rsidRPr="009470CF">
        <w:rPr>
          <w:rFonts w:ascii="Palatino Linotype" w:eastAsia="Palatino Linotype" w:hAnsi="Palatino Linotype" w:cs="Palatino Linotype"/>
          <w:color w:val="000000" w:themeColor="text1"/>
        </w:rPr>
        <w:t>al momento de interponer su inconformidad.</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De modo tal que el presente recurso de revisión se abocara en determinar si el </w:t>
      </w:r>
      <w:r w:rsidRPr="009470CF">
        <w:rPr>
          <w:rFonts w:ascii="Palatino Linotype" w:eastAsia="Palatino Linotype" w:hAnsi="Palatino Linotype" w:cs="Palatino Linotype"/>
          <w:b/>
          <w:bCs/>
          <w:color w:val="000000" w:themeColor="text1"/>
        </w:rPr>
        <w:t>SUJETO OBLIGADO</w:t>
      </w:r>
      <w:r w:rsidRPr="009470CF">
        <w:rPr>
          <w:rFonts w:ascii="Palatino Linotype" w:eastAsia="Palatino Linotype" w:hAnsi="Palatino Linotype" w:cs="Palatino Linotype"/>
          <w:color w:val="000000" w:themeColor="text1"/>
        </w:rPr>
        <w:t xml:space="preserve"> con su respuesta ciertamente actualizan las causales de procedencia</w:t>
      </w:r>
      <w:r w:rsidRPr="009470CF">
        <w:rPr>
          <w:rFonts w:ascii="Palatino Linotype" w:eastAsia="Palatino Linotype" w:hAnsi="Palatino Linotype" w:cs="Palatino Linotype"/>
          <w:b/>
          <w:bCs/>
          <w:color w:val="000000" w:themeColor="text1"/>
        </w:rPr>
        <w:t xml:space="preserve"> </w:t>
      </w:r>
      <w:r w:rsidRPr="009470CF">
        <w:rPr>
          <w:rFonts w:ascii="Palatino Linotype" w:eastAsia="Palatino Linotype" w:hAnsi="Palatino Linotype" w:cs="Palatino Linotype"/>
          <w:color w:val="000000" w:themeColor="text1"/>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C11CCF" w:rsidRPr="009470CF" w:rsidRDefault="00C11CCF" w:rsidP="009470C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themeColor="text1"/>
        </w:rPr>
      </w:pPr>
    </w:p>
    <w:p w:rsidR="00C11CCF" w:rsidRPr="009470CF" w:rsidRDefault="00144B5A" w:rsidP="009470CF">
      <w:pPr>
        <w:pStyle w:val="Ttulo1"/>
        <w:spacing w:before="0" w:line="360" w:lineRule="auto"/>
        <w:rPr>
          <w:b w:val="0"/>
          <w:bCs w:val="0"/>
          <w:color w:val="000000" w:themeColor="text1"/>
        </w:rPr>
      </w:pPr>
      <w:r w:rsidRPr="009470CF">
        <w:rPr>
          <w:color w:val="000000" w:themeColor="text1"/>
        </w:rPr>
        <w:t>CUARTO. Del estudio y resolución del asunto.</w:t>
      </w: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Acotada la </w:t>
      </w:r>
      <w:r w:rsidRPr="009470CF">
        <w:rPr>
          <w:rFonts w:ascii="Palatino Linotype" w:eastAsia="Palatino Linotype" w:hAnsi="Palatino Linotype" w:cs="Palatino Linotype"/>
          <w:i/>
          <w:iCs/>
          <w:color w:val="000000" w:themeColor="text1"/>
        </w:rPr>
        <w:t>Litis</w:t>
      </w:r>
      <w:r w:rsidRPr="009470CF">
        <w:rPr>
          <w:rFonts w:ascii="Palatino Linotype" w:eastAsia="Palatino Linotype" w:hAnsi="Palatino Linotype" w:cs="Palatino Linotype"/>
          <w:color w:val="000000" w:themeColor="text1"/>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w:t>
      </w:r>
      <w:r w:rsidRPr="009470CF">
        <w:rPr>
          <w:rFonts w:ascii="Palatino Linotype" w:eastAsia="Palatino Linotype" w:hAnsi="Palatino Linotype" w:cs="Palatino Linotype"/>
          <w:color w:val="000000" w:themeColor="text1"/>
        </w:rPr>
        <w:lastRenderedPageBreak/>
        <w:t>apartado A), fracción I de la Constitución Política de los Estados Unidos Mexicanos, el cual establece que toda la información en posesión de cualquier autoridad es pública y sólo podrá ser reservada temporalmente por razones de interés público.</w:t>
      </w:r>
    </w:p>
    <w:p w:rsidR="00C11CCF" w:rsidRPr="009470CF" w:rsidRDefault="00C11CCF" w:rsidP="009470C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C11CCF" w:rsidRPr="009470CF" w:rsidRDefault="00C11CCF" w:rsidP="009470C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Finalmente, es relevante mencionar que el artículo 19 del ordenamiento local de la materia señala que se presume que la información debe existir si se refiere a las facultades, competencias y funciones que los ordenamientos jurídicos aplicables otorgan a los sujetos </w:t>
      </w:r>
      <w:r w:rsidRPr="009470CF">
        <w:rPr>
          <w:rFonts w:ascii="Palatino Linotype" w:eastAsia="Palatino Linotype" w:hAnsi="Palatino Linotype" w:cs="Palatino Linotype"/>
          <w:color w:val="000000" w:themeColor="text1"/>
        </w:rPr>
        <w:lastRenderedPageBreak/>
        <w:t>obligados y en caso de que dichas facultades no se hayan ejercido, se deberá motivar la respuesta en función de las causas que motivaron tal circunstancia.</w:t>
      </w:r>
    </w:p>
    <w:p w:rsidR="00C11CCF" w:rsidRPr="009470CF" w:rsidRDefault="00C11CCF" w:rsidP="009470CF">
      <w:pPr>
        <w:spacing w:line="360" w:lineRule="auto"/>
        <w:rPr>
          <w:rFonts w:ascii="Palatino Linotype" w:eastAsia="Palatino Linotype" w:hAnsi="Palatino Linotype" w:cs="Palatino Linotype"/>
          <w:color w:val="000000" w:themeColor="text1"/>
        </w:rPr>
      </w:pPr>
    </w:p>
    <w:p w:rsidR="00C11CCF" w:rsidRPr="009470CF" w:rsidRDefault="00144B5A" w:rsidP="009470CF">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b/>
          <w:bCs/>
          <w:color w:val="000000" w:themeColor="text1"/>
        </w:rPr>
        <w:t>Estudio de fondo</w:t>
      </w: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Acotada la </w:t>
      </w:r>
      <w:r w:rsidRPr="009470CF">
        <w:rPr>
          <w:rFonts w:ascii="Palatino Linotype" w:eastAsia="Palatino Linotype" w:hAnsi="Palatino Linotype" w:cs="Palatino Linotype"/>
          <w:i/>
          <w:iCs/>
          <w:color w:val="000000" w:themeColor="text1"/>
        </w:rPr>
        <w:t>Litis</w:t>
      </w:r>
      <w:r w:rsidRPr="009470CF">
        <w:rPr>
          <w:rFonts w:ascii="Palatino Linotype" w:eastAsia="Palatino Linotype" w:hAnsi="Palatino Linotype" w:cs="Palatino Linotype"/>
          <w:color w:val="000000" w:themeColor="text1"/>
        </w:rPr>
        <w:t xml:space="preserve"> del presente asunto, a efecto de poder determinar su la respuesta proporcionada por el </w:t>
      </w:r>
      <w:r w:rsidRPr="009470CF">
        <w:rPr>
          <w:rFonts w:ascii="Palatino Linotype" w:eastAsia="Palatino Linotype" w:hAnsi="Palatino Linotype" w:cs="Palatino Linotype"/>
          <w:b/>
          <w:bCs/>
          <w:color w:val="000000" w:themeColor="text1"/>
        </w:rPr>
        <w:t xml:space="preserve">SUJETO OBLIGADO, </w:t>
      </w:r>
      <w:r w:rsidRPr="009470CF">
        <w:rPr>
          <w:rFonts w:ascii="Palatino Linotype" w:eastAsia="Palatino Linotype" w:hAnsi="Palatino Linotype" w:cs="Palatino Linotype"/>
          <w:color w:val="000000" w:themeColor="text1"/>
        </w:rPr>
        <w:t xml:space="preserve">resulta suficiente para temer por colmada la solicitud de información que nos ocupa, o si por el contrario resultan fundados los motivos de inconformidad hechos valer por el ahora </w:t>
      </w:r>
      <w:r w:rsidRPr="009470CF">
        <w:rPr>
          <w:rFonts w:ascii="Palatino Linotype" w:eastAsia="Palatino Linotype" w:hAnsi="Palatino Linotype" w:cs="Palatino Linotype"/>
          <w:b/>
          <w:bCs/>
          <w:color w:val="000000" w:themeColor="text1"/>
        </w:rPr>
        <w:t>RECURRENTE.</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Previo a entrar al fondo del estudio, respecto la fuente obligacional, se refiere lo siguiente:</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586E50">
      <w:pPr>
        <w:spacing w:line="360" w:lineRule="auto"/>
        <w:jc w:val="center"/>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noProof/>
          <w:color w:val="000000" w:themeColor="text1"/>
          <w:lang w:val="es-MX"/>
        </w:rPr>
        <w:drawing>
          <wp:inline distT="0" distB="0" distL="0" distR="0">
            <wp:extent cx="5581015" cy="266954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581015" cy="2669540"/>
                    </a:xfrm>
                    <a:prstGeom prst="rect">
                      <a:avLst/>
                    </a:prstGeom>
                    <a:ln/>
                  </pic:spPr>
                </pic:pic>
              </a:graphicData>
            </a:graphic>
          </wp:inline>
        </w:drawing>
      </w:r>
      <w:r w:rsidRPr="009470CF">
        <w:rPr>
          <w:rFonts w:ascii="Palatino Linotype" w:hAnsi="Palatino Linotype"/>
          <w:noProof/>
          <w:color w:val="000000" w:themeColor="text1"/>
          <w:lang w:val="es-MX"/>
        </w:rPr>
        <mc:AlternateContent>
          <mc:Choice Requires="wps">
            <w:drawing>
              <wp:anchor distT="0" distB="0" distL="114300" distR="114300" simplePos="0" relativeHeight="251658240" behindDoc="0" locked="0" layoutInCell="1" hidden="0" allowOverlap="1">
                <wp:simplePos x="0" y="0"/>
                <wp:positionH relativeFrom="column">
                  <wp:posOffset>586740</wp:posOffset>
                </wp:positionH>
                <wp:positionV relativeFrom="paragraph">
                  <wp:posOffset>1656714</wp:posOffset>
                </wp:positionV>
                <wp:extent cx="2686050" cy="1009650"/>
                <wp:effectExtent l="0" t="0" r="0" b="0"/>
                <wp:wrapNone/>
                <wp:docPr id="9" name="Rectángulo 9"/>
                <wp:cNvGraphicFramePr/>
                <a:graphic xmlns:a="http://schemas.openxmlformats.org/drawingml/2006/main">
                  <a:graphicData uri="http://schemas.microsoft.com/office/word/2010/wordprocessingShape">
                    <wps:wsp>
                      <wps:cNvSpPr/>
                      <wps:spPr>
                        <a:xfrm>
                          <a:off x="4022025" y="3294225"/>
                          <a:ext cx="2647950" cy="971550"/>
                        </a:xfrm>
                        <a:prstGeom prst="rect">
                          <a:avLst/>
                        </a:prstGeom>
                        <a:noFill/>
                        <a:ln w="38100" cap="flat" cmpd="sng">
                          <a:solidFill>
                            <a:srgbClr val="FF0000"/>
                          </a:solidFill>
                          <a:prstDash val="solid"/>
                          <a:round/>
                          <a:headEnd type="none" w="sm" len="sm"/>
                          <a:tailEnd type="none" w="sm" len="sm"/>
                        </a:ln>
                      </wps:spPr>
                      <wps:txbx>
                        <w:txbxContent>
                          <w:p w:rsidR="00C11CCF" w:rsidRDefault="00C11CCF">
                            <w:pPr>
                              <w:textDirection w:val="btLr"/>
                            </w:pPr>
                          </w:p>
                        </w:txbxContent>
                      </wps:txbx>
                      <wps:bodyPr spcFirstLastPara="1" wrap="square" lIns="91425" tIns="91425" rIns="91425" bIns="91425" anchor="ctr" anchorCtr="0">
                        <a:noAutofit/>
                      </wps:bodyPr>
                    </wps:wsp>
                  </a:graphicData>
                </a:graphic>
              </wp:anchor>
            </w:drawing>
          </mc:Choice>
          <mc:Fallback>
            <w:pict>
              <v:rect id="Rectángulo 9" o:spid="_x0000_s1026" style="position:absolute;left:0;text-align:left;margin-left:46.2pt;margin-top:130.45pt;width:211.5pt;height:79.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" filled="f" strokecolor="red" strokeweight="3pt">
                <v:stroke startarrowwidth="narrow" startarrowlength="short" endarrowwidth="narrow" endarrowlength="short" joinstyle="round"/>
                <v:textbox inset="2.53958mm,2.53958mm,2.53958mm,2.53958mm">
                  <w:txbxContent>
                    <w:p w:rsidR="00C11CCF" w:rsidRDefault="00C11CCF">
                      <w:pPr>
                        <w:textDirection w:val="btLr"/>
                      </w:pPr>
                    </w:p>
                  </w:txbxContent>
                </v:textbox>
              </v:rect>
            </w:pict>
          </mc:Fallback>
        </mc:AlternateContent>
      </w:r>
    </w:p>
    <w:p w:rsidR="00C11CCF" w:rsidRPr="009470CF" w:rsidRDefault="00144B5A" w:rsidP="00586E50">
      <w:pPr>
        <w:spacing w:line="360" w:lineRule="auto"/>
        <w:jc w:val="center"/>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noProof/>
          <w:color w:val="000000" w:themeColor="text1"/>
          <w:lang w:val="es-MX"/>
        </w:rPr>
        <w:lastRenderedPageBreak/>
        <w:drawing>
          <wp:inline distT="0" distB="0" distL="0" distR="0">
            <wp:extent cx="5480762" cy="3600000"/>
            <wp:effectExtent l="0" t="0" r="5715" b="635"/>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480762" cy="3600000"/>
                    </a:xfrm>
                    <a:prstGeom prst="rect">
                      <a:avLst/>
                    </a:prstGeom>
                    <a:ln/>
                  </pic:spPr>
                </pic:pic>
              </a:graphicData>
            </a:graphic>
          </wp:inline>
        </w:drawing>
      </w:r>
    </w:p>
    <w:p w:rsidR="00C11CCF" w:rsidRPr="009470CF" w:rsidRDefault="00144B5A" w:rsidP="00586E50">
      <w:pPr>
        <w:spacing w:line="360" w:lineRule="auto"/>
        <w:jc w:val="center"/>
        <w:rPr>
          <w:rFonts w:ascii="Palatino Linotype" w:eastAsia="Palatino Linotype" w:hAnsi="Palatino Linotype" w:cs="Palatino Linotype"/>
          <w:color w:val="000000" w:themeColor="text1"/>
          <w:u w:val="single"/>
        </w:rPr>
      </w:pPr>
      <w:r w:rsidRPr="009470CF">
        <w:rPr>
          <w:rFonts w:ascii="Palatino Linotype" w:eastAsia="Palatino Linotype" w:hAnsi="Palatino Linotype" w:cs="Palatino Linotype"/>
          <w:noProof/>
          <w:color w:val="000000" w:themeColor="text1"/>
          <w:u w:val="single"/>
          <w:lang w:val="es-MX"/>
        </w:rPr>
        <w:lastRenderedPageBreak/>
        <w:drawing>
          <wp:inline distT="0" distB="0" distL="0" distR="0">
            <wp:extent cx="5581015" cy="4886325"/>
            <wp:effectExtent l="0" t="0" r="0"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581015" cy="4886325"/>
                    </a:xfrm>
                    <a:prstGeom prst="rect">
                      <a:avLst/>
                    </a:prstGeom>
                    <a:ln/>
                  </pic:spPr>
                </pic:pic>
              </a:graphicData>
            </a:graphic>
          </wp:inline>
        </w:drawing>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Precisado lo anterior, se advierte que la Dirección de Administración es el área encargada de generar, poseer y/o poseer la información solicitada.</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Establecido lo anterior, no se advierte que se haya pronunciado el Servidor Público para tal efecto, es decir, la Directora de Administración, sin no únicamente la Tesorera </w:t>
      </w:r>
      <w:r w:rsidRPr="009470CF">
        <w:rPr>
          <w:rFonts w:ascii="Palatino Linotype" w:eastAsia="Palatino Linotype" w:hAnsi="Palatino Linotype" w:cs="Palatino Linotype"/>
          <w:color w:val="000000" w:themeColor="text1"/>
        </w:rPr>
        <w:lastRenderedPageBreak/>
        <w:t xml:space="preserve">Municipal quien refirió que lo solicitado no obra en sus archivos por no ser el área competente. </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No pasa desapercibido que, en etapa de manifestaciones se le solicito a la Directora de Administración, diera atención a la solicitado, sin embargo, de acuerdo a las constancias que obran en obran dentro del SAIMEX, esta fue omisa.</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Es por lo anterior, que no se puede tener por colmada en su totalidad la solicitud de información </w:t>
      </w:r>
      <w:r w:rsidRPr="009470CF">
        <w:rPr>
          <w:rFonts w:ascii="Palatino Linotype" w:eastAsia="Palatino Linotype" w:hAnsi="Palatino Linotype" w:cs="Palatino Linotype"/>
          <w:b/>
          <w:bCs/>
          <w:color w:val="000000" w:themeColor="text1"/>
        </w:rPr>
        <w:t xml:space="preserve">00077/TEZOYUCA/IP/2025, </w:t>
      </w:r>
      <w:r w:rsidRPr="009470CF">
        <w:rPr>
          <w:rFonts w:ascii="Palatino Linotype" w:eastAsia="Palatino Linotype" w:hAnsi="Palatino Linotype" w:cs="Palatino Linotype"/>
          <w:color w:val="000000" w:themeColor="text1"/>
        </w:rPr>
        <w:t xml:space="preserve">resultando dable ordenar la búsqueda exhaustiva de la información a efecto de que dé cuenta el servidor público habilitado para tal efecto. </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Ahora bien, se reitera que el </w:t>
      </w:r>
      <w:r w:rsidRPr="009470CF">
        <w:rPr>
          <w:rFonts w:ascii="Palatino Linotype" w:eastAsia="Palatino Linotype" w:hAnsi="Palatino Linotype" w:cs="Palatino Linotype"/>
          <w:b/>
          <w:bCs/>
          <w:color w:val="000000" w:themeColor="text1"/>
        </w:rPr>
        <w:t xml:space="preserve">PARTICULAR, </w:t>
      </w:r>
      <w:r w:rsidRPr="009470CF">
        <w:rPr>
          <w:rFonts w:ascii="Palatino Linotype" w:eastAsia="Palatino Linotype" w:hAnsi="Palatino Linotype" w:cs="Palatino Linotype"/>
          <w:color w:val="000000" w:themeColor="text1"/>
        </w:rPr>
        <w:t>solicito lo siguiente:</w:t>
      </w:r>
    </w:p>
    <w:p w:rsidR="00C11CCF" w:rsidRPr="009470CF" w:rsidRDefault="00144B5A" w:rsidP="009470CF">
      <w:pPr>
        <w:numPr>
          <w:ilvl w:val="0"/>
          <w:numId w:val="7"/>
        </w:numPr>
        <w:pBdr>
          <w:top w:val="nil"/>
          <w:left w:val="nil"/>
          <w:bottom w:val="nil"/>
          <w:right w:val="nil"/>
          <w:between w:val="nil"/>
        </w:pBdr>
        <w:ind w:left="0" w:firstLine="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Solicito todo el proceso de adjudicación mediante la compra de papelería de los años 2022 a 2025, así mismo todos los contratos o convenios realizados para la compra de papelería. </w:t>
      </w:r>
    </w:p>
    <w:p w:rsidR="00C11CCF" w:rsidRDefault="00C11CCF" w:rsidP="009470CF">
      <w:pPr>
        <w:spacing w:line="360" w:lineRule="auto"/>
        <w:jc w:val="both"/>
        <w:rPr>
          <w:rFonts w:ascii="Palatino Linotype" w:eastAsia="Palatino Linotype" w:hAnsi="Palatino Linotype" w:cs="Palatino Linotype"/>
          <w:color w:val="000000" w:themeColor="text1"/>
        </w:rPr>
      </w:pPr>
    </w:p>
    <w:p w:rsidR="00586E50" w:rsidRPr="009470CF" w:rsidRDefault="00586E50"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Atento a lo solicitado, la LEY DE CONTRATACIÓN PÚBLICA DEL ESTADO DE MÉXICO Y MUNICIPIO, en su artículo 1 establece lo siguiente:</w:t>
      </w:r>
    </w:p>
    <w:p w:rsidR="00C11CCF" w:rsidRPr="009470CF" w:rsidRDefault="00144B5A" w:rsidP="009470CF">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9470CF">
        <w:rPr>
          <w:rFonts w:ascii="Palatino Linotype" w:eastAsia="Palatino Linotype" w:hAnsi="Palatino Linotype" w:cs="Palatino Linotype"/>
          <w:b/>
          <w:bCs/>
          <w:i/>
          <w:iCs/>
          <w:color w:val="000000" w:themeColor="text1"/>
        </w:rPr>
        <w:t>CAPITULO PRIMERO</w:t>
      </w:r>
    </w:p>
    <w:p w:rsidR="00C11CCF" w:rsidRPr="009470CF" w:rsidRDefault="00144B5A" w:rsidP="009470CF">
      <w:pPr>
        <w:pBdr>
          <w:top w:val="nil"/>
          <w:left w:val="nil"/>
          <w:bottom w:val="nil"/>
          <w:right w:val="nil"/>
          <w:between w:val="nil"/>
        </w:pBdr>
        <w:jc w:val="center"/>
        <w:rPr>
          <w:rFonts w:ascii="Palatino Linotype" w:eastAsia="Palatino Linotype" w:hAnsi="Palatino Linotype" w:cs="Palatino Linotype"/>
          <w:b/>
          <w:bCs/>
          <w:i/>
          <w:iCs/>
          <w:color w:val="000000" w:themeColor="text1"/>
        </w:rPr>
      </w:pPr>
      <w:r w:rsidRPr="009470CF">
        <w:rPr>
          <w:rFonts w:ascii="Palatino Linotype" w:eastAsia="Palatino Linotype" w:hAnsi="Palatino Linotype" w:cs="Palatino Linotype"/>
          <w:b/>
          <w:bCs/>
          <w:i/>
          <w:iCs/>
          <w:color w:val="000000" w:themeColor="text1"/>
        </w:rPr>
        <w:t>PARTE GENERAL</w:t>
      </w:r>
    </w:p>
    <w:p w:rsidR="00C11CCF" w:rsidRPr="009470CF" w:rsidRDefault="00C11CCF" w:rsidP="009470CF">
      <w:pPr>
        <w:pBdr>
          <w:top w:val="nil"/>
          <w:left w:val="nil"/>
          <w:bottom w:val="nil"/>
          <w:right w:val="nil"/>
          <w:between w:val="nil"/>
        </w:pBdr>
        <w:jc w:val="center"/>
        <w:rPr>
          <w:rFonts w:ascii="Palatino Linotype" w:eastAsia="Palatino Linotype" w:hAnsi="Palatino Linotype" w:cs="Palatino Linotype"/>
          <w:b/>
          <w:bCs/>
          <w:i/>
          <w:iCs/>
          <w:color w:val="000000" w:themeColor="text1"/>
        </w:rPr>
      </w:pPr>
    </w:p>
    <w:p w:rsidR="00C11CCF" w:rsidRPr="009470CF" w:rsidRDefault="00144B5A" w:rsidP="009470CF">
      <w:pPr>
        <w:pBdr>
          <w:top w:val="nil"/>
          <w:left w:val="nil"/>
          <w:bottom w:val="nil"/>
          <w:right w:val="nil"/>
          <w:between w:val="nil"/>
        </w:pBd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“Artículo 1.-</w:t>
      </w:r>
      <w:r w:rsidRPr="009470CF">
        <w:rPr>
          <w:rFonts w:ascii="Palatino Linotype" w:eastAsia="Palatino Linotype" w:hAnsi="Palatino Linotype" w:cs="Palatino Linotype"/>
          <w:i/>
          <w:iCs/>
          <w:color w:val="000000" w:themeColor="text1"/>
        </w:rPr>
        <w:t xml:space="preserve"> </w:t>
      </w:r>
      <w:r w:rsidRPr="009470CF">
        <w:rPr>
          <w:rFonts w:ascii="Palatino Linotype" w:eastAsia="Palatino Linotype" w:hAnsi="Palatino Linotype" w:cs="Palatino Linotype"/>
          <w:i/>
          <w:iCs/>
          <w:color w:val="000000" w:themeColor="text1"/>
          <w:u w:val="single"/>
        </w:rPr>
        <w:t>Esta</w:t>
      </w:r>
      <w:r w:rsidRPr="009470CF">
        <w:rPr>
          <w:rFonts w:ascii="Palatino Linotype" w:eastAsia="Palatino Linotype" w:hAnsi="Palatino Linotype" w:cs="Palatino Linotype"/>
          <w:i/>
          <w:iCs/>
          <w:color w:val="000000" w:themeColor="text1"/>
        </w:rPr>
        <w:t xml:space="preserve"> Ley tiene por objeto regular los actos relativos a la planeación, programación, presupuestación, ejecución y control de la adquisición, enajenación y arrendamiento de bienes, y la contratación de servicios de cualquier naturaleza, que realicen:</w:t>
      </w:r>
    </w:p>
    <w:p w:rsidR="00C11CCF" w:rsidRPr="009470CF" w:rsidRDefault="00C11CCF" w:rsidP="009470CF">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C11CCF" w:rsidRPr="009470CF" w:rsidRDefault="00144B5A" w:rsidP="009470CF">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lastRenderedPageBreak/>
        <w:t>Las secretarías y las unidades administrativas del Poder Ejecutivo del Estado.</w:t>
      </w:r>
    </w:p>
    <w:p w:rsidR="00C11CCF" w:rsidRPr="009470CF" w:rsidRDefault="00144B5A" w:rsidP="009470CF">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 Derogada.</w:t>
      </w:r>
    </w:p>
    <w:p w:rsidR="00C11CCF" w:rsidRPr="009470CF" w:rsidRDefault="00144B5A" w:rsidP="009470CF">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 Los ayuntamientos de los municipios del Estado. </w:t>
      </w:r>
    </w:p>
    <w:p w:rsidR="00C11CCF" w:rsidRPr="009470CF" w:rsidRDefault="00144B5A" w:rsidP="009470CF">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Los organismos auxiliares y fideicomisos públicos, de carácter estatal o municipal.</w:t>
      </w:r>
    </w:p>
    <w:p w:rsidR="00C11CCF" w:rsidRPr="009470CF" w:rsidRDefault="00144B5A" w:rsidP="009470CF">
      <w:pPr>
        <w:numPr>
          <w:ilvl w:val="0"/>
          <w:numId w:val="5"/>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Los tribunales administrativos.</w:t>
      </w:r>
    </w:p>
    <w:p w:rsidR="00C11CCF" w:rsidRPr="009470CF" w:rsidRDefault="00C11CCF" w:rsidP="009470CF">
      <w:pPr>
        <w:pBdr>
          <w:top w:val="nil"/>
          <w:left w:val="nil"/>
          <w:bottom w:val="nil"/>
          <w:right w:val="nil"/>
          <w:between w:val="nil"/>
        </w:pBd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 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 También serán aplicables las disposiciones de esta Ley a los particulares que participen en los procedimientos, operaciones o contratos regulados en esta Ley. </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Los poderes Legislativo y Judicial, así como los organismos autónomos aplicarán las disposiciones de esta Ley en lo que no se oponga a los ordenamientos legales que los regulan, sujetándose a sus propios órganos de control. </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No será aplicable lo dispuesto por esta Ley en los actos objeto del mismo, derivados de convenios celebrados entre dependencias, entidades y ayuntamientos, entre sí o con los de otros estados o de la Federación, excepto cuando sea parte un particular en los procedimientos o contratos respectivos. </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Tampoco serán aplicables las disposiciones de esta Ley en los actos que realicen los fideicomisos públicos en los que el Gobierno del Estado no sea fideicomitente único. “(sic)</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En ese orden de ideas, lo anterior, se adjudicará a través de licitaciones públicas, invitación restringida o adjudicación directa, mediante convocatoria pública, tal y como lo establecen los artículos 4, 26 y 27 de dicha Ley, los cuales son del tenor siguiente:</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“Artículo 4.-</w:t>
      </w:r>
      <w:r w:rsidRPr="009470CF">
        <w:rPr>
          <w:rFonts w:ascii="Palatino Linotype" w:eastAsia="Palatino Linotype" w:hAnsi="Palatino Linotype" w:cs="Palatino Linotype"/>
          <w:i/>
          <w:iCs/>
          <w:color w:val="000000" w:themeColor="text1"/>
        </w:rPr>
        <w:t xml:space="preserve"> Para los efectos de esta Ley, en las adquisiciones, enajenaciones, arrendamientos y servicios, quedan comprendidos: </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I. La adquisición de bienes muebles.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lastRenderedPageBreak/>
        <w:t xml:space="preserve">II. La adquisición de bienes inmuebles, a través de compraventa.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III. La enajenación de bienes muebles e inmuebles.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IV. El arrendamiento de bienes muebles e inmuebles.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V. La contratación de los servicios, relacionados con bienes muebles que se encuentran incorporados o adheridos a bienes inmuebles, cuya instalación o mantenimiento no implique modificación al bien inmueble.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VI. La contratación de los servicios de reconstrucción y mantenimiento de bienes muebles.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VII. La contratación de los servicios de maquila, seguros y transportación, así como de los de limpieza y vigilancia de bienes inmuebles</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VIII. La prestación de servicios profesionales, la contratación de consultorías, asesorías y estudios e investigaciones, excepto la contratación de servicios personales de personas físicas bajo el régimen de honorarios. </w:t>
      </w:r>
    </w:p>
    <w:p w:rsidR="00C11CCF" w:rsidRPr="009470CF" w:rsidRDefault="00144B5A" w:rsidP="009470CF">
      <w:pPr>
        <w:jc w:val="both"/>
        <w:rPr>
          <w:rFonts w:ascii="Palatino Linotype" w:eastAsia="Palatino Linotype" w:hAnsi="Palatino Linotype" w:cs="Palatino Linotype"/>
          <w:i/>
          <w:iCs/>
          <w:color w:val="000000" w:themeColor="text1"/>
          <w:u w:val="single"/>
        </w:rPr>
      </w:pPr>
      <w:r w:rsidRPr="009470CF">
        <w:rPr>
          <w:rFonts w:ascii="Palatino Linotype" w:eastAsia="Palatino Linotype" w:hAnsi="Palatino Linotype" w:cs="Palatino Linotype"/>
          <w:i/>
          <w:iCs/>
          <w:color w:val="000000" w:themeColor="text1"/>
          <w:u w:val="single"/>
        </w:rPr>
        <w:t>En general, otros actos que impliquen la contratación de servicios de cualquier naturaleza.</w:t>
      </w:r>
    </w:p>
    <w:p w:rsidR="00C11CCF" w:rsidRPr="009470CF" w:rsidRDefault="00C11CCF" w:rsidP="009470CF">
      <w:pPr>
        <w:jc w:val="both"/>
        <w:rPr>
          <w:rFonts w:ascii="Palatino Linotype" w:eastAsia="Palatino Linotype" w:hAnsi="Palatino Linotype" w:cs="Palatino Linotype"/>
          <w:b/>
          <w:bCs/>
          <w:i/>
          <w:iCs/>
          <w:color w:val="000000" w:themeColor="text1"/>
          <w:u w:val="single"/>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Artículo 26.-</w:t>
      </w:r>
      <w:r w:rsidRPr="009470CF">
        <w:rPr>
          <w:rFonts w:ascii="Palatino Linotype" w:eastAsia="Palatino Linotype" w:hAnsi="Palatino Linotype" w:cs="Palatino Linotype"/>
          <w:i/>
          <w:iCs/>
          <w:color w:val="000000" w:themeColor="text1"/>
        </w:rPr>
        <w:t xml:space="preserve"> Las adquisiciones, arrendamientos y servicios se adjudicarán a través de licitaciones públicas, mediante convocatoria pública.</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Artículo 27.-</w:t>
      </w:r>
      <w:r w:rsidRPr="009470CF">
        <w:rPr>
          <w:rFonts w:ascii="Palatino Linotype" w:eastAsia="Palatino Linotype" w:hAnsi="Palatino Linotype" w:cs="Palatino Linotype"/>
          <w:i/>
          <w:iCs/>
          <w:color w:val="000000" w:themeColor="text1"/>
        </w:rPr>
        <w:t xml:space="preserve"> La Secretaría, las entidades, los tribunales administrativos y los ayuntamientos podrán adjudicar adquisiciones, arrendamientos y servicios, mediante las excepciones al procedimiento de licitación que a continuación se señalan: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I. Invitación restringida.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II. Adjudicación directa.”</w:t>
      </w:r>
    </w:p>
    <w:p w:rsidR="00C11CCF" w:rsidRPr="009470CF" w:rsidRDefault="00C11CCF" w:rsidP="009470CF">
      <w:pPr>
        <w:jc w:val="both"/>
        <w:rPr>
          <w:rFonts w:ascii="Palatino Linotype" w:eastAsia="Palatino Linotype" w:hAnsi="Palatino Linotype" w:cs="Palatino Linotype"/>
          <w:i/>
          <w:iCs/>
          <w:color w:val="000000" w:themeColor="text1"/>
        </w:rPr>
      </w:pP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(Énfasis añadido) </w:t>
      </w:r>
    </w:p>
    <w:p w:rsidR="00C11CCF" w:rsidRPr="009470CF" w:rsidRDefault="00C11CCF" w:rsidP="009470CF">
      <w:pPr>
        <w:spacing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lastRenderedPageBreak/>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C11CCF" w:rsidRPr="009470CF" w:rsidRDefault="00C11CCF" w:rsidP="009470CF">
      <w:pPr>
        <w:pBdr>
          <w:top w:val="nil"/>
          <w:left w:val="nil"/>
          <w:bottom w:val="nil"/>
          <w:right w:val="nil"/>
          <w:between w:val="nil"/>
        </w:pBdr>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Por lo que,  en las licitaciones se debe seguir el procedimiento marcado en el artículo 35 del precitado ordenamiento, que literalmente establece:</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“Artículo 35.-</w:t>
      </w:r>
      <w:r w:rsidRPr="009470CF">
        <w:rPr>
          <w:rFonts w:ascii="Palatino Linotype" w:eastAsia="Palatino Linotype" w:hAnsi="Palatino Linotype" w:cs="Palatino Linotype"/>
          <w:i/>
          <w:iCs/>
          <w:color w:val="000000" w:themeColor="text1"/>
        </w:rPr>
        <w:t xml:space="preserve"> En los procedimientos de licitación pública se observará lo siguiente:</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El acto de presentación y apertura de propuestas se llevará a cabo por el servidor público que designe la convocante, conforme al procedimiento que se establezca en el reglamento de esta Ley.</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El comité de adquisiciones y servicios evaluará y analizará las propuestas técnicas y económicas presentadas por los licitantes en el ámbito de las respectivas competencias de sus integrantes, y emitirá el dictamen de adjudicación.</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Las bases de licitación se pondrán a la venta a partir de la fecha de publicación de la convocatoria y hasta el día hábil anterior a la fecha de celebración de la junta de aclaraciones o, en su defecto, del acto de presentación y apertura de propuestas.</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Las convocantes podrán modificar los plazos y términos establecidos en la convocatoria o en las bases de licitación, hasta cinco días hábiles anteriores a la fecha de la celebración del acto de presentación y apertura de propuestas.</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Las modificaciones no podrán limitar el número de licitantes, sustituir o variar sustancialmente los bienes o servicios convocados originalmente, ni adicionar otros  distintos.</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 Las modificaciones a la convocatoria o a las bases se harán del conocimiento de los interesados hasta tres días hábiles antes de la fecha señalada para el acto de presentación y apertura de propuestas.</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Se emitirá el fallo dentro de los 15 días hábiles siguientes a la publicación de la convocatoria.</w:t>
      </w:r>
    </w:p>
    <w:p w:rsidR="00C11CCF" w:rsidRPr="009470CF" w:rsidRDefault="00144B5A" w:rsidP="009470CF">
      <w:pPr>
        <w:numPr>
          <w:ilvl w:val="0"/>
          <w:numId w:val="6"/>
        </w:numPr>
        <w:pBdr>
          <w:top w:val="nil"/>
          <w:left w:val="nil"/>
          <w:bottom w:val="nil"/>
          <w:right w:val="nil"/>
          <w:between w:val="nil"/>
        </w:pBdr>
        <w:ind w:left="0" w:firstLine="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Los licitantes se podrán registrar hasta el día y la hora fijados para el acto de presentación y apertura de propuestas.”</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(Énfasis añadido)</w:t>
      </w:r>
    </w:p>
    <w:p w:rsidR="00C11CCF" w:rsidRPr="009470CF" w:rsidRDefault="00144B5A" w:rsidP="009470CF">
      <w:pPr>
        <w:jc w:val="center"/>
        <w:rPr>
          <w:rFonts w:ascii="Palatino Linotype" w:eastAsia="Palatino Linotype" w:hAnsi="Palatino Linotype" w:cs="Palatino Linotype"/>
          <w:b/>
          <w:bCs/>
          <w:i/>
          <w:iCs/>
          <w:color w:val="000000" w:themeColor="text1"/>
        </w:rPr>
      </w:pPr>
      <w:r w:rsidRPr="009470CF">
        <w:rPr>
          <w:rFonts w:ascii="Palatino Linotype" w:eastAsia="Palatino Linotype" w:hAnsi="Palatino Linotype" w:cs="Palatino Linotype"/>
          <w:b/>
          <w:bCs/>
          <w:i/>
          <w:iCs/>
          <w:color w:val="000000" w:themeColor="text1"/>
        </w:rPr>
        <w:t>CAPÍTULO OCTAVO</w:t>
      </w:r>
    </w:p>
    <w:p w:rsidR="00C11CCF" w:rsidRPr="009470CF" w:rsidRDefault="00144B5A" w:rsidP="009470CF">
      <w:pPr>
        <w:jc w:val="center"/>
        <w:rPr>
          <w:rFonts w:ascii="Palatino Linotype" w:eastAsia="Palatino Linotype" w:hAnsi="Palatino Linotype" w:cs="Palatino Linotype"/>
          <w:b/>
          <w:bCs/>
          <w:i/>
          <w:iCs/>
          <w:color w:val="000000" w:themeColor="text1"/>
        </w:rPr>
      </w:pPr>
      <w:r w:rsidRPr="009470CF">
        <w:rPr>
          <w:rFonts w:ascii="Palatino Linotype" w:eastAsia="Palatino Linotype" w:hAnsi="Palatino Linotype" w:cs="Palatino Linotype"/>
          <w:b/>
          <w:bCs/>
          <w:i/>
          <w:iCs/>
          <w:color w:val="000000" w:themeColor="text1"/>
        </w:rPr>
        <w:t>DE LOS CONTRATOS</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lastRenderedPageBreak/>
        <w:t>Artículo 65.-</w:t>
      </w:r>
      <w:r w:rsidRPr="009470CF">
        <w:rPr>
          <w:rFonts w:ascii="Palatino Linotype" w:eastAsia="Palatino Linotype" w:hAnsi="Palatino Linotype" w:cs="Palatino Linotype"/>
          <w:i/>
          <w:iCs/>
          <w:color w:val="000000" w:themeColor="text1"/>
        </w:rPr>
        <w:t xml:space="preserve"> La adjudicación de los contratos derivados de los procedimientos de adquisiciones de bienes o servicios, obligará a la convocante y al licitante ganador a suscribir el contrato respectivo, dentro de los diez días hábiles siguientes al de la notificación del fallo. Los contratos podrán suscribirse mediante el uso de la firma electrónica, en apego a las disposiciones de la Ley de Gobierno Digital y de su Reglamento. </w:t>
      </w:r>
    </w:p>
    <w:p w:rsidR="00C11CCF" w:rsidRPr="009470CF" w:rsidRDefault="00C11CCF" w:rsidP="009470CF">
      <w:pPr>
        <w:spacing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Ahora bien, es necesario remitirnos al numeral 23 penúltimo párrafo de la Ley de Transparencia y Acceso a la Información Pública del Estado de México y Municipios, el cual a la letra reza:</w:t>
      </w:r>
    </w:p>
    <w:p w:rsidR="00C11CCF" w:rsidRPr="009470CF" w:rsidRDefault="00144B5A" w:rsidP="009470CF">
      <w:pPr>
        <w:tabs>
          <w:tab w:val="left" w:pos="709"/>
        </w:tabs>
        <w:spacing w:before="24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 xml:space="preserve"> Artículo 23. Son sujetos obligados a transparentar y permitir el acceso a su información y proteger los datos personales que obren en su poder:</w:t>
      </w:r>
    </w:p>
    <w:p w:rsidR="00C11CCF" w:rsidRPr="009470CF" w:rsidRDefault="00144B5A" w:rsidP="009470CF">
      <w:pPr>
        <w:tabs>
          <w:tab w:val="left" w:pos="709"/>
        </w:tabs>
        <w:spacing w:before="24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w:t>
      </w:r>
    </w:p>
    <w:p w:rsidR="00C11CCF" w:rsidRPr="009470CF" w:rsidRDefault="00144B5A" w:rsidP="009470CF">
      <w:pPr>
        <w:tabs>
          <w:tab w:val="left" w:pos="709"/>
        </w:tabs>
        <w:spacing w:before="24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C11CCF" w:rsidRPr="009470CF" w:rsidRDefault="00144B5A" w:rsidP="009470CF">
      <w:pPr>
        <w:tabs>
          <w:tab w:val="left" w:pos="709"/>
        </w:tabs>
        <w:spacing w:before="24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Los servidores públicos deberán transparentar sus acciones así como garantizar y respetar el derecho de acceso a la información pública.</w:t>
      </w:r>
    </w:p>
    <w:p w:rsidR="00C11CCF" w:rsidRDefault="00144B5A" w:rsidP="009470CF">
      <w:pPr>
        <w:tabs>
          <w:tab w:val="left" w:pos="709"/>
        </w:tabs>
        <w:spacing w:before="240"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w:t>
      </w:r>
    </w:p>
    <w:p w:rsidR="00586E50" w:rsidRDefault="00586E50" w:rsidP="009470CF">
      <w:pPr>
        <w:tabs>
          <w:tab w:val="left" w:pos="709"/>
        </w:tabs>
        <w:spacing w:before="240"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En ese tenor, el diverso 92 de la Ley en comento, refiere: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“Artículo 92.</w:t>
      </w:r>
      <w:r w:rsidRPr="009470CF">
        <w:rPr>
          <w:rFonts w:ascii="Palatino Linotype" w:eastAsia="Palatino Linotype" w:hAnsi="Palatino Linotype" w:cs="Palatino Linotype"/>
          <w:i/>
          <w:iCs/>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lastRenderedPageBreak/>
        <w:t>XXIX</w:t>
      </w:r>
      <w:r w:rsidRPr="009470CF">
        <w:rPr>
          <w:rFonts w:ascii="Palatino Linotype" w:eastAsia="Palatino Linotype" w:hAnsi="Palatino Linotype" w:cs="Palatino Linotype"/>
          <w:i/>
          <w:iCs/>
          <w:color w:val="000000" w:themeColor="text1"/>
        </w:rPr>
        <w:t>.</w:t>
      </w:r>
      <w:r w:rsidRPr="009470CF">
        <w:rPr>
          <w:rFonts w:ascii="Palatino Linotype" w:eastAsia="Palatino Linotype" w:hAnsi="Palatino Linotype" w:cs="Palatino Linotype"/>
          <w:i/>
          <w:iCs/>
          <w:color w:val="000000" w:themeColor="text1"/>
        </w:rPr>
        <w:tab/>
        <w:t xml:space="preserve">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 </w:t>
      </w:r>
    </w:p>
    <w:p w:rsidR="00C11CCF" w:rsidRPr="009470CF" w:rsidRDefault="00C11CCF" w:rsidP="009470CF">
      <w:pPr>
        <w:tabs>
          <w:tab w:val="left" w:pos="851"/>
        </w:tabs>
        <w:spacing w:before="120" w:after="120"/>
        <w:jc w:val="both"/>
        <w:rPr>
          <w:rFonts w:ascii="Palatino Linotype" w:eastAsia="Palatino Linotype" w:hAnsi="Palatino Linotype" w:cs="Palatino Linotype"/>
          <w:i/>
          <w:iCs/>
          <w:color w:val="000000" w:themeColor="text1"/>
        </w:rPr>
      </w:pP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a)</w:t>
      </w:r>
      <w:r w:rsidRPr="009470CF">
        <w:rPr>
          <w:rFonts w:ascii="Palatino Linotype" w:eastAsia="Palatino Linotype" w:hAnsi="Palatino Linotype" w:cs="Palatino Linotype"/>
          <w:i/>
          <w:iCs/>
          <w:color w:val="000000" w:themeColor="text1"/>
        </w:rPr>
        <w:tab/>
        <w:t xml:space="preserve">De licitaciones públicas o procedimientos de invitación restringida: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w:t>
      </w:r>
      <w:r w:rsidRPr="009470CF">
        <w:rPr>
          <w:rFonts w:ascii="Palatino Linotype" w:eastAsia="Palatino Linotype" w:hAnsi="Palatino Linotype" w:cs="Palatino Linotype"/>
          <w:i/>
          <w:iCs/>
          <w:color w:val="000000" w:themeColor="text1"/>
        </w:rPr>
        <w:tab/>
        <w:t xml:space="preserve">La convocatoria o invitación emitida, así como los fundamentos legales aplicados para llevarla a cabo;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2)</w:t>
      </w:r>
      <w:r w:rsidRPr="009470CF">
        <w:rPr>
          <w:rFonts w:ascii="Palatino Linotype" w:eastAsia="Palatino Linotype" w:hAnsi="Palatino Linotype" w:cs="Palatino Linotype"/>
          <w:i/>
          <w:iCs/>
          <w:color w:val="000000" w:themeColor="text1"/>
        </w:rPr>
        <w:tab/>
        <w:t xml:space="preserve">Los nombres de los participantes o invitados;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3)</w:t>
      </w:r>
      <w:r w:rsidRPr="009470CF">
        <w:rPr>
          <w:rFonts w:ascii="Palatino Linotype" w:eastAsia="Palatino Linotype" w:hAnsi="Palatino Linotype" w:cs="Palatino Linotype"/>
          <w:i/>
          <w:iCs/>
          <w:color w:val="000000" w:themeColor="text1"/>
        </w:rPr>
        <w:tab/>
        <w:t xml:space="preserve">El nombre del ganador y las razones que lo justifican;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4)</w:t>
      </w:r>
      <w:r w:rsidRPr="009470CF">
        <w:rPr>
          <w:rFonts w:ascii="Palatino Linotype" w:eastAsia="Palatino Linotype" w:hAnsi="Palatino Linotype" w:cs="Palatino Linotype"/>
          <w:i/>
          <w:iCs/>
          <w:color w:val="000000" w:themeColor="text1"/>
        </w:rPr>
        <w:tab/>
        <w:t xml:space="preserve">El área solicitante y la responsable de su ejecución;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5)</w:t>
      </w:r>
      <w:r w:rsidRPr="009470CF">
        <w:rPr>
          <w:rFonts w:ascii="Palatino Linotype" w:eastAsia="Palatino Linotype" w:hAnsi="Palatino Linotype" w:cs="Palatino Linotype"/>
          <w:i/>
          <w:iCs/>
          <w:color w:val="000000" w:themeColor="text1"/>
        </w:rPr>
        <w:tab/>
        <w:t xml:space="preserve">Las convocatorias e invitaciones emitidas;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6)</w:t>
      </w:r>
      <w:r w:rsidRPr="009470CF">
        <w:rPr>
          <w:rFonts w:ascii="Palatino Linotype" w:eastAsia="Palatino Linotype" w:hAnsi="Palatino Linotype" w:cs="Palatino Linotype"/>
          <w:i/>
          <w:iCs/>
          <w:color w:val="000000" w:themeColor="text1"/>
        </w:rPr>
        <w:tab/>
        <w:t xml:space="preserve">Los dictámenes y fallo de adjudicación; </w:t>
      </w:r>
    </w:p>
    <w:p w:rsidR="00C11CCF" w:rsidRPr="009470CF" w:rsidRDefault="00144B5A" w:rsidP="009470CF">
      <w:pPr>
        <w:tabs>
          <w:tab w:val="left" w:pos="851"/>
        </w:tabs>
        <w:spacing w:before="120" w:after="120"/>
        <w:jc w:val="both"/>
        <w:rPr>
          <w:rFonts w:ascii="Palatino Linotype" w:eastAsia="Palatino Linotype" w:hAnsi="Palatino Linotype" w:cs="Palatino Linotype"/>
          <w:b/>
          <w:bCs/>
          <w:i/>
          <w:iCs/>
          <w:color w:val="000000" w:themeColor="text1"/>
        </w:rPr>
      </w:pPr>
      <w:r w:rsidRPr="009470CF">
        <w:rPr>
          <w:rFonts w:ascii="Palatino Linotype" w:eastAsia="Palatino Linotype" w:hAnsi="Palatino Linotype" w:cs="Palatino Linotype"/>
          <w:b/>
          <w:bCs/>
          <w:i/>
          <w:iCs/>
          <w:color w:val="000000" w:themeColor="text1"/>
        </w:rPr>
        <w:t>7)</w:t>
      </w:r>
      <w:r w:rsidRPr="009470CF">
        <w:rPr>
          <w:rFonts w:ascii="Palatino Linotype" w:eastAsia="Palatino Linotype" w:hAnsi="Palatino Linotype" w:cs="Palatino Linotype"/>
          <w:b/>
          <w:bCs/>
          <w:i/>
          <w:iCs/>
          <w:color w:val="000000" w:themeColor="text1"/>
        </w:rPr>
        <w:tab/>
        <w:t xml:space="preserve">El contrato y, en su caso, sus anexos;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8)</w:t>
      </w:r>
      <w:r w:rsidRPr="009470CF">
        <w:rPr>
          <w:rFonts w:ascii="Palatino Linotype" w:eastAsia="Palatino Linotype" w:hAnsi="Palatino Linotype" w:cs="Palatino Linotype"/>
          <w:i/>
          <w:iCs/>
          <w:color w:val="000000" w:themeColor="text1"/>
        </w:rPr>
        <w:tab/>
        <w:t xml:space="preserve">Los mecanismos de vigilancia y supervisión, incluyendo en su caso, los estudios de impacto urbano y ambiental, según corresponda;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9)</w:t>
      </w:r>
      <w:r w:rsidRPr="009470CF">
        <w:rPr>
          <w:rFonts w:ascii="Palatino Linotype" w:eastAsia="Palatino Linotype" w:hAnsi="Palatino Linotype" w:cs="Palatino Linotype"/>
          <w:i/>
          <w:iCs/>
          <w:color w:val="000000" w:themeColor="text1"/>
        </w:rPr>
        <w:tab/>
        <w:t xml:space="preserve">La partida presupuestal, de conformidad con el clasificador por objeto del gasto, en el caso de ser aplicable;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10)</w:t>
      </w:r>
      <w:r w:rsidRPr="009470CF">
        <w:rPr>
          <w:rFonts w:ascii="Palatino Linotype" w:eastAsia="Palatino Linotype" w:hAnsi="Palatino Linotype" w:cs="Palatino Linotype"/>
          <w:i/>
          <w:iCs/>
          <w:color w:val="000000" w:themeColor="text1"/>
        </w:rPr>
        <w:tab/>
        <w:t xml:space="preserve">Origen de los recursos especificando si son federales, estatales o municipales, así como el tipo de fondo de participación o aportación respectiva;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11)</w:t>
      </w:r>
      <w:r w:rsidRPr="009470CF">
        <w:rPr>
          <w:rFonts w:ascii="Palatino Linotype" w:eastAsia="Palatino Linotype" w:hAnsi="Palatino Linotype" w:cs="Palatino Linotype"/>
          <w:i/>
          <w:iCs/>
          <w:color w:val="000000" w:themeColor="text1"/>
        </w:rPr>
        <w:tab/>
        <w:t xml:space="preserve">Los convenios modificatorios que, en su caso, sean firmados, precisando el objeto y la fecha de celebración;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12)</w:t>
      </w:r>
      <w:r w:rsidRPr="009470CF">
        <w:rPr>
          <w:rFonts w:ascii="Palatino Linotype" w:eastAsia="Palatino Linotype" w:hAnsi="Palatino Linotype" w:cs="Palatino Linotype"/>
          <w:i/>
          <w:iCs/>
          <w:color w:val="000000" w:themeColor="text1"/>
        </w:rPr>
        <w:tab/>
        <w:t xml:space="preserve">Los informes de avance físico y financiero sobre las obras o servicios contratados;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13)</w:t>
      </w:r>
      <w:r w:rsidRPr="009470CF">
        <w:rPr>
          <w:rFonts w:ascii="Palatino Linotype" w:eastAsia="Palatino Linotype" w:hAnsi="Palatino Linotype" w:cs="Palatino Linotype"/>
          <w:i/>
          <w:iCs/>
          <w:color w:val="000000" w:themeColor="text1"/>
        </w:rPr>
        <w:tab/>
        <w:t xml:space="preserve">El convenio de terminación; y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14)</w:t>
      </w:r>
      <w:r w:rsidRPr="009470CF">
        <w:rPr>
          <w:rFonts w:ascii="Palatino Linotype" w:eastAsia="Palatino Linotype" w:hAnsi="Palatino Linotype" w:cs="Palatino Linotype"/>
          <w:i/>
          <w:iCs/>
          <w:color w:val="000000" w:themeColor="text1"/>
        </w:rPr>
        <w:tab/>
        <w:t xml:space="preserve">El finiquito.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b)</w:t>
      </w:r>
      <w:r w:rsidRPr="009470CF">
        <w:rPr>
          <w:rFonts w:ascii="Palatino Linotype" w:eastAsia="Palatino Linotype" w:hAnsi="Palatino Linotype" w:cs="Palatino Linotype"/>
          <w:i/>
          <w:iCs/>
          <w:color w:val="000000" w:themeColor="text1"/>
        </w:rPr>
        <w:tab/>
        <w:t>De las adjudicaciones directas:</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w:t>
      </w:r>
      <w:r w:rsidRPr="009470CF">
        <w:rPr>
          <w:rFonts w:ascii="Palatino Linotype" w:eastAsia="Palatino Linotype" w:hAnsi="Palatino Linotype" w:cs="Palatino Linotype"/>
          <w:i/>
          <w:iCs/>
          <w:color w:val="000000" w:themeColor="text1"/>
        </w:rPr>
        <w:tab/>
        <w:t xml:space="preserve">La propuesta enviada por el participante;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2)</w:t>
      </w:r>
      <w:r w:rsidRPr="009470CF">
        <w:rPr>
          <w:rFonts w:ascii="Palatino Linotype" w:eastAsia="Palatino Linotype" w:hAnsi="Palatino Linotype" w:cs="Palatino Linotype"/>
          <w:i/>
          <w:iCs/>
          <w:color w:val="000000" w:themeColor="text1"/>
        </w:rPr>
        <w:tab/>
        <w:t xml:space="preserve">Los motivos y fundamentos legales aplicados para llevarla a cabo;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lastRenderedPageBreak/>
        <w:t>3)</w:t>
      </w:r>
      <w:r w:rsidRPr="009470CF">
        <w:rPr>
          <w:rFonts w:ascii="Palatino Linotype" w:eastAsia="Palatino Linotype" w:hAnsi="Palatino Linotype" w:cs="Palatino Linotype"/>
          <w:i/>
          <w:iCs/>
          <w:color w:val="000000" w:themeColor="text1"/>
        </w:rPr>
        <w:tab/>
        <w:t xml:space="preserve">La autorización del ejercicio de la opción;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4)</w:t>
      </w:r>
      <w:r w:rsidRPr="009470CF">
        <w:rPr>
          <w:rFonts w:ascii="Palatino Linotype" w:eastAsia="Palatino Linotype" w:hAnsi="Palatino Linotype" w:cs="Palatino Linotype"/>
          <w:i/>
          <w:iCs/>
          <w:color w:val="000000" w:themeColor="text1"/>
        </w:rPr>
        <w:tab/>
        <w:t xml:space="preserve">En su caso, las cotizaciones consideradas, especificando los nombres de los proveedores y sus montos;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5)</w:t>
      </w:r>
      <w:r w:rsidRPr="009470CF">
        <w:rPr>
          <w:rFonts w:ascii="Palatino Linotype" w:eastAsia="Palatino Linotype" w:hAnsi="Palatino Linotype" w:cs="Palatino Linotype"/>
          <w:i/>
          <w:iCs/>
          <w:color w:val="000000" w:themeColor="text1"/>
        </w:rPr>
        <w:tab/>
        <w:t xml:space="preserve">El nombre de la persona física o jurídica colectiva adjudicada;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6)</w:t>
      </w:r>
      <w:r w:rsidRPr="009470CF">
        <w:rPr>
          <w:rFonts w:ascii="Palatino Linotype" w:eastAsia="Palatino Linotype" w:hAnsi="Palatino Linotype" w:cs="Palatino Linotype"/>
          <w:i/>
          <w:iCs/>
          <w:color w:val="000000" w:themeColor="text1"/>
        </w:rPr>
        <w:tab/>
        <w:t xml:space="preserve">La unidad administrativa solicitante y la responsable de su ejecución;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7)</w:t>
      </w:r>
      <w:r w:rsidRPr="009470CF">
        <w:rPr>
          <w:rFonts w:ascii="Palatino Linotype" w:eastAsia="Palatino Linotype" w:hAnsi="Palatino Linotype" w:cs="Palatino Linotype"/>
          <w:i/>
          <w:iCs/>
          <w:color w:val="000000" w:themeColor="text1"/>
        </w:rPr>
        <w:tab/>
        <w:t xml:space="preserve">El número, fecha, el monto del contrato y el plazo de entrega o de ejecución de los servicios u obra;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8)</w:t>
      </w:r>
      <w:r w:rsidRPr="009470CF">
        <w:rPr>
          <w:rFonts w:ascii="Palatino Linotype" w:eastAsia="Palatino Linotype" w:hAnsi="Palatino Linotype" w:cs="Palatino Linotype"/>
          <w:i/>
          <w:iCs/>
          <w:color w:val="000000" w:themeColor="text1"/>
        </w:rPr>
        <w:tab/>
        <w:t xml:space="preserve">Los mecanismos de vigilancia y supervisión, incluyendo, en su caso, los estudios de impacto urbano y ambiental, según corresponda;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9)</w:t>
      </w:r>
      <w:r w:rsidRPr="009470CF">
        <w:rPr>
          <w:rFonts w:ascii="Palatino Linotype" w:eastAsia="Palatino Linotype" w:hAnsi="Palatino Linotype" w:cs="Palatino Linotype"/>
          <w:i/>
          <w:iCs/>
          <w:color w:val="000000" w:themeColor="text1"/>
        </w:rPr>
        <w:tab/>
        <w:t xml:space="preserve">Los informes de avance sobre las obras o servicios contratados;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10)</w:t>
      </w:r>
      <w:r w:rsidRPr="009470CF">
        <w:rPr>
          <w:rFonts w:ascii="Palatino Linotype" w:eastAsia="Palatino Linotype" w:hAnsi="Palatino Linotype" w:cs="Palatino Linotype"/>
          <w:i/>
          <w:iCs/>
          <w:color w:val="000000" w:themeColor="text1"/>
        </w:rPr>
        <w:tab/>
        <w:t xml:space="preserve">El convenio de terminación; y </w:t>
      </w:r>
    </w:p>
    <w:p w:rsidR="00C11CCF" w:rsidRPr="009470CF" w:rsidRDefault="00144B5A" w:rsidP="009470CF">
      <w:pPr>
        <w:tabs>
          <w:tab w:val="left" w:pos="851"/>
        </w:tabs>
        <w:spacing w:before="120" w:after="12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11)</w:t>
      </w:r>
      <w:r w:rsidRPr="009470CF">
        <w:rPr>
          <w:rFonts w:ascii="Palatino Linotype" w:eastAsia="Palatino Linotype" w:hAnsi="Palatino Linotype" w:cs="Palatino Linotype"/>
          <w:i/>
          <w:iCs/>
          <w:color w:val="000000" w:themeColor="text1"/>
        </w:rPr>
        <w:tab/>
        <w:t xml:space="preserve">El finiquito. </w:t>
      </w:r>
    </w:p>
    <w:p w:rsidR="00C11CCF" w:rsidRPr="009470CF" w:rsidRDefault="00144B5A" w:rsidP="009470CF">
      <w:pPr>
        <w:tabs>
          <w:tab w:val="left" w:pos="851"/>
        </w:tabs>
        <w:spacing w:before="120" w:after="12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(Énfasis añadido)</w:t>
      </w:r>
    </w:p>
    <w:p w:rsidR="00C11CCF" w:rsidRPr="009470CF" w:rsidRDefault="00C11CCF" w:rsidP="009470CF">
      <w:pPr>
        <w:tabs>
          <w:tab w:val="left" w:pos="851"/>
        </w:tabs>
        <w:spacing w:before="120" w:after="120"/>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Al respecto, 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9470CF">
        <w:rPr>
          <w:rFonts w:ascii="Palatino Linotype" w:eastAsia="Palatino Linotype" w:hAnsi="Palatino Linotype" w:cs="Palatino Linotype"/>
          <w:b/>
          <w:bCs/>
          <w:color w:val="000000" w:themeColor="text1"/>
        </w:rPr>
        <w:t>es su deber turnar la solicitud de información a todas las áreas dentro de su estructura orgánica que pudieran contar con lo solicitado</w:t>
      </w:r>
      <w:r w:rsidRPr="009470CF">
        <w:rPr>
          <w:rFonts w:ascii="Palatino Linotype" w:eastAsia="Palatino Linotype" w:hAnsi="Palatino Linotype" w:cs="Palatino Linotype"/>
          <w:color w:val="000000" w:themeColor="text1"/>
        </w:rPr>
        <w:t>, a fin de dar cabal cumplimiento al derecho humano constitucionalmente reconocido.</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color w:val="000000" w:themeColor="text1"/>
        </w:rPr>
        <w:t xml:space="preserve">En esa tesitura,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w:t>
      </w:r>
      <w:r w:rsidRPr="009470CF">
        <w:rPr>
          <w:rFonts w:ascii="Palatino Linotype" w:eastAsia="Palatino Linotype" w:hAnsi="Palatino Linotype" w:cs="Palatino Linotype"/>
          <w:color w:val="000000" w:themeColor="text1"/>
        </w:rPr>
        <w:lastRenderedPageBreak/>
        <w:t>competencias y funciones, con el objeto de que realicen una búsqueda exhaustiva y razonable de la información solicitada, según se asienta en el artículo 162 de la ley citada.</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u w:val="single"/>
        </w:rPr>
      </w:pPr>
      <w:r w:rsidRPr="009470CF">
        <w:rPr>
          <w:rFonts w:ascii="Palatino Linotype" w:eastAsia="Palatino Linotype" w:hAnsi="Palatino Linotype" w:cs="Palatino Linotype"/>
          <w:b/>
          <w:bCs/>
          <w:i/>
          <w:iCs/>
          <w:color w:val="000000" w:themeColor="text1"/>
        </w:rPr>
        <w:t>“Artículo 162.</w:t>
      </w:r>
      <w:r w:rsidRPr="009470CF">
        <w:rPr>
          <w:rFonts w:ascii="Palatino Linotype" w:eastAsia="Palatino Linotype" w:hAnsi="Palatino Linotype" w:cs="Palatino Linotype"/>
          <w:i/>
          <w:iCs/>
          <w:color w:val="000000" w:themeColor="text1"/>
        </w:rPr>
        <w:t xml:space="preserve"> </w:t>
      </w:r>
      <w:r w:rsidRPr="009470CF">
        <w:rPr>
          <w:rFonts w:ascii="Palatino Linotype" w:eastAsia="Palatino Linotype" w:hAnsi="Palatino Linotype" w:cs="Palatino Linotype"/>
          <w:i/>
          <w:iCs/>
          <w:color w:val="000000" w:themeColor="text1"/>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C11CCF" w:rsidRPr="009470CF" w:rsidRDefault="00C11CCF" w:rsidP="009470CF">
      <w:pPr>
        <w:spacing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De la normatividad en cita, se desprende que las Unidades de Transparencia, se erigen como el área responsable en cada Sujeto Obligado que tiene a su cargo la atención de las solicitudes de información que se realicen al amparo de la Ley. </w:t>
      </w: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El responsable de dicha área funge como enlace entre </w:t>
      </w:r>
      <w:r w:rsidRPr="009470CF">
        <w:rPr>
          <w:rFonts w:ascii="Palatino Linotype" w:eastAsia="Palatino Linotype" w:hAnsi="Palatino Linotype" w:cs="Palatino Linotype"/>
          <w:b/>
          <w:bCs/>
          <w:color w:val="000000" w:themeColor="text1"/>
        </w:rPr>
        <w:t>EL SUJETO OBLIGADO</w:t>
      </w:r>
      <w:r w:rsidRPr="009470CF">
        <w:rPr>
          <w:rFonts w:ascii="Palatino Linotype" w:eastAsia="Palatino Linotype" w:hAnsi="Palatino Linotype" w:cs="Palatino Linotype"/>
          <w:color w:val="000000" w:themeColor="text1"/>
        </w:rPr>
        <w:t xml:space="preserve"> y los solicitantes, y tiene bajo su responsabilidad el tramitar internamente la solicitud de información.</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9470CF">
        <w:rPr>
          <w:rFonts w:ascii="Palatino Linotype" w:eastAsia="Palatino Linotype" w:hAnsi="Palatino Linotype" w:cs="Palatino Linotype"/>
          <w:b/>
          <w:bCs/>
          <w:color w:val="000000" w:themeColor="text1"/>
        </w:rPr>
        <w:t xml:space="preserve">SUJETO OBLIGADO; </w:t>
      </w:r>
      <w:r w:rsidRPr="009470CF">
        <w:rPr>
          <w:rFonts w:ascii="Palatino Linotype" w:eastAsia="Palatino Linotype" w:hAnsi="Palatino Linotype" w:cs="Palatino Linotype"/>
          <w:color w:val="000000" w:themeColor="text1"/>
        </w:rPr>
        <w:t xml:space="preserve">es por ello que, debe turnar la solicitud a todas las áreas que conforme a sus atribuciones y funciones generen, administren o posean la información </w:t>
      </w:r>
      <w:r w:rsidRPr="009470CF">
        <w:rPr>
          <w:rFonts w:ascii="Palatino Linotype" w:eastAsia="Palatino Linotype" w:hAnsi="Palatino Linotype" w:cs="Palatino Linotype"/>
          <w:color w:val="000000" w:themeColor="text1"/>
        </w:rPr>
        <w:lastRenderedPageBreak/>
        <w:t>requerida por la particular; pues tienen como función, buscar, localizar y poseer la información, así como entregarla.</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En atención a ello es importante invocar el contenido del artículo 12 antes mencionado así como el 4 de la Ley de Transparencia y Acceso a la Información Pública del Estado de México y Municipios, mismos que son del tenor siguiente:</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i/>
          <w:iCs/>
          <w:color w:val="000000" w:themeColor="text1"/>
        </w:rPr>
        <w:t>“</w:t>
      </w:r>
      <w:r w:rsidRPr="009470CF">
        <w:rPr>
          <w:rFonts w:ascii="Palatino Linotype" w:eastAsia="Palatino Linotype" w:hAnsi="Palatino Linotype" w:cs="Palatino Linotype"/>
          <w:b/>
          <w:bCs/>
          <w:i/>
          <w:iCs/>
          <w:color w:val="000000" w:themeColor="text1"/>
        </w:rPr>
        <w:t>Artículo 4.</w:t>
      </w:r>
      <w:r w:rsidRPr="009470CF">
        <w:rPr>
          <w:rFonts w:ascii="Palatino Linotype" w:eastAsia="Palatino Linotype" w:hAnsi="Palatino Linotype" w:cs="Palatino Linotype"/>
          <w:i/>
          <w:iCs/>
          <w:color w:val="000000" w:themeColor="text1"/>
        </w:rPr>
        <w:t xml:space="preserve"> El derecho humano de acceso a la información pública es la prerrogativa de las personas para buscar, difundir, investigar, recabar, recibir y solicitar información pública, sin necesidad de acreditar personalidad ni interés jurídico.</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rPr>
        <w:t>Toda la información generada, obtenida, adquirida, transformada, administrada o en posesión de los sujetos obligados es pública y accesible de manera permanente a cualquier persona</w:t>
      </w:r>
      <w:r w:rsidRPr="009470CF">
        <w:rPr>
          <w:rFonts w:ascii="Palatino Linotype" w:eastAsia="Palatino Linotype" w:hAnsi="Palatino Linotype" w:cs="Palatino Linotype"/>
          <w:i/>
          <w:iCs/>
          <w:color w:val="000000" w:themeColor="text1"/>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i/>
          <w:iCs/>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C11CCF" w:rsidRPr="009470CF" w:rsidRDefault="00C11CCF" w:rsidP="009470CF">
      <w:pPr>
        <w:rPr>
          <w:rFonts w:ascii="Palatino Linotype" w:eastAsia="Palatino Linotype" w:hAnsi="Palatino Linotype" w:cs="Palatino Linotype"/>
          <w:color w:val="000000" w:themeColor="text1"/>
        </w:rPr>
      </w:pP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rPr>
        <w:t>Artículo 12.</w:t>
      </w:r>
      <w:r w:rsidRPr="009470CF">
        <w:rPr>
          <w:rFonts w:ascii="Palatino Linotype" w:eastAsia="Palatino Linotype" w:hAnsi="Palatino Linotype" w:cs="Palatino Linotype"/>
          <w:i/>
          <w:iCs/>
          <w:color w:val="000000" w:themeColor="text1"/>
        </w:rPr>
        <w:t xml:space="preserve"> Quienes generen, recopilen, administren, manejen, procesen, archiven o conserven información pública serán responsables de la misma en los términos de las disposiciones jurídicas aplicables.</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rPr>
        <w:t>Los sujetos obligados sólo proporcionarán la información pública que se les requiera y que obre en sus archivos y en el estado en que ésta se encuentre.</w:t>
      </w:r>
      <w:r w:rsidRPr="009470CF">
        <w:rPr>
          <w:rFonts w:ascii="Palatino Linotype" w:eastAsia="Palatino Linotype" w:hAnsi="Palatino Linotype" w:cs="Palatino Linotype"/>
          <w:i/>
          <w:iCs/>
          <w:color w:val="000000" w:themeColor="text1"/>
        </w:rPr>
        <w:t xml:space="preserve"> La obligación de proporcionar información no comprende el procesamiento de la misma, ni el presentarla conforme al interés del </w:t>
      </w:r>
      <w:r w:rsidRPr="009470CF">
        <w:rPr>
          <w:rFonts w:ascii="Palatino Linotype" w:eastAsia="Palatino Linotype" w:hAnsi="Palatino Linotype" w:cs="Palatino Linotype"/>
          <w:i/>
          <w:iCs/>
          <w:color w:val="000000" w:themeColor="text1"/>
        </w:rPr>
        <w:lastRenderedPageBreak/>
        <w:t>solicitante; no estarán obligados a generarla, resumirla, efectuar cálculos o practicar investigaciones.” </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(Énfasis añadido)</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Por consiguiente, los preceptos legales transcritos establecen que </w:t>
      </w:r>
      <w:r w:rsidRPr="009470CF">
        <w:rPr>
          <w:rFonts w:ascii="Palatino Linotype" w:eastAsia="Palatino Linotype" w:hAnsi="Palatino Linotype" w:cs="Palatino Linotype"/>
          <w:b/>
          <w:bCs/>
          <w:color w:val="000000" w:themeColor="text1"/>
        </w:rPr>
        <w:t xml:space="preserve">los sujetos obligados se encuentran constreñidos a entregar la información pública solicitada por los </w:t>
      </w:r>
      <w:r w:rsidRPr="009470CF">
        <w:rPr>
          <w:rFonts w:ascii="Palatino Linotype" w:eastAsia="Palatino Linotype" w:hAnsi="Palatino Linotype" w:cs="Palatino Linotype"/>
          <w:color w:val="000000" w:themeColor="text1"/>
        </w:rPr>
        <w:t xml:space="preserve">particulares que se encuentre en sus archivos o que obre en su posesión, </w:t>
      </w:r>
      <w:r w:rsidRPr="009470CF">
        <w:rPr>
          <w:rFonts w:ascii="Palatino Linotype" w:eastAsia="Palatino Linotype" w:hAnsi="Palatino Linotype" w:cs="Palatino Linotype"/>
          <w:b/>
          <w:bCs/>
          <w:color w:val="000000" w:themeColor="text1"/>
        </w:rPr>
        <w:t>privilegiando en todo momento el principio de máxima publicidad,</w:t>
      </w:r>
      <w:r w:rsidRPr="009470CF">
        <w:rPr>
          <w:rFonts w:ascii="Palatino Linotype" w:eastAsia="Palatino Linotype" w:hAnsi="Palatino Linotype" w:cs="Palatino Linotype"/>
          <w:color w:val="000000" w:themeColor="text1"/>
        </w:rPr>
        <w:t xml:space="preserve"> sin generarla, procesarla, resumirla, ni presentarla conforme al interés del solicitante. </w:t>
      </w:r>
    </w:p>
    <w:p w:rsidR="00C11CCF" w:rsidRPr="009470CF" w:rsidRDefault="00C11CCF" w:rsidP="009470C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Queda de manifiesto entonces que, </w:t>
      </w:r>
      <w:r w:rsidRPr="009470CF">
        <w:rPr>
          <w:rFonts w:ascii="Palatino Linotype" w:eastAsia="Palatino Linotype" w:hAnsi="Palatino Linotype" w:cs="Palatino Linotype"/>
          <w:b/>
          <w:bCs/>
          <w:color w:val="000000" w:themeColor="text1"/>
        </w:rPr>
        <w:t xml:space="preserve">se considera información pública al conjunto de datos que posee cualquier autoridad, obtenidos en virtud del ejercicio de sus </w:t>
      </w:r>
      <w:r w:rsidRPr="009470CF">
        <w:rPr>
          <w:rFonts w:ascii="Palatino Linotype" w:eastAsia="Palatino Linotype" w:hAnsi="Palatino Linotype" w:cs="Palatino Linotype"/>
          <w:color w:val="000000" w:themeColor="text1"/>
        </w:rPr>
        <w:t>funciones</w:t>
      </w:r>
      <w:r w:rsidRPr="009470CF">
        <w:rPr>
          <w:rFonts w:ascii="Palatino Linotype" w:eastAsia="Palatino Linotype" w:hAnsi="Palatino Linotype" w:cs="Palatino Linotype"/>
          <w:b/>
          <w:bCs/>
          <w:color w:val="000000" w:themeColor="text1"/>
        </w:rPr>
        <w:t xml:space="preserve"> de derecho público</w:t>
      </w:r>
      <w:r w:rsidRPr="009470CF">
        <w:rPr>
          <w:rFonts w:ascii="Palatino Linotype" w:eastAsia="Palatino Linotype" w:hAnsi="Palatino Linotype" w:cs="Palatino Linotype"/>
          <w:color w:val="000000" w:themeColor="text1"/>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w:t>
      </w:r>
      <w:r w:rsidRPr="009470CF">
        <w:rPr>
          <w:rFonts w:ascii="Palatino Linotype" w:eastAsia="Palatino Linotype" w:hAnsi="Palatino Linotype" w:cs="Palatino Linotype"/>
          <w:b/>
          <w:bCs/>
          <w:i/>
          <w:iCs/>
          <w:color w:val="000000" w:themeColor="text1"/>
        </w:rPr>
        <w:t>INFORMACIÓN PÚBLICA. ES AQUELLA QUE SE ENCUENTRA EN POSESIÓN DE CUALQUIER AUTORIDAD, ENTIDAD, ÓRGANO Y ORGANISMO FEDERAL, ESTATAL Y MUNICIPAL, SIEMPRE QUE SE HAYA OBTENIDO POR CAUSA DEL EJERCICIO DE FUNCIONES DE DERECHO PÚBLICO.</w:t>
      </w:r>
      <w:r w:rsidRPr="009470CF">
        <w:rPr>
          <w:rFonts w:ascii="Palatino Linotype" w:eastAsia="Palatino Linotype" w:hAnsi="Palatino Linotype" w:cs="Palatino Linotype"/>
          <w:i/>
          <w:iCs/>
          <w:color w:val="000000" w:themeColor="text1"/>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w:t>
      </w:r>
      <w:r w:rsidRPr="009470CF">
        <w:rPr>
          <w:rFonts w:ascii="Palatino Linotype" w:eastAsia="Palatino Linotype" w:hAnsi="Palatino Linotype" w:cs="Palatino Linotype"/>
          <w:i/>
          <w:iCs/>
          <w:color w:val="000000" w:themeColor="text1"/>
        </w:rPr>
        <w:lastRenderedPageBreak/>
        <w:t>la Constitución Política de los Estados Unidos Mexicanos, en relación con los numerales 1, 2, 4 y 6 de la Ley Federal de Transparencia y Acceso a la Información Pública Gubernamental” (sic)</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Asimismo, el artículo 24 de la Ley de Transparencia y Acceso a la Información Pública del Estado de México y Municipios,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C11CCF" w:rsidRPr="009470CF" w:rsidRDefault="00C11CCF" w:rsidP="009470CF">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w:t>
      </w:r>
      <w:r w:rsidRPr="009470CF">
        <w:rPr>
          <w:rFonts w:ascii="Palatino Linotype" w:eastAsia="Palatino Linotype" w:hAnsi="Palatino Linotype" w:cs="Palatino Linotype"/>
          <w:b/>
          <w:bCs/>
          <w:i/>
          <w:iCs/>
          <w:color w:val="000000" w:themeColor="text1"/>
        </w:rPr>
        <w:t xml:space="preserve">Artículo 3. </w:t>
      </w:r>
      <w:r w:rsidRPr="009470CF">
        <w:rPr>
          <w:rFonts w:ascii="Palatino Linotype" w:eastAsia="Palatino Linotype" w:hAnsi="Palatino Linotype" w:cs="Palatino Linotype"/>
          <w:i/>
          <w:iCs/>
          <w:color w:val="000000" w:themeColor="text1"/>
        </w:rPr>
        <w:t>Para los efectos de la presente Ley se entenderá por:</w:t>
      </w:r>
    </w:p>
    <w:p w:rsidR="00C11CCF" w:rsidRPr="009470CF" w:rsidRDefault="00144B5A" w:rsidP="009470CF">
      <w:pPr>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XI. Documento:</w:t>
      </w:r>
      <w:r w:rsidRPr="009470CF">
        <w:rPr>
          <w:rFonts w:ascii="Palatino Linotype" w:eastAsia="Palatino Linotype" w:hAnsi="Palatino Linotype" w:cs="Palatino Linotype"/>
          <w:i/>
          <w:iCs/>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11CCF" w:rsidRPr="009470CF" w:rsidRDefault="00144B5A" w:rsidP="009470CF">
      <w:pPr>
        <w:jc w:val="center"/>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w:t>
      </w:r>
      <w:r w:rsidRPr="009470CF">
        <w:rPr>
          <w:rFonts w:ascii="Palatino Linotype" w:eastAsia="Palatino Linotype" w:hAnsi="Palatino Linotype" w:cs="Palatino Linotype"/>
          <w:b/>
          <w:bCs/>
          <w:i/>
          <w:iCs/>
          <w:color w:val="000000" w:themeColor="text1"/>
        </w:rPr>
        <w:t>CRITERIO 0002-11</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u w:val="single"/>
        </w:rPr>
        <w:t>INFORMACIÓN PÚBLICA, CONCEPTO DE, EN MATERIA DE TRANSPARENCIA. INTERPRETACIÓN SISTEMÁTICA DE LOS ARTÍCULOS 2°, FRACCIÓN V, XV, Y XVI, 3°, 4°, 11 Y 41.</w:t>
      </w:r>
      <w:r w:rsidRPr="009470CF">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i/>
          <w:iCs/>
          <w:color w:val="000000" w:themeColor="text1"/>
          <w:u w:val="single"/>
        </w:rPr>
        <w:t>1) Que se trate de información registrada en cualquier soporte documental, que en ejercicio de las atribuciones conferidas, sea generada por los Sujetos Obligados;</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i/>
          <w:iCs/>
          <w:color w:val="000000" w:themeColor="text1"/>
        </w:rPr>
        <w:t xml:space="preserve">2) Que se trate de </w:t>
      </w:r>
      <w:r w:rsidRPr="009470CF">
        <w:rPr>
          <w:rFonts w:ascii="Palatino Linotype" w:eastAsia="Palatino Linotype" w:hAnsi="Palatino Linotype" w:cs="Palatino Linotype"/>
          <w:b/>
          <w:bCs/>
          <w:i/>
          <w:iCs/>
          <w:color w:val="000000" w:themeColor="text1"/>
          <w:u w:val="single"/>
        </w:rPr>
        <w:t>información</w:t>
      </w:r>
      <w:r w:rsidRPr="009470CF">
        <w:rPr>
          <w:rFonts w:ascii="Palatino Linotype" w:eastAsia="Palatino Linotype" w:hAnsi="Palatino Linotype" w:cs="Palatino Linotype"/>
          <w:i/>
          <w:iCs/>
          <w:color w:val="000000" w:themeColor="text1"/>
        </w:rPr>
        <w:t xml:space="preserve"> registrada en cualquier soporte documental, que en ejercicio de las atribuciones conferidas, sea administrada por los Sujetos Obligados, y</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i/>
          <w:iCs/>
          <w:color w:val="000000" w:themeColor="text1"/>
        </w:rPr>
        <w:t>3) Que se trate de información registrada en cualquier soporte documental, que en ejercicio de las atribuciones conferidas, se encuentre en posesión de los Sujetos Obligados.”</w:t>
      </w:r>
    </w:p>
    <w:p w:rsidR="00C11CCF" w:rsidRPr="009470CF" w:rsidRDefault="00144B5A" w:rsidP="009470CF">
      <w:pPr>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(Énfasis Añadido)</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Del Criterio citado se puede advertir que el derecho acceso a la información se verifica cuando la solicitud verse, entre otras cosas, sobre información contenida en un soporte documental que en ejercicio de sus funciones generen los Sujetos Obligados.</w:t>
      </w:r>
    </w:p>
    <w:p w:rsidR="00C11CCF" w:rsidRPr="009470CF" w:rsidRDefault="00C11CCF" w:rsidP="009470CF">
      <w:pPr>
        <w:tabs>
          <w:tab w:val="left" w:pos="284"/>
        </w:tabs>
        <w:spacing w:line="360" w:lineRule="auto"/>
        <w:jc w:val="both"/>
        <w:rPr>
          <w:rFonts w:ascii="Palatino Linotype" w:eastAsia="Palatino Linotype" w:hAnsi="Palatino Linotype" w:cs="Palatino Linotype"/>
          <w:color w:val="000000" w:themeColor="text1"/>
        </w:rPr>
      </w:pPr>
      <w:bookmarkStart w:id="8" w:name="_heading=h.2s8eyo1" w:colFirst="0" w:colLast="0"/>
      <w:bookmarkEnd w:id="8"/>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Es así que la </w:t>
      </w:r>
      <w:r w:rsidRPr="009470CF">
        <w:rPr>
          <w:rFonts w:ascii="Palatino Linotype" w:eastAsia="Palatino Linotype" w:hAnsi="Palatino Linotype" w:cs="Palatino Linotype"/>
          <w:b/>
          <w:bCs/>
          <w:color w:val="000000" w:themeColor="text1"/>
        </w:rPr>
        <w:t xml:space="preserve">Ley de Transparencia y Acceso a la Información Pública del Estado de México y Municipios, </w:t>
      </w:r>
      <w:r w:rsidRPr="009470CF">
        <w:rPr>
          <w:rFonts w:ascii="Palatino Linotype" w:eastAsia="Palatino Linotype" w:hAnsi="Palatino Linotype" w:cs="Palatino Linotype"/>
          <w:color w:val="000000" w:themeColor="text1"/>
        </w:rPr>
        <w:t xml:space="preserve">cuyo objeto es establecer principios, bases generales y </w:t>
      </w:r>
      <w:r w:rsidRPr="009470CF">
        <w:rPr>
          <w:rFonts w:ascii="Palatino Linotype" w:eastAsia="Palatino Linotype" w:hAnsi="Palatino Linotype" w:cs="Palatino Linotype"/>
          <w:color w:val="000000" w:themeColor="text1"/>
        </w:rPr>
        <w:lastRenderedPageBreak/>
        <w:t>procedimientos para tutelar y garantizar la transparencia y el derecho humano de acceso a la información pública en posesión de los sujetos obligados; en su artículo 176</w:t>
      </w:r>
      <w:r w:rsidRPr="009470CF">
        <w:rPr>
          <w:rFonts w:ascii="Palatino Linotype" w:eastAsia="Palatino Linotype" w:hAnsi="Palatino Linotype" w:cs="Palatino Linotype"/>
          <w:b/>
          <w:bCs/>
          <w:color w:val="000000" w:themeColor="text1"/>
        </w:rPr>
        <w:t xml:space="preserve"> </w:t>
      </w:r>
      <w:r w:rsidRPr="009470CF">
        <w:rPr>
          <w:rFonts w:ascii="Palatino Linotype" w:eastAsia="Palatino Linotype" w:hAnsi="Palatino Linotype" w:cs="Palatino Linotype"/>
          <w:color w:val="000000" w:themeColor="text1"/>
        </w:rPr>
        <w:t xml:space="preserve">establece que </w:t>
      </w:r>
      <w:r w:rsidRPr="009470CF">
        <w:rPr>
          <w:rFonts w:ascii="Palatino Linotype" w:eastAsia="Palatino Linotype" w:hAnsi="Palatino Linotype" w:cs="Palatino Linotype"/>
          <w:b/>
          <w:bCs/>
          <w:i/>
          <w:iCs/>
          <w:color w:val="000000" w:themeColor="text1"/>
          <w:u w:val="single"/>
        </w:rPr>
        <w:t>el recurso de revisión es la garantía secundaria</w:t>
      </w:r>
      <w:r w:rsidRPr="009470CF">
        <w:rPr>
          <w:rFonts w:ascii="Palatino Linotype" w:eastAsia="Palatino Linotype" w:hAnsi="Palatino Linotype" w:cs="Palatino Linotype"/>
          <w:b/>
          <w:bCs/>
          <w:i/>
          <w:iCs/>
          <w:color w:val="000000" w:themeColor="text1"/>
        </w:rPr>
        <w:t xml:space="preserve"> mediante la cual se pretende reparar cualquier posible afectación al derecho de acceso a la información pública</w:t>
      </w:r>
      <w:r w:rsidRPr="009470CF">
        <w:rPr>
          <w:rFonts w:ascii="Palatino Linotype" w:eastAsia="Palatino Linotype" w:hAnsi="Palatino Linotype" w:cs="Palatino Linotype"/>
          <w:b/>
          <w:bCs/>
          <w:color w:val="000000" w:themeColor="text1"/>
        </w:rPr>
        <w:t>, s</w:t>
      </w:r>
      <w:r w:rsidRPr="009470CF">
        <w:rPr>
          <w:rFonts w:ascii="Palatino Linotype" w:eastAsia="Palatino Linotype" w:hAnsi="Palatino Linotype" w:cs="Palatino Linotype"/>
          <w:color w:val="000000" w:themeColor="text1"/>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C11CCF" w:rsidRPr="009470CF" w:rsidRDefault="00C11CCF" w:rsidP="009470CF">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C11CCF" w:rsidRPr="009470CF" w:rsidRDefault="00144B5A" w:rsidP="009470CF">
      <w:pPr>
        <w:numPr>
          <w:ilvl w:val="0"/>
          <w:numId w:val="1"/>
        </w:numPr>
        <w:pBdr>
          <w:top w:val="nil"/>
          <w:left w:val="nil"/>
          <w:bottom w:val="nil"/>
          <w:right w:val="nil"/>
          <w:between w:val="nil"/>
        </w:pBdr>
        <w:spacing w:line="360" w:lineRule="auto"/>
        <w:ind w:left="0"/>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color w:val="000000" w:themeColor="text1"/>
        </w:rPr>
        <w:t>Ahora bien, para entender los alcances de la información pública se considera importante citar el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C11CCF" w:rsidRPr="009470CF" w:rsidRDefault="00144B5A" w:rsidP="009470CF">
      <w:pPr>
        <w:spacing w:line="360" w:lineRule="auto"/>
        <w:jc w:val="both"/>
        <w:rPr>
          <w:rFonts w:ascii="Palatino Linotype" w:eastAsia="Palatino Linotype" w:hAnsi="Palatino Linotype" w:cs="Palatino Linotype"/>
          <w:b/>
          <w:bCs/>
          <w:i/>
          <w:iCs/>
          <w:color w:val="000000" w:themeColor="text1"/>
        </w:rPr>
      </w:pPr>
      <w:r w:rsidRPr="009470CF">
        <w:rPr>
          <w:rFonts w:ascii="Palatino Linotype" w:eastAsia="Palatino Linotype" w:hAnsi="Palatino Linotype" w:cs="Palatino Linotype"/>
          <w:b/>
          <w:bCs/>
          <w:i/>
          <w:iCs/>
          <w:color w:val="000000" w:themeColor="text1"/>
        </w:rPr>
        <w:t>“CRITERIO 0002-11</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INFORMACIÓN PÚBLICA, CONCEPTO DE, EN MATERIA DE TRANSPARENCIA. INTERPRETACIÓN TEMÁTICA DE LOS ARTÍCULOS 2, FRACCIÓN V, XV, Y XVI, 3, 4,11 Y 41.</w:t>
      </w:r>
      <w:r w:rsidRPr="009470CF">
        <w:rPr>
          <w:rFonts w:ascii="Palatino Linotype" w:eastAsia="Palatino Linotype" w:hAnsi="Palatino Linotype" w:cs="Palatino Linotype"/>
          <w:i/>
          <w:iCs/>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En consecuencia el acceso a la información se refiere a que se cumplan cualquiera de los siguientes tres supuestos:</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lastRenderedPageBreak/>
        <w:t>Que se trate de información registrada en cualquier soporte documental, que en ejercicio de las atribuciones conferidas, sea generada por los Sujetos Obligados;</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Que se trate de información registrada en cualquier soporte documental, que en ejercicio de las atribuciones conferidas, sea administrada por los Sujetos Obligados, y</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Que se trate de información registrada en cualquier soporte documental, que en ejercicio de las atribuciones conferidas, se encuentre en posesión de los Sujetos Obligados.”</w:t>
      </w:r>
    </w:p>
    <w:p w:rsidR="00C11CCF" w:rsidRPr="009470CF" w:rsidRDefault="00C11CCF" w:rsidP="009470CF">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El derecho de acceso a la información encuentra su materia elemental en los documentos, y la Ley de Transparencia local nos brinda el siguiente concepto, para darnos un mejor panorama:</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 xml:space="preserve">XI. Documento: </w:t>
      </w:r>
      <w:r w:rsidRPr="009470CF">
        <w:rPr>
          <w:rFonts w:ascii="Palatino Linotype" w:eastAsia="Palatino Linotype" w:hAnsi="Palatino Linotype" w:cs="Palatino Linotype"/>
          <w:i/>
          <w:iCs/>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C11CCF" w:rsidRPr="009470CF" w:rsidRDefault="00C11CCF" w:rsidP="009470CF">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rsidR="00C11CCF" w:rsidRPr="009470CF"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Resulta necesario referir que, el artículo 6° apartado A fracción I, de la Constitución Política de los Estados Unidos Mexicanos, artículo 5 fracción I de la Constitución Política </w:t>
      </w:r>
      <w:r w:rsidRPr="009470CF">
        <w:rPr>
          <w:rFonts w:ascii="Palatino Linotype" w:eastAsia="Palatino Linotype" w:hAnsi="Palatino Linotype" w:cs="Palatino Linotype"/>
          <w:color w:val="000000" w:themeColor="text1"/>
        </w:rPr>
        <w:lastRenderedPageBreak/>
        <w:t xml:space="preserve">del Estado Libre y Soberano de México y el artículo 18 de la Ley de Transparencia y Acceso a la Información Pública del Estado de México y Municipios, guardan una estrecha relación, puesto que los ordenamientos citados concurren refiriendo que </w:t>
      </w:r>
      <w:r w:rsidRPr="009470CF">
        <w:rPr>
          <w:rFonts w:ascii="Palatino Linotype" w:eastAsia="Palatino Linotype" w:hAnsi="Palatino Linotype" w:cs="Palatino Linotype"/>
          <w:b/>
          <w:bCs/>
          <w:color w:val="000000" w:themeColor="text1"/>
        </w:rPr>
        <w:t>los Sujetos Obligados deberán documentar todo acto que se derive del ejercicio de sus facultades, competencias o funciones,</w:t>
      </w:r>
      <w:r w:rsidRPr="009470CF">
        <w:rPr>
          <w:rFonts w:ascii="Palatino Linotype" w:eastAsia="Palatino Linotype" w:hAnsi="Palatino Linotype" w:cs="Palatino Linotype"/>
          <w:color w:val="000000" w:themeColor="text1"/>
        </w:rPr>
        <w:t xml:space="preserve"> considerando desde su origen la eventual publicidad y reutilización de la información que generen, posean o administren.</w:t>
      </w:r>
    </w:p>
    <w:p w:rsidR="00C11CCF" w:rsidRPr="009470CF" w:rsidRDefault="00C11CCF" w:rsidP="009470CF">
      <w:pPr>
        <w:pBdr>
          <w:top w:val="nil"/>
          <w:left w:val="nil"/>
          <w:bottom w:val="nil"/>
          <w:right w:val="nil"/>
          <w:between w:val="nil"/>
        </w:pBdr>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Además, debemos tomar en cuenta los artículos 4 y 12 (antes transcrito), de la Ley de Transparencia y Acceso a la Información Pública del Estado de México y Municipios, los cuales establecen lo siguiente:</w:t>
      </w: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 xml:space="preserve">Artículo 4. </w:t>
      </w:r>
      <w:r w:rsidRPr="009470CF">
        <w:rPr>
          <w:rFonts w:ascii="Palatino Linotype" w:eastAsia="Palatino Linotype" w:hAnsi="Palatino Linotype" w:cs="Palatino Linotype"/>
          <w:i/>
          <w:iCs/>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C11CCF" w:rsidRPr="009470CF" w:rsidRDefault="00C11CCF" w:rsidP="009470CF">
      <w:pPr>
        <w:spacing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C11CCF" w:rsidRPr="009470CF" w:rsidRDefault="00C11CCF" w:rsidP="009470CF">
      <w:pPr>
        <w:spacing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i/>
          <w:iCs/>
          <w:color w:val="000000" w:themeColor="text1"/>
        </w:rPr>
        <w:lastRenderedPageBreak/>
        <w:t>Los sujetos obligados deben poner en práctica, políticas y programas de acceso a la información que se apeguen a criterios de publicidad, veracidad, oportunidad, precisión y suficiencia en beneficio de los solicitantes.</w:t>
      </w:r>
    </w:p>
    <w:p w:rsidR="00C11CCF" w:rsidRPr="009470CF" w:rsidRDefault="00C11CCF" w:rsidP="009470CF">
      <w:pPr>
        <w:spacing w:line="360" w:lineRule="auto"/>
        <w:jc w:val="both"/>
        <w:rPr>
          <w:rFonts w:ascii="Palatino Linotype" w:eastAsia="Palatino Linotype" w:hAnsi="Palatino Linotype" w:cs="Palatino Linotype"/>
          <w:i/>
          <w:iCs/>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9470CF">
        <w:rPr>
          <w:rFonts w:ascii="Palatino Linotype" w:eastAsia="Palatino Linotype" w:hAnsi="Palatino Linotype" w:cs="Palatino Linotype"/>
          <w:color w:val="000000" w:themeColor="text1"/>
          <w:vertAlign w:val="superscript"/>
        </w:rPr>
        <w:footnoteReference w:id="1"/>
      </w:r>
      <w:r w:rsidRPr="009470CF">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C11CCF" w:rsidRPr="009470CF" w:rsidRDefault="00C11CCF" w:rsidP="009470CF">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C11CCF" w:rsidRPr="009470CF" w:rsidRDefault="00144B5A" w:rsidP="009470CF">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i/>
          <w:iCs/>
          <w:color w:val="000000" w:themeColor="text1"/>
        </w:rPr>
      </w:pPr>
      <w:r w:rsidRPr="009470CF">
        <w:rPr>
          <w:rFonts w:ascii="Palatino Linotype" w:eastAsia="Palatino Linotype" w:hAnsi="Palatino Linotype" w:cs="Palatino Linotype"/>
          <w:b/>
          <w:bCs/>
          <w:i/>
          <w:iCs/>
          <w:color w:val="000000" w:themeColor="text1"/>
        </w:rPr>
        <w:t>ACCESO A LA INFORMACIÓN. IMPLICACIÓN DEL PRINCIPIO DE MÁXIMA PUBLICIDAD EN EL DERECHO FUNDAMENTAL RELATIVO.</w:t>
      </w:r>
      <w:r w:rsidRPr="009470CF">
        <w:rPr>
          <w:rFonts w:ascii="Palatino Linotype" w:eastAsia="Palatino Linotype" w:hAnsi="Palatino Linotype" w:cs="Palatino Linotype"/>
          <w:i/>
          <w:iCs/>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w:t>
      </w:r>
      <w:r w:rsidRPr="009470CF">
        <w:rPr>
          <w:rFonts w:ascii="Palatino Linotype" w:eastAsia="Palatino Linotype" w:hAnsi="Palatino Linotype" w:cs="Palatino Linotype"/>
          <w:i/>
          <w:iCs/>
          <w:color w:val="000000" w:themeColor="text1"/>
        </w:rPr>
        <w:lastRenderedPageBreak/>
        <w:t>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C11CCF" w:rsidRPr="009470CF" w:rsidRDefault="00C11CCF" w:rsidP="009470CF">
      <w:pPr>
        <w:tabs>
          <w:tab w:val="left" w:pos="851"/>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Como se ha señalado, los Sujetos Obligados deberán proporcionar toda la información que se encuentre en su posesión bajo los estándares más altos de transparencia y máxima publicidad. </w:t>
      </w:r>
    </w:p>
    <w:p w:rsidR="009B7E39" w:rsidRPr="009470CF" w:rsidRDefault="009B7E39" w:rsidP="009470CF">
      <w:pPr>
        <w:spacing w:line="360" w:lineRule="auto"/>
        <w:jc w:val="both"/>
        <w:rPr>
          <w:rFonts w:ascii="Palatino Linotype" w:eastAsia="Palatino Linotype" w:hAnsi="Palatino Linotype" w:cs="Palatino Linotype"/>
          <w:color w:val="000000" w:themeColor="text1"/>
        </w:rPr>
      </w:pPr>
    </w:p>
    <w:p w:rsidR="009B7E39" w:rsidRPr="005A0970" w:rsidRDefault="009B7E39" w:rsidP="009470CF">
      <w:pPr>
        <w:numPr>
          <w:ilvl w:val="0"/>
          <w:numId w:val="1"/>
        </w:numPr>
        <w:spacing w:line="360" w:lineRule="auto"/>
        <w:ind w:left="0"/>
        <w:jc w:val="both"/>
        <w:rPr>
          <w:rFonts w:ascii="Palatino Linotype" w:eastAsia="Palatino Linotype" w:hAnsi="Palatino Linotype" w:cs="Palatino Linotype"/>
          <w:bCs/>
          <w:color w:val="000000" w:themeColor="text1"/>
        </w:rPr>
      </w:pPr>
      <w:r w:rsidRPr="005A0970">
        <w:rPr>
          <w:rFonts w:ascii="Palatino Linotype" w:eastAsia="Palatino Linotype" w:hAnsi="Palatino Linotype" w:cs="Palatino Linotype"/>
          <w:color w:val="000000" w:themeColor="text1"/>
        </w:rPr>
        <w:t xml:space="preserve">Ahora bien, de </w:t>
      </w:r>
      <w:r w:rsidRPr="005A0970">
        <w:rPr>
          <w:rFonts w:ascii="Palatino Linotype" w:eastAsia="Palatino Linotype" w:hAnsi="Palatino Linotype" w:cs="Palatino Linotype"/>
          <w:bCs/>
          <w:color w:val="000000" w:themeColor="text1"/>
        </w:rPr>
        <w:t xml:space="preserve">ser el caso de que la información que se ordena entregar en el relativa a los procesos de adjudicación no haya sido generada, poseída o administrada, ya que en </w:t>
      </w:r>
      <w:r w:rsidRPr="005A0970">
        <w:rPr>
          <w:rFonts w:ascii="Palatino Linotype" w:eastAsia="Palatino Linotype" w:hAnsi="Palatino Linotype" w:cs="Palatino Linotype"/>
          <w:bCs/>
          <w:color w:val="000000" w:themeColor="text1"/>
        </w:rPr>
        <w:lastRenderedPageBreak/>
        <w:t xml:space="preserve">atención al monto de compra no hayan realizado dichos procesos, el </w:t>
      </w:r>
      <w:r w:rsidRPr="005A0970">
        <w:rPr>
          <w:rFonts w:ascii="Palatino Linotype" w:eastAsia="Palatino Linotype" w:hAnsi="Palatino Linotype" w:cs="Palatino Linotype"/>
          <w:b/>
          <w:bCs/>
          <w:color w:val="000000" w:themeColor="text1"/>
        </w:rPr>
        <w:t>SUJETO OBLIGADO</w:t>
      </w:r>
      <w:r w:rsidRPr="005A0970">
        <w:rPr>
          <w:rFonts w:ascii="Palatino Linotype" w:eastAsia="Palatino Linotype" w:hAnsi="Palatino Linotype" w:cs="Palatino Linotype"/>
          <w:bCs/>
          <w:color w:val="000000" w:themeColor="text1"/>
        </w:rPr>
        <w:t xml:space="preserve"> deberá de hacerlo de conocimiento, de forma clara y precisa al </w:t>
      </w:r>
      <w:r w:rsidRPr="005A0970">
        <w:rPr>
          <w:rFonts w:ascii="Palatino Linotype" w:eastAsia="Palatino Linotype" w:hAnsi="Palatino Linotype" w:cs="Palatino Linotype"/>
          <w:b/>
          <w:bCs/>
          <w:color w:val="000000" w:themeColor="text1"/>
        </w:rPr>
        <w:t>PARTICULAR.</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Es así que, se arriba a la conclusión de no tenerse por colmada en su totalidad la solicitud de información </w:t>
      </w:r>
      <w:r w:rsidRPr="009470CF">
        <w:rPr>
          <w:rFonts w:ascii="Palatino Linotype" w:eastAsia="Palatino Linotype" w:hAnsi="Palatino Linotype" w:cs="Palatino Linotype"/>
          <w:b/>
          <w:bCs/>
          <w:color w:val="000000" w:themeColor="text1"/>
        </w:rPr>
        <w:t xml:space="preserve">00077/TEZOYUCA/IP/2025, </w:t>
      </w:r>
      <w:r w:rsidRPr="009470CF">
        <w:rPr>
          <w:rFonts w:ascii="Palatino Linotype" w:eastAsia="Palatino Linotype" w:hAnsi="Palatino Linotype" w:cs="Palatino Linotype"/>
          <w:color w:val="000000" w:themeColor="text1"/>
        </w:rPr>
        <w:t xml:space="preserve">resultando dable </w:t>
      </w:r>
      <w:r w:rsidRPr="009470CF">
        <w:rPr>
          <w:rFonts w:ascii="Palatino Linotype" w:eastAsia="Palatino Linotype" w:hAnsi="Palatino Linotype" w:cs="Palatino Linotype"/>
          <w:b/>
          <w:bCs/>
          <w:color w:val="000000" w:themeColor="text1"/>
        </w:rPr>
        <w:t xml:space="preserve">REVOCAR, </w:t>
      </w:r>
      <w:r w:rsidRPr="009470CF">
        <w:rPr>
          <w:rFonts w:ascii="Palatino Linotype" w:eastAsia="Palatino Linotype" w:hAnsi="Palatino Linotype" w:cs="Palatino Linotype"/>
          <w:color w:val="000000" w:themeColor="text1"/>
        </w:rPr>
        <w:t>la respuesta proporcionada y ordenar la información que dé cuenta de lo solicitado.</w:t>
      </w:r>
    </w:p>
    <w:p w:rsidR="00C11CCF" w:rsidRPr="009470CF" w:rsidRDefault="00144B5A" w:rsidP="009470CF">
      <w:pPr>
        <w:pStyle w:val="Ttulo1"/>
        <w:rPr>
          <w:b w:val="0"/>
          <w:bCs w:val="0"/>
          <w:color w:val="000000" w:themeColor="text1"/>
        </w:rPr>
      </w:pPr>
      <w:bookmarkStart w:id="9" w:name="_heading=h.17dp8vu" w:colFirst="0" w:colLast="0"/>
      <w:bookmarkEnd w:id="9"/>
      <w:r w:rsidRPr="009470CF">
        <w:rPr>
          <w:color w:val="000000" w:themeColor="text1"/>
        </w:rPr>
        <w:t>QUINTO. De la versión pública.</w:t>
      </w:r>
    </w:p>
    <w:p w:rsidR="00C11CCF" w:rsidRPr="009470CF" w:rsidRDefault="00144B5A" w:rsidP="009470CF">
      <w:pPr>
        <w:pStyle w:val="Ttulo1"/>
        <w:numPr>
          <w:ilvl w:val="0"/>
          <w:numId w:val="4"/>
        </w:numPr>
        <w:tabs>
          <w:tab w:val="left" w:pos="284"/>
        </w:tabs>
        <w:spacing w:before="0" w:line="360" w:lineRule="auto"/>
        <w:ind w:left="0" w:firstLine="0"/>
        <w:rPr>
          <w:b w:val="0"/>
          <w:bCs w:val="0"/>
          <w:color w:val="000000" w:themeColor="text1"/>
        </w:rPr>
      </w:pPr>
      <w:r w:rsidRPr="009470CF">
        <w:rPr>
          <w:color w:val="000000" w:themeColor="text1"/>
        </w:rPr>
        <w:t xml:space="preserve">Nociones generales. </w:t>
      </w: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Debe destacarse que, debido a la naturaleza de la información solicitada</w:t>
      </w:r>
      <w:r w:rsidRPr="009470CF">
        <w:rPr>
          <w:rFonts w:ascii="Palatino Linotype" w:eastAsia="Palatino Linotype" w:hAnsi="Palatino Linotype" w:cs="Palatino Linotype"/>
          <w:b/>
          <w:bCs/>
          <w:color w:val="000000" w:themeColor="text1"/>
        </w:rPr>
        <w:t xml:space="preserve">, </w:t>
      </w:r>
      <w:r w:rsidRPr="009470CF">
        <w:rPr>
          <w:rFonts w:ascii="Palatino Linotype" w:eastAsia="Palatino Linotype" w:hAnsi="Palatino Linotype" w:cs="Palatino Linotype"/>
          <w:color w:val="000000" w:themeColor="text1"/>
        </w:rPr>
        <w:t xml:space="preserve">eventualmente pudiera obrar datos personales susceptibles de protegerse, el </w:t>
      </w:r>
      <w:r w:rsidRPr="009470CF">
        <w:rPr>
          <w:rFonts w:ascii="Palatino Linotype" w:eastAsia="Palatino Linotype" w:hAnsi="Palatino Linotype" w:cs="Palatino Linotype"/>
          <w:b/>
          <w:bCs/>
          <w:color w:val="000000" w:themeColor="text1"/>
        </w:rPr>
        <w:t xml:space="preserve">SUJETO OBLIGADO </w:t>
      </w:r>
      <w:r w:rsidRPr="009470CF">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C11CCF" w:rsidRPr="009470CF" w:rsidRDefault="00C11CCF" w:rsidP="009470CF">
      <w:pPr>
        <w:pBdr>
          <w:top w:val="nil"/>
          <w:left w:val="nil"/>
          <w:bottom w:val="nil"/>
          <w:right w:val="nil"/>
          <w:between w:val="nil"/>
        </w:pBdr>
        <w:tabs>
          <w:tab w:val="left" w:pos="0"/>
          <w:tab w:val="left" w:pos="284"/>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No pasa desapercibido para este Órgano Garante que los Sujetos Obligados 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C11CCF" w:rsidRPr="009470CF" w:rsidRDefault="00C11CCF" w:rsidP="009470CF">
      <w:pPr>
        <w:tabs>
          <w:tab w:val="left" w:pos="284"/>
        </w:tabs>
        <w:spacing w:line="360" w:lineRule="auto"/>
        <w:jc w:val="both"/>
        <w:rPr>
          <w:rFonts w:ascii="Palatino Linotype" w:eastAsia="Palatino Linotype" w:hAnsi="Palatino Linotype" w:cs="Palatino Linotype"/>
          <w:color w:val="000000" w:themeColor="text1"/>
        </w:rPr>
      </w:pPr>
    </w:p>
    <w:tbl>
      <w:tblPr>
        <w:tblStyle w:val="a0"/>
        <w:tblW w:w="951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5"/>
        <w:gridCol w:w="6990"/>
      </w:tblGrid>
      <w:tr w:rsidR="009470CF" w:rsidRPr="009470CF" w:rsidTr="00FE10B9">
        <w:tc>
          <w:tcPr>
            <w:tcW w:w="2525" w:type="dxa"/>
          </w:tcPr>
          <w:p w:rsidR="00C11CCF" w:rsidRPr="009470CF" w:rsidRDefault="00144B5A" w:rsidP="009470CF">
            <w:pPr>
              <w:tabs>
                <w:tab w:val="left" w:pos="284"/>
              </w:tabs>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 Requisitos previos.</w:t>
            </w:r>
          </w:p>
        </w:tc>
        <w:tc>
          <w:tcPr>
            <w:tcW w:w="6990" w:type="dxa"/>
          </w:tcPr>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Los artículos 100 y 122 de la Ley Estatal y de la Ley General, vigente al momento de interponer la solicitud de información, respectivamente, señalan que si los Sujetos Obligados determinan que la información actualiza alguno de los </w:t>
            </w:r>
            <w:r w:rsidRPr="009470CF">
              <w:rPr>
                <w:rFonts w:ascii="Palatino Linotype" w:eastAsia="Palatino Linotype" w:hAnsi="Palatino Linotype" w:cs="Palatino Linotype"/>
                <w:color w:val="000000" w:themeColor="text1"/>
              </w:rPr>
              <w:lastRenderedPageBreak/>
              <w:t xml:space="preserve">supuestos de clasificación, es deber de los titulares de las áreas proponer su clasificación y no del Comité de Transparencia. </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Al hacerlo tienen que precisar de qué información se trata, señalando el supuesto de clasificación (confidencialidad o reserva).</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Además, se debe señalar el procedimiento, de los tres que establecen los artículos 132 y 106 de la Ley Estatal y General vigente al momento de interponer la solicitud de información, respectivamente.</w:t>
            </w:r>
          </w:p>
          <w:p w:rsidR="00C11CCF" w:rsidRPr="009470CF" w:rsidRDefault="00C11CCF" w:rsidP="009470CF">
            <w:pPr>
              <w:tabs>
                <w:tab w:val="left" w:pos="284"/>
              </w:tabs>
              <w:jc w:val="both"/>
              <w:rPr>
                <w:rFonts w:ascii="Palatino Linotype" w:eastAsia="Palatino Linotype" w:hAnsi="Palatino Linotype" w:cs="Palatino Linotype"/>
                <w:color w:val="000000" w:themeColor="text1"/>
              </w:rPr>
            </w:pP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El último de estos requisitos previos consiste en que no se pueden emitir acuerdos de carácter general ni particular, esto es, </w:t>
            </w:r>
            <w:r w:rsidRPr="009470CF">
              <w:rPr>
                <w:rFonts w:ascii="Palatino Linotype" w:eastAsia="Palatino Linotype" w:hAnsi="Palatino Linotype" w:cs="Palatino Linotype"/>
                <w:color w:val="000000" w:themeColor="text1"/>
                <w:u w:val="single"/>
              </w:rPr>
              <w:t>no se puede hacer un acuerdo para clasificar de manera general todos los documentos de un expediente o área, sin</w:t>
            </w:r>
            <w:r w:rsidRPr="009470CF">
              <w:rPr>
                <w:rFonts w:ascii="Palatino Linotype" w:eastAsia="Palatino Linotype" w:hAnsi="Palatino Linotype" w:cs="Palatino Linotype"/>
                <w:color w:val="000000" w:themeColor="text1"/>
              </w:rPr>
              <w:t xml:space="preserve"> individualizar su análisis y tampoco se puede hacer un acuerdo por cada dato que se vaya a clasificar dentro de un documento con diez datos, por ejemplo, susceptibles de ser clasificados.</w:t>
            </w:r>
          </w:p>
        </w:tc>
      </w:tr>
      <w:tr w:rsidR="009470CF" w:rsidRPr="009470CF" w:rsidTr="00FE10B9">
        <w:tc>
          <w:tcPr>
            <w:tcW w:w="2525" w:type="dxa"/>
          </w:tcPr>
          <w:p w:rsidR="00C11CCF" w:rsidRPr="009470CF" w:rsidRDefault="00144B5A" w:rsidP="009470CF">
            <w:pPr>
              <w:tabs>
                <w:tab w:val="left" w:pos="284"/>
              </w:tabs>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b) Supuestos de clasificación.</w:t>
            </w:r>
          </w:p>
        </w:tc>
        <w:tc>
          <w:tcPr>
            <w:tcW w:w="6990" w:type="dxa"/>
          </w:tcPr>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Las disposiciones constitucionales y legales en la materia establecen los dos supuestos generales para clasificar la información: por reserva y por confidencialidad.</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Los artículos 116 y 143 de la Ley Estatal y de la Ley General, vigente al momento de interponer la solicitud de información, 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El </w:t>
            </w:r>
            <w:r w:rsidRPr="009470CF">
              <w:rPr>
                <w:rFonts w:ascii="Palatino Linotype" w:eastAsia="Palatino Linotype" w:hAnsi="Palatino Linotype" w:cs="Palatino Linotype"/>
                <w:b/>
                <w:bCs/>
                <w:color w:val="000000" w:themeColor="text1"/>
              </w:rPr>
              <w:t>Sujeto Obligado</w:t>
            </w:r>
            <w:r w:rsidRPr="009470CF">
              <w:rPr>
                <w:rFonts w:ascii="Palatino Linotype" w:eastAsia="Palatino Linotype" w:hAnsi="Palatino Linotype" w:cs="Palatino Linotype"/>
                <w:color w:val="000000" w:themeColor="text1"/>
              </w:rPr>
              <w:t xml:space="preserve"> debe identificar claramente el tipo de información y hacer un juicio de subsunción o encaje para acreditar que el supuesto de hecho corresponde estrictamente con la hipótesis jurídica. Esto también lo debe de realizar el </w:t>
            </w:r>
            <w:r w:rsidRPr="009470CF">
              <w:rPr>
                <w:rFonts w:ascii="Palatino Linotype" w:eastAsia="Palatino Linotype" w:hAnsi="Palatino Linotype" w:cs="Palatino Linotype"/>
                <w:color w:val="000000" w:themeColor="text1"/>
              </w:rPr>
              <w:lastRenderedPageBreak/>
              <w:t>servidor público habilitado y el titular del área que administra la información.</w:t>
            </w:r>
          </w:p>
        </w:tc>
      </w:tr>
      <w:tr w:rsidR="009470CF" w:rsidRPr="009470CF" w:rsidTr="00FE10B9">
        <w:tc>
          <w:tcPr>
            <w:tcW w:w="2525" w:type="dxa"/>
          </w:tcPr>
          <w:p w:rsidR="00C11CCF" w:rsidRPr="009470CF" w:rsidRDefault="00144B5A" w:rsidP="009470CF">
            <w:pPr>
              <w:tabs>
                <w:tab w:val="left" w:pos="284"/>
              </w:tabs>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lastRenderedPageBreak/>
              <w:t>c) Formalidades para emitir el acuerdo de clasificación.</w:t>
            </w:r>
          </w:p>
        </w:tc>
        <w:tc>
          <w:tcPr>
            <w:tcW w:w="6990" w:type="dxa"/>
          </w:tcPr>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El Comité de Transparencia, según lo dispuesto en los artículos cuenta con las facultades para aprobar, modificar o revocar la clasificación de la información que haya propuesto. </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Es necesario que </w:t>
            </w:r>
            <w:r w:rsidRPr="009470CF">
              <w:rPr>
                <w:rFonts w:ascii="Palatino Linotype" w:eastAsia="Palatino Linotype" w:hAnsi="Palatino Linotype" w:cs="Palatino Linotype"/>
                <w:b/>
                <w:bCs/>
                <w:color w:val="000000" w:themeColor="text1"/>
                <w:u w:val="single"/>
              </w:rPr>
              <w:t>el acto reúna con los requisitos elementales</w:t>
            </w:r>
            <w:r w:rsidRPr="009470CF">
              <w:rPr>
                <w:rFonts w:ascii="Palatino Linotype" w:eastAsia="Palatino Linotype" w:hAnsi="Palatino Linotype" w:cs="Palatino Linotype"/>
                <w:color w:val="000000" w:themeColor="text1"/>
              </w:rPr>
              <w:t>, entre ellos, que la autoridad que va a emitir el acto de autoridad sea la legalmente facultada para ello.</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9470CF" w:rsidRPr="009470CF" w:rsidTr="00FE10B9">
        <w:tc>
          <w:tcPr>
            <w:tcW w:w="2525" w:type="dxa"/>
          </w:tcPr>
          <w:p w:rsidR="00C11CCF" w:rsidRPr="009470CF" w:rsidRDefault="00C11CCF" w:rsidP="009470CF">
            <w:pPr>
              <w:tabs>
                <w:tab w:val="left" w:pos="284"/>
              </w:tabs>
              <w:rPr>
                <w:rFonts w:ascii="Palatino Linotype" w:eastAsia="Palatino Linotype" w:hAnsi="Palatino Linotype" w:cs="Palatino Linotype"/>
                <w:color w:val="000000" w:themeColor="text1"/>
              </w:rPr>
            </w:pP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d) Requisitos de fondo del acuerdo de clasificación. </w:t>
            </w:r>
          </w:p>
        </w:tc>
        <w:tc>
          <w:tcPr>
            <w:tcW w:w="6990" w:type="dxa"/>
          </w:tcPr>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9470CF">
              <w:rPr>
                <w:rFonts w:ascii="Palatino Linotype" w:eastAsia="Palatino Linotype" w:hAnsi="Palatino Linotype" w:cs="Palatino Linotype"/>
                <w:b/>
                <w:bCs/>
                <w:color w:val="000000" w:themeColor="text1"/>
              </w:rPr>
              <w:t>Sujetos Obligados</w:t>
            </w:r>
            <w:r w:rsidRPr="009470CF">
              <w:rPr>
                <w:rFonts w:ascii="Palatino Linotype" w:eastAsia="Palatino Linotype" w:hAnsi="Palatino Linotype" w:cs="Palatino Linotype"/>
                <w:color w:val="000000" w:themeColor="text1"/>
              </w:rPr>
              <w:t xml:space="preserve">, por lo que deberán fundar y motivar debidamente la clasificación. </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De lo anterior, se desprende que para una correcta </w:t>
            </w:r>
            <w:r w:rsidRPr="009470CF">
              <w:rPr>
                <w:rFonts w:ascii="Palatino Linotype" w:eastAsia="Palatino Linotype" w:hAnsi="Palatino Linotype" w:cs="Palatino Linotype"/>
                <w:b/>
                <w:bCs/>
                <w:color w:val="000000" w:themeColor="text1"/>
              </w:rPr>
              <w:t>clasificación total o parcial</w:t>
            </w:r>
            <w:r w:rsidRPr="009470CF">
              <w:rPr>
                <w:rFonts w:ascii="Palatino Linotype" w:eastAsia="Palatino Linotype" w:hAnsi="Palatino Linotype" w:cs="Palatino Linotype"/>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Así, en un acto de autoridad se cumple con la debida fundamentación cuando se cita el precepto legal aplicable al caso concreto y la debida motivación cuando se expresan las razones, </w:t>
            </w:r>
            <w:r w:rsidRPr="009470CF">
              <w:rPr>
                <w:rFonts w:ascii="Palatino Linotype" w:eastAsia="Palatino Linotype" w:hAnsi="Palatino Linotype" w:cs="Palatino Linotype"/>
                <w:color w:val="000000" w:themeColor="text1"/>
              </w:rPr>
              <w:lastRenderedPageBreak/>
              <w:t>motivos o circunstancias que tomó en cuenta la autoridad para adecuar el hecho a los fundamentos de derecho. De este modo, la persona que se sienta afectada pueda impugnar la decisión, permitiéndole una real y auténtica defensa.</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En ese mismo sentido, el numeral trigésimo tercero fracción V de los Lineamientos Generales, precisa que para motivar la clasificación se deben acreditar las circunstancias de tiempo, modo y lugar.</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Ahora bien, </w:t>
            </w:r>
            <w:r w:rsidRPr="009470CF">
              <w:rPr>
                <w:rFonts w:ascii="Palatino Linotype" w:eastAsia="Palatino Linotype" w:hAnsi="Palatino Linotype" w:cs="Palatino Linotype"/>
                <w:b/>
                <w:bCs/>
                <w:color w:val="000000" w:themeColor="text1"/>
                <w:u w:val="single"/>
              </w:rPr>
              <w:t>para cada caso además de fundar y motivar</w:t>
            </w:r>
            <w:r w:rsidRPr="009470CF">
              <w:rPr>
                <w:rFonts w:ascii="Palatino Linotype" w:eastAsia="Palatino Linotype" w:hAnsi="Palatino Linotype" w:cs="Palatino Linotype"/>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9470CF" w:rsidRPr="009470CF" w:rsidTr="00FE10B9">
        <w:tc>
          <w:tcPr>
            <w:tcW w:w="2525" w:type="dxa"/>
          </w:tcPr>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 Condiciones especiales de la clasificación de la información como confidencial. </w:t>
            </w:r>
          </w:p>
        </w:tc>
        <w:tc>
          <w:tcPr>
            <w:tcW w:w="6990" w:type="dxa"/>
          </w:tcPr>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11CCF" w:rsidRPr="009470CF" w:rsidRDefault="00144B5A" w:rsidP="009470CF">
            <w:pPr>
              <w:tabs>
                <w:tab w:val="left" w:pos="284"/>
              </w:tabs>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C11CCF" w:rsidRDefault="00C11CCF" w:rsidP="009470CF">
      <w:pPr>
        <w:spacing w:line="360" w:lineRule="auto"/>
        <w:jc w:val="both"/>
        <w:rPr>
          <w:rFonts w:ascii="Palatino Linotype" w:eastAsia="Palatino Linotype" w:hAnsi="Palatino Linotype" w:cs="Palatino Linotype"/>
          <w:color w:val="000000" w:themeColor="text1"/>
        </w:rPr>
      </w:pPr>
      <w:bookmarkStart w:id="10" w:name="_GoBack"/>
      <w:bookmarkEnd w:id="10"/>
    </w:p>
    <w:p w:rsidR="00586E50" w:rsidRPr="009470CF" w:rsidRDefault="00586E50"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numPr>
          <w:ilvl w:val="0"/>
          <w:numId w:val="1"/>
        </w:numPr>
        <w:spacing w:line="360" w:lineRule="auto"/>
        <w:ind w:left="0"/>
        <w:jc w:val="both"/>
        <w:rPr>
          <w:rFonts w:ascii="Palatino Linotype" w:eastAsia="Palatino Linotype" w:hAnsi="Palatino Linotype" w:cs="Palatino Linotype"/>
          <w:color w:val="000000" w:themeColor="text1"/>
        </w:rPr>
      </w:pPr>
      <w:bookmarkStart w:id="11" w:name="_heading=h.tyjcwt" w:colFirst="0" w:colLast="0"/>
      <w:bookmarkEnd w:id="11"/>
      <w:r w:rsidRPr="009470CF">
        <w:rPr>
          <w:rFonts w:ascii="Palatino Linotype" w:eastAsia="Palatino Linotype" w:hAnsi="Palatino Linotype" w:cs="Palatino Linotype"/>
          <w:color w:val="000000" w:themeColor="text1"/>
        </w:rPr>
        <w:lastRenderedPageBreak/>
        <w:t xml:space="preserve">Por lo anteriormente expuesto y fundado, este </w:t>
      </w:r>
      <w:r w:rsidRPr="009470CF">
        <w:rPr>
          <w:rFonts w:ascii="Palatino Linotype" w:eastAsia="Palatino Linotype" w:hAnsi="Palatino Linotype" w:cs="Palatino Linotype"/>
          <w:b/>
          <w:bCs/>
          <w:color w:val="000000" w:themeColor="text1"/>
        </w:rPr>
        <w:t>ÓRGANO GARANTE</w:t>
      </w:r>
      <w:r w:rsidRPr="009470CF">
        <w:rPr>
          <w:rFonts w:ascii="Palatino Linotype" w:eastAsia="Palatino Linotype" w:hAnsi="Palatino Linotype" w:cs="Palatino Linotype"/>
          <w:color w:val="000000" w:themeColor="text1"/>
        </w:rPr>
        <w:t xml:space="preserve"> emite los siguientes:</w:t>
      </w:r>
    </w:p>
    <w:p w:rsidR="00C11CCF" w:rsidRPr="009470CF" w:rsidRDefault="00C11CCF" w:rsidP="009470CF">
      <w:pPr>
        <w:keepNext/>
        <w:keepLines/>
        <w:spacing w:line="360" w:lineRule="auto"/>
        <w:rPr>
          <w:rFonts w:ascii="Palatino Linotype" w:eastAsia="Palatino Linotype" w:hAnsi="Palatino Linotype" w:cs="Palatino Linotype"/>
          <w:b/>
          <w:bCs/>
          <w:color w:val="000000" w:themeColor="text1"/>
        </w:rPr>
      </w:pPr>
      <w:bookmarkStart w:id="12" w:name="_heading=h.3rdcrjn" w:colFirst="0" w:colLast="0"/>
      <w:bookmarkEnd w:id="12"/>
    </w:p>
    <w:p w:rsidR="00C11CCF" w:rsidRPr="009470CF" w:rsidRDefault="00144B5A" w:rsidP="009470CF">
      <w:pPr>
        <w:pStyle w:val="Ttulo1"/>
        <w:spacing w:before="0" w:line="360" w:lineRule="auto"/>
        <w:jc w:val="center"/>
        <w:rPr>
          <w:b w:val="0"/>
          <w:bCs w:val="0"/>
          <w:color w:val="000000" w:themeColor="text1"/>
        </w:rPr>
      </w:pPr>
      <w:r w:rsidRPr="009470CF">
        <w:rPr>
          <w:color w:val="000000" w:themeColor="text1"/>
        </w:rPr>
        <w:t>R E S O L U T I V O S</w:t>
      </w:r>
    </w:p>
    <w:p w:rsidR="00C11CCF" w:rsidRPr="009470CF" w:rsidRDefault="00C11CCF" w:rsidP="009470CF">
      <w:pPr>
        <w:spacing w:line="360" w:lineRule="auto"/>
        <w:rPr>
          <w:rFonts w:ascii="Palatino Linotype" w:eastAsia="Palatino Linotype" w:hAnsi="Palatino Linotype" w:cs="Palatino Linotype"/>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b/>
          <w:bCs/>
          <w:color w:val="000000" w:themeColor="text1"/>
        </w:rPr>
        <w:t>PRIMERO</w:t>
      </w:r>
      <w:r w:rsidR="00F15500">
        <w:rPr>
          <w:rFonts w:ascii="Palatino Linotype" w:eastAsia="Palatino Linotype" w:hAnsi="Palatino Linotype" w:cs="Palatino Linotype"/>
          <w:color w:val="000000" w:themeColor="text1"/>
        </w:rPr>
        <w:t>. Resultan</w:t>
      </w:r>
      <w:r w:rsidRPr="009470CF">
        <w:rPr>
          <w:rFonts w:ascii="Palatino Linotype" w:eastAsia="Palatino Linotype" w:hAnsi="Palatino Linotype" w:cs="Palatino Linotype"/>
          <w:color w:val="000000" w:themeColor="text1"/>
        </w:rPr>
        <w:t xml:space="preserve"> fundadas las razones o motivos de inconformidad hechos valer en el Recurso de Revisión </w:t>
      </w:r>
      <w:r w:rsidRPr="009470CF">
        <w:rPr>
          <w:rFonts w:ascii="Palatino Linotype" w:eastAsia="Palatino Linotype" w:hAnsi="Palatino Linotype" w:cs="Palatino Linotype"/>
          <w:b/>
          <w:bCs/>
          <w:color w:val="000000" w:themeColor="text1"/>
        </w:rPr>
        <w:t xml:space="preserve">10923/INFOEM/IP/RR/2025, </w:t>
      </w:r>
      <w:r w:rsidRPr="009470CF">
        <w:rPr>
          <w:rFonts w:ascii="Palatino Linotype" w:eastAsia="Palatino Linotype" w:hAnsi="Palatino Linotype" w:cs="Palatino Linotype"/>
          <w:color w:val="000000" w:themeColor="text1"/>
        </w:rPr>
        <w:t xml:space="preserve">en términos del Considerando </w:t>
      </w:r>
      <w:r w:rsidRPr="009470CF">
        <w:rPr>
          <w:rFonts w:ascii="Palatino Linotype" w:eastAsia="Palatino Linotype" w:hAnsi="Palatino Linotype" w:cs="Palatino Linotype"/>
          <w:b/>
          <w:bCs/>
          <w:color w:val="000000" w:themeColor="text1"/>
        </w:rPr>
        <w:t xml:space="preserve">Cuarto y Quinto </w:t>
      </w:r>
      <w:r w:rsidRPr="009470CF">
        <w:rPr>
          <w:rFonts w:ascii="Palatino Linotype" w:eastAsia="Palatino Linotype" w:hAnsi="Palatino Linotype" w:cs="Palatino Linotype"/>
          <w:color w:val="000000" w:themeColor="text1"/>
        </w:rPr>
        <w:t xml:space="preserve">de la presente resolución. </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b/>
          <w:bCs/>
          <w:color w:val="000000" w:themeColor="text1"/>
        </w:rPr>
      </w:pPr>
      <w:bookmarkStart w:id="13" w:name="_heading=h.1ksv4uv" w:colFirst="0" w:colLast="0"/>
      <w:bookmarkEnd w:id="13"/>
      <w:r w:rsidRPr="009470CF">
        <w:rPr>
          <w:rFonts w:ascii="Palatino Linotype" w:eastAsia="Palatino Linotype" w:hAnsi="Palatino Linotype" w:cs="Palatino Linotype"/>
          <w:b/>
          <w:bCs/>
          <w:color w:val="000000" w:themeColor="text1"/>
        </w:rPr>
        <w:t xml:space="preserve">SEGUNDO. </w:t>
      </w:r>
      <w:r w:rsidRPr="009470CF">
        <w:rPr>
          <w:rFonts w:ascii="Palatino Linotype" w:eastAsia="Palatino Linotype" w:hAnsi="Palatino Linotype" w:cs="Palatino Linotype"/>
          <w:color w:val="000000" w:themeColor="text1"/>
        </w:rPr>
        <w:t xml:space="preserve">Se </w:t>
      </w:r>
      <w:r w:rsidRPr="009470CF">
        <w:rPr>
          <w:rFonts w:ascii="Palatino Linotype" w:eastAsia="Palatino Linotype" w:hAnsi="Palatino Linotype" w:cs="Palatino Linotype"/>
          <w:b/>
          <w:bCs/>
          <w:color w:val="000000" w:themeColor="text1"/>
        </w:rPr>
        <w:t xml:space="preserve">REVOCA </w:t>
      </w:r>
      <w:r w:rsidRPr="009470CF">
        <w:rPr>
          <w:rFonts w:ascii="Palatino Linotype" w:eastAsia="Palatino Linotype" w:hAnsi="Palatino Linotype" w:cs="Palatino Linotype"/>
          <w:color w:val="000000" w:themeColor="text1"/>
        </w:rPr>
        <w:t xml:space="preserve">la respuesta emitida por el </w:t>
      </w:r>
      <w:r w:rsidRPr="009470CF">
        <w:rPr>
          <w:rFonts w:ascii="Palatino Linotype" w:eastAsia="Palatino Linotype" w:hAnsi="Palatino Linotype" w:cs="Palatino Linotype"/>
          <w:b/>
          <w:bCs/>
          <w:color w:val="000000" w:themeColor="text1"/>
        </w:rPr>
        <w:t xml:space="preserve">Ayuntamiento de Tezoyuca </w:t>
      </w:r>
      <w:r w:rsidR="00F15500">
        <w:rPr>
          <w:rFonts w:ascii="Palatino Linotype" w:eastAsia="Palatino Linotype" w:hAnsi="Palatino Linotype" w:cs="Palatino Linotype"/>
          <w:b/>
          <w:bCs/>
          <w:color w:val="000000" w:themeColor="text1"/>
        </w:rPr>
        <w:t xml:space="preserve">y </w:t>
      </w:r>
      <w:r w:rsidRPr="009470CF">
        <w:rPr>
          <w:rFonts w:ascii="Palatino Linotype" w:eastAsia="Palatino Linotype" w:hAnsi="Palatino Linotype" w:cs="Palatino Linotype"/>
          <w:color w:val="000000" w:themeColor="text1"/>
        </w:rPr>
        <w:t xml:space="preserve">se </w:t>
      </w:r>
      <w:r w:rsidRPr="009470CF">
        <w:rPr>
          <w:rFonts w:ascii="Palatino Linotype" w:eastAsia="Palatino Linotype" w:hAnsi="Palatino Linotype" w:cs="Palatino Linotype"/>
          <w:b/>
          <w:bCs/>
          <w:color w:val="000000" w:themeColor="text1"/>
        </w:rPr>
        <w:t>ORDENA</w:t>
      </w:r>
      <w:r w:rsidRPr="009470CF">
        <w:rPr>
          <w:rFonts w:ascii="Palatino Linotype" w:eastAsia="Palatino Linotype" w:hAnsi="Palatino Linotype" w:cs="Palatino Linotype"/>
          <w:color w:val="000000" w:themeColor="text1"/>
        </w:rPr>
        <w:t xml:space="preserve"> entregar vía Sistema de Acceso a la Información, en versión pública de ser procedente, previa búsqueda exhaustiva y razonable, lo siguiente: </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5A0970" w:rsidRDefault="00144B5A" w:rsidP="009470CF">
      <w:pPr>
        <w:spacing w:line="360" w:lineRule="auto"/>
        <w:jc w:val="both"/>
        <w:rPr>
          <w:rFonts w:ascii="Palatino Linotype" w:eastAsia="Palatino Linotype" w:hAnsi="Palatino Linotype" w:cs="Palatino Linotype"/>
          <w:b/>
          <w:bCs/>
          <w:color w:val="000000" w:themeColor="text1"/>
        </w:rPr>
      </w:pPr>
      <w:bookmarkStart w:id="14" w:name="_heading=h.tbkk405eatnf" w:colFirst="0" w:colLast="0"/>
      <w:bookmarkEnd w:id="14"/>
      <w:r w:rsidRPr="005A0970">
        <w:rPr>
          <w:rFonts w:ascii="Palatino Linotype" w:eastAsia="Palatino Linotype" w:hAnsi="Palatino Linotype" w:cs="Palatino Linotype"/>
          <w:b/>
          <w:bCs/>
          <w:color w:val="000000" w:themeColor="text1"/>
        </w:rPr>
        <w:t>De la compra de artículos de papelería de los años dos mil veintidós</w:t>
      </w:r>
      <w:r w:rsidR="005D42EA" w:rsidRPr="005A0970">
        <w:rPr>
          <w:rFonts w:ascii="Palatino Linotype" w:eastAsia="Palatino Linotype" w:hAnsi="Palatino Linotype" w:cs="Palatino Linotype"/>
          <w:b/>
          <w:bCs/>
          <w:color w:val="000000" w:themeColor="text1"/>
        </w:rPr>
        <w:t>, dos mil veintitrés, dos mil veinticuatro</w:t>
      </w:r>
      <w:r w:rsidRPr="005A0970">
        <w:rPr>
          <w:rFonts w:ascii="Palatino Linotype" w:eastAsia="Palatino Linotype" w:hAnsi="Palatino Linotype" w:cs="Palatino Linotype"/>
          <w:b/>
          <w:bCs/>
          <w:color w:val="000000" w:themeColor="text1"/>
        </w:rPr>
        <w:t xml:space="preserve"> y del uno de enero al veintidós de agosto de dos mil veinticinco, el documento en donde conste lo siguiente:</w:t>
      </w:r>
    </w:p>
    <w:p w:rsidR="00C11CCF" w:rsidRPr="005A0970" w:rsidRDefault="00C11CCF" w:rsidP="009470CF">
      <w:pPr>
        <w:spacing w:line="360" w:lineRule="auto"/>
        <w:jc w:val="both"/>
        <w:rPr>
          <w:rFonts w:ascii="Palatino Linotype" w:eastAsia="Palatino Linotype" w:hAnsi="Palatino Linotype" w:cs="Palatino Linotype"/>
          <w:b/>
          <w:bCs/>
          <w:color w:val="000000" w:themeColor="text1"/>
        </w:rPr>
      </w:pPr>
    </w:p>
    <w:p w:rsidR="00C11CCF" w:rsidRPr="005A0970" w:rsidRDefault="00144B5A" w:rsidP="009470CF">
      <w:pPr>
        <w:numPr>
          <w:ilvl w:val="0"/>
          <w:numId w:val="11"/>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color w:val="000000" w:themeColor="text1"/>
        </w:rPr>
      </w:pPr>
      <w:bookmarkStart w:id="15" w:name="_heading=h.lnxbz9" w:colFirst="0" w:colLast="0"/>
      <w:bookmarkEnd w:id="15"/>
      <w:r w:rsidRPr="005A0970">
        <w:rPr>
          <w:rFonts w:ascii="Palatino Linotype" w:eastAsia="Palatino Linotype" w:hAnsi="Palatino Linotype" w:cs="Palatino Linotype"/>
          <w:b/>
          <w:bCs/>
          <w:color w:val="000000" w:themeColor="text1"/>
        </w:rPr>
        <w:t xml:space="preserve">Proceso de adjudicación </w:t>
      </w:r>
    </w:p>
    <w:p w:rsidR="00C11CCF" w:rsidRPr="005A0970" w:rsidRDefault="00144B5A" w:rsidP="009470CF">
      <w:pPr>
        <w:numPr>
          <w:ilvl w:val="0"/>
          <w:numId w:val="11"/>
        </w:numPr>
        <w:pBdr>
          <w:top w:val="nil"/>
          <w:left w:val="nil"/>
          <w:bottom w:val="nil"/>
          <w:right w:val="nil"/>
          <w:between w:val="nil"/>
        </w:pBdr>
        <w:spacing w:line="276" w:lineRule="auto"/>
        <w:ind w:left="0" w:firstLine="0"/>
        <w:jc w:val="both"/>
        <w:rPr>
          <w:rFonts w:ascii="Palatino Linotype" w:eastAsia="Palatino Linotype" w:hAnsi="Palatino Linotype" w:cs="Palatino Linotype"/>
          <w:b/>
          <w:bCs/>
          <w:color w:val="000000" w:themeColor="text1"/>
        </w:rPr>
      </w:pPr>
      <w:r w:rsidRPr="005A0970">
        <w:rPr>
          <w:rFonts w:ascii="Palatino Linotype" w:eastAsia="Palatino Linotype" w:hAnsi="Palatino Linotype" w:cs="Palatino Linotype"/>
          <w:b/>
          <w:bCs/>
          <w:color w:val="000000" w:themeColor="text1"/>
        </w:rPr>
        <w:t>Contratos o convenios.</w:t>
      </w:r>
    </w:p>
    <w:p w:rsidR="00C11CCF" w:rsidRPr="005A0970" w:rsidRDefault="00C11CCF" w:rsidP="009470CF">
      <w:pPr>
        <w:pBdr>
          <w:top w:val="nil"/>
          <w:left w:val="nil"/>
          <w:bottom w:val="nil"/>
          <w:right w:val="nil"/>
          <w:between w:val="nil"/>
        </w:pBdr>
        <w:spacing w:line="360" w:lineRule="auto"/>
        <w:jc w:val="both"/>
        <w:rPr>
          <w:rFonts w:ascii="Palatino Linotype" w:eastAsia="Palatino Linotype" w:hAnsi="Palatino Linotype" w:cs="Palatino Linotype"/>
          <w:b/>
          <w:bCs/>
          <w:color w:val="000000" w:themeColor="text1"/>
        </w:rPr>
      </w:pPr>
    </w:p>
    <w:p w:rsidR="00C11CCF" w:rsidRPr="005A0970" w:rsidRDefault="00144B5A" w:rsidP="009470CF">
      <w:pPr>
        <w:spacing w:line="360" w:lineRule="auto"/>
        <w:jc w:val="both"/>
        <w:rPr>
          <w:rFonts w:ascii="Palatino Linotype" w:eastAsia="Palatino Linotype" w:hAnsi="Palatino Linotype" w:cs="Palatino Linotype"/>
          <w:b/>
          <w:bCs/>
          <w:color w:val="000000" w:themeColor="text1"/>
        </w:rPr>
      </w:pPr>
      <w:r w:rsidRPr="005A0970">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w:t>
      </w:r>
      <w:r w:rsidRPr="005A0970">
        <w:rPr>
          <w:rFonts w:ascii="Palatino Linotype" w:eastAsia="Palatino Linotype" w:hAnsi="Palatino Linotype" w:cs="Palatino Linotype"/>
          <w:color w:val="000000" w:themeColor="text1"/>
        </w:rPr>
        <w:lastRenderedPageBreak/>
        <w:t xml:space="preserve">documental respectivo objeto de las versiones públicas que se formulen y se pongan a disposición del </w:t>
      </w:r>
      <w:r w:rsidRPr="005A0970">
        <w:rPr>
          <w:rFonts w:ascii="Palatino Linotype" w:eastAsia="Palatino Linotype" w:hAnsi="Palatino Linotype" w:cs="Palatino Linotype"/>
          <w:b/>
          <w:bCs/>
          <w:color w:val="000000" w:themeColor="text1"/>
        </w:rPr>
        <w:t>RECURRENTE.</w:t>
      </w:r>
    </w:p>
    <w:p w:rsidR="009B7E39" w:rsidRPr="005A0970" w:rsidRDefault="009B7E39" w:rsidP="009470CF">
      <w:pPr>
        <w:spacing w:line="360" w:lineRule="auto"/>
        <w:jc w:val="both"/>
        <w:rPr>
          <w:rFonts w:ascii="Palatino Linotype" w:eastAsia="Palatino Linotype" w:hAnsi="Palatino Linotype" w:cs="Palatino Linotype"/>
          <w:b/>
          <w:bCs/>
          <w:color w:val="000000" w:themeColor="text1"/>
        </w:rPr>
      </w:pPr>
    </w:p>
    <w:p w:rsidR="009B7E39" w:rsidRPr="009470CF" w:rsidRDefault="009B7E39" w:rsidP="009470CF">
      <w:pPr>
        <w:spacing w:line="360" w:lineRule="auto"/>
        <w:jc w:val="both"/>
        <w:rPr>
          <w:rFonts w:ascii="Palatino Linotype" w:eastAsia="Palatino Linotype" w:hAnsi="Palatino Linotype" w:cs="Palatino Linotype"/>
          <w:bCs/>
          <w:color w:val="000000" w:themeColor="text1"/>
        </w:rPr>
      </w:pPr>
      <w:r w:rsidRPr="005A0970">
        <w:rPr>
          <w:rFonts w:ascii="Palatino Linotype" w:eastAsia="Palatino Linotype" w:hAnsi="Palatino Linotype" w:cs="Palatino Linotype"/>
          <w:bCs/>
          <w:color w:val="000000" w:themeColor="text1"/>
        </w:rPr>
        <w:t>Para el caso de que la información que s</w:t>
      </w:r>
      <w:r w:rsidR="00C807D1" w:rsidRPr="005A0970">
        <w:rPr>
          <w:rFonts w:ascii="Palatino Linotype" w:eastAsia="Palatino Linotype" w:hAnsi="Palatino Linotype" w:cs="Palatino Linotype"/>
          <w:bCs/>
          <w:color w:val="000000" w:themeColor="text1"/>
        </w:rPr>
        <w:t>e ordena entregar en el inciso a</w:t>
      </w:r>
      <w:r w:rsidRPr="005A0970">
        <w:rPr>
          <w:rFonts w:ascii="Palatino Linotype" w:eastAsia="Palatino Linotype" w:hAnsi="Palatino Linotype" w:cs="Palatino Linotype"/>
          <w:bCs/>
          <w:color w:val="000000" w:themeColor="text1"/>
        </w:rPr>
        <w:t>) no haya sido generada, poseída o administrada, por no haberse realizado procesos de adjudicación en atención al monto de compra, bastará que, de forma clara y precisa, se haga del conocimiento del Particular.</w:t>
      </w:r>
    </w:p>
    <w:p w:rsidR="00C11CCF" w:rsidRPr="009470CF" w:rsidRDefault="00C11CCF" w:rsidP="009470CF">
      <w:pPr>
        <w:spacing w:line="360" w:lineRule="auto"/>
        <w:jc w:val="both"/>
        <w:rPr>
          <w:rFonts w:ascii="Palatino Linotype" w:eastAsia="Palatino Linotype" w:hAnsi="Palatino Linotype" w:cs="Palatino Linotype"/>
          <w:b/>
          <w:bCs/>
          <w:color w:val="000000" w:themeColor="text1"/>
        </w:rPr>
      </w:pPr>
    </w:p>
    <w:p w:rsidR="00C11CCF" w:rsidRPr="009470CF" w:rsidRDefault="00144B5A" w:rsidP="009470CF">
      <w:pPr>
        <w:tabs>
          <w:tab w:val="left" w:pos="8080"/>
        </w:tabs>
        <w:spacing w:line="360" w:lineRule="auto"/>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color w:val="000000" w:themeColor="text1"/>
        </w:rPr>
        <w:t xml:space="preserve">TERCERO. </w:t>
      </w:r>
      <w:r w:rsidRPr="009470CF">
        <w:rPr>
          <w:rFonts w:ascii="Palatino Linotype" w:eastAsia="Palatino Linotype" w:hAnsi="Palatino Linotype" w:cs="Palatino Linotype"/>
          <w:color w:val="000000" w:themeColor="text1"/>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470CF">
        <w:rPr>
          <w:rFonts w:ascii="Palatino Linotype" w:eastAsia="Palatino Linotype" w:hAnsi="Palatino Linotype" w:cs="Palatino Linotype"/>
          <w:b/>
          <w:bCs/>
          <w:color w:val="000000" w:themeColor="text1"/>
        </w:rPr>
        <w:t xml:space="preserve">dé cumplimiento a lo ordenado dentro del plazo de diez días hábiles, </w:t>
      </w:r>
      <w:r w:rsidRPr="009470CF">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C11CCF" w:rsidRPr="009470CF" w:rsidRDefault="00C11CCF" w:rsidP="009470CF">
      <w:pPr>
        <w:tabs>
          <w:tab w:val="left" w:pos="8080"/>
        </w:tabs>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color w:val="000000" w:themeColor="text1"/>
        </w:rPr>
        <w:t xml:space="preserve">CUARTO. </w:t>
      </w:r>
      <w:r w:rsidRPr="009470CF">
        <w:rPr>
          <w:rFonts w:ascii="Palatino Linotype" w:eastAsia="Palatino Linotype" w:hAnsi="Palatino Linotype" w:cs="Palatino Linotype"/>
          <w:color w:val="000000" w:themeColor="text1"/>
        </w:rPr>
        <w:t xml:space="preserve">De conformidad con el artículo 198 de la Ley de Transparencia y Acceso a la Información Pública del Estado de México y Municipios, de considerarlo procedente, el </w:t>
      </w:r>
      <w:r w:rsidRPr="009470CF">
        <w:rPr>
          <w:rFonts w:ascii="Palatino Linotype" w:eastAsia="Palatino Linotype" w:hAnsi="Palatino Linotype" w:cs="Palatino Linotype"/>
          <w:b/>
          <w:bCs/>
          <w:color w:val="000000" w:themeColor="text1"/>
        </w:rPr>
        <w:t>SUJETO OBLIGADO</w:t>
      </w:r>
      <w:r w:rsidRPr="009470CF">
        <w:rPr>
          <w:rFonts w:ascii="Palatino Linotype" w:eastAsia="Palatino Linotype" w:hAnsi="Palatino Linotype" w:cs="Palatino Linotype"/>
          <w:color w:val="000000" w:themeColor="text1"/>
        </w:rPr>
        <w:t xml:space="preserve"> de manera fundada y motivada, podrá solicitar una ampliación de plazo para el cumplimiento de la presente resolución.</w:t>
      </w:r>
    </w:p>
    <w:p w:rsidR="00C11CCF" w:rsidRPr="009470CF" w:rsidRDefault="00C11CCF" w:rsidP="009470CF">
      <w:pPr>
        <w:spacing w:line="360" w:lineRule="auto"/>
        <w:jc w:val="both"/>
        <w:rPr>
          <w:rFonts w:ascii="Palatino Linotype" w:eastAsia="Palatino Linotype" w:hAnsi="Palatino Linotype" w:cs="Palatino Linotype"/>
          <w:color w:val="000000" w:themeColor="text1"/>
        </w:rPr>
      </w:pPr>
    </w:p>
    <w:p w:rsidR="00C11CCF" w:rsidRPr="009470CF" w:rsidRDefault="00144B5A" w:rsidP="009470CF">
      <w:pPr>
        <w:spacing w:line="360" w:lineRule="auto"/>
        <w:jc w:val="both"/>
        <w:rPr>
          <w:rFonts w:ascii="Palatino Linotype" w:eastAsia="Palatino Linotype" w:hAnsi="Palatino Linotype" w:cs="Palatino Linotype"/>
          <w:color w:val="000000" w:themeColor="text1"/>
        </w:rPr>
      </w:pPr>
      <w:bookmarkStart w:id="16" w:name="_heading=h.2jxsxqh" w:colFirst="0" w:colLast="0"/>
      <w:bookmarkEnd w:id="16"/>
      <w:r w:rsidRPr="009470CF">
        <w:rPr>
          <w:rFonts w:ascii="Palatino Linotype" w:eastAsia="Palatino Linotype" w:hAnsi="Palatino Linotype" w:cs="Palatino Linotype"/>
          <w:b/>
          <w:bCs/>
          <w:color w:val="000000" w:themeColor="text1"/>
        </w:rPr>
        <w:lastRenderedPageBreak/>
        <w:t xml:space="preserve">QUINTO. </w:t>
      </w:r>
      <w:r w:rsidRPr="009470CF">
        <w:rPr>
          <w:rFonts w:ascii="Palatino Linotype" w:eastAsia="Palatino Linotype" w:hAnsi="Palatino Linotype" w:cs="Palatino Linotype"/>
          <w:color w:val="000000" w:themeColor="text1"/>
        </w:rPr>
        <w:t xml:space="preserve">Notifíquese a </w:t>
      </w:r>
      <w:r w:rsidRPr="009470CF">
        <w:rPr>
          <w:rFonts w:ascii="Palatino Linotype" w:eastAsia="Palatino Linotype" w:hAnsi="Palatino Linotype" w:cs="Palatino Linotype"/>
          <w:b/>
          <w:bCs/>
          <w:color w:val="000000" w:themeColor="text1"/>
        </w:rPr>
        <w:t>EL RECURRENTE</w:t>
      </w:r>
      <w:r w:rsidRPr="009470CF">
        <w:rPr>
          <w:rFonts w:ascii="Palatino Linotype" w:eastAsia="Palatino Linotype" w:hAnsi="Palatino Linotype" w:cs="Palatino Linotype"/>
          <w:color w:val="000000" w:themeColor="text1"/>
        </w:rPr>
        <w:t xml:space="preserve"> la presente resolución, vía SAIMEX.</w:t>
      </w:r>
    </w:p>
    <w:p w:rsidR="00C11CCF" w:rsidRPr="009470CF" w:rsidRDefault="00C11CCF" w:rsidP="009470CF">
      <w:pPr>
        <w:shd w:val="clear" w:color="auto" w:fill="FFFFFF"/>
        <w:spacing w:line="360" w:lineRule="auto"/>
        <w:jc w:val="both"/>
        <w:rPr>
          <w:rFonts w:ascii="Palatino Linotype" w:eastAsia="Palatino Linotype" w:hAnsi="Palatino Linotype" w:cs="Palatino Linotype"/>
          <w:b/>
          <w:bCs/>
          <w:color w:val="000000" w:themeColor="text1"/>
        </w:rPr>
      </w:pPr>
    </w:p>
    <w:p w:rsidR="00F15500" w:rsidRDefault="00144B5A" w:rsidP="00F15500">
      <w:pPr>
        <w:spacing w:line="360" w:lineRule="auto"/>
        <w:jc w:val="both"/>
        <w:rPr>
          <w:rFonts w:ascii="Palatino Linotype" w:eastAsia="Palatino Linotype" w:hAnsi="Palatino Linotype" w:cs="Palatino Linotype"/>
          <w:color w:val="000000" w:themeColor="text1"/>
        </w:rPr>
      </w:pPr>
      <w:r w:rsidRPr="009470CF">
        <w:rPr>
          <w:rFonts w:ascii="Palatino Linotype" w:eastAsia="Palatino Linotype" w:hAnsi="Palatino Linotype" w:cs="Palatino Linotype"/>
          <w:b/>
          <w:bCs/>
          <w:color w:val="000000" w:themeColor="text1"/>
        </w:rPr>
        <w:t xml:space="preserve">SEXTO. </w:t>
      </w:r>
      <w:r w:rsidRPr="009470CF">
        <w:rPr>
          <w:rFonts w:ascii="Palatino Linotype" w:eastAsia="Palatino Linotype" w:hAnsi="Palatino Linotype" w:cs="Palatino Linotype"/>
          <w:color w:val="000000" w:themeColor="text1"/>
        </w:rPr>
        <w:t xml:space="preserve">Se hace del conocimiento del </w:t>
      </w:r>
      <w:r w:rsidRPr="009470CF">
        <w:rPr>
          <w:rFonts w:ascii="Palatino Linotype" w:eastAsia="Palatino Linotype" w:hAnsi="Palatino Linotype" w:cs="Palatino Linotype"/>
          <w:b/>
          <w:bCs/>
          <w:color w:val="000000" w:themeColor="text1"/>
        </w:rPr>
        <w:t>RECURRENTE</w:t>
      </w:r>
      <w:r w:rsidRPr="009470CF">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15500" w:rsidRDefault="00F15500" w:rsidP="00F15500">
      <w:pPr>
        <w:spacing w:line="360" w:lineRule="auto"/>
        <w:jc w:val="both"/>
        <w:rPr>
          <w:rFonts w:ascii="Palatino Linotype" w:eastAsia="Palatino Linotype" w:hAnsi="Palatino Linotype" w:cs="Palatino Linotype"/>
          <w:color w:val="000000" w:themeColor="text1"/>
        </w:rPr>
      </w:pPr>
    </w:p>
    <w:p w:rsidR="00F15500" w:rsidRDefault="00F15500" w:rsidP="00F15500">
      <w:pPr>
        <w:spacing w:line="360" w:lineRule="auto"/>
        <w:jc w:val="both"/>
        <w:rPr>
          <w:rFonts w:ascii="Palatino Linotype" w:eastAsia="Palatino Linotype" w:hAnsi="Palatino Linotype" w:cs="Palatino Linotype"/>
          <w:color w:val="000000" w:themeColor="text1"/>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Palatino Linotype" w:hAnsi="Palatino Linotype" w:cs="Palatino Linotype"/>
        </w:rPr>
        <w:t xml:space="preserve">CUADRAGÉSIMA SEGUNDA </w:t>
      </w:r>
      <w:r w:rsidRPr="00575AE2">
        <w:rPr>
          <w:rFonts w:ascii="Palatino Linotype" w:eastAsia="Palatino Linotype" w:hAnsi="Palatino Linotype" w:cs="Palatino Linotype"/>
        </w:rPr>
        <w:t>SESIÓN ORDINARIA, CELEBRADA EL</w:t>
      </w:r>
      <w:r>
        <w:rPr>
          <w:rFonts w:ascii="Palatino Linotype" w:eastAsia="Palatino Linotype" w:hAnsi="Palatino Linotype" w:cs="Palatino Linotype"/>
        </w:rPr>
        <w:t xml:space="preserve"> VEINTICINCO (25)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NOVIEMBRE </w:t>
      </w:r>
      <w:r w:rsidRPr="00575AE2">
        <w:rPr>
          <w:rFonts w:ascii="Palatino Linotype" w:eastAsia="Palatino Linotype" w:hAnsi="Palatino Linotype" w:cs="Palatino Linotype"/>
        </w:rPr>
        <w:t>DE DOS MIL VEINTICINCO, ANTE EL SECRETARIO TÉCNICO DEL PLENO ALEXIS TAPIA RAMÍREZ.</w:t>
      </w: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Default="00F15500" w:rsidP="00F15500">
      <w:pPr>
        <w:rPr>
          <w:rFonts w:ascii="Palatino Linotype" w:eastAsia="Palatino Linotype" w:hAnsi="Palatino Linotype" w:cs="Palatino Linotype"/>
        </w:rPr>
      </w:pPr>
    </w:p>
    <w:p w:rsidR="00FE10B9" w:rsidRDefault="00FE10B9" w:rsidP="00F15500">
      <w:pPr>
        <w:rPr>
          <w:rFonts w:ascii="Palatino Linotype" w:eastAsia="Palatino Linotype" w:hAnsi="Palatino Linotype" w:cs="Palatino Linotype"/>
        </w:rPr>
      </w:pPr>
    </w:p>
    <w:p w:rsidR="00FE10B9" w:rsidRDefault="00FE10B9" w:rsidP="00F15500">
      <w:pPr>
        <w:rPr>
          <w:rFonts w:ascii="Palatino Linotype" w:eastAsia="Palatino Linotype" w:hAnsi="Palatino Linotype" w:cs="Palatino Linotype"/>
        </w:rPr>
      </w:pPr>
    </w:p>
    <w:p w:rsidR="00FE10B9" w:rsidRDefault="00FE10B9" w:rsidP="00F15500">
      <w:pPr>
        <w:rPr>
          <w:rFonts w:ascii="Palatino Linotype" w:eastAsia="Palatino Linotype" w:hAnsi="Palatino Linotype" w:cs="Palatino Linotype"/>
        </w:rPr>
      </w:pPr>
    </w:p>
    <w:p w:rsidR="00FE10B9" w:rsidRPr="00F15500" w:rsidRDefault="00FE10B9"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Pr="00F15500" w:rsidRDefault="00F15500" w:rsidP="00F15500">
      <w:pPr>
        <w:rPr>
          <w:rFonts w:ascii="Palatino Linotype" w:eastAsia="Palatino Linotype" w:hAnsi="Palatino Linotype" w:cs="Palatino Linotype"/>
        </w:rPr>
      </w:pPr>
    </w:p>
    <w:p w:rsidR="00F15500" w:rsidRDefault="00F15500" w:rsidP="00F15500">
      <w:pPr>
        <w:rPr>
          <w:rFonts w:ascii="Palatino Linotype" w:eastAsia="Palatino Linotype" w:hAnsi="Palatino Linotype" w:cs="Palatino Linotype"/>
        </w:rPr>
      </w:pPr>
    </w:p>
    <w:p w:rsidR="00C11CCF" w:rsidRDefault="00F15500" w:rsidP="00F15500">
      <w:pPr>
        <w:tabs>
          <w:tab w:val="left" w:pos="2070"/>
        </w:tabs>
        <w:rPr>
          <w:rFonts w:ascii="Palatino Linotype" w:eastAsia="Palatino Linotype" w:hAnsi="Palatino Linotype" w:cs="Palatino Linotype"/>
        </w:rPr>
      </w:pPr>
      <w:r>
        <w:rPr>
          <w:rFonts w:ascii="Palatino Linotype" w:eastAsia="Palatino Linotype" w:hAnsi="Palatino Linotype" w:cs="Palatino Linotype"/>
        </w:rPr>
        <w:tab/>
      </w:r>
    </w:p>
    <w:p w:rsidR="00F15500" w:rsidRDefault="00F15500" w:rsidP="00F15500">
      <w:pPr>
        <w:tabs>
          <w:tab w:val="left" w:pos="2070"/>
        </w:tabs>
        <w:rPr>
          <w:rFonts w:ascii="Palatino Linotype" w:eastAsia="Palatino Linotype" w:hAnsi="Palatino Linotype" w:cs="Palatino Linotype"/>
        </w:rPr>
      </w:pPr>
    </w:p>
    <w:p w:rsidR="00F15500" w:rsidRPr="00F15500" w:rsidRDefault="00F15500" w:rsidP="00F15500">
      <w:pPr>
        <w:tabs>
          <w:tab w:val="left" w:pos="2070"/>
        </w:tabs>
        <w:rPr>
          <w:rFonts w:ascii="Palatino Linotype" w:eastAsia="Palatino Linotype" w:hAnsi="Palatino Linotype" w:cs="Palatino Linotype"/>
        </w:rPr>
      </w:pPr>
    </w:p>
    <w:sectPr w:rsidR="00F15500" w:rsidRPr="00F15500" w:rsidSect="00586E50">
      <w:headerReference w:type="default" r:id="rId11"/>
      <w:footerReference w:type="default" r:id="rId12"/>
      <w:headerReference w:type="first" r:id="rId13"/>
      <w:footerReference w:type="first" r:id="rId14"/>
      <w:pgSz w:w="12240" w:h="15840"/>
      <w:pgMar w:top="1691" w:right="1041" w:bottom="1701"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2B7" w:rsidRDefault="004862B7">
      <w:r>
        <w:separator/>
      </w:r>
    </w:p>
  </w:endnote>
  <w:endnote w:type="continuationSeparator" w:id="0">
    <w:p w:rsidR="004862B7" w:rsidRDefault="004862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D702D449-D7C7-4D7A-B240-74B030D511C6}"/>
    <w:embedBold r:id="rId2" w:fontKey="{4C996E26-09E9-49C4-BD69-FE6EFC2873E8}"/>
  </w:font>
  <w:font w:name="Palatino Linotype">
    <w:panose1 w:val="02040502050505030304"/>
    <w:charset w:val="00"/>
    <w:family w:val="roman"/>
    <w:pitch w:val="variable"/>
    <w:sig w:usb0="E0000287" w:usb1="40000013" w:usb2="00000000" w:usb3="00000000" w:csb0="0000019F" w:csb1="00000000"/>
    <w:embedRegular r:id="rId3" w:fontKey="{EA8A5721-07F3-483A-B453-E7B24EEB0899}"/>
    <w:embedBold r:id="rId4" w:fontKey="{2899A121-B750-4DC0-B69D-EE5704D17093}"/>
    <w:embedItalic r:id="rId5" w:fontKey="{3F649076-5EBA-497F-9EF4-6816B50C5BB0}"/>
    <w:embedBoldItalic r:id="rId6" w:fontKey="{BD15ED58-E43E-4C3A-8BBF-58F1C8DFEA7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DF068EA3-9F8A-4C45-9F1F-5677551EEA55}"/>
    <w:embedBold r:id="rId8" w:fontKey="{05650169-DBBD-4181-B2EE-9FC45E213525}"/>
  </w:font>
  <w:font w:name="Calibri">
    <w:panose1 w:val="020F0502020204030204"/>
    <w:charset w:val="00"/>
    <w:family w:val="swiss"/>
    <w:pitch w:val="variable"/>
    <w:sig w:usb0="E4002EFF" w:usb1="C200247B" w:usb2="00000009" w:usb3="00000000" w:csb0="000001FF" w:csb1="00000000"/>
    <w:embedRegular r:id="rId9" w:fontKey="{B3343C7B-9831-48D4-8485-56F2D508F01F}"/>
    <w:embedItalic r:id="rId10" w:fontKey="{29455082-94C3-4DE3-9E4A-83BA2890D015}"/>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ACEDF3CC-E74D-4239-BBD6-8C3E4B06E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CF" w:rsidRDefault="00144B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b/>
        <w:bCs/>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PAGE</w:instrText>
    </w:r>
    <w:r>
      <w:rPr>
        <w:rFonts w:ascii="Palatino Linotype" w:eastAsia="Palatino Linotype" w:hAnsi="Palatino Linotype" w:cs="Palatino Linotype"/>
        <w:b/>
        <w:bCs/>
        <w:color w:val="000000"/>
        <w:sz w:val="22"/>
        <w:szCs w:val="22"/>
      </w:rPr>
      <w:fldChar w:fldCharType="separate"/>
    </w:r>
    <w:r w:rsidR="00586E50">
      <w:rPr>
        <w:rFonts w:ascii="Palatino Linotype" w:eastAsia="Palatino Linotype" w:hAnsi="Palatino Linotype" w:cs="Palatino Linotype"/>
        <w:b/>
        <w:bCs/>
        <w:noProof/>
        <w:color w:val="000000"/>
        <w:sz w:val="22"/>
        <w:szCs w:val="22"/>
      </w:rPr>
      <w:t>30</w:t>
    </w:r>
    <w:r>
      <w:rPr>
        <w:rFonts w:ascii="Palatino Linotype" w:eastAsia="Palatino Linotype" w:hAnsi="Palatino Linotype" w:cs="Palatino Linotype"/>
        <w:b/>
        <w:bCs/>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b/>
        <w:bCs/>
        <w:color w:val="000000"/>
        <w:sz w:val="22"/>
        <w:szCs w:val="22"/>
      </w:rPr>
      <w:fldChar w:fldCharType="begin"/>
    </w:r>
    <w:r>
      <w:rPr>
        <w:rFonts w:ascii="Palatino Linotype" w:eastAsia="Palatino Linotype" w:hAnsi="Palatino Linotype" w:cs="Palatino Linotype"/>
        <w:b/>
        <w:bCs/>
        <w:color w:val="000000"/>
        <w:sz w:val="22"/>
        <w:szCs w:val="22"/>
      </w:rPr>
      <w:instrText>NUMPAGES</w:instrText>
    </w:r>
    <w:r>
      <w:rPr>
        <w:rFonts w:ascii="Palatino Linotype" w:eastAsia="Palatino Linotype" w:hAnsi="Palatino Linotype" w:cs="Palatino Linotype"/>
        <w:b/>
        <w:bCs/>
        <w:color w:val="000000"/>
        <w:sz w:val="22"/>
        <w:szCs w:val="22"/>
      </w:rPr>
      <w:fldChar w:fldCharType="separate"/>
    </w:r>
    <w:r w:rsidR="00586E50">
      <w:rPr>
        <w:rFonts w:ascii="Palatino Linotype" w:eastAsia="Palatino Linotype" w:hAnsi="Palatino Linotype" w:cs="Palatino Linotype"/>
        <w:b/>
        <w:bCs/>
        <w:noProof/>
        <w:color w:val="000000"/>
        <w:sz w:val="22"/>
        <w:szCs w:val="22"/>
      </w:rPr>
      <w:t>34</w:t>
    </w:r>
    <w:r>
      <w:rPr>
        <w:rFonts w:ascii="Palatino Linotype" w:eastAsia="Palatino Linotype" w:hAnsi="Palatino Linotype" w:cs="Palatino Linotype"/>
        <w:b/>
        <w:bCs/>
        <w:color w:val="000000"/>
        <w:sz w:val="22"/>
        <w:szCs w:val="22"/>
      </w:rPr>
      <w:fldChar w:fldCharType="end"/>
    </w:r>
  </w:p>
  <w:p w:rsidR="00C11CCF" w:rsidRDefault="00C11CC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8"/>
        <w:szCs w:val="28"/>
      </w:rPr>
    </w:pPr>
  </w:p>
  <w:p w:rsidR="00C11CCF" w:rsidRDefault="00C11CC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CF" w:rsidRDefault="00144B5A">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586E50">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586E50">
      <w:rPr>
        <w:rFonts w:ascii="Palatino Linotype" w:eastAsia="Palatino Linotype" w:hAnsi="Palatino Linotype" w:cs="Palatino Linotype"/>
        <w:noProof/>
        <w:color w:val="000000"/>
        <w:sz w:val="22"/>
        <w:szCs w:val="22"/>
      </w:rPr>
      <w:t>34</w:t>
    </w:r>
    <w:r>
      <w:rPr>
        <w:rFonts w:ascii="Palatino Linotype" w:eastAsia="Palatino Linotype" w:hAnsi="Palatino Linotype" w:cs="Palatino Linotype"/>
        <w:color w:val="000000"/>
        <w:sz w:val="22"/>
        <w:szCs w:val="22"/>
      </w:rPr>
      <w:fldChar w:fldCharType="end"/>
    </w:r>
  </w:p>
  <w:p w:rsidR="00C11CCF" w:rsidRDefault="00C11CCF">
    <w:pPr>
      <w:pBdr>
        <w:top w:val="nil"/>
        <w:left w:val="nil"/>
        <w:bottom w:val="nil"/>
        <w:right w:val="nil"/>
        <w:between w:val="nil"/>
      </w:pBdr>
      <w:tabs>
        <w:tab w:val="center" w:pos="4252"/>
        <w:tab w:val="right" w:pos="8504"/>
      </w:tabs>
      <w:rPr>
        <w:rFonts w:ascii="Palatino Linotype" w:eastAsia="Palatino Linotype" w:hAnsi="Palatino Linotype" w:cs="Palatino Linotype"/>
        <w:color w:val="000000"/>
        <w:sz w:val="22"/>
        <w:szCs w:val="22"/>
      </w:rPr>
    </w:pPr>
  </w:p>
  <w:p w:rsidR="00C11CCF" w:rsidRDefault="00C11CC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2B7" w:rsidRDefault="004862B7">
      <w:r>
        <w:separator/>
      </w:r>
    </w:p>
  </w:footnote>
  <w:footnote w:type="continuationSeparator" w:id="0">
    <w:p w:rsidR="004862B7" w:rsidRDefault="004862B7">
      <w:r>
        <w:continuationSeparator/>
      </w:r>
    </w:p>
  </w:footnote>
  <w:footnote w:id="1">
    <w:p w:rsidR="00C11CCF" w:rsidRDefault="00144B5A">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Ley de Transparencia y Acceso a la Información Pública del Estado de México y Municipios. Artículo 9. …</w:t>
      </w:r>
    </w:p>
    <w:p w:rsidR="00C11CCF" w:rsidRDefault="00144B5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II. Eficacia: Obligación del Instituto para tutelar, de manera efectiva, el derecho de acceso a la información;</w:t>
      </w:r>
    </w:p>
    <w:p w:rsidR="00C11CCF" w:rsidRDefault="00144B5A">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CCF" w:rsidRDefault="00144B5A">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8240" behindDoc="1" locked="0" layoutInCell="1" hidden="0" allowOverlap="1">
          <wp:simplePos x="0" y="0"/>
          <wp:positionH relativeFrom="margin">
            <wp:posOffset>-1082040</wp:posOffset>
          </wp:positionH>
          <wp:positionV relativeFrom="paragraph">
            <wp:posOffset>-420370</wp:posOffset>
          </wp:positionV>
          <wp:extent cx="7809876" cy="10165823"/>
          <wp:effectExtent l="0" t="0" r="635" b="6985"/>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6662" w:type="dxa"/>
      <w:tblInd w:w="3686" w:type="dxa"/>
      <w:tblBorders>
        <w:top w:val="nil"/>
        <w:left w:val="nil"/>
        <w:bottom w:val="nil"/>
        <w:right w:val="nil"/>
        <w:insideH w:val="nil"/>
        <w:insideV w:val="nil"/>
      </w:tblBorders>
      <w:tblLayout w:type="fixed"/>
      <w:tblLook w:val="0400" w:firstRow="0" w:lastRow="0" w:firstColumn="0" w:lastColumn="0" w:noHBand="0" w:noVBand="1"/>
    </w:tblPr>
    <w:tblGrid>
      <w:gridCol w:w="2977"/>
      <w:gridCol w:w="3685"/>
    </w:tblGrid>
    <w:tr w:rsidR="00C11CCF" w:rsidTr="00CF2DDF">
      <w:trPr>
        <w:trHeight w:val="138"/>
      </w:trPr>
      <w:tc>
        <w:tcPr>
          <w:tcW w:w="2977" w:type="dxa"/>
          <w:vAlign w:val="center"/>
        </w:tcPr>
        <w:p w:rsidR="00C11CCF" w:rsidRPr="009470CF" w:rsidRDefault="00144B5A" w:rsidP="00CF2DDF">
          <w:pPr>
            <w:ind w:right="-107"/>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b/>
              <w:bCs/>
              <w:color w:val="000000" w:themeColor="text1"/>
            </w:rPr>
            <w:t>Recurso de Revisión:</w:t>
          </w:r>
        </w:p>
      </w:tc>
      <w:tc>
        <w:tcPr>
          <w:tcW w:w="3685" w:type="dxa"/>
          <w:vAlign w:val="center"/>
        </w:tcPr>
        <w:p w:rsidR="00C11CCF" w:rsidRPr="009470CF" w:rsidRDefault="00144B5A" w:rsidP="00CF2DDF">
          <w:pPr>
            <w:pBdr>
              <w:top w:val="nil"/>
              <w:left w:val="nil"/>
              <w:bottom w:val="nil"/>
              <w:right w:val="nil"/>
              <w:between w:val="nil"/>
            </w:pBdr>
            <w:tabs>
              <w:tab w:val="right" w:pos="8504"/>
            </w:tabs>
            <w:rPr>
              <w:rFonts w:ascii="Palatino Linotype" w:eastAsia="Palatino Linotype" w:hAnsi="Palatino Linotype" w:cs="Palatino Linotype"/>
              <w:bCs/>
              <w:color w:val="000000" w:themeColor="text1"/>
            </w:rPr>
          </w:pPr>
          <w:r w:rsidRPr="009470CF">
            <w:rPr>
              <w:rFonts w:ascii="Palatino Linotype" w:eastAsia="Palatino Linotype" w:hAnsi="Palatino Linotype" w:cs="Palatino Linotype"/>
              <w:bCs/>
              <w:color w:val="000000" w:themeColor="text1"/>
            </w:rPr>
            <w:t>10923/INFOEM/IP/RR/2025</w:t>
          </w:r>
        </w:p>
      </w:tc>
    </w:tr>
    <w:tr w:rsidR="00C11CCF" w:rsidTr="00CF2DDF">
      <w:trPr>
        <w:trHeight w:val="321"/>
      </w:trPr>
      <w:tc>
        <w:tcPr>
          <w:tcW w:w="2977" w:type="dxa"/>
          <w:vAlign w:val="center"/>
        </w:tcPr>
        <w:p w:rsidR="00C11CCF" w:rsidRPr="009470CF" w:rsidRDefault="00144B5A" w:rsidP="00CF2DDF">
          <w:pPr>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b/>
              <w:bCs/>
              <w:color w:val="000000" w:themeColor="text1"/>
            </w:rPr>
            <w:t>Sujeto Obligado:</w:t>
          </w:r>
        </w:p>
      </w:tc>
      <w:tc>
        <w:tcPr>
          <w:tcW w:w="3685" w:type="dxa"/>
          <w:vAlign w:val="center"/>
        </w:tcPr>
        <w:p w:rsidR="00C11CCF" w:rsidRPr="009470CF" w:rsidRDefault="00144B5A" w:rsidP="009470CF">
          <w:pPr>
            <w:ind w:right="193"/>
            <w:rPr>
              <w:rFonts w:ascii="Palatino Linotype" w:eastAsia="Palatino Linotype" w:hAnsi="Palatino Linotype" w:cs="Palatino Linotype"/>
              <w:bCs/>
              <w:color w:val="000000" w:themeColor="text1"/>
            </w:rPr>
          </w:pPr>
          <w:r w:rsidRPr="009470CF">
            <w:rPr>
              <w:rFonts w:ascii="Palatino Linotype" w:eastAsia="Palatino Linotype" w:hAnsi="Palatino Linotype" w:cs="Palatino Linotype"/>
              <w:bCs/>
              <w:color w:val="000000" w:themeColor="text1"/>
            </w:rPr>
            <w:t>Ayuntamiento de Tezoyuca</w:t>
          </w:r>
        </w:p>
      </w:tc>
    </w:tr>
    <w:tr w:rsidR="00C11CCF" w:rsidTr="00CF2DDF">
      <w:trPr>
        <w:trHeight w:val="321"/>
      </w:trPr>
      <w:tc>
        <w:tcPr>
          <w:tcW w:w="2977" w:type="dxa"/>
          <w:vAlign w:val="center"/>
        </w:tcPr>
        <w:p w:rsidR="00C11CCF" w:rsidRPr="009470CF" w:rsidRDefault="00144B5A" w:rsidP="009470CF">
          <w:pPr>
            <w:ind w:right="193"/>
            <w:rPr>
              <w:rFonts w:ascii="Palatino Linotype" w:eastAsia="Palatino Linotype" w:hAnsi="Palatino Linotype" w:cs="Palatino Linotype"/>
              <w:b/>
              <w:bCs/>
              <w:color w:val="000000" w:themeColor="text1"/>
            </w:rPr>
          </w:pPr>
          <w:r w:rsidRPr="009470CF">
            <w:rPr>
              <w:rFonts w:ascii="Palatino Linotype" w:eastAsia="Palatino Linotype" w:hAnsi="Palatino Linotype" w:cs="Palatino Linotype"/>
              <w:b/>
              <w:bCs/>
              <w:color w:val="000000" w:themeColor="text1"/>
            </w:rPr>
            <w:t>Comisionada Ponente:</w:t>
          </w:r>
        </w:p>
      </w:tc>
      <w:tc>
        <w:tcPr>
          <w:tcW w:w="3685" w:type="dxa"/>
          <w:vAlign w:val="center"/>
        </w:tcPr>
        <w:p w:rsidR="00C11CCF" w:rsidRPr="009470CF" w:rsidRDefault="00144B5A" w:rsidP="009470CF">
          <w:pPr>
            <w:pBdr>
              <w:top w:val="nil"/>
              <w:left w:val="nil"/>
              <w:bottom w:val="nil"/>
              <w:right w:val="nil"/>
              <w:between w:val="nil"/>
            </w:pBdr>
            <w:tabs>
              <w:tab w:val="right" w:pos="8504"/>
            </w:tabs>
            <w:ind w:right="193"/>
            <w:rPr>
              <w:rFonts w:ascii="Palatino Linotype" w:eastAsia="Palatino Linotype" w:hAnsi="Palatino Linotype" w:cs="Palatino Linotype"/>
              <w:bCs/>
              <w:color w:val="000000" w:themeColor="text1"/>
            </w:rPr>
          </w:pPr>
          <w:r w:rsidRPr="009470CF">
            <w:rPr>
              <w:rFonts w:ascii="Palatino Linotype" w:eastAsia="Palatino Linotype" w:hAnsi="Palatino Linotype" w:cs="Palatino Linotype"/>
              <w:bCs/>
              <w:color w:val="000000" w:themeColor="text1"/>
            </w:rPr>
            <w:t>María del Rosario Mejía Ayala</w:t>
          </w:r>
        </w:p>
      </w:tc>
    </w:tr>
  </w:tbl>
  <w:p w:rsidR="00C11CCF" w:rsidRDefault="00C11CCF">
    <w:pPr>
      <w:pBdr>
        <w:top w:val="nil"/>
        <w:left w:val="nil"/>
        <w:bottom w:val="nil"/>
        <w:right w:val="nil"/>
        <w:between w:val="nil"/>
      </w:pBdr>
      <w:tabs>
        <w:tab w:val="center" w:pos="4252"/>
        <w:tab w:val="right" w:pos="8504"/>
      </w:tabs>
      <w:rPr>
        <w:color w:val="000000"/>
      </w:rPr>
    </w:pPr>
  </w:p>
  <w:p w:rsidR="00C11CCF" w:rsidRDefault="00C11CC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835" w:type="dxa"/>
      <w:tblInd w:w="353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583"/>
      <w:gridCol w:w="4252"/>
    </w:tblGrid>
    <w:tr w:rsidR="009470CF" w:rsidRPr="009470CF" w:rsidTr="00FE10B9">
      <w:trPr>
        <w:trHeight w:val="138"/>
      </w:trPr>
      <w:tc>
        <w:tcPr>
          <w:tcW w:w="2583" w:type="dxa"/>
          <w:vAlign w:val="center"/>
        </w:tcPr>
        <w:p w:rsidR="009470CF" w:rsidRPr="009470CF" w:rsidRDefault="009470CF" w:rsidP="009470CF">
          <w:pPr>
            <w:ind w:right="-159"/>
            <w:rPr>
              <w:rFonts w:ascii="Palatino Linotype" w:eastAsia="Palatino Linotype" w:hAnsi="Palatino Linotype" w:cs="Palatino Linotype"/>
              <w:b/>
              <w:bCs/>
            </w:rPr>
          </w:pPr>
          <w:r w:rsidRPr="009470CF">
            <w:rPr>
              <w:rFonts w:ascii="Palatino Linotype" w:eastAsia="Palatino Linotype" w:hAnsi="Palatino Linotype" w:cs="Palatino Linotype"/>
              <w:b/>
              <w:bCs/>
            </w:rPr>
            <w:t>Recurso de Revisión:</w:t>
          </w:r>
        </w:p>
      </w:tc>
      <w:tc>
        <w:tcPr>
          <w:tcW w:w="4252" w:type="dxa"/>
          <w:vAlign w:val="center"/>
        </w:tcPr>
        <w:p w:rsidR="009470CF" w:rsidRPr="009470CF" w:rsidRDefault="009470CF" w:rsidP="009470CF">
          <w:pPr>
            <w:pBdr>
              <w:top w:val="nil"/>
              <w:left w:val="nil"/>
              <w:bottom w:val="nil"/>
              <w:right w:val="nil"/>
              <w:between w:val="nil"/>
            </w:pBdr>
            <w:tabs>
              <w:tab w:val="right" w:pos="8504"/>
            </w:tabs>
            <w:rPr>
              <w:rFonts w:ascii="Palatino Linotype" w:eastAsia="Palatino Linotype" w:hAnsi="Palatino Linotype" w:cs="Palatino Linotype"/>
              <w:bCs/>
              <w:color w:val="000000"/>
            </w:rPr>
          </w:pPr>
          <w:r w:rsidRPr="009470CF">
            <w:rPr>
              <w:rFonts w:ascii="Palatino Linotype" w:eastAsia="Palatino Linotype" w:hAnsi="Palatino Linotype" w:cs="Palatino Linotype"/>
              <w:bCs/>
              <w:color w:val="000000"/>
            </w:rPr>
            <w:t>10923/INFOEM/IP/RR/2025</w:t>
          </w:r>
        </w:p>
      </w:tc>
    </w:tr>
    <w:tr w:rsidR="009470CF" w:rsidRPr="009470CF" w:rsidTr="00FE10B9">
      <w:trPr>
        <w:trHeight w:val="227"/>
      </w:trPr>
      <w:tc>
        <w:tcPr>
          <w:tcW w:w="2583" w:type="dxa"/>
          <w:vAlign w:val="center"/>
        </w:tcPr>
        <w:p w:rsidR="009470CF" w:rsidRPr="009470CF" w:rsidRDefault="009470CF" w:rsidP="009470CF">
          <w:pPr>
            <w:ind w:right="-159"/>
            <w:rPr>
              <w:rFonts w:ascii="Palatino Linotype" w:eastAsia="Palatino Linotype" w:hAnsi="Palatino Linotype" w:cs="Palatino Linotype"/>
              <w:b/>
              <w:bCs/>
            </w:rPr>
          </w:pPr>
          <w:r w:rsidRPr="009470CF">
            <w:rPr>
              <w:rFonts w:ascii="Palatino Linotype" w:eastAsia="Palatino Linotype" w:hAnsi="Palatino Linotype" w:cs="Palatino Linotype"/>
              <w:b/>
              <w:bCs/>
            </w:rPr>
            <w:t>Recurrente:</w:t>
          </w:r>
        </w:p>
      </w:tc>
      <w:tc>
        <w:tcPr>
          <w:tcW w:w="4252" w:type="dxa"/>
          <w:vAlign w:val="center"/>
        </w:tcPr>
        <w:p w:rsidR="009470CF" w:rsidRPr="009470CF" w:rsidRDefault="009470CF" w:rsidP="009470CF">
          <w:pPr>
            <w:pBdr>
              <w:top w:val="nil"/>
              <w:left w:val="nil"/>
              <w:bottom w:val="nil"/>
              <w:right w:val="nil"/>
              <w:between w:val="nil"/>
            </w:pBdr>
            <w:tabs>
              <w:tab w:val="right" w:pos="8504"/>
            </w:tabs>
            <w:rPr>
              <w:rFonts w:ascii="Palatino Linotype" w:eastAsia="Palatino Linotype" w:hAnsi="Palatino Linotype" w:cs="Palatino Linotype"/>
              <w:bCs/>
              <w:color w:val="000000"/>
            </w:rPr>
          </w:pPr>
        </w:p>
      </w:tc>
    </w:tr>
    <w:tr w:rsidR="009470CF" w:rsidRPr="009470CF" w:rsidTr="00FE10B9">
      <w:trPr>
        <w:trHeight w:val="232"/>
      </w:trPr>
      <w:tc>
        <w:tcPr>
          <w:tcW w:w="2583" w:type="dxa"/>
          <w:vAlign w:val="center"/>
        </w:tcPr>
        <w:p w:rsidR="009470CF" w:rsidRPr="009470CF" w:rsidRDefault="009470CF" w:rsidP="009470CF">
          <w:pPr>
            <w:ind w:right="-159"/>
            <w:rPr>
              <w:rFonts w:ascii="Palatino Linotype" w:eastAsia="Palatino Linotype" w:hAnsi="Palatino Linotype" w:cs="Palatino Linotype"/>
              <w:b/>
              <w:bCs/>
            </w:rPr>
          </w:pPr>
          <w:r w:rsidRPr="009470CF">
            <w:rPr>
              <w:rFonts w:ascii="Palatino Linotype" w:eastAsia="Palatino Linotype" w:hAnsi="Palatino Linotype" w:cs="Palatino Linotype"/>
              <w:b/>
              <w:bCs/>
            </w:rPr>
            <w:t>Sujeto Obligado:</w:t>
          </w:r>
        </w:p>
      </w:tc>
      <w:tc>
        <w:tcPr>
          <w:tcW w:w="4252" w:type="dxa"/>
          <w:vAlign w:val="center"/>
        </w:tcPr>
        <w:p w:rsidR="009470CF" w:rsidRPr="009470CF" w:rsidRDefault="009470CF" w:rsidP="009470CF">
          <w:pPr>
            <w:rPr>
              <w:bCs/>
            </w:rPr>
          </w:pPr>
          <w:r w:rsidRPr="009470CF">
            <w:rPr>
              <w:rFonts w:ascii="Palatino Linotype" w:eastAsia="Palatino Linotype" w:hAnsi="Palatino Linotype" w:cs="Palatino Linotype"/>
              <w:bCs/>
            </w:rPr>
            <w:t>Ayuntamiento de Tezoyuca</w:t>
          </w:r>
        </w:p>
      </w:tc>
    </w:tr>
    <w:tr w:rsidR="009470CF" w:rsidRPr="009470CF" w:rsidTr="00FE10B9">
      <w:trPr>
        <w:trHeight w:val="320"/>
      </w:trPr>
      <w:tc>
        <w:tcPr>
          <w:tcW w:w="2583" w:type="dxa"/>
          <w:vAlign w:val="center"/>
        </w:tcPr>
        <w:p w:rsidR="009470CF" w:rsidRPr="009470CF" w:rsidRDefault="009470CF" w:rsidP="009470CF">
          <w:pPr>
            <w:ind w:right="-159"/>
            <w:rPr>
              <w:rFonts w:ascii="Palatino Linotype" w:eastAsia="Palatino Linotype" w:hAnsi="Palatino Linotype" w:cs="Palatino Linotype"/>
              <w:b/>
              <w:bCs/>
            </w:rPr>
          </w:pPr>
          <w:r w:rsidRPr="009470CF">
            <w:rPr>
              <w:rFonts w:ascii="Palatino Linotype" w:eastAsia="Palatino Linotype" w:hAnsi="Palatino Linotype" w:cs="Palatino Linotype"/>
              <w:b/>
              <w:bCs/>
            </w:rPr>
            <w:t>Comisionada Ponente:</w:t>
          </w:r>
        </w:p>
      </w:tc>
      <w:tc>
        <w:tcPr>
          <w:tcW w:w="4252" w:type="dxa"/>
          <w:vAlign w:val="center"/>
        </w:tcPr>
        <w:p w:rsidR="009470CF" w:rsidRPr="009470CF" w:rsidRDefault="009470CF" w:rsidP="009470CF">
          <w:pPr>
            <w:pBdr>
              <w:top w:val="nil"/>
              <w:left w:val="nil"/>
              <w:bottom w:val="nil"/>
              <w:right w:val="nil"/>
              <w:between w:val="nil"/>
            </w:pBdr>
            <w:tabs>
              <w:tab w:val="right" w:pos="8504"/>
            </w:tabs>
            <w:rPr>
              <w:rFonts w:ascii="Palatino Linotype" w:eastAsia="Palatino Linotype" w:hAnsi="Palatino Linotype" w:cs="Palatino Linotype"/>
              <w:bCs/>
              <w:color w:val="000000"/>
            </w:rPr>
          </w:pPr>
          <w:r w:rsidRPr="009470CF">
            <w:rPr>
              <w:rFonts w:ascii="Palatino Linotype" w:eastAsia="Palatino Linotype" w:hAnsi="Palatino Linotype" w:cs="Palatino Linotype"/>
              <w:bCs/>
              <w:color w:val="000000"/>
            </w:rPr>
            <w:t>María del Rosario Mejía Ayala</w:t>
          </w:r>
        </w:p>
      </w:tc>
    </w:tr>
  </w:tbl>
  <w:p w:rsidR="00C11CCF" w:rsidRPr="009470CF" w:rsidRDefault="00FE10B9">
    <w:pPr>
      <w:pBdr>
        <w:top w:val="nil"/>
        <w:left w:val="nil"/>
        <w:bottom w:val="nil"/>
        <w:right w:val="nil"/>
        <w:between w:val="nil"/>
      </w:pBdr>
      <w:tabs>
        <w:tab w:val="center" w:pos="4252"/>
        <w:tab w:val="right" w:pos="8504"/>
      </w:tabs>
      <w:rPr>
        <w:color w:val="000000"/>
      </w:rPr>
    </w:pPr>
    <w:r>
      <w:rPr>
        <w:noProof/>
        <w:lang w:val="es-MX"/>
      </w:rPr>
      <w:drawing>
        <wp:anchor distT="0" distB="0" distL="0" distR="0" simplePos="0" relativeHeight="251659264" behindDoc="1" locked="0" layoutInCell="1" hidden="0" allowOverlap="1">
          <wp:simplePos x="0" y="0"/>
          <wp:positionH relativeFrom="margin">
            <wp:align>center</wp:align>
          </wp:positionH>
          <wp:positionV relativeFrom="paragraph">
            <wp:posOffset>-1300648</wp:posOffset>
          </wp:positionV>
          <wp:extent cx="7809876" cy="10165823"/>
          <wp:effectExtent l="0" t="0" r="635" b="6985"/>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rsidR="00C11CCF" w:rsidRDefault="00C11C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E31C6B"/>
    <w:multiLevelType w:val="multilevel"/>
    <w:tmpl w:val="C78AA0BA"/>
    <w:lvl w:ilvl="0">
      <w:start w:val="1"/>
      <w:numFmt w:val="upperRoman"/>
      <w:lvlText w:val="%1."/>
      <w:lvlJc w:val="left"/>
      <w:pPr>
        <w:ind w:left="1571" w:hanging="72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15:restartNumberingAfterBreak="0">
    <w:nsid w:val="318D28CB"/>
    <w:multiLevelType w:val="multilevel"/>
    <w:tmpl w:val="37A648AE"/>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EB5009"/>
    <w:multiLevelType w:val="multilevel"/>
    <w:tmpl w:val="58DA35E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2404BB2"/>
    <w:multiLevelType w:val="multilevel"/>
    <w:tmpl w:val="651C6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6F4D5F"/>
    <w:multiLevelType w:val="multilevel"/>
    <w:tmpl w:val="040A5D8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C761BDD"/>
    <w:multiLevelType w:val="multilevel"/>
    <w:tmpl w:val="27E2800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24206C5"/>
    <w:multiLevelType w:val="multilevel"/>
    <w:tmpl w:val="A940A63A"/>
    <w:lvl w:ilvl="0">
      <w:start w:val="1"/>
      <w:numFmt w:val="bullet"/>
      <w:lvlText w:val="●"/>
      <w:lvlJc w:val="left"/>
      <w:pPr>
        <w:ind w:left="720" w:hanging="360"/>
      </w:pPr>
      <w:rPr>
        <w:rFonts w:ascii="Noto Sans Symbols" w:eastAsia="Noto Sans Symbols" w:hAnsi="Noto Sans Symbols" w:cs="Noto Sans Symbols"/>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2EC761E"/>
    <w:multiLevelType w:val="multilevel"/>
    <w:tmpl w:val="7488178C"/>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8" w15:restartNumberingAfterBreak="0">
    <w:nsid w:val="556D0433"/>
    <w:multiLevelType w:val="multilevel"/>
    <w:tmpl w:val="717E69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0A407DD"/>
    <w:multiLevelType w:val="multilevel"/>
    <w:tmpl w:val="BC80247A"/>
    <w:lvl w:ilvl="0">
      <w:start w:val="1"/>
      <w:numFmt w:val="decimal"/>
      <w:lvlText w:val="%1."/>
      <w:lvlJc w:val="left"/>
      <w:pPr>
        <w:ind w:left="284"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E7C334F"/>
    <w:multiLevelType w:val="multilevel"/>
    <w:tmpl w:val="237806CE"/>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num w:numId="1">
    <w:abstractNumId w:val="9"/>
  </w:num>
  <w:num w:numId="2">
    <w:abstractNumId w:val="7"/>
  </w:num>
  <w:num w:numId="3">
    <w:abstractNumId w:val="6"/>
  </w:num>
  <w:num w:numId="4">
    <w:abstractNumId w:val="5"/>
  </w:num>
  <w:num w:numId="5">
    <w:abstractNumId w:val="10"/>
  </w:num>
  <w:num w:numId="6">
    <w:abstractNumId w:val="0"/>
  </w:num>
  <w:num w:numId="7">
    <w:abstractNumId w:val="8"/>
  </w:num>
  <w:num w:numId="8">
    <w:abstractNumId w:val="3"/>
  </w:num>
  <w:num w:numId="9">
    <w:abstractNumId w:val="4"/>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CCF"/>
    <w:rsid w:val="00144B5A"/>
    <w:rsid w:val="004862B7"/>
    <w:rsid w:val="00586E50"/>
    <w:rsid w:val="005A0970"/>
    <w:rsid w:val="005D42EA"/>
    <w:rsid w:val="00927155"/>
    <w:rsid w:val="009470CF"/>
    <w:rsid w:val="009B7E39"/>
    <w:rsid w:val="00A84343"/>
    <w:rsid w:val="00C11CCF"/>
    <w:rsid w:val="00C807D1"/>
    <w:rsid w:val="00CF2DDF"/>
    <w:rsid w:val="00E43511"/>
    <w:rsid w:val="00F15500"/>
    <w:rsid w:val="00FE10B9"/>
    <w:rsid w:val="00FF03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27920C-0F54-45C2-A4FF-331DBBE6E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Cambria"/>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line="259" w:lineRule="auto"/>
      <w:outlineLvl w:val="0"/>
    </w:pPr>
    <w:rPr>
      <w:rFonts w:ascii="Palatino Linotype" w:eastAsia="Palatino Linotype" w:hAnsi="Palatino Linotype" w:cs="Palatino Linotype"/>
      <w:b/>
      <w:bCs/>
      <w:color w:val="000000"/>
    </w:rPr>
  </w:style>
  <w:style w:type="paragraph" w:styleId="Ttulo2">
    <w:name w:val="heading 2"/>
    <w:basedOn w:val="Normal"/>
    <w:next w:val="Normal"/>
    <w:pPr>
      <w:keepNext/>
      <w:keepLines/>
      <w:spacing w:before="40" w:line="259" w:lineRule="auto"/>
      <w:outlineLvl w:val="1"/>
    </w:pPr>
    <w:rPr>
      <w:rFonts w:ascii="Palatino Linotype" w:eastAsia="Palatino Linotype" w:hAnsi="Palatino Linotype" w:cs="Palatino Linotype"/>
      <w:b/>
      <w:bCs/>
      <w:color w:val="000000"/>
    </w:rPr>
  </w:style>
  <w:style w:type="paragraph" w:styleId="Ttulo3">
    <w:name w:val="heading 3"/>
    <w:basedOn w:val="Normal"/>
    <w:next w:val="Normal"/>
    <w:pPr>
      <w:keepNext/>
      <w:keepLines/>
      <w:spacing w:before="40"/>
      <w:outlineLvl w:val="2"/>
    </w:pPr>
    <w:rPr>
      <w:rFonts w:ascii="Calibri" w:eastAsia="Calibri" w:hAnsi="Calibri" w:cs="Calibri"/>
      <w:color w:val="243F61"/>
    </w:rPr>
  </w:style>
  <w:style w:type="paragraph" w:styleId="Ttulo4">
    <w:name w:val="heading 4"/>
    <w:basedOn w:val="Normal"/>
    <w:next w:val="Normal"/>
    <w:pPr>
      <w:keepNext/>
      <w:keepLines/>
      <w:spacing w:before="40"/>
      <w:outlineLvl w:val="3"/>
    </w:pPr>
    <w:rPr>
      <w:rFonts w:ascii="Calibri" w:eastAsia="Calibri" w:hAnsi="Calibri" w:cs="Calibri"/>
      <w:i/>
      <w:iCs/>
      <w:color w:val="366091"/>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B37AEC"/>
    <w:pPr>
      <w:tabs>
        <w:tab w:val="left" w:pos="709"/>
        <w:tab w:val="right" w:leader="dot" w:pos="8779"/>
      </w:tabs>
      <w:spacing w:after="100" w:line="48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next w:val="Normal"/>
    <w:uiPriority w:val="39"/>
    <w:unhideWhenUsed/>
    <w:qFormat/>
    <w:rsid w:val="00CD7893"/>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qForma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D4338A"/>
    <w:rPr>
      <w:rFonts w:ascii="Courier New" w:eastAsia="Times New Roman" w:hAnsi="Courier New" w:cs="Times New Roman"/>
      <w:sz w:val="20"/>
      <w:szCs w:val="20"/>
      <w:lang w:val="es-ES"/>
    </w:rPr>
  </w:style>
  <w:style w:type="table" w:customStyle="1" w:styleId="Tablanormal11">
    <w:name w:val="Tabla normal 1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rPr>
  </w:style>
  <w:style w:type="character" w:customStyle="1" w:styleId="stytxtare">
    <w:name w:val="stytxtare"/>
    <w:rsid w:val="005B0EC2"/>
  </w:style>
  <w:style w:type="character" w:customStyle="1" w:styleId="Ttulo4Car">
    <w:name w:val="Título 4 Car"/>
    <w:basedOn w:val="Fuentedeprrafopredeter"/>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uiPriority w:val="99"/>
    <w:rsid w:val="00BC13F7"/>
    <w:pPr>
      <w:spacing w:before="100" w:beforeAutospacing="1" w:after="100" w:afterAutospacing="1"/>
    </w:pPr>
    <w:rPr>
      <w:rFonts w:ascii="Times New Roman" w:eastAsia="Times New Roman" w:hAnsi="Times New Roman" w:cs="Times New Roman"/>
      <w:lang w:val="es-MX"/>
    </w:rPr>
  </w:style>
  <w:style w:type="paragraph" w:customStyle="1" w:styleId="yiv6449924580ydp7ca81294msonormal">
    <w:name w:val="yiv6449924580ydp7ca81294msonormal"/>
    <w:basedOn w:val="Normal"/>
    <w:rsid w:val="003B7B09"/>
    <w:pPr>
      <w:spacing w:before="100" w:beforeAutospacing="1" w:after="100" w:afterAutospacing="1"/>
    </w:pPr>
    <w:rPr>
      <w:rFonts w:ascii="Times New Roman" w:eastAsia="Times New Roman" w:hAnsi="Times New Roman" w:cs="Times New Roman"/>
      <w:lang w:val="es-MX"/>
    </w:rPr>
  </w:style>
  <w:style w:type="paragraph" w:customStyle="1" w:styleId="gmail-msolistparagraph">
    <w:name w:val="gmail-msolistparagraph"/>
    <w:basedOn w:val="Normal"/>
    <w:rsid w:val="00CA1CD0"/>
    <w:pPr>
      <w:spacing w:before="100" w:beforeAutospacing="1" w:after="100" w:afterAutospacing="1"/>
    </w:pPr>
    <w:rPr>
      <w:rFonts w:ascii="Times New Roman" w:eastAsia="Times New Roman" w:hAnsi="Times New Roman" w:cs="Times New Roman"/>
      <w:lang w:val="es-MX"/>
    </w:rPr>
  </w:style>
  <w:style w:type="character" w:customStyle="1" w:styleId="vidspn">
    <w:name w:val="vid_spn"/>
    <w:basedOn w:val="Fuentedeprrafopredeter"/>
    <w:rsid w:val="006B78BA"/>
  </w:style>
  <w:style w:type="table" w:styleId="Tablanormal1">
    <w:name w:val="Plain Table 1"/>
    <w:basedOn w:val="Tablanormal"/>
    <w:uiPriority w:val="41"/>
    <w:rsid w:val="00BE721C"/>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0E0EF6"/>
    <w:pPr>
      <w:spacing w:before="240" w:after="160" w:line="360" w:lineRule="auto"/>
      <w:ind w:left="851" w:right="851"/>
      <w:jc w:val="both"/>
    </w:pPr>
    <w:rPr>
      <w:rFonts w:ascii="Palatino Linotype" w:eastAsia="Times New Roman" w:hAnsi="Palatino Linotype" w:cs="Arial"/>
      <w:i/>
      <w:sz w:val="22"/>
      <w:szCs w:val="22"/>
      <w:lang w:val="es-MX" w:eastAsia="en-US"/>
    </w:rPr>
  </w:style>
  <w:style w:type="table" w:customStyle="1" w:styleId="Tablanormal12">
    <w:name w:val="Tabla normal 12"/>
    <w:basedOn w:val="Tablanormal"/>
    <w:next w:val="Tablanormal1"/>
    <w:uiPriority w:val="41"/>
    <w:rsid w:val="00F82B3B"/>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bject">
    <w:name w:val="object"/>
    <w:basedOn w:val="Fuentedeprrafopredeter"/>
    <w:rsid w:val="00977AFF"/>
  </w:style>
  <w:style w:type="paragraph" w:styleId="Listaconvietas2">
    <w:name w:val="List Bullet 2"/>
    <w:basedOn w:val="Normal"/>
    <w:uiPriority w:val="99"/>
    <w:unhideWhenUsed/>
    <w:qFormat/>
    <w:rsid w:val="00D8485E"/>
    <w:pPr>
      <w:numPr>
        <w:numId w:val="10"/>
      </w:numPr>
      <w:contextualSpacing/>
    </w:pPr>
    <w:rPr>
      <w:rFonts w:ascii="Times New Roman" w:eastAsia="Times New Roman" w:hAnsi="Times New Roman" w:cs="Times New Roman"/>
      <w:sz w:val="20"/>
      <w:szCs w:val="20"/>
      <w:lang w:val="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VzEE2HzPxpgOcTQv8IYORdnI8A==">CgMxLjAyDmgueXV4aWR6MTB6eDQwMg5oLmswNW54dno3N3Z1dzIOaC5rODN1bGo0NGdud2IyDmgudmVlamtnMjB6bnZ4Mg5oLmMxNXdtcm5iOWIzdzIOaC53eGhtYjMzNmpqN3UyDmgubzF5ZGFxdWRzdnluMg5oLmFoejNoZGU1bHFkaDIJaC4yczhleW8xMgloLjE3ZHA4dnUyCGgudHlqY3d0MgloLjNyZGNyam4yCWguMWtzdjR1djIOaC50YmtrNDA1ZWF0bmYyCGgubG54Yno5MgloLjJqeHN4cWg4AHIhMUdYSEkyMXN6cl9pd1FHZDJtakNERkl3R1VXRFVjZF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34</Pages>
  <Words>7910</Words>
  <Characters>43507</Characters>
  <Application>Microsoft Office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51315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7</cp:revision>
  <dcterms:created xsi:type="dcterms:W3CDTF">2025-11-21T16:00:00Z</dcterms:created>
  <dcterms:modified xsi:type="dcterms:W3CDTF">2025-12-08T23:54:00Z</dcterms:modified>
</cp:coreProperties>
</file>