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0AA" w:rsidRPr="0050324B" w:rsidRDefault="00EC50AA" w:rsidP="0050324B">
      <w:pPr>
        <w:spacing w:line="360" w:lineRule="auto"/>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50324B">
        <w:rPr>
          <w:rFonts w:ascii="Palatino Linotype" w:eastAsia="Palatino Linotype" w:hAnsi="Palatino Linotype" w:cs="Palatino Linotype"/>
          <w:b/>
          <w:color w:val="000000" w:themeColor="text1"/>
        </w:rPr>
        <w:t xml:space="preserve">de fecha veinte (20) </w:t>
      </w:r>
      <w:r w:rsidR="0050324B" w:rsidRPr="00157555">
        <w:rPr>
          <w:rFonts w:ascii="Palatino Linotype" w:eastAsia="Palatino Linotype" w:hAnsi="Palatino Linotype" w:cs="Palatino Linotype"/>
          <w:b/>
          <w:color w:val="000000" w:themeColor="text1"/>
        </w:rPr>
        <w:t xml:space="preserve">de </w:t>
      </w:r>
      <w:r w:rsidR="0050324B">
        <w:rPr>
          <w:rFonts w:ascii="Palatino Linotype" w:eastAsia="Palatino Linotype" w:hAnsi="Palatino Linotype" w:cs="Palatino Linotype"/>
          <w:b/>
          <w:color w:val="000000" w:themeColor="text1"/>
        </w:rPr>
        <w:t xml:space="preserve">noviembre </w:t>
      </w:r>
      <w:r w:rsidR="0050324B" w:rsidRPr="00157555">
        <w:rPr>
          <w:rFonts w:ascii="Palatino Linotype" w:eastAsia="Palatino Linotype" w:hAnsi="Palatino Linotype" w:cs="Palatino Linotype"/>
          <w:b/>
          <w:color w:val="000000" w:themeColor="text1"/>
        </w:rPr>
        <w:t>de dos mil veinticinco</w:t>
      </w:r>
      <w:r w:rsidRPr="0050324B">
        <w:rPr>
          <w:rFonts w:ascii="Palatino Linotype" w:eastAsia="Palatino Linotype" w:hAnsi="Palatino Linotype" w:cs="Palatino Linotype"/>
          <w:color w:val="000000" w:themeColor="text1"/>
        </w:rPr>
        <w:t>.</w:t>
      </w:r>
    </w:p>
    <w:p w:rsidR="00EC50AA" w:rsidRPr="0050324B" w:rsidRDefault="00EC50AA" w:rsidP="0050324B">
      <w:pP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spacing w:line="360" w:lineRule="auto"/>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b/>
          <w:color w:val="000000" w:themeColor="text1"/>
        </w:rPr>
        <w:t>VISTO</w:t>
      </w:r>
      <w:r w:rsidRPr="0050324B">
        <w:rPr>
          <w:rFonts w:ascii="Palatino Linotype" w:eastAsia="Palatino Linotype" w:hAnsi="Palatino Linotype" w:cs="Palatino Linotype"/>
          <w:color w:val="000000" w:themeColor="text1"/>
        </w:rPr>
        <w:t xml:space="preserve"> el expediente electrónico formado con motivo del recurso de revisión </w:t>
      </w:r>
      <w:r w:rsidRPr="0050324B">
        <w:rPr>
          <w:rFonts w:ascii="Palatino Linotype" w:eastAsia="Palatino Linotype" w:hAnsi="Palatino Linotype" w:cs="Palatino Linotype"/>
          <w:b/>
          <w:color w:val="000000" w:themeColor="text1"/>
        </w:rPr>
        <w:t xml:space="preserve">05078/INFOEM/IP/RR/2025, </w:t>
      </w:r>
      <w:r w:rsidRPr="0050324B">
        <w:rPr>
          <w:rFonts w:ascii="Palatino Linotype" w:eastAsia="Palatino Linotype" w:hAnsi="Palatino Linotype" w:cs="Palatino Linotype"/>
          <w:color w:val="000000" w:themeColor="text1"/>
        </w:rPr>
        <w:t xml:space="preserve">promovido por </w:t>
      </w:r>
      <w:r w:rsidRPr="0050324B">
        <w:rPr>
          <w:rFonts w:ascii="Palatino Linotype" w:eastAsia="Palatino Linotype" w:hAnsi="Palatino Linotype" w:cs="Palatino Linotype"/>
          <w:b/>
          <w:bCs/>
          <w:color w:val="000000" w:themeColor="text1"/>
        </w:rPr>
        <w:t>un usuario que no proporcionó nombre</w:t>
      </w:r>
      <w:r w:rsidRPr="0050324B">
        <w:rPr>
          <w:rFonts w:ascii="Palatino Linotype" w:eastAsia="Palatino Linotype" w:hAnsi="Palatino Linotype" w:cs="Palatino Linotype"/>
          <w:b/>
          <w:color w:val="000000" w:themeColor="text1"/>
        </w:rPr>
        <w:t>,</w:t>
      </w:r>
      <w:r w:rsidRPr="0050324B">
        <w:rPr>
          <w:rFonts w:ascii="Palatino Linotype" w:eastAsia="Palatino Linotype" w:hAnsi="Palatino Linotype" w:cs="Palatino Linotype"/>
          <w:color w:val="000000" w:themeColor="text1"/>
        </w:rPr>
        <w:t xml:space="preserve"> </w:t>
      </w:r>
      <w:r w:rsidR="006A7BBF">
        <w:rPr>
          <w:rFonts w:ascii="Palatino Linotype" w:eastAsia="Palatino Linotype" w:hAnsi="Palatino Linotype" w:cs="Palatino Linotype"/>
          <w:color w:val="000000" w:themeColor="text1"/>
        </w:rPr>
        <w:t xml:space="preserve">a </w:t>
      </w:r>
      <w:bookmarkStart w:id="0" w:name="_GoBack"/>
      <w:bookmarkEnd w:id="0"/>
      <w:r w:rsidRPr="0050324B">
        <w:rPr>
          <w:rFonts w:ascii="Palatino Linotype" w:eastAsia="Palatino Linotype" w:hAnsi="Palatino Linotype" w:cs="Palatino Linotype"/>
          <w:color w:val="000000" w:themeColor="text1"/>
        </w:rPr>
        <w:t xml:space="preserve">quien en lo sucesivo se identificará como </w:t>
      </w:r>
      <w:r w:rsidRPr="0050324B">
        <w:rPr>
          <w:rFonts w:ascii="Palatino Linotype" w:eastAsia="Palatino Linotype" w:hAnsi="Palatino Linotype" w:cs="Palatino Linotype"/>
          <w:b/>
          <w:color w:val="000000" w:themeColor="text1"/>
        </w:rPr>
        <w:t>EL RECURRENTE</w:t>
      </w:r>
      <w:r w:rsidRPr="0050324B">
        <w:rPr>
          <w:rFonts w:ascii="Palatino Linotype" w:eastAsia="Palatino Linotype" w:hAnsi="Palatino Linotype" w:cs="Palatino Linotype"/>
          <w:color w:val="000000" w:themeColor="text1"/>
        </w:rPr>
        <w:t xml:space="preserve">, en contra de la respuesta del </w:t>
      </w:r>
      <w:r w:rsidRPr="0050324B">
        <w:rPr>
          <w:rFonts w:ascii="Palatino Linotype" w:eastAsia="Palatino Linotype" w:hAnsi="Palatino Linotype" w:cs="Palatino Linotype"/>
          <w:b/>
          <w:color w:val="000000" w:themeColor="text1"/>
        </w:rPr>
        <w:t xml:space="preserve">Ayuntamiento de Zinacantepec, </w:t>
      </w:r>
      <w:r w:rsidRPr="0050324B">
        <w:rPr>
          <w:rFonts w:ascii="Palatino Linotype" w:eastAsia="Palatino Linotype" w:hAnsi="Palatino Linotype" w:cs="Palatino Linotype"/>
          <w:color w:val="000000" w:themeColor="text1"/>
        </w:rPr>
        <w:t>en adelante el</w:t>
      </w:r>
      <w:r w:rsidRPr="0050324B">
        <w:rPr>
          <w:rFonts w:ascii="Palatino Linotype" w:eastAsia="Palatino Linotype" w:hAnsi="Palatino Linotype" w:cs="Palatino Linotype"/>
          <w:b/>
          <w:color w:val="000000" w:themeColor="text1"/>
        </w:rPr>
        <w:t xml:space="preserve"> SUJETO OBLIGADO</w:t>
      </w:r>
      <w:r w:rsidRPr="0050324B">
        <w:rPr>
          <w:rFonts w:ascii="Palatino Linotype" w:eastAsia="Palatino Linotype" w:hAnsi="Palatino Linotype" w:cs="Palatino Linotype"/>
          <w:color w:val="000000" w:themeColor="text1"/>
        </w:rPr>
        <w:t>, por lo que se procede a dictar la presente resolución, con base en los siguientes:</w:t>
      </w:r>
    </w:p>
    <w:p w:rsidR="00EC50AA" w:rsidRPr="0050324B" w:rsidRDefault="00EC50AA" w:rsidP="0050324B">
      <w:pPr>
        <w:spacing w:line="360" w:lineRule="auto"/>
        <w:jc w:val="both"/>
        <w:rPr>
          <w:rFonts w:ascii="Palatino Linotype" w:eastAsia="Palatino Linotype" w:hAnsi="Palatino Linotype" w:cs="Palatino Linotype"/>
          <w:b/>
          <w:color w:val="000000" w:themeColor="text1"/>
        </w:rPr>
      </w:pPr>
    </w:p>
    <w:p w:rsidR="00EC50AA" w:rsidRPr="0050324B" w:rsidRDefault="00EC50AA" w:rsidP="0050324B">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50324B">
        <w:rPr>
          <w:rFonts w:ascii="Palatino Linotype" w:eastAsia="Palatino Linotype" w:hAnsi="Palatino Linotype" w:cs="Palatino Linotype"/>
          <w:b/>
          <w:color w:val="000000" w:themeColor="text1"/>
        </w:rPr>
        <w:t>A N T E C E D E N T E S</w:t>
      </w:r>
    </w:p>
    <w:p w:rsidR="00EC50AA" w:rsidRPr="0050324B" w:rsidRDefault="00EC50AA" w:rsidP="0050324B">
      <w:pPr>
        <w:spacing w:line="360" w:lineRule="auto"/>
        <w:rPr>
          <w:rFonts w:ascii="Palatino Linotype" w:eastAsia="Palatino Linotype" w:hAnsi="Palatino Linotype" w:cs="Palatino Linotype"/>
          <w:color w:val="000000" w:themeColor="text1"/>
        </w:rPr>
      </w:pPr>
    </w:p>
    <w:p w:rsidR="00EC50AA" w:rsidRPr="0050324B" w:rsidRDefault="00EC50AA"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El </w:t>
      </w:r>
      <w:r w:rsidRPr="0050324B">
        <w:rPr>
          <w:rFonts w:ascii="Palatino Linotype" w:eastAsia="Palatino Linotype" w:hAnsi="Palatino Linotype" w:cs="Palatino Linotype"/>
          <w:b/>
          <w:color w:val="000000" w:themeColor="text1"/>
        </w:rPr>
        <w:t>tres de abril de dos mil veinticinco</w:t>
      </w:r>
      <w:r w:rsidRPr="0050324B">
        <w:rPr>
          <w:rFonts w:ascii="Palatino Linotype" w:eastAsia="Palatino Linotype" w:hAnsi="Palatino Linotype" w:cs="Palatino Linotype"/>
          <w:color w:val="000000" w:themeColor="text1"/>
        </w:rPr>
        <w:t xml:space="preserve">, </w:t>
      </w:r>
      <w:r w:rsidRPr="0050324B">
        <w:rPr>
          <w:rFonts w:ascii="Palatino Linotype" w:eastAsia="Palatino Linotype" w:hAnsi="Palatino Linotype" w:cs="Palatino Linotype"/>
          <w:b/>
          <w:color w:val="000000" w:themeColor="text1"/>
        </w:rPr>
        <w:t>EL RECURRENTE,</w:t>
      </w:r>
      <w:r w:rsidRPr="0050324B">
        <w:rPr>
          <w:rFonts w:ascii="Palatino Linotype" w:eastAsia="Palatino Linotype" w:hAnsi="Palatino Linotype" w:cs="Palatino Linotype"/>
          <w:color w:val="000000" w:themeColor="text1"/>
        </w:rPr>
        <w:t xml:space="preserve"> ante el </w:t>
      </w:r>
      <w:r w:rsidRPr="0050324B">
        <w:rPr>
          <w:rFonts w:ascii="Palatino Linotype" w:eastAsia="Palatino Linotype" w:hAnsi="Palatino Linotype" w:cs="Palatino Linotype"/>
          <w:b/>
          <w:color w:val="000000" w:themeColor="text1"/>
        </w:rPr>
        <w:t>SUJETO OBLIGADO</w:t>
      </w:r>
      <w:r w:rsidRPr="0050324B">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Pr="0050324B">
        <w:rPr>
          <w:rFonts w:ascii="Palatino Linotype" w:eastAsia="Palatino Linotype" w:hAnsi="Palatino Linotype" w:cs="Palatino Linotype"/>
          <w:b/>
          <w:bCs/>
          <w:color w:val="000000" w:themeColor="text1"/>
        </w:rPr>
        <w:t>00184/ZINACANT/IP/2025</w:t>
      </w:r>
      <w:r w:rsidRPr="0050324B">
        <w:rPr>
          <w:rFonts w:ascii="Palatino Linotype" w:eastAsia="Palatino Linotype" w:hAnsi="Palatino Linotype" w:cs="Palatino Linotype"/>
          <w:b/>
          <w:color w:val="000000" w:themeColor="text1"/>
        </w:rPr>
        <w:t xml:space="preserve">, </w:t>
      </w:r>
      <w:r w:rsidRPr="0050324B">
        <w:rPr>
          <w:rFonts w:ascii="Palatino Linotype" w:eastAsia="Palatino Linotype" w:hAnsi="Palatino Linotype" w:cs="Palatino Linotype"/>
          <w:color w:val="000000" w:themeColor="text1"/>
        </w:rPr>
        <w:t>en la que se solicitó lo siguiente:</w:t>
      </w:r>
    </w:p>
    <w:p w:rsidR="00EC50AA" w:rsidRPr="0050324B" w:rsidRDefault="00EC50AA" w:rsidP="005032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0324B">
        <w:rPr>
          <w:rFonts w:ascii="Palatino Linotype" w:eastAsia="Palatino Linotype" w:hAnsi="Palatino Linotype" w:cs="Palatino Linotype"/>
          <w:i/>
          <w:color w:val="000000" w:themeColor="text1"/>
        </w:rPr>
        <w:t xml:space="preserve">“Solicito información sobre el cumplimiento de las normativas urbanísticas y de construcción en el municipio de Zinacantepec, incluyendo un listado de las infracciones y sanciones impuestas en los últimos 2 años.” (Sic) </w:t>
      </w:r>
    </w:p>
    <w:p w:rsidR="00EC50AA" w:rsidRPr="0050324B" w:rsidRDefault="00EC50AA" w:rsidP="005032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Se señaló como modalidad de entrega a través de SAIMEX.  </w:t>
      </w:r>
    </w:p>
    <w:p w:rsidR="00EC50AA" w:rsidRPr="0050324B" w:rsidRDefault="00EC50AA" w:rsidP="005032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El </w:t>
      </w:r>
      <w:r w:rsidRPr="0050324B">
        <w:rPr>
          <w:rFonts w:ascii="Palatino Linotype" w:eastAsia="Palatino Linotype" w:hAnsi="Palatino Linotype" w:cs="Palatino Linotype"/>
          <w:b/>
          <w:color w:val="000000" w:themeColor="text1"/>
        </w:rPr>
        <w:t>cuatro de abril de dos mil veinticinco</w:t>
      </w:r>
      <w:r w:rsidRPr="0050324B">
        <w:rPr>
          <w:rFonts w:ascii="Palatino Linotype" w:eastAsia="Palatino Linotype" w:hAnsi="Palatino Linotype" w:cs="Palatino Linotype"/>
          <w:color w:val="000000" w:themeColor="text1"/>
        </w:rPr>
        <w:t xml:space="preserve">, se realizó un requerimiento de información al servidor público habilitado. </w:t>
      </w:r>
    </w:p>
    <w:p w:rsidR="00EC50AA" w:rsidRPr="0050324B" w:rsidRDefault="00EC50AA"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lastRenderedPageBreak/>
        <w:t xml:space="preserve">El </w:t>
      </w:r>
      <w:r w:rsidRPr="0050324B">
        <w:rPr>
          <w:rFonts w:ascii="Palatino Linotype" w:eastAsia="Palatino Linotype" w:hAnsi="Palatino Linotype" w:cs="Palatino Linotype"/>
          <w:b/>
          <w:color w:val="000000" w:themeColor="text1"/>
        </w:rPr>
        <w:t>dos de mayo de dos mil veinticinco</w:t>
      </w:r>
      <w:r w:rsidRPr="0050324B">
        <w:rPr>
          <w:rFonts w:ascii="Palatino Linotype" w:eastAsia="Palatino Linotype" w:hAnsi="Palatino Linotype" w:cs="Palatino Linotype"/>
          <w:color w:val="000000" w:themeColor="text1"/>
        </w:rPr>
        <w:t>, el Sujeto Obligado dio respuesta a la solicitud de información en los siguientes términos:</w:t>
      </w:r>
    </w:p>
    <w:p w:rsidR="00EC50AA" w:rsidRPr="0050324B" w:rsidRDefault="00EC50AA" w:rsidP="005032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7575" w:type="dxa"/>
        <w:jc w:val="center"/>
        <w:tblCellSpacing w:w="0" w:type="dxa"/>
        <w:tblCellMar>
          <w:left w:w="0" w:type="dxa"/>
          <w:right w:w="0" w:type="dxa"/>
        </w:tblCellMar>
        <w:tblLook w:val="04A0" w:firstRow="1" w:lastRow="0" w:firstColumn="1" w:lastColumn="0" w:noHBand="0" w:noVBand="1"/>
      </w:tblPr>
      <w:tblGrid>
        <w:gridCol w:w="7575"/>
      </w:tblGrid>
      <w:tr w:rsidR="0050324B" w:rsidRPr="0050324B" w:rsidTr="00EC50AA">
        <w:trPr>
          <w:trHeight w:val="289"/>
          <w:tblCellSpacing w:w="0" w:type="dxa"/>
          <w:jc w:val="center"/>
        </w:trPr>
        <w:tc>
          <w:tcPr>
            <w:tcW w:w="0" w:type="auto"/>
            <w:vAlign w:val="center"/>
            <w:hideMark/>
          </w:tcPr>
          <w:p w:rsidR="00EC50AA" w:rsidRPr="0050324B" w:rsidRDefault="00EC50AA" w:rsidP="0050324B">
            <w:pPr>
              <w:jc w:val="right"/>
              <w:rPr>
                <w:rFonts w:ascii="Palatino Linotype" w:hAnsi="Palatino Linotype"/>
                <w:i/>
                <w:color w:val="000000" w:themeColor="text1"/>
              </w:rPr>
            </w:pPr>
            <w:r w:rsidRPr="0050324B">
              <w:rPr>
                <w:rFonts w:ascii="Palatino Linotype" w:hAnsi="Palatino Linotype"/>
                <w:i/>
                <w:color w:val="000000" w:themeColor="text1"/>
              </w:rPr>
              <w:t>“Zinacantepec, México a 02 de Mayo de 2025</w:t>
            </w:r>
          </w:p>
        </w:tc>
      </w:tr>
      <w:tr w:rsidR="0050324B" w:rsidRPr="0050324B" w:rsidTr="00EC50AA">
        <w:trPr>
          <w:trHeight w:val="289"/>
          <w:tblCellSpacing w:w="0" w:type="dxa"/>
          <w:jc w:val="center"/>
        </w:trPr>
        <w:tc>
          <w:tcPr>
            <w:tcW w:w="0" w:type="auto"/>
            <w:vAlign w:val="center"/>
            <w:hideMark/>
          </w:tcPr>
          <w:p w:rsidR="00EC50AA" w:rsidRPr="0050324B" w:rsidRDefault="00EC50AA" w:rsidP="0050324B">
            <w:pPr>
              <w:jc w:val="right"/>
              <w:rPr>
                <w:rFonts w:ascii="Palatino Linotype" w:hAnsi="Palatino Linotype"/>
                <w:i/>
                <w:color w:val="000000" w:themeColor="text1"/>
              </w:rPr>
            </w:pPr>
            <w:r w:rsidRPr="0050324B">
              <w:rPr>
                <w:rFonts w:ascii="Palatino Linotype" w:hAnsi="Palatino Linotype"/>
                <w:i/>
                <w:color w:val="000000" w:themeColor="text1"/>
              </w:rPr>
              <w:t>Nombre del solicitante: C. Solicitante</w:t>
            </w:r>
          </w:p>
        </w:tc>
      </w:tr>
      <w:tr w:rsidR="0050324B" w:rsidRPr="0050324B" w:rsidTr="00EC50AA">
        <w:trPr>
          <w:trHeight w:val="289"/>
          <w:tblCellSpacing w:w="0" w:type="dxa"/>
          <w:jc w:val="center"/>
        </w:trPr>
        <w:tc>
          <w:tcPr>
            <w:tcW w:w="0" w:type="auto"/>
            <w:vAlign w:val="center"/>
            <w:hideMark/>
          </w:tcPr>
          <w:p w:rsidR="00EC50AA" w:rsidRPr="0050324B" w:rsidRDefault="00EC50AA" w:rsidP="0050324B">
            <w:pPr>
              <w:jc w:val="right"/>
              <w:rPr>
                <w:rFonts w:ascii="Palatino Linotype" w:hAnsi="Palatino Linotype"/>
                <w:i/>
                <w:color w:val="000000" w:themeColor="text1"/>
              </w:rPr>
            </w:pPr>
            <w:r w:rsidRPr="0050324B">
              <w:rPr>
                <w:rFonts w:ascii="Palatino Linotype" w:hAnsi="Palatino Linotype"/>
                <w:i/>
                <w:color w:val="000000" w:themeColor="text1"/>
              </w:rPr>
              <w:t>Folio de la solicitud: 00184/ZINACANT/IP/2025</w:t>
            </w:r>
          </w:p>
        </w:tc>
      </w:tr>
      <w:tr w:rsidR="0050324B" w:rsidRPr="0050324B" w:rsidTr="00EC50AA">
        <w:trPr>
          <w:trHeight w:val="433"/>
          <w:tblCellSpacing w:w="0" w:type="dxa"/>
          <w:jc w:val="center"/>
        </w:trPr>
        <w:tc>
          <w:tcPr>
            <w:tcW w:w="0" w:type="auto"/>
            <w:vAlign w:val="center"/>
            <w:hideMark/>
          </w:tcPr>
          <w:p w:rsidR="00EC50AA" w:rsidRPr="0050324B" w:rsidRDefault="00EC50AA" w:rsidP="0050324B">
            <w:pPr>
              <w:jc w:val="right"/>
              <w:rPr>
                <w:rFonts w:ascii="Palatino Linotype" w:hAnsi="Palatino Linotype"/>
                <w:i/>
                <w:color w:val="000000" w:themeColor="text1"/>
              </w:rPr>
            </w:pPr>
          </w:p>
        </w:tc>
      </w:tr>
      <w:tr w:rsidR="0050324B" w:rsidRPr="0050324B" w:rsidTr="00EC50AA">
        <w:trPr>
          <w:trHeight w:val="144"/>
          <w:tblCellSpacing w:w="0" w:type="dxa"/>
          <w:jc w:val="center"/>
        </w:trPr>
        <w:tc>
          <w:tcPr>
            <w:tcW w:w="0" w:type="auto"/>
            <w:vAlign w:val="center"/>
            <w:hideMark/>
          </w:tcPr>
          <w:p w:rsidR="00EC50AA" w:rsidRPr="0050324B" w:rsidRDefault="00EC50AA" w:rsidP="0050324B">
            <w:pPr>
              <w:jc w:val="both"/>
              <w:rPr>
                <w:rFonts w:ascii="Palatino Linotype" w:hAnsi="Palatino Linotype"/>
                <w:i/>
                <w:color w:val="000000" w:themeColor="text1"/>
              </w:rPr>
            </w:pPr>
            <w:r w:rsidRPr="0050324B">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0324B" w:rsidRPr="0050324B" w:rsidTr="00EC50AA">
        <w:trPr>
          <w:trHeight w:val="361"/>
          <w:tblCellSpacing w:w="0" w:type="dxa"/>
          <w:jc w:val="center"/>
        </w:trPr>
        <w:tc>
          <w:tcPr>
            <w:tcW w:w="0" w:type="auto"/>
            <w:vAlign w:val="center"/>
            <w:hideMark/>
          </w:tcPr>
          <w:p w:rsidR="00EC50AA" w:rsidRPr="0050324B" w:rsidRDefault="00EC50AA" w:rsidP="0050324B">
            <w:pPr>
              <w:jc w:val="both"/>
              <w:rPr>
                <w:rFonts w:ascii="Palatino Linotype" w:hAnsi="Palatino Linotype"/>
                <w:i/>
                <w:color w:val="000000" w:themeColor="text1"/>
              </w:rPr>
            </w:pPr>
          </w:p>
        </w:tc>
      </w:tr>
      <w:tr w:rsidR="0050324B" w:rsidRPr="0050324B" w:rsidTr="00EC50AA">
        <w:trPr>
          <w:trHeight w:val="144"/>
          <w:tblCellSpacing w:w="0" w:type="dxa"/>
          <w:jc w:val="center"/>
        </w:trPr>
        <w:tc>
          <w:tcPr>
            <w:tcW w:w="0" w:type="auto"/>
            <w:vAlign w:val="center"/>
            <w:hideMark/>
          </w:tcPr>
          <w:p w:rsidR="00EC50AA" w:rsidRPr="0050324B" w:rsidRDefault="00EC50AA" w:rsidP="0050324B">
            <w:pPr>
              <w:jc w:val="both"/>
              <w:rPr>
                <w:rFonts w:ascii="Palatino Linotype" w:hAnsi="Palatino Linotype"/>
                <w:i/>
                <w:color w:val="000000" w:themeColor="text1"/>
              </w:rPr>
            </w:pPr>
            <w:r w:rsidRPr="0050324B">
              <w:rPr>
                <w:rFonts w:ascii="Palatino Linotype" w:hAnsi="Palatino Linotype"/>
                <w:i/>
                <w:color w:val="000000" w:themeColor="text1"/>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50324B" w:rsidRPr="0050324B" w:rsidTr="00EC50AA">
        <w:trPr>
          <w:trHeight w:val="361"/>
          <w:tblCellSpacing w:w="0" w:type="dxa"/>
          <w:jc w:val="center"/>
        </w:trPr>
        <w:tc>
          <w:tcPr>
            <w:tcW w:w="0" w:type="auto"/>
            <w:vAlign w:val="center"/>
            <w:hideMark/>
          </w:tcPr>
          <w:p w:rsidR="00EC50AA" w:rsidRPr="0050324B" w:rsidRDefault="00EC50AA" w:rsidP="0050324B">
            <w:pPr>
              <w:rPr>
                <w:rFonts w:ascii="Palatino Linotype" w:hAnsi="Palatino Linotype"/>
                <w:i/>
                <w:color w:val="000000" w:themeColor="text1"/>
              </w:rPr>
            </w:pPr>
          </w:p>
        </w:tc>
      </w:tr>
      <w:tr w:rsidR="0050324B" w:rsidRPr="0050324B" w:rsidTr="00EC50AA">
        <w:trPr>
          <w:trHeight w:val="144"/>
          <w:tblCellSpacing w:w="0" w:type="dxa"/>
          <w:jc w:val="center"/>
        </w:trPr>
        <w:tc>
          <w:tcPr>
            <w:tcW w:w="0" w:type="auto"/>
            <w:vAlign w:val="center"/>
            <w:hideMark/>
          </w:tcPr>
          <w:p w:rsidR="00EC50AA" w:rsidRPr="0050324B" w:rsidRDefault="00EC50AA" w:rsidP="0050324B">
            <w:pPr>
              <w:jc w:val="center"/>
              <w:rPr>
                <w:rFonts w:ascii="Palatino Linotype" w:hAnsi="Palatino Linotype"/>
                <w:i/>
                <w:color w:val="000000" w:themeColor="text1"/>
              </w:rPr>
            </w:pPr>
          </w:p>
        </w:tc>
      </w:tr>
      <w:tr w:rsidR="0050324B" w:rsidRPr="0050324B" w:rsidTr="00EC50AA">
        <w:trPr>
          <w:trHeight w:val="144"/>
          <w:tblCellSpacing w:w="0" w:type="dxa"/>
          <w:jc w:val="center"/>
        </w:trPr>
        <w:tc>
          <w:tcPr>
            <w:tcW w:w="0" w:type="auto"/>
            <w:vAlign w:val="center"/>
            <w:hideMark/>
          </w:tcPr>
          <w:p w:rsidR="00EC50AA" w:rsidRPr="0050324B" w:rsidRDefault="00EC50AA" w:rsidP="0050324B">
            <w:pPr>
              <w:rPr>
                <w:rFonts w:ascii="Palatino Linotype" w:hAnsi="Palatino Linotype"/>
                <w:i/>
                <w:color w:val="000000" w:themeColor="text1"/>
              </w:rPr>
            </w:pPr>
          </w:p>
        </w:tc>
      </w:tr>
      <w:tr w:rsidR="0050324B" w:rsidRPr="0050324B" w:rsidTr="00EC50AA">
        <w:trPr>
          <w:trHeight w:val="144"/>
          <w:tblCellSpacing w:w="0" w:type="dxa"/>
          <w:jc w:val="center"/>
        </w:trPr>
        <w:tc>
          <w:tcPr>
            <w:tcW w:w="0" w:type="auto"/>
            <w:vAlign w:val="center"/>
            <w:hideMark/>
          </w:tcPr>
          <w:p w:rsidR="00EC50AA" w:rsidRPr="0050324B" w:rsidRDefault="00EC50AA" w:rsidP="0050324B">
            <w:pPr>
              <w:rPr>
                <w:rFonts w:ascii="Palatino Linotype" w:hAnsi="Palatino Linotype"/>
                <w:i/>
                <w:color w:val="000000" w:themeColor="text1"/>
              </w:rPr>
            </w:pPr>
            <w:r w:rsidRPr="0050324B">
              <w:rPr>
                <w:rFonts w:ascii="Palatino Linotype" w:hAnsi="Palatino Linotype"/>
                <w:i/>
                <w:color w:val="000000" w:themeColor="text1"/>
              </w:rPr>
              <w:t>ATENTAMENTE</w:t>
            </w:r>
          </w:p>
        </w:tc>
      </w:tr>
      <w:tr w:rsidR="0050324B" w:rsidRPr="0050324B" w:rsidTr="00EC50AA">
        <w:trPr>
          <w:trHeight w:val="216"/>
          <w:tblCellSpacing w:w="0" w:type="dxa"/>
          <w:jc w:val="center"/>
        </w:trPr>
        <w:tc>
          <w:tcPr>
            <w:tcW w:w="0" w:type="auto"/>
            <w:vAlign w:val="center"/>
            <w:hideMark/>
          </w:tcPr>
          <w:p w:rsidR="00EC50AA" w:rsidRPr="0050324B" w:rsidRDefault="00EC50AA" w:rsidP="0050324B">
            <w:pPr>
              <w:rPr>
                <w:rFonts w:ascii="Palatino Linotype" w:hAnsi="Palatino Linotype"/>
                <w:i/>
                <w:color w:val="000000" w:themeColor="text1"/>
              </w:rPr>
            </w:pPr>
          </w:p>
        </w:tc>
      </w:tr>
      <w:tr w:rsidR="00435C4D" w:rsidRPr="0050324B" w:rsidTr="00EC50AA">
        <w:trPr>
          <w:trHeight w:val="144"/>
          <w:tblCellSpacing w:w="0" w:type="dxa"/>
          <w:jc w:val="center"/>
        </w:trPr>
        <w:tc>
          <w:tcPr>
            <w:tcW w:w="0" w:type="auto"/>
            <w:vAlign w:val="center"/>
            <w:hideMark/>
          </w:tcPr>
          <w:p w:rsidR="00EC50AA" w:rsidRPr="0050324B" w:rsidRDefault="00EC50AA" w:rsidP="0050324B">
            <w:pPr>
              <w:rPr>
                <w:rFonts w:ascii="Palatino Linotype" w:hAnsi="Palatino Linotype"/>
                <w:i/>
                <w:color w:val="000000" w:themeColor="text1"/>
              </w:rPr>
            </w:pPr>
            <w:r w:rsidRPr="0050324B">
              <w:rPr>
                <w:rFonts w:ascii="Palatino Linotype" w:hAnsi="Palatino Linotype"/>
                <w:i/>
                <w:color w:val="000000" w:themeColor="text1"/>
              </w:rPr>
              <w:t>BRENDA SELENE HERNANDEZ LOPEZ”</w:t>
            </w:r>
          </w:p>
        </w:tc>
      </w:tr>
    </w:tbl>
    <w:p w:rsidR="00EC50AA" w:rsidRPr="0050324B" w:rsidRDefault="00EC50AA" w:rsidP="0050324B">
      <w:pP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A la respuesta se adjuntaron los archivos que, grosso modo, refieren lo siguiente:</w:t>
      </w:r>
    </w:p>
    <w:p w:rsidR="00EC50AA" w:rsidRPr="0050324B" w:rsidRDefault="00EC50AA" w:rsidP="0050324B">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lastRenderedPageBreak/>
        <w:t xml:space="preserve"> </w:t>
      </w:r>
      <w:hyperlink r:id="rId7" w:tgtFrame="_blank" w:history="1">
        <w:r w:rsidRPr="0050324B">
          <w:rPr>
            <w:rStyle w:val="Hipervnculo"/>
            <w:rFonts w:ascii="Palatino Linotype" w:eastAsia="Palatino Linotype" w:hAnsi="Palatino Linotype" w:cs="Palatino Linotype"/>
            <w:b/>
            <w:bCs/>
            <w:color w:val="000000" w:themeColor="text1"/>
          </w:rPr>
          <w:t>184 NORMATIVA.pdf</w:t>
        </w:r>
      </w:hyperlink>
      <w:r w:rsidRPr="0050324B">
        <w:rPr>
          <w:rFonts w:ascii="Palatino Linotype" w:eastAsia="Palatino Linotype" w:hAnsi="Palatino Linotype" w:cs="Palatino Linotype"/>
          <w:bCs/>
          <w:color w:val="000000" w:themeColor="text1"/>
        </w:rPr>
        <w:t xml:space="preserve">: oficio número ZIN/DDTyU/225/2025 de fecha ocho de abril de dos mil veinticinco, suscrito por el Director de Desarrollo </w:t>
      </w:r>
      <w:r w:rsidR="00435C4D" w:rsidRPr="0050324B">
        <w:rPr>
          <w:rFonts w:ascii="Palatino Linotype" w:eastAsia="Palatino Linotype" w:hAnsi="Palatino Linotype" w:cs="Palatino Linotype"/>
          <w:bCs/>
          <w:color w:val="000000" w:themeColor="text1"/>
        </w:rPr>
        <w:t xml:space="preserve">Territorial y Urbano, quien señaló que derivado de búsqueda exhaustiva no se localizó lo solicitado. </w:t>
      </w:r>
    </w:p>
    <w:p w:rsidR="0050324B" w:rsidRPr="0050324B" w:rsidRDefault="0050324B" w:rsidP="0050324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EC50AA" w:rsidRPr="0050324B" w:rsidRDefault="003A7072" w:rsidP="0050324B">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8" w:tgtFrame="_blank" w:history="1">
        <w:r w:rsidR="00EC50AA" w:rsidRPr="0050324B">
          <w:rPr>
            <w:rStyle w:val="Hipervnculo"/>
            <w:rFonts w:ascii="Palatino Linotype" w:eastAsia="Palatino Linotype" w:hAnsi="Palatino Linotype" w:cs="Palatino Linotype"/>
            <w:b/>
            <w:bCs/>
            <w:color w:val="000000" w:themeColor="text1"/>
          </w:rPr>
          <w:t>RESPUESTA SOLICITUD 184.pdf</w:t>
        </w:r>
      </w:hyperlink>
      <w:r w:rsidR="00EC50AA" w:rsidRPr="0050324B">
        <w:rPr>
          <w:rFonts w:ascii="Palatino Linotype" w:eastAsia="Palatino Linotype" w:hAnsi="Palatino Linotype" w:cs="Palatino Linotype"/>
          <w:bCs/>
          <w:color w:val="000000" w:themeColor="text1"/>
        </w:rPr>
        <w:t xml:space="preserve">: </w:t>
      </w:r>
      <w:r w:rsidR="00435C4D" w:rsidRPr="0050324B">
        <w:rPr>
          <w:rFonts w:ascii="Palatino Linotype" w:eastAsia="Palatino Linotype" w:hAnsi="Palatino Linotype" w:cs="Palatino Linotype"/>
          <w:bCs/>
          <w:color w:val="000000" w:themeColor="text1"/>
        </w:rPr>
        <w:t>documento de respuesta, de fecha dos de mayo de dos mil veinticinco, suscrito por el Titular de la Unidad de Transparencia, quien señaló que remite respuesta proporcionada por el área correspondiente.</w:t>
      </w:r>
      <w:r w:rsidR="00435C4D" w:rsidRPr="0050324B">
        <w:rPr>
          <w:rFonts w:ascii="Palatino Linotype" w:eastAsia="Palatino Linotype" w:hAnsi="Palatino Linotype" w:cs="Palatino Linotype"/>
          <w:b/>
          <w:bCs/>
          <w:color w:val="000000" w:themeColor="text1"/>
          <w:u w:val="single"/>
        </w:rPr>
        <w:t xml:space="preserve"> </w:t>
      </w:r>
    </w:p>
    <w:p w:rsidR="00EC50AA" w:rsidRPr="0050324B" w:rsidRDefault="00EC50AA" w:rsidP="0050324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EC50AA" w:rsidRPr="0050324B" w:rsidRDefault="00EC50AA"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El </w:t>
      </w:r>
      <w:r w:rsidR="00435C4D" w:rsidRPr="0050324B">
        <w:rPr>
          <w:rFonts w:ascii="Palatino Linotype" w:eastAsia="Palatino Linotype" w:hAnsi="Palatino Linotype" w:cs="Palatino Linotype"/>
          <w:b/>
          <w:color w:val="000000" w:themeColor="text1"/>
        </w:rPr>
        <w:t>seis</w:t>
      </w:r>
      <w:r w:rsidRPr="0050324B">
        <w:rPr>
          <w:rFonts w:ascii="Palatino Linotype" w:eastAsia="Palatino Linotype" w:hAnsi="Palatino Linotype" w:cs="Palatino Linotype"/>
          <w:b/>
          <w:color w:val="000000" w:themeColor="text1"/>
        </w:rPr>
        <w:t xml:space="preserve"> de mayo de dos mil veinticinco</w:t>
      </w:r>
      <w:r w:rsidRPr="0050324B">
        <w:rPr>
          <w:rFonts w:ascii="Palatino Linotype" w:eastAsia="Palatino Linotype" w:hAnsi="Palatino Linotype" w:cs="Palatino Linotype"/>
          <w:color w:val="000000" w:themeColor="text1"/>
        </w:rPr>
        <w:t xml:space="preserve">, </w:t>
      </w:r>
      <w:r w:rsidRPr="0050324B">
        <w:rPr>
          <w:rFonts w:ascii="Palatino Linotype" w:eastAsia="Palatino Linotype" w:hAnsi="Palatino Linotype" w:cs="Palatino Linotype"/>
          <w:b/>
          <w:color w:val="000000" w:themeColor="text1"/>
        </w:rPr>
        <w:t>El Recurrente</w:t>
      </w:r>
      <w:r w:rsidRPr="0050324B">
        <w:rPr>
          <w:rFonts w:ascii="Palatino Linotype" w:eastAsia="Palatino Linotype" w:hAnsi="Palatino Linotype" w:cs="Palatino Linotype"/>
          <w:color w:val="000000" w:themeColor="text1"/>
        </w:rPr>
        <w:t xml:space="preserve"> interpuso el recurso de revisión, en contra de la respuesta, señalando como:</w:t>
      </w:r>
    </w:p>
    <w:p w:rsidR="00EC50AA" w:rsidRPr="0050324B" w:rsidRDefault="00EC50AA" w:rsidP="005032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numPr>
          <w:ilvl w:val="0"/>
          <w:numId w:val="1"/>
        </w:numPr>
        <w:spacing w:line="360" w:lineRule="auto"/>
        <w:ind w:left="0" w:firstLine="0"/>
        <w:jc w:val="both"/>
        <w:rPr>
          <w:rFonts w:ascii="Palatino Linotype" w:hAnsi="Palatino Linotype"/>
          <w:color w:val="000000" w:themeColor="text1"/>
        </w:rPr>
      </w:pPr>
      <w:r w:rsidRPr="0050324B">
        <w:rPr>
          <w:rFonts w:ascii="Palatino Linotype" w:eastAsia="Palatino Linotype" w:hAnsi="Palatino Linotype" w:cs="Palatino Linotype"/>
          <w:b/>
          <w:color w:val="000000" w:themeColor="text1"/>
        </w:rPr>
        <w:t>Acto impugnado</w:t>
      </w:r>
      <w:r w:rsidRPr="0050324B">
        <w:rPr>
          <w:rFonts w:ascii="Palatino Linotype" w:eastAsia="Palatino Linotype" w:hAnsi="Palatino Linotype" w:cs="Palatino Linotype"/>
          <w:b/>
          <w:i/>
          <w:color w:val="000000" w:themeColor="text1"/>
        </w:rPr>
        <w:t>:</w:t>
      </w:r>
      <w:r w:rsidRPr="0050324B">
        <w:rPr>
          <w:rFonts w:ascii="Palatino Linotype" w:eastAsia="Palatino Linotype" w:hAnsi="Palatino Linotype" w:cs="Palatino Linotype"/>
          <w:i/>
          <w:color w:val="000000" w:themeColor="text1"/>
        </w:rPr>
        <w:t xml:space="preserve"> "NO ENTREGA INFORMACION" (Sic)</w:t>
      </w:r>
    </w:p>
    <w:p w:rsidR="00EC50AA" w:rsidRPr="0050324B" w:rsidRDefault="00EC50AA" w:rsidP="0050324B">
      <w:pPr>
        <w:spacing w:line="360" w:lineRule="auto"/>
        <w:jc w:val="both"/>
        <w:rPr>
          <w:rFonts w:ascii="Palatino Linotype" w:hAnsi="Palatino Linotype"/>
          <w:color w:val="000000" w:themeColor="text1"/>
        </w:rPr>
      </w:pPr>
    </w:p>
    <w:p w:rsidR="00EC50AA" w:rsidRPr="0050324B" w:rsidRDefault="00EC50AA" w:rsidP="0050324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b/>
          <w:color w:val="000000" w:themeColor="text1"/>
        </w:rPr>
        <w:t xml:space="preserve">Razones o Motivos de inconformidad: </w:t>
      </w:r>
      <w:r w:rsidRPr="0050324B">
        <w:rPr>
          <w:rFonts w:ascii="Palatino Linotype" w:eastAsia="Palatino Linotype" w:hAnsi="Palatino Linotype" w:cs="Palatino Linotype"/>
          <w:i/>
          <w:color w:val="000000" w:themeColor="text1"/>
        </w:rPr>
        <w:t>"</w:t>
      </w:r>
      <w:r w:rsidRPr="0050324B">
        <w:rPr>
          <w:rFonts w:ascii="Palatino Linotype" w:hAnsi="Palatino Linotype"/>
          <w:color w:val="000000" w:themeColor="text1"/>
        </w:rPr>
        <w:t xml:space="preserve"> </w:t>
      </w:r>
      <w:r w:rsidRPr="0050324B">
        <w:rPr>
          <w:rFonts w:ascii="Palatino Linotype" w:eastAsia="Palatino Linotype" w:hAnsi="Palatino Linotype" w:cs="Palatino Linotype"/>
          <w:i/>
          <w:color w:val="000000" w:themeColor="text1"/>
        </w:rPr>
        <w:t>NO ENTREGA INFORMACION" (Sic)</w:t>
      </w:r>
    </w:p>
    <w:p w:rsidR="00EC50AA" w:rsidRPr="0050324B" w:rsidRDefault="00EC50AA" w:rsidP="0050324B">
      <w:pP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50324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0324B">
        <w:rPr>
          <w:rFonts w:ascii="Palatino Linotype" w:eastAsia="Palatino Linotype" w:hAnsi="Palatino Linotype" w:cs="Palatino Linotype"/>
          <w:color w:val="000000" w:themeColor="text1"/>
        </w:rPr>
        <w:t xml:space="preserve">se turna a la </w:t>
      </w:r>
      <w:r w:rsidRPr="0050324B">
        <w:rPr>
          <w:rFonts w:ascii="Palatino Linotype" w:eastAsia="Palatino Linotype" w:hAnsi="Palatino Linotype" w:cs="Palatino Linotype"/>
          <w:b/>
          <w:color w:val="000000" w:themeColor="text1"/>
        </w:rPr>
        <w:t xml:space="preserve">Comisionada María del Rosario Mejía Ayala, </w:t>
      </w:r>
      <w:r w:rsidRPr="0050324B">
        <w:rPr>
          <w:rFonts w:ascii="Palatino Linotype" w:eastAsia="Palatino Linotype" w:hAnsi="Palatino Linotype" w:cs="Palatino Linotype"/>
          <w:color w:val="000000" w:themeColor="text1"/>
        </w:rPr>
        <w:t xml:space="preserve">para su análisis. </w:t>
      </w:r>
    </w:p>
    <w:p w:rsidR="00EC50AA" w:rsidRPr="0050324B" w:rsidRDefault="00EC50AA" w:rsidP="005032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435C4D" w:rsidRPr="0050324B">
        <w:rPr>
          <w:rFonts w:ascii="Palatino Linotype" w:eastAsia="Palatino Linotype" w:hAnsi="Palatino Linotype" w:cs="Palatino Linotype"/>
          <w:b/>
          <w:color w:val="000000" w:themeColor="text1"/>
        </w:rPr>
        <w:t>doce de mayo</w:t>
      </w:r>
      <w:r w:rsidRPr="0050324B">
        <w:rPr>
          <w:rFonts w:ascii="Palatino Linotype" w:eastAsia="Palatino Linotype" w:hAnsi="Palatino Linotype" w:cs="Palatino Linotype"/>
          <w:b/>
          <w:color w:val="000000" w:themeColor="text1"/>
        </w:rPr>
        <w:t xml:space="preserve"> de dos mil veinticinco</w:t>
      </w:r>
      <w:r w:rsidRPr="0050324B">
        <w:rPr>
          <w:rFonts w:ascii="Palatino Linotype" w:eastAsia="Palatino Linotype" w:hAnsi="Palatino Linotype" w:cs="Palatino Linotype"/>
          <w:color w:val="000000" w:themeColor="text1"/>
        </w:rPr>
        <w:t xml:space="preserve">, puso a disposición de las partes el expediente electrónico vía </w:t>
      </w:r>
      <w:r w:rsidRPr="0050324B">
        <w:rPr>
          <w:rFonts w:ascii="Palatino Linotype" w:eastAsia="Palatino Linotype" w:hAnsi="Palatino Linotype" w:cs="Palatino Linotype"/>
          <w:b/>
          <w:color w:val="000000" w:themeColor="text1"/>
        </w:rPr>
        <w:t xml:space="preserve">SAIMEX </w:t>
      </w:r>
      <w:r w:rsidRPr="0050324B">
        <w:rPr>
          <w:rFonts w:ascii="Palatino Linotype" w:eastAsia="Palatino Linotype" w:hAnsi="Palatino Linotype" w:cs="Palatino Linotype"/>
          <w:color w:val="000000" w:themeColor="text1"/>
        </w:rPr>
        <w:t xml:space="preserve">a efecto de que en un plazo máximo de siete días manifestara lo que a derecho conviniera, ofreciera </w:t>
      </w:r>
      <w:r w:rsidRPr="0050324B">
        <w:rPr>
          <w:rFonts w:ascii="Palatino Linotype" w:eastAsia="Palatino Linotype" w:hAnsi="Palatino Linotype" w:cs="Palatino Linotype"/>
          <w:color w:val="000000" w:themeColor="text1"/>
        </w:rPr>
        <w:lastRenderedPageBreak/>
        <w:t xml:space="preserve">pruebas y alegatos según corresponda al caso concreto, de esta forma para que el </w:t>
      </w:r>
      <w:r w:rsidRPr="0050324B">
        <w:rPr>
          <w:rFonts w:ascii="Palatino Linotype" w:eastAsia="Palatino Linotype" w:hAnsi="Palatino Linotype" w:cs="Palatino Linotype"/>
          <w:b/>
          <w:color w:val="000000" w:themeColor="text1"/>
        </w:rPr>
        <w:t>SUJETO OBLIGADO</w:t>
      </w:r>
      <w:r w:rsidRPr="0050324B">
        <w:rPr>
          <w:rFonts w:ascii="Palatino Linotype" w:eastAsia="Palatino Linotype" w:hAnsi="Palatino Linotype" w:cs="Palatino Linotype"/>
          <w:color w:val="000000" w:themeColor="text1"/>
        </w:rPr>
        <w:t xml:space="preserve"> presentará el informe justificado procedente. </w:t>
      </w:r>
    </w:p>
    <w:p w:rsidR="00EC50AA" w:rsidRPr="0050324B" w:rsidRDefault="00EC50AA" w:rsidP="0050324B">
      <w:pPr>
        <w:pBdr>
          <w:top w:val="nil"/>
          <w:left w:val="nil"/>
          <w:bottom w:val="nil"/>
          <w:right w:val="nil"/>
          <w:between w:val="nil"/>
        </w:pBdr>
        <w:rPr>
          <w:rFonts w:ascii="Palatino Linotype" w:eastAsia="Palatino Linotype" w:hAnsi="Palatino Linotype" w:cs="Palatino Linotype"/>
          <w:color w:val="000000" w:themeColor="text1"/>
        </w:rPr>
      </w:pPr>
    </w:p>
    <w:p w:rsidR="00EC50AA" w:rsidRPr="0050324B" w:rsidRDefault="00EC50AA"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50324B">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0042644A" w:rsidRPr="0050324B">
        <w:rPr>
          <w:rFonts w:ascii="Palatino Linotype" w:eastAsia="Palatino Linotype" w:hAnsi="Palatino Linotype" w:cs="Palatino Linotype"/>
          <w:b/>
          <w:color w:val="000000" w:themeColor="text1"/>
        </w:rPr>
        <w:t>seis</w:t>
      </w:r>
      <w:r w:rsidRPr="0050324B">
        <w:rPr>
          <w:rFonts w:ascii="Palatino Linotype" w:eastAsia="Palatino Linotype" w:hAnsi="Palatino Linotype" w:cs="Palatino Linotype"/>
          <w:b/>
          <w:color w:val="000000" w:themeColor="text1"/>
        </w:rPr>
        <w:t xml:space="preserve"> de junio de dos mil veinticinco</w:t>
      </w:r>
      <w:r w:rsidRPr="0050324B">
        <w:rPr>
          <w:rFonts w:ascii="Palatino Linotype" w:eastAsia="Palatino Linotype" w:hAnsi="Palatino Linotype" w:cs="Palatino Linotype"/>
          <w:color w:val="000000" w:themeColor="text1"/>
        </w:rPr>
        <w:t xml:space="preserve">, el cual se puso a la vista del particular el </w:t>
      </w:r>
      <w:r w:rsidR="0042644A" w:rsidRPr="0050324B">
        <w:rPr>
          <w:rFonts w:ascii="Palatino Linotype" w:eastAsia="Palatino Linotype" w:hAnsi="Palatino Linotype" w:cs="Palatino Linotype"/>
          <w:b/>
          <w:color w:val="000000" w:themeColor="text1"/>
        </w:rPr>
        <w:t>catorce de octubre</w:t>
      </w:r>
      <w:r w:rsidRPr="0050324B">
        <w:rPr>
          <w:rFonts w:ascii="Palatino Linotype" w:eastAsia="Palatino Linotype" w:hAnsi="Palatino Linotype" w:cs="Palatino Linotype"/>
          <w:b/>
          <w:color w:val="000000" w:themeColor="text1"/>
        </w:rPr>
        <w:t xml:space="preserve"> del mismo año</w:t>
      </w:r>
      <w:r w:rsidRPr="0050324B">
        <w:rPr>
          <w:rFonts w:ascii="Palatino Linotype" w:eastAsia="Palatino Linotype" w:hAnsi="Palatino Linotype" w:cs="Palatino Linotype"/>
          <w:color w:val="000000" w:themeColor="text1"/>
        </w:rPr>
        <w:t>, y que co</w:t>
      </w:r>
      <w:r w:rsidR="0042644A" w:rsidRPr="0050324B">
        <w:rPr>
          <w:rFonts w:ascii="Palatino Linotype" w:eastAsia="Palatino Linotype" w:hAnsi="Palatino Linotype" w:cs="Palatino Linotype"/>
          <w:color w:val="000000" w:themeColor="text1"/>
        </w:rPr>
        <w:t xml:space="preserve">nsta de los archivos electrónicos </w:t>
      </w:r>
      <w:hyperlink r:id="rId9" w:history="1">
        <w:r w:rsidR="0042644A" w:rsidRPr="0050324B">
          <w:rPr>
            <w:rStyle w:val="Hipervnculo"/>
            <w:rFonts w:ascii="Palatino Linotype" w:eastAsiaTheme="majorEastAsia" w:hAnsi="Palatino Linotype" w:cs="Arial"/>
            <w:b/>
            <w:bCs/>
            <w:color w:val="000000" w:themeColor="text1"/>
          </w:rPr>
          <w:t>REGLAMENTO DUYT.pdf</w:t>
        </w:r>
      </w:hyperlink>
      <w:r w:rsidR="0042644A" w:rsidRPr="0050324B">
        <w:rPr>
          <w:rFonts w:ascii="Palatino Linotype" w:hAnsi="Palatino Linotype"/>
          <w:color w:val="000000" w:themeColor="text1"/>
        </w:rPr>
        <w:t xml:space="preserve">, en el que se advierte el Reglamento de la Dirección de Desarrollo Territorial y Urbano del Municipio de Zinacantepec y los archivos </w:t>
      </w:r>
      <w:hyperlink r:id="rId10" w:history="1">
        <w:r w:rsidR="0042644A" w:rsidRPr="0050324B">
          <w:rPr>
            <w:rStyle w:val="Hipervnculo"/>
            <w:rFonts w:ascii="Palatino Linotype" w:eastAsiaTheme="majorEastAsia" w:hAnsi="Palatino Linotype" w:cs="Arial"/>
            <w:b/>
            <w:bCs/>
            <w:color w:val="000000" w:themeColor="text1"/>
          </w:rPr>
          <w:t>IJ 05078 2025.pdf</w:t>
        </w:r>
      </w:hyperlink>
      <w:r w:rsidR="0042644A" w:rsidRPr="0050324B">
        <w:rPr>
          <w:rFonts w:ascii="Palatino Linotype" w:hAnsi="Palatino Linotype"/>
          <w:color w:val="000000" w:themeColor="text1"/>
        </w:rPr>
        <w:t xml:space="preserve"> y </w:t>
      </w:r>
      <w:hyperlink r:id="rId11" w:history="1">
        <w:r w:rsidR="0042644A" w:rsidRPr="0050324B">
          <w:rPr>
            <w:rStyle w:val="Hipervnculo"/>
            <w:rFonts w:ascii="Palatino Linotype" w:eastAsiaTheme="majorEastAsia" w:hAnsi="Palatino Linotype" w:cs="Arial"/>
            <w:b/>
            <w:bCs/>
            <w:color w:val="000000" w:themeColor="text1"/>
          </w:rPr>
          <w:t>RR 5078 2025.pdf</w:t>
        </w:r>
      </w:hyperlink>
      <w:r w:rsidR="0042644A" w:rsidRPr="0050324B">
        <w:rPr>
          <w:rFonts w:ascii="Palatino Linotype" w:hAnsi="Palatino Linotype"/>
          <w:color w:val="000000" w:themeColor="text1"/>
        </w:rPr>
        <w:t xml:space="preserve"> en los que medularmente se ratificó la respuesta. </w:t>
      </w:r>
    </w:p>
    <w:p w:rsidR="00EC50AA" w:rsidRPr="0050324B" w:rsidRDefault="00EC50AA" w:rsidP="005032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0AA" w:rsidRPr="0050324B" w:rsidRDefault="00DF6884"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El </w:t>
      </w:r>
      <w:r w:rsidRPr="0050324B">
        <w:rPr>
          <w:rFonts w:ascii="Palatino Linotype" w:eastAsia="Palatino Linotype" w:hAnsi="Palatino Linotype" w:cs="Palatino Linotype"/>
          <w:b/>
          <w:color w:val="000000" w:themeColor="text1"/>
        </w:rPr>
        <w:t>catorce</w:t>
      </w:r>
      <w:r w:rsidR="00EC50AA" w:rsidRPr="0050324B">
        <w:rPr>
          <w:rFonts w:ascii="Palatino Linotype" w:eastAsia="Palatino Linotype" w:hAnsi="Palatino Linotype" w:cs="Palatino Linotype"/>
          <w:b/>
          <w:color w:val="000000" w:themeColor="text1"/>
        </w:rPr>
        <w:t xml:space="preserve"> de octubre de dos mil veinticinco</w:t>
      </w:r>
      <w:r w:rsidR="00EC50AA" w:rsidRPr="0050324B">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EC50AA" w:rsidRPr="0050324B" w:rsidRDefault="00EC50AA" w:rsidP="0050324B">
      <w:pPr>
        <w:pStyle w:val="Prrafodelista"/>
        <w:ind w:left="0"/>
        <w:rPr>
          <w:rFonts w:ascii="Palatino Linotype" w:eastAsia="Palatino Linotype" w:hAnsi="Palatino Linotype" w:cs="Palatino Linotype"/>
          <w:color w:val="000000" w:themeColor="text1"/>
        </w:rPr>
      </w:pPr>
    </w:p>
    <w:p w:rsidR="00EC50AA" w:rsidRPr="0050324B" w:rsidRDefault="00EC50AA"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El </w:t>
      </w:r>
      <w:r w:rsidR="00C928BB" w:rsidRPr="0050324B">
        <w:rPr>
          <w:rFonts w:ascii="Palatino Linotype" w:eastAsia="Palatino Linotype" w:hAnsi="Palatino Linotype" w:cs="Palatino Linotype"/>
          <w:b/>
          <w:color w:val="000000" w:themeColor="text1"/>
        </w:rPr>
        <w:t>once de abril</w:t>
      </w:r>
      <w:r w:rsidRPr="0050324B">
        <w:rPr>
          <w:rFonts w:ascii="Palatino Linotype" w:eastAsia="Palatino Linotype" w:hAnsi="Palatino Linotype" w:cs="Palatino Linotype"/>
          <w:b/>
          <w:color w:val="000000" w:themeColor="text1"/>
        </w:rPr>
        <w:t xml:space="preserve"> de dos mil veinticinco</w:t>
      </w:r>
      <w:r w:rsidRPr="0050324B">
        <w:rPr>
          <w:rFonts w:ascii="Palatino Linotype" w:eastAsia="Palatino Linotype" w:hAnsi="Palatino Linotype" w:cs="Palatino Linotype"/>
          <w:color w:val="000000" w:themeColor="text1"/>
        </w:rPr>
        <w:t xml:space="preserve">, se notificó el acuerdo mediante el cual se decretó el cierre de instrucción. </w:t>
      </w:r>
    </w:p>
    <w:p w:rsidR="00EC50AA" w:rsidRPr="0050324B" w:rsidRDefault="00EC50AA" w:rsidP="0050324B">
      <w:pPr>
        <w:spacing w:line="360" w:lineRule="auto"/>
        <w:rPr>
          <w:rFonts w:ascii="Palatino Linotype" w:eastAsia="Palatino Linotype" w:hAnsi="Palatino Linotype" w:cs="Palatino Linotype"/>
          <w:color w:val="000000" w:themeColor="text1"/>
        </w:rPr>
      </w:pPr>
    </w:p>
    <w:p w:rsidR="00EC50AA" w:rsidRPr="0050324B" w:rsidRDefault="00EC50AA" w:rsidP="0050324B">
      <w:pPr>
        <w:spacing w:line="360" w:lineRule="auto"/>
        <w:jc w:val="center"/>
        <w:rPr>
          <w:rFonts w:ascii="Palatino Linotype" w:eastAsia="Palatino Linotype" w:hAnsi="Palatino Linotype" w:cs="Palatino Linotype"/>
          <w:color w:val="000000" w:themeColor="text1"/>
        </w:rPr>
      </w:pPr>
      <w:bookmarkStart w:id="2" w:name="_heading=h.1fob9te" w:colFirst="0" w:colLast="0"/>
      <w:bookmarkEnd w:id="2"/>
      <w:r w:rsidRPr="0050324B">
        <w:rPr>
          <w:rFonts w:ascii="Palatino Linotype" w:eastAsia="Palatino Linotype" w:hAnsi="Palatino Linotype" w:cs="Palatino Linotype"/>
          <w:b/>
          <w:color w:val="000000" w:themeColor="text1"/>
        </w:rPr>
        <w:t>C O N S I D E R A N D O</w:t>
      </w:r>
    </w:p>
    <w:p w:rsidR="00EC50AA" w:rsidRPr="0050324B" w:rsidRDefault="00EC50AA" w:rsidP="0050324B">
      <w:pPr>
        <w:spacing w:line="360" w:lineRule="auto"/>
        <w:jc w:val="center"/>
        <w:rPr>
          <w:rFonts w:ascii="Palatino Linotype" w:eastAsia="Palatino Linotype" w:hAnsi="Palatino Linotype" w:cs="Palatino Linotype"/>
          <w:color w:val="000000" w:themeColor="text1"/>
        </w:rPr>
      </w:pPr>
    </w:p>
    <w:p w:rsidR="00EC50AA" w:rsidRPr="0050324B" w:rsidRDefault="00EC50AA" w:rsidP="0050324B">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r w:rsidRPr="0050324B">
        <w:rPr>
          <w:rFonts w:ascii="Palatino Linotype" w:eastAsia="Palatino Linotype" w:hAnsi="Palatino Linotype" w:cs="Palatino Linotype"/>
          <w:b/>
          <w:color w:val="000000" w:themeColor="text1"/>
        </w:rPr>
        <w:t>PRIMERO. De la competencia</w:t>
      </w:r>
    </w:p>
    <w:p w:rsidR="00C928BB" w:rsidRPr="0050324B" w:rsidRDefault="00EC50AA" w:rsidP="0050324B">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w:t>
      </w:r>
      <w:r w:rsidRPr="0050324B">
        <w:rPr>
          <w:rFonts w:ascii="Palatino Linotype" w:eastAsia="Palatino Linotype" w:hAnsi="Palatino Linotype" w:cs="Palatino Linotype"/>
          <w:color w:val="000000" w:themeColor="text1"/>
        </w:rPr>
        <w:lastRenderedPageBreak/>
        <w:t>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C928BB" w:rsidRPr="0050324B" w:rsidRDefault="00C928BB" w:rsidP="0050324B">
      <w:pPr>
        <w:keepNext/>
        <w:keepLines/>
        <w:spacing w:line="360" w:lineRule="auto"/>
        <w:rPr>
          <w:rFonts w:ascii="Palatino Linotype" w:eastAsia="Palatino Linotype" w:hAnsi="Palatino Linotype" w:cs="Palatino Linotype"/>
          <w:color w:val="000000" w:themeColor="text1"/>
        </w:rPr>
      </w:pPr>
      <w:bookmarkStart w:id="4" w:name="_heading=h.2et92p0" w:colFirst="0" w:colLast="0"/>
      <w:bookmarkEnd w:id="4"/>
    </w:p>
    <w:p w:rsidR="00EC50AA" w:rsidRPr="0050324B" w:rsidRDefault="00EC50AA" w:rsidP="0050324B">
      <w:pPr>
        <w:keepNext/>
        <w:keepLines/>
        <w:spacing w:line="360" w:lineRule="auto"/>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SEGUNDO. De la oportunidad y procedencia.</w:t>
      </w:r>
    </w:p>
    <w:p w:rsidR="00EC50AA" w:rsidRPr="0050324B" w:rsidRDefault="00EC50AA"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El medio de impugnación fue presentado a través del </w:t>
      </w:r>
      <w:r w:rsidRPr="0050324B">
        <w:rPr>
          <w:rFonts w:ascii="Palatino Linotype" w:eastAsia="Palatino Linotype" w:hAnsi="Palatino Linotype" w:cs="Palatino Linotype"/>
          <w:b/>
          <w:color w:val="000000" w:themeColor="text1"/>
        </w:rPr>
        <w:t>SAIMEX,</w:t>
      </w:r>
      <w:r w:rsidRPr="0050324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50324B">
        <w:rPr>
          <w:rFonts w:ascii="Palatino Linotype" w:eastAsia="Palatino Linotype" w:hAnsi="Palatino Linotype" w:cs="Palatino Linotype"/>
          <w:b/>
          <w:color w:val="000000" w:themeColor="text1"/>
        </w:rPr>
        <w:t>SUJETO OBLIGADO</w:t>
      </w:r>
      <w:r w:rsidRPr="0050324B">
        <w:rPr>
          <w:rFonts w:ascii="Palatino Linotype" w:eastAsia="Palatino Linotype" w:hAnsi="Palatino Linotype" w:cs="Palatino Linotype"/>
          <w:color w:val="000000" w:themeColor="text1"/>
        </w:rPr>
        <w:t xml:space="preserve"> entregó respuesta a la solicitud el día </w:t>
      </w:r>
      <w:r w:rsidR="00C928BB" w:rsidRPr="0050324B">
        <w:rPr>
          <w:rFonts w:ascii="Palatino Linotype" w:eastAsia="Palatino Linotype" w:hAnsi="Palatino Linotype" w:cs="Palatino Linotype"/>
          <w:b/>
          <w:color w:val="000000" w:themeColor="text1"/>
        </w:rPr>
        <w:t>dos de mayo</w:t>
      </w:r>
      <w:r w:rsidRPr="0050324B">
        <w:rPr>
          <w:rFonts w:ascii="Palatino Linotype" w:eastAsia="Palatino Linotype" w:hAnsi="Palatino Linotype" w:cs="Palatino Linotype"/>
          <w:b/>
          <w:color w:val="000000" w:themeColor="text1"/>
        </w:rPr>
        <w:t xml:space="preserve"> de dos mil veinticinco</w:t>
      </w:r>
      <w:r w:rsidRPr="0050324B">
        <w:rPr>
          <w:rFonts w:ascii="Palatino Linotype" w:eastAsia="Palatino Linotype" w:hAnsi="Palatino Linotype" w:cs="Palatino Linotype"/>
          <w:color w:val="000000" w:themeColor="text1"/>
        </w:rPr>
        <w:t>, de tal forma que el plazo para interponer el recurso de revisión transcurrió del</w:t>
      </w:r>
      <w:r w:rsidR="00C928BB" w:rsidRPr="0050324B">
        <w:rPr>
          <w:rFonts w:ascii="Palatino Linotype" w:eastAsia="Palatino Linotype" w:hAnsi="Palatino Linotype" w:cs="Palatino Linotype"/>
          <w:b/>
          <w:color w:val="000000" w:themeColor="text1"/>
        </w:rPr>
        <w:t xml:space="preserve"> seis veintiséis de mayo</w:t>
      </w:r>
      <w:r w:rsidRPr="0050324B">
        <w:rPr>
          <w:rFonts w:ascii="Palatino Linotype" w:eastAsia="Palatino Linotype" w:hAnsi="Palatino Linotype" w:cs="Palatino Linotype"/>
          <w:b/>
          <w:color w:val="000000" w:themeColor="text1"/>
        </w:rPr>
        <w:t xml:space="preserve"> de dos mil veinticinco</w:t>
      </w:r>
      <w:r w:rsidRPr="0050324B">
        <w:rPr>
          <w:rFonts w:ascii="Palatino Linotype" w:eastAsia="Palatino Linotype" w:hAnsi="Palatino Linotype" w:cs="Palatino Linotype"/>
          <w:color w:val="000000" w:themeColor="text1"/>
        </w:rPr>
        <w:t xml:space="preserve">; en consecuencia, presentó su inconformidad el día </w:t>
      </w:r>
      <w:r w:rsidR="00C928BB" w:rsidRPr="0050324B">
        <w:rPr>
          <w:rFonts w:ascii="Palatino Linotype" w:eastAsia="Palatino Linotype" w:hAnsi="Palatino Linotype" w:cs="Palatino Linotype"/>
          <w:b/>
          <w:color w:val="000000" w:themeColor="text1"/>
        </w:rPr>
        <w:t>seis de mayo</w:t>
      </w:r>
      <w:r w:rsidRPr="0050324B">
        <w:rPr>
          <w:rFonts w:ascii="Palatino Linotype" w:eastAsia="Palatino Linotype" w:hAnsi="Palatino Linotype" w:cs="Palatino Linotype"/>
          <w:b/>
          <w:color w:val="000000" w:themeColor="text1"/>
        </w:rPr>
        <w:t xml:space="preserve"> de dos mil veinticinco</w:t>
      </w:r>
      <w:r w:rsidRPr="0050324B">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50324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0324B">
        <w:rPr>
          <w:rFonts w:ascii="Palatino Linotype" w:eastAsia="Palatino Linotype" w:hAnsi="Palatino Linotype" w:cs="Palatino Linotype"/>
          <w:color w:val="000000" w:themeColor="text1"/>
        </w:rPr>
        <w:t>vigente.</w:t>
      </w:r>
    </w:p>
    <w:p w:rsidR="00EC50AA" w:rsidRPr="0050324B" w:rsidRDefault="00EC50AA" w:rsidP="005032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50324B">
        <w:rPr>
          <w:rFonts w:ascii="Palatino Linotype" w:eastAsia="Calibri" w:hAnsi="Palatino Linotype" w:cs="Arial"/>
          <w:color w:val="000000" w:themeColor="text1"/>
          <w:lang w:val="es-ES_tradnl" w:eastAsia="es-ES"/>
        </w:rPr>
        <w:t xml:space="preserve">Por otra parte, de la revisión al expediente electrónico del </w:t>
      </w:r>
      <w:r w:rsidRPr="0050324B">
        <w:rPr>
          <w:rFonts w:ascii="Palatino Linotype" w:eastAsia="Calibri" w:hAnsi="Palatino Linotype" w:cs="Arial"/>
          <w:b/>
          <w:color w:val="000000" w:themeColor="text1"/>
          <w:lang w:val="es-ES_tradnl" w:eastAsia="es-ES"/>
        </w:rPr>
        <w:t>SAIMEX</w:t>
      </w:r>
      <w:r w:rsidRPr="0050324B">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C50AA" w:rsidRPr="0050324B" w:rsidRDefault="00EC50AA" w:rsidP="0050324B">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50324B">
        <w:rPr>
          <w:rFonts w:ascii="Palatino Linotype" w:eastAsia="Calibri" w:hAnsi="Palatino Linotype" w:cs="Arial"/>
          <w:color w:val="000000" w:themeColor="text1"/>
          <w:lang w:val="es-ES_tradnl" w:eastAsia="es-ES"/>
        </w:rPr>
        <w:lastRenderedPageBreak/>
        <w:t xml:space="preserve">Esto es así, ya que de conformidad con los artículos 6, Apartado A, fracciones III y IV de la Constitución Política de los Estados Unidos Mexicanos y </w:t>
      </w:r>
      <w:r w:rsidRPr="0050324B">
        <w:rPr>
          <w:rFonts w:ascii="Palatino Linotype" w:eastAsia="Calibri" w:hAnsi="Palatino Linotype" w:cs="Arial"/>
          <w:bCs/>
          <w:color w:val="000000" w:themeColor="text1"/>
          <w:lang w:val="es-ES" w:eastAsia="es-ES"/>
        </w:rPr>
        <w:t xml:space="preserve">5, párrafos vigésimo, vigésimo primero y vigésimo </w:t>
      </w:r>
      <w:r w:rsidR="0050324B" w:rsidRPr="0050324B">
        <w:rPr>
          <w:rFonts w:ascii="Palatino Linotype" w:eastAsia="Calibri" w:hAnsi="Palatino Linotype" w:cs="Arial"/>
          <w:bCs/>
          <w:color w:val="000000" w:themeColor="text1"/>
          <w:lang w:val="es-ES" w:eastAsia="es-ES"/>
        </w:rPr>
        <w:t>segundo</w:t>
      </w:r>
      <w:r w:rsidRPr="0050324B">
        <w:rPr>
          <w:rFonts w:ascii="Palatino Linotype" w:eastAsia="Calibri" w:hAnsi="Palatino Linotype" w:cs="Arial"/>
          <w:bCs/>
          <w:color w:val="000000" w:themeColor="text1"/>
          <w:lang w:val="es-ES" w:eastAsia="es-ES"/>
        </w:rPr>
        <w:t> fracciones IV y V </w:t>
      </w:r>
      <w:r w:rsidRPr="0050324B">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C50AA" w:rsidRPr="0050324B" w:rsidRDefault="00EC50AA" w:rsidP="0050324B">
      <w:pPr>
        <w:pStyle w:val="Prrafodelista"/>
        <w:ind w:left="0"/>
        <w:rPr>
          <w:rFonts w:ascii="Palatino Linotype" w:eastAsia="Calibri" w:hAnsi="Palatino Linotype" w:cs="Arial"/>
          <w:color w:val="000000" w:themeColor="text1"/>
          <w:lang w:val="es-ES_tradnl" w:eastAsia="es-ES"/>
        </w:rPr>
      </w:pPr>
    </w:p>
    <w:p w:rsidR="00EC50AA" w:rsidRPr="0050324B" w:rsidRDefault="00EC50AA" w:rsidP="0050324B">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50324B">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C50AA" w:rsidRPr="0050324B" w:rsidRDefault="00EC50AA" w:rsidP="0050324B">
      <w:pPr>
        <w:pStyle w:val="Prrafodelista"/>
        <w:ind w:left="0"/>
        <w:rPr>
          <w:rFonts w:ascii="Palatino Linotype" w:eastAsia="Calibri" w:hAnsi="Palatino Linotype" w:cs="Arial"/>
          <w:color w:val="000000" w:themeColor="text1"/>
          <w:lang w:val="es-ES_tradnl" w:eastAsia="es-ES"/>
        </w:rPr>
      </w:pPr>
    </w:p>
    <w:p w:rsidR="00EC50AA" w:rsidRPr="0050324B" w:rsidRDefault="00EC50AA" w:rsidP="0050324B">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50324B">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C50AA" w:rsidRPr="0050324B" w:rsidRDefault="00EC50AA" w:rsidP="0050324B">
      <w:pPr>
        <w:pStyle w:val="Prrafodelista"/>
        <w:ind w:left="0"/>
        <w:rPr>
          <w:rFonts w:ascii="Palatino Linotype" w:eastAsia="Calibri" w:hAnsi="Palatino Linotype" w:cs="Arial"/>
          <w:color w:val="000000" w:themeColor="text1"/>
          <w:lang w:val="es-ES_tradnl" w:eastAsia="es-ES"/>
        </w:rPr>
      </w:pPr>
    </w:p>
    <w:p w:rsidR="00EC50AA" w:rsidRPr="0050324B" w:rsidRDefault="00EC50AA" w:rsidP="0050324B">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50324B">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EC50AA" w:rsidRPr="0050324B" w:rsidRDefault="00EC50AA" w:rsidP="0050324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C50AA" w:rsidRPr="0050324B" w:rsidRDefault="00EC50AA" w:rsidP="0050324B">
      <w:pPr>
        <w:pBdr>
          <w:top w:val="nil"/>
          <w:left w:val="nil"/>
          <w:bottom w:val="nil"/>
          <w:right w:val="nil"/>
          <w:between w:val="nil"/>
        </w:pBdr>
        <w:rPr>
          <w:rFonts w:ascii="Palatino Linotype" w:eastAsia="Palatino Linotype" w:hAnsi="Palatino Linotype" w:cs="Palatino Linotype"/>
          <w:color w:val="000000" w:themeColor="text1"/>
        </w:rPr>
      </w:pPr>
    </w:p>
    <w:p w:rsidR="00EC50AA" w:rsidRPr="0050324B" w:rsidRDefault="00EC50AA" w:rsidP="0050324B">
      <w:pPr>
        <w:pStyle w:val="Ttulo1"/>
        <w:rPr>
          <w:rFonts w:ascii="Palatino Linotype" w:eastAsia="MS Mincho" w:hAnsi="Palatino Linotype" w:cs="Times New Roman"/>
          <w:b/>
          <w:color w:val="000000" w:themeColor="text1"/>
          <w:sz w:val="24"/>
          <w:szCs w:val="24"/>
        </w:rPr>
      </w:pPr>
      <w:r w:rsidRPr="0050324B">
        <w:rPr>
          <w:rFonts w:ascii="Palatino Linotype" w:hAnsi="Palatino Linotype"/>
          <w:b/>
          <w:color w:val="000000" w:themeColor="text1"/>
          <w:sz w:val="24"/>
          <w:szCs w:val="24"/>
        </w:rPr>
        <w:t xml:space="preserve">TERCERO. Planteamiento de la Litis </w:t>
      </w:r>
    </w:p>
    <w:p w:rsidR="00EC50AA" w:rsidRPr="0050324B" w:rsidRDefault="00EC50AA" w:rsidP="0050324B">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50324B">
        <w:rPr>
          <w:rFonts w:ascii="Palatino Linotype" w:hAnsi="Palatino Linotype"/>
          <w:bCs/>
          <w:color w:val="000000" w:themeColor="text1"/>
        </w:rPr>
        <w:t xml:space="preserve">El recurrente solicitó </w:t>
      </w:r>
      <w:r w:rsidR="00C928BB" w:rsidRPr="0050324B">
        <w:rPr>
          <w:rFonts w:ascii="Palatino Linotype" w:eastAsia="Palatino Linotype" w:hAnsi="Palatino Linotype" w:cs="Palatino Linotype"/>
          <w:color w:val="000000" w:themeColor="text1"/>
        </w:rPr>
        <w:t xml:space="preserve">información sobre el cumplimiento de las normativas urbanísticas y de construcción del Municipio de Zinacantepec, así como el listado de infracciones y sanciones impuestas en los últimos dos años. </w:t>
      </w:r>
    </w:p>
    <w:p w:rsidR="00EC50AA" w:rsidRPr="0050324B" w:rsidRDefault="00EC50AA" w:rsidP="0050324B">
      <w:pPr>
        <w:pStyle w:val="Prrafodelista"/>
        <w:spacing w:before="240" w:after="240" w:line="360" w:lineRule="auto"/>
        <w:ind w:left="0"/>
        <w:jc w:val="both"/>
        <w:rPr>
          <w:rFonts w:ascii="Palatino Linotype" w:hAnsi="Palatino Linotype"/>
          <w:i/>
          <w:color w:val="000000" w:themeColor="text1"/>
        </w:rPr>
      </w:pPr>
    </w:p>
    <w:p w:rsidR="00EC50AA" w:rsidRPr="0050324B" w:rsidRDefault="00EC50AA" w:rsidP="0050324B">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50324B">
        <w:rPr>
          <w:rFonts w:ascii="Palatino Linotype" w:eastAsia="Palatino Linotype" w:hAnsi="Palatino Linotype" w:cs="Palatino Linotype"/>
          <w:color w:val="000000" w:themeColor="text1"/>
        </w:rPr>
        <w:t>En</w:t>
      </w:r>
      <w:r w:rsidR="00C928BB" w:rsidRPr="0050324B">
        <w:rPr>
          <w:rFonts w:ascii="Palatino Linotype" w:eastAsia="Palatino Linotype" w:hAnsi="Palatino Linotype" w:cs="Palatino Linotype"/>
          <w:color w:val="000000" w:themeColor="text1"/>
        </w:rPr>
        <w:t xml:space="preserve"> respuesta, el Sujeto Obligado señaló que derivado de la búsqueda exhaustiva no se localizó información referente a los solicitado, Posteriormente, el Recurrente se inconformó por la negativa de la información. </w:t>
      </w:r>
      <w:r w:rsidRPr="0050324B">
        <w:rPr>
          <w:rFonts w:ascii="Palatino Linotype" w:eastAsia="Palatino Linotype" w:hAnsi="Palatino Linotype" w:cs="Palatino Linotype"/>
          <w:color w:val="000000" w:themeColor="text1"/>
        </w:rPr>
        <w:t xml:space="preserve"> </w:t>
      </w:r>
    </w:p>
    <w:p w:rsidR="00EC50AA" w:rsidRPr="0050324B" w:rsidRDefault="00EC50AA" w:rsidP="0050324B">
      <w:pPr>
        <w:pStyle w:val="Prrafodelista"/>
        <w:spacing w:before="240" w:after="240" w:line="360" w:lineRule="auto"/>
        <w:ind w:left="0"/>
        <w:jc w:val="both"/>
        <w:rPr>
          <w:rFonts w:ascii="Palatino Linotype" w:hAnsi="Palatino Linotype"/>
          <w:i/>
          <w:color w:val="000000" w:themeColor="text1"/>
        </w:rPr>
      </w:pPr>
    </w:p>
    <w:p w:rsidR="00EC50AA" w:rsidRPr="0050324B" w:rsidRDefault="00EC50AA" w:rsidP="0050324B">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50324B">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50324B">
        <w:rPr>
          <w:rFonts w:ascii="Palatino Linotype" w:hAnsi="Palatino Linotype"/>
          <w:color w:val="000000" w:themeColor="text1"/>
          <w:lang w:val="es-ES_tradnl"/>
        </w:rPr>
        <w:t>actualiza la causal de procedencia</w:t>
      </w:r>
      <w:r w:rsidRPr="0050324B">
        <w:rPr>
          <w:rFonts w:ascii="Palatino Linotype" w:hAnsi="Palatino Linotype"/>
          <w:b/>
          <w:color w:val="000000" w:themeColor="text1"/>
          <w:lang w:val="es-ES_tradnl"/>
        </w:rPr>
        <w:t xml:space="preserve"> </w:t>
      </w:r>
      <w:r w:rsidRPr="0050324B">
        <w:rPr>
          <w:rFonts w:ascii="Palatino Linotype" w:hAnsi="Palatino Linotype" w:cs="Arial"/>
          <w:color w:val="000000" w:themeColor="text1"/>
          <w:lang w:val="es-ES_tradnl"/>
        </w:rPr>
        <w:t xml:space="preserve">contenida en </w:t>
      </w:r>
      <w:r w:rsidRPr="0050324B">
        <w:rPr>
          <w:rFonts w:ascii="Palatino Linotype" w:hAnsi="Palatino Linotype" w:cs="Arial"/>
          <w:color w:val="000000" w:themeColor="text1"/>
          <w:lang w:val="es-ES"/>
        </w:rPr>
        <w:t xml:space="preserve">el artículo 179 fracción  I, de la </w:t>
      </w:r>
      <w:r w:rsidRPr="0050324B">
        <w:rPr>
          <w:rFonts w:ascii="Palatino Linotype" w:eastAsia="Calibri" w:hAnsi="Palatino Linotype" w:cs="Arial"/>
          <w:b/>
          <w:color w:val="000000" w:themeColor="text1"/>
          <w:lang w:val="es-ES"/>
        </w:rPr>
        <w:t>Ley de Transparencia y Acceso a la Información Pública del Estado de México y Municipios</w:t>
      </w:r>
      <w:r w:rsidRPr="0050324B">
        <w:rPr>
          <w:rFonts w:ascii="Palatino Linotype" w:hAnsi="Palatino Linotype" w:cs="Arial"/>
          <w:color w:val="000000" w:themeColor="text1"/>
          <w:lang w:val="es-ES"/>
        </w:rPr>
        <w:t>, relativo a la negativa de la información.</w:t>
      </w:r>
    </w:p>
    <w:p w:rsidR="00EC50AA" w:rsidRPr="0050324B" w:rsidRDefault="00EC50AA" w:rsidP="0050324B">
      <w:pPr>
        <w:pStyle w:val="Ttulo2"/>
        <w:tabs>
          <w:tab w:val="left" w:pos="426"/>
        </w:tabs>
        <w:rPr>
          <w:rFonts w:ascii="Palatino Linotype" w:hAnsi="Palatino Linotype" w:cs="Arial"/>
          <w:b/>
          <w:color w:val="000000" w:themeColor="text1"/>
          <w:sz w:val="24"/>
          <w:szCs w:val="24"/>
        </w:rPr>
      </w:pPr>
      <w:bookmarkStart w:id="5" w:name="_Toc87456489"/>
      <w:r w:rsidRPr="0050324B">
        <w:rPr>
          <w:rFonts w:ascii="Palatino Linotype" w:hAnsi="Palatino Linotype" w:cs="Arial"/>
          <w:b/>
          <w:color w:val="000000" w:themeColor="text1"/>
          <w:sz w:val="24"/>
          <w:szCs w:val="24"/>
        </w:rPr>
        <w:t>CUARTO. Estudio y Resolución del asunto.</w:t>
      </w:r>
      <w:bookmarkEnd w:id="5"/>
    </w:p>
    <w:p w:rsidR="00EC50AA" w:rsidRPr="0050324B" w:rsidRDefault="00EC50AA" w:rsidP="0050324B">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50324B">
        <w:rPr>
          <w:rFonts w:ascii="Palatino Linotype" w:eastAsia="Calibri" w:hAnsi="Palatino Linotype" w:cs="Arial"/>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w:t>
      </w:r>
      <w:r w:rsidRPr="0050324B">
        <w:rPr>
          <w:rFonts w:ascii="Palatino Linotype" w:eastAsia="Calibri" w:hAnsi="Palatino Linotype" w:cs="Arial"/>
          <w:color w:val="000000" w:themeColor="text1"/>
        </w:rPr>
        <w:lastRenderedPageBreak/>
        <w:t>establecido en el artículo 8 de la Ley de Transparencia y Acceso a la Información Pública del Estado de México y Municipios.</w:t>
      </w:r>
    </w:p>
    <w:p w:rsidR="00EC50AA" w:rsidRPr="0050324B" w:rsidRDefault="00EC50AA" w:rsidP="0050324B">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b/>
          <w:color w:val="000000" w:themeColor="text1"/>
        </w:rPr>
      </w:pPr>
    </w:p>
    <w:p w:rsidR="00EC50AA" w:rsidRPr="0050324B" w:rsidRDefault="00EC50AA" w:rsidP="0050324B">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color w:val="000000" w:themeColor="text1"/>
        </w:rPr>
        <w:t xml:space="preserve">En el presente caso, el Recurrente solicitó el diagnóstico o estudio integral más reciente que haya realizado el Ayuntamiento sobre la </w:t>
      </w:r>
      <w:r w:rsidR="0050324B" w:rsidRPr="0050324B">
        <w:rPr>
          <w:rFonts w:ascii="Palatino Linotype" w:eastAsia="Palatino Linotype" w:hAnsi="Palatino Linotype" w:cs="Palatino Linotype"/>
          <w:color w:val="000000" w:themeColor="text1"/>
        </w:rPr>
        <w:t>situación de</w:t>
      </w:r>
      <w:r w:rsidRPr="0050324B">
        <w:rPr>
          <w:rFonts w:ascii="Palatino Linotype" w:eastAsia="Palatino Linotype" w:hAnsi="Palatino Linotype" w:cs="Palatino Linotype"/>
          <w:color w:val="000000" w:themeColor="text1"/>
        </w:rPr>
        <w:t xml:space="preserve"> seguridad pública el Municipio, incluyendo análisis de delitos, percepción ciudadana, zonas de riesgo, factores criminológicos y capacidades institucionales. </w:t>
      </w:r>
    </w:p>
    <w:p w:rsidR="00EC50AA" w:rsidRPr="0050324B" w:rsidRDefault="00EC50AA" w:rsidP="0050324B">
      <w:pPr>
        <w:pStyle w:val="Prrafodelista"/>
        <w:ind w:left="0"/>
        <w:rPr>
          <w:rFonts w:ascii="Palatino Linotype" w:eastAsia="Palatino Linotype" w:hAnsi="Palatino Linotype" w:cs="Palatino Linotype"/>
          <w:b/>
          <w:color w:val="000000" w:themeColor="text1"/>
        </w:rPr>
      </w:pPr>
    </w:p>
    <w:p w:rsidR="00EC50AA" w:rsidRPr="0050324B" w:rsidRDefault="00EC50AA" w:rsidP="0050324B">
      <w:pPr>
        <w:pStyle w:val="Prrafodelista"/>
        <w:numPr>
          <w:ilvl w:val="0"/>
          <w:numId w:val="2"/>
        </w:numPr>
        <w:spacing w:line="360" w:lineRule="auto"/>
        <w:ind w:left="0" w:firstLine="0"/>
        <w:jc w:val="both"/>
        <w:rPr>
          <w:rFonts w:ascii="Palatino Linotype" w:eastAsia="MS Mincho" w:hAnsi="Palatino Linotype"/>
          <w:color w:val="000000" w:themeColor="text1"/>
        </w:rPr>
      </w:pPr>
      <w:r w:rsidRPr="0050324B">
        <w:rPr>
          <w:rFonts w:ascii="Palatino Linotype" w:eastAsia="MS Mincho" w:hAnsi="Palatino Linotype"/>
          <w:color w:val="000000" w:themeColor="text1"/>
        </w:rPr>
        <w:t xml:space="preserve">Al respecto, primeramente debemos mencionar que el acceso a la información es un derecho humano constitucional y convencionalmente reconocido y para tal efecto </w:t>
      </w:r>
      <w:r w:rsidRPr="0050324B">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Pr="0050324B">
        <w:rPr>
          <w:rFonts w:ascii="Palatino Linotype" w:eastAsia="Calibri" w:hAnsi="Palatino Linotype"/>
          <w:i/>
          <w:color w:val="000000" w:themeColor="text1"/>
          <w:lang w:val="es-ES"/>
        </w:rPr>
        <w:t xml:space="preserve">en el ámbito de sus atribuciones, de promover, respetar, proteger y </w:t>
      </w:r>
      <w:r w:rsidRPr="0050324B">
        <w:rPr>
          <w:rFonts w:ascii="Palatino Linotype" w:eastAsia="Calibri" w:hAnsi="Palatino Linotype"/>
          <w:b/>
          <w:i/>
          <w:color w:val="000000" w:themeColor="text1"/>
          <w:lang w:val="es-ES"/>
        </w:rPr>
        <w:t>garantizar</w:t>
      </w:r>
      <w:r w:rsidRPr="0050324B">
        <w:rPr>
          <w:rFonts w:ascii="Palatino Linotype" w:eastAsia="Calibri" w:hAnsi="Palatino Linotype"/>
          <w:i/>
          <w:color w:val="000000" w:themeColor="text1"/>
          <w:lang w:val="es-ES"/>
        </w:rPr>
        <w:t xml:space="preserve"> los derechos humanos. </w:t>
      </w:r>
      <w:r w:rsidRPr="0050324B">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50324B">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50324B">
        <w:rPr>
          <w:rStyle w:val="Refdenotaalpie"/>
          <w:rFonts w:ascii="Palatino Linotype" w:hAnsi="Palatino Linotype"/>
          <w:i/>
          <w:color w:val="000000" w:themeColor="text1"/>
        </w:rPr>
        <w:footnoteReference w:id="1"/>
      </w:r>
      <w:r w:rsidRPr="0050324B">
        <w:rPr>
          <w:rFonts w:ascii="Palatino Linotype" w:hAnsi="Palatino Linotype"/>
          <w:i/>
          <w:color w:val="000000" w:themeColor="text1"/>
        </w:rPr>
        <w:t xml:space="preserve">, </w:t>
      </w:r>
      <w:r w:rsidRPr="0050324B">
        <w:rPr>
          <w:rFonts w:ascii="Palatino Linotype" w:hAnsi="Palatino Linotype"/>
          <w:color w:val="000000" w:themeColor="text1"/>
        </w:rPr>
        <w:t>asimismo establece</w:t>
      </w:r>
      <w:r w:rsidRPr="0050324B">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EC50AA" w:rsidRPr="0050324B" w:rsidRDefault="00EC50AA" w:rsidP="0050324B">
      <w:pPr>
        <w:pStyle w:val="Prrafodelista"/>
        <w:ind w:left="0"/>
        <w:rPr>
          <w:rFonts w:ascii="Palatino Linotype" w:eastAsia="Calibri" w:hAnsi="Palatino Linotype" w:cs="Arial"/>
          <w:color w:val="000000" w:themeColor="text1"/>
        </w:rPr>
      </w:pPr>
    </w:p>
    <w:p w:rsidR="00EC50AA" w:rsidRPr="0050324B" w:rsidRDefault="00EC50AA" w:rsidP="0050324B">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50324B">
        <w:rPr>
          <w:rFonts w:ascii="Palatino Linotype" w:hAnsi="Palatino Linotype"/>
          <w:color w:val="000000" w:themeColor="text1"/>
        </w:rPr>
        <w:t xml:space="preserve">Por lo que, las actuaciones diligentes que lleven a cabo en un primer momento las Unidades de Transparencia y posteriormente  cada servidor público en su área es </w:t>
      </w:r>
      <w:r w:rsidRPr="0050324B">
        <w:rPr>
          <w:rFonts w:ascii="Palatino Linotype" w:hAnsi="Palatino Linotype"/>
          <w:color w:val="000000" w:themeColor="text1"/>
        </w:rPr>
        <w:lastRenderedPageBreak/>
        <w:t>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EC50AA" w:rsidRPr="0050324B" w:rsidRDefault="00EC50AA" w:rsidP="0050324B">
      <w:pPr>
        <w:pStyle w:val="Prrafodelista"/>
        <w:ind w:left="0"/>
        <w:rPr>
          <w:rFonts w:ascii="Palatino Linotype" w:hAnsi="Palatino Linotype"/>
          <w:color w:val="000000" w:themeColor="text1"/>
        </w:rPr>
      </w:pPr>
    </w:p>
    <w:p w:rsidR="00EC50AA" w:rsidRPr="0050324B" w:rsidRDefault="00EC50AA" w:rsidP="0050324B">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50324B">
        <w:rPr>
          <w:rFonts w:ascii="Palatino Linotype" w:hAnsi="Palatino Linotype"/>
          <w:color w:val="000000" w:themeColor="text1"/>
        </w:rPr>
        <w:t xml:space="preserve">Es así que, su obligación es </w:t>
      </w:r>
      <w:r w:rsidRPr="0050324B">
        <w:rPr>
          <w:rFonts w:ascii="Palatino Linotype" w:hAnsi="Palatino Linotype"/>
          <w:i/>
          <w:color w:val="000000" w:themeColor="text1"/>
        </w:rPr>
        <w:t>realizar, con efectividad, los trámites internos necesarios para la atención de las solicitudes de información</w:t>
      </w:r>
      <w:r w:rsidRPr="0050324B">
        <w:rPr>
          <w:rStyle w:val="Refdenotaalpie"/>
          <w:rFonts w:ascii="Palatino Linotype" w:hAnsi="Palatino Linotype"/>
          <w:color w:val="000000" w:themeColor="text1"/>
        </w:rPr>
        <w:footnoteReference w:id="2"/>
      </w:r>
      <w:r w:rsidRPr="0050324B">
        <w:rPr>
          <w:rFonts w:ascii="Palatino Linotype" w:hAnsi="Palatino Linotype"/>
          <w:color w:val="000000" w:themeColor="text1"/>
        </w:rPr>
        <w:t>, es decir, deben otorgar respuestas concisas, contundentes y sobre todo que den la certeza de los actos que realizan.</w:t>
      </w:r>
    </w:p>
    <w:p w:rsidR="00EC50AA" w:rsidRPr="0050324B" w:rsidRDefault="00EC50AA" w:rsidP="0050324B">
      <w:pPr>
        <w:pStyle w:val="Prrafodelista"/>
        <w:ind w:left="0"/>
        <w:rPr>
          <w:rFonts w:ascii="Palatino Linotype" w:eastAsia="Calibri" w:hAnsi="Palatino Linotype" w:cs="Arial"/>
          <w:color w:val="000000" w:themeColor="text1"/>
        </w:rPr>
      </w:pPr>
    </w:p>
    <w:p w:rsidR="00EC50AA" w:rsidRPr="0050324B" w:rsidRDefault="00EC50AA" w:rsidP="0050324B">
      <w:pPr>
        <w:pStyle w:val="Prrafodelista"/>
        <w:numPr>
          <w:ilvl w:val="0"/>
          <w:numId w:val="2"/>
        </w:numPr>
        <w:spacing w:line="360" w:lineRule="auto"/>
        <w:ind w:left="0" w:firstLine="0"/>
        <w:jc w:val="both"/>
        <w:rPr>
          <w:rFonts w:ascii="Palatino Linotype" w:eastAsia="MS Mincho" w:hAnsi="Palatino Linotype"/>
          <w:color w:val="000000" w:themeColor="text1"/>
        </w:rPr>
      </w:pPr>
      <w:r w:rsidRPr="0050324B">
        <w:rPr>
          <w:rFonts w:ascii="Palatino Linotype" w:eastAsia="Palatino Linotype" w:hAnsi="Palatino Linotype" w:cs="Palatino Linotype"/>
          <w:color w:val="000000" w:themeColor="text1"/>
        </w:rPr>
        <w:t xml:space="preserve">Al respecto, es menester hacer referencia a lo establecido en los artículos 50, 53 fracciones II, IV y V, 58, 59 fracciones I y II, y 162 </w:t>
      </w:r>
      <w:r w:rsidRPr="0050324B">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b/>
          <w:i/>
          <w:iCs/>
          <w:color w:val="000000" w:themeColor="text1"/>
        </w:rPr>
        <w:t xml:space="preserve">Artículo 50. </w:t>
      </w:r>
      <w:r w:rsidRPr="0050324B">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EC50AA" w:rsidRPr="0050324B" w:rsidRDefault="00EC50AA" w:rsidP="0050324B">
      <w:pPr>
        <w:jc w:val="both"/>
        <w:rPr>
          <w:rFonts w:ascii="Palatino Linotype" w:eastAsia="Palatino Linotype" w:hAnsi="Palatino Linotype" w:cs="Palatino Linotype"/>
          <w:i/>
          <w:iCs/>
          <w:color w:val="000000" w:themeColor="text1"/>
        </w:rPr>
      </w:pP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b/>
          <w:i/>
          <w:iCs/>
          <w:color w:val="000000" w:themeColor="text1"/>
        </w:rPr>
        <w:t xml:space="preserve">Artículo 53. </w:t>
      </w:r>
      <w:r w:rsidRPr="0050324B">
        <w:rPr>
          <w:rFonts w:ascii="Palatino Linotype" w:eastAsia="Palatino Linotype" w:hAnsi="Palatino Linotype" w:cs="Palatino Linotype"/>
          <w:i/>
          <w:iCs/>
          <w:color w:val="000000" w:themeColor="text1"/>
        </w:rPr>
        <w:t>Las Unidades de Transparencia tendrán las siguientes funciones:</w:t>
      </w: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i/>
          <w:iCs/>
          <w:color w:val="000000" w:themeColor="text1"/>
        </w:rPr>
        <w:t>(…)</w:t>
      </w: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b/>
          <w:bCs/>
          <w:i/>
          <w:iCs/>
          <w:color w:val="000000" w:themeColor="text1"/>
        </w:rPr>
        <w:t>II.</w:t>
      </w:r>
      <w:r w:rsidRPr="0050324B">
        <w:rPr>
          <w:rFonts w:ascii="Palatino Linotype" w:eastAsia="Palatino Linotype" w:hAnsi="Palatino Linotype" w:cs="Palatino Linotype"/>
          <w:i/>
          <w:iCs/>
          <w:color w:val="000000" w:themeColor="text1"/>
        </w:rPr>
        <w:t xml:space="preserve"> Recibir, tramitar y dar respuesta a las solicitudes de acceso a la información;</w:t>
      </w: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i/>
          <w:iCs/>
          <w:color w:val="000000" w:themeColor="text1"/>
        </w:rPr>
        <w:t>(…)</w:t>
      </w: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b/>
          <w:bCs/>
          <w:i/>
          <w:iCs/>
          <w:color w:val="000000" w:themeColor="text1"/>
        </w:rPr>
        <w:t>IV.</w:t>
      </w:r>
      <w:r w:rsidRPr="0050324B">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b/>
          <w:bCs/>
          <w:i/>
          <w:iCs/>
          <w:color w:val="000000" w:themeColor="text1"/>
        </w:rPr>
        <w:t>V.</w:t>
      </w:r>
      <w:r w:rsidRPr="0050324B">
        <w:rPr>
          <w:rFonts w:ascii="Palatino Linotype" w:eastAsia="Palatino Linotype" w:hAnsi="Palatino Linotype" w:cs="Palatino Linotype"/>
          <w:i/>
          <w:iCs/>
          <w:color w:val="000000" w:themeColor="text1"/>
        </w:rPr>
        <w:t xml:space="preserve"> Entregar, en su caso, a los particulares la información solicitada;</w:t>
      </w: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i/>
          <w:iCs/>
          <w:color w:val="000000" w:themeColor="text1"/>
        </w:rPr>
        <w:t>(…)</w:t>
      </w:r>
    </w:p>
    <w:p w:rsidR="00EC50AA" w:rsidRPr="0050324B" w:rsidRDefault="00EC50AA" w:rsidP="0050324B">
      <w:pPr>
        <w:jc w:val="both"/>
        <w:rPr>
          <w:rFonts w:ascii="Palatino Linotype" w:eastAsia="Palatino Linotype" w:hAnsi="Palatino Linotype" w:cs="Palatino Linotype"/>
          <w:i/>
          <w:iCs/>
          <w:color w:val="000000" w:themeColor="text1"/>
        </w:rPr>
      </w:pP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b/>
          <w:i/>
          <w:iCs/>
          <w:color w:val="000000" w:themeColor="text1"/>
        </w:rPr>
        <w:t xml:space="preserve">Artículo 58. </w:t>
      </w:r>
      <w:r w:rsidRPr="0050324B">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EC50AA" w:rsidRPr="0050324B" w:rsidRDefault="00EC50AA" w:rsidP="0050324B">
      <w:pPr>
        <w:jc w:val="both"/>
        <w:rPr>
          <w:rFonts w:ascii="Palatino Linotype" w:eastAsia="Palatino Linotype" w:hAnsi="Palatino Linotype" w:cs="Palatino Linotype"/>
          <w:i/>
          <w:iCs/>
          <w:color w:val="000000" w:themeColor="text1"/>
        </w:rPr>
      </w:pP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b/>
          <w:i/>
          <w:iCs/>
          <w:color w:val="000000" w:themeColor="text1"/>
        </w:rPr>
        <w:lastRenderedPageBreak/>
        <w:t xml:space="preserve">Artículo 59. </w:t>
      </w:r>
      <w:r w:rsidRPr="0050324B">
        <w:rPr>
          <w:rFonts w:ascii="Palatino Linotype" w:eastAsia="Palatino Linotype" w:hAnsi="Palatino Linotype" w:cs="Palatino Linotype"/>
          <w:i/>
          <w:iCs/>
          <w:color w:val="000000" w:themeColor="text1"/>
        </w:rPr>
        <w:t>Los servidores públicos habilitados tendrán las funciones siguientes:</w:t>
      </w:r>
    </w:p>
    <w:p w:rsidR="00EC50AA" w:rsidRPr="0050324B" w:rsidRDefault="00EC50AA" w:rsidP="0050324B">
      <w:pPr>
        <w:jc w:val="both"/>
        <w:rPr>
          <w:rFonts w:ascii="Palatino Linotype" w:eastAsia="Palatino Linotype" w:hAnsi="Palatino Linotype" w:cs="Palatino Linotype"/>
          <w:i/>
          <w:iCs/>
          <w:color w:val="000000" w:themeColor="text1"/>
        </w:rPr>
      </w:pP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b/>
          <w:bCs/>
          <w:i/>
          <w:iCs/>
          <w:color w:val="000000" w:themeColor="text1"/>
        </w:rPr>
        <w:t>I.</w:t>
      </w:r>
      <w:r w:rsidRPr="0050324B">
        <w:rPr>
          <w:rFonts w:ascii="Palatino Linotype" w:eastAsia="Palatino Linotype" w:hAnsi="Palatino Linotype" w:cs="Palatino Linotype"/>
          <w:i/>
          <w:iCs/>
          <w:color w:val="000000" w:themeColor="text1"/>
        </w:rPr>
        <w:t xml:space="preserve"> Localizar la información que le solicite la Unidad de Transparencia;</w:t>
      </w: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b/>
          <w:bCs/>
          <w:i/>
          <w:iCs/>
          <w:color w:val="000000" w:themeColor="text1"/>
        </w:rPr>
        <w:t>II.</w:t>
      </w:r>
      <w:r w:rsidRPr="0050324B">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i/>
          <w:iCs/>
          <w:color w:val="000000" w:themeColor="text1"/>
        </w:rPr>
        <w:t>(...)</w:t>
      </w:r>
    </w:p>
    <w:p w:rsidR="00EC50AA" w:rsidRPr="0050324B" w:rsidRDefault="00EC50AA" w:rsidP="0050324B">
      <w:pPr>
        <w:jc w:val="both"/>
        <w:rPr>
          <w:rFonts w:ascii="Palatino Linotype" w:eastAsia="Palatino Linotype" w:hAnsi="Palatino Linotype" w:cs="Palatino Linotype"/>
          <w:i/>
          <w:iCs/>
          <w:color w:val="000000" w:themeColor="text1"/>
        </w:rPr>
      </w:pPr>
    </w:p>
    <w:p w:rsidR="00EC50AA" w:rsidRPr="0050324B" w:rsidRDefault="00EC50AA" w:rsidP="0050324B">
      <w:pPr>
        <w:jc w:val="both"/>
        <w:rPr>
          <w:rFonts w:ascii="Palatino Linotype" w:eastAsia="Palatino Linotype" w:hAnsi="Palatino Linotype" w:cs="Palatino Linotype"/>
          <w:i/>
          <w:iCs/>
          <w:color w:val="000000" w:themeColor="text1"/>
        </w:rPr>
      </w:pPr>
      <w:r w:rsidRPr="0050324B">
        <w:rPr>
          <w:rFonts w:ascii="Palatino Linotype" w:eastAsia="Palatino Linotype" w:hAnsi="Palatino Linotype" w:cs="Palatino Linotype"/>
          <w:b/>
          <w:i/>
          <w:iCs/>
          <w:color w:val="000000" w:themeColor="text1"/>
        </w:rPr>
        <w:t xml:space="preserve">Artículo 162. </w:t>
      </w:r>
      <w:r w:rsidRPr="0050324B">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C50AA" w:rsidRPr="0050324B" w:rsidRDefault="00EC50AA" w:rsidP="0050324B">
      <w:pP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50324B">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50324B">
        <w:rPr>
          <w:rFonts w:ascii="Palatino Linotype" w:eastAsia="Arial Unicode MS" w:hAnsi="Palatino Linotype" w:cs="Arial"/>
          <w:color w:val="000000" w:themeColor="text1"/>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EC50AA" w:rsidRPr="0050324B" w:rsidRDefault="00EC50AA" w:rsidP="0050324B">
      <w:pPr>
        <w:pStyle w:val="Prrafodelista"/>
        <w:spacing w:line="360" w:lineRule="auto"/>
        <w:ind w:left="0"/>
        <w:jc w:val="both"/>
        <w:rPr>
          <w:rFonts w:ascii="Palatino Linotype" w:eastAsia="Arial Unicode MS" w:hAnsi="Palatino Linotype" w:cs="Arial"/>
          <w:color w:val="000000" w:themeColor="text1"/>
          <w:lang w:eastAsia="en-US"/>
        </w:rPr>
      </w:pPr>
    </w:p>
    <w:p w:rsidR="00EC50AA" w:rsidRPr="0050324B" w:rsidRDefault="00EC50AA" w:rsidP="0050324B">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50324B">
        <w:rPr>
          <w:rFonts w:ascii="Palatino Linotype" w:eastAsia="Arial Unicode MS" w:hAnsi="Palatino Linotype" w:cs="Arial"/>
          <w:color w:val="000000" w:themeColor="text1"/>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B068EB" w:rsidRPr="0050324B" w:rsidRDefault="00EC50AA" w:rsidP="0050324B">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Arial Unicode MS" w:hAnsi="Palatino Linotype" w:cs="Arial"/>
          <w:color w:val="000000" w:themeColor="text1"/>
          <w:lang w:eastAsia="en-US"/>
        </w:rPr>
        <w:lastRenderedPageBreak/>
        <w:t xml:space="preserve">En el caso que se resuelve, la respuesta fue emitida por </w:t>
      </w:r>
      <w:r w:rsidR="00B068EB" w:rsidRPr="0050324B">
        <w:rPr>
          <w:rFonts w:ascii="Palatino Linotype" w:eastAsia="Arial Unicode MS" w:hAnsi="Palatino Linotype" w:cs="Arial"/>
          <w:color w:val="000000" w:themeColor="text1"/>
          <w:lang w:eastAsia="en-US"/>
        </w:rPr>
        <w:t xml:space="preserve">la Dirección de Desarrollo Territorial y Urbano, quien de acuerdo al artículo 59 del Reglamento Orgánico Municipal de Zinacantepec es la Dependencia encargada de conocer en el ámbito de su competencia el ordenamiento territorial de los asentamientos humanos y desarrollo urbano en el municipio de Zinacantepec. Asimismo, el artículo 60 del mismo ordenamiento establece que </w:t>
      </w:r>
      <w:r w:rsidR="004428AC" w:rsidRPr="0050324B">
        <w:rPr>
          <w:rFonts w:ascii="Palatino Linotype" w:eastAsia="Arial Unicode MS" w:hAnsi="Palatino Linotype" w:cs="Arial"/>
          <w:color w:val="000000" w:themeColor="text1"/>
          <w:lang w:eastAsia="en-US"/>
        </w:rPr>
        <w:t>dentro de s</w:t>
      </w:r>
      <w:r w:rsidR="00B068EB" w:rsidRPr="0050324B">
        <w:rPr>
          <w:rFonts w:ascii="Palatino Linotype" w:eastAsia="Arial Unicode MS" w:hAnsi="Palatino Linotype" w:cs="Arial"/>
          <w:color w:val="000000" w:themeColor="text1"/>
          <w:lang w:eastAsia="en-US"/>
        </w:rPr>
        <w:t>us funciones y atribuciones se encuentran las siguientes:</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“I. Elaborar, operar y evaluar los planes de desarrollo urbano municipales y parciales, así como las correspondientes zonificaciones del uso de suelo;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II. Participar de forma coordinada con el Gobierno Federal y Estatal, en la elaboración, aprobación y ejecución de los planes regionales para la urbanización;</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III. Expedir licencias de construcción de obras nuevas, constancia de regularización de obras, constancias de alineamiento, nomenclatura y números oficiales, así como la ocupación temporal de la vía pública con materiales de construcción, además de demoliciones y excavaciones, previo pago de derechos en la Tesorería Municipal;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IV. Dar ingreso a las solicitudes para el cambio de uso de suelo, densidad, intensidad y altura de edificaciones que la ciudadanía requiera;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V. Informar a los ciudadanos, de los trámites que su Dirección realiza, en materia de expedición de licencias y permisos de construcción en sus diferentes modalidades;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VI. Proponer la Constitución de Reservas Territoriales del Municipio;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VII. Impulsar la participación de la ciudadanía en los foros de consulta popular para la integración del Plan Municipal de Desarrollo Urbano, así como la ejecución, evaluación y modificación del mismo;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VIII. En coordinación con la Comisión Edilicia de Nomenclatura, proponer al cabildo el registro de la nomenclatura y números oficiales;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b/>
          <w:i/>
          <w:color w:val="000000" w:themeColor="text1"/>
        </w:rPr>
      </w:pPr>
      <w:r w:rsidRPr="0050324B">
        <w:rPr>
          <w:rFonts w:ascii="Palatino Linotype" w:hAnsi="Palatino Linotype"/>
          <w:b/>
          <w:i/>
          <w:color w:val="000000" w:themeColor="text1"/>
        </w:rPr>
        <w:t xml:space="preserve">IX. Analizar aspectos sociales, demográficos, ambientales y económicos en el crecimiento urbano municipal;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b/>
          <w:i/>
          <w:color w:val="000000" w:themeColor="text1"/>
        </w:rPr>
      </w:pPr>
      <w:r w:rsidRPr="0050324B">
        <w:rPr>
          <w:rFonts w:ascii="Palatino Linotype" w:hAnsi="Palatino Linotype"/>
          <w:b/>
          <w:i/>
          <w:color w:val="000000" w:themeColor="text1"/>
        </w:rPr>
        <w:lastRenderedPageBreak/>
        <w:t xml:space="preserve">X. Identificar, declarar y conservar, en términos de las disposiciones legales respectivas, las zonas sitios y edificaciones que constituyan un testimonio valioso de la historia y de la cultura del Municipio en coordinación con el Instituto Nacional de Antropología e Historia;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XI. Realizar estudios territoriales que permitan coordinar la intervención pública de acuerdo con las características regionales, para atender los rezagos económicos, productivos y sociales;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b/>
          <w:i/>
          <w:color w:val="000000" w:themeColor="text1"/>
        </w:rPr>
      </w:pPr>
      <w:r w:rsidRPr="0050324B">
        <w:rPr>
          <w:rFonts w:ascii="Palatino Linotype" w:hAnsi="Palatino Linotype"/>
          <w:b/>
          <w:i/>
          <w:color w:val="000000" w:themeColor="text1"/>
        </w:rPr>
        <w:t xml:space="preserve">XII. Establecer medidas y ejecutar acciones para evitar asentamientos humanos irregulares mediante el Plan de Desarrollo Municipal;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XIII. Contar con la normatividad vigente y aplicable para la construcción, delimitación territorial y publicidad vial; y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XIV. Nombrar, habilitar y facultar al personal necesario para la realización de las actividades de verificación en la materia </w:t>
      </w:r>
      <w:r w:rsidR="00433ABC" w:rsidRPr="0050324B">
        <w:rPr>
          <w:rFonts w:ascii="Palatino Linotype" w:hAnsi="Palatino Linotype"/>
          <w:i/>
          <w:color w:val="000000" w:themeColor="text1"/>
        </w:rPr>
        <w:t>d</w:t>
      </w:r>
      <w:r w:rsidRPr="0050324B">
        <w:rPr>
          <w:rFonts w:ascii="Palatino Linotype" w:hAnsi="Palatino Linotype"/>
          <w:i/>
          <w:color w:val="000000" w:themeColor="text1"/>
        </w:rPr>
        <w:t>e Desarrollo Urbano</w:t>
      </w:r>
      <w:r w:rsidR="00433ABC" w:rsidRPr="0050324B">
        <w:rPr>
          <w:rFonts w:ascii="Palatino Linotype" w:hAnsi="Palatino Linotype"/>
          <w:i/>
          <w:color w:val="000000" w:themeColor="text1"/>
        </w:rPr>
        <w:t>;</w:t>
      </w:r>
      <w:r w:rsidRPr="0050324B">
        <w:rPr>
          <w:rFonts w:ascii="Palatino Linotype" w:hAnsi="Palatino Linotype"/>
          <w:i/>
          <w:color w:val="000000" w:themeColor="text1"/>
        </w:rPr>
        <w:t xml:space="preserve">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XV. Intervenir en coadyuvancia con la Dirección Jurídica para iniciar, tramitar y resolver los procedimientos administrativos de su competencia.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hAnsi="Palatino Linotype"/>
          <w:i/>
          <w:color w:val="000000" w:themeColor="text1"/>
        </w:rPr>
      </w:pPr>
      <w:r w:rsidRPr="0050324B">
        <w:rPr>
          <w:rFonts w:ascii="Palatino Linotype" w:hAnsi="Palatino Linotype"/>
          <w:i/>
          <w:color w:val="000000" w:themeColor="text1"/>
        </w:rPr>
        <w:t xml:space="preserve">XVI. Participar en la supervisión, recepción de obras de urbanización, infraestructura, equipamiento urbano y áreas de donación derivadas de la autorización de conjuntos urbanos condominios y subdivisiones </w:t>
      </w:r>
    </w:p>
    <w:p w:rsidR="004428AC" w:rsidRPr="0050324B" w:rsidRDefault="004428AC" w:rsidP="0050324B">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i/>
          <w:color w:val="000000" w:themeColor="text1"/>
        </w:rPr>
      </w:pPr>
      <w:r w:rsidRPr="0050324B">
        <w:rPr>
          <w:rFonts w:ascii="Palatino Linotype" w:hAnsi="Palatino Linotype"/>
          <w:i/>
          <w:color w:val="000000" w:themeColor="text1"/>
        </w:rPr>
        <w:t>XVII. Las demás que señalan las leyes, reglamentos y disposiciones jurídicas aplicables, o las que señale el Presidente Municipal.”</w:t>
      </w:r>
    </w:p>
    <w:p w:rsidR="00B068EB" w:rsidRPr="0050324B" w:rsidRDefault="00B068EB" w:rsidP="0050324B">
      <w:pPr>
        <w:pStyle w:val="Prrafodelista"/>
        <w:ind w:left="0"/>
        <w:rPr>
          <w:rFonts w:ascii="Palatino Linotype" w:eastAsia="Palatino Linotype" w:hAnsi="Palatino Linotype" w:cs="Palatino Linotype"/>
          <w:color w:val="000000" w:themeColor="text1"/>
        </w:rPr>
      </w:pPr>
    </w:p>
    <w:p w:rsidR="00146AE9" w:rsidRPr="0050324B" w:rsidRDefault="00146AE9" w:rsidP="0050324B">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Por su parte, el numeral 1.1, fracción IX del Manual de Organización de la Dirección de Desarrollo Territorial y Urbano, establece que una de las funciones del Dirección en supervisar las obras que se ejecuten dentro del municipio, aplicando las medidas de seguridad, sanciones e infracciones correspondientes con la finalidad de evitar la consolidación de aquellas que se hayan ejecutado sin autorización. </w:t>
      </w:r>
    </w:p>
    <w:p w:rsidR="00146AE9" w:rsidRPr="0050324B" w:rsidRDefault="00146AE9" w:rsidP="0050324B">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146AE9" w:rsidRPr="0050324B" w:rsidRDefault="00146AE9" w:rsidP="0050324B">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lastRenderedPageBreak/>
        <w:t xml:space="preserve">En ese sentido, se puede advertir que la respuesta fue emitida por el área que de acuerdo a sus facultades genera, posee y administra la información solicitada, es decir, que el Sujeto Obligado dio cumplimiento al proceso de búsqueda establecido en la legislación aplicable. </w:t>
      </w:r>
    </w:p>
    <w:p w:rsidR="00EC50AA" w:rsidRPr="0050324B" w:rsidRDefault="00EC50AA" w:rsidP="0050324B">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4C0E15" w:rsidRPr="0050324B" w:rsidRDefault="004C0E15" w:rsidP="0050324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 xml:space="preserve">Ahora bien, recordemos que el Sujeto Obligado señaló que derivado de la búsqueda exhaustiva en sus archivos, no se localizó información referente a lo solicitado, sin embargo, la respuesta no da certeza al particular, ya que no se advierte si la información no fue localizada por que no se generó, o si se generó y por alguna razón no la tienen en sus archivos, razón por la cual, la respuesta no puede colmar el requerimiento del particular. </w:t>
      </w:r>
    </w:p>
    <w:p w:rsidR="00A67ED3" w:rsidRPr="0050324B" w:rsidRDefault="00A67ED3" w:rsidP="0050324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50324B">
        <w:rPr>
          <w:rFonts w:ascii="Palatino Linotype" w:eastAsiaTheme="minorEastAsia" w:hAnsi="Palatino Linotype" w:cstheme="minorBidi"/>
          <w:color w:val="000000" w:themeColor="text1"/>
        </w:rPr>
        <w:t>Establecido lo anterior</w:t>
      </w:r>
      <w:r w:rsidRPr="0050324B">
        <w:rPr>
          <w:rFonts w:ascii="Palatino Linotype" w:eastAsia="MS Mincho" w:hAnsi="Palatino Linotype" w:cs="Arial"/>
          <w:color w:val="000000" w:themeColor="text1"/>
          <w:lang w:val="es-ES_tradnl"/>
        </w:rPr>
        <w:t xml:space="preserve">, conviene señalar que el derecho de acceso a la información pública consiste en el </w:t>
      </w:r>
      <w:r w:rsidRPr="0050324B">
        <w:rPr>
          <w:rFonts w:ascii="Palatino Linotype" w:eastAsia="MS Mincho" w:hAnsi="Palatino Linotype" w:cs="Arial"/>
          <w:b/>
          <w:color w:val="000000" w:themeColor="text1"/>
          <w:lang w:val="es-ES_tradnl"/>
        </w:rPr>
        <w:t>acceso a documentos</w:t>
      </w:r>
      <w:r w:rsidRPr="0050324B">
        <w:rPr>
          <w:rFonts w:ascii="Palatino Linotype" w:eastAsia="MS Mincho" w:hAnsi="Palatino Linotype" w:cs="Arial"/>
          <w:color w:val="000000" w:themeColor="text1"/>
          <w:lang w:val="es-ES_tradnl"/>
        </w:rPr>
        <w:t xml:space="preserve"> generados, poseídos o administrados por la autoridad, en ejercicio de sus funciones, con antelación a que fuera presentada la solicitud de acceso a la información pública.</w:t>
      </w:r>
      <w:r w:rsidR="00A67ED3" w:rsidRPr="0050324B">
        <w:rPr>
          <w:rFonts w:ascii="Palatino Linotype" w:eastAsia="Palatino Linotype" w:hAnsi="Palatino Linotype" w:cs="Palatino Linotype"/>
          <w:color w:val="000000" w:themeColor="text1"/>
        </w:rPr>
        <w:t xml:space="preserve"> </w:t>
      </w:r>
      <w:r w:rsidRPr="0050324B">
        <w:rPr>
          <w:rFonts w:ascii="Palatino Linotype" w:eastAsia="MS Mincho" w:hAnsi="Palatino Linotype" w:cs="Arial"/>
          <w:color w:val="000000" w:themeColor="text1"/>
          <w:lang w:val="es-ES_tradnl"/>
        </w:rPr>
        <w:t xml:space="preserve">Así, el </w:t>
      </w:r>
      <w:r w:rsidRPr="0050324B">
        <w:rPr>
          <w:rFonts w:ascii="Palatino Linotype" w:eastAsia="MS Mincho" w:hAnsi="Palatino Linotype" w:cs="Arial"/>
          <w:color w:val="000000" w:themeColor="text1"/>
        </w:rPr>
        <w:t>Criterio</w:t>
      </w:r>
      <w:r w:rsidRPr="0050324B">
        <w:rPr>
          <w:rFonts w:ascii="Palatino Linotype" w:eastAsia="MS Mincho" w:hAnsi="Palatino Linotype" w:cs="Arial"/>
          <w:color w:val="000000" w:themeColor="text1"/>
          <w:lang w:val="es-ES_tradnl"/>
        </w:rPr>
        <w:t xml:space="preserve"> </w:t>
      </w:r>
      <w:r w:rsidRPr="0050324B">
        <w:rPr>
          <w:rFonts w:ascii="Palatino Linotype" w:eastAsia="MS Mincho" w:hAnsi="Palatino Linotype" w:cs="Arial"/>
          <w:color w:val="000000" w:themeColor="text1"/>
        </w:rPr>
        <w:t>028-10</w:t>
      </w:r>
      <w:r w:rsidRPr="0050324B">
        <w:rPr>
          <w:rFonts w:ascii="Palatino Linotype" w:eastAsia="MS Mincho" w:hAnsi="Palatino Linotype" w:cs="Arial"/>
          <w:color w:val="000000" w:themeColor="text1"/>
          <w:lang w:val="es-ES_tradnl"/>
        </w:rPr>
        <w:t xml:space="preserve"> </w:t>
      </w:r>
      <w:r w:rsidRPr="0050324B">
        <w:rPr>
          <w:rFonts w:ascii="Palatino Linotype" w:eastAsia="MS Mincho" w:hAnsi="Palatino Linotype" w:cs="Arial"/>
          <w:color w:val="000000" w:themeColor="text1"/>
        </w:rPr>
        <w:t>emitido por</w:t>
      </w:r>
      <w:r w:rsidRPr="0050324B">
        <w:rPr>
          <w:rFonts w:ascii="Palatino Linotype" w:eastAsia="MS Mincho" w:hAnsi="Palatino Linotype" w:cs="Arial"/>
          <w:color w:val="000000" w:themeColor="text1"/>
          <w:lang w:val="es-ES_tradnl"/>
        </w:rPr>
        <w:t xml:space="preserve"> el Pleno del entonces llamado </w:t>
      </w:r>
      <w:r w:rsidRPr="0050324B">
        <w:rPr>
          <w:rFonts w:ascii="Palatino Linotype" w:eastAsia="MS Mincho" w:hAnsi="Palatino Linotype" w:cs="Arial"/>
          <w:color w:val="000000" w:themeColor="text1"/>
        </w:rPr>
        <w:t>Instituto Federal de Acceso a la Información y Protección de Datos, est</w:t>
      </w:r>
      <w:r w:rsidRPr="0050324B">
        <w:rPr>
          <w:rFonts w:ascii="Palatino Linotype" w:eastAsia="MS Mincho" w:hAnsi="Palatino Linotype" w:cs="Arial"/>
          <w:color w:val="000000" w:themeColor="text1"/>
          <w:lang w:val="es-ES_tradnl"/>
        </w:rPr>
        <w:t xml:space="preserve">ablece que se deberá garantizar </w:t>
      </w:r>
      <w:r w:rsidRPr="0050324B">
        <w:rPr>
          <w:rFonts w:ascii="Palatino Linotype" w:eastAsia="MS Mincho" w:hAnsi="Palatino Linotype" w:cs="Arial"/>
          <w:color w:val="000000" w:themeColor="text1"/>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50324B">
        <w:rPr>
          <w:rFonts w:ascii="Palatino Linotype" w:eastAsia="MS Mincho" w:hAnsi="Palatino Linotype" w:cs="Arial"/>
          <w:color w:val="000000" w:themeColor="text1"/>
          <w:lang w:val="es-ES_tradnl"/>
        </w:rPr>
        <w:t xml:space="preserve"> </w:t>
      </w:r>
      <w:r w:rsidRPr="0050324B">
        <w:rPr>
          <w:rFonts w:ascii="Palatino Linotype" w:eastAsia="MS Mincho" w:hAnsi="Palatino Linotype" w:cs="Arial"/>
          <w:color w:val="000000" w:themeColor="text1"/>
        </w:rPr>
        <w:t>particular lleve a cabo una solicitud de información sin identificar de forma precisa la do</w:t>
      </w:r>
      <w:r w:rsidRPr="0050324B">
        <w:rPr>
          <w:rFonts w:ascii="Palatino Linotype" w:eastAsia="MS Mincho" w:hAnsi="Palatino Linotype" w:cs="Arial"/>
          <w:color w:val="000000" w:themeColor="text1"/>
          <w:lang w:val="es-ES_tradnl"/>
        </w:rPr>
        <w:t xml:space="preserve">cumentación a la que requiere acceso, como a continuación se observa: </w:t>
      </w:r>
    </w:p>
    <w:p w:rsidR="00EC50AA" w:rsidRPr="0050324B" w:rsidRDefault="00EC50AA" w:rsidP="0050324B">
      <w:pPr>
        <w:spacing w:before="240" w:after="360" w:line="360" w:lineRule="auto"/>
        <w:contextualSpacing/>
        <w:jc w:val="both"/>
        <w:rPr>
          <w:rFonts w:ascii="Palatino Linotype" w:eastAsia="MS Mincho" w:hAnsi="Palatino Linotype" w:cs="Arial"/>
          <w:i/>
          <w:iCs/>
          <w:color w:val="000000" w:themeColor="text1"/>
          <w:lang w:val="es-ES_tradnl"/>
        </w:rPr>
      </w:pPr>
      <w:r w:rsidRPr="0050324B">
        <w:rPr>
          <w:rFonts w:ascii="Palatino Linotype" w:eastAsia="MS Mincho" w:hAnsi="Palatino Linotype" w:cs="Arial"/>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50324B">
        <w:rPr>
          <w:rFonts w:ascii="Palatino Linotype" w:eastAsia="MS Mincho" w:hAnsi="Palatino Linotype" w:cs="Arial"/>
          <w:i/>
          <w:iCs/>
          <w:color w:val="000000" w:themeColor="text1"/>
          <w:lang w:val="es-ES_tradnl"/>
        </w:rPr>
        <w:t xml:space="preserve"> La Ley Federal de Transparencia y Acceso a la Información Pública </w:t>
      </w:r>
      <w:r w:rsidRPr="0050324B">
        <w:rPr>
          <w:rFonts w:ascii="Palatino Linotype" w:eastAsia="MS Mincho" w:hAnsi="Palatino Linotype" w:cs="Arial"/>
          <w:i/>
          <w:iCs/>
          <w:color w:val="000000" w:themeColor="text1"/>
          <w:lang w:val="es-ES_tradnl"/>
        </w:rPr>
        <w:lastRenderedPageBreak/>
        <w:t>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EC50AA" w:rsidRPr="0050324B" w:rsidRDefault="00EC50AA" w:rsidP="0050324B">
      <w:pPr>
        <w:spacing w:before="240" w:after="360" w:line="360" w:lineRule="auto"/>
        <w:contextualSpacing/>
        <w:jc w:val="both"/>
        <w:rPr>
          <w:rFonts w:ascii="Palatino Linotype" w:eastAsia="MS Mincho" w:hAnsi="Palatino Linotype" w:cs="Arial"/>
          <w:i/>
          <w:iCs/>
          <w:color w:val="000000" w:themeColor="text1"/>
          <w:lang w:val="es-ES_tradnl"/>
        </w:rPr>
      </w:pPr>
    </w:p>
    <w:p w:rsidR="00EC50AA" w:rsidRPr="0050324B" w:rsidRDefault="00EC50AA" w:rsidP="0050324B">
      <w:pPr>
        <w:numPr>
          <w:ilvl w:val="0"/>
          <w:numId w:val="2"/>
        </w:numPr>
        <w:spacing w:before="240" w:after="360" w:line="360" w:lineRule="auto"/>
        <w:ind w:left="0" w:firstLine="0"/>
        <w:contextualSpacing/>
        <w:jc w:val="both"/>
        <w:rPr>
          <w:rFonts w:ascii="Palatino Linotype" w:eastAsia="MS Mincho" w:hAnsi="Palatino Linotype" w:cs="Arial"/>
          <w:color w:val="000000" w:themeColor="text1"/>
          <w:lang w:val="es-ES_tradnl"/>
        </w:rPr>
      </w:pPr>
      <w:r w:rsidRPr="0050324B">
        <w:rPr>
          <w:rFonts w:ascii="Palatino Linotype" w:eastAsia="MS Mincho" w:hAnsi="Palatino Linotype" w:cs="Arial"/>
          <w:color w:val="000000" w:themeColor="text1"/>
        </w:rPr>
        <w:t xml:space="preserve">Robustece lo anterior </w:t>
      </w:r>
      <w:r w:rsidRPr="0050324B">
        <w:rPr>
          <w:rFonts w:ascii="Palatino Linotype" w:eastAsia="MS Mincho" w:hAnsi="Palatino Linotype" w:cs="Arial"/>
          <w:color w:val="000000" w:themeColor="text1"/>
          <w:lang w:val="es-ES_tradnl"/>
        </w:rPr>
        <w:t>el criterio orientador 16/17 emitido de igual forma por el Instituto Nacional de Transparencia, Acceso a la Información y Protección de Datos Personales que a la literalidad prevé:</w:t>
      </w:r>
    </w:p>
    <w:p w:rsidR="00EC50AA" w:rsidRPr="0050324B" w:rsidRDefault="00EC50AA" w:rsidP="0050324B">
      <w:pPr>
        <w:spacing w:before="240" w:after="360" w:line="360" w:lineRule="auto"/>
        <w:contextualSpacing/>
        <w:jc w:val="both"/>
        <w:rPr>
          <w:rFonts w:ascii="Palatino Linotype" w:eastAsia="MS Mincho" w:hAnsi="Palatino Linotype" w:cs="Arial"/>
          <w:i/>
          <w:color w:val="000000" w:themeColor="text1"/>
          <w:lang w:val="es-ES_tradnl"/>
        </w:rPr>
      </w:pPr>
      <w:r w:rsidRPr="0050324B">
        <w:rPr>
          <w:rFonts w:ascii="Palatino Linotype" w:eastAsia="MS Mincho" w:hAnsi="Palatino Linotype" w:cs="Arial"/>
          <w:b/>
          <w:i/>
          <w:color w:val="000000" w:themeColor="text1"/>
          <w:lang w:val="es-ES_tradnl"/>
        </w:rPr>
        <w:t>“Expresión documental</w:t>
      </w:r>
      <w:r w:rsidRPr="0050324B">
        <w:rPr>
          <w:rFonts w:ascii="Palatino Linotype" w:eastAsia="MS Mincho" w:hAnsi="Palatino Linotype" w:cs="Arial"/>
          <w:i/>
          <w:color w:val="000000" w:themeColor="text1"/>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EC50AA" w:rsidRPr="0050324B" w:rsidRDefault="00EC50AA" w:rsidP="0050324B">
      <w:pPr>
        <w:spacing w:before="240" w:after="360" w:line="360" w:lineRule="auto"/>
        <w:contextualSpacing/>
        <w:jc w:val="both"/>
        <w:rPr>
          <w:rFonts w:ascii="Palatino Linotype" w:eastAsia="MS Mincho" w:hAnsi="Palatino Linotype" w:cs="Arial"/>
          <w:i/>
          <w:color w:val="000000" w:themeColor="text1"/>
          <w:lang w:val="es-ES_tradnl"/>
        </w:rPr>
      </w:pPr>
    </w:p>
    <w:p w:rsidR="00EC50AA" w:rsidRPr="0050324B" w:rsidRDefault="00EC50AA" w:rsidP="0050324B">
      <w:pPr>
        <w:spacing w:before="240" w:after="360" w:line="360" w:lineRule="auto"/>
        <w:contextualSpacing/>
        <w:jc w:val="both"/>
        <w:rPr>
          <w:rFonts w:ascii="Palatino Linotype" w:eastAsia="MS Mincho" w:hAnsi="Palatino Linotype" w:cs="Arial"/>
          <w:i/>
          <w:color w:val="000000" w:themeColor="text1"/>
          <w:lang w:val="es-ES_tradnl"/>
        </w:rPr>
      </w:pPr>
      <w:r w:rsidRPr="0050324B">
        <w:rPr>
          <w:rFonts w:ascii="Palatino Linotype" w:eastAsia="MS Mincho" w:hAnsi="Palatino Linotype" w:cs="Arial"/>
          <w:i/>
          <w:color w:val="000000" w:themeColor="text1"/>
          <w:lang w:val="es-ES_tradnl"/>
        </w:rPr>
        <w:t>Resoluciones:</w:t>
      </w:r>
    </w:p>
    <w:p w:rsidR="00EC50AA" w:rsidRPr="0050324B" w:rsidRDefault="00EC50AA" w:rsidP="0050324B">
      <w:pPr>
        <w:spacing w:before="240" w:after="360" w:line="360" w:lineRule="auto"/>
        <w:contextualSpacing/>
        <w:jc w:val="both"/>
        <w:rPr>
          <w:rFonts w:ascii="Palatino Linotype" w:eastAsia="MS Mincho" w:hAnsi="Palatino Linotype" w:cs="Arial"/>
          <w:i/>
          <w:color w:val="000000" w:themeColor="text1"/>
          <w:lang w:val="es-ES_tradnl"/>
        </w:rPr>
      </w:pPr>
    </w:p>
    <w:p w:rsidR="00EC50AA" w:rsidRPr="0050324B" w:rsidRDefault="00EC50AA" w:rsidP="0050324B">
      <w:pPr>
        <w:spacing w:before="240" w:after="360" w:line="360" w:lineRule="auto"/>
        <w:contextualSpacing/>
        <w:jc w:val="both"/>
        <w:rPr>
          <w:rFonts w:ascii="Palatino Linotype" w:eastAsia="MS Mincho" w:hAnsi="Palatino Linotype" w:cs="Arial"/>
          <w:i/>
          <w:color w:val="000000" w:themeColor="text1"/>
          <w:lang w:val="es-ES_tradnl"/>
        </w:rPr>
      </w:pPr>
      <w:r w:rsidRPr="0050324B">
        <w:rPr>
          <w:rFonts w:ascii="Palatino Linotype" w:eastAsia="MS Mincho" w:hAnsi="Palatino Linotype" w:cs="Arial"/>
          <w:i/>
          <w:color w:val="000000" w:themeColor="text1"/>
          <w:lang w:val="es-ES_tradnl"/>
        </w:rPr>
        <w:t>•</w:t>
      </w:r>
      <w:r w:rsidRPr="0050324B">
        <w:rPr>
          <w:rFonts w:ascii="Palatino Linotype" w:eastAsia="MS Mincho" w:hAnsi="Palatino Linotype" w:cs="Arial"/>
          <w:i/>
          <w:color w:val="000000" w:themeColor="text1"/>
          <w:lang w:val="es-ES_tradnl"/>
        </w:rPr>
        <w:tab/>
        <w:t>RRA 0774/16. Secretaría de Salud. 31 de agosto de 2016. Por unanimidad. Comisionada Ponente María Patricia Kurczyn Villalobos.</w:t>
      </w:r>
    </w:p>
    <w:p w:rsidR="00EC50AA" w:rsidRPr="0050324B" w:rsidRDefault="00EC50AA" w:rsidP="0050324B">
      <w:pPr>
        <w:spacing w:before="240" w:after="360" w:line="360" w:lineRule="auto"/>
        <w:contextualSpacing/>
        <w:jc w:val="both"/>
        <w:rPr>
          <w:rFonts w:ascii="Palatino Linotype" w:eastAsia="MS Mincho" w:hAnsi="Palatino Linotype" w:cs="Arial"/>
          <w:i/>
          <w:color w:val="000000" w:themeColor="text1"/>
          <w:lang w:val="es-ES_tradnl"/>
        </w:rPr>
      </w:pPr>
      <w:r w:rsidRPr="0050324B">
        <w:rPr>
          <w:rFonts w:ascii="Palatino Linotype" w:eastAsia="MS Mincho" w:hAnsi="Palatino Linotype" w:cs="Arial"/>
          <w:i/>
          <w:color w:val="000000" w:themeColor="text1"/>
          <w:lang w:val="es-ES_tradnl"/>
        </w:rPr>
        <w:lastRenderedPageBreak/>
        <w:t>•</w:t>
      </w:r>
      <w:r w:rsidRPr="0050324B">
        <w:rPr>
          <w:rFonts w:ascii="Palatino Linotype" w:eastAsia="MS Mincho" w:hAnsi="Palatino Linotype" w:cs="Arial"/>
          <w:i/>
          <w:color w:val="000000" w:themeColor="text1"/>
          <w:lang w:val="es-ES_tradnl"/>
        </w:rPr>
        <w:tab/>
        <w:t xml:space="preserve">RRA 0143/17. Universidad Autónoma Agraria Antonio Narro. 22 de febrero de 2017. Por unanimidad. Comisionado Ponente Oscar Mauricio Guerra Ford. </w:t>
      </w:r>
    </w:p>
    <w:p w:rsidR="00EC50AA" w:rsidRPr="0050324B" w:rsidRDefault="00EC50AA" w:rsidP="0050324B">
      <w:pPr>
        <w:spacing w:before="240" w:after="360" w:line="360" w:lineRule="auto"/>
        <w:contextualSpacing/>
        <w:jc w:val="both"/>
        <w:rPr>
          <w:rFonts w:ascii="Palatino Linotype" w:eastAsia="MS Mincho" w:hAnsi="Palatino Linotype" w:cs="Arial"/>
          <w:i/>
          <w:color w:val="000000" w:themeColor="text1"/>
          <w:lang w:val="es-ES_tradnl"/>
        </w:rPr>
      </w:pPr>
      <w:r w:rsidRPr="0050324B">
        <w:rPr>
          <w:rFonts w:ascii="Palatino Linotype" w:eastAsia="MS Mincho" w:hAnsi="Palatino Linotype" w:cs="Arial"/>
          <w:i/>
          <w:color w:val="000000" w:themeColor="text1"/>
          <w:lang w:val="es-ES_tradnl"/>
        </w:rPr>
        <w:t>•</w:t>
      </w:r>
      <w:r w:rsidRPr="0050324B">
        <w:rPr>
          <w:rFonts w:ascii="Palatino Linotype" w:eastAsia="MS Mincho" w:hAnsi="Palatino Linotype" w:cs="Arial"/>
          <w:i/>
          <w:color w:val="000000" w:themeColor="text1"/>
          <w:lang w:val="es-ES_tradnl"/>
        </w:rPr>
        <w:tab/>
        <w:t>RRA 0540/17. Secretaría de Economía. 08 de marzo del 2017. Por unanimidad. Comisionado Ponente Francisco Javier Acuña Llamas”</w:t>
      </w:r>
    </w:p>
    <w:p w:rsidR="00EC50AA" w:rsidRPr="0050324B" w:rsidRDefault="00EC50AA" w:rsidP="0050324B">
      <w:pPr>
        <w:spacing w:before="240" w:after="360" w:line="360" w:lineRule="auto"/>
        <w:contextualSpacing/>
        <w:jc w:val="both"/>
        <w:rPr>
          <w:rFonts w:ascii="Palatino Linotype" w:eastAsia="MS Mincho" w:hAnsi="Palatino Linotype" w:cs="Arial"/>
          <w:i/>
          <w:color w:val="000000" w:themeColor="text1"/>
          <w:lang w:val="es-ES_tradnl"/>
        </w:rPr>
      </w:pPr>
    </w:p>
    <w:p w:rsidR="00EC50AA" w:rsidRPr="0050324B" w:rsidRDefault="00EC50AA" w:rsidP="0050324B">
      <w:pPr>
        <w:numPr>
          <w:ilvl w:val="0"/>
          <w:numId w:val="2"/>
        </w:numPr>
        <w:spacing w:before="240" w:after="360" w:line="360" w:lineRule="auto"/>
        <w:ind w:left="0" w:firstLine="0"/>
        <w:contextualSpacing/>
        <w:jc w:val="both"/>
        <w:rPr>
          <w:rFonts w:ascii="Palatino Linotype" w:eastAsia="MS Mincho" w:hAnsi="Palatino Linotype" w:cs="Arial"/>
          <w:i/>
          <w:color w:val="000000" w:themeColor="text1"/>
          <w:lang w:val="es-ES_tradnl"/>
        </w:rPr>
      </w:pPr>
      <w:r w:rsidRPr="0050324B">
        <w:rPr>
          <w:rFonts w:ascii="Palatino Linotype" w:eastAsia="MS Mincho" w:hAnsi="Palatino Linotype" w:cs="Arial"/>
          <w:color w:val="000000" w:themeColor="text1"/>
          <w:lang w:val="es-ES_tradnl"/>
        </w:rPr>
        <w:t>Por otro lado</w:t>
      </w:r>
      <w:r w:rsidRPr="0050324B">
        <w:rPr>
          <w:rFonts w:ascii="Palatino Linotype" w:hAnsi="Palatino Linotype" w:cs="Arial"/>
          <w:color w:val="000000" w:themeColor="text1"/>
        </w:rPr>
        <w:t xml:space="preserve">, </w:t>
      </w:r>
      <w:r w:rsidRPr="0050324B">
        <w:rPr>
          <w:rFonts w:ascii="Palatino Linotype" w:eastAsia="Calibri" w:hAnsi="Palatino Linotype"/>
          <w:color w:val="000000" w:themeColor="text1"/>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EC50AA" w:rsidRPr="0050324B" w:rsidRDefault="00EC50AA" w:rsidP="0050324B">
      <w:pPr>
        <w:spacing w:before="240" w:after="240" w:line="360" w:lineRule="auto"/>
        <w:contextualSpacing/>
        <w:jc w:val="both"/>
        <w:rPr>
          <w:rFonts w:ascii="Palatino Linotype" w:eastAsia="Calibri" w:hAnsi="Palatino Linotype"/>
          <w:i/>
          <w:color w:val="000000" w:themeColor="text1"/>
        </w:rPr>
      </w:pPr>
      <w:r w:rsidRPr="0050324B">
        <w:rPr>
          <w:rFonts w:ascii="Palatino Linotype" w:eastAsia="Calibri" w:hAnsi="Palatino Linotype"/>
          <w:color w:val="000000" w:themeColor="text1"/>
        </w:rPr>
        <w:t>“</w:t>
      </w:r>
      <w:r w:rsidRPr="0050324B">
        <w:rPr>
          <w:rFonts w:ascii="Palatino Linotype" w:eastAsia="Calibri" w:hAnsi="Palatino Linotype"/>
          <w:b/>
          <w:i/>
          <w:color w:val="000000" w:themeColor="text1"/>
        </w:rPr>
        <w:t>Artículo 12.</w:t>
      </w:r>
      <w:r w:rsidRPr="0050324B">
        <w:rPr>
          <w:rFonts w:ascii="Palatino Linotype" w:eastAsia="Calibri" w:hAnsi="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EC50AA" w:rsidRPr="0050324B" w:rsidRDefault="00EC50AA" w:rsidP="0050324B">
      <w:pPr>
        <w:spacing w:before="240" w:after="240" w:line="360" w:lineRule="auto"/>
        <w:contextualSpacing/>
        <w:jc w:val="both"/>
        <w:rPr>
          <w:rFonts w:ascii="Palatino Linotype" w:eastAsia="Calibri" w:hAnsi="Palatino Linotype"/>
          <w:i/>
          <w:color w:val="000000" w:themeColor="text1"/>
        </w:rPr>
      </w:pPr>
    </w:p>
    <w:p w:rsidR="00EC50AA" w:rsidRPr="0050324B" w:rsidRDefault="00EC50AA" w:rsidP="0050324B">
      <w:pPr>
        <w:spacing w:before="240" w:after="240" w:line="360" w:lineRule="auto"/>
        <w:contextualSpacing/>
        <w:jc w:val="both"/>
        <w:rPr>
          <w:rFonts w:ascii="Palatino Linotype" w:eastAsia="Calibri" w:hAnsi="Palatino Linotype"/>
          <w:i/>
          <w:color w:val="000000" w:themeColor="text1"/>
        </w:rPr>
      </w:pPr>
      <w:r w:rsidRPr="0050324B">
        <w:rPr>
          <w:rFonts w:ascii="Palatino Linotype" w:eastAsia="Calibri" w:hAnsi="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EC50AA" w:rsidRPr="0050324B" w:rsidRDefault="00EC50AA" w:rsidP="0050324B">
      <w:pPr>
        <w:spacing w:before="100" w:beforeAutospacing="1" w:after="100" w:afterAutospacing="1" w:line="360" w:lineRule="auto"/>
        <w:contextualSpacing/>
        <w:jc w:val="both"/>
        <w:rPr>
          <w:rFonts w:ascii="Palatino Linotype" w:eastAsia="MS Mincho" w:hAnsi="Palatino Linotype" w:cs="Segoe UI"/>
          <w:color w:val="000000" w:themeColor="text1"/>
          <w:lang w:val="es-ES_tradnl"/>
        </w:rPr>
      </w:pPr>
    </w:p>
    <w:p w:rsidR="00EC50AA" w:rsidRPr="0050324B" w:rsidRDefault="00EC50AA" w:rsidP="0050324B">
      <w:pPr>
        <w:numPr>
          <w:ilvl w:val="0"/>
          <w:numId w:val="2"/>
        </w:numPr>
        <w:spacing w:before="240" w:after="240" w:line="360" w:lineRule="auto"/>
        <w:ind w:left="0" w:firstLine="0"/>
        <w:contextualSpacing/>
        <w:jc w:val="both"/>
        <w:rPr>
          <w:rFonts w:ascii="Palatino Linotype" w:hAnsi="Palatino Linotype" w:cs="Arial"/>
          <w:i/>
          <w:color w:val="000000" w:themeColor="text1"/>
          <w:lang w:val="es-ES_tradnl"/>
        </w:rPr>
      </w:pPr>
      <w:r w:rsidRPr="0050324B">
        <w:rPr>
          <w:rFonts w:ascii="Palatino Linotype" w:hAnsi="Palatino Linotype" w:cs="Arial"/>
          <w:color w:val="000000" w:themeColor="text1"/>
          <w:lang w:val="es-ES_tradnl"/>
        </w:rPr>
        <w:t xml:space="preserve">Es decir, el Derecho de Acceso a la Información Pública se satisface en aquellos casos en que se entregue el soporte documental en que conste la información pública, toda vez que no se tiene el deber de generar un documento </w:t>
      </w:r>
      <w:r w:rsidRPr="0050324B">
        <w:rPr>
          <w:rFonts w:ascii="Palatino Linotype" w:hAnsi="Palatino Linotype" w:cs="Arial"/>
          <w:i/>
          <w:color w:val="000000" w:themeColor="text1"/>
          <w:lang w:val="es-ES_tradnl"/>
        </w:rPr>
        <w:t>ad hoc</w:t>
      </w:r>
      <w:r w:rsidRPr="0050324B">
        <w:rPr>
          <w:rFonts w:ascii="Palatino Linotype" w:hAnsi="Palatino Linotype" w:cs="Arial"/>
          <w:color w:val="000000" w:themeColor="text1"/>
          <w:lang w:val="es-ES_tradnl"/>
        </w:rPr>
        <w:t>, para satisfacer la solicitud.</w:t>
      </w:r>
    </w:p>
    <w:p w:rsidR="00EC50AA" w:rsidRPr="0050324B" w:rsidRDefault="00EC50AA" w:rsidP="0050324B">
      <w:pPr>
        <w:spacing w:before="240" w:after="240" w:line="360" w:lineRule="auto"/>
        <w:contextualSpacing/>
        <w:jc w:val="both"/>
        <w:rPr>
          <w:rFonts w:ascii="Palatino Linotype" w:hAnsi="Palatino Linotype" w:cs="Arial"/>
          <w:color w:val="000000" w:themeColor="text1"/>
          <w:lang w:val="es-ES_tradnl"/>
        </w:rPr>
      </w:pPr>
    </w:p>
    <w:p w:rsidR="00EC50AA" w:rsidRPr="0050324B" w:rsidRDefault="00EC50AA" w:rsidP="0050324B">
      <w:pPr>
        <w:numPr>
          <w:ilvl w:val="0"/>
          <w:numId w:val="2"/>
        </w:numPr>
        <w:spacing w:before="240" w:after="240" w:line="360" w:lineRule="auto"/>
        <w:ind w:left="0" w:firstLine="0"/>
        <w:contextualSpacing/>
        <w:jc w:val="both"/>
        <w:rPr>
          <w:rFonts w:ascii="Palatino Linotype" w:hAnsi="Palatino Linotype" w:cs="Arial"/>
          <w:i/>
          <w:color w:val="000000" w:themeColor="text1"/>
          <w:lang w:val="es-ES_tradnl"/>
        </w:rPr>
      </w:pPr>
      <w:r w:rsidRPr="0050324B">
        <w:rPr>
          <w:rFonts w:ascii="Palatino Linotype" w:hAnsi="Palatino Linotype" w:cs="Arial"/>
          <w:color w:val="000000" w:themeColor="text1"/>
          <w:lang w:val="es-ES_tradnl"/>
        </w:rPr>
        <w:t xml:space="preserve">Como apoyo a lo anterior, es aplicable por analogía el Criterio 09-10, emitido por el Pleno del entonces </w:t>
      </w:r>
      <w:r w:rsidRPr="0050324B">
        <w:rPr>
          <w:rFonts w:ascii="Palatino Linotype" w:hAnsi="Palatino Linotype" w:cs="Arial"/>
          <w:bCs/>
          <w:color w:val="000000" w:themeColor="text1"/>
          <w:lang w:val="es-ES_tradnl"/>
        </w:rPr>
        <w:t>Instituto Federal de Acceso a la Información y Protección de Datos, que a la letra dice:</w:t>
      </w:r>
    </w:p>
    <w:p w:rsidR="00EC50AA" w:rsidRPr="0050324B" w:rsidRDefault="00EC50AA" w:rsidP="0050324B">
      <w:pPr>
        <w:spacing w:before="240" w:after="360" w:line="360" w:lineRule="auto"/>
        <w:contextualSpacing/>
        <w:jc w:val="both"/>
        <w:rPr>
          <w:rFonts w:ascii="Palatino Linotype" w:hAnsi="Palatino Linotype" w:cs="Arial"/>
          <w:color w:val="000000" w:themeColor="text1"/>
          <w:lang w:val="es-ES_tradnl"/>
        </w:rPr>
      </w:pPr>
      <w:r w:rsidRPr="0050324B">
        <w:rPr>
          <w:rFonts w:ascii="Palatino Linotype" w:hAnsi="Palatino Linotype" w:cs="Arial"/>
          <w:b/>
          <w:bCs/>
          <w:i/>
          <w:color w:val="000000" w:themeColor="text1"/>
          <w:lang w:val="es-ES_tradnl"/>
        </w:rPr>
        <w:lastRenderedPageBreak/>
        <w:t xml:space="preserve">“Las dependencias y entidades no están obligadas a generar documentos </w:t>
      </w:r>
      <w:r w:rsidRPr="0050324B">
        <w:rPr>
          <w:rFonts w:ascii="Palatino Linotype" w:hAnsi="Palatino Linotype" w:cs="Arial"/>
          <w:b/>
          <w:bCs/>
          <w:i/>
          <w:iCs/>
          <w:color w:val="000000" w:themeColor="text1"/>
          <w:lang w:val="es-ES_tradnl"/>
        </w:rPr>
        <w:t xml:space="preserve">ad hoc </w:t>
      </w:r>
      <w:r w:rsidRPr="0050324B">
        <w:rPr>
          <w:rFonts w:ascii="Palatino Linotype" w:hAnsi="Palatino Linotype" w:cs="Arial"/>
          <w:b/>
          <w:bCs/>
          <w:i/>
          <w:color w:val="000000" w:themeColor="text1"/>
          <w:lang w:val="es-ES_tradnl"/>
        </w:rPr>
        <w:t xml:space="preserve">para responder una solicitud de acceso a la información. </w:t>
      </w:r>
      <w:r w:rsidRPr="0050324B">
        <w:rPr>
          <w:rFonts w:ascii="Palatino Linotype" w:hAnsi="Palatino Linotype" w:cs="Arial"/>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50324B">
        <w:rPr>
          <w:rFonts w:ascii="Palatino Linotype" w:hAnsi="Palatino Linotype" w:cs="Arial"/>
          <w:i/>
          <w:iCs/>
          <w:color w:val="000000" w:themeColor="text1"/>
          <w:lang w:val="es-ES_tradnl"/>
        </w:rPr>
        <w:t xml:space="preserve">ad hoc </w:t>
      </w:r>
      <w:r w:rsidRPr="0050324B">
        <w:rPr>
          <w:rFonts w:ascii="Palatino Linotype" w:hAnsi="Palatino Linotype" w:cs="Arial"/>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rsidR="00EC50AA" w:rsidRPr="0050324B" w:rsidRDefault="00EC50AA" w:rsidP="0050324B">
      <w:pPr>
        <w:spacing w:before="240" w:after="360" w:line="360" w:lineRule="auto"/>
        <w:contextualSpacing/>
        <w:jc w:val="both"/>
        <w:rPr>
          <w:rFonts w:ascii="Palatino Linotype" w:hAnsi="Palatino Linotype" w:cs="Arial"/>
          <w:i/>
          <w:color w:val="000000" w:themeColor="text1"/>
          <w:lang w:val="es-ES_tradnl"/>
        </w:rPr>
      </w:pPr>
      <w:r w:rsidRPr="0050324B">
        <w:rPr>
          <w:rFonts w:ascii="Palatino Linotype" w:hAnsi="Palatino Linotype" w:cs="Arial"/>
          <w:b/>
          <w:bCs/>
          <w:i/>
          <w:color w:val="000000" w:themeColor="text1"/>
          <w:lang w:val="es-ES_tradnl"/>
        </w:rPr>
        <w:t xml:space="preserve">Expedientes: </w:t>
      </w:r>
      <w:r w:rsidRPr="0050324B">
        <w:rPr>
          <w:rFonts w:ascii="Palatino Linotype" w:hAnsi="Palatino Linotype" w:cs="Arial"/>
          <w:i/>
          <w:color w:val="000000" w:themeColor="text1"/>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rsidR="00EC50AA" w:rsidRPr="0050324B" w:rsidRDefault="00EC50AA" w:rsidP="0050324B">
      <w:pPr>
        <w:rPr>
          <w:rFonts w:ascii="Palatino Linotype" w:hAnsi="Palatino Linotype" w:cs="Arial"/>
          <w:color w:val="000000" w:themeColor="text1"/>
        </w:rPr>
      </w:pPr>
    </w:p>
    <w:p w:rsidR="00A67ED3" w:rsidRPr="0050324B" w:rsidRDefault="00A67ED3" w:rsidP="0050324B">
      <w:pPr>
        <w:spacing w:line="360" w:lineRule="auto"/>
        <w:jc w:val="both"/>
        <w:rPr>
          <w:rFonts w:ascii="Palatino Linotype" w:eastAsia="Palatino Linotype" w:hAnsi="Palatino Linotype" w:cs="Palatino Linotype"/>
          <w:color w:val="000000" w:themeColor="text1"/>
        </w:rPr>
      </w:pPr>
    </w:p>
    <w:p w:rsidR="00A67ED3" w:rsidRPr="0050324B" w:rsidRDefault="00A67ED3" w:rsidP="0050324B">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color w:val="000000" w:themeColor="text1"/>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50324B">
        <w:rPr>
          <w:rFonts w:ascii="Palatino Linotype" w:eastAsia="Palatino Linotype" w:hAnsi="Palatino Linotype" w:cs="Palatino Linotype"/>
          <w:b/>
          <w:color w:val="000000" w:themeColor="text1"/>
        </w:rPr>
        <w:t xml:space="preserve">REVOCAR </w:t>
      </w:r>
      <w:r w:rsidRPr="0050324B">
        <w:rPr>
          <w:rFonts w:ascii="Palatino Linotype" w:eastAsia="Palatino Linotype" w:hAnsi="Palatino Linotype" w:cs="Palatino Linotype"/>
          <w:color w:val="000000" w:themeColor="text1"/>
        </w:rPr>
        <w:t xml:space="preserve">la respuesta otorgada por el Sujeto Obligado, y determina que es dable </w:t>
      </w:r>
      <w:r w:rsidRPr="0050324B">
        <w:rPr>
          <w:rFonts w:ascii="Palatino Linotype" w:eastAsia="Palatino Linotype" w:hAnsi="Palatino Linotype" w:cs="Palatino Linotype"/>
          <w:b/>
          <w:color w:val="000000" w:themeColor="text1"/>
        </w:rPr>
        <w:t>ORDENAR</w:t>
      </w:r>
      <w:r w:rsidRPr="0050324B">
        <w:rPr>
          <w:rFonts w:ascii="Palatino Linotype" w:eastAsia="Palatino Linotype" w:hAnsi="Palatino Linotype" w:cs="Palatino Linotype"/>
          <w:color w:val="000000" w:themeColor="text1"/>
        </w:rPr>
        <w:t>, de ser procedente en versión pública, la siguiente información:</w:t>
      </w:r>
      <w:r w:rsidRPr="0050324B">
        <w:rPr>
          <w:rFonts w:ascii="Palatino Linotype" w:eastAsia="Palatino Linotype" w:hAnsi="Palatino Linotype" w:cs="Palatino Linotype"/>
          <w:b/>
          <w:color w:val="000000" w:themeColor="text1"/>
        </w:rPr>
        <w:t xml:space="preserve"> </w:t>
      </w:r>
    </w:p>
    <w:p w:rsidR="00A67ED3" w:rsidRDefault="00A67ED3" w:rsidP="0050324B">
      <w:pPr>
        <w:pStyle w:val="Prrafodelista"/>
        <w:numPr>
          <w:ilvl w:val="1"/>
          <w:numId w:val="6"/>
        </w:numPr>
        <w:spacing w:line="360" w:lineRule="auto"/>
        <w:ind w:left="0" w:firstLine="0"/>
        <w:jc w:val="both"/>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Soporte documental donde conste el cumplimiento a las normativas urbanísticas y de construcción en el municipio</w:t>
      </w:r>
      <w:r w:rsidR="005A5361" w:rsidRPr="0050324B">
        <w:rPr>
          <w:rFonts w:ascii="Palatino Linotype" w:eastAsia="Palatino Linotype" w:hAnsi="Palatino Linotype" w:cs="Palatino Linotype"/>
          <w:b/>
          <w:color w:val="000000" w:themeColor="text1"/>
        </w:rPr>
        <w:t xml:space="preserve"> de Zinacantepec</w:t>
      </w:r>
      <w:r w:rsidRPr="0050324B">
        <w:rPr>
          <w:rFonts w:ascii="Palatino Linotype" w:eastAsia="Palatino Linotype" w:hAnsi="Palatino Linotype" w:cs="Palatino Linotype"/>
          <w:b/>
          <w:color w:val="000000" w:themeColor="text1"/>
        </w:rPr>
        <w:t>, a la fecha de la solicitud; y</w:t>
      </w:r>
    </w:p>
    <w:p w:rsidR="00A67ED3" w:rsidRPr="0050324B" w:rsidRDefault="00A67ED3" w:rsidP="0050324B">
      <w:pPr>
        <w:pStyle w:val="Prrafodelista"/>
        <w:numPr>
          <w:ilvl w:val="1"/>
          <w:numId w:val="6"/>
        </w:numPr>
        <w:spacing w:line="360" w:lineRule="auto"/>
        <w:ind w:left="0" w:firstLine="0"/>
        <w:jc w:val="both"/>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 xml:space="preserve">Soporte documental donde conste el listado de infracciones y sanciones impuestas </w:t>
      </w:r>
      <w:r w:rsidR="005A5361" w:rsidRPr="0050324B">
        <w:rPr>
          <w:rFonts w:ascii="Palatino Linotype" w:eastAsia="Palatino Linotype" w:hAnsi="Palatino Linotype" w:cs="Palatino Linotype"/>
          <w:b/>
          <w:color w:val="000000" w:themeColor="text1"/>
        </w:rPr>
        <w:t xml:space="preserve">derivado del incumplimiento a las normas urbanísticas y de construcción en el municipio </w:t>
      </w:r>
      <w:r w:rsidR="005A5361" w:rsidRPr="0050324B">
        <w:rPr>
          <w:rFonts w:ascii="Palatino Linotype" w:eastAsia="Palatino Linotype" w:hAnsi="Palatino Linotype" w:cs="Palatino Linotype"/>
          <w:b/>
          <w:color w:val="000000" w:themeColor="text1"/>
        </w:rPr>
        <w:lastRenderedPageBreak/>
        <w:t xml:space="preserve">de Zinacantepec, </w:t>
      </w:r>
      <w:r w:rsidRPr="0050324B">
        <w:rPr>
          <w:rFonts w:ascii="Palatino Linotype" w:eastAsia="Palatino Linotype" w:hAnsi="Palatino Linotype" w:cs="Palatino Linotype"/>
          <w:b/>
          <w:color w:val="000000" w:themeColor="text1"/>
        </w:rPr>
        <w:t xml:space="preserve">del tres de abril de dos mil veintitrés al tres de abril de abril </w:t>
      </w:r>
      <w:r w:rsidR="005A5361" w:rsidRPr="0050324B">
        <w:rPr>
          <w:rFonts w:ascii="Palatino Linotype" w:eastAsia="Palatino Linotype" w:hAnsi="Palatino Linotype" w:cs="Palatino Linotype"/>
          <w:b/>
          <w:color w:val="000000" w:themeColor="text1"/>
        </w:rPr>
        <w:t>de dos mil veinticinco.</w:t>
      </w:r>
    </w:p>
    <w:p w:rsidR="00A67ED3" w:rsidRPr="0050324B" w:rsidRDefault="00A67ED3" w:rsidP="0050324B">
      <w:pPr>
        <w:pStyle w:val="Prrafodelista"/>
        <w:tabs>
          <w:tab w:val="left" w:pos="0"/>
        </w:tabs>
        <w:spacing w:line="360" w:lineRule="auto"/>
        <w:ind w:left="0"/>
        <w:jc w:val="both"/>
        <w:rPr>
          <w:rFonts w:ascii="Palatino Linotype" w:hAnsi="Palatino Linotype" w:cs="Arial"/>
          <w:noProof/>
          <w:color w:val="000000" w:themeColor="text1"/>
        </w:rPr>
      </w:pPr>
    </w:p>
    <w:p w:rsidR="005A5361" w:rsidRPr="0050324B" w:rsidRDefault="005A5361" w:rsidP="0050324B">
      <w:pPr>
        <w:pStyle w:val="Ttulo1"/>
        <w:rPr>
          <w:rFonts w:ascii="Palatino Linotype" w:hAnsi="Palatino Linotype"/>
          <w:b/>
          <w:color w:val="000000" w:themeColor="text1"/>
          <w:sz w:val="24"/>
          <w:szCs w:val="24"/>
          <w:lang w:val="es-ES_tradnl"/>
        </w:rPr>
      </w:pPr>
      <w:bookmarkStart w:id="6" w:name="_Toc87549682"/>
      <w:r w:rsidRPr="0050324B">
        <w:rPr>
          <w:rFonts w:ascii="Palatino Linotype" w:hAnsi="Palatino Linotype"/>
          <w:b/>
          <w:color w:val="000000" w:themeColor="text1"/>
          <w:sz w:val="24"/>
          <w:szCs w:val="24"/>
          <w:lang w:val="es-ES_tradnl"/>
        </w:rPr>
        <w:t>QUINTO. De la versión pública.</w:t>
      </w:r>
      <w:bookmarkEnd w:id="6"/>
    </w:p>
    <w:p w:rsidR="005A5361" w:rsidRPr="0050324B" w:rsidRDefault="005A5361" w:rsidP="0050324B">
      <w:pPr>
        <w:rPr>
          <w:rFonts w:ascii="Palatino Linotype" w:hAnsi="Palatino Linotype"/>
          <w:color w:val="000000" w:themeColor="text1"/>
          <w:lang w:eastAsia="es-ES_tradnl"/>
        </w:rPr>
      </w:pPr>
    </w:p>
    <w:p w:rsidR="005A5361" w:rsidRPr="0050324B" w:rsidRDefault="005A5361" w:rsidP="0050324B">
      <w:pPr>
        <w:pStyle w:val="Prrafodelista"/>
        <w:numPr>
          <w:ilvl w:val="0"/>
          <w:numId w:val="2"/>
        </w:numPr>
        <w:tabs>
          <w:tab w:val="left" w:pos="0"/>
        </w:tabs>
        <w:spacing w:line="360" w:lineRule="auto"/>
        <w:ind w:left="0" w:firstLine="0"/>
        <w:jc w:val="both"/>
        <w:rPr>
          <w:rFonts w:ascii="Palatino Linotype" w:hAnsi="Palatino Linotype" w:cs="Arial"/>
          <w:color w:val="000000" w:themeColor="text1"/>
        </w:rPr>
      </w:pPr>
      <w:r w:rsidRPr="0050324B">
        <w:rPr>
          <w:rFonts w:ascii="Palatino Linotype" w:hAnsi="Palatino Linotype" w:cs="Arial"/>
          <w:color w:val="000000" w:themeColor="text1"/>
        </w:rPr>
        <w:t>Debe destacarse que, debido a la naturaleza de la información solicitada</w:t>
      </w:r>
      <w:r w:rsidRPr="0050324B">
        <w:rPr>
          <w:rFonts w:ascii="Palatino Linotype" w:hAnsi="Palatino Linotype" w:cs="Arial"/>
          <w:b/>
          <w:color w:val="000000" w:themeColor="text1"/>
        </w:rPr>
        <w:t xml:space="preserve">, </w:t>
      </w:r>
      <w:r w:rsidRPr="0050324B">
        <w:rPr>
          <w:rFonts w:ascii="Palatino Linotype" w:hAnsi="Palatino Linotype" w:cs="Arial"/>
          <w:color w:val="000000" w:themeColor="text1"/>
        </w:rPr>
        <w:t xml:space="preserve">eventualmente pudiera obrar datos personales susceptibles de protegerse, así como información susceptible de clasificarse como reservada, el </w:t>
      </w:r>
      <w:r w:rsidRPr="0050324B">
        <w:rPr>
          <w:rFonts w:ascii="Palatino Linotype" w:hAnsi="Palatino Linotype" w:cs="Arial"/>
          <w:b/>
          <w:bCs/>
          <w:color w:val="000000" w:themeColor="text1"/>
        </w:rPr>
        <w:t xml:space="preserve">Sujeto Obligado </w:t>
      </w:r>
      <w:r w:rsidRPr="0050324B">
        <w:rPr>
          <w:rFonts w:ascii="Palatino Linotype" w:hAnsi="Palatino Linotype" w:cs="Arial"/>
          <w:color w:val="000000" w:themeColor="text1"/>
        </w:rPr>
        <w:t xml:space="preserve">deberá de hacer la adecuada versión pública, protegiendo los datos que no son susceptibles de ser proporcionados. </w:t>
      </w:r>
    </w:p>
    <w:p w:rsidR="005A5361" w:rsidRPr="0050324B" w:rsidRDefault="005A5361" w:rsidP="0050324B">
      <w:pPr>
        <w:pStyle w:val="Prrafodelista"/>
        <w:tabs>
          <w:tab w:val="left" w:pos="0"/>
          <w:tab w:val="left" w:pos="284"/>
        </w:tabs>
        <w:spacing w:line="360" w:lineRule="auto"/>
        <w:ind w:left="0"/>
        <w:jc w:val="both"/>
        <w:rPr>
          <w:rFonts w:ascii="Palatino Linotype" w:eastAsia="MS Mincho" w:hAnsi="Palatino Linotype"/>
          <w:color w:val="000000" w:themeColor="text1"/>
          <w:lang w:val="es-ES"/>
        </w:rPr>
      </w:pPr>
    </w:p>
    <w:p w:rsidR="005A5361" w:rsidRPr="0050324B" w:rsidRDefault="005A5361" w:rsidP="0050324B">
      <w:pPr>
        <w:numPr>
          <w:ilvl w:val="0"/>
          <w:numId w:val="2"/>
        </w:numPr>
        <w:tabs>
          <w:tab w:val="left" w:pos="284"/>
        </w:tabs>
        <w:spacing w:line="360" w:lineRule="auto"/>
        <w:ind w:left="0" w:firstLine="0"/>
        <w:contextualSpacing/>
        <w:jc w:val="both"/>
        <w:rPr>
          <w:rFonts w:ascii="Palatino Linotype" w:hAnsi="Palatino Linotype" w:cs="Arial"/>
          <w:color w:val="000000" w:themeColor="text1"/>
        </w:rPr>
      </w:pPr>
      <w:r w:rsidRPr="0050324B">
        <w:rPr>
          <w:rFonts w:ascii="Palatino Linotype" w:hAnsi="Palatino Linotype" w:cs="Arial"/>
          <w:color w:val="000000" w:themeColor="text1"/>
        </w:rPr>
        <w:t xml:space="preserve">No pasa desapercibido para este Órgano Garante que los </w:t>
      </w:r>
      <w:r w:rsidRPr="0050324B">
        <w:rPr>
          <w:rFonts w:ascii="Palatino Linotype" w:hAnsi="Palatino Linotype" w:cs="Arial"/>
          <w:b/>
          <w:bCs/>
          <w:color w:val="000000" w:themeColor="text1"/>
        </w:rPr>
        <w:t xml:space="preserve">Sujetos Obligados </w:t>
      </w:r>
      <w:r w:rsidRPr="0050324B">
        <w:rPr>
          <w:rFonts w:ascii="Palatino Linotype"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A5361" w:rsidRPr="0050324B" w:rsidRDefault="005A5361" w:rsidP="0050324B">
      <w:pPr>
        <w:tabs>
          <w:tab w:val="left" w:pos="284"/>
        </w:tabs>
        <w:spacing w:line="360" w:lineRule="auto"/>
        <w:contextualSpacing/>
        <w:jc w:val="both"/>
        <w:rPr>
          <w:rFonts w:ascii="Palatino Linotype" w:hAnsi="Palatino Linotype" w:cs="Arial"/>
          <w:color w:val="000000" w:themeColor="text1"/>
        </w:rPr>
      </w:pPr>
    </w:p>
    <w:tbl>
      <w:tblPr>
        <w:tblStyle w:val="Tablanormal1"/>
        <w:tblW w:w="9639" w:type="dxa"/>
        <w:tblInd w:w="137" w:type="dxa"/>
        <w:tblLook w:val="04A0" w:firstRow="1" w:lastRow="0" w:firstColumn="1" w:lastColumn="0" w:noHBand="0" w:noVBand="1"/>
      </w:tblPr>
      <w:tblGrid>
        <w:gridCol w:w="2693"/>
        <w:gridCol w:w="6946"/>
      </w:tblGrid>
      <w:tr w:rsidR="0050324B" w:rsidRPr="0050324B" w:rsidTr="00D509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5A5361" w:rsidRPr="0050324B" w:rsidRDefault="005A5361" w:rsidP="0050324B">
            <w:pPr>
              <w:tabs>
                <w:tab w:val="left" w:pos="284"/>
              </w:tabs>
              <w:spacing w:line="360" w:lineRule="auto"/>
              <w:rPr>
                <w:rFonts w:ascii="Palatino Linotype" w:hAnsi="Palatino Linotype"/>
                <w:bCs w:val="0"/>
                <w:color w:val="000000" w:themeColor="text1"/>
              </w:rPr>
            </w:pPr>
            <w:r w:rsidRPr="0050324B">
              <w:rPr>
                <w:rFonts w:ascii="Palatino Linotype" w:hAnsi="Palatino Linotype" w:cstheme="majorBidi"/>
                <w:color w:val="000000" w:themeColor="text1"/>
              </w:rPr>
              <w:t>a) Requisitos previos.</w:t>
            </w:r>
          </w:p>
        </w:tc>
        <w:tc>
          <w:tcPr>
            <w:tcW w:w="6946" w:type="dxa"/>
            <w:hideMark/>
          </w:tcPr>
          <w:p w:rsidR="005A5361" w:rsidRPr="0050324B" w:rsidRDefault="005A5361" w:rsidP="0050324B">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50324B">
              <w:rPr>
                <w:rFonts w:ascii="Palatino Linotype" w:hAnsi="Palatino Linotype" w:cs="Arial"/>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5A5361" w:rsidRPr="0050324B" w:rsidRDefault="005A5361" w:rsidP="0050324B">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50324B">
              <w:rPr>
                <w:rFonts w:ascii="Palatino Linotype" w:hAnsi="Palatino Linotype" w:cs="Arial"/>
                <w:color w:val="000000" w:themeColor="text1"/>
              </w:rPr>
              <w:lastRenderedPageBreak/>
              <w:t>Al hacerlo tienen que precisar de qué información se trata, señalando el supuesto de clasificación (confidencialidad o reserva).</w:t>
            </w:r>
          </w:p>
          <w:p w:rsidR="005A5361" w:rsidRPr="0050324B" w:rsidRDefault="005A5361" w:rsidP="0050324B">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50324B">
              <w:rPr>
                <w:rFonts w:ascii="Palatino Linotype" w:hAnsi="Palatino Linotype" w:cs="Arial"/>
                <w:color w:val="000000" w:themeColor="text1"/>
              </w:rPr>
              <w:t>Además, se debe señalar el procedimiento, de los tres que establecen los artículos 132 y 106 de la Ley Estatal y General, respectivamente.</w:t>
            </w:r>
          </w:p>
          <w:p w:rsidR="005A5361" w:rsidRPr="0050324B" w:rsidRDefault="005A5361" w:rsidP="0050324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50324B">
              <w:rPr>
                <w:rFonts w:ascii="Palatino Linotype" w:hAnsi="Palatino Linotype" w:cs="Arial"/>
                <w:color w:val="000000" w:themeColor="text1"/>
              </w:rPr>
              <w:t xml:space="preserve">El último de estos requisitos previos consiste en que no se pueden emitir acuerdos de carácter general ni particular, esto es, </w:t>
            </w:r>
            <w:r w:rsidRPr="0050324B">
              <w:rPr>
                <w:rFonts w:ascii="Palatino Linotype" w:hAnsi="Palatino Linotype" w:cs="Arial"/>
                <w:color w:val="000000" w:themeColor="text1"/>
                <w:u w:val="single"/>
              </w:rPr>
              <w:t>no se puede hacer un acuerdo para clasificar de manera general todos los documentos de un expediente o área, sin</w:t>
            </w:r>
            <w:r w:rsidRPr="0050324B">
              <w:rPr>
                <w:rFonts w:ascii="Palatino Linotype" w:hAnsi="Palatino Linotype" w:cs="Arial"/>
                <w:color w:val="000000" w:themeColor="text1"/>
              </w:rPr>
              <w:t xml:space="preserve"> individualizar su análisis y tampoco se puede hacer un acuerdo por cada dato que se vaya a clasificar dentro de un documento con diez datos, por ejemplo, susceptibles de ser clasificados.</w:t>
            </w:r>
          </w:p>
        </w:tc>
      </w:tr>
      <w:tr w:rsidR="0050324B" w:rsidRPr="0050324B" w:rsidTr="00D50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5A5361" w:rsidRPr="0050324B" w:rsidRDefault="005A5361" w:rsidP="0050324B">
            <w:pPr>
              <w:tabs>
                <w:tab w:val="left" w:pos="284"/>
              </w:tabs>
              <w:spacing w:line="360" w:lineRule="auto"/>
              <w:rPr>
                <w:rFonts w:ascii="Palatino Linotype" w:hAnsi="Palatino Linotype"/>
                <w:bCs w:val="0"/>
                <w:color w:val="000000" w:themeColor="text1"/>
              </w:rPr>
            </w:pPr>
            <w:r w:rsidRPr="0050324B">
              <w:rPr>
                <w:rFonts w:ascii="Palatino Linotype" w:hAnsi="Palatino Linotype" w:cstheme="majorBidi"/>
                <w:color w:val="000000" w:themeColor="text1"/>
              </w:rPr>
              <w:lastRenderedPageBreak/>
              <w:t>b) Supuestos de clasificación.</w:t>
            </w:r>
          </w:p>
        </w:tc>
        <w:tc>
          <w:tcPr>
            <w:tcW w:w="6946" w:type="dxa"/>
            <w:hideMark/>
          </w:tcPr>
          <w:p w:rsidR="005A5361" w:rsidRPr="0050324B" w:rsidRDefault="005A5361" w:rsidP="0050324B">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0324B">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5A5361" w:rsidRPr="0050324B" w:rsidRDefault="005A5361" w:rsidP="0050324B">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0324B">
              <w:rPr>
                <w:rFonts w:ascii="Palatino Linotype" w:hAnsi="Palatino Linotype" w:cs="Arial"/>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50324B">
              <w:rPr>
                <w:rFonts w:ascii="Palatino Linotype" w:hAnsi="Palatino Linotype" w:cs="Arial"/>
                <w:color w:val="000000" w:themeColor="text1"/>
              </w:rPr>
              <w:lastRenderedPageBreak/>
              <w:t>ampliar las excepciones o supuestos de clasificación aduciendo analogía o mayoría de razón.</w:t>
            </w:r>
          </w:p>
          <w:p w:rsidR="005A5361" w:rsidRPr="0050324B" w:rsidRDefault="005A5361" w:rsidP="0050324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50324B">
              <w:rPr>
                <w:rFonts w:ascii="Palatino Linotype" w:hAnsi="Palatino Linotype" w:cs="Arial"/>
                <w:color w:val="000000" w:themeColor="text1"/>
              </w:rPr>
              <w:t xml:space="preserve">El </w:t>
            </w:r>
            <w:r w:rsidRPr="0050324B">
              <w:rPr>
                <w:rFonts w:ascii="Palatino Linotype" w:hAnsi="Palatino Linotype" w:cs="Arial"/>
                <w:b/>
                <w:color w:val="000000" w:themeColor="text1"/>
              </w:rPr>
              <w:t>Sujeto Obligado</w:t>
            </w:r>
            <w:r w:rsidRPr="0050324B">
              <w:rPr>
                <w:rFonts w:ascii="Palatino Linotype" w:hAnsi="Palatino Linotype" w:cs="Arial"/>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0324B" w:rsidRPr="0050324B" w:rsidTr="00D5097C">
        <w:tc>
          <w:tcPr>
            <w:cnfStyle w:val="001000000000" w:firstRow="0" w:lastRow="0" w:firstColumn="1" w:lastColumn="0" w:oddVBand="0" w:evenVBand="0" w:oddHBand="0" w:evenHBand="0" w:firstRowFirstColumn="0" w:firstRowLastColumn="0" w:lastRowFirstColumn="0" w:lastRowLastColumn="0"/>
            <w:tcW w:w="2693" w:type="dxa"/>
            <w:hideMark/>
          </w:tcPr>
          <w:p w:rsidR="005A5361" w:rsidRPr="0050324B" w:rsidRDefault="005A5361" w:rsidP="0050324B">
            <w:pPr>
              <w:tabs>
                <w:tab w:val="left" w:pos="284"/>
              </w:tabs>
              <w:spacing w:line="360" w:lineRule="auto"/>
              <w:rPr>
                <w:rFonts w:ascii="Palatino Linotype" w:hAnsi="Palatino Linotype"/>
                <w:bCs w:val="0"/>
                <w:color w:val="000000" w:themeColor="text1"/>
              </w:rPr>
            </w:pPr>
            <w:r w:rsidRPr="0050324B">
              <w:rPr>
                <w:rFonts w:ascii="Palatino Linotype" w:hAnsi="Palatino Linotype" w:cstheme="majorBidi"/>
                <w:color w:val="000000" w:themeColor="text1"/>
              </w:rPr>
              <w:lastRenderedPageBreak/>
              <w:t>c) Formalidades para emitir el acuerdo de clasificación.</w:t>
            </w:r>
          </w:p>
        </w:tc>
        <w:tc>
          <w:tcPr>
            <w:tcW w:w="6946" w:type="dxa"/>
            <w:hideMark/>
          </w:tcPr>
          <w:p w:rsidR="005A5361" w:rsidRPr="0050324B" w:rsidRDefault="005A5361" w:rsidP="0050324B">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50324B">
              <w:rPr>
                <w:rFonts w:ascii="Palatino Linotype" w:hAnsi="Palatino Linotype" w:cs="Arial"/>
                <w:color w:val="000000" w:themeColor="text1"/>
              </w:rPr>
              <w:t xml:space="preserve">El Comité de Transparencia, según lo dispuesto en los artículos cuenta con las facultades para aprobar, modificar o revocar la clasificación de la información que haya propuesto. </w:t>
            </w:r>
          </w:p>
          <w:p w:rsidR="005A5361" w:rsidRPr="0050324B" w:rsidRDefault="005A5361" w:rsidP="0050324B">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50324B">
              <w:rPr>
                <w:rFonts w:ascii="Palatino Linotype" w:hAnsi="Palatino Linotype" w:cs="Arial"/>
                <w:color w:val="000000" w:themeColor="text1"/>
              </w:rPr>
              <w:t xml:space="preserve">Es necesario que </w:t>
            </w:r>
            <w:r w:rsidRPr="0050324B">
              <w:rPr>
                <w:rFonts w:ascii="Palatino Linotype" w:hAnsi="Palatino Linotype" w:cs="Arial"/>
                <w:b/>
                <w:color w:val="000000" w:themeColor="text1"/>
                <w:u w:val="single"/>
              </w:rPr>
              <w:t>el acto reúna con los requisitos elementales</w:t>
            </w:r>
            <w:r w:rsidRPr="0050324B">
              <w:rPr>
                <w:rFonts w:ascii="Palatino Linotype" w:hAnsi="Palatino Linotype" w:cs="Arial"/>
                <w:color w:val="000000" w:themeColor="text1"/>
              </w:rPr>
              <w:t>, entre ellos, que la autoridad que va a emitir el acto de autoridad sea la legalmente facultada para ello.</w:t>
            </w:r>
          </w:p>
          <w:p w:rsidR="005A5361" w:rsidRPr="0050324B" w:rsidRDefault="005A5361" w:rsidP="0050324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50324B">
              <w:rPr>
                <w:rFonts w:ascii="Palatino Linotype" w:hAnsi="Palatino Linotype" w:cs="Arial"/>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0324B" w:rsidRPr="0050324B" w:rsidTr="00D509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5A5361" w:rsidRPr="0050324B" w:rsidRDefault="005A5361" w:rsidP="0050324B">
            <w:pPr>
              <w:tabs>
                <w:tab w:val="left" w:pos="284"/>
              </w:tabs>
              <w:spacing w:line="360" w:lineRule="auto"/>
              <w:rPr>
                <w:rFonts w:ascii="Palatino Linotype" w:hAnsi="Palatino Linotype"/>
                <w:b w:val="0"/>
                <w:color w:val="000000" w:themeColor="text1"/>
              </w:rPr>
            </w:pPr>
          </w:p>
          <w:p w:rsidR="005A5361" w:rsidRPr="0050324B" w:rsidRDefault="005A5361" w:rsidP="0050324B">
            <w:pPr>
              <w:tabs>
                <w:tab w:val="left" w:pos="284"/>
              </w:tabs>
              <w:spacing w:line="360" w:lineRule="auto"/>
              <w:jc w:val="both"/>
              <w:rPr>
                <w:rFonts w:ascii="Palatino Linotype" w:hAnsi="Palatino Linotype"/>
                <w:bCs w:val="0"/>
                <w:color w:val="000000" w:themeColor="text1"/>
              </w:rPr>
            </w:pPr>
            <w:r w:rsidRPr="0050324B">
              <w:rPr>
                <w:rFonts w:ascii="Palatino Linotype" w:hAnsi="Palatino Linotype" w:cs="Arial"/>
                <w:color w:val="000000" w:themeColor="text1"/>
              </w:rPr>
              <w:t xml:space="preserve">d) Requisitos de fondo del acuerdo de clasificación. </w:t>
            </w:r>
          </w:p>
        </w:tc>
        <w:tc>
          <w:tcPr>
            <w:tcW w:w="6946" w:type="dxa"/>
            <w:hideMark/>
          </w:tcPr>
          <w:p w:rsidR="005A5361" w:rsidRPr="0050324B" w:rsidRDefault="005A5361" w:rsidP="0050324B">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0324B">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0324B">
              <w:rPr>
                <w:rFonts w:ascii="Palatino Linotype" w:hAnsi="Palatino Linotype" w:cs="Arial"/>
                <w:b/>
                <w:color w:val="000000" w:themeColor="text1"/>
              </w:rPr>
              <w:t>Sujetos Obligados</w:t>
            </w:r>
            <w:r w:rsidRPr="0050324B">
              <w:rPr>
                <w:rFonts w:ascii="Palatino Linotype" w:hAnsi="Palatino Linotype" w:cs="Arial"/>
                <w:color w:val="000000" w:themeColor="text1"/>
              </w:rPr>
              <w:t xml:space="preserve">, por lo que deberán fundar y motivar debidamente la clasificación. </w:t>
            </w:r>
          </w:p>
          <w:p w:rsidR="005A5361" w:rsidRPr="0050324B" w:rsidRDefault="005A5361" w:rsidP="0050324B">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0324B">
              <w:rPr>
                <w:rFonts w:ascii="Palatino Linotype" w:hAnsi="Palatino Linotype" w:cs="Arial"/>
                <w:color w:val="000000" w:themeColor="text1"/>
              </w:rPr>
              <w:t xml:space="preserve">De lo anterior, se desprende que para una correcta </w:t>
            </w:r>
            <w:r w:rsidRPr="0050324B">
              <w:rPr>
                <w:rFonts w:ascii="Palatino Linotype" w:hAnsi="Palatino Linotype" w:cs="Arial"/>
                <w:b/>
                <w:color w:val="000000" w:themeColor="text1"/>
              </w:rPr>
              <w:t>clasificación total o parcial</w:t>
            </w:r>
            <w:r w:rsidRPr="0050324B">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A5361" w:rsidRPr="0050324B" w:rsidRDefault="005A5361" w:rsidP="0050324B">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0324B">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A5361" w:rsidRPr="0050324B" w:rsidRDefault="005A5361" w:rsidP="0050324B">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0324B">
              <w:rPr>
                <w:rFonts w:ascii="Palatino Linotype" w:hAnsi="Palatino Linotype" w:cs="Arial"/>
                <w:color w:val="000000" w:themeColor="text1"/>
              </w:rPr>
              <w:t xml:space="preserve">En ese mismo sentido, el numeral trigésimo tercero fracción V de los Lineamientos Generales, precisa que para motivar la </w:t>
            </w:r>
            <w:r w:rsidRPr="0050324B">
              <w:rPr>
                <w:rFonts w:ascii="Palatino Linotype" w:hAnsi="Palatino Linotype" w:cs="Arial"/>
                <w:color w:val="000000" w:themeColor="text1"/>
              </w:rPr>
              <w:lastRenderedPageBreak/>
              <w:t>clasificación se deben acreditar las circunstancias de tiempo, modo y lugar.</w:t>
            </w:r>
          </w:p>
          <w:p w:rsidR="005A5361" w:rsidRPr="0050324B" w:rsidRDefault="005A5361" w:rsidP="0050324B">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0324B">
              <w:rPr>
                <w:rFonts w:ascii="Palatino Linotype" w:hAnsi="Palatino Linotype" w:cs="Arial"/>
                <w:color w:val="000000" w:themeColor="text1"/>
              </w:rPr>
              <w:t xml:space="preserve">Ahora bien, </w:t>
            </w:r>
            <w:r w:rsidRPr="0050324B">
              <w:rPr>
                <w:rFonts w:ascii="Palatino Linotype" w:hAnsi="Palatino Linotype" w:cs="Arial"/>
                <w:b/>
                <w:color w:val="000000" w:themeColor="text1"/>
                <w:u w:val="single"/>
              </w:rPr>
              <w:t>para cada caso además de fundar y motivar</w:t>
            </w:r>
            <w:r w:rsidRPr="0050324B">
              <w:rPr>
                <w:rFonts w:ascii="Palatino Linotype" w:hAnsi="Palatino Linotype" w:cs="Arial"/>
                <w:color w:val="000000" w:themeColor="text1"/>
              </w:rPr>
              <w:t xml:space="preserve">, se debe identificar con claridad que datos contenidos en las documentales que son susceptibles de suprimirse, por ejemplo; </w:t>
            </w:r>
            <w:r w:rsidRPr="0050324B">
              <w:rPr>
                <w:rFonts w:ascii="Palatino Linotype" w:hAnsi="Palatino Linotype" w:cs="Arial"/>
                <w:color w:val="000000" w:themeColor="text1"/>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0324B" w:rsidRPr="0050324B" w:rsidTr="00D5097C">
        <w:tc>
          <w:tcPr>
            <w:cnfStyle w:val="001000000000" w:firstRow="0" w:lastRow="0" w:firstColumn="1" w:lastColumn="0" w:oddVBand="0" w:evenVBand="0" w:oddHBand="0" w:evenHBand="0" w:firstRowFirstColumn="0" w:firstRowLastColumn="0" w:lastRowFirstColumn="0" w:lastRowLastColumn="0"/>
            <w:tcW w:w="2693" w:type="dxa"/>
          </w:tcPr>
          <w:p w:rsidR="005A5361" w:rsidRPr="0050324B" w:rsidRDefault="005A5361" w:rsidP="0050324B">
            <w:pPr>
              <w:tabs>
                <w:tab w:val="left" w:pos="284"/>
              </w:tabs>
              <w:spacing w:line="360" w:lineRule="auto"/>
              <w:jc w:val="both"/>
              <w:rPr>
                <w:rFonts w:ascii="Palatino Linotype" w:hAnsi="Palatino Linotype" w:cs="Arial"/>
                <w:bCs w:val="0"/>
                <w:color w:val="000000" w:themeColor="text1"/>
              </w:rPr>
            </w:pPr>
            <w:r w:rsidRPr="0050324B">
              <w:rPr>
                <w:rFonts w:ascii="Palatino Linotype" w:eastAsia="MS Gothic" w:hAnsi="Palatino Linotype"/>
                <w:color w:val="000000" w:themeColor="text1"/>
              </w:rPr>
              <w:lastRenderedPageBreak/>
              <w:t xml:space="preserve">e) Condiciones especiales de la clasificación de la información como confidencial. </w:t>
            </w:r>
          </w:p>
        </w:tc>
        <w:tc>
          <w:tcPr>
            <w:tcW w:w="6946" w:type="dxa"/>
            <w:hideMark/>
          </w:tcPr>
          <w:p w:rsidR="005A5361" w:rsidRPr="0050324B" w:rsidRDefault="005A5361" w:rsidP="0050324B">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50324B">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5A5361" w:rsidRPr="0050324B" w:rsidRDefault="005A5361" w:rsidP="0050324B">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50324B">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A5361" w:rsidRPr="0050324B" w:rsidRDefault="005A5361" w:rsidP="0050324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50324B">
              <w:rPr>
                <w:rFonts w:ascii="Palatino Linotype" w:hAnsi="Palatino Linotype" w:cs="Arial"/>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50324B">
              <w:rPr>
                <w:rFonts w:ascii="Palatino Linotype" w:hAnsi="Palatino Linotype" w:cs="Arial"/>
                <w:color w:val="000000" w:themeColor="text1"/>
              </w:rPr>
              <w:lastRenderedPageBreak/>
              <w:t>de la consulta, procede, fundando y motivando, la clasificación.</w:t>
            </w:r>
          </w:p>
        </w:tc>
      </w:tr>
    </w:tbl>
    <w:p w:rsidR="005A5361" w:rsidRPr="0050324B" w:rsidRDefault="005A5361" w:rsidP="0050324B">
      <w:pPr>
        <w:pStyle w:val="Prrafodelista"/>
        <w:tabs>
          <w:tab w:val="left" w:pos="284"/>
        </w:tabs>
        <w:ind w:left="0"/>
        <w:rPr>
          <w:rFonts w:ascii="Palatino Linotype" w:hAnsi="Palatino Linotype" w:cs="Arial"/>
          <w:color w:val="000000" w:themeColor="text1"/>
        </w:rPr>
      </w:pPr>
    </w:p>
    <w:p w:rsidR="005A5361" w:rsidRPr="0050324B" w:rsidRDefault="005A5361" w:rsidP="0050324B">
      <w:pPr>
        <w:pStyle w:val="Prrafodelista"/>
        <w:numPr>
          <w:ilvl w:val="0"/>
          <w:numId w:val="2"/>
        </w:numPr>
        <w:spacing w:line="360" w:lineRule="auto"/>
        <w:ind w:left="0" w:firstLine="0"/>
        <w:jc w:val="both"/>
        <w:rPr>
          <w:rFonts w:ascii="Palatino Linotype" w:hAnsi="Palatino Linotype" w:cs="Arial"/>
          <w:color w:val="000000" w:themeColor="text1"/>
          <w:lang w:val="es-ES"/>
        </w:rPr>
      </w:pPr>
      <w:r w:rsidRPr="0050324B">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5A5361" w:rsidRPr="0050324B" w:rsidRDefault="005A5361" w:rsidP="0050324B">
      <w:pPr>
        <w:pStyle w:val="Prrafodelista"/>
        <w:tabs>
          <w:tab w:val="left" w:pos="0"/>
        </w:tabs>
        <w:spacing w:line="360" w:lineRule="auto"/>
        <w:ind w:left="0"/>
        <w:jc w:val="both"/>
        <w:rPr>
          <w:rFonts w:ascii="Palatino Linotype" w:hAnsi="Palatino Linotype" w:cs="Arial"/>
          <w:noProof/>
          <w:color w:val="000000" w:themeColor="text1"/>
        </w:rPr>
      </w:pPr>
    </w:p>
    <w:p w:rsidR="00EC50AA" w:rsidRPr="0050324B" w:rsidRDefault="00EC50AA" w:rsidP="0050324B">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50324B">
        <w:rPr>
          <w:rFonts w:ascii="Palatino Linotype" w:hAnsi="Palatino Linotype" w:cs="Arial"/>
          <w:color w:val="000000" w:themeColor="text1"/>
        </w:rPr>
        <w:t xml:space="preserve">Por lo anteriormente expuesto y fundado, este </w:t>
      </w:r>
      <w:r w:rsidRPr="0050324B">
        <w:rPr>
          <w:rFonts w:ascii="Palatino Linotype" w:hAnsi="Palatino Linotype" w:cs="Arial"/>
          <w:b/>
          <w:bCs/>
          <w:color w:val="000000" w:themeColor="text1"/>
        </w:rPr>
        <w:t>ÓRGANO GARANTE</w:t>
      </w:r>
      <w:r w:rsidRPr="0050324B">
        <w:rPr>
          <w:rFonts w:ascii="Palatino Linotype" w:hAnsi="Palatino Linotype" w:cs="Arial"/>
          <w:color w:val="000000" w:themeColor="text1"/>
        </w:rPr>
        <w:t xml:space="preserve"> emite los siguientes:</w:t>
      </w:r>
    </w:p>
    <w:p w:rsidR="00EC50AA" w:rsidRPr="0050324B" w:rsidRDefault="00EC50AA" w:rsidP="0050324B">
      <w:pPr>
        <w:pStyle w:val="Ttulo1"/>
        <w:jc w:val="center"/>
        <w:rPr>
          <w:rFonts w:ascii="Palatino Linotype" w:hAnsi="Palatino Linotype"/>
          <w:b/>
          <w:color w:val="000000" w:themeColor="text1"/>
          <w:sz w:val="24"/>
          <w:szCs w:val="24"/>
        </w:rPr>
      </w:pPr>
      <w:bookmarkStart w:id="7" w:name="_Toc4061692"/>
      <w:bookmarkStart w:id="8" w:name="_Toc486525261"/>
      <w:bookmarkStart w:id="9" w:name="_Toc445745148"/>
      <w:bookmarkStart w:id="10" w:name="_Toc447699324"/>
      <w:bookmarkStart w:id="11" w:name="_Toc87549684"/>
      <w:r w:rsidRPr="0050324B">
        <w:rPr>
          <w:rFonts w:ascii="Palatino Linotype" w:hAnsi="Palatino Linotype"/>
          <w:b/>
          <w:color w:val="000000" w:themeColor="text1"/>
          <w:sz w:val="24"/>
          <w:szCs w:val="24"/>
        </w:rPr>
        <w:t>R E S O L U T I V O S</w:t>
      </w:r>
      <w:bookmarkEnd w:id="7"/>
      <w:bookmarkEnd w:id="8"/>
      <w:bookmarkEnd w:id="9"/>
      <w:bookmarkEnd w:id="10"/>
      <w:bookmarkEnd w:id="11"/>
    </w:p>
    <w:p w:rsidR="00EC50AA" w:rsidRPr="0050324B" w:rsidRDefault="00EC50AA" w:rsidP="0050324B">
      <w:pPr>
        <w:keepNext/>
        <w:keepLines/>
        <w:spacing w:line="360" w:lineRule="auto"/>
        <w:jc w:val="center"/>
        <w:outlineLvl w:val="0"/>
        <w:rPr>
          <w:rFonts w:ascii="Palatino Linotype" w:hAnsi="Palatino Linotype" w:cstheme="majorBidi"/>
          <w:b/>
          <w:bCs/>
          <w:color w:val="000000" w:themeColor="text1"/>
        </w:rPr>
      </w:pPr>
    </w:p>
    <w:p w:rsidR="005A5361" w:rsidRPr="0050324B" w:rsidRDefault="005A5361" w:rsidP="0050324B">
      <w:pPr>
        <w:spacing w:line="360" w:lineRule="auto"/>
        <w:jc w:val="both"/>
        <w:rPr>
          <w:rFonts w:ascii="Palatino Linotype" w:hAnsi="Palatino Linotype"/>
          <w:color w:val="000000" w:themeColor="text1"/>
        </w:rPr>
      </w:pPr>
      <w:r w:rsidRPr="0050324B">
        <w:rPr>
          <w:rFonts w:ascii="Palatino Linotype" w:hAnsi="Palatino Linotype" w:cs="Arial"/>
          <w:b/>
          <w:color w:val="000000" w:themeColor="text1"/>
        </w:rPr>
        <w:t xml:space="preserve">PRIMERO. </w:t>
      </w:r>
      <w:r w:rsidRPr="0050324B">
        <w:rPr>
          <w:rFonts w:ascii="Palatino Linotype" w:hAnsi="Palatino Linotype" w:cs="Arial"/>
          <w:color w:val="000000" w:themeColor="text1"/>
        </w:rPr>
        <w:t>Resultan fundadas las</w:t>
      </w:r>
      <w:r w:rsidRPr="0050324B">
        <w:rPr>
          <w:rFonts w:ascii="Palatino Linotype" w:hAnsi="Palatino Linotype" w:cs="Arial"/>
          <w:b/>
          <w:color w:val="000000" w:themeColor="text1"/>
        </w:rPr>
        <w:t xml:space="preserve"> </w:t>
      </w:r>
      <w:r w:rsidRPr="0050324B">
        <w:rPr>
          <w:rFonts w:ascii="Palatino Linotype" w:hAnsi="Palatino Linotype" w:cs="Arial"/>
          <w:color w:val="000000" w:themeColor="text1"/>
          <w:lang w:val="es-ES"/>
        </w:rPr>
        <w:t xml:space="preserve">razones o motivos de inconformidad hechos valer </w:t>
      </w:r>
      <w:r w:rsidRPr="0050324B">
        <w:rPr>
          <w:rFonts w:ascii="Palatino Linotype" w:eastAsia="Calibri" w:hAnsi="Palatino Linotype" w:cs="Arial"/>
          <w:color w:val="000000" w:themeColor="text1"/>
          <w:lang w:val="es-ES"/>
        </w:rPr>
        <w:t xml:space="preserve">en el recurso de revisión </w:t>
      </w:r>
      <w:r w:rsidRPr="0050324B">
        <w:rPr>
          <w:rFonts w:ascii="Palatino Linotype" w:eastAsia="Calibri" w:hAnsi="Palatino Linotype" w:cs="Tahoma"/>
          <w:b/>
          <w:color w:val="000000" w:themeColor="text1"/>
          <w:lang w:eastAsia="en-US"/>
        </w:rPr>
        <w:t>05078/INFOEM/IP/RR/2025</w:t>
      </w:r>
      <w:r w:rsidRPr="0050324B">
        <w:rPr>
          <w:rFonts w:ascii="Palatino Linotype" w:hAnsi="Palatino Linotype"/>
          <w:b/>
          <w:color w:val="000000" w:themeColor="text1"/>
        </w:rPr>
        <w:t xml:space="preserve"> </w:t>
      </w:r>
      <w:r w:rsidRPr="0050324B">
        <w:rPr>
          <w:rFonts w:ascii="Palatino Linotype" w:hAnsi="Palatino Linotype"/>
          <w:color w:val="000000" w:themeColor="text1"/>
        </w:rPr>
        <w:t>en términos de los</w:t>
      </w:r>
      <w:r w:rsidRPr="0050324B">
        <w:rPr>
          <w:rFonts w:ascii="Palatino Linotype" w:hAnsi="Palatino Linotype"/>
          <w:b/>
          <w:bCs/>
          <w:color w:val="000000" w:themeColor="text1"/>
        </w:rPr>
        <w:t xml:space="preserve"> Considerandos</w:t>
      </w:r>
      <w:r w:rsidRPr="0050324B">
        <w:rPr>
          <w:rFonts w:ascii="Palatino Linotype" w:hAnsi="Palatino Linotype"/>
          <w:color w:val="000000" w:themeColor="text1"/>
        </w:rPr>
        <w:t xml:space="preserve"> </w:t>
      </w:r>
      <w:r w:rsidRPr="0050324B">
        <w:rPr>
          <w:rFonts w:ascii="Palatino Linotype" w:hAnsi="Palatino Linotype"/>
          <w:b/>
          <w:color w:val="000000" w:themeColor="text1"/>
        </w:rPr>
        <w:t>CUARTO y QUINTO</w:t>
      </w:r>
      <w:r w:rsidRPr="0050324B">
        <w:rPr>
          <w:rFonts w:ascii="Palatino Linotype" w:hAnsi="Palatino Linotype"/>
          <w:color w:val="000000" w:themeColor="text1"/>
        </w:rPr>
        <w:t xml:space="preserve"> de la presente resolución.</w:t>
      </w:r>
    </w:p>
    <w:p w:rsidR="005A5361" w:rsidRPr="0050324B" w:rsidRDefault="005A5361" w:rsidP="0050324B">
      <w:pPr>
        <w:spacing w:line="360" w:lineRule="auto"/>
        <w:contextualSpacing/>
        <w:jc w:val="both"/>
        <w:rPr>
          <w:rFonts w:ascii="Palatino Linotype" w:eastAsia="Calibri" w:hAnsi="Palatino Linotype" w:cs="Arial"/>
          <w:b/>
          <w:bCs/>
          <w:color w:val="000000" w:themeColor="text1"/>
          <w:lang w:val="es-ES"/>
        </w:rPr>
      </w:pPr>
    </w:p>
    <w:p w:rsidR="005A5361" w:rsidRPr="0050324B" w:rsidRDefault="005A5361" w:rsidP="0050324B">
      <w:pPr>
        <w:pStyle w:val="Sinespaciado"/>
        <w:spacing w:line="360" w:lineRule="auto"/>
        <w:ind w:left="0" w:right="0"/>
        <w:rPr>
          <w:rFonts w:ascii="Palatino Linotype" w:eastAsia="Calibri" w:hAnsi="Palatino Linotype" w:cs="Arial"/>
          <w:bCs/>
          <w:color w:val="000000" w:themeColor="text1"/>
          <w:sz w:val="24"/>
          <w:lang w:val="es-ES"/>
        </w:rPr>
      </w:pPr>
      <w:r w:rsidRPr="0050324B">
        <w:rPr>
          <w:rFonts w:ascii="Palatino Linotype" w:eastAsia="Calibri" w:hAnsi="Palatino Linotype" w:cs="Arial"/>
          <w:b/>
          <w:bCs/>
          <w:color w:val="000000" w:themeColor="text1"/>
          <w:sz w:val="24"/>
          <w:lang w:val="es-ES"/>
        </w:rPr>
        <w:t xml:space="preserve">SEGUNDO. </w:t>
      </w:r>
      <w:r w:rsidRPr="0050324B">
        <w:rPr>
          <w:rFonts w:ascii="Palatino Linotype" w:eastAsia="Calibri" w:hAnsi="Palatino Linotype" w:cs="Arial"/>
          <w:bCs/>
          <w:color w:val="000000" w:themeColor="text1"/>
          <w:sz w:val="24"/>
          <w:lang w:val="es-ES"/>
        </w:rPr>
        <w:t xml:space="preserve">Se </w:t>
      </w:r>
      <w:r w:rsidRPr="0050324B">
        <w:rPr>
          <w:rFonts w:ascii="Palatino Linotype" w:eastAsia="Calibri" w:hAnsi="Palatino Linotype" w:cs="Arial"/>
          <w:b/>
          <w:bCs/>
          <w:color w:val="000000" w:themeColor="text1"/>
          <w:sz w:val="24"/>
          <w:lang w:val="es-ES"/>
        </w:rPr>
        <w:t>REVOCA</w:t>
      </w:r>
      <w:r w:rsidRPr="0050324B">
        <w:rPr>
          <w:rFonts w:ascii="Palatino Linotype" w:eastAsia="Calibri" w:hAnsi="Palatino Linotype" w:cs="Arial"/>
          <w:bCs/>
          <w:color w:val="000000" w:themeColor="text1"/>
          <w:sz w:val="24"/>
          <w:lang w:val="es-ES"/>
        </w:rPr>
        <w:t xml:space="preserve"> la respuesta y se </w:t>
      </w:r>
      <w:r w:rsidRPr="0050324B">
        <w:rPr>
          <w:rFonts w:ascii="Palatino Linotype" w:eastAsia="Calibri" w:hAnsi="Palatino Linotype" w:cs="Arial"/>
          <w:b/>
          <w:bCs/>
          <w:color w:val="000000" w:themeColor="text1"/>
          <w:sz w:val="24"/>
          <w:lang w:val="es-ES"/>
        </w:rPr>
        <w:t xml:space="preserve">ORDENA </w:t>
      </w:r>
      <w:r w:rsidRPr="0050324B">
        <w:rPr>
          <w:rFonts w:ascii="Palatino Linotype" w:eastAsia="Calibri" w:hAnsi="Palatino Linotype" w:cs="Arial"/>
          <w:bCs/>
          <w:color w:val="000000" w:themeColor="text1"/>
          <w:sz w:val="24"/>
          <w:lang w:val="es-ES"/>
        </w:rPr>
        <w:t xml:space="preserve">al </w:t>
      </w:r>
      <w:r w:rsidR="008D0AC2" w:rsidRPr="0050324B">
        <w:rPr>
          <w:rFonts w:ascii="Palatino Linotype" w:eastAsia="Calibri" w:hAnsi="Palatino Linotype" w:cs="Arial"/>
          <w:b/>
          <w:bCs/>
          <w:color w:val="000000" w:themeColor="text1"/>
          <w:sz w:val="24"/>
          <w:lang w:val="es-ES"/>
        </w:rPr>
        <w:t>Ayuntamiento de Zinacantepec</w:t>
      </w:r>
      <w:r w:rsidRPr="0050324B">
        <w:rPr>
          <w:rFonts w:ascii="Palatino Linotype" w:eastAsia="Calibri" w:hAnsi="Palatino Linotype" w:cs="Arial"/>
          <w:b/>
          <w:bCs/>
          <w:color w:val="000000" w:themeColor="text1"/>
          <w:sz w:val="24"/>
          <w:lang w:val="es-ES"/>
        </w:rPr>
        <w:t>,</w:t>
      </w:r>
      <w:r w:rsidRPr="0050324B">
        <w:rPr>
          <w:rFonts w:ascii="Palatino Linotype" w:eastAsia="Calibri" w:hAnsi="Palatino Linotype" w:cs="Arial"/>
          <w:b/>
          <w:color w:val="000000" w:themeColor="text1"/>
          <w:sz w:val="24"/>
        </w:rPr>
        <w:t xml:space="preserve"> </w:t>
      </w:r>
      <w:r w:rsidRPr="0050324B">
        <w:rPr>
          <w:rFonts w:ascii="Palatino Linotype" w:eastAsia="Calibri" w:hAnsi="Palatino Linotype" w:cs="Arial"/>
          <w:bCs/>
          <w:color w:val="000000" w:themeColor="text1"/>
          <w:sz w:val="24"/>
          <w:lang w:val="es-ES"/>
        </w:rPr>
        <w:t>entregar vía Sistema de Acceso a la Información Mexiquense (SAIMEX), de ser el caso en versión pública</w:t>
      </w:r>
      <w:r w:rsidRPr="0050324B">
        <w:rPr>
          <w:rFonts w:ascii="Palatino Linotype" w:eastAsia="MS Mincho" w:hAnsi="Palatino Linotype" w:cs="Arial"/>
          <w:b/>
          <w:color w:val="000000" w:themeColor="text1"/>
          <w:sz w:val="24"/>
        </w:rPr>
        <w:t>,</w:t>
      </w:r>
      <w:r w:rsidRPr="0050324B">
        <w:rPr>
          <w:rFonts w:ascii="Palatino Linotype" w:eastAsia="Calibri" w:hAnsi="Palatino Linotype" w:cs="Arial"/>
          <w:bCs/>
          <w:color w:val="000000" w:themeColor="text1"/>
          <w:sz w:val="24"/>
          <w:lang w:val="es-ES"/>
        </w:rPr>
        <w:t xml:space="preserve"> la siguiente información:</w:t>
      </w:r>
    </w:p>
    <w:p w:rsidR="008D0AC2" w:rsidRPr="0050324B" w:rsidRDefault="008D0AC2" w:rsidP="0050324B">
      <w:pPr>
        <w:pStyle w:val="Sinespaciado"/>
        <w:spacing w:line="360" w:lineRule="auto"/>
        <w:ind w:left="0" w:right="0"/>
        <w:rPr>
          <w:rFonts w:ascii="Palatino Linotype" w:eastAsia="Calibri" w:hAnsi="Palatino Linotype" w:cs="Arial"/>
          <w:bCs/>
          <w:color w:val="000000" w:themeColor="text1"/>
          <w:sz w:val="24"/>
          <w:lang w:val="es-ES"/>
        </w:rPr>
      </w:pPr>
    </w:p>
    <w:p w:rsidR="008D0AC2" w:rsidRDefault="008D0AC2" w:rsidP="0050324B">
      <w:pPr>
        <w:pStyle w:val="Prrafodelista"/>
        <w:numPr>
          <w:ilvl w:val="1"/>
          <w:numId w:val="8"/>
        </w:numPr>
        <w:spacing w:line="360" w:lineRule="auto"/>
        <w:ind w:left="0" w:firstLine="0"/>
        <w:jc w:val="both"/>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Soporte documental donde conste el cumplimiento a las normativas urbanísticas y de construcción en el municipio de Zinacantepec, a la fecha de la solicitud; y</w:t>
      </w:r>
    </w:p>
    <w:p w:rsidR="0050324B" w:rsidRPr="0050324B" w:rsidRDefault="0050324B" w:rsidP="0050324B">
      <w:pPr>
        <w:pStyle w:val="Prrafodelista"/>
        <w:spacing w:line="360" w:lineRule="auto"/>
        <w:ind w:left="0"/>
        <w:jc w:val="both"/>
        <w:rPr>
          <w:rFonts w:ascii="Palatino Linotype" w:eastAsia="Palatino Linotype" w:hAnsi="Palatino Linotype" w:cs="Palatino Linotype"/>
          <w:b/>
          <w:color w:val="000000" w:themeColor="text1"/>
        </w:rPr>
      </w:pPr>
    </w:p>
    <w:p w:rsidR="008D0AC2" w:rsidRPr="0050324B" w:rsidRDefault="008D0AC2" w:rsidP="0050324B">
      <w:pPr>
        <w:pStyle w:val="Prrafodelista"/>
        <w:numPr>
          <w:ilvl w:val="1"/>
          <w:numId w:val="8"/>
        </w:numPr>
        <w:spacing w:line="360" w:lineRule="auto"/>
        <w:ind w:left="0" w:firstLine="0"/>
        <w:jc w:val="both"/>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 xml:space="preserve">Soporte documental donde conste el listado de infracciones y sanciones impuestas derivado del incumplimiento a las normas urbanísticas y de construcción en el municipio </w:t>
      </w:r>
      <w:r w:rsidRPr="0050324B">
        <w:rPr>
          <w:rFonts w:ascii="Palatino Linotype" w:eastAsia="Palatino Linotype" w:hAnsi="Palatino Linotype" w:cs="Palatino Linotype"/>
          <w:b/>
          <w:color w:val="000000" w:themeColor="text1"/>
        </w:rPr>
        <w:lastRenderedPageBreak/>
        <w:t>de Zinacantepec, del tres de abril de dos mil veintitrés al tres de abril de abril de dos mil veinticinco.</w:t>
      </w:r>
    </w:p>
    <w:p w:rsidR="008D0AC2" w:rsidRPr="0050324B" w:rsidRDefault="008D0AC2" w:rsidP="0050324B">
      <w:pPr>
        <w:pStyle w:val="Prrafodelista"/>
        <w:spacing w:line="360" w:lineRule="auto"/>
        <w:ind w:left="0"/>
        <w:jc w:val="both"/>
        <w:rPr>
          <w:rFonts w:ascii="Palatino Linotype" w:eastAsia="Palatino Linotype" w:hAnsi="Palatino Linotype" w:cs="Palatino Linotype"/>
          <w:b/>
          <w:color w:val="000000" w:themeColor="text1"/>
        </w:rPr>
      </w:pPr>
    </w:p>
    <w:p w:rsidR="005A5361" w:rsidRPr="0050324B" w:rsidRDefault="005A5361" w:rsidP="0050324B">
      <w:pPr>
        <w:spacing w:after="160" w:line="360" w:lineRule="auto"/>
        <w:jc w:val="both"/>
        <w:rPr>
          <w:rFonts w:ascii="Palatino Linotype" w:eastAsia="Calibri" w:hAnsi="Palatino Linotype" w:cs="Arial"/>
          <w:color w:val="000000" w:themeColor="text1"/>
        </w:rPr>
      </w:pPr>
      <w:r w:rsidRPr="0050324B">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8D0AC2" w:rsidRPr="0050324B" w:rsidRDefault="008D0AC2" w:rsidP="0050324B">
      <w:pPr>
        <w:tabs>
          <w:tab w:val="left" w:pos="0"/>
        </w:tabs>
        <w:spacing w:line="360" w:lineRule="auto"/>
        <w:jc w:val="both"/>
        <w:rPr>
          <w:rFonts w:ascii="Palatino Linotype" w:hAnsi="Palatino Linotype"/>
          <w:color w:val="000000" w:themeColor="text1"/>
        </w:rPr>
      </w:pPr>
      <w:r w:rsidRPr="0050324B">
        <w:rPr>
          <w:rFonts w:ascii="Palatino Linotype" w:hAnsi="Palatino Linotype"/>
          <w:color w:val="000000" w:themeColor="text1"/>
        </w:rPr>
        <w:t>Para el caso de la información que se ordena entregar, no obre en los archivos del Sujeto Obligado por no haberse generado, bastará que así se lo haga saber a la parte Recurrente de manera fundada y motivada en términos de lo señalado por el segundo párrafo del artículo 19 de la Ley en la materia.</w:t>
      </w:r>
    </w:p>
    <w:p w:rsidR="008D0AC2" w:rsidRPr="0050324B" w:rsidRDefault="008D0AC2" w:rsidP="0050324B">
      <w:pPr>
        <w:tabs>
          <w:tab w:val="left" w:pos="0"/>
        </w:tabs>
        <w:spacing w:line="360" w:lineRule="auto"/>
        <w:jc w:val="both"/>
        <w:rPr>
          <w:rFonts w:ascii="Palatino Linotype" w:hAnsi="Palatino Linotype"/>
          <w:color w:val="000000" w:themeColor="text1"/>
        </w:rPr>
      </w:pPr>
    </w:p>
    <w:p w:rsidR="005A5361" w:rsidRPr="0050324B" w:rsidRDefault="005A5361" w:rsidP="0050324B">
      <w:pPr>
        <w:tabs>
          <w:tab w:val="left" w:pos="284"/>
          <w:tab w:val="left" w:pos="8080"/>
        </w:tabs>
        <w:spacing w:line="360" w:lineRule="auto"/>
        <w:contextualSpacing/>
        <w:jc w:val="both"/>
        <w:rPr>
          <w:rFonts w:ascii="Palatino Linotype" w:hAnsi="Palatino Linotype" w:cs="Arial"/>
          <w:color w:val="000000" w:themeColor="text1"/>
          <w:shd w:val="clear" w:color="auto" w:fill="FFFFFF"/>
        </w:rPr>
      </w:pPr>
      <w:r w:rsidRPr="0050324B">
        <w:rPr>
          <w:rFonts w:ascii="Palatino Linotype" w:eastAsia="Palatino Linotype" w:hAnsi="Palatino Linotype" w:cs="Palatino Linotype"/>
          <w:b/>
          <w:color w:val="000000" w:themeColor="text1"/>
          <w:lang w:val="es-ES_tradnl"/>
        </w:rPr>
        <w:t xml:space="preserve">TERCERO. </w:t>
      </w:r>
      <w:r w:rsidRPr="0050324B">
        <w:rPr>
          <w:rFonts w:ascii="Palatino Linotype" w:hAnsi="Palatino Linotype" w:cs="Arial"/>
          <w:b/>
          <w:color w:val="000000" w:themeColor="text1"/>
          <w:shd w:val="clear" w:color="auto" w:fill="FFFFFF"/>
        </w:rPr>
        <w:t>NOTIFÍQUESE</w:t>
      </w:r>
      <w:r w:rsidRPr="0050324B">
        <w:rPr>
          <w:rFonts w:ascii="Palatino Linotype" w:hAnsi="Palatino Linotype" w:cs="Arial"/>
          <w:color w:val="000000" w:themeColor="text1"/>
          <w:shd w:val="clear" w:color="auto" w:fill="FFFFFF"/>
        </w:rPr>
        <w:t xml:space="preserve"> la presente resolución al Titular de la Unidad de Transparencia del Sujeto Obligado </w:t>
      </w:r>
      <w:r w:rsidRPr="0050324B">
        <w:rPr>
          <w:rFonts w:ascii="Palatino Linotype" w:hAnsi="Palatino Linotype" w:cs="Arial"/>
          <w:b/>
          <w:color w:val="000000" w:themeColor="text1"/>
          <w:shd w:val="clear" w:color="auto" w:fill="FFFFFF"/>
        </w:rPr>
        <w:t>vía SAIMEX</w:t>
      </w:r>
      <w:r w:rsidRPr="0050324B">
        <w:rPr>
          <w:rFonts w:ascii="Palatino Linotype" w:hAnsi="Palatino Linotype" w:cs="Arial"/>
          <w:color w:val="000000" w:themeColor="text1"/>
          <w:shd w:val="clear" w:color="auto" w:fill="FFFFFF"/>
        </w:rPr>
        <w:t xml:space="preserve">, para que conforme al artículo 186 último párrafo, 189 segundo párrafo y 194 de la Ley de Transparencia y Acceso a la Información Pública del Estado de México y Municipios; </w:t>
      </w:r>
      <w:r w:rsidRPr="0050324B">
        <w:rPr>
          <w:rFonts w:ascii="Palatino Linotype" w:hAnsi="Palatino Linotype" w:cs="Arial"/>
          <w:b/>
          <w:color w:val="000000" w:themeColor="text1"/>
          <w:shd w:val="clear" w:color="auto" w:fill="FFFFFF"/>
        </w:rPr>
        <w:t>dé cumplimiento a lo ordenado dentro del plazo de diez días hábiles,</w:t>
      </w:r>
      <w:r w:rsidRPr="0050324B">
        <w:rPr>
          <w:rFonts w:ascii="Palatino Linotype" w:hAnsi="Palatino Linotype" w:cs="Arial"/>
          <w:color w:val="000000" w:themeColor="text1"/>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A5361" w:rsidRPr="0050324B" w:rsidRDefault="005A5361" w:rsidP="0050324B">
      <w:pPr>
        <w:tabs>
          <w:tab w:val="left" w:pos="284"/>
          <w:tab w:val="left" w:pos="8080"/>
        </w:tabs>
        <w:spacing w:line="360" w:lineRule="auto"/>
        <w:contextualSpacing/>
        <w:jc w:val="both"/>
        <w:rPr>
          <w:rFonts w:ascii="Palatino Linotype" w:eastAsiaTheme="minorEastAsia" w:hAnsi="Palatino Linotype"/>
          <w:color w:val="000000" w:themeColor="text1"/>
          <w:shd w:val="clear" w:color="auto" w:fill="FFFFFF"/>
          <w:lang w:val="es-ES_tradnl"/>
        </w:rPr>
      </w:pPr>
    </w:p>
    <w:p w:rsidR="005A5361" w:rsidRPr="0050324B" w:rsidRDefault="005A5361" w:rsidP="0050324B">
      <w:pPr>
        <w:tabs>
          <w:tab w:val="left" w:pos="284"/>
        </w:tabs>
        <w:spacing w:line="360" w:lineRule="auto"/>
        <w:jc w:val="both"/>
        <w:rPr>
          <w:rFonts w:ascii="Palatino Linotype" w:eastAsia="MS Mincho" w:hAnsi="Palatino Linotype"/>
          <w:color w:val="000000" w:themeColor="text1"/>
          <w:lang w:val="es-ES_tradnl"/>
        </w:rPr>
      </w:pPr>
      <w:r w:rsidRPr="0050324B">
        <w:rPr>
          <w:rFonts w:ascii="Palatino Linotype" w:hAnsi="Palatino Linotype" w:cs="Arial"/>
          <w:b/>
          <w:color w:val="000000" w:themeColor="text1"/>
          <w:lang w:val="es-ES_tradnl"/>
        </w:rPr>
        <w:lastRenderedPageBreak/>
        <w:t xml:space="preserve">CUARTO. </w:t>
      </w:r>
      <w:r w:rsidRPr="0050324B">
        <w:rPr>
          <w:rFonts w:ascii="Palatino Linotype" w:hAnsi="Palatino Linotype"/>
          <w:b/>
          <w:bCs/>
          <w:color w:val="000000" w:themeColor="text1"/>
          <w:lang w:val="es-ES"/>
        </w:rPr>
        <w:t xml:space="preserve">Notifíquese </w:t>
      </w:r>
      <w:r w:rsidRPr="0050324B">
        <w:rPr>
          <w:rFonts w:ascii="Palatino Linotype" w:hAnsi="Palatino Linotype"/>
          <w:bCs/>
          <w:color w:val="000000" w:themeColor="text1"/>
          <w:lang w:val="es-ES"/>
        </w:rPr>
        <w:t xml:space="preserve">al </w:t>
      </w:r>
      <w:r w:rsidRPr="0050324B">
        <w:rPr>
          <w:rFonts w:ascii="Palatino Linotype" w:hAnsi="Palatino Linotype"/>
          <w:b/>
          <w:bCs/>
          <w:color w:val="000000" w:themeColor="text1"/>
          <w:lang w:val="es-ES"/>
        </w:rPr>
        <w:t>RECURRENTE</w:t>
      </w:r>
      <w:r w:rsidRPr="0050324B">
        <w:rPr>
          <w:rFonts w:ascii="Palatino Linotype" w:hAnsi="Palatino Linotype"/>
          <w:b/>
          <w:color w:val="000000" w:themeColor="text1"/>
          <w:lang w:val="es-ES"/>
        </w:rPr>
        <w:t xml:space="preserve"> </w:t>
      </w:r>
      <w:r w:rsidRPr="0050324B">
        <w:rPr>
          <w:rFonts w:ascii="Palatino Linotype" w:eastAsiaTheme="minorEastAsia" w:hAnsi="Palatino Linotype"/>
          <w:color w:val="000000" w:themeColor="text1"/>
          <w:lang w:val="es-ES_tradnl"/>
        </w:rPr>
        <w:t>la presente resolución</w:t>
      </w:r>
      <w:r w:rsidRPr="0050324B">
        <w:rPr>
          <w:rFonts w:ascii="Palatino Linotype" w:eastAsia="MS Mincho" w:hAnsi="Palatino Linotype"/>
          <w:color w:val="000000" w:themeColor="text1"/>
          <w:lang w:val="es-ES_tradnl"/>
        </w:rPr>
        <w:t xml:space="preserve"> a través del Sistema de Acceso a la Información Mexiquense (SAIMEX).</w:t>
      </w:r>
    </w:p>
    <w:p w:rsidR="005A5361" w:rsidRPr="0050324B" w:rsidRDefault="005A5361" w:rsidP="0050324B">
      <w:pPr>
        <w:tabs>
          <w:tab w:val="left" w:pos="284"/>
        </w:tabs>
        <w:spacing w:line="360" w:lineRule="auto"/>
        <w:jc w:val="both"/>
        <w:rPr>
          <w:rFonts w:ascii="Palatino Linotype" w:eastAsia="MS Mincho" w:hAnsi="Palatino Linotype"/>
          <w:color w:val="000000" w:themeColor="text1"/>
          <w:lang w:val="es-ES_tradnl"/>
        </w:rPr>
      </w:pPr>
    </w:p>
    <w:p w:rsidR="005A5361" w:rsidRPr="0050324B" w:rsidRDefault="005A5361" w:rsidP="0050324B">
      <w:pPr>
        <w:spacing w:line="360" w:lineRule="auto"/>
        <w:jc w:val="both"/>
        <w:rPr>
          <w:rFonts w:ascii="Palatino Linotype" w:eastAsia="Calibri" w:hAnsi="Palatino Linotype" w:cs="Arial"/>
          <w:bCs/>
          <w:color w:val="000000" w:themeColor="text1"/>
        </w:rPr>
      </w:pPr>
      <w:r w:rsidRPr="0050324B">
        <w:rPr>
          <w:rFonts w:ascii="Palatino Linotype" w:hAnsi="Palatino Linotype" w:cs="Arial"/>
          <w:b/>
          <w:color w:val="000000" w:themeColor="text1"/>
        </w:rPr>
        <w:t xml:space="preserve">QUINTO. </w:t>
      </w:r>
      <w:r w:rsidRPr="0050324B">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A5361" w:rsidRDefault="005A5361" w:rsidP="0050324B">
      <w:pPr>
        <w:spacing w:before="240" w:after="360" w:line="360" w:lineRule="auto"/>
        <w:jc w:val="both"/>
        <w:rPr>
          <w:rFonts w:ascii="Palatino Linotype" w:eastAsia="MS Mincho" w:hAnsi="Palatino Linotype"/>
          <w:color w:val="000000" w:themeColor="text1"/>
          <w:lang w:val="es-ES"/>
        </w:rPr>
      </w:pPr>
      <w:r w:rsidRPr="0050324B">
        <w:rPr>
          <w:rFonts w:ascii="Palatino Linotype" w:hAnsi="Palatino Linotype"/>
          <w:b/>
          <w:color w:val="000000" w:themeColor="text1"/>
        </w:rPr>
        <w:t>SEXTO.</w:t>
      </w:r>
      <w:r w:rsidRPr="0050324B">
        <w:rPr>
          <w:rFonts w:ascii="Palatino Linotype" w:hAnsi="Palatino Linotype"/>
          <w:color w:val="000000" w:themeColor="text1"/>
          <w:lang w:val="es-ES"/>
        </w:rPr>
        <w:t xml:space="preserve"> </w:t>
      </w:r>
      <w:r w:rsidRPr="0050324B">
        <w:rPr>
          <w:rFonts w:ascii="Palatino Linotype" w:eastAsia="MS Mincho" w:hAnsi="Palatino Linotype"/>
          <w:color w:val="000000" w:themeColor="text1"/>
          <w:lang w:val="es-ES"/>
        </w:rPr>
        <w:t xml:space="preserve">Se hace del conocimiento del </w:t>
      </w:r>
      <w:r w:rsidRPr="0050324B">
        <w:rPr>
          <w:rFonts w:ascii="Palatino Linotype" w:eastAsia="MS Mincho" w:hAnsi="Palatino Linotype"/>
          <w:b/>
          <w:color w:val="000000" w:themeColor="text1"/>
          <w:lang w:val="es-ES"/>
        </w:rPr>
        <w:t>Recurrente</w:t>
      </w:r>
      <w:r w:rsidRPr="0050324B">
        <w:rPr>
          <w:rFonts w:ascii="Palatino Linotype" w:eastAsia="MS Mincho" w:hAnsi="Palatino Linotype"/>
          <w:b/>
          <w:color w:val="000000" w:themeColor="text1"/>
          <w:lang w:val="es-ES_tradnl"/>
        </w:rPr>
        <w:t xml:space="preserve"> </w:t>
      </w:r>
      <w:r w:rsidRPr="0050324B">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0324B">
        <w:rPr>
          <w:rFonts w:ascii="Palatino Linotype" w:eastAsia="MS Mincho" w:hAnsi="Palatino Linotype"/>
          <w:bCs/>
          <w:color w:val="000000" w:themeColor="text1"/>
          <w:lang w:val="es-ES"/>
        </w:rPr>
        <w:t>vía juicio de amparo</w:t>
      </w:r>
      <w:r w:rsidRPr="0050324B">
        <w:rPr>
          <w:rFonts w:ascii="Palatino Linotype" w:eastAsia="MS Mincho" w:hAnsi="Palatino Linotype"/>
          <w:color w:val="000000" w:themeColor="text1"/>
          <w:lang w:val="es-ES"/>
        </w:rPr>
        <w:t> en los términos de las leyes aplicables.</w:t>
      </w:r>
    </w:p>
    <w:p w:rsidR="00EC50AA" w:rsidRPr="0050324B" w:rsidRDefault="0050324B" w:rsidP="0050324B">
      <w:pPr>
        <w:tabs>
          <w:tab w:val="left" w:pos="284"/>
        </w:tabs>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EC50AA" w:rsidRPr="0050324B" w:rsidRDefault="00EC50AA" w:rsidP="0050324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pBdr>
          <w:top w:val="nil"/>
          <w:left w:val="nil"/>
          <w:bottom w:val="nil"/>
          <w:right w:val="nil"/>
          <w:between w:val="nil"/>
        </w:pBdr>
        <w:rPr>
          <w:rFonts w:ascii="Palatino Linotype" w:eastAsia="Palatino Linotype" w:hAnsi="Palatino Linotype" w:cs="Palatino Linotype"/>
          <w:color w:val="000000" w:themeColor="text1"/>
        </w:rPr>
      </w:pPr>
    </w:p>
    <w:p w:rsidR="00EC50AA" w:rsidRPr="0050324B" w:rsidRDefault="00EC50AA" w:rsidP="005032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50AA" w:rsidRPr="0050324B" w:rsidRDefault="00EC50AA" w:rsidP="0050324B">
      <w:pPr>
        <w:rPr>
          <w:rFonts w:ascii="Palatino Linotype" w:hAnsi="Palatino Linotype"/>
          <w:color w:val="000000" w:themeColor="text1"/>
        </w:rPr>
      </w:pPr>
    </w:p>
    <w:p w:rsidR="00EC50AA" w:rsidRPr="0050324B" w:rsidRDefault="00EC50AA" w:rsidP="0050324B">
      <w:pPr>
        <w:rPr>
          <w:rFonts w:ascii="Palatino Linotype" w:hAnsi="Palatino Linotype"/>
          <w:color w:val="000000" w:themeColor="text1"/>
        </w:rPr>
      </w:pPr>
    </w:p>
    <w:p w:rsidR="00EC50AA" w:rsidRPr="0050324B" w:rsidRDefault="00EC50AA" w:rsidP="0050324B">
      <w:pPr>
        <w:rPr>
          <w:rFonts w:ascii="Palatino Linotype" w:hAnsi="Palatino Linotype"/>
          <w:color w:val="000000" w:themeColor="text1"/>
        </w:rPr>
      </w:pPr>
    </w:p>
    <w:p w:rsidR="00EC50AA" w:rsidRPr="0050324B" w:rsidRDefault="00EC50AA" w:rsidP="0050324B">
      <w:pPr>
        <w:rPr>
          <w:rFonts w:ascii="Palatino Linotype" w:hAnsi="Palatino Linotype"/>
          <w:color w:val="000000" w:themeColor="text1"/>
        </w:rPr>
      </w:pPr>
    </w:p>
    <w:p w:rsidR="00EC50AA" w:rsidRPr="0050324B" w:rsidRDefault="00EC50AA" w:rsidP="0050324B">
      <w:pPr>
        <w:rPr>
          <w:rFonts w:ascii="Palatino Linotype" w:hAnsi="Palatino Linotype"/>
          <w:color w:val="000000" w:themeColor="text1"/>
        </w:rPr>
      </w:pPr>
    </w:p>
    <w:p w:rsidR="00FD6B2E" w:rsidRPr="0050324B" w:rsidRDefault="00FD6B2E" w:rsidP="0050324B">
      <w:pPr>
        <w:rPr>
          <w:rFonts w:ascii="Palatino Linotype" w:hAnsi="Palatino Linotype"/>
          <w:color w:val="000000" w:themeColor="text1"/>
        </w:rPr>
      </w:pPr>
    </w:p>
    <w:sectPr w:rsidR="00FD6B2E" w:rsidRPr="0050324B" w:rsidSect="00D5097C">
      <w:headerReference w:type="even" r:id="rId12"/>
      <w:headerReference w:type="default" r:id="rId13"/>
      <w:footerReference w:type="default" r:id="rId14"/>
      <w:headerReference w:type="first" r:id="rId15"/>
      <w:footerReference w:type="first" r:id="rId16"/>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072" w:rsidRDefault="003A7072" w:rsidP="00EC50AA">
      <w:r>
        <w:separator/>
      </w:r>
    </w:p>
  </w:endnote>
  <w:endnote w:type="continuationSeparator" w:id="0">
    <w:p w:rsidR="003A7072" w:rsidRDefault="003A7072" w:rsidP="00EC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5A" w:rsidRDefault="006D6D4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A7BBF">
      <w:rPr>
        <w:b/>
        <w:noProof/>
        <w:color w:val="000000"/>
      </w:rPr>
      <w:t>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A7BBF">
      <w:rPr>
        <w:b/>
        <w:noProof/>
        <w:color w:val="000000"/>
      </w:rPr>
      <w:t>25</w:t>
    </w:r>
    <w:r>
      <w:rPr>
        <w:b/>
        <w:color w:val="000000"/>
      </w:rPr>
      <w:fldChar w:fldCharType="end"/>
    </w:r>
  </w:p>
  <w:p w:rsidR="0004645A" w:rsidRDefault="003A707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5A" w:rsidRDefault="006D6D4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A7BB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A7BBF">
      <w:rPr>
        <w:b/>
        <w:noProof/>
        <w:color w:val="000000"/>
      </w:rPr>
      <w:t>25</w:t>
    </w:r>
    <w:r>
      <w:rPr>
        <w:b/>
        <w:color w:val="000000"/>
      </w:rPr>
      <w:fldChar w:fldCharType="end"/>
    </w:r>
  </w:p>
  <w:p w:rsidR="0004645A" w:rsidRDefault="003A707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072" w:rsidRDefault="003A7072" w:rsidP="00EC50AA">
      <w:r>
        <w:separator/>
      </w:r>
    </w:p>
  </w:footnote>
  <w:footnote w:type="continuationSeparator" w:id="0">
    <w:p w:rsidR="003A7072" w:rsidRDefault="003A7072" w:rsidP="00EC50AA">
      <w:r>
        <w:continuationSeparator/>
      </w:r>
    </w:p>
  </w:footnote>
  <w:footnote w:id="1">
    <w:p w:rsidR="00EC50AA" w:rsidRDefault="00EC50AA" w:rsidP="00EC50AA">
      <w:pPr>
        <w:pStyle w:val="Textonotapie"/>
      </w:pPr>
      <w:r>
        <w:rPr>
          <w:rStyle w:val="Refdenotaalpie"/>
        </w:rPr>
        <w:footnoteRef/>
      </w:r>
      <w:r>
        <w:t xml:space="preserve"> Artículo 150. Ley de Transparencia y Acceso a la Información Pública del Estado de México y Municipios.</w:t>
      </w:r>
    </w:p>
    <w:p w:rsidR="00EC50AA" w:rsidRDefault="00EC50AA" w:rsidP="00EC50AA">
      <w:pPr>
        <w:pStyle w:val="Textonotapie"/>
      </w:pPr>
      <w:r>
        <w:t>Artículo 151. Ibídem.</w:t>
      </w:r>
    </w:p>
  </w:footnote>
  <w:footnote w:id="2">
    <w:p w:rsidR="00EC50AA" w:rsidRDefault="00EC50AA" w:rsidP="00EC50AA">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5A" w:rsidRDefault="003A707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2268"/>
      <w:gridCol w:w="7938"/>
    </w:tblGrid>
    <w:tr w:rsidR="0004645A" w:rsidTr="0050324B">
      <w:trPr>
        <w:trHeight w:val="1435"/>
      </w:trPr>
      <w:tc>
        <w:tcPr>
          <w:tcW w:w="2268" w:type="dxa"/>
          <w:shd w:val="clear" w:color="auto" w:fill="auto"/>
        </w:tcPr>
        <w:p w:rsidR="0004645A" w:rsidRDefault="003A7072">
          <w:pPr>
            <w:tabs>
              <w:tab w:val="right" w:pos="4273"/>
            </w:tabs>
            <w:rPr>
              <w:rFonts w:ascii="Garamond" w:eastAsia="Garamond" w:hAnsi="Garamond" w:cs="Garamond"/>
              <w:sz w:val="16"/>
              <w:szCs w:val="16"/>
            </w:rPr>
          </w:pPr>
        </w:p>
      </w:tc>
      <w:tc>
        <w:tcPr>
          <w:tcW w:w="7938" w:type="dxa"/>
          <w:shd w:val="clear" w:color="auto" w:fill="auto"/>
        </w:tcPr>
        <w:tbl>
          <w:tblPr>
            <w:tblW w:w="6662" w:type="dxa"/>
            <w:tblInd w:w="1452" w:type="dxa"/>
            <w:tblLayout w:type="fixed"/>
            <w:tblLook w:val="0400" w:firstRow="0" w:lastRow="0" w:firstColumn="0" w:lastColumn="0" w:noHBand="0" w:noVBand="1"/>
          </w:tblPr>
          <w:tblGrid>
            <w:gridCol w:w="2687"/>
            <w:gridCol w:w="3975"/>
          </w:tblGrid>
          <w:tr w:rsidR="0050324B" w:rsidRPr="0050324B" w:rsidTr="00D5097C">
            <w:trPr>
              <w:trHeight w:val="150"/>
            </w:trPr>
            <w:tc>
              <w:tcPr>
                <w:tcW w:w="2687" w:type="dxa"/>
                <w:shd w:val="clear" w:color="auto" w:fill="auto"/>
              </w:tcPr>
              <w:p w:rsidR="0004645A" w:rsidRPr="0050324B" w:rsidRDefault="006D6D42" w:rsidP="0050324B">
                <w:pPr>
                  <w:tabs>
                    <w:tab w:val="right" w:pos="8838"/>
                  </w:tabs>
                  <w:ind w:right="-105"/>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Recurso de Revisión:</w:t>
                </w:r>
              </w:p>
            </w:tc>
            <w:tc>
              <w:tcPr>
                <w:tcW w:w="3975" w:type="dxa"/>
                <w:shd w:val="clear" w:color="auto" w:fill="auto"/>
              </w:tcPr>
              <w:p w:rsidR="0004645A" w:rsidRPr="0050324B" w:rsidRDefault="00EC50AA" w:rsidP="0050324B">
                <w:pPr>
                  <w:tabs>
                    <w:tab w:val="right" w:pos="8838"/>
                  </w:tabs>
                  <w:ind w:left="-108"/>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05078</w:t>
                </w:r>
                <w:r w:rsidR="006D6D42" w:rsidRPr="0050324B">
                  <w:rPr>
                    <w:rFonts w:ascii="Palatino Linotype" w:eastAsia="Palatino Linotype" w:hAnsi="Palatino Linotype" w:cs="Palatino Linotype"/>
                    <w:color w:val="000000" w:themeColor="text1"/>
                  </w:rPr>
                  <w:t>/INFOEM/IP/RR/2025</w:t>
                </w:r>
                <w:r w:rsidR="006D6D42" w:rsidRPr="0050324B">
                  <w:rPr>
                    <w:rFonts w:ascii="Palatino Linotype" w:eastAsia="Palatino Linotype" w:hAnsi="Palatino Linotype" w:cs="Palatino Linotype"/>
                    <w:b/>
                    <w:color w:val="000000" w:themeColor="text1"/>
                  </w:rPr>
                  <w:t xml:space="preserve"> </w:t>
                </w:r>
              </w:p>
            </w:tc>
          </w:tr>
          <w:tr w:rsidR="0050324B" w:rsidRPr="0050324B" w:rsidTr="00D5097C">
            <w:trPr>
              <w:trHeight w:val="295"/>
            </w:trPr>
            <w:tc>
              <w:tcPr>
                <w:tcW w:w="2687" w:type="dxa"/>
                <w:shd w:val="clear" w:color="auto" w:fill="auto"/>
              </w:tcPr>
              <w:p w:rsidR="0004645A" w:rsidRPr="0050324B" w:rsidRDefault="006D6D42" w:rsidP="0050324B">
                <w:pPr>
                  <w:tabs>
                    <w:tab w:val="right" w:pos="8838"/>
                  </w:tabs>
                  <w:ind w:right="-105"/>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Sujeto Obligado:</w:t>
                </w:r>
              </w:p>
            </w:tc>
            <w:tc>
              <w:tcPr>
                <w:tcW w:w="3975" w:type="dxa"/>
                <w:shd w:val="clear" w:color="auto" w:fill="auto"/>
              </w:tcPr>
              <w:p w:rsidR="0004645A" w:rsidRPr="0050324B" w:rsidRDefault="006D6D42" w:rsidP="0050324B">
                <w:pPr>
                  <w:tabs>
                    <w:tab w:val="left" w:pos="2834"/>
                    <w:tab w:val="right" w:pos="8838"/>
                  </w:tabs>
                  <w:ind w:left="-108"/>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Ayuntamiento de Zinacantepec</w:t>
                </w:r>
              </w:p>
            </w:tc>
          </w:tr>
          <w:tr w:rsidR="0050324B" w:rsidRPr="0050324B" w:rsidTr="00D5097C">
            <w:trPr>
              <w:trHeight w:val="295"/>
            </w:trPr>
            <w:tc>
              <w:tcPr>
                <w:tcW w:w="2687" w:type="dxa"/>
                <w:shd w:val="clear" w:color="auto" w:fill="auto"/>
              </w:tcPr>
              <w:p w:rsidR="0004645A" w:rsidRPr="0050324B" w:rsidRDefault="006D6D42" w:rsidP="0050324B">
                <w:pPr>
                  <w:tabs>
                    <w:tab w:val="right" w:pos="8838"/>
                  </w:tabs>
                  <w:ind w:right="-105"/>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Comisionado ponente:</w:t>
                </w:r>
              </w:p>
            </w:tc>
            <w:tc>
              <w:tcPr>
                <w:tcW w:w="3975" w:type="dxa"/>
                <w:shd w:val="clear" w:color="auto" w:fill="auto"/>
              </w:tcPr>
              <w:p w:rsidR="0004645A" w:rsidRPr="0050324B" w:rsidRDefault="006D6D42" w:rsidP="0050324B">
                <w:pPr>
                  <w:tabs>
                    <w:tab w:val="right" w:pos="8838"/>
                  </w:tabs>
                  <w:ind w:left="-108"/>
                  <w:jc w:val="both"/>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María del Rosario Mejía Ayala</w:t>
                </w:r>
              </w:p>
              <w:p w:rsidR="0004645A" w:rsidRPr="0050324B" w:rsidRDefault="003A7072" w:rsidP="0050324B">
                <w:pPr>
                  <w:tabs>
                    <w:tab w:val="right" w:pos="8838"/>
                  </w:tabs>
                  <w:ind w:left="-108"/>
                  <w:jc w:val="both"/>
                  <w:rPr>
                    <w:rFonts w:ascii="Palatino Linotype" w:eastAsia="Palatino Linotype" w:hAnsi="Palatino Linotype" w:cs="Palatino Linotype"/>
                    <w:b/>
                    <w:color w:val="000000" w:themeColor="text1"/>
                  </w:rPr>
                </w:pPr>
              </w:p>
            </w:tc>
          </w:tr>
        </w:tbl>
        <w:p w:rsidR="0004645A" w:rsidRDefault="003A7072">
          <w:pPr>
            <w:tabs>
              <w:tab w:val="right" w:pos="8838"/>
            </w:tabs>
            <w:ind w:left="-28"/>
            <w:jc w:val="both"/>
            <w:rPr>
              <w:rFonts w:ascii="Arial" w:eastAsia="Arial" w:hAnsi="Arial" w:cs="Arial"/>
              <w:b/>
              <w:sz w:val="22"/>
              <w:szCs w:val="22"/>
            </w:rPr>
          </w:pPr>
        </w:p>
      </w:tc>
    </w:tr>
  </w:tbl>
  <w:p w:rsidR="0004645A" w:rsidRDefault="003A707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48.4pt;margin-top:-122.55pt;width:589.8pt;height:768pt;z-index:-25165875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04645A">
      <w:trPr>
        <w:trHeight w:val="1435"/>
      </w:trPr>
      <w:tc>
        <w:tcPr>
          <w:tcW w:w="2265" w:type="dxa"/>
          <w:shd w:val="clear" w:color="auto" w:fill="auto"/>
        </w:tcPr>
        <w:p w:rsidR="0004645A" w:rsidRDefault="003A7072">
          <w:pPr>
            <w:tabs>
              <w:tab w:val="right" w:pos="4273"/>
            </w:tabs>
            <w:rPr>
              <w:rFonts w:ascii="Garamond" w:eastAsia="Garamond" w:hAnsi="Garamond" w:cs="Garamond"/>
              <w:sz w:val="22"/>
              <w:szCs w:val="22"/>
            </w:rPr>
          </w:pPr>
        </w:p>
      </w:tc>
      <w:tc>
        <w:tcPr>
          <w:tcW w:w="7755" w:type="dxa"/>
          <w:shd w:val="clear" w:color="auto" w:fill="auto"/>
        </w:tcPr>
        <w:tbl>
          <w:tblPr>
            <w:tblW w:w="7514" w:type="dxa"/>
            <w:tblInd w:w="1455" w:type="dxa"/>
            <w:tblLayout w:type="fixed"/>
            <w:tblLook w:val="0400" w:firstRow="0" w:lastRow="0" w:firstColumn="0" w:lastColumn="0" w:noHBand="0" w:noVBand="1"/>
          </w:tblPr>
          <w:tblGrid>
            <w:gridCol w:w="2549"/>
            <w:gridCol w:w="4965"/>
          </w:tblGrid>
          <w:tr w:rsidR="0050324B" w:rsidRPr="0050324B" w:rsidTr="00D5097C">
            <w:trPr>
              <w:trHeight w:val="144"/>
            </w:trPr>
            <w:tc>
              <w:tcPr>
                <w:tcW w:w="2549" w:type="dxa"/>
                <w:shd w:val="clear" w:color="auto" w:fill="auto"/>
              </w:tcPr>
              <w:p w:rsidR="0004645A" w:rsidRPr="0050324B" w:rsidRDefault="006D6D42" w:rsidP="0050324B">
                <w:pPr>
                  <w:tabs>
                    <w:tab w:val="right" w:pos="8838"/>
                  </w:tabs>
                  <w:ind w:left="-264" w:right="-105" w:firstLine="195"/>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Recurso de Revisión:</w:t>
                </w:r>
              </w:p>
            </w:tc>
            <w:tc>
              <w:tcPr>
                <w:tcW w:w="4965" w:type="dxa"/>
                <w:shd w:val="clear" w:color="auto" w:fill="auto"/>
              </w:tcPr>
              <w:p w:rsidR="0004645A" w:rsidRPr="0050324B" w:rsidRDefault="00EC50AA" w:rsidP="0050324B">
                <w:pPr>
                  <w:tabs>
                    <w:tab w:val="right" w:pos="8838"/>
                  </w:tabs>
                  <w:ind w:left="-74"/>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05078</w:t>
                </w:r>
                <w:r w:rsidR="006D6D42" w:rsidRPr="0050324B">
                  <w:rPr>
                    <w:rFonts w:ascii="Palatino Linotype" w:eastAsia="Palatino Linotype" w:hAnsi="Palatino Linotype" w:cs="Palatino Linotype"/>
                    <w:color w:val="000000" w:themeColor="text1"/>
                  </w:rPr>
                  <w:t>/INFOEM/IP/RR/2025</w:t>
                </w:r>
              </w:p>
            </w:tc>
          </w:tr>
          <w:tr w:rsidR="0050324B" w:rsidRPr="0050324B" w:rsidTr="00D5097C">
            <w:trPr>
              <w:trHeight w:val="144"/>
            </w:trPr>
            <w:tc>
              <w:tcPr>
                <w:tcW w:w="2549" w:type="dxa"/>
                <w:shd w:val="clear" w:color="auto" w:fill="auto"/>
              </w:tcPr>
              <w:p w:rsidR="0004645A" w:rsidRPr="0050324B" w:rsidRDefault="006D6D42" w:rsidP="0050324B">
                <w:pPr>
                  <w:tabs>
                    <w:tab w:val="right" w:pos="8838"/>
                  </w:tabs>
                  <w:ind w:left="-74" w:right="-105"/>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Recurrente:</w:t>
                </w:r>
              </w:p>
            </w:tc>
            <w:tc>
              <w:tcPr>
                <w:tcW w:w="4965" w:type="dxa"/>
                <w:shd w:val="clear" w:color="auto" w:fill="auto"/>
              </w:tcPr>
              <w:p w:rsidR="0004645A" w:rsidRPr="0050324B" w:rsidRDefault="003A7072" w:rsidP="0050324B">
                <w:pPr>
                  <w:tabs>
                    <w:tab w:val="left" w:pos="3122"/>
                    <w:tab w:val="right" w:pos="8838"/>
                  </w:tabs>
                  <w:ind w:left="-74"/>
                  <w:rPr>
                    <w:rFonts w:ascii="Palatino Linotype" w:eastAsia="Palatino Linotype" w:hAnsi="Palatino Linotype" w:cs="Palatino Linotype"/>
                    <w:color w:val="000000" w:themeColor="text1"/>
                  </w:rPr>
                </w:pPr>
              </w:p>
            </w:tc>
          </w:tr>
          <w:tr w:rsidR="0050324B" w:rsidRPr="0050324B" w:rsidTr="00D5097C">
            <w:trPr>
              <w:trHeight w:val="283"/>
            </w:trPr>
            <w:tc>
              <w:tcPr>
                <w:tcW w:w="2549" w:type="dxa"/>
                <w:shd w:val="clear" w:color="auto" w:fill="auto"/>
              </w:tcPr>
              <w:p w:rsidR="0004645A" w:rsidRPr="0050324B" w:rsidRDefault="006D6D42" w:rsidP="0050324B">
                <w:pPr>
                  <w:tabs>
                    <w:tab w:val="right" w:pos="8838"/>
                  </w:tabs>
                  <w:ind w:left="-74" w:right="-105"/>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Sujeto Obligado:</w:t>
                </w:r>
              </w:p>
            </w:tc>
            <w:tc>
              <w:tcPr>
                <w:tcW w:w="4965" w:type="dxa"/>
                <w:shd w:val="clear" w:color="auto" w:fill="auto"/>
              </w:tcPr>
              <w:p w:rsidR="0004645A" w:rsidRPr="0050324B" w:rsidRDefault="006D6D42" w:rsidP="0050324B">
                <w:pPr>
                  <w:tabs>
                    <w:tab w:val="right" w:pos="8838"/>
                  </w:tabs>
                  <w:ind w:left="-74"/>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Ayuntamiento de Zinacantepec</w:t>
                </w:r>
              </w:p>
            </w:tc>
          </w:tr>
          <w:tr w:rsidR="0050324B" w:rsidRPr="0050324B" w:rsidTr="00D5097C">
            <w:trPr>
              <w:trHeight w:val="283"/>
            </w:trPr>
            <w:tc>
              <w:tcPr>
                <w:tcW w:w="2549" w:type="dxa"/>
                <w:shd w:val="clear" w:color="auto" w:fill="auto"/>
              </w:tcPr>
              <w:p w:rsidR="0004645A" w:rsidRPr="0050324B" w:rsidRDefault="006D6D42" w:rsidP="0050324B">
                <w:pPr>
                  <w:tabs>
                    <w:tab w:val="right" w:pos="8838"/>
                  </w:tabs>
                  <w:ind w:left="-74" w:right="-105"/>
                  <w:rPr>
                    <w:rFonts w:ascii="Palatino Linotype" w:eastAsia="Palatino Linotype" w:hAnsi="Palatino Linotype" w:cs="Palatino Linotype"/>
                    <w:b/>
                    <w:color w:val="000000" w:themeColor="text1"/>
                  </w:rPr>
                </w:pPr>
                <w:r w:rsidRPr="0050324B">
                  <w:rPr>
                    <w:rFonts w:ascii="Palatino Linotype" w:eastAsia="Palatino Linotype" w:hAnsi="Palatino Linotype" w:cs="Palatino Linotype"/>
                    <w:b/>
                    <w:color w:val="000000" w:themeColor="text1"/>
                  </w:rPr>
                  <w:t>Comisionado ponente:</w:t>
                </w:r>
              </w:p>
            </w:tc>
            <w:tc>
              <w:tcPr>
                <w:tcW w:w="4965" w:type="dxa"/>
                <w:shd w:val="clear" w:color="auto" w:fill="auto"/>
              </w:tcPr>
              <w:p w:rsidR="0004645A" w:rsidRPr="0050324B" w:rsidRDefault="006D6D42" w:rsidP="0050324B">
                <w:pPr>
                  <w:tabs>
                    <w:tab w:val="right" w:pos="8838"/>
                  </w:tabs>
                  <w:ind w:left="-74"/>
                  <w:rPr>
                    <w:rFonts w:ascii="Palatino Linotype" w:eastAsia="Palatino Linotype" w:hAnsi="Palatino Linotype" w:cs="Palatino Linotype"/>
                    <w:color w:val="000000" w:themeColor="text1"/>
                  </w:rPr>
                </w:pPr>
                <w:r w:rsidRPr="0050324B">
                  <w:rPr>
                    <w:rFonts w:ascii="Palatino Linotype" w:eastAsia="Palatino Linotype" w:hAnsi="Palatino Linotype" w:cs="Palatino Linotype"/>
                    <w:color w:val="000000" w:themeColor="text1"/>
                  </w:rPr>
                  <w:t>María del Rosario Mejía Ayala</w:t>
                </w:r>
              </w:p>
              <w:p w:rsidR="0004645A" w:rsidRPr="0050324B" w:rsidRDefault="003A7072" w:rsidP="0050324B">
                <w:pPr>
                  <w:tabs>
                    <w:tab w:val="right" w:pos="8838"/>
                  </w:tabs>
                  <w:ind w:left="-74"/>
                  <w:rPr>
                    <w:rFonts w:ascii="Palatino Linotype" w:eastAsia="Palatino Linotype" w:hAnsi="Palatino Linotype" w:cs="Palatino Linotype"/>
                    <w:b/>
                    <w:color w:val="000000" w:themeColor="text1"/>
                  </w:rPr>
                </w:pPr>
              </w:p>
            </w:tc>
          </w:tr>
        </w:tbl>
        <w:p w:rsidR="0004645A" w:rsidRDefault="003A7072">
          <w:pPr>
            <w:tabs>
              <w:tab w:val="right" w:pos="8838"/>
            </w:tabs>
            <w:ind w:left="-28"/>
            <w:jc w:val="both"/>
            <w:rPr>
              <w:rFonts w:ascii="Arial" w:eastAsia="Arial" w:hAnsi="Arial" w:cs="Arial"/>
              <w:b/>
              <w:sz w:val="22"/>
              <w:szCs w:val="22"/>
            </w:rPr>
          </w:pPr>
        </w:p>
      </w:tc>
    </w:tr>
  </w:tbl>
  <w:p w:rsidR="0004645A" w:rsidRDefault="003A707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A53697"/>
    <w:multiLevelType w:val="multilevel"/>
    <w:tmpl w:val="EAF2D0D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92252E"/>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380245"/>
    <w:multiLevelType w:val="hybridMultilevel"/>
    <w:tmpl w:val="B4662AAA"/>
    <w:lvl w:ilvl="0" w:tplc="ACF6D69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6"/>
  </w:num>
  <w:num w:numId="4">
    <w:abstractNumId w:val="5"/>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AA"/>
    <w:rsid w:val="00146AE9"/>
    <w:rsid w:val="003A7072"/>
    <w:rsid w:val="00414F47"/>
    <w:rsid w:val="0042644A"/>
    <w:rsid w:val="00433ABC"/>
    <w:rsid w:val="00435C4D"/>
    <w:rsid w:val="004428AC"/>
    <w:rsid w:val="00482DF2"/>
    <w:rsid w:val="004C0E15"/>
    <w:rsid w:val="0050324B"/>
    <w:rsid w:val="005357FE"/>
    <w:rsid w:val="005A5361"/>
    <w:rsid w:val="006A7BBF"/>
    <w:rsid w:val="006D6D42"/>
    <w:rsid w:val="007E3B14"/>
    <w:rsid w:val="008D0AC2"/>
    <w:rsid w:val="00A67ED3"/>
    <w:rsid w:val="00B068EB"/>
    <w:rsid w:val="00B85234"/>
    <w:rsid w:val="00C1218E"/>
    <w:rsid w:val="00C928BB"/>
    <w:rsid w:val="00D5097C"/>
    <w:rsid w:val="00DF6884"/>
    <w:rsid w:val="00EC50AA"/>
    <w:rsid w:val="00FD6B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B930949-12C9-4A13-AFF6-51787859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0A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C50AA"/>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C50A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0A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EC50AA"/>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EC50AA"/>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50A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50AA"/>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C50A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C50A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EC50AA"/>
    <w:rPr>
      <w:vertAlign w:val="superscript"/>
    </w:rPr>
  </w:style>
  <w:style w:type="paragraph" w:styleId="Piedepgina">
    <w:name w:val="footer"/>
    <w:basedOn w:val="Normal"/>
    <w:link w:val="PiedepginaCar"/>
    <w:uiPriority w:val="99"/>
    <w:unhideWhenUsed/>
    <w:rsid w:val="00EC50AA"/>
    <w:pPr>
      <w:tabs>
        <w:tab w:val="center" w:pos="4419"/>
        <w:tab w:val="right" w:pos="8838"/>
      </w:tabs>
    </w:pPr>
  </w:style>
  <w:style w:type="character" w:customStyle="1" w:styleId="PiedepginaCar">
    <w:name w:val="Pie de página Car"/>
    <w:basedOn w:val="Fuentedeprrafopredeter"/>
    <w:link w:val="Piedepgina"/>
    <w:uiPriority w:val="99"/>
    <w:rsid w:val="00EC50AA"/>
    <w:rPr>
      <w:rFonts w:ascii="Times New Roman" w:eastAsia="Times New Roman" w:hAnsi="Times New Roman" w:cs="Times New Roman"/>
      <w:sz w:val="24"/>
      <w:szCs w:val="24"/>
      <w:lang w:eastAsia="es-MX"/>
    </w:rPr>
  </w:style>
  <w:style w:type="table" w:styleId="Tablanormal1">
    <w:name w:val="Plain Table 1"/>
    <w:basedOn w:val="Tablanormal"/>
    <w:uiPriority w:val="41"/>
    <w:rsid w:val="005A53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5A5361"/>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Francesa Car,INAI Car"/>
    <w:basedOn w:val="Fuentedeprrafopredeter"/>
    <w:link w:val="Sinespaciado"/>
    <w:uiPriority w:val="1"/>
    <w:qFormat/>
    <w:rsid w:val="005A5361"/>
    <w:rPr>
      <w:rFonts w:ascii="Arial" w:eastAsia="Batang" w:hAnsi="Arial" w:cs="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4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428755.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2408748.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2469740.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aimex.org.mx/saimex/solicitud/downloadAttach/2469739.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2469738.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6011</Words>
  <Characters>33063</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7</cp:revision>
  <cp:lastPrinted>2025-11-21T19:38:00Z</cp:lastPrinted>
  <dcterms:created xsi:type="dcterms:W3CDTF">2025-11-12T17:29:00Z</dcterms:created>
  <dcterms:modified xsi:type="dcterms:W3CDTF">2025-11-28T19:21:00Z</dcterms:modified>
</cp:coreProperties>
</file>