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7C6B5"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2D329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mayo de dos mil veinticinco. </w:t>
      </w:r>
    </w:p>
    <w:p w14:paraId="49CF081D" w14:textId="32CAA53B" w:rsidR="00B20935" w:rsidRPr="002D3298" w:rsidRDefault="00151843">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2D3298">
        <w:rPr>
          <w:rFonts w:ascii="Palatino Linotype" w:eastAsia="Palatino Linotype" w:hAnsi="Palatino Linotype" w:cs="Palatino Linotype"/>
          <w:b/>
        </w:rPr>
        <w:t>VISTO</w:t>
      </w:r>
      <w:r w:rsidRPr="002D3298">
        <w:rPr>
          <w:rFonts w:ascii="Palatino Linotype" w:eastAsia="Palatino Linotype" w:hAnsi="Palatino Linotype" w:cs="Palatino Linotype"/>
        </w:rPr>
        <w:t xml:space="preserve"> el expediente formado con motivo del recurso de revisión </w:t>
      </w:r>
      <w:r w:rsidRPr="002D3298">
        <w:rPr>
          <w:rFonts w:ascii="Palatino Linotype" w:eastAsia="Palatino Linotype" w:hAnsi="Palatino Linotype" w:cs="Palatino Linotype"/>
          <w:b/>
        </w:rPr>
        <w:t>02764/INFOEM/IP/RR/2025</w:t>
      </w:r>
      <w:r w:rsidRPr="002D3298">
        <w:rPr>
          <w:rFonts w:ascii="Palatino Linotype" w:eastAsia="Palatino Linotype" w:hAnsi="Palatino Linotype" w:cs="Palatino Linotype"/>
        </w:rPr>
        <w:t>, interpuesto por</w:t>
      </w:r>
      <w:r w:rsidRPr="002D3298">
        <w:rPr>
          <w:rFonts w:ascii="Palatino Linotype" w:eastAsia="Palatino Linotype" w:hAnsi="Palatino Linotype" w:cs="Palatino Linotype"/>
          <w:b/>
        </w:rPr>
        <w:t xml:space="preserve"> </w:t>
      </w:r>
      <w:r w:rsidR="009D4A01" w:rsidRPr="009D4A01">
        <w:rPr>
          <w:rFonts w:ascii="Palatino Linotype" w:eastAsia="Palatino Linotype" w:hAnsi="Palatino Linotype" w:cs="Palatino Linotype"/>
          <w:b/>
        </w:rPr>
        <w:t>XXXXX XXXXXXX XXXXXX</w:t>
      </w:r>
      <w:r w:rsidRPr="002D3298">
        <w:rPr>
          <w:rFonts w:ascii="Palatino Linotype" w:eastAsia="Palatino Linotype" w:hAnsi="Palatino Linotype" w:cs="Palatino Linotype"/>
          <w:b/>
        </w:rPr>
        <w:t>,</w:t>
      </w:r>
      <w:r w:rsidRPr="002D3298">
        <w:rPr>
          <w:rFonts w:ascii="Palatino Linotype" w:eastAsia="Palatino Linotype" w:hAnsi="Palatino Linotype" w:cs="Palatino Linotype"/>
        </w:rPr>
        <w:t xml:space="preserve"> en lo sucesivo</w:t>
      </w:r>
      <w:r w:rsidRPr="002D3298">
        <w:rPr>
          <w:rFonts w:ascii="Palatino Linotype" w:eastAsia="Palatino Linotype" w:hAnsi="Palatino Linotype" w:cs="Palatino Linotype"/>
          <w:b/>
        </w:rPr>
        <w:t xml:space="preserve"> </w:t>
      </w:r>
      <w:r w:rsidRPr="002D3298">
        <w:rPr>
          <w:rFonts w:ascii="Palatino Linotype" w:eastAsia="Palatino Linotype" w:hAnsi="Palatino Linotype" w:cs="Palatino Linotype"/>
        </w:rPr>
        <w:t xml:space="preserve">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xml:space="preserve"> en contra de la respuesta a la solicitud de información con número de folio</w:t>
      </w:r>
      <w:r w:rsidRPr="002D3298">
        <w:rPr>
          <w:rFonts w:ascii="Palatino Linotype" w:eastAsia="Palatino Linotype" w:hAnsi="Palatino Linotype" w:cs="Palatino Linotype"/>
          <w:b/>
        </w:rPr>
        <w:t xml:space="preserve"> 00194/COCOTIT/IP/2025, </w:t>
      </w:r>
      <w:r w:rsidRPr="002D3298">
        <w:rPr>
          <w:rFonts w:ascii="Palatino Linotype" w:eastAsia="Palatino Linotype" w:hAnsi="Palatino Linotype" w:cs="Palatino Linotype"/>
        </w:rPr>
        <w:t xml:space="preserve">por parte del </w:t>
      </w:r>
      <w:r w:rsidRPr="002D3298">
        <w:rPr>
          <w:rFonts w:ascii="Palatino Linotype" w:eastAsia="Palatino Linotype" w:hAnsi="Palatino Linotype" w:cs="Palatino Linotype"/>
          <w:b/>
        </w:rPr>
        <w:t xml:space="preserve">Ayuntamiento de Cocotitlán, </w:t>
      </w:r>
      <w:r w:rsidRPr="002D3298">
        <w:rPr>
          <w:rFonts w:ascii="Palatino Linotype" w:eastAsia="Palatino Linotype" w:hAnsi="Palatino Linotype" w:cs="Palatino Linotype"/>
        </w:rPr>
        <w:t xml:space="preserve">en lo sucesivo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 xml:space="preserve">se procede a dictar la presente resolución con base en los siguientes: </w:t>
      </w:r>
    </w:p>
    <w:p w14:paraId="26770BD7" w14:textId="77777777" w:rsidR="00B20935" w:rsidRPr="002D3298" w:rsidRDefault="00151843">
      <w:pPr>
        <w:spacing w:before="240" w:after="240" w:line="360" w:lineRule="auto"/>
        <w:jc w:val="center"/>
        <w:rPr>
          <w:rFonts w:ascii="Palatino Linotype" w:eastAsia="Palatino Linotype" w:hAnsi="Palatino Linotype" w:cs="Palatino Linotype"/>
          <w:b/>
        </w:rPr>
      </w:pPr>
      <w:r w:rsidRPr="002D3298">
        <w:rPr>
          <w:rFonts w:ascii="Palatino Linotype" w:eastAsia="Palatino Linotype" w:hAnsi="Palatino Linotype" w:cs="Palatino Linotype"/>
          <w:b/>
        </w:rPr>
        <w:t>I. A N T E C E D E N T E S</w:t>
      </w:r>
    </w:p>
    <w:p w14:paraId="400DFFA3" w14:textId="77777777" w:rsidR="00B20935" w:rsidRPr="002D3298" w:rsidRDefault="00151843">
      <w:pPr>
        <w:tabs>
          <w:tab w:val="left" w:pos="5071"/>
        </w:tabs>
        <w:spacing w:before="240" w:after="240" w:line="360" w:lineRule="auto"/>
        <w:jc w:val="both"/>
        <w:rPr>
          <w:rFonts w:ascii="Palatino Linotype" w:eastAsia="Palatino Linotype" w:hAnsi="Palatino Linotype" w:cs="Palatino Linotype"/>
        </w:rPr>
      </w:pPr>
      <w:bookmarkStart w:id="2" w:name="_heading=h.gjdgxs" w:colFirst="0" w:colLast="0"/>
      <w:bookmarkEnd w:id="2"/>
      <w:r w:rsidRPr="002D3298">
        <w:rPr>
          <w:rFonts w:ascii="Palatino Linotype" w:eastAsia="Palatino Linotype" w:hAnsi="Palatino Linotype" w:cs="Palatino Linotype"/>
          <w:b/>
        </w:rPr>
        <w:t xml:space="preserve">1. Solicitud de acceso a la información. </w:t>
      </w:r>
      <w:r w:rsidRPr="002D3298">
        <w:rPr>
          <w:rFonts w:ascii="Palatino Linotype" w:eastAsia="Palatino Linotype" w:hAnsi="Palatino Linotype" w:cs="Palatino Linotype"/>
        </w:rPr>
        <w:t xml:space="preserve">El </w:t>
      </w:r>
      <w:r w:rsidRPr="002D3298">
        <w:rPr>
          <w:rFonts w:ascii="Palatino Linotype" w:eastAsia="Palatino Linotype" w:hAnsi="Palatino Linotype" w:cs="Palatino Linotype"/>
          <w:b/>
        </w:rPr>
        <w:t xml:space="preserve">veintiocho de febrero de dos mil veinticinco, </w:t>
      </w:r>
      <w:r w:rsidRPr="002D3298">
        <w:rPr>
          <w:rFonts w:ascii="Palatino Linotype" w:eastAsia="Palatino Linotype" w:hAnsi="Palatino Linotype" w:cs="Palatino Linotype"/>
        </w:rPr>
        <w:t xml:space="preserve">la parte </w:t>
      </w:r>
      <w:r w:rsidRPr="002D3298">
        <w:rPr>
          <w:rFonts w:ascii="Palatino Linotype" w:eastAsia="Palatino Linotype" w:hAnsi="Palatino Linotype" w:cs="Palatino Linotype"/>
          <w:b/>
        </w:rPr>
        <w:t xml:space="preserve">Recurrente </w:t>
      </w:r>
      <w:r w:rsidRPr="002D3298">
        <w:rPr>
          <w:rFonts w:ascii="Palatino Linotype" w:eastAsia="Palatino Linotype" w:hAnsi="Palatino Linotype" w:cs="Palatino Linotype"/>
        </w:rPr>
        <w:t xml:space="preserve">presentó la solicitud de acceso a la información pública ante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a través del Sistema de Acceso a la Información Mexiquense, en lo subsecuente el </w:t>
      </w:r>
      <w:r w:rsidRPr="002D3298">
        <w:rPr>
          <w:rFonts w:ascii="Palatino Linotype" w:eastAsia="Palatino Linotype" w:hAnsi="Palatino Linotype" w:cs="Palatino Linotype"/>
          <w:b/>
        </w:rPr>
        <w:t>SAIMEX,</w:t>
      </w:r>
      <w:r w:rsidRPr="002D3298">
        <w:rPr>
          <w:rFonts w:ascii="Palatino Linotype" w:eastAsia="Palatino Linotype" w:hAnsi="Palatino Linotype" w:cs="Palatino Linotype"/>
        </w:rPr>
        <w:t xml:space="preserve"> mediante la cual requirió lo siguiente:</w:t>
      </w:r>
    </w:p>
    <w:p w14:paraId="7414E375" w14:textId="77777777" w:rsidR="00B20935" w:rsidRPr="002D3298" w:rsidRDefault="00151843">
      <w:pPr>
        <w:spacing w:before="120" w:after="120"/>
        <w:ind w:left="851"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i/>
          <w:sz w:val="22"/>
          <w:szCs w:val="22"/>
        </w:rPr>
        <w:t xml:space="preserve">“Se solicita de la manera más atenta y respetuosa el Plan Anual de Obras aprobado por cabildo así como todas las modificaciones/adecuaciones que se realizaron de los ejercicio 2023, 2024 y 2025 así como todos los contratos de obra pública que se adjudicaron o llevaron a cabo a través de licitaciones mediante convocatoria pública o cualquier otro método de contratación (adjudicación directa , Invitación restringida) así mismo si cada contrato cuenta con garantías o fianzas por parte de los prestadores de servicio, todos los estudios de costo benéfico de cada obra realizada en los periodos antes mencionados, el comité vecinal donde se vea reflejado la conformidad o inconformidad de la obra realizada, suficiencias presupuestarias donde se observe el tipo de recurso, entregar de la misma manera Acta de entrega recepción de obra, Acta de entrega-Recepción de Obra del contratista al Municipio, Acta de Entrega recepción de </w:t>
      </w:r>
      <w:r w:rsidRPr="002D3298">
        <w:rPr>
          <w:rFonts w:ascii="Palatino Linotype" w:eastAsia="Palatino Linotype" w:hAnsi="Palatino Linotype" w:cs="Palatino Linotype"/>
          <w:i/>
          <w:sz w:val="22"/>
          <w:szCs w:val="22"/>
        </w:rPr>
        <w:lastRenderedPageBreak/>
        <w:t>obra municipal a los beneficiarios, Analís comparativo de propuestas, Bitácora de Obra</w:t>
      </w:r>
      <w:r w:rsidRPr="002D3298">
        <w:rPr>
          <w:rFonts w:ascii="Palatino Linotype" w:eastAsia="Palatino Linotype" w:hAnsi="Palatino Linotype" w:cs="Palatino Linotype"/>
          <w:b/>
          <w:i/>
          <w:sz w:val="22"/>
          <w:szCs w:val="22"/>
        </w:rPr>
        <w:t>”</w:t>
      </w:r>
      <w:r w:rsidRPr="002D3298">
        <w:rPr>
          <w:rFonts w:ascii="Palatino Linotype" w:eastAsia="Palatino Linotype" w:hAnsi="Palatino Linotype" w:cs="Palatino Linotype"/>
          <w:i/>
          <w:sz w:val="22"/>
          <w:szCs w:val="22"/>
        </w:rPr>
        <w:t xml:space="preserve"> (sic) </w:t>
      </w:r>
    </w:p>
    <w:p w14:paraId="6066F823"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2D3298">
        <w:rPr>
          <w:rFonts w:ascii="Palatino Linotype" w:eastAsia="Palatino Linotype" w:hAnsi="Palatino Linotype" w:cs="Palatino Linotype"/>
          <w:b/>
        </w:rPr>
        <w:t>Modalidad de Entrega:</w:t>
      </w:r>
      <w:r w:rsidRPr="002D3298">
        <w:rPr>
          <w:rFonts w:ascii="Palatino Linotype" w:eastAsia="Palatino Linotype" w:hAnsi="Palatino Linotype" w:cs="Palatino Linotype"/>
        </w:rPr>
        <w:t xml:space="preserve"> a través del</w:t>
      </w:r>
      <w:r w:rsidRPr="002D3298">
        <w:rPr>
          <w:rFonts w:ascii="Palatino Linotype" w:eastAsia="Palatino Linotype" w:hAnsi="Palatino Linotype" w:cs="Palatino Linotype"/>
          <w:b/>
        </w:rPr>
        <w:t xml:space="preserve"> SAIMEX.</w:t>
      </w:r>
    </w:p>
    <w:p w14:paraId="694A41A3"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b/>
        </w:rPr>
        <w:t xml:space="preserve">2. Respuesta. </w:t>
      </w:r>
      <w:r w:rsidRPr="002D3298">
        <w:rPr>
          <w:rFonts w:ascii="Palatino Linotype" w:eastAsia="Palatino Linotype" w:hAnsi="Palatino Linotype" w:cs="Palatino Linotype"/>
        </w:rPr>
        <w:t xml:space="preserve">El </w:t>
      </w:r>
      <w:r w:rsidRPr="002D3298">
        <w:rPr>
          <w:rFonts w:ascii="Palatino Linotype" w:eastAsia="Palatino Linotype" w:hAnsi="Palatino Linotype" w:cs="Palatino Linotype"/>
          <w:b/>
        </w:rPr>
        <w:t>once de marzo de dos mil veinticinco,</w:t>
      </w:r>
      <w:r w:rsidRPr="002D3298">
        <w:rPr>
          <w:rFonts w:ascii="Palatino Linotype" w:eastAsia="Palatino Linotype" w:hAnsi="Palatino Linotype" w:cs="Palatino Linotype"/>
        </w:rPr>
        <w:t xml:space="preserve">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0C4EBC5" w14:textId="092858E7" w:rsidR="00B20935" w:rsidRPr="002D3298" w:rsidRDefault="00151843">
      <w:pPr>
        <w:spacing w:before="240" w:after="24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“…SE DA RESPUESTA MEDIANTE OFICIO NÚMERO DDUYOP/OEI/019/2025 ASUNTO: ATENCIÓN A SOLICITUD 00194/COCOTIT/IP/2025 NO. DE OFICIO: DDUYOP/OEI/019/2025 Cocotitlán Estado de México a 06 de marzo del 2025 </w:t>
      </w:r>
      <w:r w:rsidR="009D4A01">
        <w:rPr>
          <w:rFonts w:ascii="Palatino Linotype" w:eastAsia="Palatino Linotype" w:hAnsi="Palatino Linotype" w:cs="Palatino Linotype"/>
          <w:i/>
          <w:sz w:val="22"/>
          <w:szCs w:val="22"/>
        </w:rPr>
        <w:t>X XXXXX XXXXXXXXXX XXXXXXXX</w:t>
      </w:r>
      <w:r w:rsidRPr="002D3298">
        <w:rPr>
          <w:rFonts w:ascii="Palatino Linotype" w:eastAsia="Palatino Linotype" w:hAnsi="Palatino Linotype" w:cs="Palatino Linotype"/>
          <w:i/>
          <w:sz w:val="22"/>
          <w:szCs w:val="22"/>
        </w:rPr>
        <w:t>: En atención a su solicitud con número de folio 00194/COCOTIT/IP/2025, en el cual requiere lo siguiente: “Se solicita de la manera más atenta y respetuosa el Plan Anual de Obras aprobado por cabildo así como todas las modificaciones/adecuaciones que se realizaron de los ejercicio 2023, 2024 y 2025 así como todos los contratos de obra pública que se adjudicaron o llevaron a cabo a través de licitaciones mediante convocatoria pública o cualquier otro método de contratación (adjudicación directa, invitación restringida……”. Al respecto, me permito hacer de su conocimiento que en este momento la documentación que se encuentra en el archivo de esta Dirección de Desarrollo Urbano y Obras Públicas se encuentra en periodo de revisión por cambio de administración, por tal motivo en este momento no es posible atender lo solicitado. De acuerdo a los Lineamientos que norman la Entrega Recepción de los Ayuntamientos, sus dependencias, unidades administrativas y entidades de la administración pública municipal del estado de México, de fecha 19 de agosto 2024, donde tenemos 90 días naturales para su revisión...” (sic)</w:t>
      </w:r>
    </w:p>
    <w:p w14:paraId="7D95D16F"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adjuntó el oficio número DDUYOP/OEI/019/2025, del seis de marzo de dos mil veinticinco, mediante el cual el Director de Desarrollo Urbano y Obras Públicas refirió que por el momento la documentación que se encontraba en el archivo de la Dirección a su cargo, se encontraba en periodo de revisión por cambio de administración, motivo por el cual no era posible atender lo solicitado, ya que de conformidad con Lineamientos que norman la Entrega Recepción de los </w:t>
      </w:r>
      <w:r w:rsidRPr="002D3298">
        <w:rPr>
          <w:rFonts w:ascii="Palatino Linotype" w:eastAsia="Palatino Linotype" w:hAnsi="Palatino Linotype" w:cs="Palatino Linotype"/>
        </w:rPr>
        <w:lastRenderedPageBreak/>
        <w:t>Ayuntamientos, sus dependencias, unidades administrativas y entidades de administración pública municipal del estado de México, de fecha 19 de agosto 2024, tiene 90 días naturales para la revisión de la documentación.</w:t>
      </w:r>
    </w:p>
    <w:p w14:paraId="77908C9A"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 xml:space="preserve">3. Interposición del recurso de revisión. </w:t>
      </w:r>
      <w:r w:rsidRPr="002D3298">
        <w:rPr>
          <w:rFonts w:ascii="Palatino Linotype" w:eastAsia="Palatino Linotype" w:hAnsi="Palatino Linotype" w:cs="Palatino Linotype"/>
        </w:rPr>
        <w:t xml:space="preserve">Inconforme con los términos de la respuesta emitida por parte del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el </w:t>
      </w:r>
      <w:r w:rsidRPr="002D3298">
        <w:rPr>
          <w:rFonts w:ascii="Palatino Linotype" w:eastAsia="Palatino Linotype" w:hAnsi="Palatino Linotype" w:cs="Palatino Linotype"/>
          <w:b/>
        </w:rPr>
        <w:t>once de marzo de dos mil veinticinco,</w:t>
      </w:r>
      <w:r w:rsidRPr="002D3298">
        <w:rPr>
          <w:rFonts w:ascii="Palatino Linotype" w:eastAsia="Palatino Linotype" w:hAnsi="Palatino Linotype" w:cs="Palatino Linotype"/>
        </w:rPr>
        <w:t xml:space="preserve"> 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xml:space="preserve"> interpuso el recurso de revisión a través de </w:t>
      </w:r>
      <w:r w:rsidRPr="002D3298">
        <w:rPr>
          <w:rFonts w:ascii="Palatino Linotype" w:eastAsia="Palatino Linotype" w:hAnsi="Palatino Linotype" w:cs="Palatino Linotype"/>
          <w:b/>
        </w:rPr>
        <w:t xml:space="preserve">SAIMEX, </w:t>
      </w:r>
      <w:r w:rsidRPr="002D3298">
        <w:rPr>
          <w:rFonts w:ascii="Palatino Linotype" w:eastAsia="Palatino Linotype" w:hAnsi="Palatino Linotype" w:cs="Palatino Linotype"/>
        </w:rPr>
        <w:t>en donde se manifestó de la siguiente manera:</w:t>
      </w:r>
    </w:p>
    <w:p w14:paraId="7F6EE4C1" w14:textId="77777777" w:rsidR="00B20935" w:rsidRPr="002D3298" w:rsidRDefault="00151843">
      <w:pPr>
        <w:spacing w:before="240" w:after="240" w:line="360" w:lineRule="auto"/>
        <w:ind w:right="49"/>
        <w:jc w:val="both"/>
        <w:rPr>
          <w:rFonts w:ascii="Palatino Linotype" w:eastAsia="Palatino Linotype" w:hAnsi="Palatino Linotype" w:cs="Palatino Linotype"/>
          <w:b/>
        </w:rPr>
      </w:pPr>
      <w:r w:rsidRPr="002D3298">
        <w:rPr>
          <w:rFonts w:ascii="Palatino Linotype" w:eastAsia="Palatino Linotype" w:hAnsi="Palatino Linotype" w:cs="Palatino Linotype"/>
          <w:b/>
        </w:rPr>
        <w:t xml:space="preserve">Acto impugnado: </w:t>
      </w:r>
    </w:p>
    <w:p w14:paraId="5C4AC735" w14:textId="77777777" w:rsidR="00B20935" w:rsidRPr="002D3298" w:rsidRDefault="00151843">
      <w:pPr>
        <w:tabs>
          <w:tab w:val="left" w:pos="2745"/>
        </w:tabs>
        <w:spacing w:before="240" w:after="24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“No brindan la información solicitada del ejercicio 2025 ya que esta no se encuentra en periodo de revisión, de los ejercicios 2023, 2024 no brinda la información y nos hacen mención lo siguiente: "Al respecto, me permito hacer de su conocimiento que en este momento la documentación que se encuentra en el archivo" lo cual se observa una negativa a proporcionar la información solicitada.” (sic)</w:t>
      </w:r>
    </w:p>
    <w:p w14:paraId="3BC92946" w14:textId="77777777" w:rsidR="00B20935" w:rsidRPr="002D3298" w:rsidRDefault="00151843">
      <w:pPr>
        <w:spacing w:line="360" w:lineRule="auto"/>
        <w:jc w:val="both"/>
        <w:rPr>
          <w:rFonts w:ascii="Palatino Linotype" w:eastAsia="Palatino Linotype" w:hAnsi="Palatino Linotype" w:cs="Palatino Linotype"/>
        </w:rPr>
      </w:pPr>
      <w:bookmarkStart w:id="4" w:name="_heading=h.30j0zll" w:colFirst="0" w:colLast="0"/>
      <w:bookmarkEnd w:id="4"/>
      <w:r w:rsidRPr="002D3298">
        <w:rPr>
          <w:rFonts w:ascii="Palatino Linotype" w:eastAsia="Palatino Linotype" w:hAnsi="Palatino Linotype" w:cs="Palatino Linotype"/>
          <w:b/>
        </w:rPr>
        <w:t>Y, Razones o motivos de inconformidad</w:t>
      </w:r>
      <w:r w:rsidRPr="002D3298">
        <w:rPr>
          <w:rFonts w:ascii="Palatino Linotype" w:eastAsia="Palatino Linotype" w:hAnsi="Palatino Linotype" w:cs="Palatino Linotype"/>
        </w:rPr>
        <w:t>:</w:t>
      </w:r>
    </w:p>
    <w:p w14:paraId="2F414749" w14:textId="77777777" w:rsidR="00B20935" w:rsidRPr="002D3298" w:rsidRDefault="00151843">
      <w:pPr>
        <w:tabs>
          <w:tab w:val="left" w:pos="2745"/>
        </w:tabs>
        <w:spacing w:before="240" w:after="24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“Se observa una negativa de proporcionar la información que ellos refieren de tenerla en su archivo” (sic)</w:t>
      </w:r>
    </w:p>
    <w:p w14:paraId="765881B9" w14:textId="77777777" w:rsidR="00B20935" w:rsidRPr="002D3298" w:rsidRDefault="00151843">
      <w:pPr>
        <w:spacing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b/>
        </w:rPr>
        <w:t xml:space="preserve">4. Turno. </w:t>
      </w:r>
      <w:r w:rsidRPr="002D329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2D3298">
        <w:rPr>
          <w:rFonts w:ascii="Palatino Linotype" w:eastAsia="Palatino Linotype" w:hAnsi="Palatino Linotype" w:cs="Palatino Linotype"/>
          <w:b/>
        </w:rPr>
        <w:t xml:space="preserve">Guadalupe Ramírez Peña, </w:t>
      </w:r>
      <w:r w:rsidRPr="002D3298">
        <w:rPr>
          <w:rFonts w:ascii="Palatino Linotype" w:eastAsia="Palatino Linotype" w:hAnsi="Palatino Linotype" w:cs="Palatino Linotype"/>
        </w:rPr>
        <w:t xml:space="preserve">a efecto de que analizara sobre su admisión o su </w:t>
      </w:r>
      <w:proofErr w:type="spellStart"/>
      <w:r w:rsidRPr="002D3298">
        <w:rPr>
          <w:rFonts w:ascii="Palatino Linotype" w:eastAsia="Palatino Linotype" w:hAnsi="Palatino Linotype" w:cs="Palatino Linotype"/>
        </w:rPr>
        <w:t>desechamiento</w:t>
      </w:r>
      <w:proofErr w:type="spellEnd"/>
      <w:r w:rsidRPr="002D3298">
        <w:rPr>
          <w:rFonts w:ascii="Palatino Linotype" w:eastAsia="Palatino Linotype" w:hAnsi="Palatino Linotype" w:cs="Palatino Linotype"/>
        </w:rPr>
        <w:t>.</w:t>
      </w:r>
    </w:p>
    <w:p w14:paraId="3C759DFA" w14:textId="77777777" w:rsidR="00B20935" w:rsidRPr="002D3298" w:rsidRDefault="00151843">
      <w:pPr>
        <w:spacing w:before="240" w:after="240" w:line="360" w:lineRule="auto"/>
        <w:jc w:val="both"/>
        <w:rPr>
          <w:rFonts w:ascii="Palatino Linotype" w:eastAsia="Palatino Linotype" w:hAnsi="Palatino Linotype" w:cs="Palatino Linotype"/>
          <w:b/>
        </w:rPr>
      </w:pPr>
      <w:r w:rsidRPr="002D3298">
        <w:rPr>
          <w:rFonts w:ascii="Palatino Linotype" w:eastAsia="Palatino Linotype" w:hAnsi="Palatino Linotype" w:cs="Palatino Linotype"/>
          <w:b/>
        </w:rPr>
        <w:lastRenderedPageBreak/>
        <w:t>5. Admisión del Recurso de revisión.</w:t>
      </w:r>
      <w:r w:rsidRPr="002D3298">
        <w:rPr>
          <w:rFonts w:ascii="Palatino Linotype" w:eastAsia="Palatino Linotype" w:hAnsi="Palatino Linotype" w:cs="Palatino Linotype"/>
        </w:rPr>
        <w:t xml:space="preserve"> El</w:t>
      </w:r>
      <w:r w:rsidRPr="002D3298">
        <w:rPr>
          <w:rFonts w:ascii="Palatino Linotype" w:eastAsia="Palatino Linotype" w:hAnsi="Palatino Linotype" w:cs="Palatino Linotype"/>
          <w:b/>
        </w:rPr>
        <w:t xml:space="preserve"> catorce de marzo de dos mil veinticinco, </w:t>
      </w:r>
      <w:r w:rsidRPr="002D329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presentara su informe justificado.</w:t>
      </w:r>
    </w:p>
    <w:p w14:paraId="073A5EC2"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2D3298">
        <w:rPr>
          <w:rFonts w:ascii="Palatino Linotype" w:eastAsia="Palatino Linotype" w:hAnsi="Palatino Linotype" w:cs="Palatino Linotype"/>
          <w:b/>
        </w:rPr>
        <w:t>6. Manifestaciones</w:t>
      </w:r>
      <w:r w:rsidRPr="002D3298">
        <w:rPr>
          <w:rFonts w:ascii="Palatino Linotype" w:eastAsia="Palatino Linotype" w:hAnsi="Palatino Linotype" w:cs="Palatino Linotype"/>
        </w:rPr>
        <w:t xml:space="preserve">. De las constancias que obran en el expediente electrónico del SAIMEX se desprende que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no rindió su Informe Justificado, del mismo modo la parte</w:t>
      </w:r>
      <w:r w:rsidRPr="002D3298">
        <w:rPr>
          <w:rFonts w:ascii="Palatino Linotype" w:eastAsia="Palatino Linotype" w:hAnsi="Palatino Linotype" w:cs="Palatino Linotype"/>
          <w:b/>
        </w:rPr>
        <w:t xml:space="preserve"> Recurrente</w:t>
      </w:r>
      <w:r w:rsidRPr="002D3298">
        <w:rPr>
          <w:rFonts w:ascii="Palatino Linotype" w:eastAsia="Palatino Linotype" w:hAnsi="Palatino Linotype" w:cs="Palatino Linotype"/>
        </w:rPr>
        <w:t xml:space="preserve"> omitió realizar manifestaciones, como se observa a continuación:</w:t>
      </w:r>
    </w:p>
    <w:p w14:paraId="6551F145"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noProof/>
        </w:rPr>
        <w:drawing>
          <wp:inline distT="0" distB="0" distL="0" distR="0" wp14:anchorId="34231150" wp14:editId="405BEFF9">
            <wp:extent cx="5612130" cy="1577340"/>
            <wp:effectExtent l="0" t="0" r="0" b="0"/>
            <wp:docPr id="21401318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12130" cy="1577340"/>
                    </a:xfrm>
                    <a:prstGeom prst="rect">
                      <a:avLst/>
                    </a:prstGeom>
                    <a:ln/>
                  </pic:spPr>
                </pic:pic>
              </a:graphicData>
            </a:graphic>
          </wp:inline>
        </w:drawing>
      </w:r>
    </w:p>
    <w:p w14:paraId="13A1D822"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b/>
        </w:rPr>
        <w:t xml:space="preserve">7. Cierre de instrucción. </w:t>
      </w:r>
      <w:r w:rsidRPr="002D3298">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2D3298">
        <w:rPr>
          <w:rFonts w:ascii="Palatino Linotype" w:eastAsia="Palatino Linotype" w:hAnsi="Palatino Linotype" w:cs="Palatino Linotype"/>
          <w:b/>
        </w:rPr>
        <w:t>veintisiete de marzo de dos mil veinticinco</w:t>
      </w:r>
      <w:r w:rsidRPr="002D329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2ED51B0" w14:textId="77777777" w:rsidR="00B20935" w:rsidRPr="002D3298" w:rsidRDefault="00151843">
      <w:pPr>
        <w:widowControl w:val="0"/>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b/>
        </w:rPr>
        <w:t>8. Ampliación del término para resolver</w:t>
      </w:r>
      <w:r w:rsidRPr="002D3298">
        <w:rPr>
          <w:rFonts w:ascii="Palatino Linotype" w:eastAsia="Palatino Linotype" w:hAnsi="Palatino Linotype" w:cs="Palatino Linotype"/>
        </w:rPr>
        <w:t xml:space="preserve">. El </w:t>
      </w:r>
      <w:r w:rsidRPr="002D3298">
        <w:rPr>
          <w:rFonts w:ascii="Palatino Linotype" w:eastAsia="Palatino Linotype" w:hAnsi="Palatino Linotype" w:cs="Palatino Linotype"/>
          <w:b/>
        </w:rPr>
        <w:t xml:space="preserve">veintiuno de mayo de dos mil </w:t>
      </w:r>
      <w:r w:rsidRPr="002D3298">
        <w:rPr>
          <w:rFonts w:ascii="Palatino Linotype" w:eastAsia="Palatino Linotype" w:hAnsi="Palatino Linotype" w:cs="Palatino Linotype"/>
          <w:b/>
        </w:rPr>
        <w:lastRenderedPageBreak/>
        <w:t>veinticinco</w:t>
      </w:r>
      <w:r w:rsidRPr="002D3298">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2563B5C4"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D40D819"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BAF2441"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0E9E1D"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0D4A9D5" w14:textId="77777777" w:rsidR="00B20935" w:rsidRPr="002D3298" w:rsidRDefault="00151843">
      <w:pPr>
        <w:spacing w:before="240" w:after="240" w:line="360" w:lineRule="auto"/>
        <w:jc w:val="both"/>
        <w:rPr>
          <w:rFonts w:ascii="Palatino Linotype" w:eastAsia="Palatino Linotype" w:hAnsi="Palatino Linotype" w:cs="Palatino Linotype"/>
          <w:strike/>
        </w:rPr>
      </w:pPr>
      <w:r w:rsidRPr="002D3298">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9842E6B" w14:textId="77777777" w:rsidR="00B20935" w:rsidRPr="002D3298" w:rsidRDefault="00151843">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EF570C6" w14:textId="77777777" w:rsidR="00B20935" w:rsidRPr="002D3298" w:rsidRDefault="00151843">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2D3298">
        <w:rPr>
          <w:rFonts w:ascii="Palatino Linotype" w:eastAsia="Palatino Linotype" w:hAnsi="Palatino Linotype" w:cs="Palatino Linotype"/>
        </w:rPr>
        <w:t>Actividad Procesal del interesado. Acciones u omisiones del interesado.</w:t>
      </w:r>
    </w:p>
    <w:p w14:paraId="18F434B9" w14:textId="77777777" w:rsidR="00B20935" w:rsidRPr="002D3298" w:rsidRDefault="00151843">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2D3298">
        <w:rPr>
          <w:rFonts w:ascii="Palatino Linotype" w:eastAsia="Palatino Linotype" w:hAnsi="Palatino Linotype" w:cs="Palatino Linotype"/>
        </w:rPr>
        <w:t>Conducta de la Autoridad: Las Acciones u omisiones realizadas en el procedimiento. Así como si la autoridad actuó con la debida diligencia.</w:t>
      </w:r>
    </w:p>
    <w:p w14:paraId="6B975A0C" w14:textId="77777777" w:rsidR="00B20935" w:rsidRPr="002D3298" w:rsidRDefault="00151843">
      <w:pPr>
        <w:tabs>
          <w:tab w:val="left" w:pos="567"/>
        </w:tabs>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d) La afectación generada en la situación jurídica de la persona involucrada en el proceso: Violación a sus derechos humanos.</w:t>
      </w:r>
    </w:p>
    <w:p w14:paraId="28666B15"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C26CDAE" w14:textId="77777777" w:rsidR="00B20935" w:rsidRPr="002D3298" w:rsidRDefault="00151843">
      <w:pPr>
        <w:spacing w:before="240" w:after="240" w:line="360" w:lineRule="auto"/>
        <w:jc w:val="both"/>
        <w:rPr>
          <w:rFonts w:ascii="Palatino Linotype" w:eastAsia="Palatino Linotype" w:hAnsi="Palatino Linotype" w:cs="Palatino Linotype"/>
          <w:b/>
        </w:rPr>
      </w:pPr>
      <w:r w:rsidRPr="002D329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D3298">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2D3298">
        <w:rPr>
          <w:rFonts w:ascii="Palatino Linotype" w:eastAsia="Palatino Linotype" w:hAnsi="Palatino Linotype" w:cs="Palatino Linotype"/>
          <w:i/>
        </w:rPr>
        <w:lastRenderedPageBreak/>
        <w:t>CARACTERÍSTICAS DEL CASO.”</w:t>
      </w:r>
      <w:r w:rsidRPr="002D3298">
        <w:rPr>
          <w:rFonts w:ascii="Palatino Linotype" w:eastAsia="Palatino Linotype" w:hAnsi="Palatino Linotype" w:cs="Palatino Linotype"/>
        </w:rPr>
        <w:t>, visible en la Gaceta del Seminario Judicial de la Federación con el registro digital 205635.</w:t>
      </w:r>
    </w:p>
    <w:p w14:paraId="77AD903B"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88329BC"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AE4E657" w14:textId="77777777" w:rsidR="00B20935" w:rsidRPr="002D3298" w:rsidRDefault="00151843">
      <w:pPr>
        <w:spacing w:before="120" w:after="120"/>
        <w:ind w:left="851" w:right="902"/>
        <w:jc w:val="both"/>
        <w:rPr>
          <w:rFonts w:ascii="Palatino Linotype" w:eastAsia="Palatino Linotype" w:hAnsi="Palatino Linotype" w:cs="Palatino Linotype"/>
          <w:sz w:val="22"/>
          <w:szCs w:val="22"/>
        </w:rPr>
      </w:pPr>
      <w:r w:rsidRPr="002D3298">
        <w:rPr>
          <w:rFonts w:ascii="Palatino Linotype" w:eastAsia="Palatino Linotype" w:hAnsi="Palatino Linotype" w:cs="Palatino Linotype"/>
          <w:sz w:val="22"/>
          <w:szCs w:val="22"/>
        </w:rPr>
        <w:t xml:space="preserve"> </w:t>
      </w: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PLAZO RAZONABLE PARA RESOLVER. DIMENSIÓN Y EFECTOS DE ESTE CONCEPTO CUANDO SE ADUCE EXCESIVA CARGA DE TRABAJO</w:t>
      </w: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sz w:val="22"/>
          <w:szCs w:val="22"/>
        </w:rPr>
        <w:t xml:space="preserve"> consultable en el Seminario Judicial de la Federación y su gaceta, con el registro digital 2002351.</w:t>
      </w:r>
    </w:p>
    <w:p w14:paraId="7A6577A9" w14:textId="77777777" w:rsidR="00B20935" w:rsidRPr="002D3298" w:rsidRDefault="00151843">
      <w:pPr>
        <w:spacing w:before="120" w:after="120"/>
        <w:ind w:left="851" w:right="902"/>
        <w:jc w:val="both"/>
        <w:rPr>
          <w:rFonts w:ascii="Palatino Linotype" w:eastAsia="Palatino Linotype" w:hAnsi="Palatino Linotype" w:cs="Palatino Linotype"/>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sz w:val="22"/>
          <w:szCs w:val="22"/>
        </w:rPr>
        <w:t>, visible en el Seminario Judicial de la Federación y su gaceta, con el registro digital 2002350.</w:t>
      </w:r>
    </w:p>
    <w:p w14:paraId="21AC895B"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731E1E61"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5806386" w14:textId="77777777" w:rsidR="00B20935" w:rsidRPr="002D3298" w:rsidRDefault="00151843">
      <w:pPr>
        <w:widowControl w:val="0"/>
        <w:spacing w:before="240" w:after="240" w:line="360" w:lineRule="auto"/>
        <w:jc w:val="center"/>
        <w:rPr>
          <w:rFonts w:ascii="Palatino Linotype" w:eastAsia="Palatino Linotype" w:hAnsi="Palatino Linotype" w:cs="Palatino Linotype"/>
          <w:b/>
        </w:rPr>
      </w:pPr>
      <w:r w:rsidRPr="002D3298">
        <w:rPr>
          <w:rFonts w:ascii="Palatino Linotype" w:eastAsia="Palatino Linotype" w:hAnsi="Palatino Linotype" w:cs="Palatino Linotype"/>
          <w:b/>
        </w:rPr>
        <w:t>II. C O N S I D E R A N D O S</w:t>
      </w:r>
    </w:p>
    <w:p w14:paraId="0977084A"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b/>
        </w:rPr>
        <w:t>Primero. Competencia.</w:t>
      </w:r>
      <w:r w:rsidRPr="002D329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685B4FB"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2D3298">
        <w:rPr>
          <w:rFonts w:ascii="Palatino Linotype" w:eastAsia="Palatino Linotype" w:hAnsi="Palatino Linotype" w:cs="Palatino Linotype"/>
          <w:b/>
        </w:rPr>
        <w:t>Segundo. Oportunidad y Procedibilidad del Recurso de Revisión</w:t>
      </w:r>
      <w:r w:rsidRPr="002D3298">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7CE091"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 xml:space="preserve">remitió la respuesta a la solicitud de información el día </w:t>
      </w:r>
      <w:r w:rsidRPr="002D3298">
        <w:rPr>
          <w:rFonts w:ascii="Palatino Linotype" w:eastAsia="Palatino Linotype" w:hAnsi="Palatino Linotype" w:cs="Palatino Linotype"/>
          <w:b/>
        </w:rPr>
        <w:t xml:space="preserve">once de marzo de dos mil veinticinco, </w:t>
      </w:r>
      <w:r w:rsidRPr="002D3298">
        <w:rPr>
          <w:rFonts w:ascii="Palatino Linotype" w:eastAsia="Palatino Linotype" w:hAnsi="Palatino Linotype" w:cs="Palatino Linotype"/>
        </w:rPr>
        <w:t xml:space="preserve">mientras que el recurso de revisión interpuesto por la parte </w:t>
      </w:r>
      <w:r w:rsidRPr="002D3298">
        <w:rPr>
          <w:rFonts w:ascii="Palatino Linotype" w:eastAsia="Palatino Linotype" w:hAnsi="Palatino Linotype" w:cs="Palatino Linotype"/>
          <w:b/>
        </w:rPr>
        <w:t xml:space="preserve">Recurrente, </w:t>
      </w:r>
      <w:r w:rsidRPr="002D3298">
        <w:rPr>
          <w:rFonts w:ascii="Palatino Linotype" w:eastAsia="Palatino Linotype" w:hAnsi="Palatino Linotype" w:cs="Palatino Linotype"/>
        </w:rPr>
        <w:t>se tuvo por presentado el día</w:t>
      </w:r>
      <w:r w:rsidRPr="002D3298">
        <w:rPr>
          <w:rFonts w:ascii="Palatino Linotype" w:eastAsia="Palatino Linotype" w:hAnsi="Palatino Linotype" w:cs="Palatino Linotype"/>
          <w:b/>
        </w:rPr>
        <w:t xml:space="preserve"> once de marzo de dos mil veinticinco, </w:t>
      </w:r>
      <w:r w:rsidRPr="002D3298">
        <w:rPr>
          <w:rFonts w:ascii="Palatino Linotype" w:eastAsia="Palatino Linotype" w:hAnsi="Palatino Linotype" w:cs="Palatino Linotype"/>
        </w:rPr>
        <w:t>esto es, el mismo día en el que tuvo conocimiento de la respuesta impugnada. En este sentido, se concluye que el presente recurso de revisión se encuentra dentro de los márgenes temporales previstos en las disposiciones legales referidas.</w:t>
      </w:r>
    </w:p>
    <w:p w14:paraId="4BBFFD48"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F648E7F"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2D3298">
        <w:rPr>
          <w:rFonts w:ascii="Palatino Linotype" w:eastAsia="Palatino Linotype" w:hAnsi="Palatino Linotype" w:cs="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w:t>
      </w:r>
      <w:r w:rsidRPr="002D3298">
        <w:rPr>
          <w:rFonts w:ascii="Palatino Linotype" w:eastAsia="Palatino Linotype" w:hAnsi="Palatino Linotype" w:cs="Palatino Linotype"/>
          <w:i/>
          <w:sz w:val="22"/>
          <w:szCs w:val="22"/>
        </w:rPr>
        <w:lastRenderedPageBreak/>
        <w:t xml:space="preserve">días, por tanto, no impide que el escrito correspondiente se presente antes de iniciado ese término. De ahí </w:t>
      </w:r>
      <w:proofErr w:type="gramStart"/>
      <w:r w:rsidRPr="002D3298">
        <w:rPr>
          <w:rFonts w:ascii="Palatino Linotype" w:eastAsia="Palatino Linotype" w:hAnsi="Palatino Linotype" w:cs="Palatino Linotype"/>
          <w:i/>
          <w:sz w:val="22"/>
          <w:szCs w:val="22"/>
        </w:rPr>
        <w:t>que</w:t>
      </w:r>
      <w:proofErr w:type="gramEnd"/>
      <w:r w:rsidRPr="002D3298">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6FBB61B8" w14:textId="77777777" w:rsidR="00B20935" w:rsidRPr="002D3298" w:rsidRDefault="00151843">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2D3298">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2A0C9E8"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Finalmente, se advierte que resulta procedente la interposición del recurso, según lo manifestado por 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xml:space="preserve"> en sus motivos de inconformidad, de acuerdo al artículo 179, fracción I del ordenamiento legal citado, que a la letra dice: </w:t>
      </w:r>
    </w:p>
    <w:p w14:paraId="6D6E78B5" w14:textId="77777777" w:rsidR="00B20935" w:rsidRPr="002D3298" w:rsidRDefault="00151843">
      <w:pPr>
        <w:tabs>
          <w:tab w:val="left" w:pos="7938"/>
        </w:tabs>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179.</w:t>
      </w:r>
      <w:r w:rsidRPr="002D329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219B722" w14:textId="77777777" w:rsidR="00B20935" w:rsidRPr="002D3298" w:rsidRDefault="00151843">
      <w:pPr>
        <w:tabs>
          <w:tab w:val="left" w:pos="7938"/>
        </w:tabs>
        <w:spacing w:before="120" w:after="120"/>
        <w:ind w:left="1134"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La negativa a la información solicitada;”</w:t>
      </w:r>
    </w:p>
    <w:p w14:paraId="6F937C2C" w14:textId="77777777" w:rsidR="00B20935" w:rsidRPr="002D3298" w:rsidRDefault="00151843">
      <w:pPr>
        <w:spacing w:before="240" w:after="240" w:line="360" w:lineRule="auto"/>
        <w:jc w:val="both"/>
        <w:rPr>
          <w:rFonts w:ascii="Palatino Linotype" w:eastAsia="Palatino Linotype" w:hAnsi="Palatino Linotype" w:cs="Palatino Linotype"/>
          <w:b/>
        </w:rPr>
      </w:pPr>
      <w:r w:rsidRPr="002D3298">
        <w:rPr>
          <w:rFonts w:ascii="Palatino Linotype" w:eastAsia="Palatino Linotype" w:hAnsi="Palatino Linotype" w:cs="Palatino Linotype"/>
          <w:b/>
        </w:rPr>
        <w:t xml:space="preserve">Tercero. Materia de la revisión. </w:t>
      </w:r>
      <w:r w:rsidRPr="002D329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2D3298">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2D3298">
        <w:rPr>
          <w:rFonts w:ascii="Palatino Linotype" w:eastAsia="Palatino Linotype" w:hAnsi="Palatino Linotype" w:cs="Palatino Linotype"/>
        </w:rPr>
        <w:t xml:space="preserve">de 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o en su defecto, en caso de ser procedente, ordenar la entrega de información.</w:t>
      </w:r>
    </w:p>
    <w:p w14:paraId="080FA89C"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2D3298">
        <w:rPr>
          <w:rFonts w:ascii="Palatino Linotype" w:eastAsia="Palatino Linotype" w:hAnsi="Palatino Linotype" w:cs="Palatino Linotype"/>
          <w:b/>
        </w:rPr>
        <w:lastRenderedPageBreak/>
        <w:t xml:space="preserve">Cuarto. Estudio del asunto. </w:t>
      </w:r>
      <w:r w:rsidRPr="002D3298">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BC42FA1"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4</w:t>
      </w:r>
      <w:r w:rsidRPr="002D329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640DDB"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D329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9744048"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D3298">
        <w:rPr>
          <w:rFonts w:ascii="Palatino Linotype" w:eastAsia="Palatino Linotype" w:hAnsi="Palatino Linotype" w:cs="Palatino Linotype"/>
          <w:i/>
          <w:sz w:val="22"/>
          <w:szCs w:val="22"/>
        </w:rPr>
        <w:t>.”</w:t>
      </w:r>
    </w:p>
    <w:p w14:paraId="2BD2ED10"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2D3298">
        <w:rPr>
          <w:rFonts w:ascii="Palatino Linotype" w:eastAsia="Palatino Linotype" w:hAnsi="Palatino Linotype" w:cs="Palatino Linotype"/>
        </w:rPr>
        <w:lastRenderedPageBreak/>
        <w:t>Transparencia y Acceso a la Información Pública del Estado de México y Municipios, que a la letra dice:</w:t>
      </w:r>
    </w:p>
    <w:p w14:paraId="55DD4FA9"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12.-</w:t>
      </w:r>
      <w:r w:rsidRPr="002D329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645DFDC"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1A9D01D" w14:textId="77777777" w:rsidR="00B20935" w:rsidRPr="002D3298" w:rsidRDefault="00151843">
      <w:pPr>
        <w:spacing w:before="240" w:after="240" w:line="360" w:lineRule="auto"/>
        <w:ind w:right="-93"/>
        <w:jc w:val="both"/>
        <w:rPr>
          <w:rFonts w:ascii="Palatino Linotype" w:eastAsia="Palatino Linotype" w:hAnsi="Palatino Linotype" w:cs="Palatino Linotype"/>
        </w:rPr>
      </w:pPr>
      <w:r w:rsidRPr="002D329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4AA1D688" w14:textId="77777777" w:rsidR="00B20935" w:rsidRPr="002D3298" w:rsidRDefault="00151843">
      <w:pPr>
        <w:spacing w:before="240" w:after="240" w:line="360" w:lineRule="auto"/>
        <w:jc w:val="both"/>
        <w:rPr>
          <w:rFonts w:ascii="Palatino Linotype" w:eastAsia="Palatino Linotype" w:hAnsi="Palatino Linotype" w:cs="Palatino Linotype"/>
          <w:b/>
        </w:rPr>
      </w:pPr>
      <w:r w:rsidRPr="002D3298">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2D3298">
        <w:rPr>
          <w:rFonts w:ascii="Palatino Linotype" w:eastAsia="Palatino Linotype" w:hAnsi="Palatino Linotype" w:cs="Palatino Linotype"/>
        </w:rPr>
        <w:t>que</w:t>
      </w:r>
      <w:proofErr w:type="gramEnd"/>
      <w:r w:rsidRPr="002D3298">
        <w:rPr>
          <w:rFonts w:ascii="Palatino Linotype" w:eastAsia="Palatino Linotype" w:hAnsi="Palatino Linotype" w:cs="Palatino Linotype"/>
        </w:rPr>
        <w:t xml:space="preserve"> por rubro y texto, dispone lo siguiente:</w:t>
      </w:r>
      <w:r w:rsidRPr="002D3298">
        <w:rPr>
          <w:rFonts w:ascii="Palatino Linotype" w:eastAsia="Palatino Linotype" w:hAnsi="Palatino Linotype" w:cs="Palatino Linotype"/>
          <w:b/>
        </w:rPr>
        <w:t xml:space="preserve"> </w:t>
      </w:r>
    </w:p>
    <w:p w14:paraId="3DAFEBC2"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No existe obligación de elaborar documentos ad hoc para atender las solicitudes de acceso a la información.</w:t>
      </w:r>
      <w:r w:rsidRPr="002D329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w:t>
      </w:r>
      <w:r w:rsidRPr="002D3298">
        <w:rPr>
          <w:rFonts w:ascii="Palatino Linotype" w:eastAsia="Palatino Linotype" w:hAnsi="Palatino Linotype" w:cs="Palatino Linotype"/>
          <w:i/>
          <w:sz w:val="22"/>
          <w:szCs w:val="22"/>
        </w:rPr>
        <w:lastRenderedPageBreak/>
        <w:t xml:space="preserve">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0F44ED7"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7814E05" w14:textId="77777777" w:rsidR="00B20935" w:rsidRPr="002D3298" w:rsidRDefault="00151843">
      <w:pPr>
        <w:spacing w:before="120" w:after="12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69AED56"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 xml:space="preserve">Artículo 3. </w:t>
      </w:r>
      <w:r w:rsidRPr="002D3298">
        <w:rPr>
          <w:rFonts w:ascii="Palatino Linotype" w:eastAsia="Palatino Linotype" w:hAnsi="Palatino Linotype" w:cs="Palatino Linotype"/>
          <w:i/>
          <w:sz w:val="22"/>
          <w:szCs w:val="22"/>
        </w:rPr>
        <w:t>Para los efectos de la presente Ley se entenderá por:</w:t>
      </w:r>
    </w:p>
    <w:p w14:paraId="508FB5B6"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343AED2C"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XI. Documento:</w:t>
      </w:r>
      <w:r w:rsidRPr="002D3298">
        <w:rPr>
          <w:rFonts w:ascii="Palatino Linotype" w:eastAsia="Palatino Linotype" w:hAnsi="Palatino Linotype" w:cs="Palatino Linotype"/>
          <w:i/>
          <w:sz w:val="22"/>
          <w:szCs w:val="22"/>
        </w:rPr>
        <w:t xml:space="preserve"> Los expedientes, reportes, estudios, actas</w:t>
      </w:r>
      <w:r w:rsidRPr="002D3298">
        <w:rPr>
          <w:rFonts w:ascii="Palatino Linotype" w:eastAsia="Palatino Linotype" w:hAnsi="Palatino Linotype" w:cs="Palatino Linotype"/>
          <w:b/>
          <w:i/>
          <w:sz w:val="22"/>
          <w:szCs w:val="22"/>
        </w:rPr>
        <w:t>,</w:t>
      </w:r>
      <w:r w:rsidRPr="002D329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w:t>
      </w:r>
      <w:r w:rsidRPr="002D3298">
        <w:rPr>
          <w:rFonts w:ascii="Palatino Linotype" w:eastAsia="Palatino Linotype" w:hAnsi="Palatino Linotype" w:cs="Palatino Linotype"/>
          <w:i/>
          <w:sz w:val="22"/>
          <w:szCs w:val="22"/>
        </w:rPr>
        <w:lastRenderedPageBreak/>
        <w:t xml:space="preserve">y competencias de los sujetos obligados, sus servidores públicos e integrantes, sin importar su fuente o fecha de elaboración. Los documentos podrán estar en cualquier medio, sea escrito, impreso, sonoro, visual, electrónico, informático u holográfico…” </w:t>
      </w:r>
    </w:p>
    <w:p w14:paraId="53A97398"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C47A6B"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sz w:val="22"/>
          <w:szCs w:val="22"/>
        </w:rPr>
        <w:t>“</w:t>
      </w:r>
      <w:r w:rsidRPr="002D329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D329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99196F"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En </w:t>
      </w:r>
      <w:proofErr w:type="gramStart"/>
      <w:r w:rsidRPr="002D3298">
        <w:rPr>
          <w:rFonts w:ascii="Palatino Linotype" w:eastAsia="Palatino Linotype" w:hAnsi="Palatino Linotype" w:cs="Palatino Linotype"/>
          <w:i/>
          <w:sz w:val="22"/>
          <w:szCs w:val="22"/>
        </w:rPr>
        <w:t>consecuencia</w:t>
      </w:r>
      <w:proofErr w:type="gramEnd"/>
      <w:r w:rsidRPr="002D329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E71AADD"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D3298">
        <w:rPr>
          <w:rFonts w:ascii="Palatino Linotype" w:eastAsia="Palatino Linotype" w:hAnsi="Palatino Linotype" w:cs="Palatino Linotype"/>
          <w:i/>
          <w:sz w:val="22"/>
          <w:szCs w:val="22"/>
        </w:rPr>
        <w:t>que</w:t>
      </w:r>
      <w:proofErr w:type="gramEnd"/>
      <w:r w:rsidRPr="002D3298">
        <w:rPr>
          <w:rFonts w:ascii="Palatino Linotype" w:eastAsia="Palatino Linotype" w:hAnsi="Palatino Linotype" w:cs="Palatino Linotype"/>
          <w:i/>
          <w:sz w:val="22"/>
          <w:szCs w:val="22"/>
        </w:rPr>
        <w:t xml:space="preserve"> en ejercicio de las atribuciones conferidas, sea generada por los Sujetos Obligados;</w:t>
      </w:r>
    </w:p>
    <w:p w14:paraId="29B4BD93"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2) Que se trate de información registrada en cualquier soporte documental, </w:t>
      </w:r>
      <w:proofErr w:type="gramStart"/>
      <w:r w:rsidRPr="002D3298">
        <w:rPr>
          <w:rFonts w:ascii="Palatino Linotype" w:eastAsia="Palatino Linotype" w:hAnsi="Palatino Linotype" w:cs="Palatino Linotype"/>
          <w:i/>
          <w:sz w:val="22"/>
          <w:szCs w:val="22"/>
        </w:rPr>
        <w:t>que</w:t>
      </w:r>
      <w:proofErr w:type="gramEnd"/>
      <w:r w:rsidRPr="002D3298">
        <w:rPr>
          <w:rFonts w:ascii="Palatino Linotype" w:eastAsia="Palatino Linotype" w:hAnsi="Palatino Linotype" w:cs="Palatino Linotype"/>
          <w:i/>
          <w:sz w:val="22"/>
          <w:szCs w:val="22"/>
        </w:rPr>
        <w:t xml:space="preserve"> en ejercicio de las atribuciones conferidas, sea administrada por los Sujetos Obligados, y</w:t>
      </w:r>
    </w:p>
    <w:p w14:paraId="15D9695A"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3) Que se trate de información registrada en cualquier soporte documental, </w:t>
      </w:r>
      <w:proofErr w:type="gramStart"/>
      <w:r w:rsidRPr="002D3298">
        <w:rPr>
          <w:rFonts w:ascii="Palatino Linotype" w:eastAsia="Palatino Linotype" w:hAnsi="Palatino Linotype" w:cs="Palatino Linotype"/>
          <w:i/>
          <w:sz w:val="22"/>
          <w:szCs w:val="22"/>
        </w:rPr>
        <w:t>que</w:t>
      </w:r>
      <w:proofErr w:type="gramEnd"/>
      <w:r w:rsidRPr="002D3298">
        <w:rPr>
          <w:rFonts w:ascii="Palatino Linotype" w:eastAsia="Palatino Linotype" w:hAnsi="Palatino Linotype" w:cs="Palatino Linotype"/>
          <w:i/>
          <w:sz w:val="22"/>
          <w:szCs w:val="22"/>
        </w:rPr>
        <w:t xml:space="preserve"> en ejercicio de las atribuciones conferidas, se encuentre en posesión de los Sujetos Obligados.”</w:t>
      </w:r>
    </w:p>
    <w:p w14:paraId="50AB56F8"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w:t>
      </w:r>
      <w:r w:rsidRPr="002D3298">
        <w:rPr>
          <w:rFonts w:ascii="Palatino Linotype" w:eastAsia="Palatino Linotype" w:hAnsi="Palatino Linotype" w:cs="Palatino Linotype"/>
        </w:rPr>
        <w:lastRenderedPageBreak/>
        <w:t>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834478D"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8A9D5CB"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xml:space="preserve"> requirió al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le proporcione, información consistente en lo siguiente:</w:t>
      </w:r>
    </w:p>
    <w:p w14:paraId="567BCA53" w14:textId="77777777" w:rsidR="00B20935" w:rsidRPr="002D3298" w:rsidRDefault="00151843">
      <w:pPr>
        <w:spacing w:before="240" w:after="240" w:line="360"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1. Plan Anual de Obras aprobado por cabildo, así como todas las modificaciones o adecuaciones que se realizaron de los ejercicios 2023, 2024 y 2025.</w:t>
      </w:r>
    </w:p>
    <w:p w14:paraId="660DBC79"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2. Todos los contratos de obra pública que se adjudicaron o llevaron a cabo a través de licitaciones mediante convocatoria pública o cualquier otro método de contratación (adjudicación directa, invitación restringida).</w:t>
      </w:r>
    </w:p>
    <w:p w14:paraId="3804647F"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3. Se informe si cada contrato cuenta con garantías o fianzas por parte de los prestadores de servicio.</w:t>
      </w:r>
    </w:p>
    <w:p w14:paraId="1B901D41"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4. El comité vecinal donde se vea reflejado la conformidad o inconformidad de la obra realizada.</w:t>
      </w:r>
    </w:p>
    <w:p w14:paraId="02BEF42C"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5. Suficiencia presupuestarias donde se observe el tipo de recurso.</w:t>
      </w:r>
    </w:p>
    <w:p w14:paraId="72AA003E"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6. Acta de entrega recepción de obra, Acta de entrega-Recepción de Obra del contratista al Municipio, Acta de Entrega recepción de obra municipal a los beneficiarios.</w:t>
      </w:r>
    </w:p>
    <w:p w14:paraId="7ED83692"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7. Análisis comparativo de propuestas. </w:t>
      </w:r>
    </w:p>
    <w:p w14:paraId="47B26D1C"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8. Bitácora de Obra.</w:t>
      </w:r>
    </w:p>
    <w:p w14:paraId="23109E92"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respuesta,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por conducto de la Dirección de Desarrollo Urbano y Obras Públicas, manifestó que la documentación que se encontraba en el archivo de la Dirección a su cargo, se encontraba en periodo de revisión por cambio de administración, motivo por el cual no era posible atender lo solicitado, ya que de conformidad con Lineamientos que norman la Entrega Recepción de los Ayuntamientos, sus dependencias, unidades administrativas y entidades de administración pública municipal del estado de México, de fecha 19 de agosto 2024, cuenta con 90 días naturales para realizar la revisión de la documentación.</w:t>
      </w:r>
    </w:p>
    <w:p w14:paraId="4FA000E2"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Derivado de lo anterior, la parte </w:t>
      </w:r>
      <w:r w:rsidRPr="002D3298">
        <w:rPr>
          <w:rFonts w:ascii="Palatino Linotype" w:eastAsia="Palatino Linotype" w:hAnsi="Palatino Linotype" w:cs="Palatino Linotype"/>
          <w:b/>
        </w:rPr>
        <w:t xml:space="preserve">Recurrente </w:t>
      </w:r>
      <w:r w:rsidRPr="002D3298">
        <w:rPr>
          <w:rFonts w:ascii="Palatino Linotype" w:eastAsia="Palatino Linotype" w:hAnsi="Palatino Linotype" w:cs="Palatino Linotype"/>
        </w:rPr>
        <w:t>presentó el recurso de revisión que se resuelve, donde se inconformó por la negativa de la información, bajo el argumento de encontrarse en proceso de revisión.</w:t>
      </w:r>
    </w:p>
    <w:p w14:paraId="484EC0A2"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Durante el periodo de manifestaciones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 xml:space="preserve">fue omiso en rendir su informe justificado, y la parte </w:t>
      </w:r>
      <w:r w:rsidRPr="002D3298">
        <w:rPr>
          <w:rFonts w:ascii="Palatino Linotype" w:eastAsia="Palatino Linotype" w:hAnsi="Palatino Linotype" w:cs="Palatino Linotype"/>
          <w:b/>
        </w:rPr>
        <w:t xml:space="preserve">Recurrente </w:t>
      </w:r>
      <w:r w:rsidRPr="002D3298">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1040DB39" w14:textId="77777777" w:rsidR="00B20935" w:rsidRPr="002D3298" w:rsidRDefault="00151843">
      <w:pPr>
        <w:spacing w:before="280" w:after="28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 xml:space="preserve">en contraposición con el motivo de inconformidad alegado por la parte </w:t>
      </w:r>
      <w:r w:rsidRPr="002D3298">
        <w:rPr>
          <w:rFonts w:ascii="Palatino Linotype" w:eastAsia="Palatino Linotype" w:hAnsi="Palatino Linotype" w:cs="Palatino Linotype"/>
          <w:b/>
        </w:rPr>
        <w:t xml:space="preserve">Recurrente, </w:t>
      </w:r>
      <w:r w:rsidRPr="002D3298">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2326E16A"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5A272D4"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esta puede obrar en las distintas áreas que conforman la estructura </w:t>
      </w:r>
      <w:r w:rsidRPr="002D3298">
        <w:rPr>
          <w:rFonts w:ascii="Palatino Linotype" w:eastAsia="Palatino Linotype" w:hAnsi="Palatino Linotype" w:cs="Palatino Linotype"/>
        </w:rPr>
        <w:lastRenderedPageBreak/>
        <w:t>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641C0841"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22758C44"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w:t>
      </w:r>
      <w:r w:rsidRPr="002D3298">
        <w:rPr>
          <w:rFonts w:ascii="Palatino Linotype" w:eastAsia="Palatino Linotype" w:hAnsi="Palatino Linotype" w:cs="Palatino Linotype"/>
        </w:rPr>
        <w:lastRenderedPageBreak/>
        <w:t>información solicitada, y que una vez localizada, la misma sea proporcionada a las personas solicitantes atendiendo a la naturaleza jurídica de la misma.</w:t>
      </w:r>
    </w:p>
    <w:p w14:paraId="1292E0B3"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En el caso particular, derivado del análisis de las constancias que obran en el expediente electrónico en el que se actúa, se advirtió que la Unidad de Transparencia turnó la solicitud de información a la Dirección de Desarrollo Urbano y Obras Públicas como la dependencia competente para conocer de la información que es del interés de la persona solicitante.</w:t>
      </w:r>
    </w:p>
    <w:p w14:paraId="27C2FE42"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Al respecto, se menciona que de conformidad con el artículo 96 Bis de la Ley Orgánica Municipal del Estado de México, dispone que el </w:t>
      </w:r>
      <w:proofErr w:type="gramStart"/>
      <w:r w:rsidRPr="002D3298">
        <w:rPr>
          <w:rFonts w:ascii="Palatino Linotype" w:eastAsia="Palatino Linotype" w:hAnsi="Palatino Linotype" w:cs="Palatino Linotype"/>
        </w:rPr>
        <w:t>Director</w:t>
      </w:r>
      <w:proofErr w:type="gramEnd"/>
      <w:r w:rsidRPr="002D3298">
        <w:rPr>
          <w:rFonts w:ascii="Palatino Linotype" w:eastAsia="Palatino Linotype" w:hAnsi="Palatino Linotype" w:cs="Palatino Linotype"/>
        </w:rPr>
        <w:t xml:space="preserve"> de Obras Públicas tiene a su cargo, las siguientes atribuciones en su parte conducente:</w:t>
      </w:r>
    </w:p>
    <w:p w14:paraId="7EA0EB89"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 Realizar la programación y ejecución de las obras públicas y servicios relacionados, que por orden expresa del Ayuntamiento requieran prioridad; </w:t>
      </w:r>
    </w:p>
    <w:p w14:paraId="7E78E47F"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Planear y coordinar los proyectos de obras públicas y servicios relacionados con las mismas que autorice el Ayuntamiento, una vez que se cumplan los requisitos de licitación y otros que determine la ley de la materia;</w:t>
      </w:r>
    </w:p>
    <w:p w14:paraId="7EE2D48B"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Proyectar las obras públicas y servicios relacionados, que realice el Municipio, incluyendo la conservación y mantenimiento de edificios, monumentos, calles, parques y jardines;</w:t>
      </w:r>
    </w:p>
    <w:p w14:paraId="5F00D4CD"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 Construir y ejecutar todas aquellas obras públicas y servicios relacionados, que aumenten y mantengan la infraestructura municipal y que estén consideradas en el programa respectivo; </w:t>
      </w:r>
    </w:p>
    <w:p w14:paraId="3DF0A380"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 Determinar y cuantificar los materiales y trabajos necesarios para programas de construcción y mantenimiento de obras públicas y servicios relacionados; </w:t>
      </w:r>
    </w:p>
    <w:p w14:paraId="53BD35F9"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Vigilar que se cumplan y lleven a cabo los programas de construcción y mantenimiento de obras públicas y servicios relacionados;</w:t>
      </w:r>
    </w:p>
    <w:p w14:paraId="1CCC6E72"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Vigilar la construcción en las obras por contrato y por administración que hayan sido adjudicadas a los contratistas;</w:t>
      </w:r>
    </w:p>
    <w:p w14:paraId="69B5CED9"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7ECD46F3"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Verificar que las obras públicas y los servicios relacionados con la misma, hayan sido programadas, presupuestadas, ejecutadas, adquiridas y contratadas en estricto apego a las disposiciones legales aplicables;</w:t>
      </w:r>
    </w:p>
    <w:p w14:paraId="2427DC9A" w14:textId="77777777" w:rsidR="00B20935" w:rsidRPr="002D3298" w:rsidRDefault="00151843">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Autorizar para su pago, previa validación del avance y calidad de las obras, los presupuestos y estimaciones que presenten los contratistas de obras públicas municipales;</w:t>
      </w:r>
    </w:p>
    <w:p w14:paraId="2846D165"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Por su parte, el artículo 175 del Bando Municipal de Cocotitlán vigente, dispone en que la Dirección de Desarrollo Urbano y Obras Públicas, promoverá, gestionará y ejecutará acciones y programas de suelo y vivienda; así mismo tendrá las atribuciones contenidas en Artículo 96 </w:t>
      </w:r>
      <w:proofErr w:type="spellStart"/>
      <w:r w:rsidRPr="002D3298">
        <w:rPr>
          <w:rFonts w:ascii="Palatino Linotype" w:eastAsia="Palatino Linotype" w:hAnsi="Palatino Linotype" w:cs="Palatino Linotype"/>
        </w:rPr>
        <w:t>Sexies</w:t>
      </w:r>
      <w:proofErr w:type="spellEnd"/>
      <w:r w:rsidRPr="002D3298">
        <w:rPr>
          <w:rFonts w:ascii="Palatino Linotype" w:eastAsia="Palatino Linotype" w:hAnsi="Palatino Linotype" w:cs="Palatino Linotype"/>
        </w:rPr>
        <w:t xml:space="preserve"> de la Ley Orgánica Municipal del </w:t>
      </w:r>
      <w:r w:rsidRPr="002D3298">
        <w:rPr>
          <w:rFonts w:ascii="Palatino Linotype" w:eastAsia="Palatino Linotype" w:hAnsi="Palatino Linotype" w:cs="Palatino Linotype"/>
        </w:rPr>
        <w:lastRenderedPageBreak/>
        <w:t>Estado de México, el Artículo 115, fracción V de la Constitución Política de los Estados Unidos Mexicanos, Libro Quinto y reglamento del libro Quinto, Libro Décimo Octavo del Código Administrativo del Estado de México, las normas técnicas, los Planes Municipales de Desarrollo Urbano y demás normatividad aplicable.</w:t>
      </w:r>
    </w:p>
    <w:p w14:paraId="3FDBD42D" w14:textId="77777777" w:rsidR="00B20935" w:rsidRPr="002D3298" w:rsidRDefault="00151843">
      <w:pPr>
        <w:tabs>
          <w:tab w:val="left" w:pos="3544"/>
        </w:tabs>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Atento a lo anterior, se colige que la Dirección de Desarrollo Urbano y Obras Públicas cuenta con atribuciones para conocer de la información solicitada por 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6F679CEF"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No obstante de lo anterior, debe decirse que el pronunciamiento emitido por el servidor público habilitado no colma los requerimientos de información formulados por 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xml:space="preserve">, dado que se limitó a referir que se encontraba impedido para proporcionar información al encontrarse la documentación que obra en los archivos de la Dirección de Desarrollo Urbano y Obras Públicas en revisión derivado del cambio de administración, contando con un plazo de 90 días naturales para realizar la revisión, situación que no justifica la restricción al Derecho de acceso a la información puesto que en el caso particular, se pretende el acceso a documentos que ya obran en poder del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que no sufren </w:t>
      </w:r>
      <w:r w:rsidRPr="002D3298">
        <w:rPr>
          <w:rFonts w:ascii="Palatino Linotype" w:eastAsia="Palatino Linotype" w:hAnsi="Palatino Linotype" w:cs="Palatino Linotype"/>
        </w:rPr>
        <w:lastRenderedPageBreak/>
        <w:t>modificación alguna derivado de la revisión que realice, puesto que de ser el caso, es necesario que se genere otro documento.</w:t>
      </w:r>
    </w:p>
    <w:p w14:paraId="74FC6DD0" w14:textId="77777777" w:rsidR="00B20935" w:rsidRPr="002D3298" w:rsidRDefault="00151843">
      <w:pPr>
        <w:spacing w:before="240" w:after="240" w:line="360" w:lineRule="auto"/>
        <w:ind w:right="49"/>
        <w:jc w:val="both"/>
      </w:pPr>
      <w:r w:rsidRPr="002D3298">
        <w:rPr>
          <w:rFonts w:ascii="Palatino Linotype" w:eastAsia="Palatino Linotype" w:hAnsi="Palatino Linotype" w:cs="Palatino Linotype"/>
        </w:rPr>
        <w:t>Como sustento a lo anterior, sirve de apoyo el Criterio 09/2004 emitido por el Comité de Acceso a la Información y de Protección de Datos Personales, la Suprema Corte de Justicia de la Nación, cuya literalidad es la siguiente:</w:t>
      </w:r>
    </w:p>
    <w:p w14:paraId="130DC179" w14:textId="77777777" w:rsidR="00B20935" w:rsidRPr="002D3298" w:rsidRDefault="00151843">
      <w:pPr>
        <w:pBdr>
          <w:top w:val="nil"/>
          <w:left w:val="nil"/>
          <w:bottom w:val="nil"/>
          <w:right w:val="nil"/>
          <w:between w:val="nil"/>
        </w:pBdr>
        <w:spacing w:before="120" w:after="120"/>
        <w:ind w:left="851" w:right="902"/>
        <w:jc w:val="both"/>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INFORMACIÓN SUJETA A REVISIÓN. SI YA CONSTA EN UN DOCUMENTO DEFINITIVO, DEBE PERMITIRSE EL ACCESO A ÉSTE</w:t>
      </w:r>
      <w:r w:rsidRPr="002D3298">
        <w:rPr>
          <w:rFonts w:ascii="Palatino Linotype" w:eastAsia="Palatino Linotype" w:hAnsi="Palatino Linotype" w:cs="Palatino Linotype"/>
          <w:i/>
          <w:sz w:val="22"/>
          <w:szCs w:val="22"/>
        </w:rPr>
        <w:t>.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w:t>
      </w:r>
    </w:p>
    <w:p w14:paraId="11C3EAA5" w14:textId="77777777" w:rsidR="00B20935" w:rsidRPr="002D3298" w:rsidRDefault="0015184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Del anterior criterio se puede deducir que el acceso a la información que obra en un documento definitivo debe permitirse en los términos solicitados, sin ser óbice o impedimento que dichos documentos se encuentren sujetos a revisión, por lo tanto, no es procedente el argumento del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en el sentido de restringir el acceso a la información derivado del proceso de revisión con motivo del cambio de administración, insistiendo que la información solicitada consta ya en documentos definitivos en su poder o bajo su resguardo.</w:t>
      </w:r>
    </w:p>
    <w:p w14:paraId="240D6B73"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Atento a lo anterior, es claro que, para efectos de garantizar el Derecho de acceso de la parte </w:t>
      </w:r>
      <w:r w:rsidRPr="002D3298">
        <w:rPr>
          <w:rFonts w:ascii="Palatino Linotype" w:eastAsia="Palatino Linotype" w:hAnsi="Palatino Linotype" w:cs="Palatino Linotype"/>
          <w:b/>
        </w:rPr>
        <w:t xml:space="preserve">Recurrente, </w:t>
      </w:r>
      <w:r w:rsidRPr="002D3298">
        <w:rPr>
          <w:rFonts w:ascii="Palatino Linotype" w:eastAsia="Palatino Linotype" w:hAnsi="Palatino Linotype" w:cs="Palatino Linotype"/>
        </w:rPr>
        <w:t xml:space="preserve">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 xml:space="preserve">deberá, previa búsqueda exhaustiva y </w:t>
      </w:r>
      <w:r w:rsidRPr="002D3298">
        <w:rPr>
          <w:rFonts w:ascii="Palatino Linotype" w:eastAsia="Palatino Linotype" w:hAnsi="Palatino Linotype" w:cs="Palatino Linotype"/>
        </w:rPr>
        <w:lastRenderedPageBreak/>
        <w:t>razonable, hacer entrega de la información que atienda lo solicitado, en versión pública de ser procedente de conformidad con el considerando siguiente.</w:t>
      </w:r>
    </w:p>
    <w:p w14:paraId="31DFD466"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este contexto, se menciona que si bien,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tiene la facultad para celebrar contratos de obra pública, estos se realizan en función del Programa Anual de Obra, documento que forma parte del Presupuesto de Egresos Municipal,  cuya versión definitiva se promulga y publica en la "Gaceta Municipal”, por la Presidenta o el Presidente Municipal,  a más tardar el día veinticinco de febrero de cada año,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72E41AAD"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125</w:t>
      </w:r>
      <w:r w:rsidRPr="002D3298">
        <w:rPr>
          <w:rFonts w:ascii="Palatino Linotype" w:eastAsia="Palatino Linotype" w:hAnsi="Palatino Linotype" w:cs="Palatino Linotype"/>
          <w:i/>
          <w:sz w:val="22"/>
          <w:szCs w:val="22"/>
        </w:rPr>
        <w:t>...</w:t>
      </w:r>
    </w:p>
    <w:p w14:paraId="33E065F2" w14:textId="77777777" w:rsidR="00B20935" w:rsidRPr="002D3298" w:rsidRDefault="00151843">
      <w:pPr>
        <w:spacing w:before="120" w:after="120"/>
        <w:ind w:left="851"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2D3298">
        <w:rPr>
          <w:rFonts w:ascii="Palatino Linotype" w:eastAsia="Palatino Linotype" w:hAnsi="Palatino Linotype" w:cs="Palatino Linotype"/>
          <w:b/>
          <w:i/>
          <w:sz w:val="22"/>
          <w:szCs w:val="22"/>
        </w:rPr>
        <w:t xml:space="preserve">La </w:t>
      </w:r>
      <w:proofErr w:type="gramStart"/>
      <w:r w:rsidRPr="002D3298">
        <w:rPr>
          <w:rFonts w:ascii="Palatino Linotype" w:eastAsia="Palatino Linotype" w:hAnsi="Palatino Linotype" w:cs="Palatino Linotype"/>
          <w:b/>
          <w:i/>
          <w:sz w:val="22"/>
          <w:szCs w:val="22"/>
        </w:rPr>
        <w:t>Presidenta</w:t>
      </w:r>
      <w:proofErr w:type="gramEnd"/>
      <w:r w:rsidRPr="002D3298">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w:t>
      </w:r>
    </w:p>
    <w:p w14:paraId="42B3BB92"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351</w:t>
      </w:r>
      <w:r w:rsidRPr="002D3298">
        <w:rPr>
          <w:rFonts w:ascii="Palatino Linotype" w:eastAsia="Palatino Linotype" w:hAnsi="Palatino Linotype" w:cs="Palatino Linotype"/>
          <w:i/>
          <w:sz w:val="22"/>
          <w:szCs w:val="22"/>
        </w:rPr>
        <w:t>...</w:t>
      </w:r>
    </w:p>
    <w:p w14:paraId="042FB4E6" w14:textId="77777777" w:rsidR="00B20935" w:rsidRPr="002D3298" w:rsidRDefault="00151843">
      <w:pPr>
        <w:spacing w:before="120" w:after="120"/>
        <w:ind w:left="851"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Los Ayuntamientos al aprobar en forma definitiva su presupuesto de egresos, deberán publicar en la "Gaceta Municipal</w:t>
      </w:r>
      <w:r w:rsidRPr="002D3298">
        <w:rPr>
          <w:rFonts w:ascii="Palatino Linotype" w:eastAsia="Palatino Linotype" w:hAnsi="Palatino Linotype" w:cs="Palatino Linotype"/>
          <w:i/>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2D3298">
        <w:rPr>
          <w:rFonts w:ascii="Palatino Linotype" w:eastAsia="Palatino Linotype" w:hAnsi="Palatino Linotype" w:cs="Palatino Linotype"/>
          <w:b/>
          <w:i/>
          <w:sz w:val="22"/>
          <w:szCs w:val="22"/>
        </w:rPr>
        <w:t>a más tardar el 25 de febrero del año para el cual habrá de aplicar dicho presupuesto.”</w:t>
      </w:r>
    </w:p>
    <w:p w14:paraId="353B7B66" w14:textId="77777777" w:rsidR="00B20935" w:rsidRPr="002D3298" w:rsidRDefault="00151843">
      <w:pPr>
        <w:spacing w:before="120" w:after="120"/>
        <w:ind w:left="851"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“Artículo 47</w:t>
      </w:r>
      <w:r w:rsidRPr="002D3298">
        <w:rPr>
          <w:rFonts w:ascii="Palatino Linotype" w:eastAsia="Palatino Linotype" w:hAnsi="Palatino Linotype" w:cs="Palatino Linotype"/>
          <w:i/>
          <w:sz w:val="22"/>
          <w:szCs w:val="22"/>
        </w:rPr>
        <w:t xml:space="preserve">.- Los </w:t>
      </w:r>
      <w:proofErr w:type="gramStart"/>
      <w:r w:rsidRPr="002D3298">
        <w:rPr>
          <w:rFonts w:ascii="Palatino Linotype" w:eastAsia="Palatino Linotype" w:hAnsi="Palatino Linotype" w:cs="Palatino Linotype"/>
          <w:i/>
          <w:sz w:val="22"/>
          <w:szCs w:val="22"/>
        </w:rPr>
        <w:t>Presidentes</w:t>
      </w:r>
      <w:proofErr w:type="gramEnd"/>
      <w:r w:rsidRPr="002D3298">
        <w:rPr>
          <w:rFonts w:ascii="Palatino Linotype" w:eastAsia="Palatino Linotype" w:hAnsi="Palatino Linotype" w:cs="Palatino Linotype"/>
          <w:i/>
          <w:sz w:val="22"/>
          <w:szCs w:val="22"/>
        </w:rPr>
        <w:t xml:space="preserve"> Municipales y los Síndicos estarán obligados a </w:t>
      </w:r>
      <w:r w:rsidRPr="002D3298">
        <w:rPr>
          <w:rFonts w:ascii="Palatino Linotype" w:eastAsia="Palatino Linotype" w:hAnsi="Palatino Linotype" w:cs="Palatino Linotype"/>
          <w:b/>
          <w:i/>
          <w:sz w:val="22"/>
          <w:szCs w:val="22"/>
        </w:rPr>
        <w:t xml:space="preserve">informar al Órgano Superior, a más tardar el 25 de febrero de cada año, </w:t>
      </w:r>
      <w:r w:rsidRPr="002D3298">
        <w:rPr>
          <w:rFonts w:ascii="Palatino Linotype" w:eastAsia="Palatino Linotype" w:hAnsi="Palatino Linotype" w:cs="Palatino Linotype"/>
          <w:b/>
          <w:i/>
          <w:sz w:val="22"/>
          <w:szCs w:val="22"/>
        </w:rPr>
        <w:lastRenderedPageBreak/>
        <w:t xml:space="preserve">el Presupuesto de Egresos Municipal que haya aprobado el Ayuntamiento </w:t>
      </w:r>
      <w:r w:rsidRPr="002D3298">
        <w:rPr>
          <w:rFonts w:ascii="Palatino Linotype" w:eastAsia="Palatino Linotype" w:hAnsi="Palatino Linotype" w:cs="Palatino Linotype"/>
          <w:i/>
          <w:sz w:val="22"/>
          <w:szCs w:val="22"/>
        </w:rPr>
        <w:t>correspondiente.”</w:t>
      </w:r>
    </w:p>
    <w:p w14:paraId="45F9D976"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Como se adelantó, entre los formatos que integran el Presupuesto de Egresos aprobado, de conformidad con el numeral 3.4.1 del Manual para la Planeación, Programación y Presupuesto de Egresos Municipal, se encuentra el </w:t>
      </w:r>
      <w:r w:rsidRPr="002D3298">
        <w:rPr>
          <w:rFonts w:ascii="Palatino Linotype" w:eastAsia="Palatino Linotype" w:hAnsi="Palatino Linotype" w:cs="Palatino Linotype"/>
          <w:b/>
        </w:rPr>
        <w:t xml:space="preserve">PbRM-07a Programa Anual de Obra </w:t>
      </w:r>
      <w:r w:rsidRPr="002D3298">
        <w:rPr>
          <w:rFonts w:ascii="Palatino Linotype" w:eastAsia="Palatino Linotype" w:hAnsi="Palatino Linotype" w:cs="Palatino Linotype"/>
        </w:rPr>
        <w:t xml:space="preserve">y el </w:t>
      </w:r>
      <w:proofErr w:type="spellStart"/>
      <w:r w:rsidRPr="002D3298">
        <w:rPr>
          <w:rFonts w:ascii="Palatino Linotype" w:eastAsia="Palatino Linotype" w:hAnsi="Palatino Linotype" w:cs="Palatino Linotype"/>
          <w:b/>
        </w:rPr>
        <w:t>PbRM</w:t>
      </w:r>
      <w:proofErr w:type="spellEnd"/>
      <w:r w:rsidRPr="002D3298">
        <w:rPr>
          <w:rFonts w:ascii="Palatino Linotype" w:eastAsia="Palatino Linotype" w:hAnsi="Palatino Linotype" w:cs="Palatino Linotype"/>
          <w:b/>
        </w:rPr>
        <w:t xml:space="preserve"> 07b Programa anual de obra (reparaciones y mantenimientos),</w:t>
      </w:r>
      <w:r w:rsidRPr="002D3298">
        <w:rPr>
          <w:rFonts w:ascii="Palatino Linotype" w:eastAsia="Palatino Linotype" w:hAnsi="Palatino Linotype" w:cs="Palatino Linotype"/>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14:paraId="1D1862CE"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drawing>
          <wp:inline distT="0" distB="0" distL="0" distR="0" wp14:anchorId="2211E8FE" wp14:editId="24242155">
            <wp:extent cx="5040000" cy="2908351"/>
            <wp:effectExtent l="0" t="0" r="0" b="0"/>
            <wp:docPr id="21401318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040000" cy="2908351"/>
                    </a:xfrm>
                    <a:prstGeom prst="rect">
                      <a:avLst/>
                    </a:prstGeom>
                    <a:ln/>
                  </pic:spPr>
                </pic:pic>
              </a:graphicData>
            </a:graphic>
          </wp:inline>
        </w:drawing>
      </w:r>
    </w:p>
    <w:p w14:paraId="4B9331A2"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191F712E" wp14:editId="6645A722">
            <wp:extent cx="4860000" cy="3463257"/>
            <wp:effectExtent l="0" t="0" r="0" b="0"/>
            <wp:docPr id="21401318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860000" cy="3463257"/>
                    </a:xfrm>
                    <a:prstGeom prst="rect">
                      <a:avLst/>
                    </a:prstGeom>
                    <a:ln/>
                  </pic:spPr>
                </pic:pic>
              </a:graphicData>
            </a:graphic>
          </wp:inline>
        </w:drawing>
      </w:r>
    </w:p>
    <w:p w14:paraId="68E3E18D"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drawing>
          <wp:inline distT="0" distB="0" distL="0" distR="0" wp14:anchorId="1929B0C0" wp14:editId="6F6E70B7">
            <wp:extent cx="5040000" cy="3788839"/>
            <wp:effectExtent l="0" t="0" r="0" b="0"/>
            <wp:docPr id="21401318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040000" cy="3788839"/>
                    </a:xfrm>
                    <a:prstGeom prst="rect">
                      <a:avLst/>
                    </a:prstGeom>
                    <a:ln/>
                  </pic:spPr>
                </pic:pic>
              </a:graphicData>
            </a:graphic>
          </wp:inline>
        </w:drawing>
      </w:r>
    </w:p>
    <w:p w14:paraId="0950C5ED"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7AE71ACE" wp14:editId="0EFC5AA2">
            <wp:extent cx="4860000" cy="2765987"/>
            <wp:effectExtent l="0" t="0" r="0" b="0"/>
            <wp:docPr id="21401318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860000" cy="2765987"/>
                    </a:xfrm>
                    <a:prstGeom prst="rect">
                      <a:avLst/>
                    </a:prstGeom>
                    <a:ln/>
                  </pic:spPr>
                </pic:pic>
              </a:graphicData>
            </a:graphic>
          </wp:inline>
        </w:drawing>
      </w:r>
    </w:p>
    <w:p w14:paraId="7AC5D78E"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igual forma,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se encuentra constreñido a entregar al Órgano Superior de Fiscalización del Estado de México, como parte de los informes trimestrales, el Avance del Programa Anal de Obras,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12EB6736"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De conformidad con los Lineamientos del ejercicio 2025, la información que generan los entes fiscalizables de carácter municipal con motivo del avance del programa anual de obras, se encuentra contenida en el Módulo 2 Información Presupuestaria, Submódulo Información Presupuestal (Plataforma Digital), como se muestra a continuación:</w:t>
      </w:r>
    </w:p>
    <w:p w14:paraId="6BE34992" w14:textId="77777777" w:rsidR="00B20935" w:rsidRPr="002D3298" w:rsidRDefault="00151843">
      <w:pPr>
        <w:spacing w:before="240" w:after="240" w:line="360" w:lineRule="auto"/>
        <w:ind w:right="49"/>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022DADD4" wp14:editId="2D72619A">
            <wp:extent cx="5040000" cy="2482935"/>
            <wp:effectExtent l="0" t="0" r="0" b="0"/>
            <wp:docPr id="21401318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40000" cy="2482935"/>
                    </a:xfrm>
                    <a:prstGeom prst="rect">
                      <a:avLst/>
                    </a:prstGeom>
                    <a:ln/>
                  </pic:spPr>
                </pic:pic>
              </a:graphicData>
            </a:graphic>
          </wp:inline>
        </w:drawing>
      </w:r>
    </w:p>
    <w:p w14:paraId="098A66C5"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noProof/>
        </w:rPr>
        <w:drawing>
          <wp:inline distT="0" distB="0" distL="0" distR="0" wp14:anchorId="181724A5" wp14:editId="4AE5944C">
            <wp:extent cx="5612130" cy="3495040"/>
            <wp:effectExtent l="0" t="0" r="0" b="0"/>
            <wp:docPr id="21401318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612130" cy="3495040"/>
                    </a:xfrm>
                    <a:prstGeom prst="rect">
                      <a:avLst/>
                    </a:prstGeom>
                    <a:ln/>
                  </pic:spPr>
                </pic:pic>
              </a:graphicData>
            </a:graphic>
          </wp:inline>
        </w:drawing>
      </w:r>
      <w:r w:rsidRPr="002D3298">
        <w:rPr>
          <w:noProof/>
        </w:rPr>
        <mc:AlternateContent>
          <mc:Choice Requires="wpg">
            <w:drawing>
              <wp:anchor distT="0" distB="0" distL="114300" distR="114300" simplePos="0" relativeHeight="251658240" behindDoc="0" locked="0" layoutInCell="1" hidden="0" allowOverlap="1" wp14:anchorId="647716F3" wp14:editId="47B86555">
                <wp:simplePos x="0" y="0"/>
                <wp:positionH relativeFrom="column">
                  <wp:posOffset>647700</wp:posOffset>
                </wp:positionH>
                <wp:positionV relativeFrom="paragraph">
                  <wp:posOffset>2997200</wp:posOffset>
                </wp:positionV>
                <wp:extent cx="4856591" cy="308445"/>
                <wp:effectExtent l="0" t="0" r="0" b="0"/>
                <wp:wrapNone/>
                <wp:docPr id="2140131833" name="Rectángulo 2140131833"/>
                <wp:cNvGraphicFramePr/>
                <a:graphic xmlns:a="http://schemas.openxmlformats.org/drawingml/2006/main">
                  <a:graphicData uri="http://schemas.microsoft.com/office/word/2010/wordprocessingShape">
                    <wps:wsp>
                      <wps:cNvSpPr/>
                      <wps:spPr>
                        <a:xfrm>
                          <a:off x="2936755" y="3644828"/>
                          <a:ext cx="4818491" cy="270345"/>
                        </a:xfrm>
                        <a:prstGeom prst="rect">
                          <a:avLst/>
                        </a:prstGeom>
                        <a:noFill/>
                        <a:ln w="38100" cap="flat" cmpd="sng">
                          <a:solidFill>
                            <a:srgbClr val="C00000"/>
                          </a:solidFill>
                          <a:prstDash val="solid"/>
                          <a:round/>
                          <a:headEnd type="none" w="sm" len="sm"/>
                          <a:tailEnd type="none" w="sm" len="sm"/>
                        </a:ln>
                      </wps:spPr>
                      <wps:txbx>
                        <w:txbxContent>
                          <w:p w14:paraId="0AD4962A" w14:textId="77777777" w:rsidR="00B20935" w:rsidRDefault="00B20935">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2997200</wp:posOffset>
                </wp:positionV>
                <wp:extent cx="4856591" cy="308445"/>
                <wp:effectExtent b="0" l="0" r="0" t="0"/>
                <wp:wrapNone/>
                <wp:docPr id="2140131833"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4856591" cy="308445"/>
                        </a:xfrm>
                        <a:prstGeom prst="rect"/>
                        <a:ln/>
                      </pic:spPr>
                    </pic:pic>
                  </a:graphicData>
                </a:graphic>
              </wp:anchor>
            </w:drawing>
          </mc:Fallback>
        </mc:AlternateContent>
      </w:r>
    </w:p>
    <w:p w14:paraId="1D954971" w14:textId="77777777" w:rsidR="00B20935" w:rsidRPr="002D3298" w:rsidRDefault="00151843">
      <w:pPr>
        <w:spacing w:before="240" w:after="240" w:line="360" w:lineRule="auto"/>
        <w:ind w:right="49"/>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08144DCA" wp14:editId="0DF9050B">
            <wp:extent cx="5040000" cy="2837067"/>
            <wp:effectExtent l="0" t="0" r="0" b="0"/>
            <wp:docPr id="21401318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040000" cy="2837067"/>
                    </a:xfrm>
                    <a:prstGeom prst="rect">
                      <a:avLst/>
                    </a:prstGeom>
                    <a:ln/>
                  </pic:spPr>
                </pic:pic>
              </a:graphicData>
            </a:graphic>
          </wp:inline>
        </w:drawing>
      </w:r>
    </w:p>
    <w:p w14:paraId="032F3E89" w14:textId="77777777" w:rsidR="00B20935" w:rsidRPr="002D3298" w:rsidRDefault="00151843">
      <w:pPr>
        <w:spacing w:before="240" w:after="240" w:line="360" w:lineRule="auto"/>
        <w:ind w:right="49"/>
        <w:jc w:val="center"/>
        <w:rPr>
          <w:rFonts w:ascii="Palatino Linotype" w:eastAsia="Palatino Linotype" w:hAnsi="Palatino Linotype" w:cs="Palatino Linotype"/>
        </w:rPr>
      </w:pPr>
      <w:r w:rsidRPr="002D3298">
        <w:rPr>
          <w:rFonts w:ascii="Palatino Linotype" w:eastAsia="Palatino Linotype" w:hAnsi="Palatino Linotype" w:cs="Palatino Linotype"/>
          <w:noProof/>
        </w:rPr>
        <w:drawing>
          <wp:inline distT="0" distB="0" distL="0" distR="0" wp14:anchorId="2543357D" wp14:editId="1E67C29F">
            <wp:extent cx="5040000" cy="2616945"/>
            <wp:effectExtent l="0" t="0" r="0" b="0"/>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040000" cy="2616945"/>
                    </a:xfrm>
                    <a:prstGeom prst="rect">
                      <a:avLst/>
                    </a:prstGeom>
                    <a:ln/>
                  </pic:spPr>
                </pic:pic>
              </a:graphicData>
            </a:graphic>
          </wp:inline>
        </w:drawing>
      </w:r>
    </w:p>
    <w:p w14:paraId="467EB003" w14:textId="77777777" w:rsidR="00B20935" w:rsidRPr="002D3298" w:rsidRDefault="00151843">
      <w:pPr>
        <w:spacing w:before="240" w:after="240" w:line="360" w:lineRule="auto"/>
        <w:ind w:right="49"/>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0DA208CF" wp14:editId="1C38A5C6">
            <wp:extent cx="5040000" cy="1949735"/>
            <wp:effectExtent l="0" t="0" r="0" b="0"/>
            <wp:docPr id="21401318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040000" cy="1949735"/>
                    </a:xfrm>
                    <a:prstGeom prst="rect">
                      <a:avLst/>
                    </a:prstGeom>
                    <a:ln/>
                  </pic:spPr>
                </pic:pic>
              </a:graphicData>
            </a:graphic>
          </wp:inline>
        </w:drawing>
      </w:r>
    </w:p>
    <w:p w14:paraId="05333D4F"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Pr="002D3298">
        <w:rPr>
          <w:rFonts w:ascii="Palatino Linotype" w:eastAsia="Palatino Linotype" w:hAnsi="Palatino Linotype" w:cs="Palatino Linotype"/>
          <w:b/>
          <w:u w:val="single"/>
        </w:rPr>
        <w:t>los ayuntamientos de los municipios del Estado</w:t>
      </w:r>
      <w:r w:rsidRPr="002D3298">
        <w:rPr>
          <w:rFonts w:ascii="Palatino Linotype" w:eastAsia="Palatino Linotype" w:hAnsi="Palatino Linotype" w:cs="Palatino Linotype"/>
        </w:rPr>
        <w:t>; los organismos auxiliares y fideicomisos públicos del Estado y municipios; y los tribunales administrativos.</w:t>
      </w:r>
    </w:p>
    <w:p w14:paraId="19C3BE7E"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este tenor, de conformidad con el artículo 12.4 del Libro Décimo Segundo del referido Código, </w:t>
      </w:r>
      <w:r w:rsidRPr="002D3298">
        <w:rPr>
          <w:rFonts w:ascii="Palatino Linotype" w:eastAsia="Palatino Linotype" w:hAnsi="Palatino Linotype" w:cs="Palatino Linotype"/>
          <w:b/>
        </w:rPr>
        <w:t xml:space="preserve">se considera obra pública todo trabajo que tenga por objeto principal construir, instalar, ampliar, adecuar, remodelar, restaurar, conservar, mantener, modificar o demoler </w:t>
      </w:r>
      <w:r w:rsidRPr="002D3298">
        <w:rPr>
          <w:rFonts w:ascii="Palatino Linotype" w:eastAsia="Palatino Linotype" w:hAnsi="Palatino Linotype" w:cs="Palatino Linotype"/>
          <w:b/>
          <w:u w:val="single"/>
        </w:rPr>
        <w:t>bienes inmuebles propiedad</w:t>
      </w:r>
      <w:r w:rsidRPr="002D3298">
        <w:rPr>
          <w:rFonts w:ascii="Palatino Linotype" w:eastAsia="Palatino Linotype" w:hAnsi="Palatino Linotype" w:cs="Palatino Linotype"/>
          <w:b/>
        </w:rPr>
        <w:t xml:space="preserve"> </w:t>
      </w:r>
      <w:r w:rsidRPr="002D3298">
        <w:rPr>
          <w:rFonts w:ascii="Palatino Linotype" w:eastAsia="Palatino Linotype" w:hAnsi="Palatino Linotype" w:cs="Palatino Linotype"/>
        </w:rPr>
        <w:t xml:space="preserve">del Estado, de sus dependencias y entidades y </w:t>
      </w:r>
      <w:r w:rsidRPr="002D3298">
        <w:rPr>
          <w:rFonts w:ascii="Palatino Linotype" w:eastAsia="Palatino Linotype" w:hAnsi="Palatino Linotype" w:cs="Palatino Linotype"/>
          <w:b/>
          <w:u w:val="single"/>
        </w:rPr>
        <w:t>de los municipios</w:t>
      </w:r>
      <w:r w:rsidRPr="002D3298">
        <w:rPr>
          <w:rFonts w:ascii="Palatino Linotype" w:eastAsia="Palatino Linotype" w:hAnsi="Palatino Linotype" w:cs="Palatino Linotype"/>
        </w:rPr>
        <w:t xml:space="preserve"> y sus organismos </w:t>
      </w:r>
      <w:r w:rsidRPr="002D3298">
        <w:rPr>
          <w:rFonts w:ascii="Palatino Linotype" w:eastAsia="Palatino Linotype" w:hAnsi="Palatino Linotype" w:cs="Palatino Linotype"/>
          <w:b/>
        </w:rPr>
        <w:t xml:space="preserve">con cargo a recursos públicos estatales o municipales, </w:t>
      </w:r>
      <w:r w:rsidRPr="002D3298">
        <w:rPr>
          <w:rFonts w:ascii="Palatino Linotype" w:eastAsia="Palatino Linotype" w:hAnsi="Palatino Linotype" w:cs="Palatino Linotype"/>
        </w:rPr>
        <w:t xml:space="preserve">quedando comprendidos dentro de la obra pública: </w:t>
      </w:r>
    </w:p>
    <w:p w14:paraId="056FA37F"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I. El mantenimiento, restauración, desmantelamiento o remoción de bienes muebles incorporados o adheridos a un inmueble; </w:t>
      </w:r>
    </w:p>
    <w:p w14:paraId="26DFE9B3"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II. Los proyectos integrales o comúnmente denominados llave en mano, en los cuales el contratista se obliga desde el diseño de la obra hasta su terminación total, incluyéndose, cuando se requiera, la transferencia de tecnología; </w:t>
      </w:r>
    </w:p>
    <w:p w14:paraId="77153218"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032FBA29"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IV. Los trabajos de infraestructura agropecuaria e hidroagrícola: </w:t>
      </w:r>
    </w:p>
    <w:p w14:paraId="590558B0"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3D282EB5"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VI. Los demás que tengan por objeto principal alguno de los conceptos a que se refiere el párrafo primero de este artículo, excluyéndose expresamente los trabajos regulados por el Libro Décimo Sexto del Código</w:t>
      </w:r>
      <w:r w:rsidRPr="002D3298">
        <w:t>.</w:t>
      </w:r>
    </w:p>
    <w:p w14:paraId="4994AD45"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Mientras que el artículo 12.5 del Libro Décimo Segundo, señala que </w:t>
      </w:r>
      <w:r w:rsidRPr="002D3298">
        <w:rPr>
          <w:rFonts w:ascii="Palatino Linotype" w:eastAsia="Palatino Linotype" w:hAnsi="Palatino Linotype" w:cs="Palatino Linotype"/>
          <w:b/>
        </w:rPr>
        <w:t xml:space="preserve">se consideran servicios relacionados con la obra pública, los trabajos que tengan por objeto concebir, diseñar y calcular los elementos que integran </w:t>
      </w:r>
      <w:r w:rsidRPr="002D3298">
        <w:rPr>
          <w:rFonts w:ascii="Palatino Linotype" w:eastAsia="Palatino Linotype" w:hAnsi="Palatino Linotype" w:cs="Palatino Linotype"/>
          <w:b/>
          <w:u w:val="single"/>
        </w:rPr>
        <w:t>un proyecto de obra pública</w:t>
      </w:r>
      <w:r w:rsidRPr="002D3298">
        <w:rPr>
          <w:rFonts w:ascii="Palatino Linotype" w:eastAsia="Palatino Linotype" w:hAnsi="Palatino Linotype" w:cs="Palatino Linotype"/>
        </w:rPr>
        <w:t xml:space="preserve">; </w:t>
      </w:r>
      <w:r w:rsidRPr="002D3298">
        <w:rPr>
          <w:rFonts w:ascii="Palatino Linotype" w:eastAsia="Palatino Linotype" w:hAnsi="Palatino Linotype" w:cs="Palatino Linotype"/>
          <w:b/>
        </w:rPr>
        <w:t xml:space="preserve">las investigaciones, estudios, asesorías y consultorías que </w:t>
      </w:r>
      <w:r w:rsidRPr="002D3298">
        <w:rPr>
          <w:rFonts w:ascii="Palatino Linotype" w:eastAsia="Palatino Linotype" w:hAnsi="Palatino Linotype" w:cs="Palatino Linotype"/>
          <w:b/>
          <w:u w:val="single"/>
        </w:rPr>
        <w:t xml:space="preserve">se vinculen con </w:t>
      </w:r>
      <w:r w:rsidRPr="002D3298">
        <w:rPr>
          <w:rFonts w:ascii="Palatino Linotype" w:eastAsia="Palatino Linotype" w:hAnsi="Palatino Linotype" w:cs="Palatino Linotype"/>
          <w:b/>
          <w:u w:val="single"/>
        </w:rPr>
        <w:lastRenderedPageBreak/>
        <w:t>los actos que regula el Libro Décimo Segundo</w:t>
      </w:r>
      <w:r w:rsidRPr="002D3298">
        <w:rPr>
          <w:rFonts w:ascii="Palatino Linotype" w:eastAsia="Palatino Linotype" w:hAnsi="Palatino Linotype" w:cs="Palatino Linotype"/>
        </w:rPr>
        <w:t>;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14:paraId="67C80FE6"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I.</w:t>
      </w:r>
      <w:r w:rsidRPr="002D3298">
        <w:rPr>
          <w:rFonts w:ascii="Palatino Linotype" w:eastAsia="Palatino Linotype" w:hAnsi="Palatino Linotype" w:cs="Palatino Linotype"/>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0116D09C"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II.</w:t>
      </w:r>
      <w:r w:rsidRPr="002D3298">
        <w:rPr>
          <w:rFonts w:ascii="Palatino Linotype" w:eastAsia="Palatino Linotype" w:hAnsi="Palatino Linotype" w:cs="Palatino Linotype"/>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634DB348"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III</w:t>
      </w:r>
      <w:r w:rsidRPr="002D3298">
        <w:rPr>
          <w:rFonts w:ascii="Palatino Linotype" w:eastAsia="Palatino Linotype" w:hAnsi="Palatino Linotype" w:cs="Palatino Linotype"/>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36E3BD5B"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IV</w:t>
      </w:r>
      <w:r w:rsidRPr="002D3298">
        <w:rPr>
          <w:rFonts w:ascii="Palatino Linotype" w:eastAsia="Palatino Linotype" w:hAnsi="Palatino Linotype" w:cs="Palatino Linotype"/>
        </w:rPr>
        <w:t xml:space="preserve">. Los estudios económicos y de planeación de </w:t>
      </w:r>
      <w:proofErr w:type="spellStart"/>
      <w:r w:rsidRPr="002D3298">
        <w:rPr>
          <w:rFonts w:ascii="Palatino Linotype" w:eastAsia="Palatino Linotype" w:hAnsi="Palatino Linotype" w:cs="Palatino Linotype"/>
        </w:rPr>
        <w:t>preinversión</w:t>
      </w:r>
      <w:proofErr w:type="spellEnd"/>
      <w:r w:rsidRPr="002D3298">
        <w:rPr>
          <w:rFonts w:ascii="Palatino Linotype" w:eastAsia="Palatino Linotype" w:hAnsi="Palatino Linotype" w:cs="Palatino Linotype"/>
        </w:rPr>
        <w:t xml:space="preserve">, factibilidad técnico económica, ecológica o social, de evaluación, adaptación, tenencia de la tierra, financieros, de desarrollo y restitución de la eficiencia de las instalaciones; </w:t>
      </w:r>
    </w:p>
    <w:p w14:paraId="59E41616"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lastRenderedPageBreak/>
        <w:t>V.</w:t>
      </w:r>
      <w:r w:rsidRPr="002D3298">
        <w:rPr>
          <w:rFonts w:ascii="Palatino Linotype" w:eastAsia="Palatino Linotype" w:hAnsi="Palatino Linotype" w:cs="Palatino Linotype"/>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1E303584"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VI.</w:t>
      </w:r>
      <w:r w:rsidRPr="002D3298">
        <w:rPr>
          <w:rFonts w:ascii="Palatino Linotype" w:eastAsia="Palatino Linotype" w:hAnsi="Palatino Linotype" w:cs="Palatino Linotype"/>
        </w:rPr>
        <w:t xml:space="preserve"> Los trabajos de organización, informática, comunicaciones, cibernética y sistemas aplicados a las materias que regulan este Libro; </w:t>
      </w:r>
    </w:p>
    <w:p w14:paraId="3A81D588"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VII.</w:t>
      </w:r>
      <w:r w:rsidRPr="002D3298">
        <w:rPr>
          <w:rFonts w:ascii="Palatino Linotype" w:eastAsia="Palatino Linotype" w:hAnsi="Palatino Linotype" w:cs="Palatino Linotype"/>
        </w:rPr>
        <w:t xml:space="preserve"> Los dictámenes, peritajes, avalúos y auditorías técnico normativas, y estudios aplicables a la obra pública; </w:t>
      </w:r>
    </w:p>
    <w:p w14:paraId="21E98E50"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VIII.</w:t>
      </w:r>
      <w:r w:rsidRPr="002D3298">
        <w:rPr>
          <w:rFonts w:ascii="Palatino Linotype" w:eastAsia="Palatino Linotype" w:hAnsi="Palatino Linotype" w:cs="Palatino Linotype"/>
        </w:rPr>
        <w:t xml:space="preserve"> Los estudios que tengan por objeto rehabilitar, corregir, sustituir o incrementar la eficiencia de las instalaciones en un bien inmueble; </w:t>
      </w:r>
    </w:p>
    <w:p w14:paraId="1805469E"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IX.</w:t>
      </w:r>
      <w:r w:rsidRPr="002D3298">
        <w:rPr>
          <w:rFonts w:ascii="Palatino Linotype" w:eastAsia="Palatino Linotype" w:hAnsi="Palatino Linotype" w:cs="Palatino Linotype"/>
        </w:rPr>
        <w:t xml:space="preserve"> Los estudios de apoyo tecnológico, incluyendo los de desarrollo y transferencia de tecnología, entre otros; </w:t>
      </w:r>
    </w:p>
    <w:p w14:paraId="1D72CDAE"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b/>
        </w:rPr>
        <w:t>X.</w:t>
      </w:r>
      <w:r w:rsidRPr="002D3298">
        <w:rPr>
          <w:rFonts w:ascii="Palatino Linotype" w:eastAsia="Palatino Linotype" w:hAnsi="Palatino Linotype" w:cs="Palatino Linotype"/>
        </w:rPr>
        <w:t xml:space="preserve"> Los demás que tengan por objeto alguno de los conceptos a que se refiere el párrafo primero de este artículo.</w:t>
      </w:r>
    </w:p>
    <w:p w14:paraId="58493B1D" w14:textId="77777777" w:rsidR="00B20935" w:rsidRPr="002D3298" w:rsidRDefault="00151843">
      <w:pPr>
        <w:tabs>
          <w:tab w:val="left" w:pos="3080"/>
        </w:tabs>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14:paraId="0C6DBC80"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Por lo que se refiere al procedimiento de adjudicación, el Capítulo Tercero del Libro Décimo Segundo del Código Administrativo del Estado de México, dispone lo siguiente:</w:t>
      </w:r>
    </w:p>
    <w:p w14:paraId="68E542BB"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12.20</w:t>
      </w:r>
      <w:r w:rsidRPr="002D3298">
        <w:rPr>
          <w:rFonts w:ascii="Palatino Linotype" w:eastAsia="Palatino Linotype" w:hAnsi="Palatino Linotype" w:cs="Palatino Linotype"/>
          <w:i/>
          <w:sz w:val="22"/>
          <w:szCs w:val="22"/>
        </w:rPr>
        <w:t xml:space="preserve">.- Los contratos a que se refiere este Libro, </w:t>
      </w:r>
      <w:r w:rsidRPr="002D3298">
        <w:rPr>
          <w:rFonts w:ascii="Palatino Linotype" w:eastAsia="Palatino Linotype" w:hAnsi="Palatino Linotype" w:cs="Palatino Linotype"/>
          <w:b/>
          <w:i/>
          <w:sz w:val="22"/>
          <w:szCs w:val="22"/>
        </w:rPr>
        <w:t xml:space="preserve">se adjudicarán a través de </w:t>
      </w:r>
      <w:r w:rsidRPr="002D3298">
        <w:rPr>
          <w:rFonts w:ascii="Palatino Linotype" w:eastAsia="Palatino Linotype" w:hAnsi="Palatino Linotype" w:cs="Palatino Linotype"/>
          <w:b/>
          <w:i/>
          <w:sz w:val="22"/>
          <w:szCs w:val="22"/>
          <w:u w:val="single"/>
        </w:rPr>
        <w:t>licitaciones públicas</w:t>
      </w:r>
      <w:r w:rsidRPr="002D3298">
        <w:rPr>
          <w:rFonts w:ascii="Palatino Linotype" w:eastAsia="Palatino Linotype" w:hAnsi="Palatino Linotype" w:cs="Palatino Linotype"/>
          <w:b/>
          <w:i/>
          <w:sz w:val="22"/>
          <w:szCs w:val="22"/>
        </w:rPr>
        <w:t>, mediante convocatoria pública.</w:t>
      </w:r>
      <w:r w:rsidRPr="002D3298">
        <w:rPr>
          <w:rFonts w:ascii="Palatino Linotype" w:eastAsia="Palatino Linotype" w:hAnsi="Palatino Linotype" w:cs="Palatino Linotype"/>
          <w:i/>
          <w:sz w:val="22"/>
          <w:szCs w:val="22"/>
        </w:rPr>
        <w:t xml:space="preserve"> </w:t>
      </w:r>
    </w:p>
    <w:p w14:paraId="3E3DDDAB"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12.21</w:t>
      </w:r>
      <w:r w:rsidRPr="002D3298">
        <w:rPr>
          <w:rFonts w:ascii="Palatino Linotype" w:eastAsia="Palatino Linotype" w:hAnsi="Palatino Linotype" w:cs="Palatino Linotype"/>
          <w:i/>
          <w:sz w:val="22"/>
          <w:szCs w:val="22"/>
        </w:rPr>
        <w:t xml:space="preserve">.- Las dependencias, entidades y ayuntamientos podrán adjudicar contratos para la ejecución de obra pública o servicios relacionados con la misma. </w:t>
      </w:r>
      <w:r w:rsidRPr="002D3298">
        <w:rPr>
          <w:rFonts w:ascii="Palatino Linotype" w:eastAsia="Palatino Linotype" w:hAnsi="Palatino Linotype" w:cs="Palatino Linotype"/>
          <w:b/>
          <w:i/>
          <w:sz w:val="22"/>
          <w:szCs w:val="22"/>
        </w:rPr>
        <w:t>mediante las excepciones al procedimiento de licitación</w:t>
      </w:r>
      <w:r w:rsidRPr="002D3298">
        <w:rPr>
          <w:rFonts w:ascii="Palatino Linotype" w:eastAsia="Palatino Linotype" w:hAnsi="Palatino Linotype" w:cs="Palatino Linotype"/>
          <w:i/>
          <w:sz w:val="22"/>
          <w:szCs w:val="22"/>
        </w:rPr>
        <w:t xml:space="preserve"> siguientes: </w:t>
      </w:r>
    </w:p>
    <w:p w14:paraId="666DCBE0"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Invitación restringida</w:t>
      </w:r>
      <w:r w:rsidRPr="002D3298">
        <w:rPr>
          <w:rFonts w:ascii="Palatino Linotype" w:eastAsia="Palatino Linotype" w:hAnsi="Palatino Linotype" w:cs="Palatino Linotype"/>
          <w:i/>
          <w:sz w:val="22"/>
          <w:szCs w:val="22"/>
        </w:rPr>
        <w:t xml:space="preserve">; </w:t>
      </w:r>
    </w:p>
    <w:p w14:paraId="1D3339A7"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Adjudicación directa.”</w:t>
      </w:r>
    </w:p>
    <w:p w14:paraId="51377703"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que en su parte conducente dispone lo siguiente:</w:t>
      </w:r>
    </w:p>
    <w:p w14:paraId="57DD8288"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26</w:t>
      </w:r>
      <w:r w:rsidRPr="002D3298">
        <w:rPr>
          <w:rFonts w:ascii="Palatino Linotype" w:eastAsia="Palatino Linotype" w:hAnsi="Palatino Linotype" w:cs="Palatino Linotype"/>
          <w:i/>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67E59071" w14:textId="77777777" w:rsidR="00B20935" w:rsidRPr="002D3298" w:rsidRDefault="00151843">
      <w:pPr>
        <w:spacing w:before="120" w:after="120"/>
        <w:ind w:left="851" w:right="900"/>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w:t>
      </w:r>
    </w:p>
    <w:p w14:paraId="6CE3349C"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28.-</w:t>
      </w:r>
      <w:r w:rsidRPr="002D3298">
        <w:rPr>
          <w:rFonts w:ascii="Palatino Linotype" w:eastAsia="Palatino Linotype" w:hAnsi="Palatino Linotype" w:cs="Palatino Linotype"/>
          <w:i/>
          <w:sz w:val="22"/>
          <w:szCs w:val="22"/>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14:paraId="636644A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Los ayuntamientos, que realicen obras o servicios con cargo parcial o total a recursos estatales, deberán solicitar la autorización preferentemente al inicio de </w:t>
      </w:r>
      <w:r w:rsidRPr="002D3298">
        <w:rPr>
          <w:rFonts w:ascii="Palatino Linotype" w:eastAsia="Palatino Linotype" w:hAnsi="Palatino Linotype" w:cs="Palatino Linotype"/>
          <w:i/>
          <w:sz w:val="22"/>
          <w:szCs w:val="22"/>
        </w:rPr>
        <w:lastRenderedPageBreak/>
        <w:t>su periodo de gestión, la que deberá estar publicada en la Gaceta del Gobierno del Estado de México.</w:t>
      </w:r>
    </w:p>
    <w:p w14:paraId="6564776F"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5A46C313"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Articulo 30</w:t>
      </w:r>
      <w:r w:rsidRPr="002D3298">
        <w:rPr>
          <w:rFonts w:ascii="Palatino Linotype" w:eastAsia="Palatino Linotype" w:hAnsi="Palatino Linotype" w:cs="Palatino Linotype"/>
          <w:i/>
          <w:sz w:val="22"/>
          <w:szCs w:val="22"/>
        </w:rPr>
        <w:t xml:space="preserve">.- El procedimiento de licitación pública inicia con la publicación de la convocatoria y concluye con el fallo y adjudicación. Cubrirá las etapas siguientes: </w:t>
      </w:r>
    </w:p>
    <w:p w14:paraId="67B6A35D" w14:textId="77777777" w:rsidR="00B20935" w:rsidRPr="002D3298" w:rsidRDefault="00151843">
      <w:pPr>
        <w:spacing w:before="120" w:after="120"/>
        <w:ind w:left="851" w:right="900"/>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w:t>
      </w:r>
    </w:p>
    <w:p w14:paraId="64A62377"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La presentación y apertura de propuestas; </w:t>
      </w:r>
    </w:p>
    <w:p w14:paraId="54AB6FA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u w:val="single"/>
        </w:rPr>
        <w:t>VII. La evaluación de propuestas</w:t>
      </w:r>
      <w:r w:rsidRPr="002D3298">
        <w:rPr>
          <w:rFonts w:ascii="Palatino Linotype" w:eastAsia="Palatino Linotype" w:hAnsi="Palatino Linotype" w:cs="Palatino Linotype"/>
          <w:i/>
          <w:sz w:val="22"/>
          <w:szCs w:val="22"/>
        </w:rPr>
        <w:t xml:space="preserve">; y </w:t>
      </w:r>
    </w:p>
    <w:p w14:paraId="4FE781A8"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VIII.</w:t>
      </w:r>
      <w:r w:rsidRPr="002D3298">
        <w:rPr>
          <w:rFonts w:ascii="Palatino Linotype" w:eastAsia="Palatino Linotype" w:hAnsi="Palatino Linotype" w:cs="Palatino Linotype"/>
          <w:i/>
          <w:sz w:val="22"/>
          <w:szCs w:val="22"/>
        </w:rPr>
        <w:t xml:space="preserve"> El fallo y adjudicación.</w:t>
      </w:r>
    </w:p>
    <w:p w14:paraId="7F65ED02"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044263E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43</w:t>
      </w:r>
      <w:r w:rsidRPr="002D3298">
        <w:rPr>
          <w:rFonts w:ascii="Palatino Linotype" w:eastAsia="Palatino Linotype" w:hAnsi="Palatino Linotype" w:cs="Palatino Linotype"/>
          <w:i/>
          <w:sz w:val="22"/>
          <w:szCs w:val="22"/>
        </w:rPr>
        <w:t>.- La propuesta es el conjunto de documentos que presenta el licitante en un proceso de licitación pública. Con la propuesta, el convocante determina: si el licitante cumple con los requisitos establecidos en las bases de licitación; y si su opción es la más conveniente para llevar a cabo una obra o servicio.</w:t>
      </w:r>
    </w:p>
    <w:p w14:paraId="01FF90A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44</w:t>
      </w:r>
      <w:r w:rsidRPr="002D3298">
        <w:rPr>
          <w:rFonts w:ascii="Palatino Linotype" w:eastAsia="Palatino Linotype" w:hAnsi="Palatino Linotype" w:cs="Palatino Linotype"/>
          <w:i/>
          <w:sz w:val="22"/>
          <w:szCs w:val="22"/>
        </w:rPr>
        <w:t>.- En la propuesta, el licitante acreditará documentalmente: su existencia legal; su experiencia profesional; su capacidad técnica y financiera para revisar y/o formular: los análisis de conceptos, volúmenes, precios unitarios y programas de obra; y su compromiso para realizar en tiempo, forma y precio, la obra pública o servicio.</w:t>
      </w:r>
    </w:p>
    <w:p w14:paraId="445C1FB1" w14:textId="77777777" w:rsidR="00B20935" w:rsidRPr="002D3298" w:rsidRDefault="00151843">
      <w:pPr>
        <w:spacing w:before="120" w:after="120"/>
        <w:ind w:left="851" w:right="900"/>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w:t>
      </w:r>
    </w:p>
    <w:p w14:paraId="1D38B3C7"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49</w:t>
      </w:r>
      <w:r w:rsidRPr="002D3298">
        <w:rPr>
          <w:rFonts w:ascii="Palatino Linotype" w:eastAsia="Palatino Linotype" w:hAnsi="Palatino Linotype" w:cs="Palatino Linotype"/>
          <w:i/>
          <w:sz w:val="22"/>
          <w:szCs w:val="22"/>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14:paraId="2355A80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I. La documentación legal y administrativa; </w:t>
      </w:r>
    </w:p>
    <w:p w14:paraId="281C842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u w:val="single"/>
        </w:rPr>
        <w:t>II. La propuesta y económica</w:t>
      </w:r>
      <w:r w:rsidRPr="002D3298">
        <w:rPr>
          <w:rFonts w:ascii="Palatino Linotype" w:eastAsia="Palatino Linotype" w:hAnsi="Palatino Linotype" w:cs="Palatino Linotype"/>
          <w:i/>
          <w:sz w:val="22"/>
          <w:szCs w:val="22"/>
        </w:rPr>
        <w:t xml:space="preserve">. </w:t>
      </w:r>
    </w:p>
    <w:p w14:paraId="690714C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El licitante deberá identificar los sobres con el nombre de la dependencia, entidad o ayuntamiento; número y denominación de la licitación, la fecha, nombre o razón social del licitante y el contenido del sobre.</w:t>
      </w:r>
    </w:p>
    <w:p w14:paraId="4FB3ED4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44A1B8D8"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Artículo 52.-</w:t>
      </w:r>
      <w:r w:rsidRPr="002D3298">
        <w:rPr>
          <w:rFonts w:ascii="Palatino Linotype" w:eastAsia="Palatino Linotype" w:hAnsi="Palatino Linotype" w:cs="Palatino Linotype"/>
          <w:i/>
          <w:sz w:val="22"/>
          <w:szCs w:val="22"/>
        </w:rPr>
        <w:t xml:space="preserve"> El acto de recepción y apertura de propuestas se desarrollará en el orden siguiente: </w:t>
      </w:r>
    </w:p>
    <w:p w14:paraId="0B3D155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El servidor público que preside el acto tomará lista de los licitantes presentes; </w:t>
      </w:r>
    </w:p>
    <w:p w14:paraId="41680FB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Al ser nombrados, los licitantes entregarán su propuesta en sobre cerrado; </w:t>
      </w:r>
    </w:p>
    <w:p w14:paraId="502F6493" w14:textId="77777777" w:rsidR="00B20935" w:rsidRPr="002D3298" w:rsidRDefault="00151843">
      <w:pPr>
        <w:spacing w:before="120" w:after="120"/>
        <w:ind w:left="851" w:right="900"/>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El servidor público abrirá el sobre que contiene la propuesta de cada licitante y hará la revisión cuantitativa de los documentos. </w:t>
      </w:r>
      <w:r w:rsidRPr="002D3298">
        <w:rPr>
          <w:rFonts w:ascii="Palatino Linotype" w:eastAsia="Palatino Linotype" w:hAnsi="Palatino Linotype" w:cs="Palatino Linotype"/>
          <w:b/>
          <w:i/>
          <w:sz w:val="22"/>
          <w:szCs w:val="22"/>
        </w:rPr>
        <w:t xml:space="preserve">Leerá en voz alta cuando menos el importe total de cada una de las propuestas admitidas. </w:t>
      </w:r>
    </w:p>
    <w:p w14:paraId="453242B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Serán rechazadas las propuestas que no cumplan con todos los requisitos contenidos en las bases de licitación, debiéndose establecer con toda precisión la causa del incumplimiento</w:t>
      </w:r>
      <w:r w:rsidRPr="002D3298">
        <w:rPr>
          <w:rFonts w:ascii="Palatino Linotype" w:eastAsia="Palatino Linotype" w:hAnsi="Palatino Linotype" w:cs="Palatino Linotype"/>
          <w:i/>
          <w:sz w:val="22"/>
          <w:szCs w:val="22"/>
        </w:rPr>
        <w:t xml:space="preserve">. Se entregará recibo de la garantía otorgada por los licitantes cuyas propuestas sean admitidas; </w:t>
      </w:r>
    </w:p>
    <w:p w14:paraId="3436C5E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a) Los documentos de las propuestas en que se señalen los precios y el importe total de los trabajos serán rubricados por todos los participantes. En los contratos a precio alzado, se firmará el programa de ejecución de los trabajos y el presupuesto de obra; en los contratos mixtos, el programa y presupuesto de la parte a precios unitarios y el programa y presupuesto de obra de la parte a precio alzado;</w:t>
      </w:r>
    </w:p>
    <w:p w14:paraId="345394E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b) Se informará a los licitantes fecha y hora de la realización del acto del fallo.</w:t>
      </w:r>
    </w:p>
    <w:p w14:paraId="05831A5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53</w:t>
      </w:r>
      <w:r w:rsidRPr="002D3298">
        <w:rPr>
          <w:rFonts w:ascii="Palatino Linotype" w:eastAsia="Palatino Linotype" w:hAnsi="Palatino Linotype" w:cs="Palatino Linotype"/>
          <w:i/>
          <w:sz w:val="22"/>
          <w:szCs w:val="22"/>
        </w:rPr>
        <w:t xml:space="preserve">.- El servidor público designado por el convocante para presidir los actos será la única persona facultada para aceptar o desechar las propuestas y, en general, para tomar todas las decisiones durante la realización del acto, debiendo permanecer durante su desarrollo. Declarará desierta la licitación si no se recibe propuesta alguna o si las presentadas fueren desechadas, lo que se asentará en el acta correspondiente. </w:t>
      </w:r>
    </w:p>
    <w:p w14:paraId="119526BD"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54.-</w:t>
      </w:r>
      <w:r w:rsidRPr="002D3298">
        <w:rPr>
          <w:rFonts w:ascii="Palatino Linotype" w:eastAsia="Palatino Linotype" w:hAnsi="Palatino Linotype" w:cs="Palatino Linotype"/>
          <w:i/>
          <w:sz w:val="22"/>
          <w:szCs w:val="22"/>
        </w:rPr>
        <w:t xml:space="preserve"> Al concluir el acto de recepción y entrega de propuestas, se levantará un acta que contendrá como mínimo: </w:t>
      </w:r>
    </w:p>
    <w:p w14:paraId="21FBD29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Fecha, lugar y hora en que se llevó a cabo;</w:t>
      </w:r>
    </w:p>
    <w:p w14:paraId="54C9B71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Nombre del servidor público encargado de presidir el acto y de los demás servidores públicos participantes; </w:t>
      </w:r>
    </w:p>
    <w:p w14:paraId="598243A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Nombre de los licitantes cuyas propuestas fueron desechadas, así como las causas que lo motivaron</w:t>
      </w:r>
      <w:r w:rsidRPr="002D3298">
        <w:rPr>
          <w:rFonts w:ascii="Palatino Linotype" w:eastAsia="Palatino Linotype" w:hAnsi="Palatino Linotype" w:cs="Palatino Linotype"/>
          <w:i/>
          <w:sz w:val="22"/>
          <w:szCs w:val="22"/>
        </w:rPr>
        <w:t xml:space="preserve">; </w:t>
      </w:r>
    </w:p>
    <w:p w14:paraId="756A240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u w:val="single"/>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 xml:space="preserve">Nombre de los licitantes </w:t>
      </w:r>
      <w:r w:rsidRPr="002D3298">
        <w:rPr>
          <w:rFonts w:ascii="Palatino Linotype" w:eastAsia="Palatino Linotype" w:hAnsi="Palatino Linotype" w:cs="Palatino Linotype"/>
          <w:b/>
          <w:i/>
          <w:sz w:val="22"/>
          <w:szCs w:val="22"/>
          <w:u w:val="single"/>
        </w:rPr>
        <w:t>cuyas propuestas fueron aceptadas para su análisis cualitativo</w:t>
      </w:r>
      <w:r w:rsidRPr="002D3298">
        <w:rPr>
          <w:rFonts w:ascii="Palatino Linotype" w:eastAsia="Palatino Linotype" w:hAnsi="Palatino Linotype" w:cs="Palatino Linotype"/>
          <w:i/>
          <w:sz w:val="22"/>
          <w:szCs w:val="22"/>
          <w:u w:val="single"/>
        </w:rPr>
        <w:t xml:space="preserve">; </w:t>
      </w:r>
    </w:p>
    <w:p w14:paraId="03F4E987"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Lugar, fecha y hora en que se llevará a cabo el acto de fallo y adjudicación; y </w:t>
      </w:r>
    </w:p>
    <w:p w14:paraId="65AF908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VI.</w:t>
      </w:r>
      <w:r w:rsidRPr="002D3298">
        <w:rPr>
          <w:rFonts w:ascii="Palatino Linotype" w:eastAsia="Palatino Linotype" w:hAnsi="Palatino Linotype" w:cs="Palatino Linotype"/>
          <w:i/>
          <w:sz w:val="22"/>
          <w:szCs w:val="22"/>
        </w:rPr>
        <w:t xml:space="preserve"> Firma de los participantes. </w:t>
      </w:r>
    </w:p>
    <w:p w14:paraId="1B482C2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A cada uno de los participantes, se entregará copia del acta.</w:t>
      </w:r>
    </w:p>
    <w:p w14:paraId="3AD305AC"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55.-</w:t>
      </w:r>
      <w:r w:rsidRPr="002D3298">
        <w:rPr>
          <w:rFonts w:ascii="Palatino Linotype" w:eastAsia="Palatino Linotype" w:hAnsi="Palatino Linotype" w:cs="Palatino Linotype"/>
          <w:i/>
          <w:sz w:val="22"/>
          <w:szCs w:val="22"/>
        </w:rPr>
        <w:t xml:space="preserve"> La evaluación de las propuestas deberá considerar mínimo: </w:t>
      </w:r>
    </w:p>
    <w:p w14:paraId="4C8D7D1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La verificación de que los documentos cumplen, sin excepción, con los requisitos y contienen toda la información solicitada; </w:t>
      </w:r>
    </w:p>
    <w:p w14:paraId="6B049A8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La suficiente experiencia y capacidad de los profesionales y técnicos para la adecuada dirección y administración de los trabajos. Al realizar la evaluación, se tomará en cuenta: </w:t>
      </w:r>
    </w:p>
    <w:p w14:paraId="2AA8BEE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w:t>
      </w:r>
      <w:r w:rsidRPr="002D3298">
        <w:rPr>
          <w:rFonts w:ascii="Palatino Linotype" w:eastAsia="Palatino Linotype" w:hAnsi="Palatino Linotype" w:cs="Palatino Linotype"/>
          <w:i/>
          <w:sz w:val="22"/>
          <w:szCs w:val="22"/>
        </w:rPr>
        <w:t xml:space="preserve"> El grado académico y las certificaciones necesarias; </w:t>
      </w:r>
    </w:p>
    <w:p w14:paraId="26AF7A3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b</w:t>
      </w:r>
      <w:r w:rsidRPr="002D3298">
        <w:rPr>
          <w:rFonts w:ascii="Palatino Linotype" w:eastAsia="Palatino Linotype" w:hAnsi="Palatino Linotype" w:cs="Palatino Linotype"/>
          <w:i/>
          <w:sz w:val="22"/>
          <w:szCs w:val="22"/>
        </w:rPr>
        <w:t xml:space="preserve">. La experiencia en obras similares; c. La capacidad profesional o técnica de las personas físicas responsables de la ejecución de los trabajos. </w:t>
      </w:r>
    </w:p>
    <w:p w14:paraId="34F00D22"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Lo suficiente y adecuado de la maquinaria y equipo de construcción para desarrollar los trabajos que se convocan, sea arrendado o propiedad del licitante; </w:t>
      </w:r>
    </w:p>
    <w:p w14:paraId="7834AEEF"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La congruencia entre la planeación propuesta por el licitante para el desarrollo y organización de los trabajos y las características, complejidad y magnitud de los mismos; </w:t>
      </w:r>
    </w:p>
    <w:p w14:paraId="18280202"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La adecuada selección del procedimiento constructivo por el licitante y su congruencia con el programa de ejecución considerado en su propuesta; </w:t>
      </w:r>
    </w:p>
    <w:p w14:paraId="51E1D1E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La evaluación de la capacidad financiera del licitante. Al revisar la declaración fiscal anual o estados financieros dictaminados por contador público certificado independiente, se verificará entre otros: </w:t>
      </w:r>
    </w:p>
    <w:p w14:paraId="5F3D85B2"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w:t>
      </w:r>
      <w:r w:rsidRPr="002D3298">
        <w:rPr>
          <w:rFonts w:ascii="Palatino Linotype" w:eastAsia="Palatino Linotype" w:hAnsi="Palatino Linotype" w:cs="Palatino Linotype"/>
          <w:i/>
          <w:sz w:val="22"/>
          <w:szCs w:val="22"/>
        </w:rPr>
        <w:t xml:space="preserve"> La suficiencia del capital de trabajo para sustentar los requerimientos financieros de los trabajos a realizar; </w:t>
      </w:r>
    </w:p>
    <w:p w14:paraId="563ED927"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b.</w:t>
      </w:r>
      <w:r w:rsidRPr="002D3298">
        <w:rPr>
          <w:rFonts w:ascii="Palatino Linotype" w:eastAsia="Palatino Linotype" w:hAnsi="Palatino Linotype" w:cs="Palatino Linotype"/>
          <w:i/>
          <w:sz w:val="22"/>
          <w:szCs w:val="22"/>
        </w:rPr>
        <w:t xml:space="preserve"> La capacidad para cumplir sus obligaciones de pago; y </w:t>
      </w:r>
    </w:p>
    <w:p w14:paraId="441D7EB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c</w:t>
      </w:r>
      <w:r w:rsidRPr="002D3298">
        <w:rPr>
          <w:rFonts w:ascii="Palatino Linotype" w:eastAsia="Palatino Linotype" w:hAnsi="Palatino Linotype" w:cs="Palatino Linotype"/>
          <w:i/>
          <w:sz w:val="22"/>
          <w:szCs w:val="22"/>
        </w:rPr>
        <w:t>. La rentabilidad financiera de la empresa.</w:t>
      </w:r>
    </w:p>
    <w:p w14:paraId="3A9217C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11A61D9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57</w:t>
      </w:r>
      <w:r w:rsidRPr="002D3298">
        <w:rPr>
          <w:rFonts w:ascii="Palatino Linotype" w:eastAsia="Palatino Linotype" w:hAnsi="Palatino Linotype" w:cs="Palatino Linotype"/>
          <w:i/>
          <w:sz w:val="22"/>
          <w:szCs w:val="22"/>
        </w:rPr>
        <w:t>.- Para la evaluación de los aspectos económicos se debe verificar que los documentos contengan la información solicitada, realizar el análisis comparativo del presupuesto base contra las propuestas, verificar que los precios sean aceptables en lo individual y en el total de la propuesta y que sean acordes según corresponda con la situación vigente en el mercado internacional, en el nacional o en el de la zona o región en donde se ejecutarán los trabajos.</w:t>
      </w:r>
    </w:p>
    <w:p w14:paraId="2CC9A822"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Artículo 58.-</w:t>
      </w:r>
      <w:r w:rsidRPr="002D3298">
        <w:rPr>
          <w:rFonts w:ascii="Palatino Linotype" w:eastAsia="Palatino Linotype" w:hAnsi="Palatino Linotype" w:cs="Palatino Linotype"/>
          <w:i/>
          <w:sz w:val="22"/>
          <w:szCs w:val="22"/>
        </w:rPr>
        <w:t xml:space="preserve"> El convocante deberá verificar en las propuestas que consideren precios unitarios, que </w:t>
      </w:r>
    </w:p>
    <w:p w14:paraId="4F43F35F"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w:t>
      </w:r>
      <w:r w:rsidRPr="002D3298">
        <w:rPr>
          <w:rFonts w:ascii="Palatino Linotype" w:eastAsia="Palatino Linotype" w:hAnsi="Palatino Linotype" w:cs="Palatino Linotype"/>
          <w:i/>
          <w:sz w:val="22"/>
          <w:szCs w:val="22"/>
        </w:rPr>
        <w:t xml:space="preserve"> En el presupuesto de obra: </w:t>
      </w:r>
    </w:p>
    <w:p w14:paraId="7CDC673D"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Cada uno de los conceptos señale el importe del precio unitario;</w:t>
      </w:r>
    </w:p>
    <w:p w14:paraId="2E71864C"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El importe del precio unitario esté anotado con número y letra y que éstos sean coincidentes entre sí. En caso de diferencia prevalecerá el que coincida con la integración del precio unitario o, cuando no se tenga, el escrito con letra, y </w:t>
      </w:r>
    </w:p>
    <w:p w14:paraId="5439E44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Las operaciones aritméticas estén correctas. Cuando una o más operaciones estén equivocadas, se harán las correcciones correspondientes. El monto correcto será el considerado para el análisis comparativo de las propuestas. </w:t>
      </w:r>
    </w:p>
    <w:p w14:paraId="4BF678DD"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B</w:t>
      </w:r>
      <w:r w:rsidRPr="002D3298">
        <w:rPr>
          <w:rFonts w:ascii="Palatino Linotype" w:eastAsia="Palatino Linotype" w:hAnsi="Palatino Linotype" w:cs="Palatino Linotype"/>
          <w:i/>
          <w:sz w:val="22"/>
          <w:szCs w:val="22"/>
        </w:rPr>
        <w:t xml:space="preserve">. El análisis, cálculo e integración de los precios unitarios se haya realizado de acuerdo con lo establecido en este Reglamento y que: </w:t>
      </w:r>
    </w:p>
    <w:p w14:paraId="49879BA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Los análisis de los precios unitarios se integren con costos directos, indirectos, de financiamiento, cargo por utilidad y cargos adicionales; </w:t>
      </w:r>
    </w:p>
    <w:p w14:paraId="726B996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Los costos directos comprendan los correspondientes a materiales, mano de obra, maquinaria y equipo de construcción;</w:t>
      </w:r>
    </w:p>
    <w:p w14:paraId="24E8092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Los precios de adquisición de los materiales estén dentro de los parámetros de precios de mercado; </w:t>
      </w:r>
    </w:p>
    <w:p w14:paraId="74B44B8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Los costos de la mano de obra se hayan obtenido aplicando los factores de salario integrado a los sueldos y salarios del personal, conforme a lo previsto en este Reglamento; </w:t>
      </w:r>
    </w:p>
    <w:p w14:paraId="43C2478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El cargo por el uso de herramienta menor esté incluido; </w:t>
      </w:r>
    </w:p>
    <w:p w14:paraId="0F3E8C44"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Los costos horarios por la utilización de la maquinaria y equipo de construcción estén determinados por hora efectiva de trabajo, calculados para cada máquina o equipo; considerando, cuando sea el caso, los accesorios integrados; </w:t>
      </w:r>
    </w:p>
    <w:p w14:paraId="6D97C31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C</w:t>
      </w:r>
      <w:r w:rsidRPr="002D3298">
        <w:rPr>
          <w:rFonts w:ascii="Palatino Linotype" w:eastAsia="Palatino Linotype" w:hAnsi="Palatino Linotype" w:cs="Palatino Linotype"/>
          <w:i/>
          <w:sz w:val="22"/>
          <w:szCs w:val="22"/>
        </w:rPr>
        <w:t xml:space="preserve">. Los costos directos de los precios unitarios se hayan estructurado y determinado de acuerdo con lo previsto en este Reglamento y que: </w:t>
      </w:r>
    </w:p>
    <w:p w14:paraId="7224915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Los costos de los materiales considerados por el licitante sean coincidentes con la relación de los costos y cumplan las normas de calidad señaladas en las bases de la licitación; </w:t>
      </w:r>
    </w:p>
    <w:p w14:paraId="7FE888CC"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Los costos de mano de obra considerados por el licitante sean coincidentes con el tabulador de salarios y con los costos que prevalezcan en la zona donde se ejecutarán los trabajos; y</w:t>
      </w:r>
    </w:p>
    <w:p w14:paraId="16D5045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III</w:t>
      </w:r>
      <w:r w:rsidRPr="002D3298">
        <w:rPr>
          <w:rFonts w:ascii="Palatino Linotype" w:eastAsia="Palatino Linotype" w:hAnsi="Palatino Linotype" w:cs="Palatino Linotype"/>
          <w:i/>
          <w:sz w:val="22"/>
          <w:szCs w:val="22"/>
        </w:rPr>
        <w:t xml:space="preserve">. Los costos horarios de la maquinaria y equipo de construcción estén determinados con base en el precio y rendimientos máximos de unidades nuevas, tomados de los manuales de los fabricantes y que consideraron las características ambientales de la zona donde vayan a realizarse los trabajos. </w:t>
      </w:r>
    </w:p>
    <w:p w14:paraId="0514CF7C"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D</w:t>
      </w:r>
      <w:r w:rsidRPr="002D3298">
        <w:rPr>
          <w:rFonts w:ascii="Palatino Linotype" w:eastAsia="Palatino Linotype" w:hAnsi="Palatino Linotype" w:cs="Palatino Linotype"/>
          <w:i/>
          <w:sz w:val="22"/>
          <w:szCs w:val="22"/>
        </w:rPr>
        <w:t xml:space="preserve">. Los costos indirectos de los precios unitarios estén integrados de acuerdo con lo previsto en este Reglamento y que: </w:t>
      </w:r>
    </w:p>
    <w:p w14:paraId="0A6872E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Estén calculados por conceptos con sus importes, determinándose el monto total y su porcentaje sobre el monto del costo directo;</w:t>
      </w:r>
    </w:p>
    <w:p w14:paraId="640D043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Los costos indirectos de las oficinas centrales del licitante sean únicamente los necesarios para el apoyo técnico y administrativo a la superintendencia de la obra encargada directamente de los trabajos, así como los de campo necesarios para la dirección, supervisión y administración de la obra; y </w:t>
      </w:r>
    </w:p>
    <w:p w14:paraId="6267E5A8"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No se incluyan cargos que, por sus características o conforme a las bases de la licitación, deban formen parte de un precio unitario. </w:t>
      </w:r>
    </w:p>
    <w:p w14:paraId="46E24DE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E.</w:t>
      </w:r>
      <w:r w:rsidRPr="002D3298">
        <w:rPr>
          <w:rFonts w:ascii="Palatino Linotype" w:eastAsia="Palatino Linotype" w:hAnsi="Palatino Linotype" w:cs="Palatino Linotype"/>
          <w:i/>
          <w:sz w:val="22"/>
          <w:szCs w:val="22"/>
        </w:rPr>
        <w:t xml:space="preserve"> El costo financiero de los precios unitarios se haya estructurado y determinado conforme a lo señalado en este Reglamento y que:</w:t>
      </w:r>
    </w:p>
    <w:p w14:paraId="72D351A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Los ingresos consideren la periodicidad y el plazo de trámite y el pago del o los anticipos y las estimaciones y que éstas incluyan la amortización de los anticipos; </w:t>
      </w:r>
    </w:p>
    <w:p w14:paraId="2FF0A9D2"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El costo del financiamiento esté representado por un porcentaje de la suma de los costos directos e indirectos; </w:t>
      </w:r>
    </w:p>
    <w:p w14:paraId="3EAFA6A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La tasa de interés aplicable esté definida con base en un indicador económico específico; </w:t>
      </w:r>
    </w:p>
    <w:p w14:paraId="7398DB1C"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El costo del financiamiento sea congruente con el programa de ejecución valorizado con montos mensuales; y </w:t>
      </w:r>
    </w:p>
    <w:p w14:paraId="4A1AB2D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El procedimiento para el cálculo del costo por financiamiento aplicado por el licitante corresponda con el de las bases de la licitación. </w:t>
      </w:r>
    </w:p>
    <w:p w14:paraId="7D4BAAB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F</w:t>
      </w:r>
      <w:r w:rsidRPr="002D3298">
        <w:rPr>
          <w:rFonts w:ascii="Palatino Linotype" w:eastAsia="Palatino Linotype" w:hAnsi="Palatino Linotype" w:cs="Palatino Linotype"/>
          <w:i/>
          <w:sz w:val="22"/>
          <w:szCs w:val="22"/>
        </w:rPr>
        <w:t xml:space="preserve">. El cálculo del cargo por utilidad de los precios unitarios considere la utilidad que el contratista estima debe percibir y las deducciones e impuestos correspondientes, no siendo necesario su desglose. </w:t>
      </w:r>
    </w:p>
    <w:p w14:paraId="5AE0E254"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G.</w:t>
      </w:r>
      <w:r w:rsidRPr="002D3298">
        <w:rPr>
          <w:rFonts w:ascii="Palatino Linotype" w:eastAsia="Palatino Linotype" w:hAnsi="Palatino Linotype" w:cs="Palatino Linotype"/>
          <w:i/>
          <w:sz w:val="22"/>
          <w:szCs w:val="22"/>
        </w:rPr>
        <w:t xml:space="preserve"> El importe total de la propuesta a precios unitarios sea coincidente con el total del programa general de erogaciones de ejecución de los trabajos y con la suma de los importes de los programas específicos de erogaciones de materiales, mano de obra y maquinaria y equipo de construcción. </w:t>
      </w:r>
    </w:p>
    <w:p w14:paraId="0057A50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lastRenderedPageBreak/>
        <w:t>El servidor público responsable de revisar la correcta formulación de los precios unitarios deberá contar con la certificación de conocimientos y habilidades en la materia.</w:t>
      </w:r>
    </w:p>
    <w:p w14:paraId="3D62E8B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16859E67"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62.-</w:t>
      </w:r>
      <w:r w:rsidRPr="002D3298">
        <w:rPr>
          <w:rFonts w:ascii="Palatino Linotype" w:eastAsia="Palatino Linotype" w:hAnsi="Palatino Linotype" w:cs="Palatino Linotype"/>
          <w:i/>
          <w:sz w:val="22"/>
          <w:szCs w:val="22"/>
        </w:rPr>
        <w:t xml:space="preserve"> Realizada la evaluación de las propuestas, el convocante emitirá el dictamen que servirá de base para el fallo. El dictamen deberá contener: </w:t>
      </w:r>
    </w:p>
    <w:p w14:paraId="1F1A9DF3"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La relación sucinta y cronológica de los actos del procedimiento; </w:t>
      </w:r>
    </w:p>
    <w:p w14:paraId="5B2A468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Los criterios utilizados para la evaluación de las propuestas;</w:t>
      </w:r>
    </w:p>
    <w:p w14:paraId="7FE054F3"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xml:space="preserve">III. </w:t>
      </w:r>
      <w:r w:rsidRPr="002D3298">
        <w:rPr>
          <w:rFonts w:ascii="Palatino Linotype" w:eastAsia="Palatino Linotype" w:hAnsi="Palatino Linotype" w:cs="Palatino Linotype"/>
          <w:b/>
          <w:i/>
          <w:sz w:val="22"/>
          <w:szCs w:val="22"/>
          <w:u w:val="single"/>
        </w:rPr>
        <w:t>Las razones por las cuales se aceptan o desechan las propuestas presentadas por los licitantes;</w:t>
      </w:r>
    </w:p>
    <w:p w14:paraId="5C27D90C"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El nombre de los licitantes cuyas propuestas fueron aceptadas por haber cumplido con los requerimientos exigidos;</w:t>
      </w:r>
    </w:p>
    <w:p w14:paraId="7FBE9B6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El nombre de los licitantes cuyas propuestas hayan sido desechadas como resultado del análisis de las mismas; </w:t>
      </w:r>
    </w:p>
    <w:p w14:paraId="4E5D2D97"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La relación de los licitantes cuyas propuestas se calificaron como solventes, ubicándolas de menor a mayor, de acuerdo con sus montos; </w:t>
      </w:r>
    </w:p>
    <w:p w14:paraId="67AACBE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w:t>
      </w:r>
      <w:r w:rsidRPr="002D3298">
        <w:rPr>
          <w:rFonts w:ascii="Palatino Linotype" w:eastAsia="Palatino Linotype" w:hAnsi="Palatino Linotype" w:cs="Palatino Linotype"/>
          <w:i/>
          <w:sz w:val="22"/>
          <w:szCs w:val="22"/>
        </w:rPr>
        <w:t xml:space="preserve">. La fecha y lugar de elaboración, y </w:t>
      </w:r>
    </w:p>
    <w:p w14:paraId="1E5D32C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VIII.</w:t>
      </w:r>
      <w:r w:rsidRPr="002D3298">
        <w:rPr>
          <w:rFonts w:ascii="Palatino Linotype" w:eastAsia="Palatino Linotype" w:hAnsi="Palatino Linotype" w:cs="Palatino Linotype"/>
          <w:i/>
          <w:sz w:val="22"/>
          <w:szCs w:val="22"/>
        </w:rPr>
        <w:t xml:space="preserve"> El nombre, firma y cargo de los servidores públicos encargados de su elaboración y aprobación.</w:t>
      </w:r>
    </w:p>
    <w:p w14:paraId="7872290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4E9BD8FD"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69</w:t>
      </w:r>
      <w:r w:rsidRPr="002D3298">
        <w:rPr>
          <w:rFonts w:ascii="Palatino Linotype" w:eastAsia="Palatino Linotype" w:hAnsi="Palatino Linotype" w:cs="Palatino Linotype"/>
          <w:i/>
          <w:sz w:val="22"/>
          <w:szCs w:val="22"/>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14:paraId="4BE042A4"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xml:space="preserve">I. </w:t>
      </w:r>
      <w:r w:rsidRPr="002D3298">
        <w:rPr>
          <w:rFonts w:ascii="Palatino Linotype" w:eastAsia="Palatino Linotype" w:hAnsi="Palatino Linotype" w:cs="Palatino Linotype"/>
          <w:i/>
          <w:sz w:val="22"/>
          <w:szCs w:val="22"/>
        </w:rPr>
        <w:t xml:space="preserve">Economía, que signifique un menor costo de la obra o servicio; </w:t>
      </w:r>
    </w:p>
    <w:p w14:paraId="75697A8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Oportunidad, que permita satisfacer la necesidad que se atiende con la obra pública o servicio en el menor lapso posible; </w:t>
      </w:r>
    </w:p>
    <w:p w14:paraId="6A8E449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Eficacia, que la obra o servicio satisfaga la necesidad que la origina; </w:t>
      </w:r>
    </w:p>
    <w:p w14:paraId="6EE93914"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Eficiencia, que se dé el máximo aprovechamiento de los recursos que la dependencia, entidad o ayuntamiento asigne a la obra o servicio; </w:t>
      </w:r>
    </w:p>
    <w:p w14:paraId="043F9C4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Imparcialidad, que la adjudicación de la obra o servicio se realice sin favorecer a ninguno de los interesados; </w:t>
      </w:r>
    </w:p>
    <w:p w14:paraId="175ABB0A"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VI</w:t>
      </w:r>
      <w:r w:rsidRPr="002D3298">
        <w:rPr>
          <w:rFonts w:ascii="Palatino Linotype" w:eastAsia="Palatino Linotype" w:hAnsi="Palatino Linotype" w:cs="Palatino Linotype"/>
          <w:i/>
          <w:sz w:val="22"/>
          <w:szCs w:val="22"/>
        </w:rPr>
        <w:t xml:space="preserve">. Honradez, que garantice una justa prestación para las partes involucradas; </w:t>
      </w:r>
    </w:p>
    <w:p w14:paraId="0EC63C69"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w:t>
      </w:r>
      <w:r w:rsidRPr="002D3298">
        <w:rPr>
          <w:rFonts w:ascii="Palatino Linotype" w:eastAsia="Palatino Linotype" w:hAnsi="Palatino Linotype" w:cs="Palatino Linotype"/>
          <w:i/>
          <w:sz w:val="22"/>
          <w:szCs w:val="22"/>
        </w:rPr>
        <w:t>. Transparencia, que se respeten escrupulosamente en la adjudicación de la obra o servicio los procedimientos establecidos en el Libro y en este Reglamento.</w:t>
      </w:r>
    </w:p>
    <w:p w14:paraId="66085073" w14:textId="77777777" w:rsidR="00B20935" w:rsidRPr="002D3298" w:rsidRDefault="00151843">
      <w:pPr>
        <w:spacing w:before="120" w:after="120"/>
        <w:ind w:left="851" w:right="900"/>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w:t>
      </w:r>
    </w:p>
    <w:p w14:paraId="6803307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85</w:t>
      </w:r>
      <w:r w:rsidRPr="002D3298">
        <w:rPr>
          <w:rFonts w:ascii="Palatino Linotype" w:eastAsia="Palatino Linotype" w:hAnsi="Palatino Linotype" w:cs="Palatino Linotype"/>
          <w:i/>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5D67BD5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La descripción general de la obra o servicio; </w:t>
      </w:r>
    </w:p>
    <w:p w14:paraId="6FD6B612"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El informe del procedimiento de licitación pública que fue declarado desierto; </w:t>
      </w:r>
    </w:p>
    <w:p w14:paraId="1B13D517"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I. La fecha probable de inicio de los trabajos y el plazo de ejecución de los mismos; </w:t>
      </w:r>
    </w:p>
    <w:p w14:paraId="62E29344"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El presupuesto base; </w:t>
      </w:r>
    </w:p>
    <w:p w14:paraId="2938959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La autorización presupuestal;</w:t>
      </w:r>
    </w:p>
    <w:p w14:paraId="7ACF54F5"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El nombre y firma del titular del área responsable de la ejecución de los trabajos; y </w:t>
      </w:r>
    </w:p>
    <w:p w14:paraId="7EFB476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w:t>
      </w:r>
      <w:r w:rsidRPr="002D3298">
        <w:rPr>
          <w:rFonts w:ascii="Palatino Linotype" w:eastAsia="Palatino Linotype" w:hAnsi="Palatino Linotype" w:cs="Palatino Linotype"/>
          <w:i/>
          <w:sz w:val="22"/>
          <w:szCs w:val="22"/>
        </w:rPr>
        <w:t xml:space="preserve">. El formato de caso para el dictamen de procedencia de excepción. </w:t>
      </w:r>
    </w:p>
    <w:p w14:paraId="08EFBD0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7032567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562C905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Articulo 86.-</w:t>
      </w:r>
      <w:r w:rsidRPr="002D3298">
        <w:rPr>
          <w:rFonts w:ascii="Palatino Linotype" w:eastAsia="Palatino Linotype" w:hAnsi="Palatino Linotype" w:cs="Palatino Linotype"/>
          <w:i/>
          <w:sz w:val="22"/>
          <w:szCs w:val="22"/>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14:paraId="06AA239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14:paraId="4823098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El nombre del convocante; </w:t>
      </w:r>
    </w:p>
    <w:p w14:paraId="03306A9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II.</w:t>
      </w:r>
      <w:r w:rsidRPr="002D3298">
        <w:rPr>
          <w:rFonts w:ascii="Palatino Linotype" w:eastAsia="Palatino Linotype" w:hAnsi="Palatino Linotype" w:cs="Palatino Linotype"/>
          <w:i/>
          <w:sz w:val="22"/>
          <w:szCs w:val="22"/>
        </w:rPr>
        <w:t xml:space="preserve"> El nombre y la ubicación de la obra o servicio; </w:t>
      </w:r>
    </w:p>
    <w:p w14:paraId="7374E1D6"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El nombre y domicilio del invitado y la referencia a su clave de registro en el catálogo de contratistas; </w:t>
      </w:r>
    </w:p>
    <w:p w14:paraId="6608D28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La invitación expresa y el señalamiento de las fechas previstas para las etapas del procedimiento; </w:t>
      </w:r>
    </w:p>
    <w:p w14:paraId="7B81FC61"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La indicación de que se anexan las bases de la invitación; </w:t>
      </w:r>
    </w:p>
    <w:p w14:paraId="44BC05EE"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Nombre y firma del servidor público responsable del proceso; </w:t>
      </w:r>
    </w:p>
    <w:p w14:paraId="7C3C5C7D"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w:t>
      </w:r>
      <w:r w:rsidRPr="002D3298">
        <w:rPr>
          <w:rFonts w:ascii="Palatino Linotype" w:eastAsia="Palatino Linotype" w:hAnsi="Palatino Linotype" w:cs="Palatino Linotype"/>
          <w:i/>
          <w:sz w:val="22"/>
          <w:szCs w:val="22"/>
        </w:rPr>
        <w:t xml:space="preserve">. El origen de los recursos para la realización de la obra o servicio; y </w:t>
      </w:r>
    </w:p>
    <w:p w14:paraId="32B5303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VIII.</w:t>
      </w:r>
      <w:r w:rsidRPr="002D3298">
        <w:rPr>
          <w:rFonts w:ascii="Palatino Linotype" w:eastAsia="Palatino Linotype" w:hAnsi="Palatino Linotype" w:cs="Palatino Linotype"/>
          <w:i/>
          <w:sz w:val="22"/>
          <w:szCs w:val="22"/>
        </w:rPr>
        <w:t xml:space="preserve"> El plazo de ejecución de los trabajos, indicando la fecha estimada de inicio de los mismos. </w:t>
      </w:r>
    </w:p>
    <w:p w14:paraId="6C0814F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Articulo 87.-</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El procedimiento de invitación restringida seguirá los mismos pasos que el de licitación pública salvo la publicación de la convocatoria</w:t>
      </w:r>
      <w:r w:rsidRPr="002D3298">
        <w:rPr>
          <w:rFonts w:ascii="Palatino Linotype" w:eastAsia="Palatino Linotype" w:hAnsi="Palatino Linotype" w:cs="Palatino Linotype"/>
          <w:i/>
          <w:sz w:val="22"/>
          <w:szCs w:val="22"/>
        </w:rPr>
        <w:t>, misma que se sustituye por la invitación señalada en el artículo anterior.</w:t>
      </w:r>
    </w:p>
    <w:p w14:paraId="0D19E150"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88.-</w:t>
      </w:r>
      <w:r w:rsidRPr="002D3298">
        <w:rPr>
          <w:rFonts w:ascii="Palatino Linotype" w:eastAsia="Palatino Linotype" w:hAnsi="Palatino Linotype" w:cs="Palatino Linotype"/>
          <w:i/>
          <w:sz w:val="22"/>
          <w:szCs w:val="22"/>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w:t>
      </w:r>
      <w:proofErr w:type="spellStart"/>
      <w:r w:rsidRPr="002D3298">
        <w:rPr>
          <w:rFonts w:ascii="Palatino Linotype" w:eastAsia="Palatino Linotype" w:hAnsi="Palatino Linotype" w:cs="Palatino Linotype"/>
          <w:i/>
          <w:sz w:val="22"/>
          <w:szCs w:val="22"/>
        </w:rPr>
        <w:t>señalo</w:t>
      </w:r>
      <w:proofErr w:type="spellEnd"/>
      <w:r w:rsidRPr="002D3298">
        <w:rPr>
          <w:rFonts w:ascii="Palatino Linotype" w:eastAsia="Palatino Linotype" w:hAnsi="Palatino Linotype" w:cs="Palatino Linotype"/>
          <w:i/>
          <w:sz w:val="22"/>
          <w:szCs w:val="22"/>
        </w:rPr>
        <w:t xml:space="preserve"> en el procedimiento de invitación restringida. </w:t>
      </w:r>
    </w:p>
    <w:p w14:paraId="34E584EB"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6428F074"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89.</w:t>
      </w:r>
      <w:r w:rsidRPr="002D3298">
        <w:rPr>
          <w:rFonts w:ascii="Palatino Linotype" w:eastAsia="Palatino Linotype" w:hAnsi="Palatino Linotype" w:cs="Palatino Linotype"/>
          <w:i/>
          <w:sz w:val="22"/>
          <w:szCs w:val="22"/>
        </w:rPr>
        <w:t>- El titular de la dependencia, entidad o ayuntamiento emitirá un acuerdo en el que autorice el procedimiento de adjudicación directa.</w:t>
      </w:r>
    </w:p>
    <w:p w14:paraId="119D7E1E"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61FBEE8F" w14:textId="77777777" w:rsidR="00B20935" w:rsidRPr="002D3298" w:rsidRDefault="00151843">
      <w:pPr>
        <w:spacing w:before="120" w:after="120"/>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Articulo 91</w:t>
      </w:r>
      <w:r w:rsidRPr="002D3298">
        <w:rPr>
          <w:rFonts w:ascii="Palatino Linotype" w:eastAsia="Palatino Linotype" w:hAnsi="Palatino Linotype" w:cs="Palatino Linotype"/>
          <w:i/>
          <w:sz w:val="22"/>
          <w:szCs w:val="22"/>
        </w:rPr>
        <w:t>.- El convocante recibirá de la persona invitada la documentación de su propuesta para su evaluación la revisará y, en su caso, procederá a formular el contrato correspondiente.”</w:t>
      </w:r>
    </w:p>
    <w:p w14:paraId="18FBBD7E"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Por cuanto hace a la contratación, el artículo 12.38 del Libro Décimo Segundo del Código Administrativo de la entidad, dispone que la adjudicación de la obra o </w:t>
      </w:r>
      <w:r w:rsidRPr="002D3298">
        <w:rPr>
          <w:rFonts w:ascii="Palatino Linotype" w:eastAsia="Palatino Linotype" w:hAnsi="Palatino Linotype" w:cs="Palatino Linotype"/>
        </w:rPr>
        <w:lastRenderedPageBreak/>
        <w:t xml:space="preserve">servicios relacionados con la misma obligará a la dependencia, entidad o ayuntamiento y a la persona en que hubiere recaído, a </w:t>
      </w:r>
      <w:r w:rsidRPr="002D3298">
        <w:rPr>
          <w:rFonts w:ascii="Palatino Linotype" w:eastAsia="Palatino Linotype" w:hAnsi="Palatino Linotype" w:cs="Palatino Linotype"/>
          <w:b/>
        </w:rPr>
        <w:t>suscribir el contrato respectivo dentro de los diez días hábiles siguientes al de la notificación del fallo</w:t>
      </w:r>
      <w:r w:rsidRPr="002D3298">
        <w:rPr>
          <w:rFonts w:ascii="Palatino Linotype" w:eastAsia="Palatino Linotype" w:hAnsi="Palatino Linotype" w:cs="Palatino Linotype"/>
        </w:rPr>
        <w:t>.</w:t>
      </w:r>
    </w:p>
    <w:p w14:paraId="0CA14093"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En este tenor, los contratos de obra pública y servicios relacionados con la misma, deben contener, como mínimo los requisitos que establece el artículo 104 del Reglamento del Libro Décimo Segundo del Código Administrativo, a saber:</w:t>
      </w:r>
    </w:p>
    <w:p w14:paraId="21370AEA"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I</w:t>
      </w:r>
      <w:r w:rsidRPr="002D3298">
        <w:rPr>
          <w:rFonts w:ascii="Palatino Linotype" w:eastAsia="Palatino Linotype" w:hAnsi="Palatino Linotype" w:cs="Palatino Linotype"/>
        </w:rPr>
        <w:t xml:space="preserve">. </w:t>
      </w:r>
      <w:r w:rsidRPr="002D3298">
        <w:rPr>
          <w:rFonts w:ascii="Palatino Linotype" w:eastAsia="Palatino Linotype" w:hAnsi="Palatino Linotype" w:cs="Palatino Linotype"/>
          <w:b/>
        </w:rPr>
        <w:t>La autorización presupuestal</w:t>
      </w:r>
      <w:r w:rsidRPr="002D3298">
        <w:rPr>
          <w:rFonts w:ascii="Palatino Linotype" w:eastAsia="Palatino Linotype" w:hAnsi="Palatino Linotype" w:cs="Palatino Linotype"/>
        </w:rPr>
        <w:t xml:space="preserve"> para cubrir el compromiso derivado del contrato y sus anexos; </w:t>
      </w:r>
    </w:p>
    <w:p w14:paraId="57AA7FBC"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II</w:t>
      </w:r>
      <w:r w:rsidRPr="002D3298">
        <w:rPr>
          <w:rFonts w:ascii="Palatino Linotype" w:eastAsia="Palatino Linotype" w:hAnsi="Palatino Linotype" w:cs="Palatino Linotype"/>
        </w:rPr>
        <w:t xml:space="preserve">. </w:t>
      </w:r>
      <w:r w:rsidRPr="002D3298">
        <w:rPr>
          <w:rFonts w:ascii="Palatino Linotype" w:eastAsia="Palatino Linotype" w:hAnsi="Palatino Linotype" w:cs="Palatino Linotype"/>
          <w:b/>
        </w:rPr>
        <w:t>La indicación del procedimiento</w:t>
      </w:r>
      <w:r w:rsidRPr="002D3298">
        <w:rPr>
          <w:rFonts w:ascii="Palatino Linotype" w:eastAsia="Palatino Linotype" w:hAnsi="Palatino Linotype" w:cs="Palatino Linotype"/>
        </w:rPr>
        <w:t xml:space="preserve"> conforme al cual se adjudicó el contrato;</w:t>
      </w:r>
    </w:p>
    <w:p w14:paraId="42F32923"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III.</w:t>
      </w:r>
      <w:r w:rsidRPr="002D3298">
        <w:rPr>
          <w:rFonts w:ascii="Palatino Linotype" w:eastAsia="Palatino Linotype" w:hAnsi="Palatino Linotype" w:cs="Palatino Linotype"/>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057DF564"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IV</w:t>
      </w:r>
      <w:r w:rsidRPr="002D3298">
        <w:rPr>
          <w:rFonts w:ascii="Palatino Linotype" w:eastAsia="Palatino Linotype" w:hAnsi="Palatino Linotype" w:cs="Palatino Linotype"/>
        </w:rPr>
        <w:t xml:space="preserve">. El precio a pagar por los trabajos objeto del contrato. En el caso de contratos mixtos, la parte y el monto que se cubrirá sobre la base de precios unitarios y la correspondiente a precio alzado; </w:t>
      </w:r>
    </w:p>
    <w:p w14:paraId="4C3BB05B"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V</w:t>
      </w:r>
      <w:r w:rsidRPr="002D3298">
        <w:rPr>
          <w:rFonts w:ascii="Palatino Linotype" w:eastAsia="Palatino Linotype" w:hAnsi="Palatino Linotype" w:cs="Palatino Linotype"/>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28E96149"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lastRenderedPageBreak/>
        <w:t>VI</w:t>
      </w:r>
      <w:r w:rsidRPr="002D3298">
        <w:rPr>
          <w:rFonts w:ascii="Palatino Linotype" w:eastAsia="Palatino Linotype" w:hAnsi="Palatino Linotype" w:cs="Palatino Linotype"/>
        </w:rPr>
        <w:t xml:space="preserve">. Porcentajes, número y fechas de las exhibiciones y amortización de los anticipos que se otorguen; </w:t>
      </w:r>
    </w:p>
    <w:p w14:paraId="1C45F946" w14:textId="77777777" w:rsidR="00B20935" w:rsidRPr="002D3298" w:rsidRDefault="00151843">
      <w:pPr>
        <w:spacing w:before="240" w:after="240" w:line="360" w:lineRule="auto"/>
        <w:ind w:left="284" w:right="49"/>
        <w:jc w:val="both"/>
        <w:rPr>
          <w:rFonts w:ascii="Palatino Linotype" w:eastAsia="Palatino Linotype" w:hAnsi="Palatino Linotype" w:cs="Palatino Linotype"/>
          <w:b/>
        </w:rPr>
      </w:pPr>
      <w:r w:rsidRPr="002D3298">
        <w:rPr>
          <w:rFonts w:ascii="Palatino Linotype" w:eastAsia="Palatino Linotype" w:hAnsi="Palatino Linotype" w:cs="Palatino Linotype"/>
          <w:b/>
        </w:rPr>
        <w:t>VII. Forma y términos de garantizar la correcta inversión de los anticipos y el cumplimiento del contrato;</w:t>
      </w:r>
    </w:p>
    <w:p w14:paraId="4378BE68"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VIII</w:t>
      </w:r>
      <w:r w:rsidRPr="002D3298">
        <w:rPr>
          <w:rFonts w:ascii="Palatino Linotype" w:eastAsia="Palatino Linotype" w:hAnsi="Palatino Linotype" w:cs="Palatino Linotype"/>
        </w:rPr>
        <w:t xml:space="preserve">. Plazos, forma y lugar de pago de las estimaciones de trabajos ejecutados y, cuando corresponda, de los ajustes de costos; </w:t>
      </w:r>
    </w:p>
    <w:p w14:paraId="0A2D7CAB"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IX.</w:t>
      </w:r>
      <w:r w:rsidRPr="002D3298">
        <w:rPr>
          <w:rFonts w:ascii="Palatino Linotype" w:eastAsia="Palatino Linotype" w:hAnsi="Palatino Linotype" w:cs="Palatino Linotype"/>
        </w:rPr>
        <w:t xml:space="preserve">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0E145A48"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X</w:t>
      </w:r>
      <w:r w:rsidRPr="002D3298">
        <w:rPr>
          <w:rFonts w:ascii="Palatino Linotype" w:eastAsia="Palatino Linotype" w:hAnsi="Palatino Linotype" w:cs="Palatino Linotype"/>
        </w:rPr>
        <w:t xml:space="preserve">. Términos en que el contratista, en su caso, reintegrará las cantidades que hubiere recibido en exceso por la contratación o durante la ejecución de los trabajos, para lo cual se utilizará el procedimiento que se establezca; </w:t>
      </w:r>
    </w:p>
    <w:p w14:paraId="3DD82B70"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XI</w:t>
      </w:r>
      <w:r w:rsidRPr="002D3298">
        <w:rPr>
          <w:rFonts w:ascii="Palatino Linotype" w:eastAsia="Palatino Linotype" w:hAnsi="Palatino Linotype" w:cs="Palatino Linotype"/>
        </w:rPr>
        <w:t xml:space="preserve">. Procedimiento de ajuste de costos que deberá ser el determinado desde las bases de la licitación por el convocante, el cual deberá regir durante la vigencia del contrato; </w:t>
      </w:r>
    </w:p>
    <w:p w14:paraId="290732C4"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XII</w:t>
      </w:r>
      <w:r w:rsidRPr="002D3298">
        <w:rPr>
          <w:rFonts w:ascii="Palatino Linotype" w:eastAsia="Palatino Linotype" w:hAnsi="Palatino Linotype" w:cs="Palatino Linotype"/>
        </w:rPr>
        <w:t xml:space="preserve">. Causales y procedimiento mediante los cuales el contratante podrá dar por rescindido el contrato en los términos de este Reglamento; </w:t>
      </w:r>
    </w:p>
    <w:p w14:paraId="14336332"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lastRenderedPageBreak/>
        <w:t xml:space="preserve">XIII. </w:t>
      </w:r>
      <w:r w:rsidRPr="002D3298">
        <w:rPr>
          <w:rFonts w:ascii="Palatino Linotype" w:eastAsia="Palatino Linotype" w:hAnsi="Palatino Linotype" w:cs="Palatino Linotype"/>
        </w:rPr>
        <w:t>Los procedimientos mediante los cuales las partes resolverán, entre sí, las discrepancias futuras y previsibles sobre problemas específicos de carácter técnico y administrativo;</w:t>
      </w:r>
    </w:p>
    <w:p w14:paraId="12712E6A"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XIV</w:t>
      </w:r>
      <w:r w:rsidRPr="002D3298">
        <w:rPr>
          <w:rFonts w:ascii="Palatino Linotype" w:eastAsia="Palatino Linotype" w:hAnsi="Palatino Linotype" w:cs="Palatino Linotype"/>
        </w:rPr>
        <w:t xml:space="preserve">. Señalamiento del domicilio en el Estado para oír y recibir notificaciones; y </w:t>
      </w:r>
    </w:p>
    <w:p w14:paraId="1B0E434B"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t xml:space="preserve">XV. </w:t>
      </w:r>
      <w:r w:rsidRPr="002D3298">
        <w:rPr>
          <w:rFonts w:ascii="Palatino Linotype" w:eastAsia="Palatino Linotype" w:hAnsi="Palatino Linotype" w:cs="Palatino Linotype"/>
        </w:rPr>
        <w:t xml:space="preserve">Manifestación de renuncia expresa al fuero que les pudiera corresponder en función de su domicilio presente o futuro en el caso de que no se encuentre en el Estado de México. </w:t>
      </w:r>
    </w:p>
    <w:p w14:paraId="0D386339"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El contrato deberá firmarse dentro de los diez días hábiles siguientes a la notificación del fallo. Se deberá entregar al contratista una copia del contrato firmado. </w:t>
      </w:r>
    </w:p>
    <w:p w14:paraId="4743466B"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Para los efectos del Libro y este Reglamento, el contrato, sus anexos y la bitácora son los instrumentos que establecen los derechos y obligaciones de las partes. </w:t>
      </w:r>
    </w:p>
    <w:p w14:paraId="7AF13FFF" w14:textId="77777777" w:rsidR="00B20935" w:rsidRPr="002D3298" w:rsidRDefault="00151843">
      <w:pPr>
        <w:spacing w:before="240" w:after="240" w:line="360" w:lineRule="auto"/>
        <w:ind w:left="284" w:right="49"/>
        <w:jc w:val="both"/>
        <w:rPr>
          <w:rFonts w:ascii="Palatino Linotype" w:eastAsia="Palatino Linotype" w:hAnsi="Palatino Linotype" w:cs="Palatino Linotype"/>
        </w:rPr>
      </w:pPr>
      <w:r w:rsidRPr="002D3298">
        <w:rPr>
          <w:rFonts w:ascii="Palatino Linotype" w:eastAsia="Palatino Linotype" w:hAnsi="Palatino Linotype" w:cs="Palatino Linotype"/>
        </w:rPr>
        <w:t>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14:paraId="143124A2"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Por lo que se refiere a la bitácora, los artículos 222 y 223 del Reglamento del Libro Décimo Segundo del Código Administrativo disponen lo siguiente:</w:t>
      </w:r>
    </w:p>
    <w:p w14:paraId="3C570C3B"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222.</w:t>
      </w:r>
      <w:r w:rsidRPr="002D3298">
        <w:rPr>
          <w:rFonts w:ascii="Palatino Linotype" w:eastAsia="Palatino Linotype" w:hAnsi="Palatino Linotype" w:cs="Palatino Linotype"/>
          <w:i/>
          <w:sz w:val="22"/>
          <w:szCs w:val="22"/>
        </w:rPr>
        <w:t xml:space="preserve">- La bitácora deberá permanecer en la residencia de obra y bajo la custodia del residente de obra o, en su caso, del supervisor, a fin de que las </w:t>
      </w:r>
      <w:r w:rsidRPr="002D3298">
        <w:rPr>
          <w:rFonts w:ascii="Palatino Linotype" w:eastAsia="Palatino Linotype" w:hAnsi="Palatino Linotype" w:cs="Palatino Linotype"/>
          <w:i/>
          <w:sz w:val="22"/>
          <w:szCs w:val="22"/>
        </w:rPr>
        <w:lastRenderedPageBreak/>
        <w:t xml:space="preserve">consultas necesarias se realicen, de ser posible, en el sitio de los trabajos, siendo obligatorio su uso en todos los contratos de obras y servicios. </w:t>
      </w:r>
    </w:p>
    <w:p w14:paraId="727D01CE"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223</w:t>
      </w:r>
      <w:r w:rsidRPr="002D3298">
        <w:rPr>
          <w:rFonts w:ascii="Palatino Linotype" w:eastAsia="Palatino Linotype" w:hAnsi="Palatino Linotype" w:cs="Palatino Linotype"/>
          <w:i/>
          <w:sz w:val="22"/>
          <w:szCs w:val="22"/>
        </w:rPr>
        <w:t xml:space="preserve">.- La bitácora se ajustará a las necesidades de cada dependencia, entidad o ayuntamiento. Deberá considerar mínimo: </w:t>
      </w:r>
    </w:p>
    <w:p w14:paraId="40BB3BE4"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Todas las hojas, originales y copias, deben estar foliadas y referidas al contrato de que se trate; </w:t>
      </w:r>
    </w:p>
    <w:p w14:paraId="69F55DA3"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Contar con un original para el contratante y, al menos, dos copias: una para el contratista y otra para la residencia de obra o, en su caso, la supervisión; </w:t>
      </w:r>
    </w:p>
    <w:p w14:paraId="05161ED2"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Las hojas originales no deberán ser desprendibles; las copias sí; </w:t>
      </w:r>
    </w:p>
    <w:p w14:paraId="3CA90148"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El contenido de cada nota deberá precisar, según las circunstancias de cada caso: número, clasificación, fecha, descripción y ubicación del asunto; causa, solución, prevención, consecuencia económica, responsabilidad si la hubiere; y fecha programada de atención; en su caso, la referencia a la nota que se contesta; y nombre y firma de los que intervinieron.”</w:t>
      </w:r>
    </w:p>
    <w:p w14:paraId="3AA2FA54"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Finalmente, por lo que se refiere a la recepción de los trabajos, los artículos 230, 231, 232, 233 y 234 del Reglamento del Libro Décimo Segundo del Código Administrativo disponen lo siguiente:</w:t>
      </w:r>
    </w:p>
    <w:p w14:paraId="196A33D2"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230.-</w:t>
      </w:r>
      <w:r w:rsidRPr="002D3298">
        <w:rPr>
          <w:rFonts w:ascii="Palatino Linotype" w:eastAsia="Palatino Linotype" w:hAnsi="Palatino Linotype" w:cs="Palatino Linotype"/>
          <w:i/>
          <w:sz w:val="22"/>
          <w:szCs w:val="22"/>
        </w:rPr>
        <w:t xml:space="preserve"> 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 Artículo 231.- Si, durante la verificación de los trabajos, el contratante observa deficiencias, deberá solicitar al contratista que realice las correcciones o reparaciones conforme a lo establecido en el contrato. En este caso, el plazo de verificación de los trabajos, pactado en el contrato, se podrá ampliar por el periodo que acuerden las partes para la reparación de las deficiencias. Lo anterior, sin perjuicio de que el contratante opte por la rescisión del contrato. </w:t>
      </w:r>
    </w:p>
    <w:p w14:paraId="1A52C7D3"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232</w:t>
      </w:r>
      <w:r w:rsidRPr="002D3298">
        <w:rPr>
          <w:rFonts w:ascii="Palatino Linotype" w:eastAsia="Palatino Linotype" w:hAnsi="Palatino Linotype" w:cs="Palatino Linotype"/>
          <w:i/>
          <w:sz w:val="22"/>
          <w:szCs w:val="22"/>
        </w:rPr>
        <w:t xml:space="preserve">.- En la fecha señalada, el contratante recibirá físicamente los trabajos y levantará el acta correspondiente, que contendrá: </w:t>
      </w:r>
    </w:p>
    <w:p w14:paraId="74C89688"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Lugar, fecha y hora en que se levante; </w:t>
      </w:r>
    </w:p>
    <w:p w14:paraId="4E43D80A"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Nombre y firma del residente de obra y, en su caso, del supervisor de los trabajos y del superintendente de construcción; </w:t>
      </w:r>
    </w:p>
    <w:p w14:paraId="1BC3E28F"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III</w:t>
      </w:r>
      <w:r w:rsidRPr="002D3298">
        <w:rPr>
          <w:rFonts w:ascii="Palatino Linotype" w:eastAsia="Palatino Linotype" w:hAnsi="Palatino Linotype" w:cs="Palatino Linotype"/>
          <w:i/>
          <w:sz w:val="22"/>
          <w:szCs w:val="22"/>
        </w:rPr>
        <w:t xml:space="preserve">. Nombre y firma de los representantes de las Secretarías del Ramo y de Finanzas, de la Contraloría y del área responsable de operar la obra pública que se recibe; </w:t>
      </w:r>
    </w:p>
    <w:p w14:paraId="44D74325"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Descripción de los trabajos que se reciben; </w:t>
      </w:r>
    </w:p>
    <w:p w14:paraId="1137A8F4"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Importe contractual, incluyendo el de los convenios modificatorios; </w:t>
      </w:r>
    </w:p>
    <w:p w14:paraId="1F594932"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Periodo de ejecución de los trabajos, precisando las fechas de inicio y terminación contractual y el plazo en que realmente se ejecutaron, incluyendo los convenios; </w:t>
      </w:r>
    </w:p>
    <w:p w14:paraId="3F59D19D"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w:t>
      </w:r>
      <w:r w:rsidRPr="002D3298">
        <w:rPr>
          <w:rFonts w:ascii="Palatino Linotype" w:eastAsia="Palatino Linotype" w:hAnsi="Palatino Linotype" w:cs="Palatino Linotype"/>
          <w:i/>
          <w:sz w:val="22"/>
          <w:szCs w:val="22"/>
        </w:rPr>
        <w:t>. Relación de las estimaciones pagadas y por pagar;</w:t>
      </w:r>
    </w:p>
    <w:p w14:paraId="73CB54B1"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VIII</w:t>
      </w:r>
      <w:r w:rsidRPr="002D3298">
        <w:rPr>
          <w:rFonts w:ascii="Palatino Linotype" w:eastAsia="Palatino Linotype" w:hAnsi="Palatino Linotype" w:cs="Palatino Linotype"/>
          <w:i/>
          <w:sz w:val="22"/>
          <w:szCs w:val="22"/>
        </w:rPr>
        <w:t xml:space="preserve">. Declaración de las partes en que conste la entrega de los planos actualizados de la construcción final, así como los manuales e instructivos de operación y mantenimiento y los certificados de garantía de calidad y de servicio de los bienes instalados; y </w:t>
      </w:r>
    </w:p>
    <w:p w14:paraId="5A7CF047"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IX</w:t>
      </w:r>
      <w:r w:rsidRPr="002D3298">
        <w:rPr>
          <w:rFonts w:ascii="Palatino Linotype" w:eastAsia="Palatino Linotype" w:hAnsi="Palatino Linotype" w:cs="Palatino Linotype"/>
          <w:i/>
          <w:sz w:val="22"/>
          <w:szCs w:val="22"/>
        </w:rPr>
        <w:t>. Constancia de que el archivo de documentos derivados de la realización de los trabajos fue entregado a la residencia de obra o a la supervisión por parte del contratista.</w:t>
      </w:r>
    </w:p>
    <w:p w14:paraId="061AB5E1"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233.-</w:t>
      </w:r>
      <w:r w:rsidRPr="002D3298">
        <w:rPr>
          <w:rFonts w:ascii="Palatino Linotype" w:eastAsia="Palatino Linotype" w:hAnsi="Palatino Linotype" w:cs="Palatino Linotype"/>
          <w:i/>
          <w:sz w:val="22"/>
          <w:szCs w:val="22"/>
        </w:rPr>
        <w:t xml:space="preserve"> El contratante podrá efectuar recepciones parciales de los trabajos sin estar concluida la totalidad de la obra, cuando considere que hay trabajos terminados cuyos espacios pueden utilizarse y requieren conservación. Para ello, levantará un acta que se apegará a lo previsto en el artículo anterior.</w:t>
      </w:r>
    </w:p>
    <w:p w14:paraId="49C0234C"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234.-</w:t>
      </w:r>
      <w:r w:rsidRPr="002D3298">
        <w:rPr>
          <w:rFonts w:ascii="Palatino Linotype" w:eastAsia="Palatino Linotype" w:hAnsi="Palatino Linotype" w:cs="Palatino Linotype"/>
          <w:i/>
          <w:sz w:val="22"/>
          <w:szCs w:val="22"/>
        </w:rPr>
        <w:t xml:space="preserve"> Para dar por terminados, parcial o totalmente, los derechos y obligaciones asumidos por las partes en un contrato de obras o servicios, el contratante deberá elaborar el finiquito correspondiente, </w:t>
      </w:r>
      <w:r w:rsidRPr="002D3298">
        <w:rPr>
          <w:rFonts w:ascii="Palatino Linotype" w:eastAsia="Palatino Linotype" w:hAnsi="Palatino Linotype" w:cs="Palatino Linotype"/>
          <w:b/>
          <w:i/>
          <w:sz w:val="22"/>
          <w:szCs w:val="22"/>
        </w:rPr>
        <w:t>anexando el acta de recepción física de los trabajos</w:t>
      </w:r>
      <w:r w:rsidRPr="002D3298">
        <w:rPr>
          <w:rFonts w:ascii="Palatino Linotype" w:eastAsia="Palatino Linotype" w:hAnsi="Palatino Linotype" w:cs="Palatino Linotype"/>
          <w:i/>
          <w:sz w:val="22"/>
          <w:szCs w:val="22"/>
        </w:rPr>
        <w:t xml:space="preserve">. </w:t>
      </w:r>
    </w:p>
    <w:p w14:paraId="6B16FB0A"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14:paraId="6BA9A611"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Por otro lado, es imprescindible mencionar que de conformidad con el ACUERDO DEL SECRETARIO DE INFRAESTRUCTURA POR EL QUE SE ESTABLECE EL ÍNDICE DE EXPEDIENTE ÚNICO DE OBRA PÚBLICA E INSTRUCTIVOS DE LLENADO EN LAS MODALIDADES DE ADJUDICACIÓN DIRECTA, </w:t>
      </w:r>
      <w:r w:rsidRPr="002D3298">
        <w:rPr>
          <w:rFonts w:ascii="Palatino Linotype" w:eastAsia="Palatino Linotype" w:hAnsi="Palatino Linotype" w:cs="Palatino Linotype"/>
        </w:rPr>
        <w:lastRenderedPageBreak/>
        <w:t>INVITACIÓN RESTRINGIDA Y LICITACIÓN PÚBLICA,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14:paraId="6654C8B1"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drawing>
          <wp:inline distT="0" distB="0" distL="0" distR="0" wp14:anchorId="443C55BA" wp14:editId="59B18E45">
            <wp:extent cx="5040000" cy="4985867"/>
            <wp:effectExtent l="0" t="0" r="0" b="0"/>
            <wp:docPr id="21401318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b="23111"/>
                    <a:stretch>
                      <a:fillRect/>
                    </a:stretch>
                  </pic:blipFill>
                  <pic:spPr>
                    <a:xfrm>
                      <a:off x="0" y="0"/>
                      <a:ext cx="5040000" cy="4985867"/>
                    </a:xfrm>
                    <a:prstGeom prst="rect">
                      <a:avLst/>
                    </a:prstGeom>
                    <a:ln/>
                  </pic:spPr>
                </pic:pic>
              </a:graphicData>
            </a:graphic>
          </wp:inline>
        </w:drawing>
      </w:r>
    </w:p>
    <w:p w14:paraId="5DA42B81"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0BABD4C5" wp14:editId="5A0E4C07">
            <wp:extent cx="5040000" cy="1515287"/>
            <wp:effectExtent l="0" t="0" r="0" b="0"/>
            <wp:docPr id="21401318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t="76157" b="475"/>
                    <a:stretch>
                      <a:fillRect/>
                    </a:stretch>
                  </pic:blipFill>
                  <pic:spPr>
                    <a:xfrm>
                      <a:off x="0" y="0"/>
                      <a:ext cx="5040000" cy="1515287"/>
                    </a:xfrm>
                    <a:prstGeom prst="rect">
                      <a:avLst/>
                    </a:prstGeom>
                    <a:ln/>
                  </pic:spPr>
                </pic:pic>
              </a:graphicData>
            </a:graphic>
          </wp:inline>
        </w:drawing>
      </w:r>
      <w:r w:rsidRPr="002D3298">
        <w:rPr>
          <w:rFonts w:ascii="Palatino Linotype" w:eastAsia="Palatino Linotype" w:hAnsi="Palatino Linotype" w:cs="Palatino Linotype"/>
          <w:noProof/>
        </w:rPr>
        <w:drawing>
          <wp:inline distT="0" distB="0" distL="0" distR="0" wp14:anchorId="718786CD" wp14:editId="774B53A4">
            <wp:extent cx="5040000" cy="2741263"/>
            <wp:effectExtent l="0" t="0" r="0" b="0"/>
            <wp:docPr id="21401318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040000" cy="2741263"/>
                    </a:xfrm>
                    <a:prstGeom prst="rect">
                      <a:avLst/>
                    </a:prstGeom>
                    <a:ln/>
                  </pic:spPr>
                </pic:pic>
              </a:graphicData>
            </a:graphic>
          </wp:inline>
        </w:drawing>
      </w:r>
      <w:r w:rsidRPr="002D3298">
        <w:rPr>
          <w:rFonts w:ascii="Palatino Linotype" w:eastAsia="Palatino Linotype" w:hAnsi="Palatino Linotype" w:cs="Palatino Linotype"/>
          <w:noProof/>
        </w:rPr>
        <w:drawing>
          <wp:inline distT="0" distB="0" distL="0" distR="0" wp14:anchorId="1FD4AD72" wp14:editId="3D0EB36C">
            <wp:extent cx="5040000" cy="2625816"/>
            <wp:effectExtent l="0" t="0" r="0" b="0"/>
            <wp:docPr id="21401318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b="58360"/>
                    <a:stretch>
                      <a:fillRect/>
                    </a:stretch>
                  </pic:blipFill>
                  <pic:spPr>
                    <a:xfrm>
                      <a:off x="0" y="0"/>
                      <a:ext cx="5040000" cy="2625816"/>
                    </a:xfrm>
                    <a:prstGeom prst="rect">
                      <a:avLst/>
                    </a:prstGeom>
                    <a:ln/>
                  </pic:spPr>
                </pic:pic>
              </a:graphicData>
            </a:graphic>
          </wp:inline>
        </w:drawing>
      </w:r>
    </w:p>
    <w:p w14:paraId="7E25E1B4"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78061B3C" wp14:editId="1D4FC74F">
            <wp:extent cx="5040000" cy="3762878"/>
            <wp:effectExtent l="0" t="0" r="0" b="0"/>
            <wp:docPr id="21401318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t="41030" b="-702"/>
                    <a:stretch>
                      <a:fillRect/>
                    </a:stretch>
                  </pic:blipFill>
                  <pic:spPr>
                    <a:xfrm>
                      <a:off x="0" y="0"/>
                      <a:ext cx="5040000" cy="3762878"/>
                    </a:xfrm>
                    <a:prstGeom prst="rect">
                      <a:avLst/>
                    </a:prstGeom>
                    <a:ln/>
                  </pic:spPr>
                </pic:pic>
              </a:graphicData>
            </a:graphic>
          </wp:inline>
        </w:drawing>
      </w:r>
      <w:r w:rsidRPr="002D3298">
        <w:rPr>
          <w:rFonts w:ascii="Palatino Linotype" w:eastAsia="Palatino Linotype" w:hAnsi="Palatino Linotype" w:cs="Palatino Linotype"/>
          <w:noProof/>
        </w:rPr>
        <w:drawing>
          <wp:inline distT="0" distB="0" distL="0" distR="0" wp14:anchorId="189DD494" wp14:editId="79F0F20D">
            <wp:extent cx="5040000" cy="2967592"/>
            <wp:effectExtent l="0" t="0" r="0" b="0"/>
            <wp:docPr id="21401318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t="12348"/>
                    <a:stretch>
                      <a:fillRect/>
                    </a:stretch>
                  </pic:blipFill>
                  <pic:spPr>
                    <a:xfrm>
                      <a:off x="0" y="0"/>
                      <a:ext cx="5040000" cy="2967592"/>
                    </a:xfrm>
                    <a:prstGeom prst="rect">
                      <a:avLst/>
                    </a:prstGeom>
                    <a:ln/>
                  </pic:spPr>
                </pic:pic>
              </a:graphicData>
            </a:graphic>
          </wp:inline>
        </w:drawing>
      </w:r>
    </w:p>
    <w:p w14:paraId="0E50C189"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2B82D715" wp14:editId="55820BEE">
            <wp:extent cx="5040000" cy="3118778"/>
            <wp:effectExtent l="0" t="0" r="0" b="0"/>
            <wp:docPr id="21401318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040000" cy="3118778"/>
                    </a:xfrm>
                    <a:prstGeom prst="rect">
                      <a:avLst/>
                    </a:prstGeom>
                    <a:ln/>
                  </pic:spPr>
                </pic:pic>
              </a:graphicData>
            </a:graphic>
          </wp:inline>
        </w:drawing>
      </w:r>
      <w:r w:rsidRPr="002D3298">
        <w:rPr>
          <w:rFonts w:ascii="Palatino Linotype" w:eastAsia="Palatino Linotype" w:hAnsi="Palatino Linotype" w:cs="Palatino Linotype"/>
          <w:noProof/>
        </w:rPr>
        <w:drawing>
          <wp:inline distT="0" distB="0" distL="0" distR="0" wp14:anchorId="7910985A" wp14:editId="0CB1AE4F">
            <wp:extent cx="4788000" cy="4120956"/>
            <wp:effectExtent l="0" t="0" r="0" b="0"/>
            <wp:docPr id="21401318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t="-1" b="34968"/>
                    <a:stretch>
                      <a:fillRect/>
                    </a:stretch>
                  </pic:blipFill>
                  <pic:spPr>
                    <a:xfrm>
                      <a:off x="0" y="0"/>
                      <a:ext cx="4788000" cy="4120956"/>
                    </a:xfrm>
                    <a:prstGeom prst="rect">
                      <a:avLst/>
                    </a:prstGeom>
                    <a:ln/>
                  </pic:spPr>
                </pic:pic>
              </a:graphicData>
            </a:graphic>
          </wp:inline>
        </w:drawing>
      </w:r>
    </w:p>
    <w:p w14:paraId="4B1D6415"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lastRenderedPageBreak/>
        <w:drawing>
          <wp:inline distT="0" distB="0" distL="0" distR="0" wp14:anchorId="1778B8AF" wp14:editId="0D51DCF5">
            <wp:extent cx="4788000" cy="2233679"/>
            <wp:effectExtent l="0" t="0" r="0" b="0"/>
            <wp:docPr id="21401318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t="64120" b="629"/>
                    <a:stretch>
                      <a:fillRect/>
                    </a:stretch>
                  </pic:blipFill>
                  <pic:spPr>
                    <a:xfrm>
                      <a:off x="0" y="0"/>
                      <a:ext cx="4788000" cy="2233679"/>
                    </a:xfrm>
                    <a:prstGeom prst="rect">
                      <a:avLst/>
                    </a:prstGeom>
                    <a:ln/>
                  </pic:spPr>
                </pic:pic>
              </a:graphicData>
            </a:graphic>
          </wp:inline>
        </w:drawing>
      </w:r>
    </w:p>
    <w:p w14:paraId="41956620"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las imágenes insertas se advierte que los expedientes únicos de obra pública, en las modalidades de adjudicación directa, invitación restringida y licitación pública, incluyen diversos documentos, entre los que se encuentra </w:t>
      </w:r>
      <w:r w:rsidRPr="002D3298">
        <w:rPr>
          <w:rFonts w:ascii="Palatino Linotype" w:eastAsia="Palatino Linotype" w:hAnsi="Palatino Linotype" w:cs="Palatino Linotype"/>
          <w:b/>
        </w:rPr>
        <w:t xml:space="preserve">el oficio de autorización de recursos y dictamen de procedencia; la evaluación de la propuesta; el contrato: las garantías de cumplimiento de contrato; la bitácora de obra o servicios; el acta de recepción de los trabajos </w:t>
      </w:r>
      <w:r w:rsidRPr="002D3298">
        <w:rPr>
          <w:rFonts w:ascii="Palatino Linotype" w:eastAsia="Palatino Linotype" w:hAnsi="Palatino Linotype" w:cs="Palatino Linotype"/>
        </w:rPr>
        <w:t>y</w:t>
      </w:r>
      <w:r w:rsidRPr="002D3298">
        <w:rPr>
          <w:rFonts w:ascii="Palatino Linotype" w:eastAsia="Palatino Linotype" w:hAnsi="Palatino Linotype" w:cs="Palatino Linotype"/>
          <w:b/>
        </w:rPr>
        <w:t xml:space="preserve"> el acta de entrega a la instancia encargada de su operación.</w:t>
      </w:r>
      <w:r w:rsidRPr="002D3298">
        <w:rPr>
          <w:rFonts w:ascii="Palatino Linotype" w:eastAsia="Palatino Linotype" w:hAnsi="Palatino Linotype" w:cs="Palatino Linotype"/>
        </w:rPr>
        <w:t xml:space="preserve"> </w:t>
      </w:r>
    </w:p>
    <w:p w14:paraId="1B7BB411"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Asimismo, el Instructivo de llenado de los índices del Expediente Único de Obra en las modalidades de adjudicación referidas, dispone </w:t>
      </w:r>
      <w:proofErr w:type="gramStart"/>
      <w:r w:rsidRPr="002D3298">
        <w:rPr>
          <w:rFonts w:ascii="Palatino Linotype" w:eastAsia="Palatino Linotype" w:hAnsi="Palatino Linotype" w:cs="Palatino Linotype"/>
        </w:rPr>
        <w:t>que</w:t>
      </w:r>
      <w:proofErr w:type="gramEnd"/>
      <w:r w:rsidRPr="002D3298">
        <w:rPr>
          <w:rFonts w:ascii="Palatino Linotype" w:eastAsia="Palatino Linotype" w:hAnsi="Palatino Linotype" w:cs="Palatino Linotype"/>
        </w:rPr>
        <w:t xml:space="preserve"> en el apartado del Proyecto Ejecutivo, se incluirán </w:t>
      </w:r>
      <w:r w:rsidRPr="002D3298">
        <w:rPr>
          <w:rFonts w:ascii="Palatino Linotype" w:eastAsia="Palatino Linotype" w:hAnsi="Palatino Linotype" w:cs="Palatino Linotype"/>
          <w:b/>
        </w:rPr>
        <w:t xml:space="preserve">los estudios preliminares y análisis de factibilidad </w:t>
      </w:r>
      <w:r w:rsidRPr="002D3298">
        <w:rPr>
          <w:rFonts w:ascii="Palatino Linotype" w:eastAsia="Palatino Linotype" w:hAnsi="Palatino Linotype" w:cs="Palatino Linotype"/>
          <w:b/>
          <w:u w:val="single"/>
        </w:rPr>
        <w:t>de acuerdo a los estudios de costo beneficio</w:t>
      </w:r>
      <w:r w:rsidRPr="002D3298">
        <w:rPr>
          <w:rFonts w:ascii="Palatino Linotype" w:eastAsia="Palatino Linotype" w:hAnsi="Palatino Linotype" w:cs="Palatino Linotype"/>
          <w:b/>
        </w:rPr>
        <w:t>,</w:t>
      </w:r>
      <w:r w:rsidRPr="002D3298">
        <w:rPr>
          <w:rFonts w:ascii="Palatino Linotype" w:eastAsia="Palatino Linotype" w:hAnsi="Palatino Linotype" w:cs="Palatino Linotype"/>
        </w:rPr>
        <w:t xml:space="preserve"> para la normatividad federal, como se lee en seguida:</w:t>
      </w:r>
    </w:p>
    <w:p w14:paraId="73B7ACDD" w14:textId="77777777" w:rsidR="00B20935" w:rsidRPr="002D3298" w:rsidRDefault="00151843">
      <w:pPr>
        <w:spacing w:before="240" w:after="240" w:line="360" w:lineRule="auto"/>
        <w:jc w:val="center"/>
        <w:rPr>
          <w:rFonts w:ascii="Palatino Linotype" w:eastAsia="Palatino Linotype" w:hAnsi="Palatino Linotype" w:cs="Palatino Linotype"/>
        </w:rPr>
      </w:pPr>
      <w:r w:rsidRPr="002D3298">
        <w:rPr>
          <w:rFonts w:ascii="Palatino Linotype" w:eastAsia="Palatino Linotype" w:hAnsi="Palatino Linotype" w:cs="Palatino Linotype"/>
          <w:noProof/>
        </w:rPr>
        <w:drawing>
          <wp:inline distT="0" distB="0" distL="0" distR="0" wp14:anchorId="18964C24" wp14:editId="58F3D034">
            <wp:extent cx="5125165" cy="743054"/>
            <wp:effectExtent l="0" t="0" r="0" b="0"/>
            <wp:docPr id="21401318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125165" cy="743054"/>
                    </a:xfrm>
                    <a:prstGeom prst="rect">
                      <a:avLst/>
                    </a:prstGeom>
                    <a:ln/>
                  </pic:spPr>
                </pic:pic>
              </a:graphicData>
            </a:graphic>
          </wp:inline>
        </w:drawing>
      </w:r>
    </w:p>
    <w:p w14:paraId="686F9F6E"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Además de lo anterior,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1D4436A0" w14:textId="77777777" w:rsidR="00B20935" w:rsidRPr="002D3298" w:rsidRDefault="00151843">
      <w:pPr>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92</w:t>
      </w:r>
      <w:r w:rsidRPr="002D3298">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F04EAC" w14:textId="77777777" w:rsidR="00B20935" w:rsidRPr="002D3298" w:rsidRDefault="00151843">
      <w:pPr>
        <w:tabs>
          <w:tab w:val="left" w:pos="42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0A06FF52" w14:textId="77777777" w:rsidR="00B20935" w:rsidRPr="002D3298" w:rsidRDefault="00151843">
      <w:pPr>
        <w:tabs>
          <w:tab w:val="left" w:pos="42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XXIX.</w:t>
      </w:r>
      <w:r w:rsidRPr="002D3298">
        <w:rPr>
          <w:rFonts w:ascii="Palatino Linotype" w:eastAsia="Palatino Linotype" w:hAnsi="Palatino Linotype" w:cs="Palatino Linotype"/>
          <w:i/>
          <w:sz w:val="22"/>
          <w:szCs w:val="22"/>
        </w:rPr>
        <w:t xml:space="preserve"> La </w:t>
      </w:r>
      <w:r w:rsidRPr="002D3298">
        <w:rPr>
          <w:rFonts w:ascii="Palatino Linotype" w:eastAsia="Palatino Linotype" w:hAnsi="Palatino Linotype" w:cs="Palatino Linotype"/>
          <w:b/>
          <w:i/>
          <w:sz w:val="22"/>
          <w:szCs w:val="22"/>
        </w:rPr>
        <w:t xml:space="preserve">información sobre los procesos y resultados </w:t>
      </w:r>
      <w:r w:rsidRPr="002D3298">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2D3298">
        <w:rPr>
          <w:rFonts w:ascii="Palatino Linotype" w:eastAsia="Palatino Linotype" w:hAnsi="Palatino Linotype" w:cs="Palatino Linotype"/>
          <w:i/>
          <w:sz w:val="22"/>
          <w:szCs w:val="22"/>
          <w:u w:val="single"/>
        </w:rPr>
        <w:t xml:space="preserve">, </w:t>
      </w:r>
      <w:r w:rsidRPr="002D3298">
        <w:rPr>
          <w:rFonts w:ascii="Palatino Linotype" w:eastAsia="Palatino Linotype" w:hAnsi="Palatino Linotype" w:cs="Palatino Linotype"/>
          <w:b/>
          <w:i/>
          <w:sz w:val="22"/>
          <w:szCs w:val="22"/>
        </w:rPr>
        <w:t>incluyendo la versión pública</w:t>
      </w:r>
      <w:r w:rsidRPr="002D3298">
        <w:rPr>
          <w:rFonts w:ascii="Palatino Linotype" w:eastAsia="Palatino Linotype" w:hAnsi="Palatino Linotype" w:cs="Palatino Linotype"/>
          <w:i/>
          <w:sz w:val="22"/>
          <w:szCs w:val="22"/>
        </w:rPr>
        <w:t xml:space="preserve"> del expediente respectivo y </w:t>
      </w:r>
      <w:r w:rsidRPr="002D3298">
        <w:rPr>
          <w:rFonts w:ascii="Palatino Linotype" w:eastAsia="Palatino Linotype" w:hAnsi="Palatino Linotype" w:cs="Palatino Linotype"/>
          <w:b/>
          <w:i/>
          <w:sz w:val="22"/>
          <w:szCs w:val="22"/>
        </w:rPr>
        <w:t>de los contratos celebrados</w:t>
      </w:r>
      <w:r w:rsidRPr="002D3298">
        <w:rPr>
          <w:rFonts w:ascii="Palatino Linotype" w:eastAsia="Palatino Linotype" w:hAnsi="Palatino Linotype" w:cs="Palatino Linotype"/>
          <w:i/>
          <w:sz w:val="22"/>
          <w:szCs w:val="22"/>
        </w:rPr>
        <w:t>, que deberán contener, por los menos, lo siguiente:</w:t>
      </w:r>
    </w:p>
    <w:p w14:paraId="497D904E" w14:textId="77777777" w:rsidR="00B20935" w:rsidRPr="002D3298" w:rsidRDefault="00151843">
      <w:pPr>
        <w:tabs>
          <w:tab w:val="left" w:pos="426"/>
        </w:tabs>
        <w:spacing w:before="120" w:after="120"/>
        <w:ind w:left="1418"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a) De licitaciones públicas o procedimientos de invitación restringida:</w:t>
      </w:r>
    </w:p>
    <w:p w14:paraId="7115DDEB"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w:t>
      </w:r>
      <w:r w:rsidRPr="002D3298">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6EEF7B8D"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2)</w:t>
      </w:r>
      <w:r w:rsidRPr="002D3298">
        <w:rPr>
          <w:rFonts w:ascii="Palatino Linotype" w:eastAsia="Palatino Linotype" w:hAnsi="Palatino Linotype" w:cs="Palatino Linotype"/>
          <w:i/>
          <w:sz w:val="22"/>
          <w:szCs w:val="22"/>
        </w:rPr>
        <w:t xml:space="preserve"> Los nombres de los participantes o invitados;</w:t>
      </w:r>
    </w:p>
    <w:p w14:paraId="7463C1BC"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3)</w:t>
      </w:r>
      <w:r w:rsidRPr="002D3298">
        <w:rPr>
          <w:rFonts w:ascii="Palatino Linotype" w:eastAsia="Palatino Linotype" w:hAnsi="Palatino Linotype" w:cs="Palatino Linotype"/>
          <w:i/>
          <w:sz w:val="22"/>
          <w:szCs w:val="22"/>
        </w:rPr>
        <w:t xml:space="preserve"> El nombre del ganador y las razones que lo justifican;</w:t>
      </w:r>
    </w:p>
    <w:p w14:paraId="320C50B2"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4)</w:t>
      </w:r>
      <w:r w:rsidRPr="002D3298">
        <w:rPr>
          <w:rFonts w:ascii="Palatino Linotype" w:eastAsia="Palatino Linotype" w:hAnsi="Palatino Linotype" w:cs="Palatino Linotype"/>
          <w:i/>
          <w:sz w:val="22"/>
          <w:szCs w:val="22"/>
        </w:rPr>
        <w:t xml:space="preserve"> El área solicitante y la responsable de su ejecución;</w:t>
      </w:r>
    </w:p>
    <w:p w14:paraId="1D8078D5"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5)</w:t>
      </w:r>
      <w:r w:rsidRPr="002D3298">
        <w:rPr>
          <w:rFonts w:ascii="Palatino Linotype" w:eastAsia="Palatino Linotype" w:hAnsi="Palatino Linotype" w:cs="Palatino Linotype"/>
          <w:i/>
          <w:sz w:val="22"/>
          <w:szCs w:val="22"/>
        </w:rPr>
        <w:t xml:space="preserve"> Las convocatorias e invitaciones emitidas; </w:t>
      </w:r>
    </w:p>
    <w:p w14:paraId="64A857BF"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6)</w:t>
      </w:r>
      <w:r w:rsidRPr="002D3298">
        <w:rPr>
          <w:rFonts w:ascii="Palatino Linotype" w:eastAsia="Palatino Linotype" w:hAnsi="Palatino Linotype" w:cs="Palatino Linotype"/>
          <w:i/>
          <w:sz w:val="22"/>
          <w:szCs w:val="22"/>
        </w:rPr>
        <w:t xml:space="preserve"> Los dictámenes y fallo de adjudicación;</w:t>
      </w:r>
    </w:p>
    <w:p w14:paraId="293B2875"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 xml:space="preserve">7) El contrato y, en su caso, sus anexos; </w:t>
      </w:r>
    </w:p>
    <w:p w14:paraId="5D8BE3D3"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8)</w:t>
      </w:r>
      <w:r w:rsidRPr="002D3298">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5AAFEEE4"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9)</w:t>
      </w:r>
      <w:r w:rsidRPr="002D3298">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2A6C877B"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10)</w:t>
      </w:r>
      <w:r w:rsidRPr="002D3298">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20964DAE"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11)</w:t>
      </w:r>
      <w:r w:rsidRPr="002D3298">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412ED770"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12)</w:t>
      </w:r>
      <w:r w:rsidRPr="002D3298">
        <w:rPr>
          <w:rFonts w:ascii="Palatino Linotype" w:eastAsia="Palatino Linotype" w:hAnsi="Palatino Linotype" w:cs="Palatino Linotype"/>
          <w:i/>
          <w:sz w:val="22"/>
          <w:szCs w:val="22"/>
        </w:rPr>
        <w:t xml:space="preserve"> Los informes de avance físico y financiero sobre las obras o servicios contratados; </w:t>
      </w:r>
    </w:p>
    <w:p w14:paraId="3D0BCB9D"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13)</w:t>
      </w:r>
      <w:r w:rsidRPr="002D3298">
        <w:rPr>
          <w:rFonts w:ascii="Palatino Linotype" w:eastAsia="Palatino Linotype" w:hAnsi="Palatino Linotype" w:cs="Palatino Linotype"/>
          <w:i/>
          <w:sz w:val="22"/>
          <w:szCs w:val="22"/>
        </w:rPr>
        <w:t xml:space="preserve"> El convenio de terminación; </w:t>
      </w:r>
    </w:p>
    <w:p w14:paraId="088F1D68"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14)</w:t>
      </w:r>
      <w:r w:rsidRPr="002D3298">
        <w:rPr>
          <w:rFonts w:ascii="Palatino Linotype" w:eastAsia="Palatino Linotype" w:hAnsi="Palatino Linotype" w:cs="Palatino Linotype"/>
          <w:i/>
          <w:sz w:val="22"/>
          <w:szCs w:val="22"/>
        </w:rPr>
        <w:t xml:space="preserve"> El finiquito.</w:t>
      </w:r>
    </w:p>
    <w:p w14:paraId="7567CA50" w14:textId="77777777" w:rsidR="00B20935" w:rsidRPr="002D3298" w:rsidRDefault="00151843">
      <w:pPr>
        <w:tabs>
          <w:tab w:val="left" w:pos="426"/>
        </w:tabs>
        <w:spacing w:before="120" w:after="120"/>
        <w:ind w:left="1418"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 xml:space="preserve">b) De las adjudicaciones directas: </w:t>
      </w:r>
    </w:p>
    <w:p w14:paraId="29C94D5C"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w:t>
      </w:r>
      <w:r w:rsidRPr="002D3298">
        <w:rPr>
          <w:rFonts w:ascii="Palatino Linotype" w:eastAsia="Palatino Linotype" w:hAnsi="Palatino Linotype" w:cs="Palatino Linotype"/>
          <w:i/>
          <w:sz w:val="22"/>
          <w:szCs w:val="22"/>
        </w:rPr>
        <w:t xml:space="preserve"> La propuesta enviada por el participante; </w:t>
      </w:r>
    </w:p>
    <w:p w14:paraId="2AA98449"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2)</w:t>
      </w:r>
      <w:r w:rsidRPr="002D3298">
        <w:rPr>
          <w:rFonts w:ascii="Palatino Linotype" w:eastAsia="Palatino Linotype" w:hAnsi="Palatino Linotype" w:cs="Palatino Linotype"/>
          <w:i/>
          <w:sz w:val="22"/>
          <w:szCs w:val="22"/>
        </w:rPr>
        <w:t xml:space="preserve"> Los motivos y fundamentos legales aplicados para llevarla a cabo;</w:t>
      </w:r>
    </w:p>
    <w:p w14:paraId="4444B165"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3)</w:t>
      </w:r>
      <w:r w:rsidRPr="002D3298">
        <w:rPr>
          <w:rFonts w:ascii="Palatino Linotype" w:eastAsia="Palatino Linotype" w:hAnsi="Palatino Linotype" w:cs="Palatino Linotype"/>
          <w:i/>
          <w:sz w:val="22"/>
          <w:szCs w:val="22"/>
        </w:rPr>
        <w:t xml:space="preserve"> La autorización del ejercicio de la opción; </w:t>
      </w:r>
    </w:p>
    <w:p w14:paraId="1A565778"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 xml:space="preserve">4) </w:t>
      </w:r>
      <w:r w:rsidRPr="002D3298">
        <w:rPr>
          <w:rFonts w:ascii="Palatino Linotype" w:eastAsia="Palatino Linotype" w:hAnsi="Palatino Linotype" w:cs="Palatino Linotype"/>
          <w:i/>
          <w:sz w:val="22"/>
          <w:szCs w:val="22"/>
        </w:rPr>
        <w:t>En su caso, las cotizaciones consideradas, especificando los nombres de los proveedores y sus montos;</w:t>
      </w:r>
      <w:r w:rsidRPr="002D3298">
        <w:rPr>
          <w:rFonts w:ascii="Palatino Linotype" w:eastAsia="Palatino Linotype" w:hAnsi="Palatino Linotype" w:cs="Palatino Linotype"/>
          <w:b/>
          <w:i/>
          <w:sz w:val="22"/>
          <w:szCs w:val="22"/>
        </w:rPr>
        <w:t xml:space="preserve"> </w:t>
      </w:r>
    </w:p>
    <w:p w14:paraId="7D666005"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5)</w:t>
      </w:r>
      <w:r w:rsidRPr="002D3298">
        <w:rPr>
          <w:rFonts w:ascii="Palatino Linotype" w:eastAsia="Palatino Linotype" w:hAnsi="Palatino Linotype" w:cs="Palatino Linotype"/>
          <w:i/>
          <w:sz w:val="22"/>
          <w:szCs w:val="22"/>
        </w:rPr>
        <w:t xml:space="preserve"> El nombre de la persona física o jurídica colectiva adjudicada; </w:t>
      </w:r>
    </w:p>
    <w:p w14:paraId="5B7EA051"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6)</w:t>
      </w:r>
      <w:r w:rsidRPr="002D3298">
        <w:rPr>
          <w:rFonts w:ascii="Palatino Linotype" w:eastAsia="Palatino Linotype" w:hAnsi="Palatino Linotype" w:cs="Palatino Linotype"/>
          <w:i/>
          <w:sz w:val="22"/>
          <w:szCs w:val="22"/>
        </w:rPr>
        <w:t xml:space="preserve"> La unidad administrativa solicitante y la responsable de su ejecución; </w:t>
      </w:r>
    </w:p>
    <w:p w14:paraId="23D9310C"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5E3B693B"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8)</w:t>
      </w:r>
      <w:r w:rsidRPr="002D3298">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2840EE67"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9)</w:t>
      </w:r>
      <w:r w:rsidRPr="002D3298">
        <w:rPr>
          <w:rFonts w:ascii="Palatino Linotype" w:eastAsia="Palatino Linotype" w:hAnsi="Palatino Linotype" w:cs="Palatino Linotype"/>
          <w:i/>
          <w:sz w:val="22"/>
          <w:szCs w:val="22"/>
        </w:rPr>
        <w:t xml:space="preserve"> Los informes de avance sobre las obras o servicios contratados; </w:t>
      </w:r>
    </w:p>
    <w:p w14:paraId="5E06A375"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10)</w:t>
      </w:r>
      <w:r w:rsidRPr="002D3298">
        <w:rPr>
          <w:rFonts w:ascii="Palatino Linotype" w:eastAsia="Palatino Linotype" w:hAnsi="Palatino Linotype" w:cs="Palatino Linotype"/>
          <w:i/>
          <w:sz w:val="22"/>
          <w:szCs w:val="22"/>
        </w:rPr>
        <w:t xml:space="preserve"> El convenio de terminación; y </w:t>
      </w:r>
    </w:p>
    <w:p w14:paraId="3FB9A8A1" w14:textId="77777777" w:rsidR="00B20935" w:rsidRPr="002D3298" w:rsidRDefault="00151843">
      <w:pPr>
        <w:tabs>
          <w:tab w:val="left" w:pos="426"/>
        </w:tabs>
        <w:spacing w:before="120" w:after="120"/>
        <w:ind w:left="170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11)</w:t>
      </w:r>
      <w:r w:rsidRPr="002D3298">
        <w:rPr>
          <w:rFonts w:ascii="Palatino Linotype" w:eastAsia="Palatino Linotype" w:hAnsi="Palatino Linotype" w:cs="Palatino Linotype"/>
          <w:i/>
          <w:sz w:val="22"/>
          <w:szCs w:val="22"/>
        </w:rPr>
        <w:t xml:space="preserve"> El finiquito;”</w:t>
      </w:r>
    </w:p>
    <w:p w14:paraId="5086FC42"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esto, se advierte que, los Sujetos Obligados deberán poner a disposición del público la información relativa a procesos y resultados sobre procedimientos de </w:t>
      </w:r>
      <w:r w:rsidRPr="002D3298">
        <w:rPr>
          <w:rFonts w:ascii="Palatino Linotype" w:eastAsia="Palatino Linotype" w:hAnsi="Palatino Linotype" w:cs="Palatino Linotype"/>
        </w:rPr>
        <w:lastRenderedPageBreak/>
        <w:t>adjudicación directa, invitación restringida y licitación de cualquier naturaleza, donde se incluya, en versión pública, el expediente respectivo y los contratos celebrados que, para el caso en particular, los expedientes deberán contener:</w:t>
      </w:r>
    </w:p>
    <w:p w14:paraId="65884CA9"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w:t>
      </w:r>
      <w:r w:rsidRPr="002D3298">
        <w:rPr>
          <w:rFonts w:ascii="Palatino Linotype" w:eastAsia="Palatino Linotype" w:hAnsi="Palatino Linotype" w:cs="Palatino Linotype"/>
          <w:sz w:val="16"/>
          <w:szCs w:val="16"/>
        </w:rPr>
        <w:t xml:space="preserve">        </w:t>
      </w:r>
      <w:r w:rsidRPr="002D3298">
        <w:rPr>
          <w:rFonts w:ascii="Palatino Linotype" w:eastAsia="Palatino Linotype" w:hAnsi="Palatino Linotype" w:cs="Palatino Linotype"/>
          <w:b/>
        </w:rPr>
        <w:t xml:space="preserve">Licitación pública: </w:t>
      </w:r>
      <w:r w:rsidRPr="002D3298">
        <w:rPr>
          <w:rFonts w:ascii="Palatino Linotype" w:eastAsia="Palatino Linotype" w:hAnsi="Palatino Linotype" w:cs="Palatino Linotype"/>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38F1E3AF"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w:t>
      </w:r>
      <w:r w:rsidRPr="002D3298">
        <w:rPr>
          <w:rFonts w:ascii="Palatino Linotype" w:eastAsia="Palatino Linotype" w:hAnsi="Palatino Linotype" w:cs="Palatino Linotype"/>
          <w:sz w:val="16"/>
          <w:szCs w:val="16"/>
        </w:rPr>
        <w:t xml:space="preserve">        </w:t>
      </w:r>
      <w:r w:rsidRPr="002D3298">
        <w:rPr>
          <w:rFonts w:ascii="Palatino Linotype" w:eastAsia="Palatino Linotype" w:hAnsi="Palatino Linotype" w:cs="Palatino Linotype"/>
          <w:b/>
        </w:rPr>
        <w:t xml:space="preserve">Invitación restringida: </w:t>
      </w:r>
      <w:r w:rsidRPr="002D3298">
        <w:rPr>
          <w:rFonts w:ascii="Palatino Linotype" w:eastAsia="Palatino Linotype" w:hAnsi="Palatino Linotype" w:cs="Palatino Linotype"/>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32B886D1"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w:t>
      </w:r>
      <w:r w:rsidRPr="002D3298">
        <w:rPr>
          <w:rFonts w:ascii="Palatino Linotype" w:eastAsia="Palatino Linotype" w:hAnsi="Palatino Linotype" w:cs="Palatino Linotype"/>
          <w:sz w:val="16"/>
          <w:szCs w:val="16"/>
        </w:rPr>
        <w:t xml:space="preserve">        </w:t>
      </w:r>
      <w:r w:rsidRPr="002D3298">
        <w:rPr>
          <w:rFonts w:ascii="Palatino Linotype" w:eastAsia="Palatino Linotype" w:hAnsi="Palatino Linotype" w:cs="Palatino Linotype"/>
          <w:b/>
        </w:rPr>
        <w:t xml:space="preserve">Adjudicaciones directas: </w:t>
      </w:r>
      <w:r w:rsidRPr="002D3298">
        <w:rPr>
          <w:rFonts w:ascii="Palatino Linotype" w:eastAsia="Palatino Linotype" w:hAnsi="Palatino Linotype" w:cs="Palatino Linotype"/>
        </w:rPr>
        <w:t xml:space="preserve">Propuestas enviadas por el participante, motivos y fundamentos legales, autorización del ejercicio de la opción, cotizaciones </w:t>
      </w:r>
      <w:r w:rsidRPr="002D3298">
        <w:rPr>
          <w:rFonts w:ascii="Palatino Linotype" w:eastAsia="Palatino Linotype" w:hAnsi="Palatino Linotype" w:cs="Palatino Linotype"/>
        </w:rPr>
        <w:lastRenderedPageBreak/>
        <w:t xml:space="preserve">consideradas, nombre de persona física o jurídica adjudicada, número, fecha, monto del contrato, plazo de entrega o ejecución, mecanismos de vigilancia y supervisión, informes de avance sobre las obras o servicios, convenio de terminación y finiquito. </w:t>
      </w:r>
    </w:p>
    <w:p w14:paraId="6C18DC63"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2D3298">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2D3298">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10CBA15A"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Respecto al comité vecinal, resulta pertinente señalar, que de conformidad con los artículos 113 A, 113 B y 113 C, </w:t>
      </w:r>
      <w:proofErr w:type="gramStart"/>
      <w:r w:rsidRPr="002D3298">
        <w:rPr>
          <w:rFonts w:ascii="Palatino Linotype" w:eastAsia="Palatino Linotype" w:hAnsi="Palatino Linotype" w:cs="Palatino Linotype"/>
        </w:rPr>
        <w:t>de  la</w:t>
      </w:r>
      <w:proofErr w:type="gramEnd"/>
      <w:r w:rsidRPr="002D3298">
        <w:rPr>
          <w:rFonts w:ascii="Palatino Linotype" w:eastAsia="Palatino Linotype" w:hAnsi="Palatino Linotype" w:cs="Palatino Linotype"/>
        </w:rPr>
        <w:t xml:space="preserve"> Ley Orgánica Municipal del Estado de México y Municipios, los Comités Ciudadanos de Control y Vigilancia son responsables de supervisar la obra pública estatal y municipal, para lo cual se integrarán por tres vecinos de la localidad en la que se constituya la obra, y serán electos en asamblea general, por los ciudadanos beneficiados por aquella. </w:t>
      </w:r>
      <w:r w:rsidRPr="002D3298">
        <w:rPr>
          <w:rFonts w:ascii="Palatino Linotype" w:eastAsia="Palatino Linotype" w:hAnsi="Palatino Linotype" w:cs="Palatino Linotype"/>
          <w:b/>
        </w:rPr>
        <w:t>Para cada obra estatal o municipal se constituirá un comité ciudadano de control y vigilancia</w:t>
      </w:r>
      <w:r w:rsidRPr="002D3298">
        <w:rPr>
          <w:rFonts w:ascii="Palatino Linotype" w:eastAsia="Palatino Linotype" w:hAnsi="Palatino Linotype" w:cs="Palatino Linotype"/>
        </w:rPr>
        <w:t>, sin embargo, en aquellos casos en los que las características técnicas o las dimensiones de la obra lo ameriten, podrán integrarse más de uno, a saber:</w:t>
      </w:r>
    </w:p>
    <w:p w14:paraId="6EF9B603"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113 A.-</w:t>
      </w:r>
      <w:r w:rsidRPr="002D3298">
        <w:rPr>
          <w:rFonts w:ascii="Palatino Linotype" w:eastAsia="Palatino Linotype" w:hAnsi="Palatino Linotype" w:cs="Palatino Linotype"/>
          <w:i/>
          <w:sz w:val="22"/>
          <w:szCs w:val="22"/>
        </w:rPr>
        <w:t xml:space="preserve"> Los ayuntamientos promoverán la constitución de comités ciudadanos de control y vigilancia, los que serán responsables de supervisar la obra pública estatal y municipal. </w:t>
      </w:r>
    </w:p>
    <w:p w14:paraId="7CC87364"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113 B.-</w:t>
      </w:r>
      <w:r w:rsidRPr="002D3298">
        <w:rPr>
          <w:rFonts w:ascii="Palatino Linotype" w:eastAsia="Palatino Linotype" w:hAnsi="Palatino Linotype" w:cs="Palatino Linotype"/>
          <w:i/>
          <w:sz w:val="22"/>
          <w:szCs w:val="22"/>
        </w:rPr>
        <w:t xml:space="preserve"> Los comités ciudadanos de control y vigilancia estarán integrados por tres vecinos de la localidad en la que se construya la obra, serán electos en asamblea general, por los ciudadanos beneficiados por aquélla. El cargo de integrante del comité será honorífico. </w:t>
      </w:r>
    </w:p>
    <w:p w14:paraId="30FFCF85"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No podrán ser integrantes de los comités las personas que sean dirigentes de organizaciones políticas o servidores públicos. </w:t>
      </w:r>
    </w:p>
    <w:p w14:paraId="60C8F576"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xml:space="preserve">Artículo 113 C.- </w:t>
      </w:r>
      <w:r w:rsidRPr="002D3298">
        <w:rPr>
          <w:rFonts w:ascii="Palatino Linotype" w:eastAsia="Palatino Linotype" w:hAnsi="Palatino Linotype" w:cs="Palatino Linotype"/>
          <w:b/>
          <w:i/>
          <w:sz w:val="22"/>
          <w:szCs w:val="22"/>
          <w:u w:val="single"/>
        </w:rPr>
        <w:t>Para cada obra estatal o municipal se constituirá un comité ciudadano de control y vigilancia</w:t>
      </w:r>
      <w:r w:rsidRPr="002D3298">
        <w:rPr>
          <w:rFonts w:ascii="Palatino Linotype" w:eastAsia="Palatino Linotype" w:hAnsi="Palatino Linotype" w:cs="Palatino Linotype"/>
          <w:i/>
          <w:sz w:val="22"/>
          <w:szCs w:val="22"/>
        </w:rPr>
        <w:t>. Sin embargo, en aquellos casos en que las características técnicas o las dimensiones de la obra lo ameriten, podrán integrarse más de uno.”</w:t>
      </w:r>
    </w:p>
    <w:p w14:paraId="187D8909"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9" w:name="_heading=h.2jxsxqh" w:colFirst="0" w:colLast="0"/>
      <w:bookmarkEnd w:id="9"/>
      <w:r w:rsidRPr="002D3298">
        <w:rPr>
          <w:rFonts w:ascii="Palatino Linotype" w:eastAsia="Palatino Linotype" w:hAnsi="Palatino Linotype" w:cs="Palatino Linotype"/>
        </w:rPr>
        <w:t>Los Comités Ciudadanos de Control y Vigilancia tendrán las funciones establecidas en el artículo 113 D de la Ley Orgánica Municipal, a saber:</w:t>
      </w:r>
    </w:p>
    <w:p w14:paraId="22FED797"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113 D.-</w:t>
      </w:r>
      <w:r w:rsidRPr="002D3298">
        <w:rPr>
          <w:rFonts w:ascii="Palatino Linotype" w:eastAsia="Palatino Linotype" w:hAnsi="Palatino Linotype" w:cs="Palatino Linotype"/>
          <w:i/>
          <w:sz w:val="22"/>
          <w:szCs w:val="22"/>
        </w:rPr>
        <w:t xml:space="preserve"> Los comités ciudadanos de control y vigilancia </w:t>
      </w:r>
      <w:proofErr w:type="gramStart"/>
      <w:r w:rsidRPr="002D3298">
        <w:rPr>
          <w:rFonts w:ascii="Palatino Linotype" w:eastAsia="Palatino Linotype" w:hAnsi="Palatino Linotype" w:cs="Palatino Linotype"/>
          <w:i/>
          <w:sz w:val="22"/>
          <w:szCs w:val="22"/>
        </w:rPr>
        <w:t>tendrán</w:t>
      </w:r>
      <w:proofErr w:type="gramEnd"/>
      <w:r w:rsidRPr="002D3298">
        <w:rPr>
          <w:rFonts w:ascii="Palatino Linotype" w:eastAsia="Palatino Linotype" w:hAnsi="Palatino Linotype" w:cs="Palatino Linotype"/>
          <w:i/>
          <w:sz w:val="22"/>
          <w:szCs w:val="22"/>
        </w:rPr>
        <w:t xml:space="preserve"> además, las siguientes funciones:</w:t>
      </w:r>
    </w:p>
    <w:p w14:paraId="25A193F9"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Vigilar que la obra pública se realice de acuerdo al expediente técnico y dentro de la normatividad correspondiente;</w:t>
      </w:r>
    </w:p>
    <w:p w14:paraId="42B68250"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II.</w:t>
      </w:r>
      <w:r w:rsidRPr="002D3298">
        <w:rPr>
          <w:rFonts w:ascii="Palatino Linotype" w:eastAsia="Palatino Linotype" w:hAnsi="Palatino Linotype" w:cs="Palatino Linotype"/>
          <w:i/>
          <w:sz w:val="22"/>
          <w:szCs w:val="22"/>
        </w:rPr>
        <w:t xml:space="preserve"> Participar como observador en los procesos o actos administrativos relacionados con la adjudicación o concesión de la ejecución de la obra;</w:t>
      </w:r>
    </w:p>
    <w:p w14:paraId="6EB1FC25"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Hacer visitas de inspección y llevar registro de sus resultados;</w:t>
      </w:r>
    </w:p>
    <w:p w14:paraId="3D23036A"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Verificar la calidad con que se realiza la obra pública,</w:t>
      </w:r>
    </w:p>
    <w:p w14:paraId="0346C99C"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Hacer del conocimiento de las autoridades correspondientes las irregularidades que observe durante el desempeño de sus funciones o las quejas que reciba de la ciudadanía, con motivo de las obras objeto de supervisión,</w:t>
      </w:r>
    </w:p>
    <w:p w14:paraId="4DB11FD1"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w:t>
      </w:r>
      <w:r w:rsidRPr="002D3298">
        <w:rPr>
          <w:rFonts w:ascii="Palatino Linotype" w:eastAsia="Palatino Linotype" w:hAnsi="Palatino Linotype" w:cs="Palatino Linotype"/>
          <w:i/>
          <w:sz w:val="22"/>
          <w:szCs w:val="22"/>
        </w:rPr>
        <w:t xml:space="preserve"> Integrar un archivo con la documentación que se derive de la supervisión de las obras, </w:t>
      </w:r>
    </w:p>
    <w:p w14:paraId="1F1E6CF9"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w:t>
      </w:r>
      <w:r w:rsidRPr="002D3298">
        <w:rPr>
          <w:rFonts w:ascii="Palatino Linotype" w:eastAsia="Palatino Linotype" w:hAnsi="Palatino Linotype" w:cs="Palatino Linotype"/>
          <w:i/>
          <w:sz w:val="22"/>
          <w:szCs w:val="22"/>
        </w:rPr>
        <w:t xml:space="preserve"> Intervenir en los actos de entrega-recepción de las obras y acciones, informando a los vecinos el resultado del desempeño de sus funciones; y</w:t>
      </w:r>
    </w:p>
    <w:p w14:paraId="6D4740FB"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VIII.</w:t>
      </w:r>
      <w:r w:rsidRPr="002D3298">
        <w:rPr>
          <w:rFonts w:ascii="Palatino Linotype" w:eastAsia="Palatino Linotype" w:hAnsi="Palatino Linotype" w:cs="Palatino Linotype"/>
          <w:i/>
          <w:sz w:val="22"/>
          <w:szCs w:val="22"/>
        </w:rPr>
        <w:t xml:space="preserve"> Promover el adecuado mantenimiento de la obra pública ante las autoridades municipales.”</w:t>
      </w:r>
    </w:p>
    <w:p w14:paraId="6194C3AF"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De conformidad con el artículo 113 E, de la Ley Orgánica Municipal, los Comités Ciudadanos de Control y Vigilancia deben apoyarse en las Contralorías Municipal y estatal, y coadyuvar con el órgano de control interno municipal en el desempeño de las funciones a que se refieren las fracciones VII y VIII del artículo 112 de la misma Ley, del tenor literal siguiente:</w:t>
      </w:r>
    </w:p>
    <w:p w14:paraId="2323FCFF"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112</w:t>
      </w:r>
      <w:r w:rsidRPr="002D3298">
        <w:rPr>
          <w:rFonts w:ascii="Palatino Linotype" w:eastAsia="Palatino Linotype" w:hAnsi="Palatino Linotype" w:cs="Palatino Linotype"/>
          <w:i/>
          <w:sz w:val="22"/>
          <w:szCs w:val="22"/>
        </w:rPr>
        <w:t>. El órgano interno de control municipal tendrá a su cargo las funciones siguientes:</w:t>
      </w:r>
    </w:p>
    <w:p w14:paraId="36AD961C"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3C6470FC"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w:t>
      </w:r>
      <w:r w:rsidRPr="002D3298">
        <w:rPr>
          <w:rFonts w:ascii="Palatino Linotype" w:eastAsia="Palatino Linotype" w:hAnsi="Palatino Linotype" w:cs="Palatino Linotype"/>
          <w:i/>
          <w:sz w:val="22"/>
          <w:szCs w:val="22"/>
        </w:rPr>
        <w:t xml:space="preserve">. Vigilar el cumplimiento de las obligaciones de proveedores y contratistas de la administración pública municipal; </w:t>
      </w:r>
    </w:p>
    <w:p w14:paraId="744F51F4"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VIII</w:t>
      </w:r>
      <w:r w:rsidRPr="002D3298">
        <w:rPr>
          <w:rFonts w:ascii="Palatino Linotype" w:eastAsia="Palatino Linotype" w:hAnsi="Palatino Linotype" w:cs="Palatino Linotype"/>
          <w:i/>
          <w:sz w:val="22"/>
          <w:szCs w:val="22"/>
        </w:rPr>
        <w:t>. Coordinarse con el Órgano Superior de Fiscalización del Estado de México y la Contraloría del Poder Legislativo y con la Secretaría de la Contraloría del Estado para el cumplimiento de sus funciones;”</w:t>
      </w:r>
    </w:p>
    <w:p w14:paraId="2207F8C0"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Por su parte, el articulo 113 F, de la Ley Orgánica dispone que las dependencias y entidades de la administración pública municipal que construyan las obras o realicen las acciones, explicarán a los comités ciudadanos de control y vigilancia, las </w:t>
      </w:r>
      <w:r w:rsidRPr="002D3298">
        <w:rPr>
          <w:rFonts w:ascii="Palatino Linotype" w:eastAsia="Palatino Linotype" w:hAnsi="Palatino Linotype" w:cs="Palatino Linotype"/>
        </w:rPr>
        <w:lastRenderedPageBreak/>
        <w:t>características físicas y financieras de las obras y les proporcionarán, antes del inicio de la obra, el resumen del expediente técnico respectivo y darles el apoyo, las facilidades y la información necesaria para el desempeño de sus funciones.</w:t>
      </w:r>
    </w:p>
    <w:p w14:paraId="26DEA203"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Mientras que el artículo 113 G, de la Ley Orgánica Municipal refiere que las dependencias y entidades de la administración pública municipal que construyan las obras o realicen las acciones, harán la entrega-recepción de las obras ante los integrantes de los comités ciudadanos de control y vigilancia y de los vecinos de la localidad beneficiados con la obra.</w:t>
      </w:r>
    </w:p>
    <w:p w14:paraId="45FA12C6"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Asimismo, los Lineamientos de Operación del Programa de Contraloría y Evaluación Social, publicados en el Periódico Oficial “Gaceta del Gobierno” del Estado de México, el treinta y uno de agosto de dos mil veinte, cuyo objeto consiste en  regir la operación y el funcionamiento del Programa de Contraloría y Evaluación Social como mecanismo de participación ciudadana, para contribuir en la vigilancia, control y seguimiento de la ejecución de obras públicas, programas sociales, trámites y servicios que ejecutan las dependencias y organismos auxiliares de la Administración Pública Estatal, así como los ayuntamientos y las instancias públicas municipales cuando se trate de recursos estatales totales o parciales, con la finalidad de orientar sus resultados al incremento de la confianza ciudadana en sus instituciones, establecen en el numeral Décimo Octavo las funciones que se les confieren a los Com</w:t>
      </w:r>
      <w:r w:rsidRPr="002D3298">
        <w:t xml:space="preserve">ités  </w:t>
      </w:r>
      <w:r w:rsidRPr="002D3298">
        <w:rPr>
          <w:rFonts w:ascii="Palatino Linotype" w:eastAsia="Palatino Linotype" w:hAnsi="Palatino Linotype" w:cs="Palatino Linotype"/>
        </w:rPr>
        <w:t>Ciudadanos de Control y Vigilancia para el cumplimiento de su objetivo, siendo relevantes para  el tema que nos ocupa, las siguientes:</w:t>
      </w:r>
    </w:p>
    <w:p w14:paraId="25AF0CEC"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I. De promoción y gestión: </w:t>
      </w:r>
    </w:p>
    <w:p w14:paraId="478F8F27"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a) Representar como órgano de vigilancia a las y los beneficiarios de las acciones, ante todo tipo de autoridades; </w:t>
      </w:r>
    </w:p>
    <w:p w14:paraId="6973A7B4"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b) Promover la organización de las y los beneficiarios o las y los usuarios con la finalidad de vigilar la correcta operación y ejecución de las acciones;</w:t>
      </w:r>
    </w:p>
    <w:p w14:paraId="14F58ABF"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c) Solicitar la documentación e información necesaria para el buen desempeño de sus funciones; </w:t>
      </w:r>
    </w:p>
    <w:p w14:paraId="2AD87982"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d) Promover al interior de la comunidad beneficiaria o usuaria la presentación del reporte ciudadano a través de los medios habilitados, cuando se identifique la existencia de presuntas irregularidades, y en su caso, de reconocimientos ciudadanos;</w:t>
      </w:r>
    </w:p>
    <w:p w14:paraId="4DBA4BF0"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II. De vigilancia y seguimiento: </w:t>
      </w:r>
    </w:p>
    <w:p w14:paraId="7F001C9C"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a) Realizar visitas a los lugares donde se ejecutan las acciones y documentarlas en los formatos que determine la Secretaría;</w:t>
      </w:r>
    </w:p>
    <w:p w14:paraId="4256987D"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b) Vigilar que las acciones se presten, ejecuten u operen, con apego a la normatividad establecida;</w:t>
      </w:r>
    </w:p>
    <w:p w14:paraId="0F24CB28"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w:t>
      </w:r>
    </w:p>
    <w:p w14:paraId="1192658C"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 Identificar presuntas irregularidades o deficiencias en la prestación, ejecución u operación de las acciones, por medio de reportes ciudadanos presentados por los Contralores Sociales o ciudadanos; </w:t>
      </w:r>
    </w:p>
    <w:p w14:paraId="384E5F30" w14:textId="77777777" w:rsidR="00B20935" w:rsidRPr="002D3298" w:rsidRDefault="00151843">
      <w:pPr>
        <w:spacing w:before="240" w:after="240" w:line="276" w:lineRule="auto"/>
        <w:ind w:left="284" w:right="51"/>
        <w:jc w:val="both"/>
        <w:rPr>
          <w:rFonts w:ascii="Palatino Linotype" w:eastAsia="Palatino Linotype" w:hAnsi="Palatino Linotype" w:cs="Palatino Linotype"/>
        </w:rPr>
      </w:pPr>
      <w:r w:rsidRPr="002D3298">
        <w:rPr>
          <w:rFonts w:ascii="Palatino Linotype" w:eastAsia="Palatino Linotype" w:hAnsi="Palatino Linotype" w:cs="Palatino Linotype"/>
        </w:rPr>
        <w:t>f) Informar a la comunidad el avance y situación que guarda la acción correspondiente a través de los medios que el COCICOVI determine;</w:t>
      </w:r>
    </w:p>
    <w:p w14:paraId="31A6782D"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 partir de lo anterior, se considera que ha quedado acreditada la competencia del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para conocer la información que es del interés de la persona solicitante, por lo tanto, se estima dable ordenar, previa búsqueda exhaustiva y </w:t>
      </w:r>
      <w:r w:rsidRPr="002D3298">
        <w:rPr>
          <w:rFonts w:ascii="Palatino Linotype" w:eastAsia="Palatino Linotype" w:hAnsi="Palatino Linotype" w:cs="Palatino Linotype"/>
        </w:rPr>
        <w:lastRenderedPageBreak/>
        <w:t>razonable, en las áreas competentes, se haga entrega del soporte documental correspondiente en versión pública de ser procedente, de conformidad con el considerando siguiente.</w:t>
      </w:r>
    </w:p>
    <w:p w14:paraId="5A5D119D"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Sin embargo, es de señalar que para el caso de que no llegara a localizar información respecto del ejercicio 2025, con excepción del Programa Anual de Obra, de las modificaciones o adecuaciones del Programa Anual de Obra en alguno de los ejercicios precisados en la solicitud, por no haberse generado; así como del o los documentos que donde se vea reflejada o conste la conformidad o inconformidad  del comité vecinal respecto de la o las obras realizadas, al no advertir disposición alguna que refiera de manera expresa la obligación por parte del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de contar con dicho documento en tales términos, bastará con que así se haga del conocimiento de la persona solicitante para tener por colmado su derecho de acceso a la información, con fundamento en el artículo 19, párrafo segundo de la Ley de Transparencia y Acceso a la Información Pública del Estado de México y Municipios, a saber:</w:t>
      </w:r>
    </w:p>
    <w:p w14:paraId="3F79A7E0"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19</w:t>
      </w:r>
      <w:r w:rsidRPr="002D3298">
        <w:rPr>
          <w:rFonts w:ascii="Palatino Linotype" w:eastAsia="Palatino Linotype" w:hAnsi="Palatino Linotype" w:cs="Palatino Linotype"/>
          <w:i/>
          <w:sz w:val="22"/>
          <w:szCs w:val="22"/>
        </w:rPr>
        <w:t>…</w:t>
      </w:r>
    </w:p>
    <w:p w14:paraId="392A0F2C"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D94D9D0" w14:textId="77777777" w:rsidR="00B20935" w:rsidRPr="002D3298" w:rsidRDefault="0015184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lo hasta aquí expuesto, se concluye que los motivos de inconformidad de la parte </w:t>
      </w:r>
      <w:r w:rsidRPr="002D3298">
        <w:rPr>
          <w:rFonts w:ascii="Palatino Linotype" w:eastAsia="Palatino Linotype" w:hAnsi="Palatino Linotype" w:cs="Palatino Linotype"/>
          <w:b/>
        </w:rPr>
        <w:t xml:space="preserve">Recurrente </w:t>
      </w:r>
      <w:r w:rsidRPr="002D3298">
        <w:rPr>
          <w:rFonts w:ascii="Palatino Linotype" w:eastAsia="Palatino Linotype" w:hAnsi="Palatino Linotype" w:cs="Palatino Linotype"/>
        </w:rPr>
        <w:t xml:space="preserve">devienen fundados, siendo procedente </w:t>
      </w:r>
      <w:r w:rsidRPr="002D3298">
        <w:rPr>
          <w:rFonts w:ascii="Palatino Linotype" w:eastAsia="Palatino Linotype" w:hAnsi="Palatino Linotype" w:cs="Palatino Linotype"/>
          <w:b/>
          <w:i/>
        </w:rPr>
        <w:t>Revocar</w:t>
      </w:r>
      <w:r w:rsidRPr="002D3298">
        <w:rPr>
          <w:rFonts w:ascii="Palatino Linotype" w:eastAsia="Palatino Linotype" w:hAnsi="Palatino Linotype" w:cs="Palatino Linotype"/>
          <w:i/>
        </w:rPr>
        <w:t xml:space="preserve"> </w:t>
      </w:r>
      <w:r w:rsidRPr="002D3298">
        <w:rPr>
          <w:rFonts w:ascii="Palatino Linotype" w:eastAsia="Palatino Linotype" w:hAnsi="Palatino Linotype" w:cs="Palatino Linotype"/>
        </w:rPr>
        <w:t xml:space="preserve">la respuesta proporcionada por el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274B755"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b/>
        </w:rPr>
        <w:lastRenderedPageBreak/>
        <w:t xml:space="preserve">Quinto. Versión Pública. </w:t>
      </w:r>
      <w:r w:rsidRPr="002D3298">
        <w:rPr>
          <w:rFonts w:ascii="Palatino Linotype" w:eastAsia="Palatino Linotype" w:hAnsi="Palatino Linotype" w:cs="Palatino Linotype"/>
        </w:rPr>
        <w:t>Como fue debidamente apuntado,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2AA2F9E"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5F17E10"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2C7E1876"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rPr>
        <w:t>Al respecto, los artículos 3, fracciones IX, XX, XXI, XXXII, XLV; 6, 91, 132, 137, 143, fracción I, de la Ley de Transparencia y Acceso a la Información Pública del Estado de México y Municipios vigente establecen:</w:t>
      </w:r>
    </w:p>
    <w:p w14:paraId="7C7D3FE1"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rPr>
        <w:t> </w:t>
      </w: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3.</w:t>
      </w:r>
      <w:r w:rsidRPr="002D3298">
        <w:rPr>
          <w:rFonts w:ascii="Palatino Linotype" w:eastAsia="Palatino Linotype" w:hAnsi="Palatino Linotype" w:cs="Palatino Linotype"/>
          <w:i/>
          <w:sz w:val="22"/>
          <w:szCs w:val="22"/>
        </w:rPr>
        <w:t xml:space="preserve"> Para los efectos de la presente Ley se entenderá por:</w:t>
      </w:r>
    </w:p>
    <w:p w14:paraId="6C0892D9"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1FF66F44"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IX. Datos personales</w:t>
      </w:r>
      <w:r w:rsidRPr="002D3298">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4C1754DA"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lastRenderedPageBreak/>
        <w:t>…</w:t>
      </w:r>
    </w:p>
    <w:p w14:paraId="361EFE2C"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XX. Información clasificada</w:t>
      </w:r>
      <w:r w:rsidRPr="002D3298">
        <w:rPr>
          <w:rFonts w:ascii="Palatino Linotype" w:eastAsia="Palatino Linotype" w:hAnsi="Palatino Linotype" w:cs="Palatino Linotype"/>
          <w:i/>
          <w:sz w:val="22"/>
          <w:szCs w:val="22"/>
        </w:rPr>
        <w:t>: Aquella considerada por la presente Ley como reservada o confidencial;</w:t>
      </w:r>
    </w:p>
    <w:p w14:paraId="5E09A2B1"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XXI. Información confidencial</w:t>
      </w:r>
      <w:r w:rsidRPr="002D3298">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2B34FCC"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24090360"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XXXII. Protección de Datos Personales</w:t>
      </w:r>
      <w:r w:rsidRPr="002D3298">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8D3518B"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2DEC08E7" w14:textId="77777777" w:rsidR="00B20935" w:rsidRPr="002D3298" w:rsidRDefault="00151843">
      <w:pPr>
        <w:tabs>
          <w:tab w:val="left" w:pos="1276"/>
        </w:tabs>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XLV. Versión pública</w:t>
      </w:r>
      <w:r w:rsidRPr="002D329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31E63BA"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Artículo 6</w:t>
      </w:r>
      <w:r w:rsidRPr="002D3298">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FE4C04B"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p>
    <w:p w14:paraId="15B1E267"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91.</w:t>
      </w:r>
      <w:r w:rsidRPr="002D329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2D3298">
        <w:rPr>
          <w:rFonts w:ascii="Palatino Linotype" w:eastAsia="Palatino Linotype" w:hAnsi="Palatino Linotype" w:cs="Palatino Linotype"/>
          <w:i/>
          <w:sz w:val="22"/>
          <w:szCs w:val="22"/>
        </w:rPr>
        <w:br/>
        <w:t>…</w:t>
      </w:r>
    </w:p>
    <w:p w14:paraId="64474522"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132.</w:t>
      </w:r>
      <w:r w:rsidRPr="002D3298">
        <w:rPr>
          <w:rFonts w:ascii="Palatino Linotype" w:eastAsia="Palatino Linotype" w:hAnsi="Palatino Linotype" w:cs="Palatino Linotype"/>
          <w:i/>
          <w:sz w:val="22"/>
          <w:szCs w:val="22"/>
        </w:rPr>
        <w:t xml:space="preserve"> La clasificación de la información se llevará a cabo en el momento en que:</w:t>
      </w:r>
    </w:p>
    <w:p w14:paraId="1D3420A4"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Se reciba una solicitud de acceso a la información;</w:t>
      </w:r>
    </w:p>
    <w:p w14:paraId="73D4EDA5"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Se determine mediante resolución de autoridad competente; o</w:t>
      </w:r>
    </w:p>
    <w:p w14:paraId="4AADCA60"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839B366"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w:t>
      </w:r>
    </w:p>
    <w:p w14:paraId="28A40076"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lastRenderedPageBreak/>
        <w:t>Artículo 137.</w:t>
      </w:r>
      <w:r w:rsidRPr="002D329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6B26F62"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Artículo 143.</w:t>
      </w:r>
      <w:r w:rsidRPr="002D3298">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667C523"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602B4F2"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0E46AAD"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5DD429E"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54518415"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La </w:t>
      </w:r>
      <w:r w:rsidRPr="002D3298">
        <w:rPr>
          <w:rFonts w:ascii="Palatino Linotype" w:eastAsia="Palatino Linotype" w:hAnsi="Palatino Linotype" w:cs="Palatino Linotype"/>
          <w:b/>
        </w:rPr>
        <w:t>clave de elector</w:t>
      </w:r>
      <w:r w:rsidRPr="002D3298">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2D3298">
        <w:rPr>
          <w:rFonts w:ascii="Palatino Linotype" w:eastAsia="Palatino Linotype" w:hAnsi="Palatino Linotype" w:cs="Palatino Linotype"/>
        </w:rPr>
        <w:t>homoclave</w:t>
      </w:r>
      <w:proofErr w:type="spellEnd"/>
      <w:r w:rsidRPr="002D3298">
        <w:rPr>
          <w:rFonts w:ascii="Palatino Linotype" w:eastAsia="Palatino Linotype" w:hAnsi="Palatino Linotype" w:cs="Palatino Linotype"/>
        </w:rPr>
        <w:t xml:space="preserve"> que distingue a su titular de cualquier otro homónimo, por lo tanto, se trata de un dato personal que debe ser protegido.</w:t>
      </w:r>
    </w:p>
    <w:p w14:paraId="56450DEB"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El </w:t>
      </w:r>
      <w:r w:rsidRPr="002D3298">
        <w:rPr>
          <w:rFonts w:ascii="Palatino Linotype" w:eastAsia="Palatino Linotype" w:hAnsi="Palatino Linotype" w:cs="Palatino Linotype"/>
          <w:b/>
        </w:rPr>
        <w:t>número de OCR,</w:t>
      </w:r>
      <w:r w:rsidRPr="002D3298">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2D3298">
        <w:rPr>
          <w:rFonts w:ascii="Palatino Linotype" w:eastAsia="Palatino Linotype" w:hAnsi="Palatino Linotype" w:cs="Palatino Linotype"/>
        </w:rPr>
        <w:t>geoelectoral</w:t>
      </w:r>
      <w:proofErr w:type="spellEnd"/>
      <w:r w:rsidRPr="002D3298">
        <w:rPr>
          <w:rFonts w:ascii="Palatino Linotype" w:eastAsia="Palatino Linotype" w:hAnsi="Palatino Linotype" w:cs="Palatino Linotype"/>
        </w:rPr>
        <w:t xml:space="preserve"> ahí contenida, por lo que es susceptible de resguardarse.</w:t>
      </w:r>
    </w:p>
    <w:p w14:paraId="3233C69D"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La </w:t>
      </w:r>
      <w:r w:rsidRPr="002D3298">
        <w:rPr>
          <w:rFonts w:ascii="Palatino Linotype" w:eastAsia="Palatino Linotype" w:hAnsi="Palatino Linotype" w:cs="Palatino Linotype"/>
          <w:b/>
        </w:rPr>
        <w:t>clave única del registro de población,</w:t>
      </w:r>
      <w:r w:rsidRPr="002D3298">
        <w:rPr>
          <w:rFonts w:ascii="Palatino Linotype" w:eastAsia="Palatino Linotype" w:hAnsi="Palatino Linotype" w:cs="Palatino Linotype"/>
          <w:i/>
        </w:rPr>
        <w:t xml:space="preserve"> </w:t>
      </w:r>
      <w:r w:rsidRPr="002D3298">
        <w:rPr>
          <w:rFonts w:ascii="Palatino Linotype" w:eastAsia="Palatino Linotype" w:hAnsi="Palatino Linotype" w:cs="Palatino Linotype"/>
        </w:rPr>
        <w:t xml:space="preserve">se integra por datos personales que sólo conciernen al particular titular de la misma, como lo son su nombre, apellidos, fecha de nacimiento, lugar de nacimiento y sexo. Dichos datos, constituyen información </w:t>
      </w:r>
      <w:r w:rsidRPr="002D3298">
        <w:rPr>
          <w:rFonts w:ascii="Palatino Linotype" w:eastAsia="Palatino Linotype" w:hAnsi="Palatino Linotype" w:cs="Palatino Linotype"/>
        </w:rPr>
        <w:lastRenderedPageBreak/>
        <w:t>que distingue plenamente a una persona física del resto de los habitantes del país, por lo está considerada como información confidencial.</w:t>
      </w:r>
    </w:p>
    <w:p w14:paraId="07575180"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Igualmente, resulta importante destacar que el </w:t>
      </w:r>
      <w:r w:rsidRPr="002D3298">
        <w:rPr>
          <w:rFonts w:ascii="Palatino Linotype" w:eastAsia="Palatino Linotype" w:hAnsi="Palatino Linotype" w:cs="Palatino Linotype"/>
          <w:i/>
        </w:rPr>
        <w:t>número de cuenta bancaria</w:t>
      </w:r>
      <w:r w:rsidRPr="002D3298">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BDE5485"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B5D54EC"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68FBD13"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7355457C"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Es por esta razón que se debe omitir el o los números de cuentas bancarias de particulares en las versiones públicas que de las facturas se hagan, para ser entregadas.</w:t>
      </w:r>
    </w:p>
    <w:p w14:paraId="2957A01B"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21A6019B"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Lo argumentado encuentra sustento en los criterios orientadores 10/17 y 11/17 emitidos por el entonces Instituto Nacional de Transparencia, Acceso a la Información y Protección de Datos Personales, INAI, que llevan por rubro y texto los siguientes:</w:t>
      </w:r>
    </w:p>
    <w:p w14:paraId="789849F5"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“Cuentas bancarias y/o CLABE interbancaria de personas físicas y morales privadas.</w:t>
      </w:r>
      <w:r w:rsidRPr="002D3298">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55A341E"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2D3298">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08E1CF7"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Por cuanto hace al </w:t>
      </w:r>
      <w:r w:rsidRPr="002D3298">
        <w:rPr>
          <w:rFonts w:ascii="Palatino Linotype" w:eastAsia="Palatino Linotype" w:hAnsi="Palatino Linotype" w:cs="Palatino Linotype"/>
          <w:b/>
        </w:rPr>
        <w:t xml:space="preserve">Registro Federal de Contribuyentes (RFC) </w:t>
      </w:r>
      <w:r w:rsidRPr="002D3298">
        <w:rPr>
          <w:rFonts w:ascii="Palatino Linotype" w:eastAsia="Palatino Linotype" w:hAnsi="Palatino Linotype" w:cs="Palatino Linotype"/>
        </w:rPr>
        <w:t>y</w:t>
      </w:r>
      <w:r w:rsidRPr="002D3298">
        <w:rPr>
          <w:rFonts w:ascii="Palatino Linotype" w:eastAsia="Palatino Linotype" w:hAnsi="Palatino Linotype" w:cs="Palatino Linotype"/>
          <w:b/>
        </w:rPr>
        <w:t xml:space="preserve"> el domicilio fiscal </w:t>
      </w:r>
      <w:r w:rsidRPr="002D3298">
        <w:rPr>
          <w:rFonts w:ascii="Palatino Linotype" w:eastAsia="Palatino Linotype" w:hAnsi="Palatino Linotype" w:cs="Palatino Linotype"/>
        </w:rPr>
        <w:t xml:space="preserve">si bien este Instituto ha sostenido que el RFC y domicilio de las personas físicas debe ser testado por los Sujetos Obligados, en las versiones públicas de los documentos </w:t>
      </w:r>
      <w:r w:rsidRPr="002D3298">
        <w:rPr>
          <w:rFonts w:ascii="Palatino Linotype" w:eastAsia="Palatino Linotype" w:hAnsi="Palatino Linotype" w:cs="Palatino Linotype"/>
        </w:rPr>
        <w:lastRenderedPageBreak/>
        <w:t>que elaboren para atender las solicitudes de información pública, lo cierto es que, tratándose de proveedores, prestadores de servicios o contratistas, dichos datos no deben ser suprimidos de las facturas y contratos que vayan a ser entregados.</w:t>
      </w:r>
    </w:p>
    <w:p w14:paraId="16FA272B"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5BD64C8"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2D3298">
        <w:rPr>
          <w:rFonts w:ascii="Palatino Linotype" w:eastAsia="Palatino Linotype" w:hAnsi="Palatino Linotype" w:cs="Palatino Linotype"/>
          <w:b/>
        </w:rPr>
        <w:t>no puede considerarse como información clasificada lo relativo a su nombre, registro federal de contribuyentes y domicilio fiscal</w:t>
      </w:r>
      <w:r w:rsidRPr="002D3298">
        <w:rPr>
          <w:rFonts w:ascii="Palatino Linotype" w:eastAsia="Palatino Linotype" w:hAnsi="Palatino Linotype" w:cs="Palatino Linotype"/>
        </w:rPr>
        <w:t>, atento a que dicha información es la que puede generar certeza en los gobernados en que se está ejerciendo debidamente el presupuesto.</w:t>
      </w:r>
    </w:p>
    <w:p w14:paraId="1DCFFD10"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Robustece lo anterior el criterio orientador 04/21 emitido por el entonces Instituto Nacional de Transparencia, Acceso a la Información y Protección de Datos Personales, INAI, el cual refiere:</w:t>
      </w:r>
    </w:p>
    <w:p w14:paraId="4F2C0F53"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xml:space="preserve">“Registro Federal de Contribuyentes (RFC) de personas físicas proveedoras o contratistas. </w:t>
      </w:r>
      <w:r w:rsidRPr="002D3298">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2D3298">
        <w:rPr>
          <w:rFonts w:ascii="Palatino Linotype" w:eastAsia="Palatino Linotype" w:hAnsi="Palatino Linotype" w:cs="Palatino Linotype"/>
          <w:i/>
          <w:sz w:val="22"/>
          <w:szCs w:val="22"/>
        </w:rPr>
        <w:t>ya que</w:t>
      </w:r>
      <w:proofErr w:type="gramEnd"/>
      <w:r w:rsidRPr="002D3298">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w:t>
      </w:r>
      <w:r w:rsidRPr="002D3298">
        <w:rPr>
          <w:rFonts w:ascii="Palatino Linotype" w:eastAsia="Palatino Linotype" w:hAnsi="Palatino Linotype" w:cs="Palatino Linotype"/>
          <w:i/>
          <w:sz w:val="22"/>
          <w:szCs w:val="22"/>
        </w:rPr>
        <w:lastRenderedPageBreak/>
        <w:t>recursos públicos, en términos del artículo 134 de la Constitución Política de los Estados Unidos Mexicanos.”</w:t>
      </w:r>
    </w:p>
    <w:p w14:paraId="6854CC0D"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Relacionado con lo anterior, el </w:t>
      </w:r>
      <w:r w:rsidRPr="002D3298">
        <w:rPr>
          <w:rFonts w:ascii="Palatino Linotype" w:eastAsia="Palatino Linotype" w:hAnsi="Palatino Linotype" w:cs="Palatino Linotype"/>
          <w:b/>
        </w:rPr>
        <w:t>nombre de las personas físicas</w:t>
      </w:r>
      <w:r w:rsidRPr="002D3298">
        <w:rPr>
          <w:rFonts w:ascii="Palatino Linotype" w:eastAsia="Palatino Linotype" w:hAnsi="Palatino Linotype" w:cs="Palatino Linotype"/>
        </w:rPr>
        <w:t xml:space="preserve"> o los </w:t>
      </w:r>
      <w:r w:rsidRPr="002D3298">
        <w:rPr>
          <w:rFonts w:ascii="Palatino Linotype" w:eastAsia="Palatino Linotype" w:hAnsi="Palatino Linotype" w:cs="Palatino Linotype"/>
          <w:b/>
        </w:rPr>
        <w:t>representantes legales de las personas morales</w:t>
      </w:r>
      <w:r w:rsidRPr="002D3298">
        <w:rPr>
          <w:rFonts w:ascii="Palatino Linotype" w:eastAsia="Palatino Linotype" w:hAnsi="Palatino Linotype" w:cs="Palatino Linotype"/>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824F3F4"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5CAF9A53"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23.</w:t>
      </w:r>
      <w:r w:rsidRPr="002D3298">
        <w:rPr>
          <w:rFonts w:ascii="Palatino Linotype" w:eastAsia="Palatino Linotype" w:hAnsi="Palatino Linotype" w:cs="Palatino Linotype"/>
          <w:i/>
          <w:sz w:val="22"/>
          <w:szCs w:val="22"/>
        </w:rPr>
        <w:t xml:space="preserve"> (…)</w:t>
      </w:r>
    </w:p>
    <w:p w14:paraId="57C05551"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895E53D" w14:textId="77777777" w:rsidR="00B20935" w:rsidRPr="002D3298" w:rsidRDefault="00151843">
      <w:pPr>
        <w:spacing w:before="280" w:after="28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Asimismo, resulta aplicable el contenido del criterio orientador 01/19 emitido por el entonces Instituto Nacional de Transparencia, Acceso a la Información, y Protección de Datos Personales, INAI, que lleva por rubro y texto los siguientes;</w:t>
      </w:r>
    </w:p>
    <w:p w14:paraId="7987FC58" w14:textId="77777777" w:rsidR="00B20935" w:rsidRPr="002D3298" w:rsidRDefault="00151843">
      <w:pPr>
        <w:ind w:left="851" w:right="900"/>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“Datos de identificación del representante o apoderado legal.</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 xml:space="preserve">Naturaleza jurídica. </w:t>
      </w:r>
      <w:r w:rsidRPr="002D3298">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2D3298">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2D3298">
        <w:rPr>
          <w:rFonts w:ascii="Palatino Linotype" w:eastAsia="Palatino Linotype" w:hAnsi="Palatino Linotype" w:cs="Palatino Linotype"/>
          <w:i/>
          <w:sz w:val="22"/>
          <w:szCs w:val="22"/>
        </w:rPr>
        <w:t>.”</w:t>
      </w:r>
    </w:p>
    <w:p w14:paraId="70E8BC18" w14:textId="77777777" w:rsidR="00B20935" w:rsidRPr="002D3298" w:rsidRDefault="00151843">
      <w:pPr>
        <w:spacing w:before="240" w:after="240" w:line="360" w:lineRule="auto"/>
        <w:ind w:right="50"/>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2D3298">
        <w:rPr>
          <w:rFonts w:ascii="Palatino Linotype" w:eastAsia="Palatino Linotype" w:hAnsi="Palatino Linotype" w:cs="Palatino Linotype"/>
        </w:rPr>
        <w:t>Responsable</w:t>
      </w:r>
      <w:proofErr w:type="gramEnd"/>
      <w:r w:rsidRPr="002D3298">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B84D5F0"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49.</w:t>
      </w:r>
      <w:r w:rsidRPr="002D3298">
        <w:rPr>
          <w:rFonts w:ascii="Palatino Linotype" w:eastAsia="Palatino Linotype" w:hAnsi="Palatino Linotype" w:cs="Palatino Linotype"/>
          <w:i/>
          <w:sz w:val="22"/>
          <w:szCs w:val="22"/>
        </w:rPr>
        <w:t xml:space="preserve"> </w:t>
      </w:r>
      <w:r w:rsidRPr="002D3298">
        <w:rPr>
          <w:rFonts w:ascii="Palatino Linotype" w:eastAsia="Palatino Linotype" w:hAnsi="Palatino Linotype" w:cs="Palatino Linotype"/>
          <w:b/>
          <w:i/>
          <w:sz w:val="22"/>
          <w:szCs w:val="22"/>
        </w:rPr>
        <w:t>Los Comités de Transparencia</w:t>
      </w:r>
      <w:r w:rsidRPr="002D3298">
        <w:rPr>
          <w:rFonts w:ascii="Palatino Linotype" w:eastAsia="Palatino Linotype" w:hAnsi="Palatino Linotype" w:cs="Palatino Linotype"/>
          <w:i/>
          <w:sz w:val="22"/>
          <w:szCs w:val="22"/>
        </w:rPr>
        <w:t xml:space="preserve"> tendrán las siguientes atribuciones:</w:t>
      </w:r>
    </w:p>
    <w:p w14:paraId="22101D59"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VIII. Aprobar, modificar o revocar la clasificación de la información</w:t>
      </w:r>
      <w:r w:rsidRPr="002D3298">
        <w:rPr>
          <w:rFonts w:ascii="Palatino Linotype" w:eastAsia="Palatino Linotype" w:hAnsi="Palatino Linotype" w:cs="Palatino Linotype"/>
          <w:i/>
          <w:sz w:val="22"/>
          <w:szCs w:val="22"/>
        </w:rPr>
        <w:t>…”</w:t>
      </w:r>
    </w:p>
    <w:p w14:paraId="5F42ABE8"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53.</w:t>
      </w:r>
      <w:r w:rsidRPr="002D3298">
        <w:rPr>
          <w:rFonts w:ascii="Palatino Linotype" w:eastAsia="Palatino Linotype" w:hAnsi="Palatino Linotype" w:cs="Palatino Linotype"/>
          <w:i/>
          <w:sz w:val="22"/>
          <w:szCs w:val="22"/>
        </w:rPr>
        <w:t xml:space="preserve"> Las </w:t>
      </w:r>
      <w:r w:rsidRPr="002D3298">
        <w:rPr>
          <w:rFonts w:ascii="Palatino Linotype" w:eastAsia="Palatino Linotype" w:hAnsi="Palatino Linotype" w:cs="Palatino Linotype"/>
          <w:b/>
          <w:i/>
          <w:sz w:val="22"/>
          <w:szCs w:val="22"/>
        </w:rPr>
        <w:t>Unidades de Transparencia</w:t>
      </w:r>
      <w:r w:rsidRPr="002D3298">
        <w:rPr>
          <w:rFonts w:ascii="Palatino Linotype" w:eastAsia="Palatino Linotype" w:hAnsi="Palatino Linotype" w:cs="Palatino Linotype"/>
          <w:i/>
          <w:sz w:val="22"/>
          <w:szCs w:val="22"/>
        </w:rPr>
        <w:t xml:space="preserve"> tendrán las siguientes </w:t>
      </w:r>
      <w:r w:rsidRPr="002D3298">
        <w:rPr>
          <w:rFonts w:ascii="Palatino Linotype" w:eastAsia="Palatino Linotype" w:hAnsi="Palatino Linotype" w:cs="Palatino Linotype"/>
          <w:b/>
          <w:i/>
          <w:sz w:val="22"/>
          <w:szCs w:val="22"/>
        </w:rPr>
        <w:t>funciones</w:t>
      </w:r>
      <w:r w:rsidRPr="002D3298">
        <w:rPr>
          <w:rFonts w:ascii="Palatino Linotype" w:eastAsia="Palatino Linotype" w:hAnsi="Palatino Linotype" w:cs="Palatino Linotype"/>
          <w:i/>
          <w:sz w:val="22"/>
          <w:szCs w:val="22"/>
        </w:rPr>
        <w:t>:</w:t>
      </w:r>
    </w:p>
    <w:p w14:paraId="1BC9D58D"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X. Presentar ante el Comité, el proyecto de clasificación de información</w:t>
      </w:r>
      <w:r w:rsidRPr="002D3298">
        <w:rPr>
          <w:rFonts w:ascii="Palatino Linotype" w:eastAsia="Palatino Linotype" w:hAnsi="Palatino Linotype" w:cs="Palatino Linotype"/>
          <w:i/>
          <w:sz w:val="22"/>
          <w:szCs w:val="22"/>
        </w:rPr>
        <w:t xml:space="preserve">…” </w:t>
      </w:r>
    </w:p>
    <w:p w14:paraId="291235C6"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“Artículo 59.</w:t>
      </w:r>
      <w:r w:rsidRPr="002D3298">
        <w:rPr>
          <w:rFonts w:ascii="Palatino Linotype" w:eastAsia="Palatino Linotype" w:hAnsi="Palatino Linotype" w:cs="Palatino Linotype"/>
          <w:i/>
          <w:sz w:val="22"/>
          <w:szCs w:val="22"/>
        </w:rPr>
        <w:t xml:space="preserve"> Los </w:t>
      </w:r>
      <w:r w:rsidRPr="002D3298">
        <w:rPr>
          <w:rFonts w:ascii="Palatino Linotype" w:eastAsia="Palatino Linotype" w:hAnsi="Palatino Linotype" w:cs="Palatino Linotype"/>
          <w:b/>
          <w:i/>
          <w:sz w:val="22"/>
          <w:szCs w:val="22"/>
        </w:rPr>
        <w:t>servidores públicos habilitados</w:t>
      </w:r>
      <w:r w:rsidRPr="002D3298">
        <w:rPr>
          <w:rFonts w:ascii="Palatino Linotype" w:eastAsia="Palatino Linotype" w:hAnsi="Palatino Linotype" w:cs="Palatino Linotype"/>
          <w:i/>
          <w:sz w:val="22"/>
          <w:szCs w:val="22"/>
        </w:rPr>
        <w:t xml:space="preserve"> tendrán las </w:t>
      </w:r>
      <w:r w:rsidRPr="002D3298">
        <w:rPr>
          <w:rFonts w:ascii="Palatino Linotype" w:eastAsia="Palatino Linotype" w:hAnsi="Palatino Linotype" w:cs="Palatino Linotype"/>
          <w:b/>
          <w:i/>
          <w:sz w:val="22"/>
          <w:szCs w:val="22"/>
        </w:rPr>
        <w:t>funciones</w:t>
      </w:r>
      <w:r w:rsidRPr="002D3298">
        <w:rPr>
          <w:rFonts w:ascii="Palatino Linotype" w:eastAsia="Palatino Linotype" w:hAnsi="Palatino Linotype" w:cs="Palatino Linotype"/>
          <w:i/>
          <w:sz w:val="22"/>
          <w:szCs w:val="22"/>
        </w:rPr>
        <w:t xml:space="preserve"> siguientes:</w:t>
      </w:r>
    </w:p>
    <w:p w14:paraId="3AA5C592" w14:textId="77777777" w:rsidR="00B20935" w:rsidRPr="002D3298" w:rsidRDefault="00151843">
      <w:pP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2D3298">
        <w:rPr>
          <w:rFonts w:ascii="Palatino Linotype" w:eastAsia="Palatino Linotype" w:hAnsi="Palatino Linotype" w:cs="Palatino Linotype"/>
          <w:i/>
          <w:sz w:val="22"/>
          <w:szCs w:val="22"/>
        </w:rPr>
        <w:t>, la cual tendrá los fundamentos y argumentos en que se basa dicha propuesta…”</w:t>
      </w:r>
    </w:p>
    <w:p w14:paraId="04994750"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751704E"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A4E0234"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w:t>
      </w:r>
      <w:r w:rsidRPr="002D3298">
        <w:rPr>
          <w:rFonts w:ascii="Palatino Linotype" w:eastAsia="Palatino Linotype" w:hAnsi="Palatino Linotype" w:cs="Palatino Linotype"/>
          <w:b/>
          <w:i/>
          <w:sz w:val="22"/>
          <w:szCs w:val="22"/>
        </w:rPr>
        <w:t>Artículo 149.</w:t>
      </w:r>
      <w:r w:rsidRPr="002D3298">
        <w:rPr>
          <w:rFonts w:ascii="Palatino Linotype" w:eastAsia="Palatino Linotype" w:hAnsi="Palatino Linotype" w:cs="Palatino Linotype"/>
          <w:i/>
          <w:sz w:val="22"/>
          <w:szCs w:val="22"/>
        </w:rPr>
        <w:t xml:space="preserve"> El </w:t>
      </w:r>
      <w:r w:rsidRPr="002D3298">
        <w:rPr>
          <w:rFonts w:ascii="Palatino Linotype" w:eastAsia="Palatino Linotype" w:hAnsi="Palatino Linotype" w:cs="Palatino Linotype"/>
          <w:b/>
          <w:i/>
          <w:sz w:val="22"/>
          <w:szCs w:val="22"/>
        </w:rPr>
        <w:t>acuerdo que clasifique la información como confidencial</w:t>
      </w:r>
      <w:r w:rsidRPr="002D329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7DB7629F" w14:textId="77777777" w:rsidR="00B20935" w:rsidRPr="002D3298" w:rsidRDefault="00151843">
      <w:pP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Es decir,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7F4F76E1" w14:textId="77777777" w:rsidR="00B20935" w:rsidRPr="002D3298" w:rsidRDefault="00151843">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2D3298">
        <w:rPr>
          <w:rFonts w:ascii="Palatino Linotype" w:eastAsia="Palatino Linotype" w:hAnsi="Palatino Linotype" w:cs="Palatino Linotype"/>
        </w:rPr>
        <w:lastRenderedPageBreak/>
        <w:t xml:space="preserve">Asimismo, respecto a las formalidades que deberá llevar el acuerdo de clasificación que deberá emitir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26907F2A" w14:textId="77777777" w:rsidR="00B20935" w:rsidRPr="002D3298" w:rsidRDefault="00151843">
      <w:pP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xml:space="preserve"> “Quincuagésimo. </w:t>
      </w:r>
      <w:r w:rsidRPr="002D329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06B379E" w14:textId="77777777" w:rsidR="00B20935" w:rsidRPr="002D3298" w:rsidRDefault="0015184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 xml:space="preserve">Quincuagésimo primero. </w:t>
      </w:r>
      <w:r w:rsidRPr="002D3298">
        <w:rPr>
          <w:rFonts w:ascii="Palatino Linotype" w:eastAsia="Palatino Linotype" w:hAnsi="Palatino Linotype" w:cs="Palatino Linotype"/>
          <w:i/>
          <w:sz w:val="22"/>
          <w:szCs w:val="22"/>
        </w:rPr>
        <w:t xml:space="preserve">Toda acta del Comité de Transparencia deberá contener: </w:t>
      </w:r>
    </w:p>
    <w:p w14:paraId="7C415534"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El número de sesión y fecha; </w:t>
      </w:r>
    </w:p>
    <w:p w14:paraId="716E9D8E"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xml:space="preserve">. El nombre del área que solicitó la clasificación de información; </w:t>
      </w:r>
    </w:p>
    <w:p w14:paraId="3B9F3F8E"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La fundamentación legal y motivación correspondiente; </w:t>
      </w:r>
    </w:p>
    <w:p w14:paraId="675604DF"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La resolución o resoluciones aprobadas; y </w:t>
      </w:r>
    </w:p>
    <w:p w14:paraId="6A05DA7E"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V</w:t>
      </w:r>
      <w:r w:rsidRPr="002D3298">
        <w:rPr>
          <w:rFonts w:ascii="Palatino Linotype" w:eastAsia="Palatino Linotype" w:hAnsi="Palatino Linotype" w:cs="Palatino Linotype"/>
          <w:i/>
          <w:sz w:val="22"/>
          <w:szCs w:val="22"/>
        </w:rPr>
        <w:t xml:space="preserve">. La rúbrica o firma digital de cada integrante del Comité de Transparencia. </w:t>
      </w:r>
    </w:p>
    <w:p w14:paraId="7D9BFACC" w14:textId="77777777" w:rsidR="00B20935" w:rsidRPr="002D3298" w:rsidRDefault="0015184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63F15AF2"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w:t>
      </w:r>
      <w:r w:rsidRPr="002D3298">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D3AD30D"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2D3298">
        <w:rPr>
          <w:rFonts w:ascii="Palatino Linotype" w:eastAsia="Palatino Linotype" w:hAnsi="Palatino Linotype" w:cs="Palatino Linotype"/>
          <w:b/>
          <w:i/>
          <w:sz w:val="22"/>
          <w:szCs w:val="22"/>
        </w:rPr>
        <w:t>II</w:t>
      </w:r>
      <w:r w:rsidRPr="002D3298">
        <w:rPr>
          <w:rFonts w:ascii="Palatino Linotype" w:eastAsia="Palatino Linotype" w:hAnsi="Palatino Linotype" w:cs="Palatino Linotype"/>
          <w:i/>
          <w:sz w:val="22"/>
          <w:szCs w:val="22"/>
        </w:rPr>
        <w:t>. Descripción de las partes o secciones reservadas, en caso de clasificación parcial</w:t>
      </w:r>
      <w:r w:rsidRPr="002D3298">
        <w:rPr>
          <w:rFonts w:ascii="Palatino Linotype" w:eastAsia="Palatino Linotype" w:hAnsi="Palatino Linotype" w:cs="Palatino Linotype"/>
          <w:b/>
          <w:i/>
          <w:sz w:val="22"/>
          <w:szCs w:val="22"/>
        </w:rPr>
        <w:t xml:space="preserve">; </w:t>
      </w:r>
    </w:p>
    <w:p w14:paraId="14BF6B19"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III.</w:t>
      </w:r>
      <w:r w:rsidRPr="002D3298">
        <w:rPr>
          <w:rFonts w:ascii="Palatino Linotype" w:eastAsia="Palatino Linotype" w:hAnsi="Palatino Linotype" w:cs="Palatino Linotype"/>
          <w:i/>
          <w:sz w:val="22"/>
          <w:szCs w:val="22"/>
        </w:rPr>
        <w:t xml:space="preserve"> El periodo por el que mantendrá su clasificación y fecha de expiración; y </w:t>
      </w:r>
    </w:p>
    <w:p w14:paraId="0E7C5B9A" w14:textId="77777777" w:rsidR="00B20935" w:rsidRPr="002D3298" w:rsidRDefault="00151843">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b/>
          <w:i/>
          <w:sz w:val="22"/>
          <w:szCs w:val="22"/>
        </w:rPr>
        <w:t>IV.</w:t>
      </w:r>
      <w:r w:rsidRPr="002D3298">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3D2DB4A" w14:textId="77777777" w:rsidR="00B20935" w:rsidRPr="002D3298" w:rsidRDefault="0015184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B339680" w14:textId="77777777" w:rsidR="00B20935" w:rsidRPr="002D3298" w:rsidRDefault="00151843">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2D3298">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65218690"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23428E3" w14:textId="77777777" w:rsidR="00B20935" w:rsidRPr="002D3298" w:rsidRDefault="00151843">
      <w:pPr>
        <w:spacing w:before="120" w:after="120"/>
        <w:ind w:left="851" w:right="900"/>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i/>
          <w:sz w:val="21"/>
          <w:szCs w:val="21"/>
        </w:rPr>
        <w:t>“</w:t>
      </w:r>
      <w:r w:rsidRPr="002D3298">
        <w:rPr>
          <w:rFonts w:ascii="Palatino Linotype" w:eastAsia="Palatino Linotype" w:hAnsi="Palatino Linotype" w:cs="Palatino Linotype"/>
          <w:b/>
          <w:i/>
          <w:sz w:val="21"/>
          <w:szCs w:val="21"/>
        </w:rPr>
        <w:t>Quincuagésimo segundo</w:t>
      </w:r>
      <w:r w:rsidRPr="002D3298">
        <w:rPr>
          <w:rFonts w:ascii="Palatino Linotype" w:eastAsia="Palatino Linotype" w:hAnsi="Palatino Linotype" w:cs="Palatino Linotype"/>
          <w:i/>
          <w:sz w:val="21"/>
          <w:szCs w:val="21"/>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6117FDB" w14:textId="77777777" w:rsidR="00B20935" w:rsidRPr="002D3298" w:rsidRDefault="00151843">
      <w:pPr>
        <w:spacing w:before="120" w:after="120"/>
        <w:ind w:left="851" w:right="900"/>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i/>
          <w:sz w:val="21"/>
          <w:szCs w:val="21"/>
        </w:rPr>
        <w:t xml:space="preserve">En el caso específico de la clasificación y elaboración de versiones públicas de documentos que contengan información confidencial, las áreas de los sujetos obligados deberán: </w:t>
      </w:r>
    </w:p>
    <w:p w14:paraId="5862C3E8" w14:textId="77777777" w:rsidR="00B20935" w:rsidRPr="002D3298" w:rsidRDefault="00151843">
      <w:pPr>
        <w:spacing w:before="120" w:after="120"/>
        <w:ind w:left="1134" w:right="900"/>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I.</w:t>
      </w:r>
      <w:r w:rsidRPr="002D3298">
        <w:rPr>
          <w:rFonts w:ascii="Palatino Linotype" w:eastAsia="Palatino Linotype" w:hAnsi="Palatino Linotype" w:cs="Palatino Linotype"/>
          <w:i/>
          <w:sz w:val="21"/>
          <w:szCs w:val="21"/>
        </w:rPr>
        <w:t xml:space="preserve"> Fijar la fecha en que se elaboró la versión pública y la fecha en la cual el Comité de Transparencia confirmó dicha versión;</w:t>
      </w:r>
    </w:p>
    <w:p w14:paraId="600282D5" w14:textId="77777777" w:rsidR="00B20935" w:rsidRPr="002D3298" w:rsidRDefault="00151843">
      <w:pPr>
        <w:spacing w:before="120" w:after="120"/>
        <w:ind w:left="1134" w:right="900"/>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II.</w:t>
      </w:r>
      <w:r w:rsidRPr="002D3298">
        <w:rPr>
          <w:rFonts w:ascii="Palatino Linotype" w:eastAsia="Palatino Linotype" w:hAnsi="Palatino Linotype" w:cs="Palatino Linotype"/>
          <w:i/>
          <w:sz w:val="21"/>
          <w:szCs w:val="21"/>
        </w:rPr>
        <w:t xml:space="preserve"> Señalar dentro del documento el tipo de información confidencial que fue testada en cada caso específico, de conformidad con el lineamiento trigésimo octavo; y</w:t>
      </w:r>
    </w:p>
    <w:p w14:paraId="5B620044" w14:textId="77777777" w:rsidR="00B20935" w:rsidRPr="002D3298" w:rsidRDefault="00151843">
      <w:pPr>
        <w:spacing w:before="120" w:after="120"/>
        <w:ind w:left="1134" w:right="900"/>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III.</w:t>
      </w:r>
      <w:r w:rsidRPr="002D3298">
        <w:rPr>
          <w:rFonts w:ascii="Palatino Linotype" w:eastAsia="Palatino Linotype" w:hAnsi="Palatino Linotype" w:cs="Palatino Linotype"/>
          <w:i/>
          <w:sz w:val="21"/>
          <w:szCs w:val="21"/>
        </w:rPr>
        <w:t xml:space="preserve"> Señalar las personas o instancias autorizadas a acceder a la información clasificada.</w:t>
      </w:r>
    </w:p>
    <w:p w14:paraId="59B11734" w14:textId="77777777" w:rsidR="00B20935" w:rsidRPr="002D3298" w:rsidRDefault="00151843">
      <w:pPr>
        <w:spacing w:before="120" w:after="120"/>
        <w:ind w:left="851" w:right="900"/>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i/>
          <w:sz w:val="21"/>
          <w:szCs w:val="21"/>
        </w:rPr>
        <w:t>En los documentos de difusión electrónica, señalar en la primera hoja y en el nombre del archivo, que la versión pública corresponde a un documento que contiene información confidencial.”</w:t>
      </w:r>
    </w:p>
    <w:p w14:paraId="79D4124F" w14:textId="77777777" w:rsidR="00B20935" w:rsidRPr="002D3298" w:rsidRDefault="00151843">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i/>
          <w:sz w:val="21"/>
          <w:szCs w:val="21"/>
        </w:rPr>
        <w:t>…</w:t>
      </w:r>
    </w:p>
    <w:p w14:paraId="57CF5A88" w14:textId="77777777" w:rsidR="00B20935" w:rsidRPr="002D3298" w:rsidRDefault="00151843">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1"/>
          <w:szCs w:val="21"/>
        </w:rPr>
      </w:pPr>
      <w:r w:rsidRPr="002D3298">
        <w:rPr>
          <w:rFonts w:ascii="Palatino Linotype" w:eastAsia="Palatino Linotype" w:hAnsi="Palatino Linotype" w:cs="Palatino Linotype"/>
          <w:b/>
          <w:i/>
          <w:sz w:val="21"/>
          <w:szCs w:val="21"/>
        </w:rPr>
        <w:t xml:space="preserve">Quincuagésimo cuarto. </w:t>
      </w:r>
      <w:r w:rsidRPr="002D3298">
        <w:rPr>
          <w:rFonts w:ascii="Palatino Linotype" w:eastAsia="Palatino Linotype" w:hAnsi="Palatino Linotype" w:cs="Palatino Linotype"/>
          <w:i/>
          <w:sz w:val="21"/>
          <w:szCs w:val="21"/>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2D3298">
        <w:rPr>
          <w:rFonts w:ascii="Palatino Linotype" w:eastAsia="Palatino Linotype" w:hAnsi="Palatino Linotype" w:cs="Palatino Linotype"/>
          <w:b/>
          <w:i/>
          <w:sz w:val="21"/>
          <w:szCs w:val="21"/>
        </w:rPr>
        <w:t xml:space="preserve"> </w:t>
      </w:r>
    </w:p>
    <w:p w14:paraId="48D0FABB" w14:textId="77777777" w:rsidR="00B20935" w:rsidRPr="002D3298" w:rsidRDefault="00151843">
      <w:pPr>
        <w:spacing w:before="120" w:after="120"/>
        <w:ind w:left="851" w:right="902"/>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 xml:space="preserve">Quincuagésimo quinto. </w:t>
      </w:r>
      <w:r w:rsidRPr="002D3298">
        <w:rPr>
          <w:rFonts w:ascii="Palatino Linotype" w:eastAsia="Palatino Linotype" w:hAnsi="Palatino Linotype" w:cs="Palatino Linotype"/>
          <w:i/>
          <w:sz w:val="21"/>
          <w:szCs w:val="21"/>
        </w:rPr>
        <w:t xml:space="preserve">Cada área del sujeto obligado podrá designar formalmente a una o más personas como responsables del </w:t>
      </w:r>
      <w:proofErr w:type="spellStart"/>
      <w:r w:rsidRPr="002D3298">
        <w:rPr>
          <w:rFonts w:ascii="Palatino Linotype" w:eastAsia="Palatino Linotype" w:hAnsi="Palatino Linotype" w:cs="Palatino Linotype"/>
          <w:i/>
          <w:sz w:val="21"/>
          <w:szCs w:val="21"/>
        </w:rPr>
        <w:t>testado</w:t>
      </w:r>
      <w:proofErr w:type="spellEnd"/>
      <w:r w:rsidRPr="002D3298">
        <w:rPr>
          <w:rFonts w:ascii="Palatino Linotype" w:eastAsia="Palatino Linotype" w:hAnsi="Palatino Linotype" w:cs="Palatino Linotype"/>
          <w:i/>
          <w:sz w:val="21"/>
          <w:szCs w:val="21"/>
        </w:rPr>
        <w:t xml:space="preserve">, que sean encargadas de la adecuada elaboración o supervisión de las versiones públicas de los documentos o </w:t>
      </w:r>
      <w:r w:rsidRPr="002D3298">
        <w:rPr>
          <w:rFonts w:ascii="Palatino Linotype" w:eastAsia="Palatino Linotype" w:hAnsi="Palatino Linotype" w:cs="Palatino Linotype"/>
          <w:i/>
          <w:sz w:val="21"/>
          <w:szCs w:val="21"/>
        </w:rPr>
        <w:lastRenderedPageBreak/>
        <w:t>expedientes, verificando que cumplan con los requisitos señalados en las Leyes Generales, los presentes Lineamientos y demás normativa aplicable antes de su confirmación por el Comité de Transparencia.</w:t>
      </w:r>
    </w:p>
    <w:p w14:paraId="142FC448" w14:textId="77777777" w:rsidR="00B20935" w:rsidRPr="002D3298" w:rsidRDefault="00151843">
      <w:pPr>
        <w:spacing w:before="120" w:after="120"/>
        <w:ind w:left="851" w:right="902"/>
        <w:jc w:val="both"/>
        <w:rPr>
          <w:rFonts w:ascii="Palatino Linotype" w:eastAsia="Palatino Linotype" w:hAnsi="Palatino Linotype" w:cs="Palatino Linotype"/>
          <w:b/>
          <w:i/>
          <w:sz w:val="21"/>
          <w:szCs w:val="21"/>
        </w:rPr>
      </w:pPr>
      <w:r w:rsidRPr="002D3298">
        <w:rPr>
          <w:rFonts w:ascii="Palatino Linotype" w:eastAsia="Palatino Linotype" w:hAnsi="Palatino Linotype" w:cs="Palatino Linotype"/>
          <w:b/>
          <w:i/>
          <w:sz w:val="21"/>
          <w:szCs w:val="21"/>
        </w:rPr>
        <w:t>...</w:t>
      </w:r>
    </w:p>
    <w:p w14:paraId="0789CAA9" w14:textId="77777777" w:rsidR="00B20935" w:rsidRPr="002D3298" w:rsidRDefault="00151843">
      <w:pPr>
        <w:spacing w:before="120" w:after="120"/>
        <w:ind w:left="851" w:right="902"/>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Quincuagésimo séptimo</w:t>
      </w:r>
      <w:r w:rsidRPr="002D3298">
        <w:rPr>
          <w:rFonts w:ascii="Palatino Linotype" w:eastAsia="Palatino Linotype" w:hAnsi="Palatino Linotype" w:cs="Palatino Linotype"/>
          <w:i/>
          <w:sz w:val="21"/>
          <w:szCs w:val="21"/>
        </w:rPr>
        <w:t xml:space="preserve">. Se considera, en principio, como información pública y no podrá omitirse de las versiones públicas la siguiente: </w:t>
      </w:r>
    </w:p>
    <w:p w14:paraId="4C307A54" w14:textId="77777777" w:rsidR="00B20935" w:rsidRPr="002D3298" w:rsidRDefault="00151843">
      <w:pPr>
        <w:spacing w:before="120" w:after="120"/>
        <w:ind w:left="1134" w:right="902"/>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I</w:t>
      </w:r>
      <w:r w:rsidRPr="002D3298">
        <w:rPr>
          <w:rFonts w:ascii="Palatino Linotype" w:eastAsia="Palatino Linotype" w:hAnsi="Palatino Linotype" w:cs="Palatino Linotype"/>
          <w:i/>
          <w:sz w:val="21"/>
          <w:szCs w:val="21"/>
        </w:rPr>
        <w:t xml:space="preserve">. La relativa a las Obligaciones de Transparencia que contempla el Título V de la Ley General y las demás disposiciones legales aplicables; </w:t>
      </w:r>
    </w:p>
    <w:p w14:paraId="7AD1C68C" w14:textId="77777777" w:rsidR="00B20935" w:rsidRPr="002D3298" w:rsidRDefault="00151843">
      <w:pPr>
        <w:spacing w:before="120" w:after="120"/>
        <w:ind w:left="1134" w:right="902"/>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II.</w:t>
      </w:r>
      <w:r w:rsidRPr="002D3298">
        <w:rPr>
          <w:rFonts w:ascii="Palatino Linotype" w:eastAsia="Palatino Linotype" w:hAnsi="Palatino Linotype" w:cs="Palatino Linotype"/>
          <w:i/>
          <w:sz w:val="21"/>
          <w:szCs w:val="21"/>
        </w:rPr>
        <w:t xml:space="preserve"> El nombre de los integrantes de los sujetos obligados en los documentos, y sus firmas autógrafas o digitales, cuando sean utilizados en el ejercicio de las facultades conferidas para el desempeño del servicio público, y</w:t>
      </w:r>
    </w:p>
    <w:p w14:paraId="5CBAE77D" w14:textId="77777777" w:rsidR="00B20935" w:rsidRPr="002D3298" w:rsidRDefault="00151843">
      <w:pPr>
        <w:spacing w:before="120" w:after="120"/>
        <w:ind w:left="1134" w:right="902"/>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III</w:t>
      </w:r>
      <w:r w:rsidRPr="002D3298">
        <w:rPr>
          <w:rFonts w:ascii="Palatino Linotype" w:eastAsia="Palatino Linotype" w:hAnsi="Palatino Linotype" w:cs="Palatino Linotype"/>
          <w:i/>
          <w:sz w:val="21"/>
          <w:szCs w:val="21"/>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94F7F5B" w14:textId="77777777" w:rsidR="00B20935" w:rsidRPr="002D3298" w:rsidRDefault="00151843">
      <w:pPr>
        <w:spacing w:before="120" w:after="120"/>
        <w:ind w:left="851" w:right="902"/>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i/>
          <w:sz w:val="21"/>
          <w:szCs w:val="21"/>
        </w:rPr>
        <w:t xml:space="preserve">Lo anterior, siempre y cuando no se acredite alguna causal de clasificación, prevista en las leyes o en los tratados internacionales suscritas por el Estado mexicano.  </w:t>
      </w:r>
    </w:p>
    <w:p w14:paraId="49D56A79" w14:textId="77777777" w:rsidR="00B20935" w:rsidRPr="002D3298" w:rsidRDefault="00151843">
      <w:pPr>
        <w:spacing w:before="120" w:after="120"/>
        <w:ind w:left="851" w:right="902"/>
        <w:jc w:val="both"/>
        <w:rPr>
          <w:rFonts w:ascii="Palatino Linotype" w:eastAsia="Palatino Linotype" w:hAnsi="Palatino Linotype" w:cs="Palatino Linotype"/>
          <w:i/>
          <w:sz w:val="21"/>
          <w:szCs w:val="21"/>
        </w:rPr>
      </w:pPr>
      <w:r w:rsidRPr="002D3298">
        <w:rPr>
          <w:rFonts w:ascii="Palatino Linotype" w:eastAsia="Palatino Linotype" w:hAnsi="Palatino Linotype" w:cs="Palatino Linotype"/>
          <w:b/>
          <w:i/>
          <w:sz w:val="21"/>
          <w:szCs w:val="21"/>
        </w:rPr>
        <w:t>Quincuagésimo octavo</w:t>
      </w:r>
      <w:r w:rsidRPr="002D3298">
        <w:rPr>
          <w:rFonts w:ascii="Palatino Linotype" w:eastAsia="Palatino Linotype" w:hAnsi="Palatino Linotype" w:cs="Palatino Linotype"/>
          <w:i/>
          <w:sz w:val="21"/>
          <w:szCs w:val="21"/>
        </w:rPr>
        <w:t>. Los sujetos obligados garantizarán que los sistemas o medios empleados para eliminar la información en las versiones públicas sean irreversibles, de tal forma que no permitan su recuperación o la visualización de la misma.”</w:t>
      </w:r>
    </w:p>
    <w:p w14:paraId="1B628870"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Así, con fundamento en lo prescrito en los artículos 5 párrafos trigésimo séptimo, trigésimo octavo y trigésimo noveno de la Constitución Política del Estado Libre y Soberano de México; 2, fracción II; 29, 36 fracciones I y II; 176, 178, 181, 185 y 186 fracción II de la Ley de Transparencia y Acceso a la Información Pública del Estado de México y Municipios, este Pleno:</w:t>
      </w:r>
    </w:p>
    <w:p w14:paraId="2E18FA6B" w14:textId="77777777" w:rsidR="00B20935" w:rsidRPr="002D3298" w:rsidRDefault="00151843">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D3298">
        <w:rPr>
          <w:rFonts w:ascii="Palatino Linotype" w:eastAsia="Palatino Linotype" w:hAnsi="Palatino Linotype" w:cs="Palatino Linotype"/>
          <w:b/>
        </w:rPr>
        <w:t>III. R E S U E L V E</w:t>
      </w:r>
    </w:p>
    <w:p w14:paraId="0F4BAA86"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10" w:name="_heading=h.1t3h5sf" w:colFirst="0" w:colLast="0"/>
      <w:bookmarkEnd w:id="10"/>
      <w:r w:rsidRPr="002D3298">
        <w:rPr>
          <w:rFonts w:ascii="Palatino Linotype" w:eastAsia="Palatino Linotype" w:hAnsi="Palatino Linotype" w:cs="Palatino Linotype"/>
          <w:b/>
        </w:rPr>
        <w:t xml:space="preserve">Primero. </w:t>
      </w:r>
      <w:r w:rsidRPr="002D3298">
        <w:rPr>
          <w:rFonts w:ascii="Palatino Linotype" w:eastAsia="Palatino Linotype" w:hAnsi="Palatino Linotype" w:cs="Palatino Linotype"/>
        </w:rPr>
        <w:t>Resultan</w:t>
      </w:r>
      <w:r w:rsidRPr="002D3298">
        <w:rPr>
          <w:rFonts w:ascii="Palatino Linotype" w:eastAsia="Palatino Linotype" w:hAnsi="Palatino Linotype" w:cs="Palatino Linotype"/>
          <w:b/>
        </w:rPr>
        <w:t xml:space="preserve"> fundadas</w:t>
      </w:r>
      <w:r w:rsidRPr="002D3298">
        <w:rPr>
          <w:rFonts w:ascii="Palatino Linotype" w:eastAsia="Palatino Linotype" w:hAnsi="Palatino Linotype" w:cs="Palatino Linotype"/>
        </w:rPr>
        <w:t xml:space="preserve"> las razones o motivos de inconformidad hechos valer por la parte</w:t>
      </w:r>
      <w:r w:rsidRPr="002D3298">
        <w:rPr>
          <w:rFonts w:ascii="Palatino Linotype" w:eastAsia="Palatino Linotype" w:hAnsi="Palatino Linotype" w:cs="Palatino Linotype"/>
          <w:b/>
        </w:rPr>
        <w:t xml:space="preserve"> Recurrente</w:t>
      </w:r>
      <w:r w:rsidRPr="002D3298">
        <w:rPr>
          <w:rFonts w:ascii="Palatino Linotype" w:eastAsia="Palatino Linotype" w:hAnsi="Palatino Linotype" w:cs="Palatino Linotype"/>
        </w:rPr>
        <w:t xml:space="preserve"> en el recurso de revisión </w:t>
      </w:r>
      <w:r w:rsidRPr="002D3298">
        <w:rPr>
          <w:rFonts w:ascii="Palatino Linotype" w:eastAsia="Palatino Linotype" w:hAnsi="Palatino Linotype" w:cs="Palatino Linotype"/>
          <w:b/>
        </w:rPr>
        <w:t>02764/INFOEM/IP/RR/2025</w:t>
      </w:r>
      <w:r w:rsidRPr="002D3298">
        <w:rPr>
          <w:rFonts w:ascii="Palatino Linotype" w:eastAsia="Palatino Linotype" w:hAnsi="Palatino Linotype" w:cs="Palatino Linotype"/>
        </w:rPr>
        <w:t xml:space="preserve">; por lo que, en términos del </w:t>
      </w:r>
      <w:r w:rsidRPr="002D3298">
        <w:rPr>
          <w:rFonts w:ascii="Palatino Linotype" w:eastAsia="Palatino Linotype" w:hAnsi="Palatino Linotype" w:cs="Palatino Linotype"/>
          <w:b/>
        </w:rPr>
        <w:t>Considerando</w:t>
      </w:r>
      <w:r w:rsidRPr="002D3298">
        <w:rPr>
          <w:rFonts w:ascii="Palatino Linotype" w:eastAsia="Palatino Linotype" w:hAnsi="Palatino Linotype" w:cs="Palatino Linotype"/>
        </w:rPr>
        <w:t xml:space="preserve"> </w:t>
      </w:r>
      <w:r w:rsidRPr="002D3298">
        <w:rPr>
          <w:rFonts w:ascii="Palatino Linotype" w:eastAsia="Palatino Linotype" w:hAnsi="Palatino Linotype" w:cs="Palatino Linotype"/>
          <w:b/>
        </w:rPr>
        <w:t xml:space="preserve">Cuarto </w:t>
      </w:r>
      <w:r w:rsidRPr="002D3298">
        <w:rPr>
          <w:rFonts w:ascii="Palatino Linotype" w:eastAsia="Palatino Linotype" w:hAnsi="Palatino Linotype" w:cs="Palatino Linotype"/>
        </w:rPr>
        <w:t xml:space="preserve">de esta resolución, se </w:t>
      </w:r>
      <w:r w:rsidRPr="002D3298">
        <w:rPr>
          <w:rFonts w:ascii="Palatino Linotype" w:eastAsia="Palatino Linotype" w:hAnsi="Palatino Linotype" w:cs="Palatino Linotype"/>
          <w:b/>
        </w:rPr>
        <w:t>Revoca</w:t>
      </w:r>
      <w:r w:rsidRPr="002D3298">
        <w:rPr>
          <w:rFonts w:ascii="Palatino Linotype" w:eastAsia="Palatino Linotype" w:hAnsi="Palatino Linotype" w:cs="Palatino Linotype"/>
        </w:rPr>
        <w:t xml:space="preserve"> la respuesta emitida por el </w:t>
      </w:r>
      <w:r w:rsidRPr="002D3298">
        <w:rPr>
          <w:rFonts w:ascii="Palatino Linotype" w:eastAsia="Palatino Linotype" w:hAnsi="Palatino Linotype" w:cs="Palatino Linotype"/>
          <w:b/>
        </w:rPr>
        <w:t xml:space="preserve">Sujeto Obligado. </w:t>
      </w:r>
    </w:p>
    <w:p w14:paraId="64D98D60" w14:textId="77777777" w:rsidR="00B20935" w:rsidRPr="002D3298" w:rsidRDefault="00151843">
      <w:pPr>
        <w:spacing w:before="240" w:after="240" w:line="360" w:lineRule="auto"/>
        <w:ind w:right="49"/>
        <w:jc w:val="both"/>
        <w:rPr>
          <w:rFonts w:ascii="Palatino Linotype" w:eastAsia="Palatino Linotype" w:hAnsi="Palatino Linotype" w:cs="Palatino Linotype"/>
        </w:rPr>
      </w:pPr>
      <w:r w:rsidRPr="002D3298">
        <w:rPr>
          <w:rFonts w:ascii="Palatino Linotype" w:eastAsia="Palatino Linotype" w:hAnsi="Palatino Linotype" w:cs="Palatino Linotype"/>
          <w:b/>
        </w:rPr>
        <w:lastRenderedPageBreak/>
        <w:t xml:space="preserve">Segundo. </w:t>
      </w:r>
      <w:r w:rsidRPr="002D3298">
        <w:rPr>
          <w:rFonts w:ascii="Palatino Linotype" w:eastAsia="Palatino Linotype" w:hAnsi="Palatino Linotype" w:cs="Palatino Linotype"/>
        </w:rPr>
        <w:t xml:space="preserve">Se </w:t>
      </w:r>
      <w:r w:rsidRPr="002D3298">
        <w:rPr>
          <w:rFonts w:ascii="Palatino Linotype" w:eastAsia="Palatino Linotype" w:hAnsi="Palatino Linotype" w:cs="Palatino Linotype"/>
          <w:b/>
        </w:rPr>
        <w:t xml:space="preserve">Ordena </w:t>
      </w:r>
      <w:r w:rsidRPr="002D3298">
        <w:rPr>
          <w:rFonts w:ascii="Palatino Linotype" w:eastAsia="Palatino Linotype" w:hAnsi="Palatino Linotype" w:cs="Palatino Linotype"/>
        </w:rPr>
        <w:t xml:space="preserve">al </w:t>
      </w:r>
      <w:r w:rsidRPr="002D3298">
        <w:rPr>
          <w:rFonts w:ascii="Palatino Linotype" w:eastAsia="Palatino Linotype" w:hAnsi="Palatino Linotype" w:cs="Palatino Linotype"/>
          <w:b/>
        </w:rPr>
        <w:t xml:space="preserve">Sujeto Obligado, </w:t>
      </w:r>
      <w:r w:rsidRPr="002D3298">
        <w:rPr>
          <w:rFonts w:ascii="Palatino Linotype" w:eastAsia="Palatino Linotype" w:hAnsi="Palatino Linotype" w:cs="Palatino Linotype"/>
        </w:rPr>
        <w:t xml:space="preserve">en términos de los </w:t>
      </w:r>
      <w:r w:rsidRPr="002D3298">
        <w:rPr>
          <w:rFonts w:ascii="Palatino Linotype" w:eastAsia="Palatino Linotype" w:hAnsi="Palatino Linotype" w:cs="Palatino Linotype"/>
          <w:b/>
        </w:rPr>
        <w:t xml:space="preserve">Considerandos </w:t>
      </w:r>
      <w:proofErr w:type="gramStart"/>
      <w:r w:rsidRPr="002D3298">
        <w:rPr>
          <w:rFonts w:ascii="Palatino Linotype" w:eastAsia="Palatino Linotype" w:hAnsi="Palatino Linotype" w:cs="Palatino Linotype"/>
          <w:b/>
        </w:rPr>
        <w:t xml:space="preserve">Cuarto </w:t>
      </w:r>
      <w:r w:rsidRPr="002D3298">
        <w:rPr>
          <w:rFonts w:ascii="Palatino Linotype" w:eastAsia="Palatino Linotype" w:hAnsi="Palatino Linotype" w:cs="Palatino Linotype"/>
        </w:rPr>
        <w:t xml:space="preserve"> y</w:t>
      </w:r>
      <w:proofErr w:type="gramEnd"/>
      <w:r w:rsidRPr="002D3298">
        <w:rPr>
          <w:rFonts w:ascii="Palatino Linotype" w:eastAsia="Palatino Linotype" w:hAnsi="Palatino Linotype" w:cs="Palatino Linotype"/>
        </w:rPr>
        <w:t xml:space="preserve"> </w:t>
      </w:r>
      <w:r w:rsidRPr="002D3298">
        <w:rPr>
          <w:rFonts w:ascii="Palatino Linotype" w:eastAsia="Palatino Linotype" w:hAnsi="Palatino Linotype" w:cs="Palatino Linotype"/>
          <w:b/>
        </w:rPr>
        <w:t xml:space="preserve">Quinto </w:t>
      </w:r>
      <w:r w:rsidRPr="002D3298">
        <w:rPr>
          <w:rFonts w:ascii="Palatino Linotype" w:eastAsia="Palatino Linotype" w:hAnsi="Palatino Linotype" w:cs="Palatino Linotype"/>
        </w:rPr>
        <w:t xml:space="preserve">de esta resolución, haga entrega, vía </w:t>
      </w:r>
      <w:r w:rsidRPr="002D3298">
        <w:rPr>
          <w:rFonts w:ascii="Palatino Linotype" w:eastAsia="Palatino Linotype" w:hAnsi="Palatino Linotype" w:cs="Palatino Linotype"/>
          <w:b/>
        </w:rPr>
        <w:t>SAIMEX</w:t>
      </w:r>
      <w:r w:rsidRPr="002D3298">
        <w:rPr>
          <w:rFonts w:ascii="Palatino Linotype" w:eastAsia="Palatino Linotype" w:hAnsi="Palatino Linotype" w:cs="Palatino Linotype"/>
        </w:rPr>
        <w:t>, previa búsqueda exhaustiva y razonable, en versión pública de ser procedente, de lo siguiente:</w:t>
      </w:r>
    </w:p>
    <w:p w14:paraId="09118CA5" w14:textId="77777777" w:rsidR="00B20935" w:rsidRPr="002D3298" w:rsidRDefault="00151843">
      <w:pPr>
        <w:spacing w:before="240" w:after="240" w:line="360" w:lineRule="auto"/>
        <w:ind w:left="284"/>
        <w:jc w:val="both"/>
        <w:rPr>
          <w:rFonts w:ascii="Palatino Linotype" w:eastAsia="Palatino Linotype" w:hAnsi="Palatino Linotype" w:cs="Palatino Linotype"/>
        </w:rPr>
      </w:pPr>
      <w:bookmarkStart w:id="11" w:name="_heading=h.1fob9te" w:colFirst="0" w:colLast="0"/>
      <w:bookmarkEnd w:id="11"/>
      <w:r w:rsidRPr="002D3298">
        <w:rPr>
          <w:rFonts w:ascii="Palatino Linotype" w:eastAsia="Palatino Linotype" w:hAnsi="Palatino Linotype" w:cs="Palatino Linotype"/>
        </w:rPr>
        <w:t>1. Programa Anual de Obras aprobado por el Cabildo en los ejercicios 2023, 2024 y 2025, así como sus modificaciones o adecuaciones, al veintiocho de febrero de dos mil veinticinco.</w:t>
      </w:r>
    </w:p>
    <w:p w14:paraId="014D5795" w14:textId="77777777" w:rsidR="00B20935" w:rsidRPr="002D3298" w:rsidRDefault="00151843">
      <w:pPr>
        <w:spacing w:before="240" w:after="24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De las obras públicas realizadas del uno de enero de dos mil veintitrés al veintiocho de febrero de dos mil veinticinco.</w:t>
      </w:r>
    </w:p>
    <w:p w14:paraId="0F25A71B"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2. Todos los contratos de obra pública que se adjudicaron o llevaron a cabo a través de licitación pública, adjudicación directa y/o invitación restringida.</w:t>
      </w:r>
    </w:p>
    <w:p w14:paraId="32885E39"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3. El o los documentos donde conste la garantía o fianza de cumplimiento de los contratos referidos en el punto anterior, por parte de los contratistas.</w:t>
      </w:r>
    </w:p>
    <w:p w14:paraId="34938484"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4. Todos los estudios de costo benéfico de cada obra pública.</w:t>
      </w:r>
    </w:p>
    <w:p w14:paraId="1A4F88F2"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5. El o los documentos donde conste la conformidad o inconformidad del comité vecinal respecto de las obras públicas.</w:t>
      </w:r>
    </w:p>
    <w:p w14:paraId="78456498"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6. El o los documentos donde conste la suficiencia presupuestal y el tipo de recurso empleado para las obras públicas.</w:t>
      </w:r>
    </w:p>
    <w:p w14:paraId="19311804"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7. Las actas de entrega - recepción de las obras públicas.</w:t>
      </w:r>
    </w:p>
    <w:p w14:paraId="0B7305D5"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8. El análisis de propuestas presentadas para la realización de las obras públicas.</w:t>
      </w:r>
    </w:p>
    <w:p w14:paraId="56B36E94" w14:textId="77777777" w:rsidR="00B20935" w:rsidRPr="002D3298" w:rsidRDefault="00151843">
      <w:pPr>
        <w:spacing w:before="240" w:after="120" w:line="360" w:lineRule="auto"/>
        <w:ind w:left="284"/>
        <w:jc w:val="both"/>
        <w:rPr>
          <w:rFonts w:ascii="Palatino Linotype" w:eastAsia="Palatino Linotype" w:hAnsi="Palatino Linotype" w:cs="Palatino Linotype"/>
        </w:rPr>
      </w:pPr>
      <w:r w:rsidRPr="002D3298">
        <w:rPr>
          <w:rFonts w:ascii="Palatino Linotype" w:eastAsia="Palatino Linotype" w:hAnsi="Palatino Linotype" w:cs="Palatino Linotype"/>
        </w:rPr>
        <w:t>9. Bitácora de las obras públicas.</w:t>
      </w:r>
    </w:p>
    <w:p w14:paraId="3CA6186E" w14:textId="77777777" w:rsidR="00B20935" w:rsidRPr="002D3298" w:rsidRDefault="00151843">
      <w:pPr>
        <w:pBdr>
          <w:top w:val="nil"/>
          <w:left w:val="nil"/>
          <w:bottom w:val="nil"/>
          <w:right w:val="nil"/>
          <w:between w:val="nil"/>
        </w:pBdr>
        <w:spacing w:before="120" w:after="120"/>
        <w:ind w:left="284"/>
        <w:jc w:val="both"/>
        <w:rPr>
          <w:rFonts w:ascii="Palatino Linotype" w:eastAsia="Palatino Linotype" w:hAnsi="Palatino Linotype" w:cs="Palatino Linotype"/>
          <w:i/>
          <w:sz w:val="20"/>
          <w:szCs w:val="20"/>
        </w:rPr>
      </w:pPr>
      <w:r w:rsidRPr="002D3298">
        <w:rPr>
          <w:rFonts w:ascii="Palatino Linotype" w:eastAsia="Palatino Linotype" w:hAnsi="Palatino Linotype" w:cs="Palatino Linotype"/>
          <w:i/>
          <w:sz w:val="20"/>
          <w:szCs w:val="20"/>
        </w:rPr>
        <w:lastRenderedPageBreak/>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2D3298">
        <w:rPr>
          <w:rFonts w:ascii="Palatino Linotype" w:eastAsia="Palatino Linotype" w:hAnsi="Palatino Linotype" w:cs="Palatino Linotype"/>
          <w:b/>
          <w:i/>
          <w:sz w:val="20"/>
          <w:szCs w:val="20"/>
        </w:rPr>
        <w:t>Recurrente</w:t>
      </w:r>
      <w:r w:rsidRPr="002D3298">
        <w:rPr>
          <w:rFonts w:ascii="Palatino Linotype" w:eastAsia="Palatino Linotype" w:hAnsi="Palatino Linotype" w:cs="Palatino Linotype"/>
          <w:i/>
          <w:sz w:val="20"/>
          <w:szCs w:val="20"/>
        </w:rPr>
        <w:t>, mismo que igualmente hará de su conocimiento.</w:t>
      </w:r>
    </w:p>
    <w:p w14:paraId="4B0406AE" w14:textId="77777777" w:rsidR="00B20935" w:rsidRPr="002D3298" w:rsidRDefault="00151843">
      <w:pPr>
        <w:spacing w:before="120" w:after="120"/>
        <w:ind w:left="284"/>
        <w:jc w:val="both"/>
        <w:rPr>
          <w:rFonts w:ascii="Palatino Linotype" w:eastAsia="Palatino Linotype" w:hAnsi="Palatino Linotype" w:cs="Palatino Linotype"/>
          <w:i/>
          <w:sz w:val="20"/>
          <w:szCs w:val="20"/>
        </w:rPr>
      </w:pPr>
      <w:r w:rsidRPr="002D3298">
        <w:rPr>
          <w:rFonts w:ascii="Palatino Linotype" w:eastAsia="Palatino Linotype" w:hAnsi="Palatino Linotype" w:cs="Palatino Linotype"/>
          <w:i/>
          <w:sz w:val="20"/>
          <w:szCs w:val="20"/>
        </w:rPr>
        <w:t xml:space="preserve">En el supuesto que no se llegara a localizar la información que se ordena en los </w:t>
      </w:r>
      <w:r w:rsidRPr="002D3298">
        <w:rPr>
          <w:rFonts w:ascii="Palatino Linotype" w:eastAsia="Palatino Linotype" w:hAnsi="Palatino Linotype" w:cs="Palatino Linotype"/>
          <w:b/>
          <w:i/>
          <w:sz w:val="20"/>
          <w:szCs w:val="20"/>
        </w:rPr>
        <w:t>puntos 1</w:t>
      </w:r>
      <w:r w:rsidRPr="002D3298">
        <w:rPr>
          <w:rFonts w:ascii="Palatino Linotype" w:eastAsia="Palatino Linotype" w:hAnsi="Palatino Linotype" w:cs="Palatino Linotype"/>
          <w:i/>
          <w:sz w:val="20"/>
          <w:szCs w:val="20"/>
        </w:rPr>
        <w:t xml:space="preserve">, respecto de las modificaciones o adecuaciones al Programa Anual de Obras en alguno de los ejercicios referidos; </w:t>
      </w:r>
      <w:r w:rsidRPr="002D3298">
        <w:rPr>
          <w:rFonts w:ascii="Palatino Linotype" w:eastAsia="Palatino Linotype" w:hAnsi="Palatino Linotype" w:cs="Palatino Linotype"/>
          <w:b/>
          <w:i/>
          <w:sz w:val="20"/>
          <w:szCs w:val="20"/>
        </w:rPr>
        <w:t>2, 3, 4, 5, 6, 7, 8 y 9</w:t>
      </w:r>
      <w:r w:rsidRPr="002D3298">
        <w:rPr>
          <w:rFonts w:ascii="Palatino Linotype" w:eastAsia="Palatino Linotype" w:hAnsi="Palatino Linotype" w:cs="Palatino Linotype"/>
          <w:i/>
          <w:sz w:val="20"/>
          <w:szCs w:val="20"/>
        </w:rPr>
        <w:t xml:space="preserve">, respecto del año 2025; o bien, del </w:t>
      </w:r>
      <w:r w:rsidRPr="002D3298">
        <w:rPr>
          <w:rFonts w:ascii="Palatino Linotype" w:eastAsia="Palatino Linotype" w:hAnsi="Palatino Linotype" w:cs="Palatino Linotype"/>
          <w:b/>
          <w:i/>
          <w:sz w:val="20"/>
          <w:szCs w:val="20"/>
        </w:rPr>
        <w:t>punto 5</w:t>
      </w:r>
      <w:r w:rsidRPr="002D3298">
        <w:rPr>
          <w:rFonts w:ascii="Palatino Linotype" w:eastAsia="Palatino Linotype" w:hAnsi="Palatino Linotype" w:cs="Palatino Linotype"/>
          <w:i/>
          <w:sz w:val="20"/>
          <w:szCs w:val="20"/>
        </w:rPr>
        <w:t xml:space="preserve"> en el periodo que se ordena, por no haberse generado, bastará con que así se haga del conocimiento de la parte </w:t>
      </w:r>
      <w:r w:rsidRPr="002D3298">
        <w:rPr>
          <w:rFonts w:ascii="Palatino Linotype" w:eastAsia="Palatino Linotype" w:hAnsi="Palatino Linotype" w:cs="Palatino Linotype"/>
          <w:b/>
          <w:i/>
          <w:sz w:val="20"/>
          <w:szCs w:val="20"/>
        </w:rPr>
        <w:t>Recurrente</w:t>
      </w:r>
      <w:r w:rsidRPr="002D3298">
        <w:rPr>
          <w:rFonts w:ascii="Palatino Linotype" w:eastAsia="Palatino Linotype" w:hAnsi="Palatino Linotype" w:cs="Palatino Linotype"/>
          <w:i/>
          <w:sz w:val="20"/>
          <w:szCs w:val="20"/>
        </w:rPr>
        <w:t xml:space="preserve"> en términos del artículo 19, párrafo segundo de la Ley de Transparencia y Acceso a la Información Pública del Estado de México y Municipios, para tener por colmados los requerimientos de información.</w:t>
      </w:r>
    </w:p>
    <w:p w14:paraId="74812F6D"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b/>
        </w:rPr>
        <w:t xml:space="preserve">Tercero. Notifíquese, </w:t>
      </w:r>
      <w:r w:rsidRPr="002D3298">
        <w:rPr>
          <w:rFonts w:ascii="Palatino Linotype" w:eastAsia="Palatino Linotype" w:hAnsi="Palatino Linotype" w:cs="Palatino Linotype"/>
        </w:rPr>
        <w:t xml:space="preserve">vía </w:t>
      </w:r>
      <w:r w:rsidRPr="002D3298">
        <w:rPr>
          <w:rFonts w:ascii="Palatino Linotype" w:eastAsia="Palatino Linotype" w:hAnsi="Palatino Linotype" w:cs="Palatino Linotype"/>
          <w:b/>
        </w:rPr>
        <w:t>SAIMEX</w:t>
      </w:r>
      <w:r w:rsidRPr="002D3298">
        <w:rPr>
          <w:rFonts w:ascii="Palatino Linotype" w:eastAsia="Palatino Linotype" w:hAnsi="Palatino Linotype" w:cs="Palatino Linotype"/>
        </w:rPr>
        <w:t xml:space="preserve">, al Titular de la Unidad de Transparencia del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057038" w14:textId="77777777" w:rsidR="00B20935" w:rsidRPr="002D3298" w:rsidRDefault="00151843">
      <w:pPr>
        <w:spacing w:before="240" w:after="240" w:line="360" w:lineRule="auto"/>
        <w:jc w:val="both"/>
        <w:rPr>
          <w:rFonts w:ascii="Palatino Linotype" w:eastAsia="Palatino Linotype" w:hAnsi="Palatino Linotype" w:cs="Palatino Linotype"/>
        </w:rPr>
      </w:pPr>
      <w:r w:rsidRPr="002D329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D3298">
        <w:rPr>
          <w:rFonts w:ascii="Palatino Linotype" w:eastAsia="Palatino Linotype" w:hAnsi="Palatino Linotype" w:cs="Palatino Linotype"/>
          <w:b/>
        </w:rPr>
        <w:t>Sujeto Obligado</w:t>
      </w:r>
      <w:r w:rsidRPr="002D3298">
        <w:rPr>
          <w:rFonts w:ascii="Palatino Linotype" w:eastAsia="Palatino Linotype" w:hAnsi="Palatino Linotype" w:cs="Palatino Linotype"/>
        </w:rPr>
        <w:t xml:space="preserve"> de manera fundada y motivada, podrá solicitar una ampliación de plazo para el cumplimiento de la presente resolución.</w:t>
      </w:r>
    </w:p>
    <w:p w14:paraId="3AAEE57E" w14:textId="77777777" w:rsidR="00B20935" w:rsidRPr="002D3298" w:rsidRDefault="00151843">
      <w:pPr>
        <w:spacing w:before="240" w:after="240" w:line="360" w:lineRule="auto"/>
        <w:jc w:val="both"/>
        <w:rPr>
          <w:rFonts w:ascii="Palatino Linotype" w:eastAsia="Palatino Linotype" w:hAnsi="Palatino Linotype" w:cs="Palatino Linotype"/>
        </w:rPr>
      </w:pPr>
      <w:bookmarkStart w:id="12" w:name="_heading=h.ot3qq6vxa08f" w:colFirst="0" w:colLast="0"/>
      <w:bookmarkEnd w:id="12"/>
      <w:r w:rsidRPr="002D3298">
        <w:rPr>
          <w:rFonts w:ascii="Palatino Linotype" w:eastAsia="Palatino Linotype" w:hAnsi="Palatino Linotype" w:cs="Palatino Linotype"/>
          <w:b/>
        </w:rPr>
        <w:t xml:space="preserve">Cuarto.  Notifíquese, </w:t>
      </w:r>
      <w:r w:rsidRPr="002D3298">
        <w:rPr>
          <w:rFonts w:ascii="Palatino Linotype" w:eastAsia="Palatino Linotype" w:hAnsi="Palatino Linotype" w:cs="Palatino Linotype"/>
        </w:rPr>
        <w:t xml:space="preserve">vía </w:t>
      </w:r>
      <w:r w:rsidRPr="002D3298">
        <w:rPr>
          <w:rFonts w:ascii="Palatino Linotype" w:eastAsia="Palatino Linotype" w:hAnsi="Palatino Linotype" w:cs="Palatino Linotype"/>
          <w:b/>
        </w:rPr>
        <w:t>SAIMEX</w:t>
      </w:r>
      <w:r w:rsidRPr="002D3298">
        <w:rPr>
          <w:rFonts w:ascii="Palatino Linotype" w:eastAsia="Palatino Linotype" w:hAnsi="Palatino Linotype" w:cs="Palatino Linotype"/>
        </w:rPr>
        <w:t xml:space="preserve"> a la parte </w:t>
      </w:r>
      <w:r w:rsidRPr="002D3298">
        <w:rPr>
          <w:rFonts w:ascii="Palatino Linotype" w:eastAsia="Palatino Linotype" w:hAnsi="Palatino Linotype" w:cs="Palatino Linotype"/>
          <w:b/>
        </w:rPr>
        <w:t>Recurrente</w:t>
      </w:r>
      <w:r w:rsidRPr="002D3298">
        <w:rPr>
          <w:rFonts w:ascii="Palatino Linotype" w:eastAsia="Palatino Linotype" w:hAnsi="Palatino Linotype" w:cs="Palatino Linotype"/>
        </w:rPr>
        <w:t xml:space="preserve"> la presente resolución, así como, que de conformidad con lo establecido en el artículo 196 de la Ley de </w:t>
      </w:r>
      <w:r w:rsidRPr="002D3298">
        <w:rPr>
          <w:rFonts w:ascii="Palatino Linotype" w:eastAsia="Palatino Linotype" w:hAnsi="Palatino Linotype" w:cs="Palatino Linotype"/>
        </w:rPr>
        <w:lastRenderedPageBreak/>
        <w:t>Transparencia y Acceso a la Información Pública del Estado de México y Municipios, podrá impugnarla vía Juicio de Amparo en los términos de las leyes aplicables.</w:t>
      </w:r>
    </w:p>
    <w:p w14:paraId="62A6E1BF" w14:textId="77777777" w:rsidR="00B20935" w:rsidRPr="008E6505" w:rsidRDefault="00151843">
      <w:pPr>
        <w:tabs>
          <w:tab w:val="left" w:pos="8647"/>
        </w:tabs>
        <w:spacing w:before="240" w:after="240" w:line="360" w:lineRule="auto"/>
        <w:ind w:right="51"/>
        <w:jc w:val="both"/>
        <w:rPr>
          <w:rFonts w:ascii="Palatino Linotype" w:eastAsia="Palatino Linotype" w:hAnsi="Palatino Linotype" w:cs="Palatino Linotype"/>
        </w:rPr>
      </w:pPr>
      <w:bookmarkStart w:id="13" w:name="_heading=h.lnxbz9" w:colFirst="0" w:colLast="0"/>
      <w:bookmarkEnd w:id="13"/>
      <w:r w:rsidRPr="002D329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NORIEGA, EN LA DÉCIMA NOVENA SESIÓN ORDINARIA CELEBRADA EL VEINTIOCHO DE MAYO DE DOS MIL VEINTICINCO, ANTE EL SECRETARIO TÉCNICO DEL PLENO ALEXIS TAPIA RAMÍREZ.</w:t>
      </w:r>
    </w:p>
    <w:p w14:paraId="372F4776" w14:textId="77777777" w:rsidR="00B20935" w:rsidRPr="008E6505" w:rsidRDefault="00B20935">
      <w:pPr>
        <w:spacing w:line="360" w:lineRule="auto"/>
        <w:jc w:val="both"/>
        <w:rPr>
          <w:rFonts w:ascii="Palatino Linotype" w:eastAsia="Palatino Linotype" w:hAnsi="Palatino Linotype" w:cs="Palatino Linotype"/>
        </w:rPr>
      </w:pPr>
    </w:p>
    <w:p w14:paraId="2BD54300" w14:textId="77777777" w:rsidR="00B20935" w:rsidRPr="008E6505" w:rsidRDefault="00B20935">
      <w:pPr>
        <w:spacing w:line="360" w:lineRule="auto"/>
        <w:jc w:val="both"/>
        <w:rPr>
          <w:rFonts w:ascii="Palatino Linotype" w:eastAsia="Palatino Linotype" w:hAnsi="Palatino Linotype" w:cs="Palatino Linotype"/>
        </w:rPr>
      </w:pPr>
    </w:p>
    <w:p w14:paraId="2F781544" w14:textId="77777777" w:rsidR="00B20935" w:rsidRPr="008E6505" w:rsidRDefault="00B20935">
      <w:pPr>
        <w:spacing w:line="360" w:lineRule="auto"/>
        <w:jc w:val="both"/>
        <w:rPr>
          <w:rFonts w:ascii="Palatino Linotype" w:eastAsia="Palatino Linotype" w:hAnsi="Palatino Linotype" w:cs="Palatino Linotype"/>
        </w:rPr>
      </w:pPr>
    </w:p>
    <w:p w14:paraId="2CD4A95F" w14:textId="77777777" w:rsidR="00B20935" w:rsidRPr="008E6505" w:rsidRDefault="00B20935">
      <w:pPr>
        <w:spacing w:line="360" w:lineRule="auto"/>
        <w:jc w:val="both"/>
        <w:rPr>
          <w:rFonts w:ascii="Palatino Linotype" w:eastAsia="Palatino Linotype" w:hAnsi="Palatino Linotype" w:cs="Palatino Linotype"/>
        </w:rPr>
      </w:pPr>
    </w:p>
    <w:p w14:paraId="757268EA" w14:textId="77777777" w:rsidR="00B20935" w:rsidRPr="008E6505" w:rsidRDefault="00B20935">
      <w:pPr>
        <w:spacing w:line="360" w:lineRule="auto"/>
        <w:jc w:val="both"/>
        <w:rPr>
          <w:rFonts w:ascii="Palatino Linotype" w:eastAsia="Palatino Linotype" w:hAnsi="Palatino Linotype" w:cs="Palatino Linotype"/>
        </w:rPr>
      </w:pPr>
    </w:p>
    <w:p w14:paraId="412FDD2E" w14:textId="77777777" w:rsidR="00B20935" w:rsidRPr="008E6505" w:rsidRDefault="00B20935">
      <w:pPr>
        <w:spacing w:line="360" w:lineRule="auto"/>
        <w:jc w:val="both"/>
        <w:rPr>
          <w:rFonts w:ascii="Palatino Linotype" w:eastAsia="Palatino Linotype" w:hAnsi="Palatino Linotype" w:cs="Palatino Linotype"/>
        </w:rPr>
      </w:pPr>
    </w:p>
    <w:p w14:paraId="6445176F" w14:textId="77777777" w:rsidR="00B20935" w:rsidRPr="008E6505" w:rsidRDefault="00B20935">
      <w:pPr>
        <w:spacing w:line="360" w:lineRule="auto"/>
        <w:jc w:val="both"/>
        <w:rPr>
          <w:rFonts w:ascii="Palatino Linotype" w:eastAsia="Palatino Linotype" w:hAnsi="Palatino Linotype" w:cs="Palatino Linotype"/>
        </w:rPr>
      </w:pPr>
    </w:p>
    <w:p w14:paraId="49A0E27A" w14:textId="77777777" w:rsidR="00B20935" w:rsidRPr="008E6505" w:rsidRDefault="00B20935">
      <w:pPr>
        <w:spacing w:line="360" w:lineRule="auto"/>
        <w:jc w:val="both"/>
        <w:rPr>
          <w:rFonts w:ascii="Palatino Linotype" w:eastAsia="Palatino Linotype" w:hAnsi="Palatino Linotype" w:cs="Palatino Linotype"/>
        </w:rPr>
      </w:pPr>
    </w:p>
    <w:p w14:paraId="3C1D4467" w14:textId="77777777" w:rsidR="00B20935" w:rsidRPr="008E6505" w:rsidRDefault="00B20935">
      <w:pPr>
        <w:spacing w:line="360" w:lineRule="auto"/>
        <w:jc w:val="both"/>
        <w:rPr>
          <w:rFonts w:ascii="Palatino Linotype" w:eastAsia="Palatino Linotype" w:hAnsi="Palatino Linotype" w:cs="Palatino Linotype"/>
        </w:rPr>
      </w:pPr>
    </w:p>
    <w:p w14:paraId="49D5F457" w14:textId="77777777" w:rsidR="00B20935" w:rsidRPr="008E6505" w:rsidRDefault="00B20935">
      <w:pPr>
        <w:spacing w:line="360" w:lineRule="auto"/>
        <w:jc w:val="both"/>
        <w:rPr>
          <w:rFonts w:ascii="Palatino Linotype" w:eastAsia="Palatino Linotype" w:hAnsi="Palatino Linotype" w:cs="Palatino Linotype"/>
        </w:rPr>
      </w:pPr>
    </w:p>
    <w:p w14:paraId="300B8E0A" w14:textId="77777777" w:rsidR="00B20935" w:rsidRPr="008E6505" w:rsidRDefault="00B20935">
      <w:pPr>
        <w:spacing w:line="360" w:lineRule="auto"/>
        <w:jc w:val="both"/>
        <w:rPr>
          <w:rFonts w:ascii="Palatino Linotype" w:eastAsia="Palatino Linotype" w:hAnsi="Palatino Linotype" w:cs="Palatino Linotype"/>
        </w:rPr>
      </w:pPr>
    </w:p>
    <w:p w14:paraId="4654E6B5" w14:textId="77777777" w:rsidR="00B20935" w:rsidRPr="008E6505" w:rsidRDefault="00B20935">
      <w:pPr>
        <w:spacing w:line="360" w:lineRule="auto"/>
        <w:jc w:val="both"/>
        <w:rPr>
          <w:rFonts w:ascii="Palatino Linotype" w:eastAsia="Palatino Linotype" w:hAnsi="Palatino Linotype" w:cs="Palatino Linotype"/>
        </w:rPr>
      </w:pPr>
    </w:p>
    <w:p w14:paraId="422375C3" w14:textId="77777777" w:rsidR="00B20935" w:rsidRPr="008E6505" w:rsidRDefault="00B20935">
      <w:pPr>
        <w:spacing w:line="360" w:lineRule="auto"/>
        <w:jc w:val="both"/>
        <w:rPr>
          <w:rFonts w:ascii="Palatino Linotype" w:eastAsia="Palatino Linotype" w:hAnsi="Palatino Linotype" w:cs="Palatino Linotype"/>
        </w:rPr>
      </w:pPr>
      <w:bookmarkStart w:id="14" w:name="_heading=h.a31ljjt2ohiu" w:colFirst="0" w:colLast="0"/>
      <w:bookmarkEnd w:id="14"/>
    </w:p>
    <w:p w14:paraId="656982AB" w14:textId="77777777" w:rsidR="00B20935" w:rsidRPr="008E6505" w:rsidRDefault="00B20935">
      <w:pPr>
        <w:spacing w:line="360" w:lineRule="auto"/>
        <w:jc w:val="both"/>
        <w:rPr>
          <w:rFonts w:ascii="Palatino Linotype" w:eastAsia="Palatino Linotype" w:hAnsi="Palatino Linotype" w:cs="Palatino Linotype"/>
        </w:rPr>
      </w:pPr>
    </w:p>
    <w:p w14:paraId="1BC6C93E" w14:textId="77777777" w:rsidR="00B20935" w:rsidRPr="008E6505" w:rsidRDefault="00B20935">
      <w:pPr>
        <w:spacing w:line="360" w:lineRule="auto"/>
        <w:jc w:val="both"/>
        <w:rPr>
          <w:rFonts w:ascii="Palatino Linotype" w:eastAsia="Palatino Linotype" w:hAnsi="Palatino Linotype" w:cs="Palatino Linotype"/>
        </w:rPr>
      </w:pPr>
    </w:p>
    <w:sectPr w:rsidR="00B20935" w:rsidRPr="008E6505">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39CEA" w14:textId="77777777" w:rsidR="00AA3E3F" w:rsidRDefault="00AA3E3F">
      <w:r>
        <w:separator/>
      </w:r>
    </w:p>
  </w:endnote>
  <w:endnote w:type="continuationSeparator" w:id="0">
    <w:p w14:paraId="5B9AAB1E" w14:textId="77777777" w:rsidR="00AA3E3F" w:rsidRDefault="00AA3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06BC" w14:textId="77777777" w:rsidR="00B20935" w:rsidRDefault="0015184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E1999">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E1999">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4CBA2EAA" w14:textId="77777777" w:rsidR="00B20935" w:rsidRDefault="00B2093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6DB1" w14:textId="77777777" w:rsidR="00B20935" w:rsidRDefault="0015184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E199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E1999">
      <w:rPr>
        <w:rFonts w:ascii="Palatino Linotype" w:eastAsia="Palatino Linotype" w:hAnsi="Palatino Linotype" w:cs="Palatino Linotype"/>
        <w:b/>
        <w:noProof/>
        <w:color w:val="000000"/>
        <w:sz w:val="20"/>
        <w:szCs w:val="20"/>
      </w:rPr>
      <w:t>77</w:t>
    </w:r>
    <w:r>
      <w:rPr>
        <w:rFonts w:ascii="Palatino Linotype" w:eastAsia="Palatino Linotype" w:hAnsi="Palatino Linotype" w:cs="Palatino Linotype"/>
        <w:b/>
        <w:color w:val="000000"/>
        <w:sz w:val="20"/>
        <w:szCs w:val="20"/>
      </w:rPr>
      <w:fldChar w:fldCharType="end"/>
    </w:r>
  </w:p>
  <w:p w14:paraId="59C6128A" w14:textId="77777777" w:rsidR="00B20935" w:rsidRDefault="00B2093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2251C" w14:textId="77777777" w:rsidR="00AA3E3F" w:rsidRDefault="00AA3E3F">
      <w:r>
        <w:separator/>
      </w:r>
    </w:p>
  </w:footnote>
  <w:footnote w:type="continuationSeparator" w:id="0">
    <w:p w14:paraId="1A73471D" w14:textId="77777777" w:rsidR="00AA3E3F" w:rsidRDefault="00AA3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8970" w14:textId="77777777" w:rsidR="00B20935" w:rsidRDefault="00151843">
    <w:pPr>
      <w:rPr>
        <w:rFonts w:ascii="Cambria" w:eastAsia="Cambria" w:hAnsi="Cambria" w:cs="Cambria"/>
        <w:color w:val="000000"/>
      </w:rPr>
    </w:pPr>
    <w:r>
      <w:rPr>
        <w:noProof/>
      </w:rPr>
      <w:drawing>
        <wp:anchor distT="0" distB="0" distL="0" distR="0" simplePos="0" relativeHeight="251658240" behindDoc="1" locked="0" layoutInCell="1" hidden="0" allowOverlap="1" wp14:anchorId="28696E0B" wp14:editId="6FAF632D">
          <wp:simplePos x="0" y="0"/>
          <wp:positionH relativeFrom="column">
            <wp:posOffset>-1080093</wp:posOffset>
          </wp:positionH>
          <wp:positionV relativeFrom="paragraph">
            <wp:posOffset>-488265</wp:posOffset>
          </wp:positionV>
          <wp:extent cx="7809865" cy="10165715"/>
          <wp:effectExtent l="0" t="0" r="0" b="0"/>
          <wp:wrapNone/>
          <wp:docPr id="21401318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6"/>
      <w:tblW w:w="5953" w:type="dxa"/>
      <w:tblInd w:w="3261" w:type="dxa"/>
      <w:tblLayout w:type="fixed"/>
      <w:tblLook w:val="0400" w:firstRow="0" w:lastRow="0" w:firstColumn="0" w:lastColumn="0" w:noHBand="0" w:noVBand="1"/>
    </w:tblPr>
    <w:tblGrid>
      <w:gridCol w:w="2489"/>
      <w:gridCol w:w="3464"/>
    </w:tblGrid>
    <w:tr w:rsidR="00B20935" w14:paraId="0D9324EC" w14:textId="77777777">
      <w:tc>
        <w:tcPr>
          <w:tcW w:w="2489" w:type="dxa"/>
          <w:shd w:val="clear" w:color="auto" w:fill="auto"/>
        </w:tcPr>
        <w:p w14:paraId="644E6E58" w14:textId="77777777" w:rsidR="00B20935" w:rsidRDefault="001518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FEC0BF3" w14:textId="77777777" w:rsidR="00B20935" w:rsidRDefault="0015184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02764/INFOEM/IP/RR/2025</w:t>
          </w:r>
        </w:p>
      </w:tc>
    </w:tr>
    <w:tr w:rsidR="00B20935" w14:paraId="2F14B979" w14:textId="77777777">
      <w:trPr>
        <w:trHeight w:val="228"/>
      </w:trPr>
      <w:tc>
        <w:tcPr>
          <w:tcW w:w="2489" w:type="dxa"/>
          <w:shd w:val="clear" w:color="auto" w:fill="auto"/>
          <w:vAlign w:val="center"/>
        </w:tcPr>
        <w:p w14:paraId="60FC3BB0" w14:textId="77777777" w:rsidR="00B20935" w:rsidRDefault="001518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78AB37E" w14:textId="77777777" w:rsidR="00B20935" w:rsidRDefault="0015184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Cocotitlán</w:t>
          </w:r>
        </w:p>
      </w:tc>
    </w:tr>
    <w:tr w:rsidR="00B20935" w14:paraId="2AA877EE" w14:textId="77777777">
      <w:tc>
        <w:tcPr>
          <w:tcW w:w="2489" w:type="dxa"/>
          <w:shd w:val="clear" w:color="auto" w:fill="auto"/>
          <w:vAlign w:val="center"/>
        </w:tcPr>
        <w:p w14:paraId="491C227C" w14:textId="77777777" w:rsidR="00B20935" w:rsidRDefault="0015184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763CC7B" w14:textId="77777777" w:rsidR="00B20935" w:rsidRDefault="0015184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0DB8DC" w14:textId="77777777" w:rsidR="00B20935" w:rsidRDefault="0015184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E2156" w14:textId="77777777" w:rsidR="00B20935" w:rsidRDefault="0015184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67CA49E" wp14:editId="66C41132">
          <wp:simplePos x="0" y="0"/>
          <wp:positionH relativeFrom="column">
            <wp:posOffset>-1080119</wp:posOffset>
          </wp:positionH>
          <wp:positionV relativeFrom="paragraph">
            <wp:posOffset>-369894</wp:posOffset>
          </wp:positionV>
          <wp:extent cx="7809865" cy="10165715"/>
          <wp:effectExtent l="0" t="0" r="0" b="0"/>
          <wp:wrapNone/>
          <wp:docPr id="21401318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7"/>
      <w:tblW w:w="5953" w:type="dxa"/>
      <w:tblInd w:w="3261" w:type="dxa"/>
      <w:tblLayout w:type="fixed"/>
      <w:tblLook w:val="0400" w:firstRow="0" w:lastRow="0" w:firstColumn="0" w:lastColumn="0" w:noHBand="0" w:noVBand="1"/>
    </w:tblPr>
    <w:tblGrid>
      <w:gridCol w:w="2489"/>
      <w:gridCol w:w="3464"/>
    </w:tblGrid>
    <w:tr w:rsidR="00B20935" w14:paraId="51A8D963" w14:textId="77777777">
      <w:tc>
        <w:tcPr>
          <w:tcW w:w="2489" w:type="dxa"/>
          <w:shd w:val="clear" w:color="auto" w:fill="auto"/>
        </w:tcPr>
        <w:p w14:paraId="7AA1B97B" w14:textId="77777777" w:rsidR="00B20935" w:rsidRDefault="001518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9558A56" w14:textId="77777777" w:rsidR="00B20935" w:rsidRDefault="0015184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02764/INFOEM/IP/RR/2025</w:t>
          </w:r>
        </w:p>
      </w:tc>
    </w:tr>
    <w:tr w:rsidR="00B20935" w14:paraId="3C692F9A" w14:textId="77777777">
      <w:tc>
        <w:tcPr>
          <w:tcW w:w="2489" w:type="dxa"/>
          <w:shd w:val="clear" w:color="auto" w:fill="auto"/>
        </w:tcPr>
        <w:p w14:paraId="55A88421" w14:textId="77777777" w:rsidR="00B20935" w:rsidRDefault="001518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3CE1C5AC" w14:textId="65FF0FA2" w:rsidR="00B20935" w:rsidRDefault="009D4A0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XXXXXX</w:t>
          </w:r>
        </w:p>
      </w:tc>
    </w:tr>
    <w:tr w:rsidR="00B20935" w14:paraId="7251D58E" w14:textId="77777777">
      <w:trPr>
        <w:trHeight w:val="228"/>
      </w:trPr>
      <w:tc>
        <w:tcPr>
          <w:tcW w:w="2489" w:type="dxa"/>
          <w:shd w:val="clear" w:color="auto" w:fill="auto"/>
          <w:vAlign w:val="center"/>
        </w:tcPr>
        <w:p w14:paraId="2A53F1CD" w14:textId="77777777" w:rsidR="00B20935" w:rsidRDefault="0015184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1700A8E" w14:textId="77777777" w:rsidR="00B20935" w:rsidRDefault="0015184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Cocotitlán</w:t>
          </w:r>
        </w:p>
      </w:tc>
    </w:tr>
    <w:tr w:rsidR="00B20935" w14:paraId="2DB74F90" w14:textId="77777777">
      <w:tc>
        <w:tcPr>
          <w:tcW w:w="2489" w:type="dxa"/>
          <w:shd w:val="clear" w:color="auto" w:fill="auto"/>
          <w:vAlign w:val="center"/>
        </w:tcPr>
        <w:p w14:paraId="487A9F0C" w14:textId="77777777" w:rsidR="00B20935" w:rsidRDefault="0015184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3346FF2" w14:textId="77777777" w:rsidR="00B20935" w:rsidRDefault="0015184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740713" w14:textId="77777777" w:rsidR="00B20935" w:rsidRDefault="00B209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71BC"/>
    <w:multiLevelType w:val="multilevel"/>
    <w:tmpl w:val="FF6A2F3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57FE6666"/>
    <w:multiLevelType w:val="multilevel"/>
    <w:tmpl w:val="59D6F87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35"/>
    <w:rsid w:val="00151843"/>
    <w:rsid w:val="002D3298"/>
    <w:rsid w:val="007E1999"/>
    <w:rsid w:val="008E6505"/>
    <w:rsid w:val="009D4A01"/>
    <w:rsid w:val="00AA3E3F"/>
    <w:rsid w:val="00B20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8F304"/>
  <w15:docId w15:val="{DE87FF56-0368-4058-9E45-426A56E4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d"/>
    <w:tblPr>
      <w:tblStyleRowBandSize w:val="1"/>
      <w:tblStyleColBandSize w:val="1"/>
      <w:tblCellMar>
        <w:left w:w="108" w:type="dxa"/>
        <w:right w:w="108" w:type="dxa"/>
      </w:tblCellMar>
    </w:tblPr>
  </w:style>
  <w:style w:type="table" w:customStyle="1" w:styleId="a6">
    <w:basedOn w:val="TableNormald"/>
    <w:tblPr>
      <w:tblStyleRowBandSize w:val="1"/>
      <w:tblStyleColBandSize w:val="1"/>
      <w:tblCellMar>
        <w:left w:w="108" w:type="dxa"/>
        <w:right w:w="108" w:type="dxa"/>
      </w:tblCellMar>
    </w:tblPr>
  </w:style>
  <w:style w:type="table" w:customStyle="1" w:styleId="a7">
    <w:basedOn w:val="TableNormald"/>
    <w:tblPr>
      <w:tblStyleRowBandSize w:val="1"/>
      <w:tblStyleColBandSize w:val="1"/>
      <w:tblCellMar>
        <w:left w:w="108" w:type="dxa"/>
        <w:right w:w="108" w:type="dxa"/>
      </w:tblCellMar>
    </w:tblPr>
  </w:style>
  <w:style w:type="table" w:customStyle="1" w:styleId="a8">
    <w:basedOn w:val="TableNormald"/>
    <w:tblPr>
      <w:tblStyleRowBandSize w:val="1"/>
      <w:tblStyleColBandSize w:val="1"/>
      <w:tblCellMar>
        <w:left w:w="108" w:type="dxa"/>
        <w:right w:w="108" w:type="dxa"/>
      </w:tblCellMar>
    </w:tblPr>
  </w:style>
  <w:style w:type="table" w:customStyle="1" w:styleId="a9">
    <w:basedOn w:val="TableNormald"/>
    <w:tblPr>
      <w:tblStyleRowBandSize w:val="1"/>
      <w:tblStyleColBandSize w:val="1"/>
      <w:tblCellMar>
        <w:left w:w="108" w:type="dxa"/>
        <w:right w:w="108"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c"/>
    <w:tblPr>
      <w:tblStyleRowBandSize w:val="1"/>
      <w:tblStyleColBandSize w:val="1"/>
      <w:tblCellMar>
        <w:left w:w="108" w:type="dxa"/>
        <w:right w:w="108"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b"/>
    <w:tblPr>
      <w:tblStyleRowBandSize w:val="1"/>
      <w:tblStyleColBandSize w:val="1"/>
      <w:tblCellMar>
        <w:left w:w="115" w:type="dxa"/>
        <w:right w:w="115" w:type="dxa"/>
      </w:tblCellMar>
    </w:tblPr>
  </w:style>
  <w:style w:type="table" w:customStyle="1" w:styleId="af0">
    <w:basedOn w:val="TableNormalb"/>
    <w:tblPr>
      <w:tblStyleRowBandSize w:val="1"/>
      <w:tblStyleColBandSize w:val="1"/>
      <w:tblCellMar>
        <w:left w:w="115" w:type="dxa"/>
        <w:right w:w="115" w:type="dxa"/>
      </w:tblCellMar>
    </w:tblPr>
  </w:style>
  <w:style w:type="table" w:customStyle="1" w:styleId="af1">
    <w:basedOn w:val="TableNormalb"/>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table" w:customStyle="1" w:styleId="af3">
    <w:basedOn w:val="TableNormala"/>
    <w:tblPr>
      <w:tblStyleRowBandSize w:val="1"/>
      <w:tblStyleColBandSize w:val="1"/>
      <w:tblCellMar>
        <w:left w:w="115" w:type="dxa"/>
        <w:right w:w="115" w:type="dxa"/>
      </w:tblCellMar>
    </w:tblPr>
  </w:style>
  <w:style w:type="table" w:customStyle="1" w:styleId="af4">
    <w:basedOn w:val="TableNormal9"/>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E55BB0"/>
    <w:pPr>
      <w:numPr>
        <w:numId w:val="2"/>
      </w:numPr>
      <w:contextualSpacing/>
    </w:pPr>
  </w:style>
  <w:style w:type="paragraph" w:styleId="Listaconvietas2">
    <w:name w:val="List Bullet 2"/>
    <w:basedOn w:val="Normal"/>
    <w:uiPriority w:val="99"/>
    <w:unhideWhenUsed/>
    <w:rsid w:val="00240AD1"/>
    <w:pPr>
      <w:tabs>
        <w:tab w:val="num" w:pos="720"/>
      </w:tabs>
      <w:ind w:left="720" w:hanging="720"/>
      <w:contextualSpacing/>
    </w:p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9.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3NEWZv21XIvnxjpLYICT0dwXUQ==">CgMxLjAyCWguM3JkY3JqbjIOaC5kYWozajJ4bzZxNjYyCGguZ2pkZ3hzMgloLjNkeTZ2a20yCWguMzBqMHpsbDIJaC4yczhleW8xMghoLnR5amN3dDIJaC4zem55c2g3MgloLjJldDkycDAyCWguMmp4c3hxaDIJaC4xdDNoNXNmMgloLjFmb2I5dGUyDmgub3QzcXE2dnhhMDhmMghoLmxueGJ6OTIOaC5hMzFsamp0Mm9oaXU4AHIhMXJzSmNCTF85MThDYVQzNGJLZW9lZkFMckY3WVkzSE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77</Pages>
  <Words>18369</Words>
  <Characters>101032</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2025-05-30T17:42:00Z</cp:lastPrinted>
  <dcterms:created xsi:type="dcterms:W3CDTF">2025-06-11T16:59:00Z</dcterms:created>
  <dcterms:modified xsi:type="dcterms:W3CDTF">2025-06-11T16:59:00Z</dcterms:modified>
</cp:coreProperties>
</file>