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7C644" w14:textId="77777777" w:rsidR="00515A09" w:rsidRPr="00C00ACE" w:rsidRDefault="009E19E3">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C00AC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C00ACE">
        <w:rPr>
          <w:rFonts w:ascii="Palatino Linotype" w:eastAsia="Palatino Linotype" w:hAnsi="Palatino Linotype" w:cs="Palatino Linotype"/>
          <w:b/>
          <w:sz w:val="22"/>
          <w:szCs w:val="22"/>
        </w:rPr>
        <w:t xml:space="preserve">a </w:t>
      </w:r>
      <w:r w:rsidR="002317AF" w:rsidRPr="00C00ACE">
        <w:rPr>
          <w:rFonts w:ascii="Palatino Linotype" w:eastAsia="Palatino Linotype" w:hAnsi="Palatino Linotype" w:cs="Palatino Linotype"/>
          <w:b/>
          <w:sz w:val="22"/>
          <w:szCs w:val="22"/>
        </w:rPr>
        <w:t>veinti</w:t>
      </w:r>
      <w:r w:rsidR="006B1ACF" w:rsidRPr="00C00ACE">
        <w:rPr>
          <w:rFonts w:ascii="Palatino Linotype" w:eastAsia="Palatino Linotype" w:hAnsi="Palatino Linotype" w:cs="Palatino Linotype"/>
          <w:b/>
          <w:sz w:val="22"/>
          <w:szCs w:val="22"/>
        </w:rPr>
        <w:t>nueve</w:t>
      </w:r>
      <w:r w:rsidR="002317AF" w:rsidRPr="00C00ACE">
        <w:rPr>
          <w:rFonts w:ascii="Palatino Linotype" w:eastAsia="Palatino Linotype" w:hAnsi="Palatino Linotype" w:cs="Palatino Linotype"/>
          <w:b/>
          <w:sz w:val="22"/>
          <w:szCs w:val="22"/>
        </w:rPr>
        <w:t xml:space="preserve"> de enero de dos mil veinticinco</w:t>
      </w:r>
      <w:r w:rsidRPr="00C00ACE">
        <w:rPr>
          <w:rFonts w:ascii="Palatino Linotype" w:eastAsia="Palatino Linotype" w:hAnsi="Palatino Linotype" w:cs="Palatino Linotype"/>
          <w:sz w:val="22"/>
          <w:szCs w:val="22"/>
        </w:rPr>
        <w:t xml:space="preserve">. </w:t>
      </w:r>
    </w:p>
    <w:p w14:paraId="7CADF850" w14:textId="2B715FE7" w:rsidR="00515A09" w:rsidRPr="00C00ACE" w:rsidRDefault="009E19E3">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C00ACE">
        <w:rPr>
          <w:rFonts w:ascii="Palatino Linotype" w:eastAsia="Palatino Linotype" w:hAnsi="Palatino Linotype" w:cs="Palatino Linotype"/>
          <w:b/>
          <w:sz w:val="22"/>
          <w:szCs w:val="22"/>
        </w:rPr>
        <w:t>Visto</w:t>
      </w:r>
      <w:r w:rsidRPr="00C00ACE">
        <w:rPr>
          <w:rFonts w:ascii="Palatino Linotype" w:eastAsia="Palatino Linotype" w:hAnsi="Palatino Linotype" w:cs="Palatino Linotype"/>
          <w:sz w:val="22"/>
          <w:szCs w:val="22"/>
        </w:rPr>
        <w:t xml:space="preserve"> el expediente formado con motivo del recurso de revisión </w:t>
      </w:r>
      <w:r w:rsidRPr="00C00ACE">
        <w:rPr>
          <w:rFonts w:ascii="Palatino Linotype" w:eastAsia="Palatino Linotype" w:hAnsi="Palatino Linotype" w:cs="Palatino Linotype"/>
          <w:b/>
          <w:sz w:val="22"/>
          <w:szCs w:val="22"/>
        </w:rPr>
        <w:t>07</w:t>
      </w:r>
      <w:r w:rsidR="0052720F" w:rsidRPr="00C00ACE">
        <w:rPr>
          <w:rFonts w:ascii="Palatino Linotype" w:eastAsia="Palatino Linotype" w:hAnsi="Palatino Linotype" w:cs="Palatino Linotype"/>
          <w:b/>
          <w:sz w:val="22"/>
          <w:szCs w:val="22"/>
        </w:rPr>
        <w:t>6</w:t>
      </w:r>
      <w:r w:rsidR="006B1ACF" w:rsidRPr="00C00ACE">
        <w:rPr>
          <w:rFonts w:ascii="Palatino Linotype" w:eastAsia="Palatino Linotype" w:hAnsi="Palatino Linotype" w:cs="Palatino Linotype"/>
          <w:b/>
          <w:sz w:val="22"/>
          <w:szCs w:val="22"/>
        </w:rPr>
        <w:t>69</w:t>
      </w:r>
      <w:r w:rsidRPr="00C00ACE">
        <w:rPr>
          <w:rFonts w:ascii="Palatino Linotype" w:eastAsia="Palatino Linotype" w:hAnsi="Palatino Linotype" w:cs="Palatino Linotype"/>
          <w:b/>
          <w:sz w:val="22"/>
          <w:szCs w:val="22"/>
        </w:rPr>
        <w:t>/INFOEM/IP/RR/2024</w:t>
      </w:r>
      <w:r w:rsidRPr="00C00ACE">
        <w:rPr>
          <w:rFonts w:ascii="Palatino Linotype" w:eastAsia="Palatino Linotype" w:hAnsi="Palatino Linotype" w:cs="Palatino Linotype"/>
          <w:sz w:val="22"/>
          <w:szCs w:val="22"/>
        </w:rPr>
        <w:t>, interpuesto por</w:t>
      </w:r>
      <w:r w:rsidR="002317AF" w:rsidRPr="00C00ACE">
        <w:t xml:space="preserve"> </w:t>
      </w:r>
      <w:r w:rsidR="000B24AB">
        <w:rPr>
          <w:rFonts w:ascii="Palatino Linotype" w:eastAsia="Palatino Linotype" w:hAnsi="Palatino Linotype" w:cs="Palatino Linotype"/>
          <w:b/>
          <w:sz w:val="22"/>
          <w:szCs w:val="22"/>
        </w:rPr>
        <w:t>XXXX XXXXX</w:t>
      </w:r>
      <w:r w:rsidRPr="00C00ACE">
        <w:rPr>
          <w:rFonts w:ascii="Palatino Linotype" w:eastAsia="Palatino Linotype" w:hAnsi="Palatino Linotype" w:cs="Palatino Linotype"/>
          <w:b/>
          <w:sz w:val="22"/>
          <w:szCs w:val="22"/>
        </w:rPr>
        <w:t>,</w:t>
      </w:r>
      <w:r w:rsidRPr="00C00ACE">
        <w:rPr>
          <w:rFonts w:ascii="Palatino Linotype" w:eastAsia="Palatino Linotype" w:hAnsi="Palatino Linotype" w:cs="Palatino Linotype"/>
          <w:sz w:val="22"/>
          <w:szCs w:val="22"/>
        </w:rPr>
        <w:t xml:space="preserve"> en lo sucesivo</w:t>
      </w:r>
      <w:r w:rsidRPr="00C00ACE">
        <w:rPr>
          <w:rFonts w:ascii="Palatino Linotype" w:eastAsia="Palatino Linotype" w:hAnsi="Palatino Linotype" w:cs="Palatino Linotype"/>
          <w:b/>
          <w:sz w:val="22"/>
          <w:szCs w:val="22"/>
        </w:rPr>
        <w:t xml:space="preserve"> la parte</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b/>
          <w:sz w:val="22"/>
          <w:szCs w:val="22"/>
        </w:rPr>
        <w:t>Recurrente,</w:t>
      </w:r>
      <w:r w:rsidRPr="00C00ACE">
        <w:rPr>
          <w:rFonts w:ascii="Palatino Linotype" w:eastAsia="Palatino Linotype" w:hAnsi="Palatino Linotype" w:cs="Palatino Linotype"/>
          <w:sz w:val="22"/>
          <w:szCs w:val="22"/>
        </w:rPr>
        <w:t xml:space="preserve"> en contra de la respuesta a su solicitud por parte del</w:t>
      </w:r>
      <w:r w:rsidR="00BC59B5" w:rsidRPr="00C00ACE">
        <w:rPr>
          <w:rFonts w:ascii="Palatino Linotype" w:eastAsia="Palatino Linotype" w:hAnsi="Palatino Linotype" w:cs="Palatino Linotype"/>
          <w:b/>
          <w:sz w:val="22"/>
          <w:szCs w:val="22"/>
        </w:rPr>
        <w:t xml:space="preserve"> </w:t>
      </w:r>
      <w:r w:rsidR="006B1ACF" w:rsidRPr="00C00ACE">
        <w:rPr>
          <w:rFonts w:ascii="Palatino Linotype" w:eastAsia="Palatino Linotype" w:hAnsi="Palatino Linotype" w:cs="Palatino Linotype"/>
          <w:b/>
          <w:sz w:val="22"/>
          <w:szCs w:val="22"/>
        </w:rPr>
        <w:t>Instituto Electoral del Estado de México</w:t>
      </w:r>
      <w:r w:rsidRPr="00C00ACE">
        <w:rPr>
          <w:rFonts w:ascii="Palatino Linotype" w:eastAsia="Palatino Linotype" w:hAnsi="Palatino Linotype" w:cs="Palatino Linotype"/>
          <w:sz w:val="22"/>
          <w:szCs w:val="22"/>
        </w:rPr>
        <w:t>,</w:t>
      </w:r>
      <w:r w:rsidRPr="00C00ACE">
        <w:rPr>
          <w:rFonts w:ascii="Palatino Linotype" w:eastAsia="Palatino Linotype" w:hAnsi="Palatino Linotype" w:cs="Palatino Linotype"/>
          <w:b/>
          <w:sz w:val="22"/>
          <w:szCs w:val="22"/>
        </w:rPr>
        <w:t xml:space="preserve"> </w:t>
      </w:r>
      <w:r w:rsidRPr="00C00ACE">
        <w:rPr>
          <w:rFonts w:ascii="Palatino Linotype" w:eastAsia="Palatino Linotype" w:hAnsi="Palatino Linotype" w:cs="Palatino Linotype"/>
          <w:sz w:val="22"/>
          <w:szCs w:val="22"/>
        </w:rPr>
        <w:t xml:space="preserve">en lo sucesivo el </w:t>
      </w:r>
      <w:r w:rsidRPr="00C00ACE">
        <w:rPr>
          <w:rFonts w:ascii="Palatino Linotype" w:eastAsia="Palatino Linotype" w:hAnsi="Palatino Linotype" w:cs="Palatino Linotype"/>
          <w:b/>
          <w:sz w:val="22"/>
          <w:szCs w:val="22"/>
        </w:rPr>
        <w:t xml:space="preserve">Sujeto Obligado, </w:t>
      </w:r>
      <w:r w:rsidRPr="00C00ACE">
        <w:rPr>
          <w:rFonts w:ascii="Palatino Linotype" w:eastAsia="Palatino Linotype" w:hAnsi="Palatino Linotype" w:cs="Palatino Linotype"/>
          <w:sz w:val="22"/>
          <w:szCs w:val="22"/>
        </w:rPr>
        <w:t xml:space="preserve">se procede a dictar la presente resolución con base en los siguientes: </w:t>
      </w:r>
    </w:p>
    <w:p w14:paraId="391C1E8F" w14:textId="77777777" w:rsidR="00515A09" w:rsidRPr="00C00ACE" w:rsidRDefault="009E19E3">
      <w:pPr>
        <w:spacing w:before="240" w:after="240" w:line="360" w:lineRule="auto"/>
        <w:jc w:val="center"/>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I. A N T E C E D E N T E S</w:t>
      </w:r>
    </w:p>
    <w:p w14:paraId="06CD136B" w14:textId="77777777" w:rsidR="00515A09" w:rsidRPr="00C00ACE" w:rsidRDefault="009E19E3">
      <w:pPr>
        <w:spacing w:before="240" w:after="240"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sz w:val="22"/>
          <w:szCs w:val="22"/>
        </w:rPr>
        <w:t>1. Solicitud de acceso a la información.</w:t>
      </w:r>
      <w:r w:rsidRPr="00C00ACE">
        <w:rPr>
          <w:rFonts w:ascii="Palatino Linotype" w:eastAsia="Palatino Linotype" w:hAnsi="Palatino Linotype" w:cs="Palatino Linotype"/>
          <w:sz w:val="22"/>
          <w:szCs w:val="22"/>
        </w:rPr>
        <w:t xml:space="preserve"> El </w:t>
      </w:r>
      <w:r w:rsidR="006B1ACF" w:rsidRPr="00C00ACE">
        <w:rPr>
          <w:rFonts w:ascii="Palatino Linotype" w:eastAsia="Palatino Linotype" w:hAnsi="Palatino Linotype" w:cs="Palatino Linotype"/>
          <w:b/>
          <w:sz w:val="22"/>
          <w:szCs w:val="22"/>
        </w:rPr>
        <w:t>doce de noviembre</w:t>
      </w:r>
      <w:r w:rsidRPr="00C00ACE">
        <w:rPr>
          <w:rFonts w:ascii="Palatino Linotype" w:eastAsia="Palatino Linotype" w:hAnsi="Palatino Linotype" w:cs="Palatino Linotype"/>
          <w:b/>
          <w:sz w:val="22"/>
          <w:szCs w:val="22"/>
        </w:rPr>
        <w:t xml:space="preserve"> de dos mil veinticuatro,</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b/>
          <w:sz w:val="22"/>
          <w:szCs w:val="22"/>
        </w:rPr>
        <w:t>la parte</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b/>
          <w:sz w:val="22"/>
          <w:szCs w:val="22"/>
        </w:rPr>
        <w:t xml:space="preserve">Recurrente </w:t>
      </w:r>
      <w:r w:rsidRPr="00C00ACE">
        <w:rPr>
          <w:rFonts w:ascii="Palatino Linotype" w:eastAsia="Palatino Linotype" w:hAnsi="Palatino Linotype" w:cs="Palatino Linotype"/>
          <w:sz w:val="22"/>
          <w:szCs w:val="22"/>
        </w:rPr>
        <w:t xml:space="preserve">presentó, a través del Sistema de Acceso a la Información Mexiquense, en lo subsecuente el </w:t>
      </w:r>
      <w:r w:rsidRPr="00C00ACE">
        <w:rPr>
          <w:rFonts w:ascii="Palatino Linotype" w:eastAsia="Palatino Linotype" w:hAnsi="Palatino Linotype" w:cs="Palatino Linotype"/>
          <w:b/>
          <w:sz w:val="22"/>
          <w:szCs w:val="22"/>
        </w:rPr>
        <w:t>SAIMEX,</w:t>
      </w:r>
      <w:r w:rsidRPr="00C00ACE">
        <w:rPr>
          <w:rFonts w:ascii="Palatino Linotype" w:eastAsia="Palatino Linotype" w:hAnsi="Palatino Linotype" w:cs="Palatino Linotype"/>
          <w:sz w:val="22"/>
          <w:szCs w:val="22"/>
        </w:rPr>
        <w:t xml:space="preserve"> ante el </w:t>
      </w:r>
      <w:r w:rsidRPr="00C00ACE">
        <w:rPr>
          <w:rFonts w:ascii="Palatino Linotype" w:eastAsia="Palatino Linotype" w:hAnsi="Palatino Linotype" w:cs="Palatino Linotype"/>
          <w:b/>
          <w:sz w:val="22"/>
          <w:szCs w:val="22"/>
        </w:rPr>
        <w:t>Sujeto Obligado</w:t>
      </w:r>
      <w:r w:rsidRPr="00C00ACE">
        <w:rPr>
          <w:rFonts w:ascii="Palatino Linotype" w:eastAsia="Palatino Linotype" w:hAnsi="Palatino Linotype" w:cs="Palatino Linotype"/>
          <w:sz w:val="22"/>
          <w:szCs w:val="22"/>
        </w:rPr>
        <w:t>, la solicitud de acceso a la información pública, a la que se le asignó el número</w:t>
      </w:r>
      <w:r w:rsidR="006B1ACF" w:rsidRPr="00C00ACE">
        <w:t xml:space="preserve"> </w:t>
      </w:r>
      <w:r w:rsidR="006B1ACF" w:rsidRPr="00C00ACE">
        <w:rPr>
          <w:rFonts w:ascii="Palatino Linotype" w:eastAsia="Palatino Linotype" w:hAnsi="Palatino Linotype" w:cs="Palatino Linotype"/>
          <w:b/>
          <w:sz w:val="22"/>
          <w:szCs w:val="22"/>
        </w:rPr>
        <w:t>03521/IEEM/IP/2024</w:t>
      </w:r>
      <w:r w:rsidRPr="00C00ACE">
        <w:rPr>
          <w:rFonts w:ascii="Palatino Linotype" w:eastAsia="Palatino Linotype" w:hAnsi="Palatino Linotype" w:cs="Palatino Linotype"/>
          <w:b/>
          <w:sz w:val="22"/>
          <w:szCs w:val="22"/>
        </w:rPr>
        <w:t xml:space="preserve">, </w:t>
      </w:r>
      <w:r w:rsidRPr="00C00ACE">
        <w:rPr>
          <w:rFonts w:ascii="Palatino Linotype" w:eastAsia="Palatino Linotype" w:hAnsi="Palatino Linotype" w:cs="Palatino Linotype"/>
          <w:sz w:val="22"/>
          <w:szCs w:val="22"/>
        </w:rPr>
        <w:t xml:space="preserve">mediante la cual requirió la información siguiente: </w:t>
      </w:r>
    </w:p>
    <w:p w14:paraId="046E9D95" w14:textId="77777777" w:rsidR="00515A09" w:rsidRPr="00C00ACE" w:rsidRDefault="009E19E3">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C00ACE">
        <w:rPr>
          <w:rFonts w:ascii="Palatino Linotype" w:eastAsia="Palatino Linotype" w:hAnsi="Palatino Linotype" w:cs="Palatino Linotype"/>
          <w:i/>
          <w:sz w:val="22"/>
          <w:szCs w:val="22"/>
        </w:rPr>
        <w:t>“</w:t>
      </w:r>
      <w:r w:rsidR="006B1ACF" w:rsidRPr="00C00ACE">
        <w:rPr>
          <w:rFonts w:ascii="Palatino Linotype" w:eastAsia="Palatino Linotype" w:hAnsi="Palatino Linotype" w:cs="Palatino Linotype"/>
          <w:i/>
          <w:sz w:val="22"/>
          <w:szCs w:val="22"/>
        </w:rPr>
        <w:t>Se requiere muy atentamente, la versión pública del expediente con la clave IEEM/CG/SUBS/084/2024, toda vez que en el Oficio No. IEEM/CG/591/2024 se precisa que el expediente referido se encuentra concluido.</w:t>
      </w:r>
      <w:r w:rsidRPr="00C00ACE">
        <w:rPr>
          <w:rFonts w:ascii="Palatino Linotype" w:eastAsia="Palatino Linotype" w:hAnsi="Palatino Linotype" w:cs="Palatino Linotype"/>
          <w:i/>
          <w:sz w:val="22"/>
          <w:szCs w:val="22"/>
        </w:rPr>
        <w:t xml:space="preserve">” (Sic) </w:t>
      </w:r>
    </w:p>
    <w:p w14:paraId="22A008F7" w14:textId="77777777" w:rsidR="00515A09" w:rsidRPr="00C00ACE" w:rsidRDefault="009E19E3">
      <w:pPr>
        <w:spacing w:before="240" w:after="240" w:line="360" w:lineRule="auto"/>
        <w:ind w:right="902"/>
        <w:rPr>
          <w:rFonts w:ascii="Palatino Linotype" w:eastAsia="Palatino Linotype" w:hAnsi="Palatino Linotype" w:cs="Palatino Linotype"/>
          <w:sz w:val="22"/>
          <w:szCs w:val="22"/>
        </w:rPr>
      </w:pPr>
      <w:r w:rsidRPr="00C00ACE">
        <w:rPr>
          <w:rFonts w:ascii="Palatino Linotype" w:eastAsia="Palatino Linotype" w:hAnsi="Palatino Linotype" w:cs="Palatino Linotype"/>
          <w:b/>
          <w:sz w:val="22"/>
          <w:szCs w:val="22"/>
        </w:rPr>
        <w:t>Modalidad de Entrega:</w:t>
      </w:r>
      <w:r w:rsidRPr="00C00ACE">
        <w:rPr>
          <w:rFonts w:ascii="Palatino Linotype" w:eastAsia="Palatino Linotype" w:hAnsi="Palatino Linotype" w:cs="Palatino Linotype"/>
          <w:sz w:val="22"/>
          <w:szCs w:val="22"/>
        </w:rPr>
        <w:t xml:space="preserve"> a través </w:t>
      </w:r>
      <w:r w:rsidRPr="00C00ACE">
        <w:rPr>
          <w:rFonts w:ascii="Palatino Linotype" w:eastAsia="Palatino Linotype" w:hAnsi="Palatino Linotype" w:cs="Palatino Linotype"/>
          <w:b/>
          <w:sz w:val="22"/>
          <w:szCs w:val="22"/>
        </w:rPr>
        <w:t>de SAIMEX.</w:t>
      </w:r>
    </w:p>
    <w:p w14:paraId="7084A92B" w14:textId="77777777" w:rsidR="0052720F" w:rsidRPr="00C00ACE" w:rsidRDefault="009E19E3" w:rsidP="0052720F">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C00ACE">
        <w:rPr>
          <w:rFonts w:ascii="Palatino Linotype" w:eastAsia="Palatino Linotype" w:hAnsi="Palatino Linotype" w:cs="Palatino Linotype"/>
          <w:b/>
          <w:sz w:val="22"/>
          <w:szCs w:val="22"/>
        </w:rPr>
        <w:t xml:space="preserve">2. </w:t>
      </w:r>
      <w:r w:rsidR="0052720F" w:rsidRPr="00C00ACE">
        <w:rPr>
          <w:rFonts w:ascii="Palatino Linotype" w:eastAsia="Palatino Linotype" w:hAnsi="Palatino Linotype" w:cs="Palatino Linotype"/>
          <w:b/>
          <w:sz w:val="22"/>
          <w:szCs w:val="22"/>
        </w:rPr>
        <w:t xml:space="preserve">Prórroga. </w:t>
      </w:r>
      <w:r w:rsidR="0052720F" w:rsidRPr="00C00ACE">
        <w:rPr>
          <w:rFonts w:ascii="Palatino Linotype" w:eastAsia="Palatino Linotype" w:hAnsi="Palatino Linotype" w:cs="Palatino Linotype"/>
          <w:sz w:val="22"/>
          <w:szCs w:val="22"/>
        </w:rPr>
        <w:t xml:space="preserve">El </w:t>
      </w:r>
      <w:r w:rsidR="006B1ACF" w:rsidRPr="00C00ACE">
        <w:rPr>
          <w:rFonts w:ascii="Palatino Linotype" w:eastAsia="Palatino Linotype" w:hAnsi="Palatino Linotype" w:cs="Palatino Linotype"/>
          <w:b/>
          <w:sz w:val="22"/>
          <w:szCs w:val="22"/>
        </w:rPr>
        <w:t xml:space="preserve">dos de diciembre de </w:t>
      </w:r>
      <w:r w:rsidR="0052720F" w:rsidRPr="00C00ACE">
        <w:rPr>
          <w:rFonts w:ascii="Palatino Linotype" w:eastAsia="Palatino Linotype" w:hAnsi="Palatino Linotype" w:cs="Palatino Linotype"/>
          <w:b/>
          <w:sz w:val="22"/>
          <w:szCs w:val="22"/>
        </w:rPr>
        <w:t xml:space="preserve">dos mil veinticuatro, </w:t>
      </w:r>
      <w:r w:rsidR="0052720F" w:rsidRPr="00C00ACE">
        <w:rPr>
          <w:rFonts w:ascii="Palatino Linotype" w:eastAsia="Palatino Linotype" w:hAnsi="Palatino Linotype" w:cs="Palatino Linotype"/>
          <w:sz w:val="22"/>
          <w:szCs w:val="22"/>
        </w:rPr>
        <w:t xml:space="preserve">el </w:t>
      </w:r>
      <w:r w:rsidR="0052720F" w:rsidRPr="00C00ACE">
        <w:rPr>
          <w:rFonts w:ascii="Palatino Linotype" w:eastAsia="Palatino Linotype" w:hAnsi="Palatino Linotype" w:cs="Palatino Linotype"/>
          <w:b/>
          <w:sz w:val="22"/>
          <w:szCs w:val="22"/>
        </w:rPr>
        <w:t xml:space="preserve">Sujeto Obligado </w:t>
      </w:r>
      <w:r w:rsidR="0052720F" w:rsidRPr="00C00ACE">
        <w:rPr>
          <w:rFonts w:ascii="Palatino Linotype" w:eastAsia="Palatino Linotype" w:hAnsi="Palatino Linotype" w:cs="Palatino Linotype"/>
          <w:sz w:val="22"/>
          <w:szCs w:val="22"/>
        </w:rPr>
        <w:t xml:space="preserve">informó que el plazo de quince días hábiles para atender la solicitud de mérito fue prorrogado por siete días más en virtud de las siguientes razones: </w:t>
      </w:r>
    </w:p>
    <w:p w14:paraId="2C5AD4BA" w14:textId="77777777" w:rsidR="00B73EE8" w:rsidRPr="00C00ACE" w:rsidRDefault="0052720F" w:rsidP="00B73EE8">
      <w:pPr>
        <w:spacing w:line="276" w:lineRule="auto"/>
        <w:ind w:left="567" w:right="56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lastRenderedPageBreak/>
        <w:t>“</w:t>
      </w:r>
      <w:r w:rsidR="00B73EE8" w:rsidRPr="00C00AC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39FB205" w14:textId="77777777" w:rsidR="00B73EE8" w:rsidRPr="00C00ACE" w:rsidRDefault="00B73EE8" w:rsidP="00B73EE8">
      <w:pPr>
        <w:spacing w:line="276" w:lineRule="auto"/>
        <w:ind w:left="567" w:right="560"/>
        <w:jc w:val="both"/>
        <w:rPr>
          <w:rFonts w:ascii="Palatino Linotype" w:eastAsia="Palatino Linotype" w:hAnsi="Palatino Linotype" w:cs="Palatino Linotype"/>
          <w:i/>
          <w:sz w:val="22"/>
          <w:szCs w:val="22"/>
        </w:rPr>
      </w:pPr>
    </w:p>
    <w:p w14:paraId="107D4A7A" w14:textId="77777777" w:rsidR="0052720F" w:rsidRPr="00C00ACE" w:rsidRDefault="00B73EE8" w:rsidP="00B73EE8">
      <w:pPr>
        <w:spacing w:line="276" w:lineRule="auto"/>
        <w:ind w:left="567" w:right="56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Con fundamento en lo establecido en el artículo 163, segundo párrafo de la Ley de Transparencia y Acceso a la Información Pública del Estado de México y Municipios, se autoriza la ampliación de plazo para otorgar respuesta a la solicitud de información, de conformidad con el acuerdo aprobado por el Comité de Transparencia que se adjunta.</w:t>
      </w:r>
      <w:r w:rsidR="0052720F" w:rsidRPr="00C00ACE">
        <w:rPr>
          <w:rFonts w:ascii="Palatino Linotype" w:eastAsia="Palatino Linotype" w:hAnsi="Palatino Linotype" w:cs="Palatino Linotype"/>
          <w:i/>
          <w:sz w:val="22"/>
          <w:szCs w:val="22"/>
        </w:rPr>
        <w:t>” (Sic)</w:t>
      </w:r>
    </w:p>
    <w:p w14:paraId="319EE9F0" w14:textId="77777777" w:rsidR="0052720F" w:rsidRPr="00C00ACE" w:rsidRDefault="0052720F" w:rsidP="0052720F">
      <w:pPr>
        <w:spacing w:line="276" w:lineRule="auto"/>
        <w:ind w:left="567" w:right="560"/>
        <w:jc w:val="both"/>
        <w:rPr>
          <w:rFonts w:ascii="Palatino Linotype" w:eastAsia="Palatino Linotype" w:hAnsi="Palatino Linotype" w:cs="Palatino Linotype"/>
          <w:i/>
          <w:sz w:val="22"/>
          <w:szCs w:val="22"/>
        </w:rPr>
      </w:pPr>
    </w:p>
    <w:p w14:paraId="388157D5" w14:textId="77777777" w:rsidR="00075F35" w:rsidRPr="00C00ACE" w:rsidRDefault="0052720F" w:rsidP="0052720F">
      <w:pP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A lo anterior, el </w:t>
      </w:r>
      <w:r w:rsidRPr="00C00ACE">
        <w:rPr>
          <w:rFonts w:ascii="Palatino Linotype" w:eastAsia="Palatino Linotype" w:hAnsi="Palatino Linotype" w:cs="Palatino Linotype"/>
          <w:b/>
          <w:sz w:val="22"/>
          <w:szCs w:val="22"/>
        </w:rPr>
        <w:t xml:space="preserve">Sujeto Obligado </w:t>
      </w:r>
      <w:r w:rsidRPr="00C00ACE">
        <w:rPr>
          <w:rFonts w:ascii="Palatino Linotype" w:eastAsia="Palatino Linotype" w:hAnsi="Palatino Linotype" w:cs="Palatino Linotype"/>
          <w:sz w:val="22"/>
          <w:szCs w:val="22"/>
        </w:rPr>
        <w:t>hizo entrega del archivo electrónico denominado “</w:t>
      </w:r>
      <w:hyperlink r:id="rId8" w:tgtFrame="_blank" w:history="1">
        <w:r w:rsidR="00B73EE8" w:rsidRPr="00C00ACE">
          <w:rPr>
            <w:rStyle w:val="Hipervnculo"/>
            <w:rFonts w:ascii="Palatino Linotype" w:eastAsia="Palatino Linotype" w:hAnsi="Palatino Linotype" w:cs="Palatino Linotype"/>
            <w:b/>
            <w:bCs/>
            <w:i/>
            <w:color w:val="auto"/>
            <w:sz w:val="22"/>
            <w:szCs w:val="22"/>
            <w:u w:val="none"/>
          </w:rPr>
          <w:t>Acuerdo IEEM-CT-283-2024.pdf</w:t>
        </w:r>
      </w:hyperlink>
      <w:r w:rsidRPr="00C00ACE">
        <w:rPr>
          <w:rFonts w:ascii="Palatino Linotype" w:eastAsia="Palatino Linotype" w:hAnsi="Palatino Linotype" w:cs="Palatino Linotype"/>
          <w:sz w:val="22"/>
          <w:szCs w:val="22"/>
        </w:rPr>
        <w:t xml:space="preserve">”, que contiene el </w:t>
      </w:r>
      <w:r w:rsidR="00B73EE8" w:rsidRPr="00C00ACE">
        <w:rPr>
          <w:rFonts w:ascii="Palatino Linotype" w:eastAsia="Palatino Linotype" w:hAnsi="Palatino Linotype" w:cs="Palatino Linotype"/>
          <w:sz w:val="22"/>
          <w:szCs w:val="22"/>
        </w:rPr>
        <w:t>Acuerdo IEEM/CT/283/2024 del Comité de Transparencia emitid</w:t>
      </w:r>
      <w:r w:rsidR="00795649" w:rsidRPr="00C00ACE">
        <w:rPr>
          <w:rFonts w:ascii="Palatino Linotype" w:eastAsia="Palatino Linotype" w:hAnsi="Palatino Linotype" w:cs="Palatino Linotype"/>
          <w:sz w:val="22"/>
          <w:szCs w:val="22"/>
        </w:rPr>
        <w:t>a</w:t>
      </w:r>
      <w:r w:rsidR="00B73EE8" w:rsidRPr="00C00ACE">
        <w:rPr>
          <w:rFonts w:ascii="Palatino Linotype" w:eastAsia="Palatino Linotype" w:hAnsi="Palatino Linotype" w:cs="Palatino Linotype"/>
          <w:sz w:val="22"/>
          <w:szCs w:val="22"/>
        </w:rPr>
        <w:t xml:space="preserve"> en la Vigésima Cuarta Sesión Extraordinaria celebrada el 20 de </w:t>
      </w:r>
      <w:r w:rsidRPr="00C00ACE">
        <w:rPr>
          <w:rFonts w:ascii="Palatino Linotype" w:eastAsia="Palatino Linotype" w:hAnsi="Palatino Linotype" w:cs="Palatino Linotype"/>
          <w:sz w:val="22"/>
          <w:szCs w:val="22"/>
        </w:rPr>
        <w:t>noviembre</w:t>
      </w:r>
      <w:r w:rsidR="00075F35" w:rsidRPr="00C00ACE">
        <w:rPr>
          <w:rFonts w:ascii="Palatino Linotype" w:eastAsia="Palatino Linotype" w:hAnsi="Palatino Linotype" w:cs="Palatino Linotype"/>
          <w:sz w:val="22"/>
          <w:szCs w:val="22"/>
        </w:rPr>
        <w:t xml:space="preserve"> de 2024, a través del cual, entre otras circunstancias, se aprobó la ampliación del plazo por siete días hábiles para dar atención, entre otra, a la solicitud de información de nuestra atención</w:t>
      </w:r>
      <w:r w:rsidR="00A814A7" w:rsidRPr="00C00ACE">
        <w:rPr>
          <w:rFonts w:ascii="Palatino Linotype" w:eastAsia="Palatino Linotype" w:hAnsi="Palatino Linotype" w:cs="Palatino Linotype"/>
          <w:sz w:val="22"/>
          <w:szCs w:val="22"/>
        </w:rPr>
        <w:t>, de acuerdo a lo previsto en el artículo 163, segundo párrafo de la Ley de Transparencia y Acceso a la Información Pública del Estado de México y Municipios.</w:t>
      </w:r>
    </w:p>
    <w:p w14:paraId="55135055" w14:textId="77777777" w:rsidR="00075F35" w:rsidRPr="00C00ACE" w:rsidRDefault="00075F35" w:rsidP="0052720F">
      <w:pPr>
        <w:spacing w:line="360" w:lineRule="auto"/>
        <w:ind w:right="49"/>
        <w:jc w:val="both"/>
        <w:rPr>
          <w:rFonts w:ascii="Palatino Linotype" w:eastAsia="Palatino Linotype" w:hAnsi="Palatino Linotype" w:cs="Palatino Linotype"/>
          <w:sz w:val="22"/>
          <w:szCs w:val="22"/>
        </w:rPr>
      </w:pPr>
    </w:p>
    <w:p w14:paraId="60FDB16E" w14:textId="77777777" w:rsidR="0052720F" w:rsidRPr="00C00ACE" w:rsidRDefault="0052720F" w:rsidP="0052720F">
      <w:pP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De esta manera, como refiere el </w:t>
      </w:r>
      <w:r w:rsidRPr="00C00ACE">
        <w:rPr>
          <w:rFonts w:ascii="Palatino Linotype" w:eastAsia="Palatino Linotype" w:hAnsi="Palatino Linotype" w:cs="Palatino Linotype"/>
          <w:b/>
          <w:sz w:val="22"/>
          <w:szCs w:val="22"/>
        </w:rPr>
        <w:t>Sujeto Obligado</w:t>
      </w:r>
      <w:r w:rsidRPr="00C00ACE">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C00ACE">
        <w:rPr>
          <w:rFonts w:ascii="Palatino Linotype" w:eastAsia="Palatino Linotype" w:hAnsi="Palatino Linotype" w:cs="Palatino Linotype"/>
          <w:b/>
          <w:sz w:val="22"/>
          <w:szCs w:val="22"/>
        </w:rPr>
        <w:t>SI se observaron las formalidades que establece la Ley de la materia</w:t>
      </w:r>
      <w:r w:rsidRPr="00C00ACE">
        <w:rPr>
          <w:rFonts w:ascii="Palatino Linotype" w:eastAsia="Palatino Linotype" w:hAnsi="Palatino Linotype" w:cs="Palatino Linotype"/>
          <w:sz w:val="22"/>
          <w:szCs w:val="22"/>
        </w:rPr>
        <w:t xml:space="preserve">, pues se anexó el Acta que contiene el Acuerdo del Comité de Transparencia de dicho ente </w:t>
      </w:r>
      <w:r w:rsidRPr="00C00ACE">
        <w:rPr>
          <w:rFonts w:ascii="Palatino Linotype" w:eastAsia="Palatino Linotype" w:hAnsi="Palatino Linotype" w:cs="Palatino Linotype"/>
          <w:sz w:val="22"/>
          <w:szCs w:val="22"/>
        </w:rPr>
        <w:lastRenderedPageBreak/>
        <w:t>público, mediante el cual se aprobara la ampliación del plazo para dar atención a la solicitud de información.</w:t>
      </w:r>
    </w:p>
    <w:p w14:paraId="7F8CC005" w14:textId="77777777" w:rsidR="00515A09" w:rsidRPr="00C00ACE" w:rsidRDefault="0052720F">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 xml:space="preserve">3. </w:t>
      </w:r>
      <w:r w:rsidR="009E19E3" w:rsidRPr="00C00ACE">
        <w:rPr>
          <w:rFonts w:ascii="Palatino Linotype" w:eastAsia="Palatino Linotype" w:hAnsi="Palatino Linotype" w:cs="Palatino Linotype"/>
          <w:b/>
          <w:sz w:val="22"/>
          <w:szCs w:val="22"/>
        </w:rPr>
        <w:t xml:space="preserve">Respuesta. </w:t>
      </w:r>
      <w:r w:rsidR="009E19E3" w:rsidRPr="00C00ACE">
        <w:rPr>
          <w:rFonts w:ascii="Palatino Linotype" w:eastAsia="Palatino Linotype" w:hAnsi="Palatino Linotype" w:cs="Palatino Linotype"/>
          <w:sz w:val="22"/>
          <w:szCs w:val="22"/>
        </w:rPr>
        <w:t xml:space="preserve">El </w:t>
      </w:r>
      <w:r w:rsidR="00A814A7" w:rsidRPr="00C00ACE">
        <w:rPr>
          <w:rFonts w:ascii="Palatino Linotype" w:eastAsia="Palatino Linotype" w:hAnsi="Palatino Linotype" w:cs="Palatino Linotype"/>
          <w:b/>
          <w:sz w:val="22"/>
          <w:szCs w:val="22"/>
        </w:rPr>
        <w:t>trece de diciembre</w:t>
      </w:r>
      <w:r w:rsidR="009E19E3" w:rsidRPr="00C00ACE">
        <w:rPr>
          <w:rFonts w:ascii="Palatino Linotype" w:eastAsia="Palatino Linotype" w:hAnsi="Palatino Linotype" w:cs="Palatino Linotype"/>
          <w:b/>
          <w:sz w:val="22"/>
          <w:szCs w:val="22"/>
        </w:rPr>
        <w:t xml:space="preserve"> de dos mil veinticuatro</w:t>
      </w:r>
      <w:r w:rsidR="009E19E3" w:rsidRPr="00C00ACE">
        <w:rPr>
          <w:rFonts w:ascii="Palatino Linotype" w:eastAsia="Palatino Linotype" w:hAnsi="Palatino Linotype" w:cs="Palatino Linotype"/>
          <w:sz w:val="22"/>
          <w:szCs w:val="22"/>
        </w:rPr>
        <w:t xml:space="preserve">, el </w:t>
      </w:r>
      <w:r w:rsidR="009E19E3" w:rsidRPr="00C00ACE">
        <w:rPr>
          <w:rFonts w:ascii="Palatino Linotype" w:eastAsia="Palatino Linotype" w:hAnsi="Palatino Linotype" w:cs="Palatino Linotype"/>
          <w:b/>
          <w:sz w:val="22"/>
          <w:szCs w:val="22"/>
        </w:rPr>
        <w:t xml:space="preserve">Sujeto Obligado </w:t>
      </w:r>
      <w:r w:rsidR="009E19E3" w:rsidRPr="00C00ACE">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55AF71B5" w14:textId="77777777" w:rsidR="00515A09" w:rsidRPr="00C00ACE" w:rsidRDefault="009E19E3" w:rsidP="006350E6">
      <w:pPr>
        <w:spacing w:before="240" w:after="240"/>
        <w:ind w:left="567" w:right="902"/>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r w:rsidR="00A814A7" w:rsidRPr="00C00ACE">
        <w:rPr>
          <w:rFonts w:ascii="Palatino Linotype" w:eastAsia="Palatino Linotype" w:hAnsi="Palatino Linotype" w:cs="Palatino Linotype"/>
          <w:i/>
          <w:sz w:val="22"/>
          <w:szCs w:val="22"/>
        </w:rPr>
        <w:t>Se adjunta respuesta a su solicitud de información.</w:t>
      </w:r>
      <w:r w:rsidRPr="00C00ACE">
        <w:rPr>
          <w:rFonts w:ascii="Palatino Linotype" w:eastAsia="Palatino Linotype" w:hAnsi="Palatino Linotype" w:cs="Palatino Linotype"/>
          <w:i/>
          <w:sz w:val="22"/>
          <w:szCs w:val="22"/>
        </w:rPr>
        <w:t>” (Sic)</w:t>
      </w:r>
      <w:r w:rsidRPr="00C00ACE">
        <w:rPr>
          <w:rFonts w:ascii="Palatino Linotype" w:eastAsia="Palatino Linotype" w:hAnsi="Palatino Linotype" w:cs="Palatino Linotype"/>
          <w:b/>
          <w:sz w:val="22"/>
          <w:szCs w:val="22"/>
          <w:u w:val="single"/>
        </w:rPr>
        <w:t xml:space="preserve"> </w:t>
      </w:r>
    </w:p>
    <w:p w14:paraId="46AA0A30" w14:textId="77777777" w:rsidR="00515A09" w:rsidRPr="00C00ACE" w:rsidRDefault="00BC59B5" w:rsidP="00BC59B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Adjunto a la respuesta, el </w:t>
      </w:r>
      <w:r w:rsidRPr="00C00ACE">
        <w:rPr>
          <w:rFonts w:ascii="Palatino Linotype" w:eastAsia="Palatino Linotype" w:hAnsi="Palatino Linotype" w:cs="Palatino Linotype"/>
          <w:b/>
          <w:sz w:val="22"/>
          <w:szCs w:val="22"/>
        </w:rPr>
        <w:t xml:space="preserve">Sujeto Obligado </w:t>
      </w:r>
      <w:r w:rsidRPr="00C00ACE">
        <w:rPr>
          <w:rFonts w:ascii="Palatino Linotype" w:eastAsia="Palatino Linotype" w:hAnsi="Palatino Linotype" w:cs="Palatino Linotype"/>
          <w:sz w:val="22"/>
          <w:szCs w:val="22"/>
        </w:rPr>
        <w:t>hizo entrega de los siguientes archivos electrónicos con la siguiente información:</w:t>
      </w:r>
    </w:p>
    <w:p w14:paraId="0455C0B0" w14:textId="77777777" w:rsidR="00BC59B5" w:rsidRPr="00C00ACE" w:rsidRDefault="00BC59B5">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68CDCCF8" w14:textId="77777777" w:rsidR="00A814A7" w:rsidRPr="00C00ACE" w:rsidRDefault="00A814A7" w:rsidP="00A814A7">
      <w:pPr>
        <w:pStyle w:val="Prrafodelista"/>
        <w:numPr>
          <w:ilvl w:val="0"/>
          <w:numId w:val="2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 xml:space="preserve">OFICIO RESPUESTA 3522-2024 UT.pdf: </w:t>
      </w:r>
      <w:r w:rsidRPr="00C00ACE">
        <w:rPr>
          <w:rFonts w:ascii="Palatino Linotype" w:eastAsia="Palatino Linotype" w:hAnsi="Palatino Linotype" w:cs="Palatino Linotype"/>
          <w:sz w:val="22"/>
          <w:szCs w:val="22"/>
        </w:rPr>
        <w:t xml:space="preserve">Oficio del 13 de diciembre de 2024, a través del cual la </w:t>
      </w:r>
      <w:proofErr w:type="gramStart"/>
      <w:r w:rsidRPr="00C00ACE">
        <w:rPr>
          <w:rFonts w:ascii="Palatino Linotype" w:eastAsia="Palatino Linotype" w:hAnsi="Palatino Linotype" w:cs="Palatino Linotype"/>
          <w:sz w:val="22"/>
          <w:szCs w:val="22"/>
        </w:rPr>
        <w:t>Jefa</w:t>
      </w:r>
      <w:proofErr w:type="gramEnd"/>
      <w:r w:rsidRPr="00C00ACE">
        <w:rPr>
          <w:rFonts w:ascii="Palatino Linotype" w:eastAsia="Palatino Linotype" w:hAnsi="Palatino Linotype" w:cs="Palatino Linotype"/>
          <w:sz w:val="22"/>
          <w:szCs w:val="22"/>
        </w:rPr>
        <w:t xml:space="preserve"> de la Unidad de Transparencia hizo del conocimiento de la persona solicitante que, con relación a una diversa solicitud de información se adjuntaba copia digitalizada del oficio emitido por la persona servidora pública de la Contraloría General en la cual se detallaba lo referente a lo requerido.</w:t>
      </w:r>
    </w:p>
    <w:p w14:paraId="3A3D264D" w14:textId="77777777" w:rsidR="00A814A7" w:rsidRPr="00C00ACE" w:rsidRDefault="00A814A7" w:rsidP="00A814A7">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56F33A81" w14:textId="77777777" w:rsidR="00A814A7" w:rsidRPr="00C00ACE" w:rsidRDefault="00A814A7" w:rsidP="00A814A7">
      <w:pPr>
        <w:pStyle w:val="Prrafodelista"/>
        <w:numPr>
          <w:ilvl w:val="0"/>
          <w:numId w:val="2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solicitud 3522.zip:</w:t>
      </w:r>
      <w:r w:rsidR="000263D9" w:rsidRPr="00C00ACE">
        <w:rPr>
          <w:rFonts w:ascii="Palatino Linotype" w:eastAsia="Palatino Linotype" w:hAnsi="Palatino Linotype" w:cs="Palatino Linotype"/>
          <w:b/>
          <w:i/>
          <w:sz w:val="22"/>
          <w:szCs w:val="22"/>
        </w:rPr>
        <w:t xml:space="preserve"> </w:t>
      </w:r>
      <w:r w:rsidR="000263D9" w:rsidRPr="00C00ACE">
        <w:rPr>
          <w:rFonts w:ascii="Palatino Linotype" w:eastAsia="Palatino Linotype" w:hAnsi="Palatino Linotype" w:cs="Palatino Linotype"/>
          <w:sz w:val="22"/>
          <w:szCs w:val="22"/>
        </w:rPr>
        <w:t>Carpeta comprimida en formato zip que contiene los siguientes documentos:</w:t>
      </w:r>
    </w:p>
    <w:p w14:paraId="4C183B3B" w14:textId="77777777" w:rsidR="000263D9" w:rsidRPr="00C00ACE" w:rsidRDefault="000263D9" w:rsidP="000263D9">
      <w:pPr>
        <w:pStyle w:val="Prrafodelista"/>
        <w:rPr>
          <w:rFonts w:ascii="Palatino Linotype" w:eastAsia="Palatino Linotype" w:hAnsi="Palatino Linotype" w:cs="Palatino Linotype"/>
          <w:b/>
          <w:i/>
          <w:sz w:val="22"/>
          <w:szCs w:val="22"/>
        </w:rPr>
      </w:pPr>
    </w:p>
    <w:p w14:paraId="58A53481" w14:textId="77777777" w:rsidR="00A378BF" w:rsidRPr="00C00ACE" w:rsidRDefault="000263D9" w:rsidP="000263D9">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i/>
          <w:sz w:val="22"/>
          <w:szCs w:val="22"/>
        </w:rPr>
        <w:t>IEEM-CG-662-2024.pdf</w:t>
      </w:r>
      <w:r w:rsidRPr="00C00ACE">
        <w:rPr>
          <w:rFonts w:ascii="Palatino Linotype" w:eastAsia="Palatino Linotype" w:hAnsi="Palatino Linotype" w:cs="Palatino Linotype"/>
          <w:b/>
          <w:sz w:val="22"/>
          <w:szCs w:val="22"/>
        </w:rPr>
        <w:t xml:space="preserve">: </w:t>
      </w:r>
      <w:r w:rsidR="00D00B80" w:rsidRPr="00C00ACE">
        <w:rPr>
          <w:rFonts w:ascii="Palatino Linotype" w:eastAsia="Palatino Linotype" w:hAnsi="Palatino Linotype" w:cs="Palatino Linotype"/>
          <w:sz w:val="22"/>
          <w:szCs w:val="22"/>
        </w:rPr>
        <w:t>Oficio IEEM/CG/662/2024 del 13 de diciembre de 2024, a través del cual la servidora pública habilitada de la Contraloría General</w:t>
      </w:r>
      <w:r w:rsidR="00A378BF" w:rsidRPr="00C00ACE">
        <w:rPr>
          <w:rFonts w:ascii="Palatino Linotype" w:eastAsia="Palatino Linotype" w:hAnsi="Palatino Linotype" w:cs="Palatino Linotype"/>
          <w:sz w:val="22"/>
          <w:szCs w:val="22"/>
        </w:rPr>
        <w:t xml:space="preserve">, con relación a la información requerida el expediente requerido y sus anexos se entregaba en versión  pública, </w:t>
      </w:r>
      <w:r w:rsidR="00933240" w:rsidRPr="00C00ACE">
        <w:rPr>
          <w:rFonts w:ascii="Palatino Linotype" w:eastAsia="Palatino Linotype" w:hAnsi="Palatino Linotype" w:cs="Palatino Linotype"/>
          <w:sz w:val="22"/>
          <w:szCs w:val="22"/>
        </w:rPr>
        <w:t xml:space="preserve">haciendo la precisión que </w:t>
      </w:r>
      <w:r w:rsidR="00A378BF" w:rsidRPr="00C00ACE">
        <w:rPr>
          <w:rFonts w:ascii="Palatino Linotype" w:eastAsia="Palatino Linotype" w:hAnsi="Palatino Linotype" w:cs="Palatino Linotype"/>
          <w:sz w:val="22"/>
          <w:szCs w:val="22"/>
        </w:rPr>
        <w:t>la información entreg</w:t>
      </w:r>
      <w:r w:rsidR="00933240" w:rsidRPr="00C00ACE">
        <w:rPr>
          <w:rFonts w:ascii="Palatino Linotype" w:eastAsia="Palatino Linotype" w:hAnsi="Palatino Linotype" w:cs="Palatino Linotype"/>
          <w:sz w:val="22"/>
          <w:szCs w:val="22"/>
        </w:rPr>
        <w:t>ad</w:t>
      </w:r>
      <w:r w:rsidR="00A378BF" w:rsidRPr="00C00ACE">
        <w:rPr>
          <w:rFonts w:ascii="Palatino Linotype" w:eastAsia="Palatino Linotype" w:hAnsi="Palatino Linotype" w:cs="Palatino Linotype"/>
          <w:sz w:val="22"/>
          <w:szCs w:val="22"/>
        </w:rPr>
        <w:t>a</w:t>
      </w:r>
      <w:r w:rsidR="00933240" w:rsidRPr="00C00ACE">
        <w:rPr>
          <w:rFonts w:ascii="Palatino Linotype" w:eastAsia="Palatino Linotype" w:hAnsi="Palatino Linotype" w:cs="Palatino Linotype"/>
          <w:sz w:val="22"/>
          <w:szCs w:val="22"/>
        </w:rPr>
        <w:t xml:space="preserve"> contiene datos de servidores públicos como correos electrónicos y domicilios institucionales en cumplimiento de funciones y/o atribuciones que participan como partes en los procedimientos, la cual no se consideró como información confidencial</w:t>
      </w:r>
      <w:r w:rsidR="00B67489" w:rsidRPr="00C00ACE">
        <w:rPr>
          <w:rFonts w:ascii="Palatino Linotype" w:eastAsia="Palatino Linotype" w:hAnsi="Palatino Linotype" w:cs="Palatino Linotype"/>
          <w:sz w:val="22"/>
          <w:szCs w:val="22"/>
        </w:rPr>
        <w:t>, de conformidad con</w:t>
      </w:r>
      <w:r w:rsidR="00795649" w:rsidRPr="00C00ACE">
        <w:rPr>
          <w:rFonts w:ascii="Palatino Linotype" w:eastAsia="Palatino Linotype" w:hAnsi="Palatino Linotype" w:cs="Palatino Linotype"/>
          <w:sz w:val="22"/>
          <w:szCs w:val="22"/>
        </w:rPr>
        <w:t xml:space="preserve">, entre otros, el artículo 143, tercer párrafo de la Ley de Transparencia Local. </w:t>
      </w:r>
    </w:p>
    <w:p w14:paraId="54DC0C2F" w14:textId="77777777" w:rsidR="00A378BF" w:rsidRPr="00C00ACE" w:rsidRDefault="00A378BF" w:rsidP="00A378BF">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18CC4051" w14:textId="77777777" w:rsidR="000263D9" w:rsidRPr="00C00ACE" w:rsidRDefault="000263D9" w:rsidP="000263D9">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i/>
          <w:sz w:val="22"/>
          <w:szCs w:val="22"/>
        </w:rPr>
        <w:t>Acuerdo IEEM-CT-302-2024-1</w:t>
      </w:r>
      <w:r w:rsidRPr="00C00ACE">
        <w:rPr>
          <w:rFonts w:ascii="Palatino Linotype" w:eastAsia="Palatino Linotype" w:hAnsi="Palatino Linotype" w:cs="Palatino Linotype"/>
          <w:b/>
          <w:sz w:val="22"/>
          <w:szCs w:val="22"/>
        </w:rPr>
        <w:t xml:space="preserve">: </w:t>
      </w:r>
      <w:r w:rsidR="00795649" w:rsidRPr="00C00ACE">
        <w:rPr>
          <w:rFonts w:ascii="Palatino Linotype" w:eastAsia="Palatino Linotype" w:hAnsi="Palatino Linotype" w:cs="Palatino Linotype"/>
          <w:sz w:val="22"/>
          <w:szCs w:val="22"/>
        </w:rPr>
        <w:t xml:space="preserve">Acuerdo IEEM/CT/302/2024 del Comité de Transparencia emitida en la Vigésima Quinta Sesión Extraordinaria celebrada el 03 </w:t>
      </w:r>
      <w:r w:rsidR="00795649" w:rsidRPr="00C00ACE">
        <w:rPr>
          <w:rFonts w:ascii="Palatino Linotype" w:eastAsia="Palatino Linotype" w:hAnsi="Palatino Linotype" w:cs="Palatino Linotype"/>
          <w:sz w:val="22"/>
          <w:szCs w:val="22"/>
        </w:rPr>
        <w:lastRenderedPageBreak/>
        <w:t>de diciembre de 2024, a través del cual, entre otras circunstancias, se confirmó la clasificación de información como confidencial respecto de los datos personales contenidos en la información para dar respuesta, entre otra, a la solicitud información de nuestra atención.</w:t>
      </w:r>
    </w:p>
    <w:p w14:paraId="6ECC23B6" w14:textId="77777777" w:rsidR="00795649" w:rsidRPr="00C00ACE" w:rsidRDefault="00795649" w:rsidP="00795649">
      <w:pPr>
        <w:pStyle w:val="Prrafodelista"/>
        <w:rPr>
          <w:rFonts w:ascii="Palatino Linotype" w:eastAsia="Palatino Linotype" w:hAnsi="Palatino Linotype" w:cs="Palatino Linotype"/>
          <w:b/>
          <w:sz w:val="22"/>
          <w:szCs w:val="22"/>
        </w:rPr>
      </w:pPr>
    </w:p>
    <w:p w14:paraId="2882F77A" w14:textId="77777777" w:rsidR="00795649" w:rsidRPr="00C00ACE" w:rsidRDefault="00795649" w:rsidP="001C537C">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i/>
          <w:sz w:val="22"/>
          <w:szCs w:val="22"/>
        </w:rPr>
        <w:t>VP IEEM-CG-SUBS-072-2024 TI_optimize.</w:t>
      </w:r>
      <w:r w:rsidR="004755BE" w:rsidRPr="00C00ACE">
        <w:rPr>
          <w:rFonts w:ascii="Palatino Linotype" w:eastAsia="Palatino Linotype" w:hAnsi="Palatino Linotype" w:cs="Palatino Linotype"/>
          <w:b/>
          <w:i/>
          <w:sz w:val="22"/>
          <w:szCs w:val="22"/>
        </w:rPr>
        <w:t>pdf</w:t>
      </w:r>
      <w:r w:rsidR="004755BE" w:rsidRPr="00C00ACE">
        <w:rPr>
          <w:rFonts w:ascii="Palatino Linotype" w:eastAsia="Palatino Linotype" w:hAnsi="Palatino Linotype" w:cs="Palatino Linotype"/>
          <w:b/>
          <w:sz w:val="22"/>
          <w:szCs w:val="22"/>
        </w:rPr>
        <w:t xml:space="preserve">: </w:t>
      </w:r>
      <w:r w:rsidR="004755BE" w:rsidRPr="00C00ACE">
        <w:rPr>
          <w:rFonts w:ascii="Palatino Linotype" w:eastAsia="Palatino Linotype" w:hAnsi="Palatino Linotype" w:cs="Palatino Linotype"/>
          <w:sz w:val="22"/>
          <w:szCs w:val="22"/>
        </w:rPr>
        <w:t>Documento que contiene 401 fojas</w:t>
      </w:r>
      <w:r w:rsidR="001C537C" w:rsidRPr="00C00ACE">
        <w:rPr>
          <w:rFonts w:ascii="Palatino Linotype" w:eastAsia="Palatino Linotype" w:hAnsi="Palatino Linotype" w:cs="Palatino Linotype"/>
          <w:sz w:val="22"/>
          <w:szCs w:val="22"/>
        </w:rPr>
        <w:t>; de la foja 1 a la 157 corresponden a</w:t>
      </w:r>
      <w:r w:rsidR="004755BE" w:rsidRPr="00C00ACE">
        <w:rPr>
          <w:rFonts w:ascii="Palatino Linotype" w:eastAsia="Palatino Linotype" w:hAnsi="Palatino Linotype" w:cs="Palatino Linotype"/>
          <w:sz w:val="22"/>
          <w:szCs w:val="22"/>
        </w:rPr>
        <w:t xml:space="preserve"> constancias </w:t>
      </w:r>
      <w:r w:rsidR="001C537C" w:rsidRPr="00C00ACE">
        <w:rPr>
          <w:rFonts w:ascii="Palatino Linotype" w:eastAsia="Palatino Linotype" w:hAnsi="Palatino Linotype" w:cs="Palatino Linotype"/>
          <w:sz w:val="22"/>
          <w:szCs w:val="22"/>
        </w:rPr>
        <w:t xml:space="preserve">en versión pública </w:t>
      </w:r>
      <w:r w:rsidR="004755BE" w:rsidRPr="00C00ACE">
        <w:rPr>
          <w:rFonts w:ascii="Palatino Linotype" w:eastAsia="Palatino Linotype" w:hAnsi="Palatino Linotype" w:cs="Palatino Linotype"/>
          <w:sz w:val="22"/>
          <w:szCs w:val="22"/>
        </w:rPr>
        <w:t xml:space="preserve">que obran en el Tomo I del expediente de substanciación número IEEM/CG/SUBS/072/2024 </w:t>
      </w:r>
      <w:proofErr w:type="spellStart"/>
      <w:r w:rsidR="001C537C" w:rsidRPr="00C00ACE">
        <w:rPr>
          <w:rFonts w:ascii="Palatino Linotype" w:eastAsia="Palatino Linotype" w:hAnsi="Palatino Linotype" w:cs="Palatino Linotype"/>
          <w:sz w:val="22"/>
          <w:szCs w:val="22"/>
        </w:rPr>
        <w:t>aperturado</w:t>
      </w:r>
      <w:proofErr w:type="spellEnd"/>
      <w:r w:rsidR="001C537C" w:rsidRPr="00C00ACE">
        <w:rPr>
          <w:rFonts w:ascii="Palatino Linotype" w:eastAsia="Palatino Linotype" w:hAnsi="Palatino Linotype" w:cs="Palatino Linotype"/>
          <w:sz w:val="22"/>
          <w:szCs w:val="22"/>
        </w:rPr>
        <w:t xml:space="preserve"> en la Contraloría General</w:t>
      </w:r>
      <w:r w:rsidR="002D05BB" w:rsidRPr="00C00ACE">
        <w:rPr>
          <w:rFonts w:ascii="Palatino Linotype" w:eastAsia="Palatino Linotype" w:hAnsi="Palatino Linotype" w:cs="Palatino Linotype"/>
          <w:sz w:val="22"/>
          <w:szCs w:val="22"/>
        </w:rPr>
        <w:t xml:space="preserve">, en la </w:t>
      </w:r>
      <w:proofErr w:type="spellStart"/>
      <w:r w:rsidR="002D05BB" w:rsidRPr="00C00ACE">
        <w:rPr>
          <w:rFonts w:ascii="Palatino Linotype" w:eastAsia="Palatino Linotype" w:hAnsi="Palatino Linotype" w:cs="Palatino Linotype"/>
          <w:sz w:val="22"/>
          <w:szCs w:val="22"/>
        </w:rPr>
        <w:t>Subcontraloría</w:t>
      </w:r>
      <w:proofErr w:type="spellEnd"/>
      <w:r w:rsidR="002D05BB" w:rsidRPr="00C00ACE">
        <w:rPr>
          <w:rFonts w:ascii="Palatino Linotype" w:eastAsia="Palatino Linotype" w:hAnsi="Palatino Linotype" w:cs="Palatino Linotype"/>
          <w:sz w:val="22"/>
          <w:szCs w:val="22"/>
        </w:rPr>
        <w:t xml:space="preserve"> de Substanciación,</w:t>
      </w:r>
      <w:r w:rsidR="001C537C" w:rsidRPr="00C00ACE">
        <w:rPr>
          <w:rFonts w:ascii="Palatino Linotype" w:eastAsia="Palatino Linotype" w:hAnsi="Palatino Linotype" w:cs="Palatino Linotype"/>
          <w:sz w:val="22"/>
          <w:szCs w:val="22"/>
        </w:rPr>
        <w:t xml:space="preserve"> por </w:t>
      </w:r>
      <w:r w:rsidR="004755BE" w:rsidRPr="00C00ACE">
        <w:rPr>
          <w:rFonts w:ascii="Palatino Linotype" w:eastAsia="Palatino Linotype" w:hAnsi="Palatino Linotype" w:cs="Palatino Linotype"/>
          <w:sz w:val="22"/>
          <w:szCs w:val="22"/>
        </w:rPr>
        <w:t xml:space="preserve">presunta responsabilidad administrativa </w:t>
      </w:r>
      <w:r w:rsidR="001C537C" w:rsidRPr="00C00ACE">
        <w:rPr>
          <w:rFonts w:ascii="Palatino Linotype" w:eastAsia="Palatino Linotype" w:hAnsi="Palatino Linotype" w:cs="Palatino Linotype"/>
          <w:sz w:val="22"/>
          <w:szCs w:val="22"/>
        </w:rPr>
        <w:t xml:space="preserve">no grave </w:t>
      </w:r>
      <w:r w:rsidR="00825D26" w:rsidRPr="00C00ACE">
        <w:rPr>
          <w:rFonts w:ascii="Palatino Linotype" w:eastAsia="Palatino Linotype" w:hAnsi="Palatino Linotype" w:cs="Palatino Linotype"/>
          <w:sz w:val="22"/>
          <w:szCs w:val="22"/>
        </w:rPr>
        <w:t>consistente en “</w:t>
      </w:r>
      <w:r w:rsidR="00825D26"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00825D26" w:rsidRPr="00C00ACE">
        <w:rPr>
          <w:rFonts w:ascii="Palatino Linotype" w:eastAsia="Palatino Linotype" w:hAnsi="Palatino Linotype" w:cs="Palatino Linotype"/>
          <w:sz w:val="22"/>
          <w:szCs w:val="22"/>
        </w:rPr>
        <w:t>”</w:t>
      </w:r>
      <w:r w:rsidR="004755BE" w:rsidRPr="00C00ACE">
        <w:rPr>
          <w:rFonts w:ascii="Palatino Linotype" w:eastAsia="Palatino Linotype" w:hAnsi="Palatino Linotype" w:cs="Palatino Linotype"/>
          <w:sz w:val="22"/>
          <w:szCs w:val="22"/>
        </w:rPr>
        <w:t xml:space="preserve">cometida por diversos </w:t>
      </w:r>
      <w:r w:rsidR="005D55C6" w:rsidRPr="00C00ACE">
        <w:rPr>
          <w:rFonts w:ascii="Palatino Linotype" w:eastAsia="Palatino Linotype" w:hAnsi="Palatino Linotype" w:cs="Palatino Linotype"/>
          <w:sz w:val="22"/>
          <w:szCs w:val="22"/>
        </w:rPr>
        <w:t xml:space="preserve">ex </w:t>
      </w:r>
      <w:r w:rsidR="004755BE" w:rsidRPr="00C00ACE">
        <w:rPr>
          <w:rFonts w:ascii="Palatino Linotype" w:eastAsia="Palatino Linotype" w:hAnsi="Palatino Linotype" w:cs="Palatino Linotype"/>
          <w:sz w:val="22"/>
          <w:szCs w:val="22"/>
        </w:rPr>
        <w:t>servidores públicos</w:t>
      </w:r>
      <w:r w:rsidR="002D05BB" w:rsidRPr="00C00ACE">
        <w:rPr>
          <w:rFonts w:ascii="Palatino Linotype" w:eastAsia="Palatino Linotype" w:hAnsi="Palatino Linotype" w:cs="Palatino Linotype"/>
          <w:sz w:val="22"/>
          <w:szCs w:val="22"/>
        </w:rPr>
        <w:t>; consistentes en:</w:t>
      </w:r>
      <w:r w:rsidR="001C537C" w:rsidRPr="00C00ACE">
        <w:rPr>
          <w:rFonts w:ascii="Palatino Linotype" w:eastAsia="Palatino Linotype" w:hAnsi="Palatino Linotype" w:cs="Palatino Linotype"/>
          <w:sz w:val="22"/>
          <w:szCs w:val="22"/>
        </w:rPr>
        <w:t xml:space="preserve"> Oficio donde se remite el Informe de Presunta Responsabilidad Administrativa del 18 de abril de 2024; e Informe de Presunta Responsabilidad Administrativa; de la foja 158 a </w:t>
      </w:r>
      <w:r w:rsidR="005644F6" w:rsidRPr="00C00ACE">
        <w:rPr>
          <w:rFonts w:ascii="Palatino Linotype" w:eastAsia="Palatino Linotype" w:hAnsi="Palatino Linotype" w:cs="Palatino Linotype"/>
          <w:sz w:val="22"/>
          <w:szCs w:val="22"/>
        </w:rPr>
        <w:t xml:space="preserve">394 </w:t>
      </w:r>
      <w:r w:rsidR="001C537C" w:rsidRPr="00C00ACE">
        <w:rPr>
          <w:rFonts w:ascii="Palatino Linotype" w:eastAsia="Palatino Linotype" w:hAnsi="Palatino Linotype" w:cs="Palatino Linotype"/>
          <w:sz w:val="22"/>
          <w:szCs w:val="22"/>
        </w:rPr>
        <w:t xml:space="preserve">las constancias en versión pública del expediente de investigación número IEEM/CG/INV/OF/068/2023, consistentes </w:t>
      </w:r>
      <w:r w:rsidR="00664C52" w:rsidRPr="00C00ACE">
        <w:rPr>
          <w:rFonts w:ascii="Palatino Linotype" w:eastAsia="Palatino Linotype" w:hAnsi="Palatino Linotype" w:cs="Palatino Linotype"/>
          <w:sz w:val="22"/>
          <w:szCs w:val="22"/>
        </w:rPr>
        <w:t>en:</w:t>
      </w:r>
      <w:r w:rsidR="001C537C" w:rsidRPr="00C00ACE">
        <w:rPr>
          <w:rFonts w:ascii="Palatino Linotype" w:eastAsia="Palatino Linotype" w:hAnsi="Palatino Linotype" w:cs="Palatino Linotype"/>
          <w:sz w:val="22"/>
          <w:szCs w:val="22"/>
        </w:rPr>
        <w:t xml:space="preserve"> Oficio del 15 de agosto de 2023 signado por la Jefa de la Unidad de Transparencia; Acuerdo del Comité de Transparencia del 14 de agosto de 2023; Acuerdo de radicación del expediente de investigación del </w:t>
      </w:r>
      <w:r w:rsidR="00E14A1D" w:rsidRPr="00C00ACE">
        <w:rPr>
          <w:rFonts w:ascii="Palatino Linotype" w:eastAsia="Palatino Linotype" w:hAnsi="Palatino Linotype" w:cs="Palatino Linotype"/>
          <w:sz w:val="22"/>
          <w:szCs w:val="22"/>
        </w:rPr>
        <w:t>18 de agosto de 2023; Oficio de notificación de acuerdo del 18 de agosto de 2023; Acuerdos del 18 de agosto, 06, 08</w:t>
      </w:r>
      <w:r w:rsidR="00DD338B" w:rsidRPr="00C00ACE">
        <w:rPr>
          <w:rFonts w:ascii="Palatino Linotype" w:eastAsia="Palatino Linotype" w:hAnsi="Palatino Linotype" w:cs="Palatino Linotype"/>
          <w:sz w:val="22"/>
          <w:szCs w:val="22"/>
        </w:rPr>
        <w:t xml:space="preserve"> y</w:t>
      </w:r>
      <w:r w:rsidR="002B45E6" w:rsidRPr="00C00ACE">
        <w:rPr>
          <w:rFonts w:ascii="Palatino Linotype" w:eastAsia="Palatino Linotype" w:hAnsi="Palatino Linotype" w:cs="Palatino Linotype"/>
          <w:sz w:val="22"/>
          <w:szCs w:val="22"/>
        </w:rPr>
        <w:t xml:space="preserve"> 25</w:t>
      </w:r>
      <w:r w:rsidR="00E14A1D" w:rsidRPr="00C00ACE">
        <w:rPr>
          <w:rFonts w:ascii="Palatino Linotype" w:eastAsia="Palatino Linotype" w:hAnsi="Palatino Linotype" w:cs="Palatino Linotype"/>
          <w:sz w:val="22"/>
          <w:szCs w:val="22"/>
        </w:rPr>
        <w:t xml:space="preserve"> de septiembre</w:t>
      </w:r>
      <w:r w:rsidR="00DD338B" w:rsidRPr="00C00ACE">
        <w:rPr>
          <w:rFonts w:ascii="Palatino Linotype" w:eastAsia="Palatino Linotype" w:hAnsi="Palatino Linotype" w:cs="Palatino Linotype"/>
          <w:sz w:val="22"/>
          <w:szCs w:val="22"/>
        </w:rPr>
        <w:t>, 07, 09</w:t>
      </w:r>
      <w:r w:rsidR="000C128A" w:rsidRPr="00C00ACE">
        <w:rPr>
          <w:rFonts w:ascii="Palatino Linotype" w:eastAsia="Palatino Linotype" w:hAnsi="Palatino Linotype" w:cs="Palatino Linotype"/>
          <w:sz w:val="22"/>
          <w:szCs w:val="22"/>
        </w:rPr>
        <w:t xml:space="preserve"> y</w:t>
      </w:r>
      <w:r w:rsidR="00DD338B" w:rsidRPr="00C00ACE">
        <w:rPr>
          <w:rFonts w:ascii="Palatino Linotype" w:eastAsia="Palatino Linotype" w:hAnsi="Palatino Linotype" w:cs="Palatino Linotype"/>
          <w:sz w:val="22"/>
          <w:szCs w:val="22"/>
        </w:rPr>
        <w:t xml:space="preserve"> 23 de noviembre</w:t>
      </w:r>
      <w:r w:rsidR="00E14A1D" w:rsidRPr="00C00ACE">
        <w:rPr>
          <w:rFonts w:ascii="Palatino Linotype" w:eastAsia="Palatino Linotype" w:hAnsi="Palatino Linotype" w:cs="Palatino Linotype"/>
          <w:sz w:val="22"/>
          <w:szCs w:val="22"/>
        </w:rPr>
        <w:t xml:space="preserve"> de 2023; Nombramientos de servidores públicos; Oficios de solicitud y entrega de información; </w:t>
      </w:r>
      <w:r w:rsidR="002B45E6" w:rsidRPr="00C00ACE">
        <w:rPr>
          <w:rFonts w:ascii="Palatino Linotype" w:eastAsia="Palatino Linotype" w:hAnsi="Palatino Linotype" w:cs="Palatino Linotype"/>
          <w:sz w:val="22"/>
          <w:szCs w:val="22"/>
        </w:rPr>
        <w:t>Acta circunstanciada del 06 de julio de 2023; Reportes de entrega de paquetes electorales; Oficios de respuesta a solicitudes de información; Oficio de informe de cumplimiento del 13 de mayo de 2023; solicitudes de clasificación de información de solic</w:t>
      </w:r>
      <w:r w:rsidR="00DD338B" w:rsidRPr="00C00ACE">
        <w:rPr>
          <w:rFonts w:ascii="Palatino Linotype" w:eastAsia="Palatino Linotype" w:hAnsi="Palatino Linotype" w:cs="Palatino Linotype"/>
          <w:sz w:val="22"/>
          <w:szCs w:val="22"/>
        </w:rPr>
        <w:t xml:space="preserve">itudes de información diversas; impresión de correos electrónicos institucionales con asunto de respuestas a solicitudes de información; Contratos individuales de trabajo por tiempo determinado; </w:t>
      </w:r>
      <w:r w:rsidR="00DD338B" w:rsidRPr="00C00ACE">
        <w:rPr>
          <w:rFonts w:ascii="Palatino Linotype" w:eastAsia="Palatino Linotype" w:hAnsi="Palatino Linotype" w:cs="Palatino Linotype"/>
          <w:b/>
          <w:sz w:val="22"/>
          <w:szCs w:val="22"/>
        </w:rPr>
        <w:t>Avisos de Movimientos al ISSEMYM clasificados en su totalidad</w:t>
      </w:r>
      <w:r w:rsidR="00DD338B" w:rsidRPr="00C00ACE">
        <w:rPr>
          <w:rFonts w:ascii="Palatino Linotype" w:eastAsia="Palatino Linotype" w:hAnsi="Palatino Linotype" w:cs="Palatino Linotype"/>
          <w:sz w:val="22"/>
          <w:szCs w:val="22"/>
        </w:rPr>
        <w:t>;</w:t>
      </w:r>
      <w:r w:rsidR="004F4441" w:rsidRPr="00C00ACE">
        <w:rPr>
          <w:rFonts w:ascii="Palatino Linotype" w:eastAsia="Palatino Linotype" w:hAnsi="Palatino Linotype" w:cs="Palatino Linotype"/>
          <w:sz w:val="22"/>
          <w:szCs w:val="22"/>
        </w:rPr>
        <w:t xml:space="preserve"> </w:t>
      </w:r>
      <w:r w:rsidR="005644F6" w:rsidRPr="00C00ACE">
        <w:rPr>
          <w:rFonts w:ascii="Palatino Linotype" w:eastAsia="Palatino Linotype" w:hAnsi="Palatino Linotype" w:cs="Palatino Linotype"/>
          <w:sz w:val="22"/>
          <w:szCs w:val="22"/>
        </w:rPr>
        <w:t xml:space="preserve">así como, </w:t>
      </w:r>
      <w:r w:rsidR="00DD338B" w:rsidRPr="00C00ACE">
        <w:rPr>
          <w:rFonts w:ascii="Palatino Linotype" w:eastAsia="Palatino Linotype" w:hAnsi="Palatino Linotype" w:cs="Palatino Linotype"/>
          <w:sz w:val="22"/>
          <w:szCs w:val="22"/>
        </w:rPr>
        <w:t>cédulas de datos personales</w:t>
      </w:r>
      <w:r w:rsidR="005644F6" w:rsidRPr="00C00ACE">
        <w:rPr>
          <w:rFonts w:ascii="Palatino Linotype" w:eastAsia="Palatino Linotype" w:hAnsi="Palatino Linotype" w:cs="Palatino Linotype"/>
          <w:sz w:val="22"/>
          <w:szCs w:val="22"/>
        </w:rPr>
        <w:t>; y, de la foja 394 a la 401</w:t>
      </w:r>
      <w:r w:rsidR="004F4441" w:rsidRPr="00C00ACE">
        <w:rPr>
          <w:rFonts w:ascii="Palatino Linotype" w:eastAsia="Palatino Linotype" w:hAnsi="Palatino Linotype" w:cs="Palatino Linotype"/>
          <w:sz w:val="22"/>
          <w:szCs w:val="22"/>
        </w:rPr>
        <w:t xml:space="preserve"> la carátula de clasificación del expediente y su anexo 1 con los datos clasificados en los documentos como confidencial.</w:t>
      </w:r>
    </w:p>
    <w:p w14:paraId="435CCEA0" w14:textId="77777777" w:rsidR="004F4441" w:rsidRPr="00C00ACE" w:rsidRDefault="004F4441" w:rsidP="004F4441">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p>
    <w:p w14:paraId="5A6F98A8" w14:textId="77777777" w:rsidR="004F4441" w:rsidRPr="00C00ACE" w:rsidRDefault="005A5EF5" w:rsidP="002D05BB">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i/>
          <w:sz w:val="22"/>
          <w:szCs w:val="22"/>
        </w:rPr>
        <w:lastRenderedPageBreak/>
        <w:t>VP IEEM-CG-SUBS-072-2024-TII.pdf</w:t>
      </w:r>
      <w:r w:rsidRPr="00C00ACE">
        <w:rPr>
          <w:rFonts w:ascii="Palatino Linotype" w:eastAsia="Palatino Linotype" w:hAnsi="Palatino Linotype" w:cs="Palatino Linotype"/>
          <w:b/>
          <w:sz w:val="22"/>
          <w:szCs w:val="22"/>
        </w:rPr>
        <w:t xml:space="preserve">: </w:t>
      </w:r>
      <w:r w:rsidR="002D05BB" w:rsidRPr="00C00ACE">
        <w:rPr>
          <w:rFonts w:ascii="Palatino Linotype" w:eastAsia="Palatino Linotype" w:hAnsi="Palatino Linotype" w:cs="Palatino Linotype"/>
          <w:sz w:val="22"/>
          <w:szCs w:val="22"/>
        </w:rPr>
        <w:t xml:space="preserve">Documento que contiene 480 fojas; de la foja 1 a la </w:t>
      </w:r>
      <w:r w:rsidR="00664C52" w:rsidRPr="00C00ACE">
        <w:rPr>
          <w:rFonts w:ascii="Palatino Linotype" w:eastAsia="Palatino Linotype" w:hAnsi="Palatino Linotype" w:cs="Palatino Linotype"/>
          <w:sz w:val="22"/>
          <w:szCs w:val="22"/>
        </w:rPr>
        <w:t>473</w:t>
      </w:r>
      <w:r w:rsidR="002D05BB" w:rsidRPr="00C00ACE">
        <w:rPr>
          <w:rFonts w:ascii="Palatino Linotype" w:eastAsia="Palatino Linotype" w:hAnsi="Palatino Linotype" w:cs="Palatino Linotype"/>
          <w:sz w:val="22"/>
          <w:szCs w:val="22"/>
        </w:rPr>
        <w:t xml:space="preserve"> corresponden a constancias en versión pública que obran en el Tomo II del expediente de substanciación número IEEM/CG/SUBS/072/2024 </w:t>
      </w:r>
      <w:proofErr w:type="spellStart"/>
      <w:r w:rsidR="002D05BB" w:rsidRPr="00C00ACE">
        <w:rPr>
          <w:rFonts w:ascii="Palatino Linotype" w:eastAsia="Palatino Linotype" w:hAnsi="Palatino Linotype" w:cs="Palatino Linotype"/>
          <w:sz w:val="22"/>
          <w:szCs w:val="22"/>
        </w:rPr>
        <w:t>aperturado</w:t>
      </w:r>
      <w:proofErr w:type="spellEnd"/>
      <w:r w:rsidR="002D05BB" w:rsidRPr="00C00ACE">
        <w:rPr>
          <w:rFonts w:ascii="Palatino Linotype" w:eastAsia="Palatino Linotype" w:hAnsi="Palatino Linotype" w:cs="Palatino Linotype"/>
          <w:sz w:val="22"/>
          <w:szCs w:val="22"/>
        </w:rPr>
        <w:t xml:space="preserve"> en la Contraloría General en la </w:t>
      </w:r>
      <w:proofErr w:type="spellStart"/>
      <w:r w:rsidR="002D05BB" w:rsidRPr="00C00ACE">
        <w:rPr>
          <w:rFonts w:ascii="Palatino Linotype" w:eastAsia="Palatino Linotype" w:hAnsi="Palatino Linotype" w:cs="Palatino Linotype"/>
          <w:sz w:val="22"/>
          <w:szCs w:val="22"/>
        </w:rPr>
        <w:t>Subcontraloría</w:t>
      </w:r>
      <w:proofErr w:type="spellEnd"/>
      <w:r w:rsidR="002D05BB" w:rsidRPr="00C00ACE">
        <w:rPr>
          <w:rFonts w:ascii="Palatino Linotype" w:eastAsia="Palatino Linotype" w:hAnsi="Palatino Linotype" w:cs="Palatino Linotype"/>
          <w:sz w:val="22"/>
          <w:szCs w:val="22"/>
        </w:rPr>
        <w:t xml:space="preserve"> de Substanciación, por presunta responsabilidad administrativa no grave</w:t>
      </w:r>
      <w:r w:rsidR="00B75AEC" w:rsidRPr="00C00ACE">
        <w:rPr>
          <w:rFonts w:ascii="Palatino Linotype" w:eastAsia="Palatino Linotype" w:hAnsi="Palatino Linotype" w:cs="Palatino Linotype"/>
          <w:sz w:val="22"/>
          <w:szCs w:val="22"/>
        </w:rPr>
        <w:t xml:space="preserve"> consistente en “</w:t>
      </w:r>
      <w:r w:rsidR="00B75AEC"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00825D26" w:rsidRPr="00C00ACE">
        <w:rPr>
          <w:rFonts w:ascii="Palatino Linotype" w:eastAsia="Palatino Linotype" w:hAnsi="Palatino Linotype" w:cs="Palatino Linotype"/>
          <w:i/>
          <w:sz w:val="22"/>
          <w:szCs w:val="22"/>
        </w:rPr>
        <w:t>…</w:t>
      </w:r>
      <w:r w:rsidR="00B75AEC" w:rsidRPr="00C00ACE">
        <w:rPr>
          <w:rFonts w:ascii="Palatino Linotype" w:eastAsia="Palatino Linotype" w:hAnsi="Palatino Linotype" w:cs="Palatino Linotype"/>
          <w:sz w:val="22"/>
          <w:szCs w:val="22"/>
        </w:rPr>
        <w:t>”</w:t>
      </w:r>
      <w:r w:rsidR="002D05BB" w:rsidRPr="00C00ACE">
        <w:rPr>
          <w:rFonts w:ascii="Palatino Linotype" w:eastAsia="Palatino Linotype" w:hAnsi="Palatino Linotype" w:cs="Palatino Linotype"/>
          <w:sz w:val="22"/>
          <w:szCs w:val="22"/>
        </w:rPr>
        <w:t xml:space="preserve"> cometida por diversos ex servidores públicos; consistentes en: Acuerdos del 27 de noviembre de 2023, 27 de febrero, 01</w:t>
      </w:r>
      <w:r w:rsidR="00825D26" w:rsidRPr="00C00ACE">
        <w:rPr>
          <w:rFonts w:ascii="Palatino Linotype" w:eastAsia="Palatino Linotype" w:hAnsi="Palatino Linotype" w:cs="Palatino Linotype"/>
          <w:sz w:val="22"/>
          <w:szCs w:val="22"/>
        </w:rPr>
        <w:t xml:space="preserve"> y</w:t>
      </w:r>
      <w:r w:rsidR="008655A5" w:rsidRPr="00C00ACE">
        <w:rPr>
          <w:rFonts w:ascii="Palatino Linotype" w:eastAsia="Palatino Linotype" w:hAnsi="Palatino Linotype" w:cs="Palatino Linotype"/>
          <w:sz w:val="22"/>
          <w:szCs w:val="22"/>
        </w:rPr>
        <w:t xml:space="preserve"> 13</w:t>
      </w:r>
      <w:r w:rsidR="002D05BB" w:rsidRPr="00C00ACE">
        <w:rPr>
          <w:rFonts w:ascii="Palatino Linotype" w:eastAsia="Palatino Linotype" w:hAnsi="Palatino Linotype" w:cs="Palatino Linotype"/>
          <w:sz w:val="22"/>
          <w:szCs w:val="22"/>
        </w:rPr>
        <w:t xml:space="preserve"> de marzo</w:t>
      </w:r>
      <w:r w:rsidR="00825D26" w:rsidRPr="00C00ACE">
        <w:rPr>
          <w:rFonts w:ascii="Palatino Linotype" w:eastAsia="Palatino Linotype" w:hAnsi="Palatino Linotype" w:cs="Palatino Linotype"/>
          <w:sz w:val="22"/>
          <w:szCs w:val="22"/>
        </w:rPr>
        <w:t xml:space="preserve">, 15 de abril de </w:t>
      </w:r>
      <w:r w:rsidR="002D05BB" w:rsidRPr="00C00ACE">
        <w:rPr>
          <w:rFonts w:ascii="Palatino Linotype" w:eastAsia="Palatino Linotype" w:hAnsi="Palatino Linotype" w:cs="Palatino Linotype"/>
          <w:sz w:val="22"/>
          <w:szCs w:val="22"/>
        </w:rPr>
        <w:t>2024; oficios de solicitud y entrega de información; nombramientos de servidores públicos; Contratos individuales de trabajo por tiempo determinado</w:t>
      </w:r>
      <w:r w:rsidR="007438AC" w:rsidRPr="00C00ACE">
        <w:rPr>
          <w:rFonts w:ascii="Palatino Linotype" w:eastAsia="Palatino Linotype" w:hAnsi="Palatino Linotype" w:cs="Palatino Linotype"/>
          <w:sz w:val="22"/>
          <w:szCs w:val="22"/>
        </w:rPr>
        <w:t xml:space="preserve">; </w:t>
      </w:r>
      <w:r w:rsidR="008655A5" w:rsidRPr="00C00ACE">
        <w:rPr>
          <w:rFonts w:ascii="Palatino Linotype" w:eastAsia="Palatino Linotype" w:hAnsi="Palatino Linotype" w:cs="Palatino Linotype"/>
          <w:b/>
          <w:sz w:val="22"/>
          <w:szCs w:val="22"/>
        </w:rPr>
        <w:t>Avisos de Movimientos al ISSEMYM clasificados en su totalidad</w:t>
      </w:r>
      <w:r w:rsidR="008655A5" w:rsidRPr="00C00ACE">
        <w:rPr>
          <w:rFonts w:ascii="Palatino Linotype" w:eastAsia="Palatino Linotype" w:hAnsi="Palatino Linotype" w:cs="Palatino Linotype"/>
          <w:sz w:val="22"/>
          <w:szCs w:val="22"/>
        </w:rPr>
        <w:t xml:space="preserve">; cédulas de datos personales; Acuerdo de calificación de la falta administrativa del 15 de abril de 2024; </w:t>
      </w:r>
      <w:r w:rsidR="00825D26" w:rsidRPr="00C00ACE">
        <w:rPr>
          <w:rFonts w:ascii="Palatino Linotype" w:eastAsia="Palatino Linotype" w:hAnsi="Palatino Linotype" w:cs="Palatino Linotype"/>
          <w:sz w:val="22"/>
          <w:szCs w:val="22"/>
        </w:rPr>
        <w:t xml:space="preserve">Oficio de notificación de acuerdo; Acuerdo de recepción del 22 de abril de 2024; Acuerdo de admisión e inicio al procedimiento de responsabilidad administrativa del 24 de abril de 2024; </w:t>
      </w:r>
      <w:r w:rsidR="007E58EB" w:rsidRPr="00C00ACE">
        <w:rPr>
          <w:rFonts w:ascii="Palatino Linotype" w:eastAsia="Palatino Linotype" w:hAnsi="Palatino Linotype" w:cs="Palatino Linotype"/>
          <w:b/>
          <w:sz w:val="22"/>
          <w:szCs w:val="22"/>
        </w:rPr>
        <w:t>Constancias de no inhabilitación clasificadas en su totalidad</w:t>
      </w:r>
      <w:r w:rsidR="007E58EB" w:rsidRPr="00C00ACE">
        <w:rPr>
          <w:rFonts w:ascii="Palatino Linotype" w:eastAsia="Palatino Linotype" w:hAnsi="Palatino Linotype" w:cs="Palatino Linotype"/>
          <w:sz w:val="22"/>
          <w:szCs w:val="22"/>
        </w:rPr>
        <w:t xml:space="preserve">; Documento con los resultados de la consulta a los proveedores de información; Documento de la consulta a registros de sanciones impuestas por faltas administrativas; Acuerdo de emplazamiento a audiencia inicial del 15 de mayo de 2024; </w:t>
      </w:r>
      <w:r w:rsidR="00CA1286" w:rsidRPr="00C00ACE">
        <w:rPr>
          <w:rFonts w:ascii="Palatino Linotype" w:eastAsia="Palatino Linotype" w:hAnsi="Palatino Linotype" w:cs="Palatino Linotype"/>
          <w:sz w:val="22"/>
          <w:szCs w:val="22"/>
        </w:rPr>
        <w:t xml:space="preserve">Cédulas de notificación; Gafetes de servidores públicos del Instituto Electoral del Estado de México; </w:t>
      </w:r>
      <w:r w:rsidR="00D96E13" w:rsidRPr="00C00ACE">
        <w:rPr>
          <w:rFonts w:ascii="Palatino Linotype" w:eastAsia="Palatino Linotype" w:hAnsi="Palatino Linotype" w:cs="Palatino Linotype"/>
          <w:sz w:val="22"/>
          <w:szCs w:val="22"/>
        </w:rPr>
        <w:t>Citatorio</w:t>
      </w:r>
      <w:r w:rsidR="00893C8E" w:rsidRPr="00C00ACE">
        <w:rPr>
          <w:rFonts w:ascii="Palatino Linotype" w:eastAsia="Palatino Linotype" w:hAnsi="Palatino Linotype" w:cs="Palatino Linotype"/>
          <w:sz w:val="22"/>
          <w:szCs w:val="22"/>
        </w:rPr>
        <w:t>s de</w:t>
      </w:r>
      <w:r w:rsidR="00D96E13" w:rsidRPr="00C00ACE">
        <w:rPr>
          <w:rFonts w:ascii="Palatino Linotype" w:eastAsia="Palatino Linotype" w:hAnsi="Palatino Linotype" w:cs="Palatino Linotype"/>
          <w:sz w:val="22"/>
          <w:szCs w:val="22"/>
        </w:rPr>
        <w:t xml:space="preserve"> audiencia inicial; </w:t>
      </w:r>
      <w:r w:rsidR="00F62C1B" w:rsidRPr="00C00ACE">
        <w:rPr>
          <w:rFonts w:ascii="Palatino Linotype" w:eastAsia="Palatino Linotype" w:hAnsi="Palatino Linotype" w:cs="Palatino Linotype"/>
          <w:sz w:val="22"/>
          <w:szCs w:val="22"/>
        </w:rPr>
        <w:t xml:space="preserve">Oficio de comparecencia a audiencia inicial del 21 de mayo de 2024; </w:t>
      </w:r>
      <w:r w:rsidR="00D52027" w:rsidRPr="00C00ACE">
        <w:rPr>
          <w:rFonts w:ascii="Palatino Linotype" w:eastAsia="Palatino Linotype" w:hAnsi="Palatino Linotype" w:cs="Palatino Linotype"/>
          <w:sz w:val="22"/>
          <w:szCs w:val="22"/>
        </w:rPr>
        <w:t>Nombramiento</w:t>
      </w:r>
      <w:r w:rsidR="00893C8E" w:rsidRPr="00C00ACE">
        <w:rPr>
          <w:rFonts w:ascii="Palatino Linotype" w:eastAsia="Palatino Linotype" w:hAnsi="Palatino Linotype" w:cs="Palatino Linotype"/>
          <w:sz w:val="22"/>
          <w:szCs w:val="22"/>
        </w:rPr>
        <w:t>s</w:t>
      </w:r>
      <w:r w:rsidR="00D52027" w:rsidRPr="00C00ACE">
        <w:rPr>
          <w:rFonts w:ascii="Palatino Linotype" w:eastAsia="Palatino Linotype" w:hAnsi="Palatino Linotype" w:cs="Palatino Linotype"/>
          <w:sz w:val="22"/>
          <w:szCs w:val="22"/>
        </w:rPr>
        <w:t xml:space="preserve"> del Subcontralor de Investigación</w:t>
      </w:r>
      <w:r w:rsidR="00893C8E" w:rsidRPr="00C00ACE">
        <w:rPr>
          <w:rFonts w:ascii="Palatino Linotype" w:eastAsia="Palatino Linotype" w:hAnsi="Palatino Linotype" w:cs="Palatino Linotype"/>
          <w:sz w:val="22"/>
          <w:szCs w:val="22"/>
        </w:rPr>
        <w:t xml:space="preserve"> y del Subjefe de Transparencia</w:t>
      </w:r>
      <w:r w:rsidR="00D52027" w:rsidRPr="00C00ACE">
        <w:rPr>
          <w:rFonts w:ascii="Palatino Linotype" w:eastAsia="Palatino Linotype" w:hAnsi="Palatino Linotype" w:cs="Palatino Linotype"/>
          <w:sz w:val="22"/>
          <w:szCs w:val="22"/>
        </w:rPr>
        <w:t xml:space="preserve">; </w:t>
      </w:r>
      <w:r w:rsidR="00893C8E" w:rsidRPr="00C00ACE">
        <w:rPr>
          <w:rFonts w:ascii="Palatino Linotype" w:eastAsia="Palatino Linotype" w:hAnsi="Palatino Linotype" w:cs="Palatino Linotype"/>
          <w:sz w:val="22"/>
          <w:szCs w:val="22"/>
        </w:rPr>
        <w:t>Oficio</w:t>
      </w:r>
      <w:r w:rsidR="0031696B" w:rsidRPr="00C00ACE">
        <w:rPr>
          <w:rFonts w:ascii="Palatino Linotype" w:eastAsia="Palatino Linotype" w:hAnsi="Palatino Linotype" w:cs="Palatino Linotype"/>
          <w:sz w:val="22"/>
          <w:szCs w:val="22"/>
        </w:rPr>
        <w:t>s</w:t>
      </w:r>
      <w:r w:rsidR="00893C8E" w:rsidRPr="00C00ACE">
        <w:rPr>
          <w:rFonts w:ascii="Palatino Linotype" w:eastAsia="Palatino Linotype" w:hAnsi="Palatino Linotype" w:cs="Palatino Linotype"/>
          <w:sz w:val="22"/>
          <w:szCs w:val="22"/>
        </w:rPr>
        <w:t xml:space="preserve"> de comparecencia</w:t>
      </w:r>
      <w:r w:rsidR="0031696B" w:rsidRPr="00C00ACE">
        <w:rPr>
          <w:rFonts w:ascii="Palatino Linotype" w:eastAsia="Palatino Linotype" w:hAnsi="Palatino Linotype" w:cs="Palatino Linotype"/>
          <w:sz w:val="22"/>
          <w:szCs w:val="22"/>
        </w:rPr>
        <w:t>, notificación, formulación de alegatos</w:t>
      </w:r>
      <w:r w:rsidR="00893C8E" w:rsidRPr="00C00ACE">
        <w:rPr>
          <w:rFonts w:ascii="Palatino Linotype" w:eastAsia="Palatino Linotype" w:hAnsi="Palatino Linotype" w:cs="Palatino Linotype"/>
          <w:sz w:val="22"/>
          <w:szCs w:val="22"/>
        </w:rPr>
        <w:t xml:space="preserve">; </w:t>
      </w:r>
      <w:r w:rsidR="008B0DEF" w:rsidRPr="00C00ACE">
        <w:rPr>
          <w:rFonts w:ascii="Palatino Linotype" w:eastAsia="Palatino Linotype" w:hAnsi="Palatino Linotype" w:cs="Palatino Linotype"/>
          <w:sz w:val="22"/>
          <w:szCs w:val="22"/>
        </w:rPr>
        <w:t xml:space="preserve">Acuerdo de admisión y desahogo de pruebas del 27 de junio de 2024; </w:t>
      </w:r>
      <w:r w:rsidR="0031696B" w:rsidRPr="00C00ACE">
        <w:rPr>
          <w:rFonts w:ascii="Palatino Linotype" w:eastAsia="Palatino Linotype" w:hAnsi="Palatino Linotype" w:cs="Palatino Linotype"/>
          <w:sz w:val="22"/>
          <w:szCs w:val="22"/>
        </w:rPr>
        <w:t xml:space="preserve">cédulas de notificación; </w:t>
      </w:r>
      <w:r w:rsidR="00664C52" w:rsidRPr="00C00ACE">
        <w:rPr>
          <w:rFonts w:ascii="Palatino Linotype" w:eastAsia="Palatino Linotype" w:hAnsi="Palatino Linotype" w:cs="Palatino Linotype"/>
          <w:sz w:val="22"/>
          <w:szCs w:val="22"/>
        </w:rPr>
        <w:t>razones</w:t>
      </w:r>
      <w:r w:rsidR="0031696B" w:rsidRPr="00C00ACE">
        <w:rPr>
          <w:rFonts w:ascii="Palatino Linotype" w:eastAsia="Palatino Linotype" w:hAnsi="Palatino Linotype" w:cs="Palatino Linotype"/>
          <w:sz w:val="22"/>
          <w:szCs w:val="22"/>
        </w:rPr>
        <w:t xml:space="preserve"> de retiro de notificaci</w:t>
      </w:r>
      <w:r w:rsidR="009456A2" w:rsidRPr="00C00ACE">
        <w:rPr>
          <w:rFonts w:ascii="Palatino Linotype" w:eastAsia="Palatino Linotype" w:hAnsi="Palatino Linotype" w:cs="Palatino Linotype"/>
          <w:sz w:val="22"/>
          <w:szCs w:val="22"/>
        </w:rPr>
        <w:t>ones</w:t>
      </w:r>
      <w:r w:rsidR="0031696B" w:rsidRPr="00C00ACE">
        <w:rPr>
          <w:rFonts w:ascii="Palatino Linotype" w:eastAsia="Palatino Linotype" w:hAnsi="Palatino Linotype" w:cs="Palatino Linotype"/>
          <w:sz w:val="22"/>
          <w:szCs w:val="22"/>
        </w:rPr>
        <w:t xml:space="preserve"> por estrados; </w:t>
      </w:r>
      <w:r w:rsidR="009456A2" w:rsidRPr="00C00ACE">
        <w:rPr>
          <w:rFonts w:ascii="Palatino Linotype" w:eastAsia="Palatino Linotype" w:hAnsi="Palatino Linotype" w:cs="Palatino Linotype"/>
          <w:sz w:val="22"/>
          <w:szCs w:val="22"/>
        </w:rPr>
        <w:t>Acuerdo de cierre del 12 de agosto de 2024; Resolución del 23 de septiembre de 2024; Oficio</w:t>
      </w:r>
      <w:r w:rsidR="001C66EA" w:rsidRPr="00C00ACE">
        <w:rPr>
          <w:rFonts w:ascii="Palatino Linotype" w:eastAsia="Palatino Linotype" w:hAnsi="Palatino Linotype" w:cs="Palatino Linotype"/>
          <w:sz w:val="22"/>
          <w:szCs w:val="22"/>
        </w:rPr>
        <w:t>s</w:t>
      </w:r>
      <w:r w:rsidR="009456A2" w:rsidRPr="00C00ACE">
        <w:rPr>
          <w:rFonts w:ascii="Palatino Linotype" w:eastAsia="Palatino Linotype" w:hAnsi="Palatino Linotype" w:cs="Palatino Linotype"/>
          <w:sz w:val="22"/>
          <w:szCs w:val="22"/>
        </w:rPr>
        <w:t xml:space="preserve"> de notificación personal; citatorio; cédula de notificación; </w:t>
      </w:r>
      <w:r w:rsidR="009456A2" w:rsidRPr="00C00ACE">
        <w:rPr>
          <w:rFonts w:ascii="Palatino Linotype" w:eastAsia="Palatino Linotype" w:hAnsi="Palatino Linotype" w:cs="Palatino Linotype"/>
          <w:b/>
          <w:sz w:val="22"/>
          <w:szCs w:val="22"/>
        </w:rPr>
        <w:t>credencial para votar expedida por el Instituto Nacional Electoral clasificada en su totalidad</w:t>
      </w:r>
      <w:r w:rsidR="00FC2196" w:rsidRPr="00C00ACE">
        <w:rPr>
          <w:rFonts w:ascii="Palatino Linotype" w:eastAsia="Palatino Linotype" w:hAnsi="Palatino Linotype" w:cs="Palatino Linotype"/>
          <w:sz w:val="22"/>
          <w:szCs w:val="22"/>
        </w:rPr>
        <w:t xml:space="preserve">; </w:t>
      </w:r>
      <w:r w:rsidR="001C66EA" w:rsidRPr="00C00ACE">
        <w:rPr>
          <w:rFonts w:ascii="Palatino Linotype" w:eastAsia="Palatino Linotype" w:hAnsi="Palatino Linotype" w:cs="Palatino Linotype"/>
          <w:sz w:val="22"/>
          <w:szCs w:val="22"/>
        </w:rPr>
        <w:t>Acuerdo de firmeza de resolución del 18 de octubre de 2024</w:t>
      </w:r>
      <w:r w:rsidR="00664C52" w:rsidRPr="00C00ACE">
        <w:rPr>
          <w:rFonts w:ascii="Palatino Linotype" w:eastAsia="Palatino Linotype" w:hAnsi="Palatino Linotype" w:cs="Palatino Linotype"/>
          <w:sz w:val="22"/>
          <w:szCs w:val="22"/>
        </w:rPr>
        <w:t>; y, de la foja 474 a la 480 la carátula de clasificación del expediente y su anexo 1 con los datos clasificados en los documentos como confidencial.</w:t>
      </w:r>
    </w:p>
    <w:p w14:paraId="06403848" w14:textId="77777777" w:rsidR="00664C52" w:rsidRPr="00C00ACE" w:rsidRDefault="00664C52" w:rsidP="00664C52">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p>
    <w:p w14:paraId="68BBCE10" w14:textId="77777777" w:rsidR="009A78DB" w:rsidRPr="00C00ACE" w:rsidRDefault="00664C52" w:rsidP="009A78DB">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 xml:space="preserve">VP IEEM-CG-SUBS-073-2024 TI.pdf: </w:t>
      </w:r>
      <w:r w:rsidRPr="00C00ACE">
        <w:rPr>
          <w:rFonts w:ascii="Palatino Linotype" w:eastAsia="Palatino Linotype" w:hAnsi="Palatino Linotype" w:cs="Palatino Linotype"/>
          <w:sz w:val="22"/>
          <w:szCs w:val="22"/>
        </w:rPr>
        <w:t>Documento que contiene 619 fojas; de la foja 1 a la 1</w:t>
      </w:r>
      <w:r w:rsidR="009A78DB" w:rsidRPr="00C00ACE">
        <w:rPr>
          <w:rFonts w:ascii="Palatino Linotype" w:eastAsia="Palatino Linotype" w:hAnsi="Palatino Linotype" w:cs="Palatino Linotype"/>
          <w:sz w:val="22"/>
          <w:szCs w:val="22"/>
        </w:rPr>
        <w:t>62</w:t>
      </w:r>
      <w:r w:rsidRPr="00C00ACE">
        <w:rPr>
          <w:rFonts w:ascii="Palatino Linotype" w:eastAsia="Palatino Linotype" w:hAnsi="Palatino Linotype" w:cs="Palatino Linotype"/>
          <w:sz w:val="22"/>
          <w:szCs w:val="22"/>
        </w:rPr>
        <w:t xml:space="preserve"> corresponden a constancias en versión pública que obran en el Tomo I del </w:t>
      </w:r>
      <w:r w:rsidRPr="00C00ACE">
        <w:rPr>
          <w:rFonts w:ascii="Palatino Linotype" w:eastAsia="Palatino Linotype" w:hAnsi="Palatino Linotype" w:cs="Palatino Linotype"/>
          <w:sz w:val="22"/>
          <w:szCs w:val="22"/>
        </w:rPr>
        <w:lastRenderedPageBreak/>
        <w:t xml:space="preserve">expediente de substanciación número IEEM/CG/SUBS/073/2024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”cometida por diversos ex servidores públicos; consistentes en: Oficio donde se remite el Informe de Presunta Responsabilidad Administrativa del 18 de abril de 2024 e Informe de Presunta Responsabilidad Administrativa; de la foja 1</w:t>
      </w:r>
      <w:r w:rsidR="009A78DB" w:rsidRPr="00C00ACE">
        <w:rPr>
          <w:rFonts w:ascii="Palatino Linotype" w:eastAsia="Palatino Linotype" w:hAnsi="Palatino Linotype" w:cs="Palatino Linotype"/>
          <w:sz w:val="22"/>
          <w:szCs w:val="22"/>
        </w:rPr>
        <w:t>63</w:t>
      </w:r>
      <w:r w:rsidRPr="00C00ACE">
        <w:rPr>
          <w:rFonts w:ascii="Palatino Linotype" w:eastAsia="Palatino Linotype" w:hAnsi="Palatino Linotype" w:cs="Palatino Linotype"/>
          <w:sz w:val="22"/>
          <w:szCs w:val="22"/>
        </w:rPr>
        <w:t xml:space="preserve"> a </w:t>
      </w:r>
      <w:r w:rsidR="00DC7E25" w:rsidRPr="00C00ACE">
        <w:rPr>
          <w:rFonts w:ascii="Palatino Linotype" w:eastAsia="Palatino Linotype" w:hAnsi="Palatino Linotype" w:cs="Palatino Linotype"/>
          <w:sz w:val="22"/>
          <w:szCs w:val="22"/>
        </w:rPr>
        <w:t>608</w:t>
      </w:r>
      <w:r w:rsidRPr="00C00ACE">
        <w:rPr>
          <w:rFonts w:ascii="Palatino Linotype" w:eastAsia="Palatino Linotype" w:hAnsi="Palatino Linotype" w:cs="Palatino Linotype"/>
          <w:sz w:val="22"/>
          <w:szCs w:val="22"/>
        </w:rPr>
        <w:t xml:space="preserve"> las constancias en versión pública del expediente de investigación número IEEM/CG/INV/OF/068/2023, consistentes en:</w:t>
      </w:r>
      <w:r w:rsidR="009A78DB" w:rsidRPr="00C00ACE">
        <w:rPr>
          <w:rFonts w:ascii="Palatino Linotype" w:eastAsia="Palatino Linotype" w:hAnsi="Palatino Linotype" w:cs="Palatino Linotype"/>
          <w:sz w:val="22"/>
          <w:szCs w:val="22"/>
        </w:rPr>
        <w:t xml:space="preserve"> Oficio del 17 de agosto de 2023 signado por el Subcontralor de Fiscalización; oficio del 15 de agosto de 2023 signado por la Jefa de la Unidad de Transparencia; Acuerdo del Comité de Transparencia del 14 de agosto de 2023; Acuerdo de radicación del expediente de investigación del 18 de agosto de 2023; Oficio de notificación de acuerdo del 18 de agosto de 2023; Acuerdos del 18 de agosto, 06, 08</w:t>
      </w:r>
      <w:r w:rsidR="005E3771" w:rsidRPr="00C00ACE">
        <w:rPr>
          <w:rFonts w:ascii="Palatino Linotype" w:eastAsia="Palatino Linotype" w:hAnsi="Palatino Linotype" w:cs="Palatino Linotype"/>
          <w:sz w:val="22"/>
          <w:szCs w:val="22"/>
        </w:rPr>
        <w:t xml:space="preserve">, </w:t>
      </w:r>
      <w:r w:rsidR="009A78DB" w:rsidRPr="00C00ACE">
        <w:rPr>
          <w:rFonts w:ascii="Palatino Linotype" w:eastAsia="Palatino Linotype" w:hAnsi="Palatino Linotype" w:cs="Palatino Linotype"/>
          <w:sz w:val="22"/>
          <w:szCs w:val="22"/>
        </w:rPr>
        <w:t xml:space="preserve">13 </w:t>
      </w:r>
      <w:r w:rsidR="005E3771" w:rsidRPr="00C00ACE">
        <w:rPr>
          <w:rFonts w:ascii="Palatino Linotype" w:eastAsia="Palatino Linotype" w:hAnsi="Palatino Linotype" w:cs="Palatino Linotype"/>
          <w:sz w:val="22"/>
          <w:szCs w:val="22"/>
        </w:rPr>
        <w:t xml:space="preserve">y 25 </w:t>
      </w:r>
      <w:r w:rsidR="009A78DB" w:rsidRPr="00C00ACE">
        <w:rPr>
          <w:rFonts w:ascii="Palatino Linotype" w:eastAsia="Palatino Linotype" w:hAnsi="Palatino Linotype" w:cs="Palatino Linotype"/>
          <w:sz w:val="22"/>
          <w:szCs w:val="22"/>
        </w:rPr>
        <w:t>de septiembre</w:t>
      </w:r>
      <w:r w:rsidR="000C7D7F" w:rsidRPr="00C00ACE">
        <w:rPr>
          <w:rFonts w:ascii="Palatino Linotype" w:eastAsia="Palatino Linotype" w:hAnsi="Palatino Linotype" w:cs="Palatino Linotype"/>
          <w:sz w:val="22"/>
          <w:szCs w:val="22"/>
        </w:rPr>
        <w:t xml:space="preserve">, 03 de octubre, 07, 08, 09, de noviembre </w:t>
      </w:r>
      <w:r w:rsidR="009A78DB" w:rsidRPr="00C00ACE">
        <w:rPr>
          <w:rFonts w:ascii="Palatino Linotype" w:eastAsia="Palatino Linotype" w:hAnsi="Palatino Linotype" w:cs="Palatino Linotype"/>
          <w:sz w:val="22"/>
          <w:szCs w:val="22"/>
        </w:rPr>
        <w:t>de 2023</w:t>
      </w:r>
      <w:r w:rsidR="000C7D7F" w:rsidRPr="00C00ACE">
        <w:rPr>
          <w:rFonts w:ascii="Palatino Linotype" w:eastAsia="Palatino Linotype" w:hAnsi="Palatino Linotype" w:cs="Palatino Linotype"/>
          <w:sz w:val="22"/>
          <w:szCs w:val="22"/>
        </w:rPr>
        <w:t>, 01</w:t>
      </w:r>
      <w:r w:rsidR="00DC7E25" w:rsidRPr="00C00ACE">
        <w:rPr>
          <w:rFonts w:ascii="Palatino Linotype" w:eastAsia="Palatino Linotype" w:hAnsi="Palatino Linotype" w:cs="Palatino Linotype"/>
          <w:sz w:val="22"/>
          <w:szCs w:val="22"/>
        </w:rPr>
        <w:t xml:space="preserve"> y 13, </w:t>
      </w:r>
      <w:r w:rsidR="000C7D7F" w:rsidRPr="00C00ACE">
        <w:rPr>
          <w:rFonts w:ascii="Palatino Linotype" w:eastAsia="Palatino Linotype" w:hAnsi="Palatino Linotype" w:cs="Palatino Linotype"/>
          <w:sz w:val="22"/>
          <w:szCs w:val="22"/>
        </w:rPr>
        <w:t>de marzo</w:t>
      </w:r>
      <w:r w:rsidR="00DC7E25" w:rsidRPr="00C00ACE">
        <w:rPr>
          <w:rFonts w:ascii="Palatino Linotype" w:eastAsia="Palatino Linotype" w:hAnsi="Palatino Linotype" w:cs="Palatino Linotype"/>
          <w:sz w:val="22"/>
          <w:szCs w:val="22"/>
        </w:rPr>
        <w:t>, 15 y 22 de abril</w:t>
      </w:r>
      <w:r w:rsidR="000C7D7F" w:rsidRPr="00C00ACE">
        <w:rPr>
          <w:rFonts w:ascii="Palatino Linotype" w:eastAsia="Palatino Linotype" w:hAnsi="Palatino Linotype" w:cs="Palatino Linotype"/>
          <w:sz w:val="22"/>
          <w:szCs w:val="22"/>
        </w:rPr>
        <w:t xml:space="preserve"> de 202</w:t>
      </w:r>
      <w:r w:rsidR="00DC7E25" w:rsidRPr="00C00ACE">
        <w:rPr>
          <w:rFonts w:ascii="Palatino Linotype" w:eastAsia="Palatino Linotype" w:hAnsi="Palatino Linotype" w:cs="Palatino Linotype"/>
          <w:sz w:val="22"/>
          <w:szCs w:val="22"/>
        </w:rPr>
        <w:t xml:space="preserve">4, </w:t>
      </w:r>
      <w:r w:rsidR="009A78DB" w:rsidRPr="00C00ACE">
        <w:rPr>
          <w:rFonts w:ascii="Palatino Linotype" w:eastAsia="Palatino Linotype" w:hAnsi="Palatino Linotype" w:cs="Palatino Linotype"/>
          <w:sz w:val="22"/>
          <w:szCs w:val="22"/>
        </w:rPr>
        <w:t xml:space="preserve">; Oficios de solicitud y entrega de información; Oficio de solicitud al Comité de Transparencia de la emisión de la declaratoria de inexistencia de la información; Nombramientos de servidores públicos; </w:t>
      </w:r>
      <w:r w:rsidR="000C7D7F" w:rsidRPr="00C00ACE">
        <w:rPr>
          <w:rFonts w:ascii="Palatino Linotype" w:eastAsia="Palatino Linotype" w:hAnsi="Palatino Linotype" w:cs="Palatino Linotype"/>
          <w:sz w:val="22"/>
          <w:szCs w:val="22"/>
        </w:rPr>
        <w:t>Acta circunstanciada del 06 de julio de 2023; Reportes de entrega de paquetes electorales; reporte de constancia de clausura de casilla y remisión del paquete electoral al Consejo; impresión de correos electrónicos institucionales con asunto de respuestas a solicitudes de información; Oficios de respuesta a solicitudes de información; Oficio de informe de cumplimiento del 13 de mayo de 2023; Contratos individuales de trabajo por tiempo determinado;</w:t>
      </w:r>
      <w:r w:rsidR="000C7D7F" w:rsidRPr="00C00ACE">
        <w:rPr>
          <w:rFonts w:ascii="Palatino Linotype" w:eastAsia="Palatino Linotype" w:hAnsi="Palatino Linotype" w:cs="Palatino Linotype"/>
          <w:b/>
          <w:sz w:val="22"/>
          <w:szCs w:val="22"/>
        </w:rPr>
        <w:t xml:space="preserve"> Avisos de Movimientos al ISSEMYM clasificados en su totalidad</w:t>
      </w:r>
      <w:r w:rsidR="000C7D7F" w:rsidRPr="00C00ACE">
        <w:rPr>
          <w:rFonts w:ascii="Palatino Linotype" w:eastAsia="Palatino Linotype" w:hAnsi="Palatino Linotype" w:cs="Palatino Linotype"/>
          <w:sz w:val="22"/>
          <w:szCs w:val="22"/>
        </w:rPr>
        <w:t>; cédulas de datos personales;</w:t>
      </w:r>
      <w:r w:rsidR="00DC7E25" w:rsidRPr="00C00ACE">
        <w:rPr>
          <w:rFonts w:ascii="Palatino Linotype" w:eastAsia="Palatino Linotype" w:hAnsi="Palatino Linotype" w:cs="Palatino Linotype"/>
          <w:sz w:val="22"/>
          <w:szCs w:val="22"/>
        </w:rPr>
        <w:t xml:space="preserve"> así como, oficios de notificación de acuerdos;</w:t>
      </w:r>
      <w:r w:rsidR="000C7D7F" w:rsidRPr="00C00ACE">
        <w:rPr>
          <w:rFonts w:ascii="Palatino Linotype" w:eastAsia="Palatino Linotype" w:hAnsi="Palatino Linotype" w:cs="Palatino Linotype"/>
          <w:sz w:val="22"/>
          <w:szCs w:val="22"/>
        </w:rPr>
        <w:t xml:space="preserve"> y, de la foja </w:t>
      </w:r>
      <w:r w:rsidR="00DC7E25" w:rsidRPr="00C00ACE">
        <w:rPr>
          <w:rFonts w:ascii="Palatino Linotype" w:eastAsia="Palatino Linotype" w:hAnsi="Palatino Linotype" w:cs="Palatino Linotype"/>
          <w:sz w:val="22"/>
          <w:szCs w:val="22"/>
        </w:rPr>
        <w:t>609</w:t>
      </w:r>
      <w:r w:rsidR="000C7D7F" w:rsidRPr="00C00ACE">
        <w:rPr>
          <w:rFonts w:ascii="Palatino Linotype" w:eastAsia="Palatino Linotype" w:hAnsi="Palatino Linotype" w:cs="Palatino Linotype"/>
          <w:sz w:val="22"/>
          <w:szCs w:val="22"/>
        </w:rPr>
        <w:t xml:space="preserve"> a la </w:t>
      </w:r>
      <w:r w:rsidR="00DC7E25" w:rsidRPr="00C00ACE">
        <w:rPr>
          <w:rFonts w:ascii="Palatino Linotype" w:eastAsia="Palatino Linotype" w:hAnsi="Palatino Linotype" w:cs="Palatino Linotype"/>
          <w:sz w:val="22"/>
          <w:szCs w:val="22"/>
        </w:rPr>
        <w:t>619</w:t>
      </w:r>
      <w:r w:rsidR="000C7D7F" w:rsidRPr="00C00ACE">
        <w:rPr>
          <w:rFonts w:ascii="Palatino Linotype" w:eastAsia="Palatino Linotype" w:hAnsi="Palatino Linotype" w:cs="Palatino Linotype"/>
          <w:sz w:val="22"/>
          <w:szCs w:val="22"/>
        </w:rPr>
        <w:t xml:space="preserve"> la carátula de clasificación del expediente y su anexo 1 con los datos clasificados en los documentos como confidencial.</w:t>
      </w:r>
    </w:p>
    <w:p w14:paraId="07DD2697" w14:textId="77777777" w:rsidR="009A78DB" w:rsidRPr="00C00ACE" w:rsidRDefault="009A78DB" w:rsidP="009A78DB">
      <w:pPr>
        <w:pStyle w:val="Prrafodelista"/>
        <w:rPr>
          <w:rFonts w:ascii="Palatino Linotype" w:eastAsia="Palatino Linotype" w:hAnsi="Palatino Linotype" w:cs="Palatino Linotype"/>
          <w:sz w:val="22"/>
          <w:szCs w:val="22"/>
        </w:rPr>
      </w:pPr>
    </w:p>
    <w:p w14:paraId="4A1E1C1D" w14:textId="77777777" w:rsidR="00664C52" w:rsidRPr="00C00ACE" w:rsidRDefault="002724BF" w:rsidP="002724BF">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 xml:space="preserve">VP IEEM-CG-SUBS-073-2024 TII.pdf: </w:t>
      </w:r>
      <w:r w:rsidRPr="00C00ACE">
        <w:rPr>
          <w:rFonts w:ascii="Palatino Linotype" w:eastAsia="Palatino Linotype" w:hAnsi="Palatino Linotype" w:cs="Palatino Linotype"/>
          <w:sz w:val="22"/>
          <w:szCs w:val="22"/>
        </w:rPr>
        <w:t>Documento que contiene 347 fojas; de la foja 1 a la</w:t>
      </w:r>
      <w:r w:rsidR="000D056C" w:rsidRPr="00C00ACE">
        <w:rPr>
          <w:rFonts w:ascii="Palatino Linotype" w:eastAsia="Palatino Linotype" w:hAnsi="Palatino Linotype" w:cs="Palatino Linotype"/>
          <w:sz w:val="22"/>
          <w:szCs w:val="22"/>
        </w:rPr>
        <w:t xml:space="preserve"> 339 </w:t>
      </w:r>
      <w:r w:rsidRPr="00C00ACE">
        <w:rPr>
          <w:rFonts w:ascii="Palatino Linotype" w:eastAsia="Palatino Linotype" w:hAnsi="Palatino Linotype" w:cs="Palatino Linotype"/>
          <w:sz w:val="22"/>
          <w:szCs w:val="22"/>
        </w:rPr>
        <w:t xml:space="preserve">corresponden a constancias en versión pública que obran en el Tomo II del expediente de substanciación número IEEM/CG/SUBS/073/2024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 xml:space="preserve">Omisión de elaborar el oficio </w:t>
      </w:r>
      <w:r w:rsidRPr="00C00ACE">
        <w:rPr>
          <w:rFonts w:ascii="Palatino Linotype" w:eastAsia="Palatino Linotype" w:hAnsi="Palatino Linotype" w:cs="Palatino Linotype"/>
          <w:i/>
          <w:sz w:val="22"/>
          <w:szCs w:val="22"/>
        </w:rPr>
        <w:lastRenderedPageBreak/>
        <w:t>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 xml:space="preserve">” cometida por diversos ex servidores públicos; consistentes en: </w:t>
      </w:r>
      <w:r w:rsidRPr="00C00ACE">
        <w:rPr>
          <w:rFonts w:ascii="Palatino Linotype" w:eastAsia="Palatino Linotype" w:hAnsi="Palatino Linotype" w:cs="Palatino Linotype"/>
          <w:b/>
          <w:sz w:val="22"/>
          <w:szCs w:val="22"/>
        </w:rPr>
        <w:t>Constancias de no inhabilitación clasificadas en su totalidad</w:t>
      </w:r>
      <w:r w:rsidRPr="00C00ACE">
        <w:rPr>
          <w:rFonts w:ascii="Palatino Linotype" w:eastAsia="Palatino Linotype" w:hAnsi="Palatino Linotype" w:cs="Palatino Linotype"/>
          <w:sz w:val="22"/>
          <w:szCs w:val="22"/>
        </w:rPr>
        <w:t xml:space="preserve">; captura de pantalla de la búsqueda en el sistema nacional de servidores públicos y particulares sancionados; </w:t>
      </w:r>
      <w:r w:rsidR="00B011F6" w:rsidRPr="00C00ACE">
        <w:rPr>
          <w:rFonts w:ascii="Palatino Linotype" w:eastAsia="Palatino Linotype" w:hAnsi="Palatino Linotype" w:cs="Palatino Linotype"/>
          <w:sz w:val="22"/>
          <w:szCs w:val="22"/>
        </w:rPr>
        <w:t xml:space="preserve">Acuerdo de admisión del 29 de abril de 2024; oficio de solicitud de copias certificadas; Tarjeta de atención a solicitud de copias; Oficio de emplazamiento a audiencia inicial; citatorio; cédula de notificación; </w:t>
      </w:r>
      <w:r w:rsidR="00B011F6" w:rsidRPr="00C00ACE">
        <w:rPr>
          <w:rFonts w:ascii="Palatino Linotype" w:eastAsia="Palatino Linotype" w:hAnsi="Palatino Linotype" w:cs="Palatino Linotype"/>
          <w:b/>
          <w:sz w:val="22"/>
          <w:szCs w:val="22"/>
        </w:rPr>
        <w:t xml:space="preserve">credenciales para votar expedidas por el Instituto Nacional Electoral clasificadas en su totalidad; </w:t>
      </w:r>
      <w:r w:rsidR="00B011F6" w:rsidRPr="00C00ACE">
        <w:rPr>
          <w:rFonts w:ascii="Palatino Linotype" w:eastAsia="Palatino Linotype" w:hAnsi="Palatino Linotype" w:cs="Palatino Linotype"/>
          <w:sz w:val="22"/>
          <w:szCs w:val="22"/>
        </w:rPr>
        <w:t>oficio citatorio de audiencia inicial; acta administrativa de audiencia inicial; escrito de contestación audiencia inicial del 06 de junio de 2024; oficio captura de recibos; oficio</w:t>
      </w:r>
      <w:r w:rsidR="00063C9D" w:rsidRPr="00C00ACE">
        <w:rPr>
          <w:rFonts w:ascii="Palatino Linotype" w:eastAsia="Palatino Linotype" w:hAnsi="Palatino Linotype" w:cs="Palatino Linotype"/>
          <w:sz w:val="22"/>
          <w:szCs w:val="22"/>
        </w:rPr>
        <w:t>s</w:t>
      </w:r>
      <w:r w:rsidR="00B011F6" w:rsidRPr="00C00ACE">
        <w:rPr>
          <w:rFonts w:ascii="Palatino Linotype" w:eastAsia="Palatino Linotype" w:hAnsi="Palatino Linotype" w:cs="Palatino Linotype"/>
          <w:sz w:val="22"/>
          <w:szCs w:val="22"/>
        </w:rPr>
        <w:t xml:space="preserve"> de comparecencia a audiencia inicial; </w:t>
      </w:r>
      <w:r w:rsidR="00002EFF" w:rsidRPr="00C00ACE">
        <w:rPr>
          <w:rFonts w:ascii="Palatino Linotype" w:eastAsia="Palatino Linotype" w:hAnsi="Palatino Linotype" w:cs="Palatino Linotype"/>
          <w:sz w:val="22"/>
          <w:szCs w:val="22"/>
        </w:rPr>
        <w:t xml:space="preserve">nombramientos del Subcontralor de Investigación y del Subjefe de Unidad; oficio de notificación; </w:t>
      </w:r>
      <w:r w:rsidR="00063C9D" w:rsidRPr="00C00ACE">
        <w:rPr>
          <w:rFonts w:ascii="Palatino Linotype" w:eastAsia="Palatino Linotype" w:hAnsi="Palatino Linotype" w:cs="Palatino Linotype"/>
          <w:sz w:val="22"/>
          <w:szCs w:val="22"/>
        </w:rPr>
        <w:t xml:space="preserve">oficios de remisión de copias simples; acuerdo de admisión y desahogo de pruebas; escrito de alegatos; oficio de formulación de alegatos; Acuerdo de cierre de alegatos del 11 de julio de 2024; Acuerdo de cierre de instrucción del 26 de julio de 2024; cédulas de notificación por estrados; Resolución del 06 de septiembre de 2024; </w:t>
      </w:r>
      <w:r w:rsidR="00F304A7" w:rsidRPr="00C00ACE">
        <w:rPr>
          <w:rFonts w:ascii="Palatino Linotype" w:eastAsia="Palatino Linotype" w:hAnsi="Palatino Linotype" w:cs="Palatino Linotype"/>
          <w:sz w:val="22"/>
          <w:szCs w:val="22"/>
        </w:rPr>
        <w:t>Acuerdo de firmeza de resolución,</w:t>
      </w:r>
      <w:r w:rsidR="000D056C" w:rsidRPr="00C00ACE">
        <w:rPr>
          <w:rFonts w:ascii="Palatino Linotype" w:eastAsia="Palatino Linotype" w:hAnsi="Palatino Linotype" w:cs="Palatino Linotype"/>
          <w:sz w:val="22"/>
          <w:szCs w:val="22"/>
        </w:rPr>
        <w:t xml:space="preserve"> de fecha 31 de octubre de 2024; cédulas de notificación y razón de retiro de estrados; y, de la foja 340 a la 347 la carátula de clasificación del expediente y su anexo 1 con los datos clasificados en los documentos como confidencial.</w:t>
      </w:r>
    </w:p>
    <w:p w14:paraId="0029534A" w14:textId="77777777" w:rsidR="001F54B0" w:rsidRPr="00C00ACE" w:rsidRDefault="001F54B0" w:rsidP="001F54B0">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4C6CEDB0" w14:textId="77777777" w:rsidR="002748E7" w:rsidRPr="00C00ACE" w:rsidRDefault="001F54B0" w:rsidP="001F54B0">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i/>
          <w:sz w:val="22"/>
          <w:szCs w:val="22"/>
          <w:lang w:val="es-MX"/>
        </w:rPr>
        <w:t xml:space="preserve">VP IEEM-CG-SUBS-074-2024 TI.pdf: </w:t>
      </w:r>
      <w:r w:rsidRPr="00C00ACE">
        <w:rPr>
          <w:rFonts w:ascii="Palatino Linotype" w:eastAsia="Palatino Linotype" w:hAnsi="Palatino Linotype" w:cs="Palatino Linotype"/>
          <w:sz w:val="22"/>
          <w:szCs w:val="22"/>
        </w:rPr>
        <w:t xml:space="preserve">Documento que contiene 619 fojas; de la foja 1 a la 162 corresponden a constancias en versión pública que obran en el Tomo I del expediente de substanciación número IEEM/CG/SUBS/074/2024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 xml:space="preserve">”cometida por diversos ex servidores públicos; consistentes en: Oficio donde se remite el Informe de Presunta Responsabilidad Administrativa del 18 de abril de 2024 e Informe de Presunta Responsabilidad Administrativa; de la foja 163 a 608 las constancias en versión pública del expediente de investigación número IEEM/CG/INV/OF/068/2023, consistentes en: Oficio del 17 de agosto de </w:t>
      </w:r>
      <w:r w:rsidRPr="00C00ACE">
        <w:rPr>
          <w:rFonts w:ascii="Palatino Linotype" w:eastAsia="Palatino Linotype" w:hAnsi="Palatino Linotype" w:cs="Palatino Linotype"/>
          <w:sz w:val="22"/>
          <w:szCs w:val="22"/>
        </w:rPr>
        <w:lastRenderedPageBreak/>
        <w:t>2023 signado por el Subcontralor de Fiscalización; oficio del 15 de agosto de 2023 signado por la Jefa de la Unidad de Transparencia; Acuerdo del Comité de Transparencia del 14 de agosto de 2023; Acuerdo de radicación del expediente de investigación del 18 de agosto de 2023; Oficio de notificación de acuerdo del 18 de agosto de 2023; Acuerdos del 18 de agosto</w:t>
      </w:r>
      <w:r w:rsidR="002748E7" w:rsidRPr="00C00ACE">
        <w:rPr>
          <w:rFonts w:ascii="Palatino Linotype" w:eastAsia="Palatino Linotype" w:hAnsi="Palatino Linotype" w:cs="Palatino Linotype"/>
          <w:sz w:val="22"/>
          <w:szCs w:val="22"/>
        </w:rPr>
        <w:t>, 8, 13, 25 de septiembre de 2023, 03 de octubre de 2023, 07, 09 y 27 de noviembre de 2023,</w:t>
      </w:r>
      <w:r w:rsidR="00217262" w:rsidRPr="00C00ACE">
        <w:rPr>
          <w:rFonts w:ascii="Palatino Linotype" w:eastAsia="Palatino Linotype" w:hAnsi="Palatino Linotype" w:cs="Palatino Linotype"/>
          <w:sz w:val="22"/>
          <w:szCs w:val="22"/>
        </w:rPr>
        <w:t xml:space="preserve"> 27, 28 de febrero, 01 y 13 de marzo, y 22 de abril de 2024</w:t>
      </w:r>
      <w:r w:rsidRPr="00C00ACE">
        <w:rPr>
          <w:rFonts w:ascii="Palatino Linotype" w:eastAsia="Palatino Linotype" w:hAnsi="Palatino Linotype" w:cs="Palatino Linotype"/>
          <w:sz w:val="22"/>
          <w:szCs w:val="22"/>
        </w:rPr>
        <w:t xml:space="preserve">; Oficios de solicitud y entrega de información; </w:t>
      </w:r>
      <w:r w:rsidR="002748E7" w:rsidRPr="00C00ACE">
        <w:rPr>
          <w:rFonts w:ascii="Palatino Linotype" w:eastAsia="Palatino Linotype" w:hAnsi="Palatino Linotype" w:cs="Palatino Linotype"/>
          <w:sz w:val="22"/>
          <w:szCs w:val="22"/>
        </w:rPr>
        <w:t>impresión de correos electrónicos institucionales con asunto de respuestas a solicitudes de información; Oficios de respuesta a solicitudes de información; Nombramientos de servidores públicos; Acta circunstanciada del 06 de julio de 2023; Reportes de entrega de paquetes electorales; reporte de constancia de clausura de casilla y remisión del paquete electoral al Consejo; Oficio de informe de cumplimiento del 13 de mayo de 2023; cuadros de solicitudes de clasificación de información; Contratos individuales de trabajo por tiempo determinado;</w:t>
      </w:r>
      <w:r w:rsidR="002748E7" w:rsidRPr="00C00ACE">
        <w:rPr>
          <w:rFonts w:ascii="Palatino Linotype" w:eastAsia="Palatino Linotype" w:hAnsi="Palatino Linotype" w:cs="Palatino Linotype"/>
          <w:b/>
          <w:sz w:val="22"/>
          <w:szCs w:val="22"/>
        </w:rPr>
        <w:t xml:space="preserve"> Avisos de Movimientos al ISSEMYM clasificados en su totalidad</w:t>
      </w:r>
      <w:r w:rsidR="002748E7" w:rsidRPr="00C00ACE">
        <w:rPr>
          <w:rFonts w:ascii="Palatino Linotype" w:eastAsia="Palatino Linotype" w:hAnsi="Palatino Linotype" w:cs="Palatino Linotype"/>
          <w:sz w:val="22"/>
          <w:szCs w:val="22"/>
        </w:rPr>
        <w:t xml:space="preserve">; cédulas de datos personales; </w:t>
      </w:r>
      <w:r w:rsidR="00217262" w:rsidRPr="00C00ACE">
        <w:rPr>
          <w:rFonts w:ascii="Palatino Linotype" w:eastAsia="Palatino Linotype" w:hAnsi="Palatino Linotype" w:cs="Palatino Linotype"/>
          <w:sz w:val="22"/>
          <w:szCs w:val="22"/>
        </w:rPr>
        <w:t xml:space="preserve">acuerdo de calificación de falta administrativa; </w:t>
      </w:r>
      <w:r w:rsidR="002748E7" w:rsidRPr="00C00ACE">
        <w:rPr>
          <w:rFonts w:ascii="Palatino Linotype" w:eastAsia="Palatino Linotype" w:hAnsi="Palatino Linotype" w:cs="Palatino Linotype"/>
          <w:sz w:val="22"/>
          <w:szCs w:val="22"/>
        </w:rPr>
        <w:t>así como, oficios de notificación de acuerdos; y, de la foja 609 a la 619 la carátula de clasificación del expediente y su anexo 1 con los datos clasificados en los documentos como confidencial.</w:t>
      </w:r>
    </w:p>
    <w:p w14:paraId="09E74E70" w14:textId="77777777" w:rsidR="002748E7" w:rsidRPr="00C00ACE" w:rsidRDefault="002748E7" w:rsidP="002748E7">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p>
    <w:p w14:paraId="09B8C3DB" w14:textId="77777777" w:rsidR="001F54B0" w:rsidRPr="00C00ACE" w:rsidRDefault="00771C38" w:rsidP="00FC0D3E">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VP IEEM-CG-SUBS-074-2024 TII.pdf</w:t>
      </w:r>
      <w:r w:rsidRPr="00C00ACE">
        <w:rPr>
          <w:rFonts w:ascii="Palatino Linotype" w:eastAsia="Palatino Linotype" w:hAnsi="Palatino Linotype" w:cs="Palatino Linotype"/>
          <w:sz w:val="22"/>
          <w:szCs w:val="22"/>
        </w:rPr>
        <w:t>: Documento que contiene 311 fojas; de la foja 1 a la 3</w:t>
      </w:r>
      <w:r w:rsidR="00386D77" w:rsidRPr="00C00ACE">
        <w:rPr>
          <w:rFonts w:ascii="Palatino Linotype" w:eastAsia="Palatino Linotype" w:hAnsi="Palatino Linotype" w:cs="Palatino Linotype"/>
          <w:sz w:val="22"/>
          <w:szCs w:val="22"/>
        </w:rPr>
        <w:t>05</w:t>
      </w:r>
      <w:r w:rsidRPr="00C00ACE">
        <w:rPr>
          <w:rFonts w:ascii="Palatino Linotype" w:eastAsia="Palatino Linotype" w:hAnsi="Palatino Linotype" w:cs="Palatino Linotype"/>
          <w:sz w:val="22"/>
          <w:szCs w:val="22"/>
        </w:rPr>
        <w:t xml:space="preserve"> corresponden a constancias en versión pública que obran en el Tomo II del expediente de substanciación número IEEM/CG/SUBS/074/2024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 xml:space="preserve">” cometida por diversos ex servidores públicos; consistentes en: capturas de pantalla de la búsqueda en el sistema nacional de servidores públicos y particulares sancionados; </w:t>
      </w:r>
      <w:r w:rsidRPr="00C00ACE">
        <w:rPr>
          <w:rFonts w:ascii="Palatino Linotype" w:eastAsia="Palatino Linotype" w:hAnsi="Palatino Linotype" w:cs="Palatino Linotype"/>
          <w:b/>
          <w:sz w:val="22"/>
          <w:szCs w:val="22"/>
        </w:rPr>
        <w:t>Constancias de no inhabilitación clasificadas en su totalidad</w:t>
      </w:r>
      <w:r w:rsidRPr="00C00ACE">
        <w:rPr>
          <w:rFonts w:ascii="Palatino Linotype" w:eastAsia="Palatino Linotype" w:hAnsi="Palatino Linotype" w:cs="Palatino Linotype"/>
          <w:sz w:val="22"/>
          <w:szCs w:val="22"/>
        </w:rPr>
        <w:t xml:space="preserve">; Acuerdo de admisión del 29 de abril de 2024; oficio de solicitud de copias certificadas; Tarjeta de atención a solicitud de copias; </w:t>
      </w:r>
      <w:r w:rsidR="007D01CA" w:rsidRPr="00C00ACE">
        <w:rPr>
          <w:rFonts w:ascii="Palatino Linotype" w:eastAsia="Palatino Linotype" w:hAnsi="Palatino Linotype" w:cs="Palatino Linotype"/>
          <w:sz w:val="22"/>
          <w:szCs w:val="22"/>
        </w:rPr>
        <w:t>o</w:t>
      </w:r>
      <w:r w:rsidRPr="00C00ACE">
        <w:rPr>
          <w:rFonts w:ascii="Palatino Linotype" w:eastAsia="Palatino Linotype" w:hAnsi="Palatino Linotype" w:cs="Palatino Linotype"/>
          <w:sz w:val="22"/>
          <w:szCs w:val="22"/>
        </w:rPr>
        <w:t xml:space="preserve">ficio de emplazamiento a audiencia inicial; citatorio; </w:t>
      </w:r>
      <w:r w:rsidR="007D01CA" w:rsidRPr="00C00ACE">
        <w:rPr>
          <w:rFonts w:ascii="Palatino Linotype" w:eastAsia="Palatino Linotype" w:hAnsi="Palatino Linotype" w:cs="Palatino Linotype"/>
          <w:sz w:val="22"/>
          <w:szCs w:val="22"/>
        </w:rPr>
        <w:t>instructivo de notificación; of</w:t>
      </w:r>
      <w:r w:rsidRPr="00C00ACE">
        <w:rPr>
          <w:rFonts w:ascii="Palatino Linotype" w:eastAsia="Palatino Linotype" w:hAnsi="Palatino Linotype" w:cs="Palatino Linotype"/>
          <w:sz w:val="22"/>
          <w:szCs w:val="22"/>
        </w:rPr>
        <w:t xml:space="preserve">icio citatorio de audiencia inicial; acta administrativa de audiencia inicial; escrito de </w:t>
      </w:r>
      <w:r w:rsidRPr="00C00ACE">
        <w:rPr>
          <w:rFonts w:ascii="Palatino Linotype" w:eastAsia="Palatino Linotype" w:hAnsi="Palatino Linotype" w:cs="Palatino Linotype"/>
          <w:sz w:val="22"/>
          <w:szCs w:val="22"/>
        </w:rPr>
        <w:lastRenderedPageBreak/>
        <w:t>co</w:t>
      </w:r>
      <w:r w:rsidR="007D01CA" w:rsidRPr="00C00ACE">
        <w:rPr>
          <w:rFonts w:ascii="Palatino Linotype" w:eastAsia="Palatino Linotype" w:hAnsi="Palatino Linotype" w:cs="Palatino Linotype"/>
          <w:sz w:val="22"/>
          <w:szCs w:val="22"/>
        </w:rPr>
        <w:t>mparecencia de</w:t>
      </w:r>
      <w:r w:rsidRPr="00C00ACE">
        <w:rPr>
          <w:rFonts w:ascii="Palatino Linotype" w:eastAsia="Palatino Linotype" w:hAnsi="Palatino Linotype" w:cs="Palatino Linotype"/>
          <w:sz w:val="22"/>
          <w:szCs w:val="22"/>
        </w:rPr>
        <w:t xml:space="preserve"> audiencia inicial del 0</w:t>
      </w:r>
      <w:r w:rsidR="007D01CA" w:rsidRPr="00C00ACE">
        <w:rPr>
          <w:rFonts w:ascii="Palatino Linotype" w:eastAsia="Palatino Linotype" w:hAnsi="Palatino Linotype" w:cs="Palatino Linotype"/>
          <w:sz w:val="22"/>
          <w:szCs w:val="22"/>
        </w:rPr>
        <w:t>7</w:t>
      </w:r>
      <w:r w:rsidRPr="00C00ACE">
        <w:rPr>
          <w:rFonts w:ascii="Palatino Linotype" w:eastAsia="Palatino Linotype" w:hAnsi="Palatino Linotype" w:cs="Palatino Linotype"/>
          <w:sz w:val="22"/>
          <w:szCs w:val="22"/>
        </w:rPr>
        <w:t xml:space="preserve"> de junio de 2024; </w:t>
      </w:r>
      <w:r w:rsidR="007D01CA" w:rsidRPr="00C00ACE">
        <w:rPr>
          <w:rFonts w:ascii="Palatino Linotype" w:eastAsia="Palatino Linotype" w:hAnsi="Palatino Linotype" w:cs="Palatino Linotype"/>
          <w:b/>
          <w:sz w:val="22"/>
          <w:szCs w:val="22"/>
        </w:rPr>
        <w:t>Clave Única de Registro de Población clasificada en su totalidad</w:t>
      </w:r>
      <w:r w:rsidR="007D01CA" w:rsidRPr="00C00ACE">
        <w:rPr>
          <w:rFonts w:ascii="Palatino Linotype" w:eastAsia="Palatino Linotype" w:hAnsi="Palatino Linotype" w:cs="Palatino Linotype"/>
          <w:sz w:val="22"/>
          <w:szCs w:val="22"/>
        </w:rPr>
        <w:t xml:space="preserve">; </w:t>
      </w:r>
      <w:r w:rsidR="007D01CA" w:rsidRPr="00C00ACE">
        <w:rPr>
          <w:rFonts w:ascii="Palatino Linotype" w:eastAsia="Palatino Linotype" w:hAnsi="Palatino Linotype" w:cs="Palatino Linotype"/>
          <w:b/>
          <w:sz w:val="22"/>
          <w:szCs w:val="22"/>
        </w:rPr>
        <w:t xml:space="preserve">credenciales para votar expedidas por el Instituto Nacional Electoral clasificadas en su totalidad; </w:t>
      </w:r>
      <w:r w:rsidR="007D01CA" w:rsidRPr="00C00ACE">
        <w:rPr>
          <w:rFonts w:ascii="Palatino Linotype" w:eastAsia="Palatino Linotype" w:hAnsi="Palatino Linotype" w:cs="Palatino Linotype"/>
          <w:sz w:val="22"/>
          <w:szCs w:val="22"/>
        </w:rPr>
        <w:t>dictamen del 08 de septiembre de 2021; acta circunstanciada del 21 de mayo de 2023; oficios de comparecencia a audiencia inicial; oficio de solicitud de declaratoria de inexistencia; nombramiento del Subjefe de Unidad; Acuerdo de admisión y desahogo de pruebas; citatorio; cédula de notificación; oficios de notificación personal</w:t>
      </w:r>
      <w:r w:rsidR="001B7BEA" w:rsidRPr="00C00ACE">
        <w:rPr>
          <w:rFonts w:ascii="Palatino Linotype" w:eastAsia="Palatino Linotype" w:hAnsi="Palatino Linotype" w:cs="Palatino Linotype"/>
          <w:sz w:val="22"/>
          <w:szCs w:val="22"/>
        </w:rPr>
        <w:t>, formulación de alegatos</w:t>
      </w:r>
      <w:r w:rsidR="007D01CA" w:rsidRPr="00C00ACE">
        <w:rPr>
          <w:rFonts w:ascii="Palatino Linotype" w:eastAsia="Palatino Linotype" w:hAnsi="Palatino Linotype" w:cs="Palatino Linotype"/>
          <w:sz w:val="22"/>
          <w:szCs w:val="22"/>
        </w:rPr>
        <w:t>;</w:t>
      </w:r>
      <w:r w:rsidR="001B7BEA" w:rsidRPr="00C00ACE">
        <w:rPr>
          <w:rFonts w:ascii="Palatino Linotype" w:eastAsia="Palatino Linotype" w:hAnsi="Palatino Linotype" w:cs="Palatino Linotype"/>
          <w:sz w:val="22"/>
          <w:szCs w:val="22"/>
        </w:rPr>
        <w:t xml:space="preserve"> acuerdo de integración, recepción, alegatos y cierre de instrucción; cédula de notificación </w:t>
      </w:r>
      <w:r w:rsidR="00942C8D" w:rsidRPr="00C00ACE">
        <w:rPr>
          <w:rFonts w:ascii="Palatino Linotype" w:eastAsia="Palatino Linotype" w:hAnsi="Palatino Linotype" w:cs="Palatino Linotype"/>
          <w:sz w:val="22"/>
          <w:szCs w:val="22"/>
        </w:rPr>
        <w:t>y razón de retiro de estrados</w:t>
      </w:r>
      <w:r w:rsidR="009A51C1" w:rsidRPr="00C00ACE">
        <w:rPr>
          <w:rFonts w:ascii="Palatino Linotype" w:eastAsia="Palatino Linotype" w:hAnsi="Palatino Linotype" w:cs="Palatino Linotype"/>
          <w:sz w:val="22"/>
          <w:szCs w:val="22"/>
        </w:rPr>
        <w:t xml:space="preserve">; Resolución del 06 de septiembre de 2024; Acuerdo de firmeza de resolución, de fecha </w:t>
      </w:r>
      <w:r w:rsidR="00EE4E42" w:rsidRPr="00C00ACE">
        <w:rPr>
          <w:rFonts w:ascii="Palatino Linotype" w:eastAsia="Palatino Linotype" w:hAnsi="Palatino Linotype" w:cs="Palatino Linotype"/>
          <w:sz w:val="22"/>
          <w:szCs w:val="22"/>
        </w:rPr>
        <w:t>28 de octubre de</w:t>
      </w:r>
      <w:r w:rsidR="009A51C1" w:rsidRPr="00C00ACE">
        <w:rPr>
          <w:rFonts w:ascii="Palatino Linotype" w:eastAsia="Palatino Linotype" w:hAnsi="Palatino Linotype" w:cs="Palatino Linotype"/>
          <w:sz w:val="22"/>
          <w:szCs w:val="22"/>
        </w:rPr>
        <w:t xml:space="preserve"> 2024; </w:t>
      </w:r>
      <w:r w:rsidR="00EE4E42" w:rsidRPr="00C00ACE">
        <w:rPr>
          <w:rFonts w:ascii="Palatino Linotype" w:eastAsia="Palatino Linotype" w:hAnsi="Palatino Linotype" w:cs="Palatino Linotype"/>
          <w:sz w:val="22"/>
          <w:szCs w:val="22"/>
        </w:rPr>
        <w:t>oficio de notificación; citatorio; instructivo de notificación; cédula de notificación y razón de retiro de estrados;</w:t>
      </w:r>
      <w:r w:rsidRPr="00C00ACE">
        <w:rPr>
          <w:rFonts w:ascii="Palatino Linotype" w:eastAsia="Palatino Linotype" w:hAnsi="Palatino Linotype" w:cs="Palatino Linotype"/>
          <w:sz w:val="22"/>
          <w:szCs w:val="22"/>
        </w:rPr>
        <w:t xml:space="preserve"> y, de la foja 3</w:t>
      </w:r>
      <w:r w:rsidR="00EE4E42" w:rsidRPr="00C00ACE">
        <w:rPr>
          <w:rFonts w:ascii="Palatino Linotype" w:eastAsia="Palatino Linotype" w:hAnsi="Palatino Linotype" w:cs="Palatino Linotype"/>
          <w:sz w:val="22"/>
          <w:szCs w:val="22"/>
        </w:rPr>
        <w:t>06</w:t>
      </w:r>
      <w:r w:rsidRPr="00C00ACE">
        <w:rPr>
          <w:rFonts w:ascii="Palatino Linotype" w:eastAsia="Palatino Linotype" w:hAnsi="Palatino Linotype" w:cs="Palatino Linotype"/>
          <w:sz w:val="22"/>
          <w:szCs w:val="22"/>
        </w:rPr>
        <w:t xml:space="preserve"> a la 3</w:t>
      </w:r>
      <w:r w:rsidR="00EE4E42" w:rsidRPr="00C00ACE">
        <w:rPr>
          <w:rFonts w:ascii="Palatino Linotype" w:eastAsia="Palatino Linotype" w:hAnsi="Palatino Linotype" w:cs="Palatino Linotype"/>
          <w:sz w:val="22"/>
          <w:szCs w:val="22"/>
        </w:rPr>
        <w:t>11</w:t>
      </w:r>
      <w:r w:rsidRPr="00C00ACE">
        <w:rPr>
          <w:rFonts w:ascii="Palatino Linotype" w:eastAsia="Palatino Linotype" w:hAnsi="Palatino Linotype" w:cs="Palatino Linotype"/>
          <w:sz w:val="22"/>
          <w:szCs w:val="22"/>
        </w:rPr>
        <w:t xml:space="preserve"> la carátula de clasificación del expediente y su anexo 1 con los datos clasificados en los documentos como confidencial.</w:t>
      </w:r>
    </w:p>
    <w:p w14:paraId="103E5FA2" w14:textId="77777777" w:rsidR="007369BE" w:rsidRPr="00C00ACE" w:rsidRDefault="007369BE" w:rsidP="007369BE">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43E790BC" w14:textId="77777777" w:rsidR="00386D77" w:rsidRPr="00C00ACE" w:rsidRDefault="007369BE" w:rsidP="00FC0D3E">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 xml:space="preserve">VP IEEM-CG-SUBS-075-2024 TI.pdf: </w:t>
      </w:r>
      <w:r w:rsidRPr="00C00ACE">
        <w:rPr>
          <w:rFonts w:ascii="Palatino Linotype" w:eastAsia="Palatino Linotype" w:hAnsi="Palatino Linotype" w:cs="Palatino Linotype"/>
          <w:sz w:val="22"/>
          <w:szCs w:val="22"/>
        </w:rPr>
        <w:t xml:space="preserve">Documento que contiene 619 fojas; de la foja 1 a la 162 corresponden a constancias en versión pública que obran en el Tomo I del expediente de substanciación número IEEM/CG/SUBS/075/2024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”cometida por diversos ex servidores públicos; consistentes en: Oficio donde se remite el Informe de Presunta Responsabilidad Administrativa del 18 de abril de 2024 e Informe de Presunta Responsabilidad Administrativa; de la foja 163 a 608 las constancias en versión pública del expediente de investigación número IEEM/CG/INV/OF/068/2023, consistentes en: Oficio del 17 de agosto de 2023 signado por el Subcontralor de Fiscalización; oficio del 15 de agosto de 2023 signado por la Jefa de la Unidad de Transparencia; Acuerdo del Comité de Transparencia del 14 de agosto de 2023; Acuerdo de radicación del expediente de investigación del 18 de agosto de 2023; Oficio de notificación de acuerdo del 18 de agosto de 2023; Acuerdos del 18 de agosto, 6, 8</w:t>
      </w:r>
      <w:r w:rsidR="00D404D3" w:rsidRPr="00C00ACE">
        <w:rPr>
          <w:rFonts w:ascii="Palatino Linotype" w:eastAsia="Palatino Linotype" w:hAnsi="Palatino Linotype" w:cs="Palatino Linotype"/>
          <w:sz w:val="22"/>
          <w:szCs w:val="22"/>
        </w:rPr>
        <w:t xml:space="preserve">, 13, 25, </w:t>
      </w:r>
      <w:r w:rsidRPr="00C00ACE">
        <w:rPr>
          <w:rFonts w:ascii="Palatino Linotype" w:eastAsia="Palatino Linotype" w:hAnsi="Palatino Linotype" w:cs="Palatino Linotype"/>
          <w:sz w:val="22"/>
          <w:szCs w:val="22"/>
        </w:rPr>
        <w:t xml:space="preserve">de septiembre, </w:t>
      </w:r>
      <w:r w:rsidR="00D404D3" w:rsidRPr="00C00ACE">
        <w:rPr>
          <w:rFonts w:ascii="Palatino Linotype" w:eastAsia="Palatino Linotype" w:hAnsi="Palatino Linotype" w:cs="Palatino Linotype"/>
          <w:sz w:val="22"/>
          <w:szCs w:val="22"/>
        </w:rPr>
        <w:t xml:space="preserve">03 de octubre, 07, 09 y 27 de noviembre </w:t>
      </w:r>
      <w:r w:rsidRPr="00C00ACE">
        <w:rPr>
          <w:rFonts w:ascii="Palatino Linotype" w:eastAsia="Palatino Linotype" w:hAnsi="Palatino Linotype" w:cs="Palatino Linotype"/>
          <w:sz w:val="22"/>
          <w:szCs w:val="22"/>
        </w:rPr>
        <w:t>de 2023</w:t>
      </w:r>
      <w:r w:rsidR="00D404D3" w:rsidRPr="00C00ACE">
        <w:rPr>
          <w:rFonts w:ascii="Palatino Linotype" w:eastAsia="Palatino Linotype" w:hAnsi="Palatino Linotype" w:cs="Palatino Linotype"/>
          <w:sz w:val="22"/>
          <w:szCs w:val="22"/>
        </w:rPr>
        <w:t>, 27 y 28 de febrero, 01 y 13 de marzo</w:t>
      </w:r>
      <w:r w:rsidR="00270F24" w:rsidRPr="00C00ACE">
        <w:rPr>
          <w:rFonts w:ascii="Palatino Linotype" w:eastAsia="Palatino Linotype" w:hAnsi="Palatino Linotype" w:cs="Palatino Linotype"/>
          <w:sz w:val="22"/>
          <w:szCs w:val="22"/>
        </w:rPr>
        <w:t xml:space="preserve">, 15 </w:t>
      </w:r>
      <w:r w:rsidR="000C2ECC" w:rsidRPr="00C00ACE">
        <w:rPr>
          <w:rFonts w:ascii="Palatino Linotype" w:eastAsia="Palatino Linotype" w:hAnsi="Palatino Linotype" w:cs="Palatino Linotype"/>
          <w:sz w:val="22"/>
          <w:szCs w:val="22"/>
        </w:rPr>
        <w:t xml:space="preserve">y 22 </w:t>
      </w:r>
      <w:r w:rsidR="00270F24" w:rsidRPr="00C00ACE">
        <w:rPr>
          <w:rFonts w:ascii="Palatino Linotype" w:eastAsia="Palatino Linotype" w:hAnsi="Palatino Linotype" w:cs="Palatino Linotype"/>
          <w:sz w:val="22"/>
          <w:szCs w:val="22"/>
        </w:rPr>
        <w:t>de abril de 2024</w:t>
      </w:r>
      <w:r w:rsidRPr="00C00ACE">
        <w:rPr>
          <w:rFonts w:ascii="Palatino Linotype" w:eastAsia="Palatino Linotype" w:hAnsi="Palatino Linotype" w:cs="Palatino Linotype"/>
          <w:sz w:val="22"/>
          <w:szCs w:val="22"/>
        </w:rPr>
        <w:t xml:space="preserve">; Oficios de solicitud y entrega de información; impresión de correos </w:t>
      </w:r>
      <w:r w:rsidRPr="00C00ACE">
        <w:rPr>
          <w:rFonts w:ascii="Palatino Linotype" w:eastAsia="Palatino Linotype" w:hAnsi="Palatino Linotype" w:cs="Palatino Linotype"/>
          <w:sz w:val="22"/>
          <w:szCs w:val="22"/>
        </w:rPr>
        <w:lastRenderedPageBreak/>
        <w:t>electrónicos institucionales con asunto de respuestas a solicitudes de información;</w:t>
      </w:r>
      <w:r w:rsidR="0009600B" w:rsidRPr="00C00ACE">
        <w:rPr>
          <w:rFonts w:ascii="Palatino Linotype" w:eastAsia="Palatino Linotype" w:hAnsi="Palatino Linotype" w:cs="Palatino Linotype"/>
          <w:sz w:val="22"/>
          <w:szCs w:val="22"/>
        </w:rPr>
        <w:t xml:space="preserve"> </w:t>
      </w:r>
      <w:r w:rsidR="00D404D3" w:rsidRPr="00C00ACE">
        <w:rPr>
          <w:rFonts w:ascii="Palatino Linotype" w:eastAsia="Palatino Linotype" w:hAnsi="Palatino Linotype" w:cs="Palatino Linotype"/>
          <w:sz w:val="22"/>
          <w:szCs w:val="22"/>
        </w:rPr>
        <w:t xml:space="preserve">solicitud de inexistencia de información; </w:t>
      </w:r>
      <w:r w:rsidRPr="00C00ACE">
        <w:rPr>
          <w:rFonts w:ascii="Palatino Linotype" w:eastAsia="Palatino Linotype" w:hAnsi="Palatino Linotype" w:cs="Palatino Linotype"/>
          <w:sz w:val="22"/>
          <w:szCs w:val="22"/>
        </w:rPr>
        <w:t xml:space="preserve">Oficios de respuesta a solicitudes de información; </w:t>
      </w:r>
      <w:r w:rsidR="00D404D3" w:rsidRPr="00C00ACE">
        <w:rPr>
          <w:rFonts w:ascii="Palatino Linotype" w:eastAsia="Palatino Linotype" w:hAnsi="Palatino Linotype" w:cs="Palatino Linotype"/>
          <w:sz w:val="22"/>
          <w:szCs w:val="22"/>
        </w:rPr>
        <w:t xml:space="preserve">Nombramientos de servidores públicos; Acta circunstanciada del 06 de julio de 2023; Reportes de entrega de paquetes electorales; reporte de constancia de clausura de casilla y remisión del paquete electoral al Consejo; Oficio de informe de cumplimiento del 13 de mayo de 2023; solicitud de clasificación de información; Contratos individuales de trabajo por tiempo determinado; </w:t>
      </w:r>
      <w:r w:rsidRPr="00C00ACE">
        <w:rPr>
          <w:rFonts w:ascii="Palatino Linotype" w:eastAsia="Palatino Linotype" w:hAnsi="Palatino Linotype" w:cs="Palatino Linotype"/>
          <w:b/>
          <w:sz w:val="22"/>
          <w:szCs w:val="22"/>
        </w:rPr>
        <w:t>Avisos de Movimientos al ISSEMYM clasificados en su totalidad</w:t>
      </w:r>
      <w:r w:rsidRPr="00C00ACE">
        <w:rPr>
          <w:rFonts w:ascii="Palatino Linotype" w:eastAsia="Palatino Linotype" w:hAnsi="Palatino Linotype" w:cs="Palatino Linotype"/>
          <w:sz w:val="22"/>
          <w:szCs w:val="22"/>
        </w:rPr>
        <w:t xml:space="preserve">; cédulas de datos personales; </w:t>
      </w:r>
      <w:r w:rsidR="00270F24" w:rsidRPr="00C00ACE">
        <w:rPr>
          <w:rFonts w:ascii="Palatino Linotype" w:eastAsia="Palatino Linotype" w:hAnsi="Palatino Linotype" w:cs="Palatino Linotype"/>
          <w:sz w:val="22"/>
          <w:szCs w:val="22"/>
        </w:rPr>
        <w:t xml:space="preserve">acuerdo de calificación de falta administrativa; así como, oficios de notificación de acuerdos; </w:t>
      </w:r>
      <w:r w:rsidRPr="00C00ACE">
        <w:rPr>
          <w:rFonts w:ascii="Palatino Linotype" w:eastAsia="Palatino Linotype" w:hAnsi="Palatino Linotype" w:cs="Palatino Linotype"/>
          <w:sz w:val="22"/>
          <w:szCs w:val="22"/>
        </w:rPr>
        <w:t>y, de la foja 609 a la 619 la carátula de clasificación del expediente y su anexo 1 con los datos clasificados en los documentos como confidencial.</w:t>
      </w:r>
    </w:p>
    <w:p w14:paraId="25A84FB2" w14:textId="77777777" w:rsidR="00553123" w:rsidRPr="00C00ACE" w:rsidRDefault="00553123" w:rsidP="00553123">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45061982" w14:textId="77777777" w:rsidR="002477D4" w:rsidRPr="00C00ACE" w:rsidRDefault="00553123" w:rsidP="00FC0D3E">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 xml:space="preserve">VP IEEM-CG-SUBS-075-2024-TII.pdf: </w:t>
      </w:r>
      <w:r w:rsidR="00021CCF" w:rsidRPr="00C00ACE">
        <w:rPr>
          <w:rFonts w:ascii="Palatino Linotype" w:eastAsia="Palatino Linotype" w:hAnsi="Palatino Linotype" w:cs="Palatino Linotype"/>
          <w:sz w:val="22"/>
          <w:szCs w:val="22"/>
        </w:rPr>
        <w:t>Documento que contiene 298</w:t>
      </w:r>
      <w:r w:rsidRPr="00C00ACE">
        <w:rPr>
          <w:rFonts w:ascii="Palatino Linotype" w:eastAsia="Palatino Linotype" w:hAnsi="Palatino Linotype" w:cs="Palatino Linotype"/>
          <w:sz w:val="22"/>
          <w:szCs w:val="22"/>
        </w:rPr>
        <w:t xml:space="preserve"> fojas; de la foja 1 a la </w:t>
      </w:r>
      <w:r w:rsidR="00021CCF" w:rsidRPr="00C00ACE">
        <w:rPr>
          <w:rFonts w:ascii="Palatino Linotype" w:eastAsia="Palatino Linotype" w:hAnsi="Palatino Linotype" w:cs="Palatino Linotype"/>
          <w:sz w:val="22"/>
          <w:szCs w:val="22"/>
        </w:rPr>
        <w:t>293</w:t>
      </w:r>
      <w:r w:rsidRPr="00C00ACE">
        <w:rPr>
          <w:rFonts w:ascii="Palatino Linotype" w:eastAsia="Palatino Linotype" w:hAnsi="Palatino Linotype" w:cs="Palatino Linotype"/>
          <w:sz w:val="22"/>
          <w:szCs w:val="22"/>
        </w:rPr>
        <w:t xml:space="preserve"> corresponden a constancias en versión pública que obran en el Tomo II del expediente de substanciación número IEEM/CG/SUBS/07</w:t>
      </w:r>
      <w:r w:rsidR="00F3041C" w:rsidRPr="00C00ACE">
        <w:rPr>
          <w:rFonts w:ascii="Palatino Linotype" w:eastAsia="Palatino Linotype" w:hAnsi="Palatino Linotype" w:cs="Palatino Linotype"/>
          <w:sz w:val="22"/>
          <w:szCs w:val="22"/>
        </w:rPr>
        <w:t>5</w:t>
      </w:r>
      <w:r w:rsidRPr="00C00ACE">
        <w:rPr>
          <w:rFonts w:ascii="Palatino Linotype" w:eastAsia="Palatino Linotype" w:hAnsi="Palatino Linotype" w:cs="Palatino Linotype"/>
          <w:sz w:val="22"/>
          <w:szCs w:val="22"/>
        </w:rPr>
        <w:t xml:space="preserve">/2024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 xml:space="preserve">” cometida por diversos ex servidores públicos; consistentes en: </w:t>
      </w:r>
      <w:r w:rsidR="00F3041C" w:rsidRPr="00C00ACE">
        <w:rPr>
          <w:rFonts w:ascii="Palatino Linotype" w:eastAsia="Palatino Linotype" w:hAnsi="Palatino Linotype" w:cs="Palatino Linotype"/>
          <w:sz w:val="22"/>
          <w:szCs w:val="22"/>
        </w:rPr>
        <w:t xml:space="preserve">Acuerdo de admisión del 29 de abril de 2024; oficio de solicitud de copias certificadas; </w:t>
      </w:r>
      <w:r w:rsidR="00F3041C" w:rsidRPr="00C00ACE">
        <w:rPr>
          <w:rFonts w:ascii="Palatino Linotype" w:eastAsia="Palatino Linotype" w:hAnsi="Palatino Linotype" w:cs="Palatino Linotype"/>
          <w:b/>
          <w:sz w:val="22"/>
          <w:szCs w:val="22"/>
        </w:rPr>
        <w:t>Constancias de no inhabilitación clasificadas en su totalidad</w:t>
      </w:r>
      <w:r w:rsidR="00F3041C" w:rsidRPr="00C00ACE">
        <w:rPr>
          <w:rFonts w:ascii="Palatino Linotype" w:eastAsia="Palatino Linotype" w:hAnsi="Palatino Linotype" w:cs="Palatino Linotype"/>
          <w:sz w:val="22"/>
          <w:szCs w:val="22"/>
        </w:rPr>
        <w:t>; capturas de pantalla de la búsqueda en el sistema nacional de servidores públicos y particulares sancionados;</w:t>
      </w:r>
      <w:r w:rsidR="00746437"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sz w:val="22"/>
          <w:szCs w:val="22"/>
        </w:rPr>
        <w:t xml:space="preserve">Tarjeta de atención a solicitud de copias; </w:t>
      </w:r>
      <w:r w:rsidR="00746437" w:rsidRPr="00C00ACE">
        <w:rPr>
          <w:rFonts w:ascii="Palatino Linotype" w:eastAsia="Palatino Linotype" w:hAnsi="Palatino Linotype" w:cs="Palatino Linotype"/>
          <w:sz w:val="22"/>
          <w:szCs w:val="22"/>
        </w:rPr>
        <w:t xml:space="preserve">oficio de emplazamiento a audiencia inicial; cédula de notificación; </w:t>
      </w:r>
      <w:r w:rsidR="00746437" w:rsidRPr="00C00ACE">
        <w:rPr>
          <w:rFonts w:ascii="Palatino Linotype" w:eastAsia="Palatino Linotype" w:hAnsi="Palatino Linotype" w:cs="Palatino Linotype"/>
          <w:b/>
          <w:sz w:val="22"/>
          <w:szCs w:val="22"/>
        </w:rPr>
        <w:t>cédula profesional de servidor público responsable dentro del procedimiento administrativo, clasificada en su totalidad</w:t>
      </w:r>
      <w:r w:rsidR="00746437" w:rsidRPr="00C00ACE">
        <w:rPr>
          <w:rFonts w:ascii="Palatino Linotype" w:eastAsia="Palatino Linotype" w:hAnsi="Palatino Linotype" w:cs="Palatino Linotype"/>
          <w:sz w:val="22"/>
          <w:szCs w:val="22"/>
        </w:rPr>
        <w:t xml:space="preserve">; </w:t>
      </w:r>
      <w:r w:rsidR="007D7BB2" w:rsidRPr="00C00ACE">
        <w:rPr>
          <w:rFonts w:ascii="Palatino Linotype" w:eastAsia="Palatino Linotype" w:hAnsi="Palatino Linotype" w:cs="Palatino Linotype"/>
          <w:sz w:val="22"/>
          <w:szCs w:val="22"/>
        </w:rPr>
        <w:t>citatorios audiencia inicial; Acuerdo del 21 de mayo de 2024; oficio</w:t>
      </w:r>
      <w:r w:rsidR="002477D4" w:rsidRPr="00C00ACE">
        <w:rPr>
          <w:rFonts w:ascii="Palatino Linotype" w:eastAsia="Palatino Linotype" w:hAnsi="Palatino Linotype" w:cs="Palatino Linotype"/>
          <w:sz w:val="22"/>
          <w:szCs w:val="22"/>
        </w:rPr>
        <w:t>s de</w:t>
      </w:r>
      <w:r w:rsidR="007D7BB2" w:rsidRPr="00C00ACE">
        <w:rPr>
          <w:rFonts w:ascii="Palatino Linotype" w:eastAsia="Palatino Linotype" w:hAnsi="Palatino Linotype" w:cs="Palatino Linotype"/>
          <w:sz w:val="22"/>
          <w:szCs w:val="22"/>
        </w:rPr>
        <w:t xml:space="preserve"> comparecencia a audiencia inicial; nombramiento del Subcontralor de Investigación y del Subjefe de Transparencia; </w:t>
      </w:r>
      <w:r w:rsidR="002477D4" w:rsidRPr="00C00ACE">
        <w:rPr>
          <w:rFonts w:ascii="Palatino Linotype" w:eastAsia="Palatino Linotype" w:hAnsi="Palatino Linotype" w:cs="Palatino Linotype"/>
          <w:sz w:val="22"/>
          <w:szCs w:val="22"/>
        </w:rPr>
        <w:t xml:space="preserve">solicitudes de información; </w:t>
      </w:r>
      <w:r w:rsidRPr="00C00ACE">
        <w:rPr>
          <w:rFonts w:ascii="Palatino Linotype" w:eastAsia="Palatino Linotype" w:hAnsi="Palatino Linotype" w:cs="Palatino Linotype"/>
          <w:sz w:val="22"/>
          <w:szCs w:val="22"/>
        </w:rPr>
        <w:t xml:space="preserve">acta administrativa de audiencia inicial; </w:t>
      </w:r>
      <w:r w:rsidR="002477D4" w:rsidRPr="00C00ACE">
        <w:rPr>
          <w:rFonts w:ascii="Palatino Linotype" w:eastAsia="Palatino Linotype" w:hAnsi="Palatino Linotype" w:cs="Palatino Linotype"/>
          <w:b/>
          <w:sz w:val="22"/>
          <w:szCs w:val="22"/>
        </w:rPr>
        <w:t xml:space="preserve">credencial para votar expedida por el Instituto Nacional Electoral clasificada en su totalidad; </w:t>
      </w:r>
      <w:r w:rsidR="00606119" w:rsidRPr="00C00ACE">
        <w:rPr>
          <w:rFonts w:ascii="Palatino Linotype" w:eastAsia="Palatino Linotype" w:hAnsi="Palatino Linotype" w:cs="Palatino Linotype"/>
          <w:sz w:val="22"/>
          <w:szCs w:val="22"/>
        </w:rPr>
        <w:t xml:space="preserve">oficios de remisión de copias simples; Acuerdo de admisión y desahogo de pruebas; citatorio; cédula de notificación; oficios de notificación personal, formulación de alegatos; acuerdo de integración, recepción, alegatos y cierre de instrucción; cédula de notificación y </w:t>
      </w:r>
      <w:r w:rsidR="00606119" w:rsidRPr="00C00ACE">
        <w:rPr>
          <w:rFonts w:ascii="Palatino Linotype" w:eastAsia="Palatino Linotype" w:hAnsi="Palatino Linotype" w:cs="Palatino Linotype"/>
          <w:sz w:val="22"/>
          <w:szCs w:val="22"/>
        </w:rPr>
        <w:lastRenderedPageBreak/>
        <w:t>razón de retiro de estrados; oficio formulación de alegatos; acuerdo del 16 de julio de 2024: cédulas de notificación y razón de retiro de notificación por estrados; acuerdo de cierre de instrucción; Resolución del 18 de septiembre de 2024; Acuerdo de firmeza de resolución, de fecha 21 de octubre de 2024; cédula de notificación; y, de la foja 294 a la 298 la carátula de clasificación del expediente y su anexo 1 con los datos clasificados en los documentos como confidencial.</w:t>
      </w:r>
    </w:p>
    <w:p w14:paraId="160D72C3" w14:textId="77777777" w:rsidR="00FC0D3E" w:rsidRPr="00C00ACE" w:rsidRDefault="00FC0D3E" w:rsidP="00FC0D3E">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1CF850D9" w14:textId="77777777" w:rsidR="002477D4" w:rsidRPr="00C00ACE" w:rsidRDefault="00FC0D3E" w:rsidP="00CA116B">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VP IEEM-CG-SUBS-076-2024 TI.pdf</w:t>
      </w:r>
      <w:r w:rsidRPr="00C00ACE">
        <w:rPr>
          <w:rFonts w:ascii="Palatino Linotype" w:eastAsia="Palatino Linotype" w:hAnsi="Palatino Linotype" w:cs="Palatino Linotype"/>
          <w:sz w:val="22"/>
          <w:szCs w:val="22"/>
        </w:rPr>
        <w:t>: Documento que contiene 619 fojas; de la foja 1 a la 162 corresponden a constancias en versión pública que obran en el Tomo I del expediente de substanciación número IEEM/CG/SUBS/07</w:t>
      </w:r>
      <w:r w:rsidR="00786F7F" w:rsidRPr="00C00ACE">
        <w:rPr>
          <w:rFonts w:ascii="Palatino Linotype" w:eastAsia="Palatino Linotype" w:hAnsi="Palatino Linotype" w:cs="Palatino Linotype"/>
          <w:sz w:val="22"/>
          <w:szCs w:val="22"/>
        </w:rPr>
        <w:t>6</w:t>
      </w:r>
      <w:r w:rsidRPr="00C00ACE">
        <w:rPr>
          <w:rFonts w:ascii="Palatino Linotype" w:eastAsia="Palatino Linotype" w:hAnsi="Palatino Linotype" w:cs="Palatino Linotype"/>
          <w:sz w:val="22"/>
          <w:szCs w:val="22"/>
        </w:rPr>
        <w:t xml:space="preserve">/2024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 xml:space="preserve">”cometida por diversos ex servidores públicos; consistentes en: Oficio donde se remite el Informe de Presunta Responsabilidad Administrativa del 18 de abril de 2024 e Informe de Presunta Responsabilidad Administrativa; de la foja 163 a 608 las constancias en versión pública del expediente de investigación número IEEM/CG/INV/OF/068/2023, consistentes en: Oficio del 17 de agosto de 2023 signado por el Subcontralor de Fiscalización; oficio del 15 de agosto de 2023 signado por la Jefa de la Unidad de Transparencia; </w:t>
      </w:r>
      <w:r w:rsidR="00786F7F" w:rsidRPr="00C00ACE">
        <w:rPr>
          <w:rFonts w:ascii="Palatino Linotype" w:eastAsia="Palatino Linotype" w:hAnsi="Palatino Linotype" w:cs="Palatino Linotype"/>
          <w:sz w:val="22"/>
          <w:szCs w:val="22"/>
        </w:rPr>
        <w:t xml:space="preserve">Acuerdo del Comité de Transparencia del 14 de agosto de 2023; </w:t>
      </w:r>
      <w:r w:rsidRPr="00C00ACE">
        <w:rPr>
          <w:rFonts w:ascii="Palatino Linotype" w:eastAsia="Palatino Linotype" w:hAnsi="Palatino Linotype" w:cs="Palatino Linotype"/>
          <w:sz w:val="22"/>
          <w:szCs w:val="22"/>
        </w:rPr>
        <w:t>Acuerdo de radicación del expediente de investigación del 18 de agosto de 2023; Oficio de notificación de acuerdo del 18 de agosto de 2023; Acuerdos del 18 de agosto</w:t>
      </w:r>
      <w:r w:rsidR="00786F7F" w:rsidRPr="00C00ACE">
        <w:rPr>
          <w:rFonts w:ascii="Palatino Linotype" w:eastAsia="Palatino Linotype" w:hAnsi="Palatino Linotype" w:cs="Palatino Linotype"/>
          <w:sz w:val="22"/>
          <w:szCs w:val="22"/>
        </w:rPr>
        <w:t>, 06, 08, 13, 25, de septiembre, 03 de octubre, 07, 09, 27 de noviembre de 2023</w:t>
      </w:r>
      <w:r w:rsidR="00357DE6" w:rsidRPr="00C00ACE">
        <w:rPr>
          <w:rFonts w:ascii="Palatino Linotype" w:eastAsia="Palatino Linotype" w:hAnsi="Palatino Linotype" w:cs="Palatino Linotype"/>
          <w:sz w:val="22"/>
          <w:szCs w:val="22"/>
        </w:rPr>
        <w:t>,</w:t>
      </w:r>
      <w:r w:rsidRPr="00C00ACE">
        <w:rPr>
          <w:rFonts w:ascii="Palatino Linotype" w:eastAsia="Palatino Linotype" w:hAnsi="Palatino Linotype" w:cs="Palatino Linotype"/>
          <w:sz w:val="22"/>
          <w:szCs w:val="22"/>
        </w:rPr>
        <w:t xml:space="preserve"> </w:t>
      </w:r>
      <w:r w:rsidR="00357DE6" w:rsidRPr="00C00ACE">
        <w:rPr>
          <w:rFonts w:ascii="Palatino Linotype" w:eastAsia="Palatino Linotype" w:hAnsi="Palatino Linotype" w:cs="Palatino Linotype"/>
          <w:sz w:val="22"/>
          <w:szCs w:val="22"/>
        </w:rPr>
        <w:t>27 y 28 de febrero, 01 y 13 de marzo, 15 y 22 de abril de 2024</w:t>
      </w:r>
      <w:r w:rsidR="00786F7F" w:rsidRPr="00C00ACE">
        <w:rPr>
          <w:rFonts w:ascii="Palatino Linotype" w:eastAsia="Palatino Linotype" w:hAnsi="Palatino Linotype" w:cs="Palatino Linotype"/>
          <w:sz w:val="22"/>
          <w:szCs w:val="22"/>
        </w:rPr>
        <w:t>; Oficios de solicitud y entrega de información; impresión de correos electrónicos institucionales con asunto de respuestas a solicitudes de información; solicitud de inexistencia de información; Oficios de respuesta a solicitudes de información; Nombramientos de servidores públicos; Acta circunstanciada del 06 de julio de 2023; Reportes de entrega de paquetes electorales; reporte de constancia de clausura de casilla y remisión del paquete electoral al Consejo; Oficio de informe de cumplimiento del 13 de mayo de 2023; solicitud de clasificación de información; Contratos individuales de trabajo por tiempo determinado;</w:t>
      </w:r>
      <w:r w:rsidR="00786F7F" w:rsidRPr="00C00ACE">
        <w:rPr>
          <w:rFonts w:ascii="Palatino Linotype" w:eastAsia="Palatino Linotype" w:hAnsi="Palatino Linotype" w:cs="Palatino Linotype"/>
          <w:b/>
          <w:sz w:val="22"/>
          <w:szCs w:val="22"/>
        </w:rPr>
        <w:t xml:space="preserve"> Avisos de Movimientos al ISSEMYM clasificados en su totalidad</w:t>
      </w:r>
      <w:r w:rsidR="00786F7F" w:rsidRPr="00C00ACE">
        <w:rPr>
          <w:rFonts w:ascii="Palatino Linotype" w:eastAsia="Palatino Linotype" w:hAnsi="Palatino Linotype" w:cs="Palatino Linotype"/>
          <w:sz w:val="22"/>
          <w:szCs w:val="22"/>
        </w:rPr>
        <w:t xml:space="preserve">; </w:t>
      </w:r>
      <w:r w:rsidR="00786F7F" w:rsidRPr="00C00ACE">
        <w:rPr>
          <w:rFonts w:ascii="Palatino Linotype" w:eastAsia="Palatino Linotype" w:hAnsi="Palatino Linotype" w:cs="Palatino Linotype"/>
          <w:sz w:val="22"/>
          <w:szCs w:val="22"/>
        </w:rPr>
        <w:lastRenderedPageBreak/>
        <w:t>cédulas de datos personales;</w:t>
      </w:r>
      <w:r w:rsidR="00357DE6"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sz w:val="22"/>
          <w:szCs w:val="22"/>
        </w:rPr>
        <w:t>acuerdo de calificación de falta administrativa; así como, oficios de notificación de acuerdos; y, de la foja 609 a la 619 la carátula de clasificación del expediente y su anexo 1 con los datos clasificados en los documentos como confidencial.</w:t>
      </w:r>
    </w:p>
    <w:p w14:paraId="7D425C89" w14:textId="77777777" w:rsidR="003D1A07" w:rsidRPr="00C00ACE" w:rsidRDefault="003D1A07" w:rsidP="003D1A07">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75E4ED73" w14:textId="77777777" w:rsidR="00357DE6" w:rsidRPr="00C00ACE" w:rsidRDefault="003D1A07" w:rsidP="00CA116B">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lang w:val="es-MX"/>
        </w:rPr>
        <w:t>VP IEEM-CG-SUBS-076-2024 TII.pdf</w:t>
      </w:r>
      <w:r w:rsidRPr="00C00ACE">
        <w:rPr>
          <w:rFonts w:ascii="Palatino Linotype" w:eastAsia="Palatino Linotype" w:hAnsi="Palatino Linotype" w:cs="Palatino Linotype"/>
          <w:sz w:val="22"/>
          <w:szCs w:val="22"/>
          <w:lang w:val="es-MX"/>
        </w:rPr>
        <w:t xml:space="preserve">: </w:t>
      </w:r>
      <w:r w:rsidRPr="00C00ACE">
        <w:rPr>
          <w:rFonts w:ascii="Palatino Linotype" w:eastAsia="Palatino Linotype" w:hAnsi="Palatino Linotype" w:cs="Palatino Linotype"/>
          <w:sz w:val="22"/>
          <w:szCs w:val="22"/>
        </w:rPr>
        <w:t xml:space="preserve">Documento que contiene 351 fojas; de la foja 1 a la 347 corresponden a constancias en versión pública que obran en el Tomo II del expediente de substanciación número IEEM/CG/SUBS/076/2024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 cometida por diversos ex servidores públicos; consistentes en: Acuerdos de recepción y escisión del 22 de abril de 2024; Acuerdo de admisión del 29 de abril de 2024;</w:t>
      </w:r>
      <w:r w:rsidRPr="00C00ACE">
        <w:rPr>
          <w:rFonts w:ascii="Palatino Linotype" w:eastAsia="Palatino Linotype" w:hAnsi="Palatino Linotype" w:cs="Palatino Linotype"/>
          <w:b/>
          <w:sz w:val="22"/>
          <w:szCs w:val="22"/>
        </w:rPr>
        <w:t xml:space="preserve"> Constancias de no inhabilitación clasificadas en su totalidad</w:t>
      </w:r>
      <w:r w:rsidRPr="00C00ACE">
        <w:rPr>
          <w:rFonts w:ascii="Palatino Linotype" w:eastAsia="Palatino Linotype" w:hAnsi="Palatino Linotype" w:cs="Palatino Linotype"/>
          <w:sz w:val="22"/>
          <w:szCs w:val="22"/>
        </w:rPr>
        <w:t xml:space="preserve">; capturas de pantalla de la búsqueda en el sistema nacional de servidores públicos y particulares sancionados; </w:t>
      </w:r>
      <w:r w:rsidR="002D6D0C" w:rsidRPr="00C00ACE">
        <w:rPr>
          <w:rFonts w:ascii="Palatino Linotype" w:eastAsia="Palatino Linotype" w:hAnsi="Palatino Linotype" w:cs="Palatino Linotype"/>
          <w:sz w:val="22"/>
          <w:szCs w:val="22"/>
        </w:rPr>
        <w:t>oficio solicitud de copias certificadas; Tarjeta de atención a solicitud de copias; cédula de notificación; oficio de emplazamiento a audiencia inicial;</w:t>
      </w:r>
      <w:r w:rsidR="007B548C" w:rsidRPr="00C00ACE">
        <w:rPr>
          <w:rFonts w:ascii="Palatino Linotype" w:eastAsia="Palatino Linotype" w:hAnsi="Palatino Linotype" w:cs="Palatino Linotype"/>
          <w:sz w:val="22"/>
          <w:szCs w:val="22"/>
        </w:rPr>
        <w:t xml:space="preserve"> citatorios audiencia inicial; acuerdo de integración</w:t>
      </w:r>
      <w:r w:rsidRPr="00C00ACE">
        <w:rPr>
          <w:rFonts w:ascii="Palatino Linotype" w:eastAsia="Palatino Linotype" w:hAnsi="Palatino Linotype" w:cs="Palatino Linotype"/>
          <w:sz w:val="22"/>
          <w:szCs w:val="22"/>
        </w:rPr>
        <w:t xml:space="preserve"> del 21 de mayo de 2024; </w:t>
      </w:r>
      <w:r w:rsidR="007B548C" w:rsidRPr="00C00ACE">
        <w:rPr>
          <w:rFonts w:ascii="Palatino Linotype" w:eastAsia="Palatino Linotype" w:hAnsi="Palatino Linotype" w:cs="Palatino Linotype"/>
          <w:sz w:val="22"/>
          <w:szCs w:val="22"/>
        </w:rPr>
        <w:t xml:space="preserve">acta administrativa de audiencia inicial; oficios de comparecencia a audiencia inicial; nombramiento del Subcontralor de Investigación y del Subjefe de Transparencia; solicitudes de información; oficio de solicitud de declaratoria de inexistencia; oficio a través del cual se rinde declaración; impresión de correos electrónicos institucionales con asunto de informe de la integración de paquetes electorales; </w:t>
      </w:r>
      <w:r w:rsidR="007B548C" w:rsidRPr="00C00ACE">
        <w:rPr>
          <w:rFonts w:ascii="Palatino Linotype" w:eastAsia="Palatino Linotype" w:hAnsi="Palatino Linotype" w:cs="Palatino Linotype"/>
          <w:b/>
          <w:sz w:val="22"/>
          <w:szCs w:val="22"/>
        </w:rPr>
        <w:t>Clave Única de Registro de Población clasificada en su totalidad; cédula profesional de</w:t>
      </w:r>
      <w:r w:rsidR="005E3DD0" w:rsidRPr="00C00ACE">
        <w:rPr>
          <w:rFonts w:ascii="Palatino Linotype" w:eastAsia="Palatino Linotype" w:hAnsi="Palatino Linotype" w:cs="Palatino Linotype"/>
          <w:b/>
          <w:sz w:val="22"/>
          <w:szCs w:val="22"/>
        </w:rPr>
        <w:t>l</w:t>
      </w:r>
      <w:r w:rsidR="007B548C" w:rsidRPr="00C00ACE">
        <w:rPr>
          <w:rFonts w:ascii="Palatino Linotype" w:eastAsia="Palatino Linotype" w:hAnsi="Palatino Linotype" w:cs="Palatino Linotype"/>
          <w:b/>
          <w:sz w:val="22"/>
          <w:szCs w:val="22"/>
        </w:rPr>
        <w:t xml:space="preserve"> servidor público responsable dentro del procedimiento administrativo, clasificada en su totalidad</w:t>
      </w:r>
      <w:r w:rsidR="005E3DD0" w:rsidRPr="00C00ACE">
        <w:rPr>
          <w:rFonts w:ascii="Palatino Linotype" w:eastAsia="Palatino Linotype" w:hAnsi="Palatino Linotype" w:cs="Palatino Linotype"/>
          <w:b/>
          <w:sz w:val="22"/>
          <w:szCs w:val="22"/>
        </w:rPr>
        <w:t xml:space="preserve">; </w:t>
      </w:r>
      <w:r w:rsidR="005E3DD0" w:rsidRPr="00C00ACE">
        <w:rPr>
          <w:rFonts w:ascii="Palatino Linotype" w:eastAsia="Palatino Linotype" w:hAnsi="Palatino Linotype" w:cs="Palatino Linotype"/>
          <w:sz w:val="22"/>
          <w:szCs w:val="22"/>
        </w:rPr>
        <w:t xml:space="preserve">acuerdo del 24 de junio de 2024; cédula de notificación; </w:t>
      </w:r>
      <w:r w:rsidR="002244B6" w:rsidRPr="00C00ACE">
        <w:rPr>
          <w:rFonts w:ascii="Palatino Linotype" w:eastAsia="Palatino Linotype" w:hAnsi="Palatino Linotype" w:cs="Palatino Linotype"/>
          <w:sz w:val="22"/>
          <w:szCs w:val="22"/>
        </w:rPr>
        <w:t>oficios de notificación personal</w:t>
      </w:r>
      <w:r w:rsidR="004D6A43" w:rsidRPr="00C00ACE">
        <w:rPr>
          <w:rFonts w:ascii="Palatino Linotype" w:eastAsia="Palatino Linotype" w:hAnsi="Palatino Linotype" w:cs="Palatino Linotype"/>
          <w:sz w:val="22"/>
          <w:szCs w:val="22"/>
        </w:rPr>
        <w:t>, requerimiento, cumplimiento a requerimiento</w:t>
      </w:r>
      <w:r w:rsidR="00E07AE1" w:rsidRPr="00C00ACE">
        <w:rPr>
          <w:rFonts w:ascii="Palatino Linotype" w:eastAsia="Palatino Linotype" w:hAnsi="Palatino Linotype" w:cs="Palatino Linotype"/>
          <w:sz w:val="22"/>
          <w:szCs w:val="22"/>
        </w:rPr>
        <w:t>, para rendir declaración, formular alegatos</w:t>
      </w:r>
      <w:r w:rsidR="002244B6" w:rsidRPr="00C00ACE">
        <w:rPr>
          <w:rFonts w:ascii="Palatino Linotype" w:eastAsia="Palatino Linotype" w:hAnsi="Palatino Linotype" w:cs="Palatino Linotype"/>
          <w:sz w:val="22"/>
          <w:szCs w:val="22"/>
        </w:rPr>
        <w:t>;</w:t>
      </w:r>
      <w:r w:rsidR="004D6A43" w:rsidRPr="00C00ACE">
        <w:rPr>
          <w:rFonts w:ascii="Palatino Linotype" w:eastAsia="Palatino Linotype" w:hAnsi="Palatino Linotype" w:cs="Palatino Linotype"/>
          <w:sz w:val="22"/>
          <w:szCs w:val="22"/>
        </w:rPr>
        <w:t xml:space="preserve"> acta</w:t>
      </w:r>
      <w:r w:rsidR="005A3E15" w:rsidRPr="00C00ACE">
        <w:rPr>
          <w:rFonts w:ascii="Palatino Linotype" w:eastAsia="Palatino Linotype" w:hAnsi="Palatino Linotype" w:cs="Palatino Linotype"/>
          <w:sz w:val="22"/>
          <w:szCs w:val="22"/>
        </w:rPr>
        <w:t xml:space="preserve"> circunstanciada del 24 de mayo de 2023; acuerdo</w:t>
      </w:r>
      <w:r w:rsidR="00E07AE1" w:rsidRPr="00C00ACE">
        <w:rPr>
          <w:rFonts w:ascii="Palatino Linotype" w:eastAsia="Palatino Linotype" w:hAnsi="Palatino Linotype" w:cs="Palatino Linotype"/>
          <w:sz w:val="22"/>
          <w:szCs w:val="22"/>
        </w:rPr>
        <w:t>s</w:t>
      </w:r>
      <w:r w:rsidR="005A3E15" w:rsidRPr="00C00ACE">
        <w:rPr>
          <w:rFonts w:ascii="Palatino Linotype" w:eastAsia="Palatino Linotype" w:hAnsi="Palatino Linotype" w:cs="Palatino Linotype"/>
          <w:sz w:val="22"/>
          <w:szCs w:val="22"/>
        </w:rPr>
        <w:t xml:space="preserve"> de integración</w:t>
      </w:r>
      <w:r w:rsidR="00F1605D" w:rsidRPr="00C00ACE">
        <w:rPr>
          <w:rFonts w:ascii="Palatino Linotype" w:eastAsia="Palatino Linotype" w:hAnsi="Palatino Linotype" w:cs="Palatino Linotype"/>
          <w:sz w:val="22"/>
          <w:szCs w:val="22"/>
        </w:rPr>
        <w:t xml:space="preserve"> y recepción de alegatos</w:t>
      </w:r>
      <w:r w:rsidR="005A3E15" w:rsidRPr="00C00ACE">
        <w:rPr>
          <w:rFonts w:ascii="Palatino Linotype" w:eastAsia="Palatino Linotype" w:hAnsi="Palatino Linotype" w:cs="Palatino Linotype"/>
          <w:sz w:val="22"/>
          <w:szCs w:val="22"/>
        </w:rPr>
        <w:t xml:space="preserve"> del 3</w:t>
      </w:r>
      <w:r w:rsidR="00E07AE1" w:rsidRPr="00C00ACE">
        <w:rPr>
          <w:rFonts w:ascii="Palatino Linotype" w:eastAsia="Palatino Linotype" w:hAnsi="Palatino Linotype" w:cs="Palatino Linotype"/>
          <w:sz w:val="22"/>
          <w:szCs w:val="22"/>
        </w:rPr>
        <w:t xml:space="preserve"> y 19</w:t>
      </w:r>
      <w:r w:rsidR="005A3E15" w:rsidRPr="00C00ACE">
        <w:rPr>
          <w:rFonts w:ascii="Palatino Linotype" w:eastAsia="Palatino Linotype" w:hAnsi="Palatino Linotype" w:cs="Palatino Linotype"/>
          <w:sz w:val="22"/>
          <w:szCs w:val="22"/>
        </w:rPr>
        <w:t xml:space="preserve"> de julio de 2024; cédula</w:t>
      </w:r>
      <w:r w:rsidR="00F1605D" w:rsidRPr="00C00ACE">
        <w:rPr>
          <w:rFonts w:ascii="Palatino Linotype" w:eastAsia="Palatino Linotype" w:hAnsi="Palatino Linotype" w:cs="Palatino Linotype"/>
          <w:sz w:val="22"/>
          <w:szCs w:val="22"/>
        </w:rPr>
        <w:t>s</w:t>
      </w:r>
      <w:r w:rsidR="005A3E15" w:rsidRPr="00C00ACE">
        <w:rPr>
          <w:rFonts w:ascii="Palatino Linotype" w:eastAsia="Palatino Linotype" w:hAnsi="Palatino Linotype" w:cs="Palatino Linotype"/>
          <w:sz w:val="22"/>
          <w:szCs w:val="22"/>
        </w:rPr>
        <w:t xml:space="preserve"> de notificación; </w:t>
      </w:r>
      <w:r w:rsidR="00F1605D" w:rsidRPr="00C00ACE">
        <w:rPr>
          <w:rFonts w:ascii="Palatino Linotype" w:eastAsia="Palatino Linotype" w:hAnsi="Palatino Linotype" w:cs="Palatino Linotype"/>
          <w:sz w:val="22"/>
          <w:szCs w:val="22"/>
        </w:rPr>
        <w:t>acuerdo de cierre de instrucción; Resolución del 11 de septiembre de 2024 que declara inexistente la falta administrativa y que la servidora pública no es responsable administrativamente</w:t>
      </w:r>
      <w:r w:rsidR="009B1336" w:rsidRPr="00C00ACE">
        <w:rPr>
          <w:rFonts w:ascii="Palatino Linotype" w:eastAsia="Palatino Linotype" w:hAnsi="Palatino Linotype" w:cs="Palatino Linotype"/>
          <w:sz w:val="22"/>
          <w:szCs w:val="22"/>
        </w:rPr>
        <w:t xml:space="preserve">; citatorio; </w:t>
      </w:r>
      <w:r w:rsidR="007A5D84" w:rsidRPr="00C00ACE">
        <w:rPr>
          <w:rFonts w:ascii="Palatino Linotype" w:eastAsia="Palatino Linotype" w:hAnsi="Palatino Linotype" w:cs="Palatino Linotype"/>
          <w:sz w:val="22"/>
          <w:szCs w:val="22"/>
        </w:rPr>
        <w:t xml:space="preserve">instructivo de notificación; </w:t>
      </w:r>
      <w:r w:rsidR="00730176" w:rsidRPr="00C00ACE">
        <w:rPr>
          <w:rFonts w:ascii="Palatino Linotype" w:eastAsia="Palatino Linotype" w:hAnsi="Palatino Linotype" w:cs="Palatino Linotype"/>
          <w:sz w:val="22"/>
          <w:szCs w:val="22"/>
        </w:rPr>
        <w:t xml:space="preserve">oficios de notificación personal; Acuerdo de firmeza del 18 de octubre </w:t>
      </w:r>
      <w:r w:rsidR="00730176" w:rsidRPr="00C00ACE">
        <w:rPr>
          <w:rFonts w:ascii="Palatino Linotype" w:eastAsia="Palatino Linotype" w:hAnsi="Palatino Linotype" w:cs="Palatino Linotype"/>
          <w:sz w:val="22"/>
          <w:szCs w:val="22"/>
        </w:rPr>
        <w:lastRenderedPageBreak/>
        <w:t xml:space="preserve">de 2024; cédulas de notificación; </w:t>
      </w:r>
      <w:r w:rsidR="0065569A" w:rsidRPr="00C00ACE">
        <w:rPr>
          <w:rFonts w:ascii="Palatino Linotype" w:eastAsia="Palatino Linotype" w:hAnsi="Palatino Linotype" w:cs="Palatino Linotype"/>
          <w:sz w:val="22"/>
          <w:szCs w:val="22"/>
        </w:rPr>
        <w:t xml:space="preserve">acuerdo de integración y recepción de alegatos del 19 de julio de 2024; razones de retiro de notificaciones por estrados; </w:t>
      </w:r>
      <w:r w:rsidRPr="00C00ACE">
        <w:rPr>
          <w:rFonts w:ascii="Palatino Linotype" w:eastAsia="Palatino Linotype" w:hAnsi="Palatino Linotype" w:cs="Palatino Linotype"/>
          <w:sz w:val="22"/>
          <w:szCs w:val="22"/>
        </w:rPr>
        <w:t xml:space="preserve">y, de la foja </w:t>
      </w:r>
      <w:r w:rsidR="0065569A" w:rsidRPr="00C00ACE">
        <w:rPr>
          <w:rFonts w:ascii="Palatino Linotype" w:eastAsia="Palatino Linotype" w:hAnsi="Palatino Linotype" w:cs="Palatino Linotype"/>
          <w:sz w:val="22"/>
          <w:szCs w:val="22"/>
        </w:rPr>
        <w:t>348</w:t>
      </w:r>
      <w:r w:rsidRPr="00C00ACE">
        <w:rPr>
          <w:rFonts w:ascii="Palatino Linotype" w:eastAsia="Palatino Linotype" w:hAnsi="Palatino Linotype" w:cs="Palatino Linotype"/>
          <w:sz w:val="22"/>
          <w:szCs w:val="22"/>
        </w:rPr>
        <w:t xml:space="preserve"> a la </w:t>
      </w:r>
      <w:r w:rsidR="0065569A" w:rsidRPr="00C00ACE">
        <w:rPr>
          <w:rFonts w:ascii="Palatino Linotype" w:eastAsia="Palatino Linotype" w:hAnsi="Palatino Linotype" w:cs="Palatino Linotype"/>
          <w:sz w:val="22"/>
          <w:szCs w:val="22"/>
        </w:rPr>
        <w:t>351</w:t>
      </w:r>
      <w:r w:rsidRPr="00C00ACE">
        <w:rPr>
          <w:rFonts w:ascii="Palatino Linotype" w:eastAsia="Palatino Linotype" w:hAnsi="Palatino Linotype" w:cs="Palatino Linotype"/>
          <w:sz w:val="22"/>
          <w:szCs w:val="22"/>
        </w:rPr>
        <w:t xml:space="preserve"> la carátula de clasificación del expediente y su anexo 1 con los datos clasificados en los documentos como confidencial.</w:t>
      </w:r>
    </w:p>
    <w:p w14:paraId="6A765461" w14:textId="77777777" w:rsidR="0065569A" w:rsidRPr="00C00ACE" w:rsidRDefault="0065569A" w:rsidP="0065569A">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588FF3F7" w14:textId="77777777" w:rsidR="0065569A" w:rsidRPr="00C00ACE" w:rsidRDefault="0065569A" w:rsidP="00CA116B">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VP IEEM-CG-SUBS-078-2024 TI.pdf</w:t>
      </w:r>
      <w:r w:rsidRPr="00C00ACE">
        <w:rPr>
          <w:rFonts w:ascii="Palatino Linotype" w:eastAsia="Palatino Linotype" w:hAnsi="Palatino Linotype" w:cs="Palatino Linotype"/>
          <w:sz w:val="22"/>
          <w:szCs w:val="22"/>
        </w:rPr>
        <w:t xml:space="preserve">: Documento que contiene 619 fojas; de la foja 1 a la 162 corresponden a constancias en versión pública que obran en el Tomo I del expediente de substanciación número IEEM/CG/SUBS/078/2024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”cometida por diversos ex servidores públicos; consistentes en: Oficio donde se remite el Informe de Presunta Responsabilidad Administrativa del 18 de abril de 2024 e Informe de Presunta Responsabilidad Administrativa; de la foja 163 a 608 las constancias en versión pública del expediente de investigación número IEEM/CG/INV/OF/068/2023, consistentes en: Oficio del 17 de agosto de 2023 signado por el Subcontralor de Fiscalización; oficio del 15 de agosto de 2023 signado por la Jefa de la Unidad de Transparencia; Acuerdo del Comité de Transparencia del 14 de agosto de 2023; Acuerdo de radicación del expediente de investigación del 18 de agosto de 2023; Oficio de notificación de acuerdo del 18 de agosto de 2023; Acuerdos del 18 de agosto, 6, 8</w:t>
      </w:r>
      <w:r w:rsidR="00CA116B" w:rsidRPr="00C00ACE">
        <w:rPr>
          <w:rFonts w:ascii="Palatino Linotype" w:eastAsia="Palatino Linotype" w:hAnsi="Palatino Linotype" w:cs="Palatino Linotype"/>
          <w:sz w:val="22"/>
          <w:szCs w:val="22"/>
        </w:rPr>
        <w:t>, 13 y 25</w:t>
      </w:r>
      <w:r w:rsidRPr="00C00ACE">
        <w:rPr>
          <w:rFonts w:ascii="Palatino Linotype" w:eastAsia="Palatino Linotype" w:hAnsi="Palatino Linotype" w:cs="Palatino Linotype"/>
          <w:sz w:val="22"/>
          <w:szCs w:val="22"/>
        </w:rPr>
        <w:t xml:space="preserve"> de septiembre</w:t>
      </w:r>
      <w:r w:rsidR="00CA116B" w:rsidRPr="00C00ACE">
        <w:rPr>
          <w:rFonts w:ascii="Palatino Linotype" w:eastAsia="Palatino Linotype" w:hAnsi="Palatino Linotype" w:cs="Palatino Linotype"/>
          <w:sz w:val="22"/>
          <w:szCs w:val="22"/>
        </w:rPr>
        <w:t>, 3 de octubre, 7, 9 y 27 de noviembre</w:t>
      </w:r>
      <w:r w:rsidRPr="00C00ACE">
        <w:rPr>
          <w:rFonts w:ascii="Palatino Linotype" w:eastAsia="Palatino Linotype" w:hAnsi="Palatino Linotype" w:cs="Palatino Linotype"/>
          <w:sz w:val="22"/>
          <w:szCs w:val="22"/>
        </w:rPr>
        <w:t xml:space="preserve"> de 2023</w:t>
      </w:r>
      <w:r w:rsidR="00CA116B" w:rsidRPr="00C00ACE">
        <w:rPr>
          <w:rFonts w:ascii="Palatino Linotype" w:eastAsia="Palatino Linotype" w:hAnsi="Palatino Linotype" w:cs="Palatino Linotype"/>
          <w:sz w:val="22"/>
          <w:szCs w:val="22"/>
        </w:rPr>
        <w:t>, 27 y 28 de febrero, 13 de marzo, 15 y 22 de abril de 2024</w:t>
      </w:r>
      <w:r w:rsidRPr="00C00ACE">
        <w:rPr>
          <w:rFonts w:ascii="Palatino Linotype" w:eastAsia="Palatino Linotype" w:hAnsi="Palatino Linotype" w:cs="Palatino Linotype"/>
          <w:sz w:val="22"/>
          <w:szCs w:val="22"/>
        </w:rPr>
        <w:t>; Oficios de solicitud y entrega de información; impresión de correos electrónicos institucionales con asunto de respuestas a solicitudes de información; solicitud de inexistencia de información;</w:t>
      </w:r>
      <w:r w:rsidR="00CA116B" w:rsidRPr="00C00ACE">
        <w:rPr>
          <w:rFonts w:ascii="Palatino Linotype" w:eastAsia="Palatino Linotype" w:hAnsi="Palatino Linotype" w:cs="Palatino Linotype"/>
          <w:sz w:val="22"/>
          <w:szCs w:val="22"/>
        </w:rPr>
        <w:t xml:space="preserve"> Oficios de respuesta a solicitudes de información; Nombramientos de servidores públicos; Reportes de entrega de paquetes electorales; reporte de constancia de clausura de casilla y remisión del paquete electoral al Consejo; Oficio de informe de cumplimiento del 13 de mayo de 2023; Acta circunstanciada del 06 de julio de 2023; solicitud de clasificación de información; Contratos individuales de trabajo por tiempo determinado;</w:t>
      </w:r>
      <w:r w:rsidR="00CA116B" w:rsidRPr="00C00ACE">
        <w:rPr>
          <w:rFonts w:ascii="Palatino Linotype" w:eastAsia="Palatino Linotype" w:hAnsi="Palatino Linotype" w:cs="Palatino Linotype"/>
          <w:b/>
          <w:sz w:val="22"/>
          <w:szCs w:val="22"/>
        </w:rPr>
        <w:t xml:space="preserve"> Avisos de Movimientos al ISSEMYM clasificados en su totalidad</w:t>
      </w:r>
      <w:r w:rsidR="00CA116B" w:rsidRPr="00C00ACE">
        <w:rPr>
          <w:rFonts w:ascii="Palatino Linotype" w:eastAsia="Palatino Linotype" w:hAnsi="Palatino Linotype" w:cs="Palatino Linotype"/>
          <w:sz w:val="22"/>
          <w:szCs w:val="22"/>
        </w:rPr>
        <w:t>; cédulas de datos personales; acuerdo de calificación de falta administrativa;</w:t>
      </w:r>
      <w:r w:rsidRPr="00C00ACE">
        <w:rPr>
          <w:rFonts w:ascii="Palatino Linotype" w:eastAsia="Palatino Linotype" w:hAnsi="Palatino Linotype" w:cs="Palatino Linotype"/>
          <w:sz w:val="22"/>
          <w:szCs w:val="22"/>
        </w:rPr>
        <w:t xml:space="preserve"> y, de la foja 609 a la 619 </w:t>
      </w:r>
      <w:r w:rsidRPr="00C00ACE">
        <w:rPr>
          <w:rFonts w:ascii="Palatino Linotype" w:eastAsia="Palatino Linotype" w:hAnsi="Palatino Linotype" w:cs="Palatino Linotype"/>
          <w:sz w:val="22"/>
          <w:szCs w:val="22"/>
        </w:rPr>
        <w:lastRenderedPageBreak/>
        <w:t>la carátula de clasificación del expediente y su anexo 1 con los datos clasificados en los documentos como confidencial.</w:t>
      </w:r>
    </w:p>
    <w:p w14:paraId="258F25B2" w14:textId="77777777" w:rsidR="0092554C" w:rsidRPr="00C00ACE" w:rsidRDefault="0092554C" w:rsidP="0092554C">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7FA5E4C4" w14:textId="77777777" w:rsidR="00CA116B" w:rsidRPr="00C00ACE" w:rsidRDefault="0092554C" w:rsidP="00F82B70">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lang w:val="es-MX"/>
        </w:rPr>
        <w:t xml:space="preserve">VP IEEM-CG-SUBS-078-2024 TII.pdf: </w:t>
      </w:r>
      <w:r w:rsidRPr="00C00ACE">
        <w:rPr>
          <w:rFonts w:ascii="Palatino Linotype" w:eastAsia="Palatino Linotype" w:hAnsi="Palatino Linotype" w:cs="Palatino Linotype"/>
          <w:sz w:val="22"/>
          <w:szCs w:val="22"/>
        </w:rPr>
        <w:t>Documento que contiene 271 fojas; de la foja 1 a la 26</w:t>
      </w:r>
      <w:r w:rsidR="00BF7974" w:rsidRPr="00C00ACE">
        <w:rPr>
          <w:rFonts w:ascii="Palatino Linotype" w:eastAsia="Palatino Linotype" w:hAnsi="Palatino Linotype" w:cs="Palatino Linotype"/>
          <w:sz w:val="22"/>
          <w:szCs w:val="22"/>
        </w:rPr>
        <w:t>6</w:t>
      </w:r>
      <w:r w:rsidRPr="00C00ACE">
        <w:rPr>
          <w:rFonts w:ascii="Palatino Linotype" w:eastAsia="Palatino Linotype" w:hAnsi="Palatino Linotype" w:cs="Palatino Linotype"/>
          <w:sz w:val="22"/>
          <w:szCs w:val="22"/>
        </w:rPr>
        <w:t xml:space="preserve"> corresponden a constancias en versión pública que obran en el Tomo II del expediente de substanciación número IEEM/CG/SUBS/078/2024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 cometida por diversos ex servidores públicos; consistentes en: Acuerdo de admisión del 29 de abril de 2024;</w:t>
      </w:r>
      <w:r w:rsidRPr="00C00ACE">
        <w:rPr>
          <w:rFonts w:ascii="Palatino Linotype" w:eastAsia="Palatino Linotype" w:hAnsi="Palatino Linotype" w:cs="Palatino Linotype"/>
          <w:b/>
          <w:sz w:val="22"/>
          <w:szCs w:val="22"/>
        </w:rPr>
        <w:t xml:space="preserve"> Constancias de no inhabilitación clasificadas en su totalidad</w:t>
      </w:r>
      <w:r w:rsidRPr="00C00ACE">
        <w:rPr>
          <w:rFonts w:ascii="Palatino Linotype" w:eastAsia="Palatino Linotype" w:hAnsi="Palatino Linotype" w:cs="Palatino Linotype"/>
          <w:sz w:val="22"/>
          <w:szCs w:val="22"/>
        </w:rPr>
        <w:t>; capturas de pantalla de la búsqueda en el sistema nacional de servidores públicos y particulares sancionados; oficio solicitud de copias certificadas; Tarjeta de atención a solicitud de copias; cédula de notificación; oficio de emplazamiento a audiencia inicial; cédula</w:t>
      </w:r>
      <w:r w:rsidR="00BF7974" w:rsidRPr="00C00ACE">
        <w:rPr>
          <w:rFonts w:ascii="Palatino Linotype" w:eastAsia="Palatino Linotype" w:hAnsi="Palatino Linotype" w:cs="Palatino Linotype"/>
          <w:sz w:val="22"/>
          <w:szCs w:val="22"/>
        </w:rPr>
        <w:t>s</w:t>
      </w:r>
      <w:r w:rsidRPr="00C00ACE">
        <w:rPr>
          <w:rFonts w:ascii="Palatino Linotype" w:eastAsia="Palatino Linotype" w:hAnsi="Palatino Linotype" w:cs="Palatino Linotype"/>
          <w:sz w:val="22"/>
          <w:szCs w:val="22"/>
        </w:rPr>
        <w:t xml:space="preserve"> de notificación; citatorios audiencia inicial; acuerdo del 22 de mayo de 2024;</w:t>
      </w:r>
      <w:r w:rsidR="006D387B" w:rsidRPr="00C00ACE">
        <w:rPr>
          <w:rFonts w:ascii="Palatino Linotype" w:eastAsia="Palatino Linotype" w:hAnsi="Palatino Linotype" w:cs="Palatino Linotype"/>
          <w:sz w:val="22"/>
          <w:szCs w:val="22"/>
        </w:rPr>
        <w:t xml:space="preserve"> acta administrativa de audiencia inicial; oficios de comparecencia a audiencia inicial; nombramiento del Subcontralor de Investigación y del Subjefe de Transparencia;</w:t>
      </w:r>
      <w:r w:rsidR="00BF7974" w:rsidRPr="00C00ACE">
        <w:rPr>
          <w:rFonts w:ascii="Palatino Linotype" w:eastAsia="Palatino Linotype" w:hAnsi="Palatino Linotype" w:cs="Palatino Linotype"/>
          <w:sz w:val="22"/>
          <w:szCs w:val="22"/>
        </w:rPr>
        <w:t xml:space="preserve"> acuerdo de admisión y desahogo de pruebas; oficio a través del cual se rinde alegatos; acuerdos del 16 de julio y 7 de agosto de 2024; razón de retiro de notificación por estrados; </w:t>
      </w:r>
      <w:r w:rsidRPr="00C00ACE">
        <w:rPr>
          <w:rFonts w:ascii="Palatino Linotype" w:eastAsia="Palatino Linotype" w:hAnsi="Palatino Linotype" w:cs="Palatino Linotype"/>
          <w:sz w:val="22"/>
          <w:szCs w:val="22"/>
        </w:rPr>
        <w:t>Resolución del 1</w:t>
      </w:r>
      <w:r w:rsidR="00BF7974" w:rsidRPr="00C00ACE">
        <w:rPr>
          <w:rFonts w:ascii="Palatino Linotype" w:eastAsia="Palatino Linotype" w:hAnsi="Palatino Linotype" w:cs="Palatino Linotype"/>
          <w:sz w:val="22"/>
          <w:szCs w:val="22"/>
        </w:rPr>
        <w:t>9</w:t>
      </w:r>
      <w:r w:rsidRPr="00C00ACE">
        <w:rPr>
          <w:rFonts w:ascii="Palatino Linotype" w:eastAsia="Palatino Linotype" w:hAnsi="Palatino Linotype" w:cs="Palatino Linotype"/>
          <w:sz w:val="22"/>
          <w:szCs w:val="22"/>
        </w:rPr>
        <w:t xml:space="preserve"> de septiembre de 2024; cédulas de notificación; </w:t>
      </w:r>
      <w:r w:rsidR="00BF7974" w:rsidRPr="00C00ACE">
        <w:rPr>
          <w:rFonts w:ascii="Palatino Linotype" w:eastAsia="Palatino Linotype" w:hAnsi="Palatino Linotype" w:cs="Palatino Linotype"/>
          <w:sz w:val="22"/>
          <w:szCs w:val="22"/>
        </w:rPr>
        <w:t>oficios de notificación; acuerdo de firmeza de resolución del 31 de octubre de 2024</w:t>
      </w:r>
      <w:r w:rsidRPr="00C00ACE">
        <w:rPr>
          <w:rFonts w:ascii="Palatino Linotype" w:eastAsia="Palatino Linotype" w:hAnsi="Palatino Linotype" w:cs="Palatino Linotype"/>
          <w:sz w:val="22"/>
          <w:szCs w:val="22"/>
        </w:rPr>
        <w:t xml:space="preserve">; y, de la foja </w:t>
      </w:r>
      <w:r w:rsidR="00BF7974" w:rsidRPr="00C00ACE">
        <w:rPr>
          <w:rFonts w:ascii="Palatino Linotype" w:eastAsia="Palatino Linotype" w:hAnsi="Palatino Linotype" w:cs="Palatino Linotype"/>
          <w:sz w:val="22"/>
          <w:szCs w:val="22"/>
        </w:rPr>
        <w:t>267</w:t>
      </w:r>
      <w:r w:rsidRPr="00C00ACE">
        <w:rPr>
          <w:rFonts w:ascii="Palatino Linotype" w:eastAsia="Palatino Linotype" w:hAnsi="Palatino Linotype" w:cs="Palatino Linotype"/>
          <w:sz w:val="22"/>
          <w:szCs w:val="22"/>
        </w:rPr>
        <w:t xml:space="preserve"> a la </w:t>
      </w:r>
      <w:r w:rsidR="00BF7974" w:rsidRPr="00C00ACE">
        <w:rPr>
          <w:rFonts w:ascii="Palatino Linotype" w:eastAsia="Palatino Linotype" w:hAnsi="Palatino Linotype" w:cs="Palatino Linotype"/>
          <w:sz w:val="22"/>
          <w:szCs w:val="22"/>
        </w:rPr>
        <w:t>27</w:t>
      </w:r>
      <w:r w:rsidRPr="00C00ACE">
        <w:rPr>
          <w:rFonts w:ascii="Palatino Linotype" w:eastAsia="Palatino Linotype" w:hAnsi="Palatino Linotype" w:cs="Palatino Linotype"/>
          <w:sz w:val="22"/>
          <w:szCs w:val="22"/>
        </w:rPr>
        <w:t>1 la carátula de clasificación del expediente y su anexo 1 con los datos clasificados en los documentos como confidencial.</w:t>
      </w:r>
    </w:p>
    <w:p w14:paraId="1A4641DF" w14:textId="77777777" w:rsidR="00283829" w:rsidRPr="00C00ACE" w:rsidRDefault="00283829" w:rsidP="00283829">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1459B57F" w14:textId="77777777" w:rsidR="00C40977" w:rsidRPr="00C00ACE" w:rsidRDefault="00A25F13" w:rsidP="00C40977">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VP IEEM-CG-SUBS-079-2024 TI.pdf</w:t>
      </w:r>
      <w:r w:rsidRPr="00C00ACE">
        <w:rPr>
          <w:rFonts w:ascii="Palatino Linotype" w:eastAsia="Palatino Linotype" w:hAnsi="Palatino Linotype" w:cs="Palatino Linotype"/>
          <w:sz w:val="22"/>
          <w:szCs w:val="22"/>
        </w:rPr>
        <w:t xml:space="preserve">: Documento que contiene 619 fojas; de la foja 1 a la 162 corresponden a constancias en versión pública que obran en el Tomo I del expediente de substanciación número IEEM/CG/SUBS/079/2024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 xml:space="preserve">”cometida por diversos ex servidores públicos; consistentes </w:t>
      </w:r>
      <w:r w:rsidRPr="00C00ACE">
        <w:rPr>
          <w:rFonts w:ascii="Palatino Linotype" w:eastAsia="Palatino Linotype" w:hAnsi="Palatino Linotype" w:cs="Palatino Linotype"/>
          <w:sz w:val="22"/>
          <w:szCs w:val="22"/>
        </w:rPr>
        <w:lastRenderedPageBreak/>
        <w:t xml:space="preserve">en: Oficio donde se remite el Informe de Presunta Responsabilidad Administrativa del 18 de abril de 2024 e Informe de Presunta Responsabilidad Administrativa; de la foja 163 a 608 las constancias en versión pública del expediente de investigación número IEEM/CG/INV/OF/068/2023, consistentes en: Oficio del 17 de agosto de 2023 signado por el Subcontralor de Fiscalización; oficio del 15 de agosto de 2023 signado por la Jefa de la Unidad de Transparencia; Acuerdo del Comité de Transparencia del 14 de agosto de 2023; Acuerdo de radicación del expediente de investigación del 18 de agosto de 2023; Oficio de notificación de acuerdo del 18 de agosto de 2023; Acuerdos del 18 de agosto, 6, 8, 13 y 25 de septiembre, 3 de octubre, 7, 9 y 27 de noviembre de 2023, 27 y 28 de febrero, 1 </w:t>
      </w:r>
      <w:r w:rsidR="00655864" w:rsidRPr="00C00ACE">
        <w:rPr>
          <w:rFonts w:ascii="Palatino Linotype" w:eastAsia="Palatino Linotype" w:hAnsi="Palatino Linotype" w:cs="Palatino Linotype"/>
          <w:sz w:val="22"/>
          <w:szCs w:val="22"/>
        </w:rPr>
        <w:t xml:space="preserve">y 13 </w:t>
      </w:r>
      <w:r w:rsidRPr="00C00ACE">
        <w:rPr>
          <w:rFonts w:ascii="Palatino Linotype" w:eastAsia="Palatino Linotype" w:hAnsi="Palatino Linotype" w:cs="Palatino Linotype"/>
          <w:sz w:val="22"/>
          <w:szCs w:val="22"/>
        </w:rPr>
        <w:t xml:space="preserve">de marzo, 15 y 22 de abril de 2024; Oficios de solicitud y entrega de información; </w:t>
      </w:r>
      <w:r w:rsidR="00655864" w:rsidRPr="00C00ACE">
        <w:rPr>
          <w:rFonts w:ascii="Palatino Linotype" w:eastAsia="Palatino Linotype" w:hAnsi="Palatino Linotype" w:cs="Palatino Linotype"/>
          <w:sz w:val="22"/>
          <w:szCs w:val="22"/>
        </w:rPr>
        <w:t>impresión de correos electrónicos institucionales con asunto de respuestas a solicitudes de información; solicitud de inexistencia de información; Oficios de respuesta a solicitudes de información; Nombramientos de servidores públicos; Reportes de entrega de paquetes electorales; reporte de constancia de clausura de casilla y remisión del paquete electoral al Consejo; Oficio de informe de cumplimiento del 13 de mayo de 2023; solicitud de clasificación de información; Contratos individuales de trabajo por tiempo determinado;</w:t>
      </w:r>
      <w:r w:rsidR="00655864" w:rsidRPr="00C00ACE">
        <w:rPr>
          <w:rFonts w:ascii="Palatino Linotype" w:eastAsia="Palatino Linotype" w:hAnsi="Palatino Linotype" w:cs="Palatino Linotype"/>
          <w:b/>
          <w:sz w:val="22"/>
          <w:szCs w:val="22"/>
        </w:rPr>
        <w:t xml:space="preserve"> Avisos de Movimientos al ISSEMYM clasificados en su totalidad</w:t>
      </w:r>
      <w:r w:rsidR="00655864" w:rsidRPr="00C00ACE">
        <w:rPr>
          <w:rFonts w:ascii="Palatino Linotype" w:eastAsia="Palatino Linotype" w:hAnsi="Palatino Linotype" w:cs="Palatino Linotype"/>
          <w:sz w:val="22"/>
          <w:szCs w:val="22"/>
        </w:rPr>
        <w:t>; cédulas de datos personales; acuerdo de calificación de falta administrativa; y, de la foja 609 a la 619 la carátula de clasificación del expediente y su anexo 1 con los datos clasificados en los documentos como confidencial.</w:t>
      </w:r>
    </w:p>
    <w:p w14:paraId="5094866D" w14:textId="77777777" w:rsidR="00C40977" w:rsidRPr="00C00ACE" w:rsidRDefault="00C40977" w:rsidP="00C40977">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6CF5F3C3" w14:textId="77777777" w:rsidR="00BF7974" w:rsidRPr="00C00ACE" w:rsidRDefault="00C40977" w:rsidP="006618A9">
      <w:pPr>
        <w:pStyle w:val="Prrafodelista"/>
        <w:numPr>
          <w:ilvl w:val="0"/>
          <w:numId w:val="24"/>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VP IEEM-CG-SUBS-079-2024 TII.pdf</w:t>
      </w:r>
      <w:r w:rsidRPr="00C00ACE">
        <w:rPr>
          <w:rFonts w:ascii="Palatino Linotype" w:eastAsia="Palatino Linotype" w:hAnsi="Palatino Linotype" w:cs="Palatino Linotype"/>
          <w:sz w:val="22"/>
          <w:szCs w:val="22"/>
        </w:rPr>
        <w:t xml:space="preserve">: Documento que contiene 326 fojas; de la foja 1 a la 320 corresponden a constancias en versión pública que obran en el Tomo II del expediente de substanciación número IEEM/CG/SUBS/079/2024 </w:t>
      </w:r>
      <w:proofErr w:type="spellStart"/>
      <w:r w:rsidRPr="00C00ACE">
        <w:rPr>
          <w:rFonts w:ascii="Palatino Linotype" w:eastAsia="Palatino Linotype" w:hAnsi="Palatino Linotype" w:cs="Palatino Linotype"/>
          <w:sz w:val="22"/>
          <w:szCs w:val="22"/>
        </w:rPr>
        <w:t>aperturado</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 responsabilidad administrativa no grave consistente en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 cometida por diversos ex servidores públicos; consistentes en: Acuerdo de admisión del 29 de abril de 2024;</w:t>
      </w:r>
      <w:r w:rsidRPr="00C00ACE">
        <w:rPr>
          <w:rFonts w:ascii="Palatino Linotype" w:eastAsia="Palatino Linotype" w:hAnsi="Palatino Linotype" w:cs="Palatino Linotype"/>
          <w:b/>
          <w:sz w:val="22"/>
          <w:szCs w:val="22"/>
        </w:rPr>
        <w:t xml:space="preserve"> Constancias de no inhabilitación clasificadas en su totalidad</w:t>
      </w:r>
      <w:r w:rsidRPr="00C00ACE">
        <w:rPr>
          <w:rFonts w:ascii="Palatino Linotype" w:eastAsia="Palatino Linotype" w:hAnsi="Palatino Linotype" w:cs="Palatino Linotype"/>
          <w:sz w:val="22"/>
          <w:szCs w:val="22"/>
        </w:rPr>
        <w:t xml:space="preserve">; capturas de pantalla de la búsqueda en el sistema nacional de servidores públicos y particulares sancionados; oficio solicitud de copias certificadas; Tarjeta de atención a solicitud de copias; cédula de notificación; </w:t>
      </w:r>
      <w:r w:rsidR="007A29B7" w:rsidRPr="00C00ACE">
        <w:rPr>
          <w:rFonts w:ascii="Palatino Linotype" w:eastAsia="Palatino Linotype" w:hAnsi="Palatino Linotype" w:cs="Palatino Linotype"/>
          <w:sz w:val="22"/>
          <w:szCs w:val="22"/>
        </w:rPr>
        <w:lastRenderedPageBreak/>
        <w:t xml:space="preserve">citatorio; citatorios audiencia inicial; acuerdo de integración del 06 de junio de 2024; oficio comparecencia audiencia inicial; nombramientos del Subcontralor de Investigación y del Subjefe de Transparencia; escrito contestación audiencia inicial; </w:t>
      </w:r>
      <w:r w:rsidR="007A29B7" w:rsidRPr="00C00ACE">
        <w:rPr>
          <w:rFonts w:ascii="Palatino Linotype" w:eastAsia="Palatino Linotype" w:hAnsi="Palatino Linotype" w:cs="Palatino Linotype"/>
          <w:b/>
          <w:sz w:val="22"/>
          <w:szCs w:val="22"/>
        </w:rPr>
        <w:t xml:space="preserve">credencial para votar expedida por el Instituto Nacional Electoral clasificada en su totalidad; </w:t>
      </w:r>
      <w:r w:rsidR="007A29B7" w:rsidRPr="00C00ACE">
        <w:rPr>
          <w:rFonts w:ascii="Palatino Linotype" w:eastAsia="Palatino Linotype" w:hAnsi="Palatino Linotype" w:cs="Palatino Linotype"/>
          <w:sz w:val="22"/>
          <w:szCs w:val="22"/>
        </w:rPr>
        <w:t xml:space="preserve">acuerdo de admisión y desahogo de pruebas; oficios notificación personal; </w:t>
      </w:r>
      <w:r w:rsidR="006F16EF" w:rsidRPr="00C00ACE">
        <w:rPr>
          <w:rFonts w:ascii="Palatino Linotype" w:eastAsia="Palatino Linotype" w:hAnsi="Palatino Linotype" w:cs="Palatino Linotype"/>
          <w:sz w:val="22"/>
          <w:szCs w:val="22"/>
        </w:rPr>
        <w:t>cédulas de notificación; escrito de alegatos; invitación de documentación; convocatoria para la apertura de bodegas de material y documentación; actas circunstanciadas de la integración de documentación del paquete electoral del 21 y 23 de mayo de 2023; oficio de alegatos; acuerdo</w:t>
      </w:r>
      <w:r w:rsidR="00F82B70" w:rsidRPr="00C00ACE">
        <w:rPr>
          <w:rFonts w:ascii="Palatino Linotype" w:eastAsia="Palatino Linotype" w:hAnsi="Palatino Linotype" w:cs="Palatino Linotype"/>
          <w:sz w:val="22"/>
          <w:szCs w:val="22"/>
        </w:rPr>
        <w:t>s</w:t>
      </w:r>
      <w:r w:rsidR="006F16EF" w:rsidRPr="00C00ACE">
        <w:rPr>
          <w:rFonts w:ascii="Palatino Linotype" w:eastAsia="Palatino Linotype" w:hAnsi="Palatino Linotype" w:cs="Palatino Linotype"/>
          <w:sz w:val="22"/>
          <w:szCs w:val="22"/>
        </w:rPr>
        <w:t xml:space="preserve"> del 23 de julio de 2024; cédula de notificación; </w:t>
      </w:r>
      <w:r w:rsidR="00F82B70" w:rsidRPr="00C00ACE">
        <w:rPr>
          <w:rFonts w:ascii="Palatino Linotype" w:eastAsia="Palatino Linotype" w:hAnsi="Palatino Linotype" w:cs="Palatino Linotype"/>
          <w:sz w:val="22"/>
          <w:szCs w:val="22"/>
        </w:rPr>
        <w:t xml:space="preserve">razón de retiro; acuerdo de cierre de instrucción del 12 de agosto de 2024; </w:t>
      </w:r>
      <w:r w:rsidR="00E53FE3" w:rsidRPr="00C00ACE">
        <w:rPr>
          <w:rFonts w:ascii="Palatino Linotype" w:eastAsia="Palatino Linotype" w:hAnsi="Palatino Linotype" w:cs="Palatino Linotype"/>
          <w:sz w:val="22"/>
          <w:szCs w:val="22"/>
        </w:rPr>
        <w:t xml:space="preserve">Resolución del 24 de septiembre de 2024; </w:t>
      </w:r>
      <w:r w:rsidR="00FE5B4D" w:rsidRPr="00C00ACE">
        <w:rPr>
          <w:rFonts w:ascii="Palatino Linotype" w:eastAsia="Palatino Linotype" w:hAnsi="Palatino Linotype" w:cs="Palatino Linotype"/>
          <w:sz w:val="22"/>
          <w:szCs w:val="22"/>
        </w:rPr>
        <w:t>oficio de notificación personal</w:t>
      </w:r>
      <w:r w:rsidR="00E53FE3" w:rsidRPr="00C00ACE">
        <w:rPr>
          <w:rFonts w:ascii="Palatino Linotype" w:eastAsia="Palatino Linotype" w:hAnsi="Palatino Linotype" w:cs="Palatino Linotype"/>
          <w:b/>
          <w:sz w:val="22"/>
          <w:szCs w:val="22"/>
        </w:rPr>
        <w:t xml:space="preserve">; </w:t>
      </w:r>
      <w:r w:rsidR="00E53FE3" w:rsidRPr="00C00ACE">
        <w:rPr>
          <w:rFonts w:ascii="Palatino Linotype" w:eastAsia="Palatino Linotype" w:hAnsi="Palatino Linotype" w:cs="Palatino Linotype"/>
          <w:sz w:val="22"/>
          <w:szCs w:val="22"/>
        </w:rPr>
        <w:t>acuerdo de firmeza del 25 de octubre de 2024;</w:t>
      </w:r>
      <w:r w:rsidRPr="00C00ACE">
        <w:rPr>
          <w:rFonts w:ascii="Palatino Linotype" w:eastAsia="Palatino Linotype" w:hAnsi="Palatino Linotype" w:cs="Palatino Linotype"/>
          <w:sz w:val="22"/>
          <w:szCs w:val="22"/>
        </w:rPr>
        <w:t xml:space="preserve"> y, de la foja </w:t>
      </w:r>
      <w:r w:rsidR="00CF0B4A" w:rsidRPr="00C00ACE">
        <w:rPr>
          <w:rFonts w:ascii="Palatino Linotype" w:eastAsia="Palatino Linotype" w:hAnsi="Palatino Linotype" w:cs="Palatino Linotype"/>
          <w:sz w:val="22"/>
          <w:szCs w:val="22"/>
        </w:rPr>
        <w:t>320</w:t>
      </w:r>
      <w:r w:rsidRPr="00C00ACE">
        <w:rPr>
          <w:rFonts w:ascii="Palatino Linotype" w:eastAsia="Palatino Linotype" w:hAnsi="Palatino Linotype" w:cs="Palatino Linotype"/>
          <w:sz w:val="22"/>
          <w:szCs w:val="22"/>
        </w:rPr>
        <w:t xml:space="preserve"> a la </w:t>
      </w:r>
      <w:r w:rsidR="00CF0B4A" w:rsidRPr="00C00ACE">
        <w:rPr>
          <w:rFonts w:ascii="Palatino Linotype" w:eastAsia="Palatino Linotype" w:hAnsi="Palatino Linotype" w:cs="Palatino Linotype"/>
          <w:sz w:val="22"/>
          <w:szCs w:val="22"/>
        </w:rPr>
        <w:t>326</w:t>
      </w:r>
      <w:r w:rsidRPr="00C00ACE">
        <w:rPr>
          <w:rFonts w:ascii="Palatino Linotype" w:eastAsia="Palatino Linotype" w:hAnsi="Palatino Linotype" w:cs="Palatino Linotype"/>
          <w:sz w:val="22"/>
          <w:szCs w:val="22"/>
        </w:rPr>
        <w:t xml:space="preserve"> la carátula de clasificación del expediente y su anexo 1 con los datos clasificados en los documentos como confidencial.</w:t>
      </w:r>
    </w:p>
    <w:p w14:paraId="32957CD2" w14:textId="77777777" w:rsidR="00A814A7" w:rsidRPr="00C00ACE" w:rsidRDefault="00A814A7" w:rsidP="00A814A7">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2BE25D3B" w14:textId="77777777" w:rsidR="00515A09" w:rsidRPr="00C00ACE" w:rsidRDefault="00BC0643">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4</w:t>
      </w:r>
      <w:r w:rsidR="009E19E3" w:rsidRPr="00C00ACE">
        <w:rPr>
          <w:rFonts w:ascii="Palatino Linotype" w:eastAsia="Palatino Linotype" w:hAnsi="Palatino Linotype" w:cs="Palatino Linotype"/>
          <w:b/>
          <w:sz w:val="22"/>
          <w:szCs w:val="22"/>
        </w:rPr>
        <w:t xml:space="preserve">. Interposición del recurso de revisión. </w:t>
      </w:r>
      <w:r w:rsidR="009E19E3" w:rsidRPr="00C00ACE">
        <w:rPr>
          <w:rFonts w:ascii="Palatino Linotype" w:eastAsia="Palatino Linotype" w:hAnsi="Palatino Linotype" w:cs="Palatino Linotype"/>
          <w:sz w:val="22"/>
          <w:szCs w:val="22"/>
        </w:rPr>
        <w:t xml:space="preserve">Inconforme con los términos de la respuesta emitida por parte del </w:t>
      </w:r>
      <w:r w:rsidR="009E19E3" w:rsidRPr="00C00ACE">
        <w:rPr>
          <w:rFonts w:ascii="Palatino Linotype" w:eastAsia="Palatino Linotype" w:hAnsi="Palatino Linotype" w:cs="Palatino Linotype"/>
          <w:b/>
          <w:sz w:val="22"/>
          <w:szCs w:val="22"/>
        </w:rPr>
        <w:t>Sujeto Obligado</w:t>
      </w:r>
      <w:r w:rsidR="009E19E3" w:rsidRPr="00C00ACE">
        <w:rPr>
          <w:rFonts w:ascii="Palatino Linotype" w:eastAsia="Palatino Linotype" w:hAnsi="Palatino Linotype" w:cs="Palatino Linotype"/>
          <w:sz w:val="22"/>
          <w:szCs w:val="22"/>
        </w:rPr>
        <w:t>, el</w:t>
      </w:r>
      <w:r w:rsidR="009E19E3" w:rsidRPr="00C00ACE">
        <w:rPr>
          <w:rFonts w:ascii="Palatino Linotype" w:eastAsia="Palatino Linotype" w:hAnsi="Palatino Linotype" w:cs="Palatino Linotype"/>
          <w:b/>
          <w:sz w:val="22"/>
          <w:szCs w:val="22"/>
        </w:rPr>
        <w:t xml:space="preserve"> </w:t>
      </w:r>
      <w:r w:rsidR="000263D9" w:rsidRPr="00C00ACE">
        <w:rPr>
          <w:rFonts w:ascii="Palatino Linotype" w:eastAsia="Palatino Linotype" w:hAnsi="Palatino Linotype" w:cs="Palatino Linotype"/>
          <w:b/>
          <w:sz w:val="22"/>
          <w:szCs w:val="22"/>
        </w:rPr>
        <w:t>trece</w:t>
      </w:r>
      <w:r w:rsidR="006350E6" w:rsidRPr="00C00ACE">
        <w:rPr>
          <w:rFonts w:ascii="Palatino Linotype" w:eastAsia="Palatino Linotype" w:hAnsi="Palatino Linotype" w:cs="Palatino Linotype"/>
          <w:b/>
          <w:sz w:val="22"/>
          <w:szCs w:val="22"/>
        </w:rPr>
        <w:t xml:space="preserve"> de diciembre</w:t>
      </w:r>
      <w:r w:rsidR="009E19E3" w:rsidRPr="00C00ACE">
        <w:rPr>
          <w:rFonts w:ascii="Palatino Linotype" w:eastAsia="Palatino Linotype" w:hAnsi="Palatino Linotype" w:cs="Palatino Linotype"/>
          <w:b/>
          <w:sz w:val="22"/>
          <w:szCs w:val="22"/>
        </w:rPr>
        <w:t xml:space="preserve"> de dos mil veinticuatro,</w:t>
      </w:r>
      <w:r w:rsidR="009E19E3" w:rsidRPr="00C00ACE">
        <w:rPr>
          <w:rFonts w:ascii="Palatino Linotype" w:eastAsia="Palatino Linotype" w:hAnsi="Palatino Linotype" w:cs="Palatino Linotype"/>
          <w:sz w:val="22"/>
          <w:szCs w:val="22"/>
        </w:rPr>
        <w:t xml:space="preserve"> </w:t>
      </w:r>
      <w:r w:rsidR="009E19E3" w:rsidRPr="00C00ACE">
        <w:rPr>
          <w:rFonts w:ascii="Palatino Linotype" w:eastAsia="Palatino Linotype" w:hAnsi="Palatino Linotype" w:cs="Palatino Linotype"/>
          <w:b/>
          <w:sz w:val="22"/>
          <w:szCs w:val="22"/>
        </w:rPr>
        <w:t>la parte</w:t>
      </w:r>
      <w:r w:rsidR="009E19E3" w:rsidRPr="00C00ACE">
        <w:rPr>
          <w:rFonts w:ascii="Palatino Linotype" w:eastAsia="Palatino Linotype" w:hAnsi="Palatino Linotype" w:cs="Palatino Linotype"/>
          <w:sz w:val="22"/>
          <w:szCs w:val="22"/>
        </w:rPr>
        <w:t xml:space="preserve"> </w:t>
      </w:r>
      <w:r w:rsidR="009E19E3" w:rsidRPr="00C00ACE">
        <w:rPr>
          <w:rFonts w:ascii="Palatino Linotype" w:eastAsia="Palatino Linotype" w:hAnsi="Palatino Linotype" w:cs="Palatino Linotype"/>
          <w:b/>
          <w:sz w:val="22"/>
          <w:szCs w:val="22"/>
        </w:rPr>
        <w:t>Recurrente</w:t>
      </w:r>
      <w:r w:rsidR="009E19E3" w:rsidRPr="00C00ACE">
        <w:rPr>
          <w:rFonts w:ascii="Palatino Linotype" w:eastAsia="Palatino Linotype" w:hAnsi="Palatino Linotype" w:cs="Palatino Linotype"/>
          <w:sz w:val="22"/>
          <w:szCs w:val="22"/>
        </w:rPr>
        <w:t xml:space="preserve"> interpuso el recurso de revisión a través de </w:t>
      </w:r>
      <w:r w:rsidR="009E19E3" w:rsidRPr="00C00ACE">
        <w:rPr>
          <w:rFonts w:ascii="Palatino Linotype" w:eastAsia="Palatino Linotype" w:hAnsi="Palatino Linotype" w:cs="Palatino Linotype"/>
          <w:b/>
          <w:sz w:val="22"/>
          <w:szCs w:val="22"/>
        </w:rPr>
        <w:t xml:space="preserve">SAIMEX, </w:t>
      </w:r>
      <w:r w:rsidR="009E19E3" w:rsidRPr="00C00ACE">
        <w:rPr>
          <w:rFonts w:ascii="Palatino Linotype" w:eastAsia="Palatino Linotype" w:hAnsi="Palatino Linotype" w:cs="Palatino Linotype"/>
          <w:sz w:val="22"/>
          <w:szCs w:val="22"/>
        </w:rPr>
        <w:t>en donde se manifestó de la siguiente manera:</w:t>
      </w:r>
    </w:p>
    <w:p w14:paraId="261F6B37" w14:textId="77777777" w:rsidR="00515A09" w:rsidRPr="00C00ACE" w:rsidRDefault="009E19E3">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 xml:space="preserve">a) Acto impugnado: </w:t>
      </w:r>
      <w:r w:rsidRPr="00C00ACE">
        <w:rPr>
          <w:rFonts w:ascii="Palatino Linotype" w:eastAsia="Palatino Linotype" w:hAnsi="Palatino Linotype" w:cs="Palatino Linotype"/>
          <w:i/>
          <w:sz w:val="22"/>
          <w:szCs w:val="22"/>
        </w:rPr>
        <w:t>“</w:t>
      </w:r>
      <w:r w:rsidR="000263D9" w:rsidRPr="00C00ACE">
        <w:rPr>
          <w:rFonts w:ascii="Palatino Linotype" w:eastAsia="Palatino Linotype" w:hAnsi="Palatino Linotype" w:cs="Palatino Linotype"/>
          <w:i/>
          <w:sz w:val="22"/>
          <w:szCs w:val="22"/>
        </w:rPr>
        <w:t>Por la clasificación de la información.</w:t>
      </w:r>
      <w:r w:rsidRPr="00C00ACE">
        <w:rPr>
          <w:rFonts w:ascii="Palatino Linotype" w:eastAsia="Palatino Linotype" w:hAnsi="Palatino Linotype" w:cs="Palatino Linotype"/>
          <w:i/>
          <w:sz w:val="22"/>
          <w:szCs w:val="22"/>
        </w:rPr>
        <w:t>” (Sic)</w:t>
      </w:r>
    </w:p>
    <w:p w14:paraId="1E60DB19" w14:textId="77777777" w:rsidR="00515A09" w:rsidRPr="00C00ACE" w:rsidRDefault="009E19E3">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C00ACE">
        <w:rPr>
          <w:rFonts w:ascii="Palatino Linotype" w:eastAsia="Palatino Linotype" w:hAnsi="Palatino Linotype" w:cs="Palatino Linotype"/>
          <w:b/>
          <w:sz w:val="22"/>
          <w:szCs w:val="22"/>
        </w:rPr>
        <w:t>b) Razones o motivos de inconformidad</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i/>
          <w:sz w:val="22"/>
          <w:szCs w:val="22"/>
        </w:rPr>
        <w:t>“</w:t>
      </w:r>
      <w:r w:rsidR="000263D9" w:rsidRPr="00C00ACE">
        <w:rPr>
          <w:rFonts w:ascii="Palatino Linotype" w:eastAsia="Palatino Linotype" w:hAnsi="Palatino Linotype" w:cs="Palatino Linotype"/>
          <w:b/>
          <w:i/>
          <w:sz w:val="22"/>
          <w:szCs w:val="22"/>
          <w:u w:val="single"/>
        </w:rPr>
        <w:t>Hay documentos que se testan completamente, sin señalar el motivo por el cual se eliminó casi la totalidad del contenido</w:t>
      </w:r>
      <w:r w:rsidR="000263D9" w:rsidRPr="00C00ACE">
        <w:rPr>
          <w:rFonts w:ascii="Palatino Linotype" w:eastAsia="Palatino Linotype" w:hAnsi="Palatino Linotype" w:cs="Palatino Linotype"/>
          <w:i/>
          <w:sz w:val="22"/>
          <w:szCs w:val="22"/>
        </w:rPr>
        <w:t xml:space="preserve"> en el oficio a excepción del remitente y destinario, solo por señalar un ejemplo.</w:t>
      </w:r>
      <w:r w:rsidRPr="00C00ACE">
        <w:rPr>
          <w:rFonts w:ascii="Palatino Linotype" w:eastAsia="Palatino Linotype" w:hAnsi="Palatino Linotype" w:cs="Palatino Linotype"/>
          <w:i/>
          <w:sz w:val="22"/>
          <w:szCs w:val="22"/>
        </w:rPr>
        <w:t>” (Sic)</w:t>
      </w:r>
    </w:p>
    <w:p w14:paraId="04C217D1" w14:textId="77777777" w:rsidR="00515A09" w:rsidRPr="00C00ACE" w:rsidRDefault="00515A09">
      <w:pPr>
        <w:spacing w:line="276" w:lineRule="auto"/>
        <w:ind w:left="567" w:right="900"/>
        <w:jc w:val="both"/>
        <w:rPr>
          <w:rFonts w:ascii="Palatino Linotype" w:eastAsia="Palatino Linotype" w:hAnsi="Palatino Linotype" w:cs="Palatino Linotype"/>
          <w:i/>
          <w:sz w:val="22"/>
          <w:szCs w:val="22"/>
        </w:rPr>
      </w:pPr>
    </w:p>
    <w:p w14:paraId="25185637" w14:textId="77777777" w:rsidR="00515A09" w:rsidRPr="00C00ACE" w:rsidRDefault="00BC0643">
      <w:pPr>
        <w:spacing w:line="360" w:lineRule="auto"/>
        <w:ind w:right="51"/>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sz w:val="22"/>
          <w:szCs w:val="22"/>
        </w:rPr>
        <w:t>5</w:t>
      </w:r>
      <w:r w:rsidR="009E19E3" w:rsidRPr="00C00ACE">
        <w:rPr>
          <w:rFonts w:ascii="Palatino Linotype" w:eastAsia="Palatino Linotype" w:hAnsi="Palatino Linotype" w:cs="Palatino Linotype"/>
          <w:b/>
          <w:sz w:val="22"/>
          <w:szCs w:val="22"/>
        </w:rPr>
        <w:t xml:space="preserve">. Turno. </w:t>
      </w:r>
      <w:r w:rsidR="009E19E3" w:rsidRPr="00C00AC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9E19E3" w:rsidRPr="00C00ACE">
        <w:rPr>
          <w:rFonts w:ascii="Palatino Linotype" w:eastAsia="Palatino Linotype" w:hAnsi="Palatino Linotype" w:cs="Palatino Linotype"/>
          <w:sz w:val="22"/>
          <w:szCs w:val="22"/>
        </w:rPr>
        <w:lastRenderedPageBreak/>
        <w:t xml:space="preserve">a la Comisionada </w:t>
      </w:r>
      <w:r w:rsidR="009E19E3" w:rsidRPr="00C00ACE">
        <w:rPr>
          <w:rFonts w:ascii="Palatino Linotype" w:eastAsia="Palatino Linotype" w:hAnsi="Palatino Linotype" w:cs="Palatino Linotype"/>
          <w:b/>
          <w:sz w:val="22"/>
          <w:szCs w:val="22"/>
        </w:rPr>
        <w:t xml:space="preserve">Guadalupe Ramírez Peña, </w:t>
      </w:r>
      <w:r w:rsidR="009E19E3" w:rsidRPr="00C00ACE">
        <w:rPr>
          <w:rFonts w:ascii="Palatino Linotype" w:eastAsia="Palatino Linotype" w:hAnsi="Palatino Linotype" w:cs="Palatino Linotype"/>
          <w:sz w:val="22"/>
          <w:szCs w:val="22"/>
        </w:rPr>
        <w:t xml:space="preserve">a efecto de que analizara sobre su admisión o su </w:t>
      </w:r>
      <w:proofErr w:type="spellStart"/>
      <w:r w:rsidR="009E19E3" w:rsidRPr="00C00ACE">
        <w:rPr>
          <w:rFonts w:ascii="Palatino Linotype" w:eastAsia="Palatino Linotype" w:hAnsi="Palatino Linotype" w:cs="Palatino Linotype"/>
          <w:sz w:val="22"/>
          <w:szCs w:val="22"/>
        </w:rPr>
        <w:t>desechamiento</w:t>
      </w:r>
      <w:proofErr w:type="spellEnd"/>
      <w:r w:rsidR="009E19E3" w:rsidRPr="00C00ACE">
        <w:rPr>
          <w:rFonts w:ascii="Palatino Linotype" w:eastAsia="Palatino Linotype" w:hAnsi="Palatino Linotype" w:cs="Palatino Linotype"/>
          <w:sz w:val="22"/>
          <w:szCs w:val="22"/>
        </w:rPr>
        <w:t>.</w:t>
      </w:r>
    </w:p>
    <w:p w14:paraId="31B032AE" w14:textId="77777777" w:rsidR="00515A09" w:rsidRPr="00C00ACE" w:rsidRDefault="00515A09">
      <w:pPr>
        <w:spacing w:line="360" w:lineRule="auto"/>
        <w:ind w:right="51"/>
        <w:jc w:val="both"/>
        <w:rPr>
          <w:rFonts w:ascii="Palatino Linotype" w:eastAsia="Palatino Linotype" w:hAnsi="Palatino Linotype" w:cs="Palatino Linotype"/>
          <w:sz w:val="22"/>
          <w:szCs w:val="22"/>
        </w:rPr>
      </w:pPr>
    </w:p>
    <w:p w14:paraId="4F95079D" w14:textId="77777777" w:rsidR="00515A09" w:rsidRPr="00C00ACE" w:rsidRDefault="00BC0643">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sz w:val="22"/>
          <w:szCs w:val="22"/>
        </w:rPr>
        <w:t>6</w:t>
      </w:r>
      <w:r w:rsidR="009E19E3" w:rsidRPr="00C00ACE">
        <w:rPr>
          <w:rFonts w:ascii="Palatino Linotype" w:eastAsia="Palatino Linotype" w:hAnsi="Palatino Linotype" w:cs="Palatino Linotype"/>
          <w:b/>
          <w:sz w:val="22"/>
          <w:szCs w:val="22"/>
        </w:rPr>
        <w:t>. Admisión del Recurso de revisión.</w:t>
      </w:r>
      <w:r w:rsidR="009E19E3" w:rsidRPr="00C00ACE">
        <w:rPr>
          <w:rFonts w:ascii="Palatino Linotype" w:eastAsia="Palatino Linotype" w:hAnsi="Palatino Linotype" w:cs="Palatino Linotype"/>
          <w:sz w:val="22"/>
          <w:szCs w:val="22"/>
        </w:rPr>
        <w:t xml:space="preserve"> El </w:t>
      </w:r>
      <w:r w:rsidR="00220344" w:rsidRPr="00C00ACE">
        <w:rPr>
          <w:rFonts w:ascii="Palatino Linotype" w:eastAsia="Palatino Linotype" w:hAnsi="Palatino Linotype" w:cs="Palatino Linotype"/>
          <w:b/>
          <w:sz w:val="22"/>
          <w:szCs w:val="22"/>
        </w:rPr>
        <w:t>dieci</w:t>
      </w:r>
      <w:r w:rsidR="006413E3" w:rsidRPr="00C00ACE">
        <w:rPr>
          <w:rFonts w:ascii="Palatino Linotype" w:eastAsia="Palatino Linotype" w:hAnsi="Palatino Linotype" w:cs="Palatino Linotype"/>
          <w:b/>
          <w:sz w:val="22"/>
          <w:szCs w:val="22"/>
        </w:rPr>
        <w:t>ocho</w:t>
      </w:r>
      <w:r w:rsidR="00220344" w:rsidRPr="00C00ACE">
        <w:rPr>
          <w:rFonts w:ascii="Palatino Linotype" w:eastAsia="Palatino Linotype" w:hAnsi="Palatino Linotype" w:cs="Palatino Linotype"/>
          <w:b/>
          <w:sz w:val="22"/>
          <w:szCs w:val="22"/>
        </w:rPr>
        <w:t xml:space="preserve"> </w:t>
      </w:r>
      <w:r w:rsidR="006350E6" w:rsidRPr="00C00ACE">
        <w:rPr>
          <w:rFonts w:ascii="Palatino Linotype" w:eastAsia="Palatino Linotype" w:hAnsi="Palatino Linotype" w:cs="Palatino Linotype"/>
          <w:b/>
          <w:sz w:val="22"/>
          <w:szCs w:val="22"/>
        </w:rPr>
        <w:t>de diciembre</w:t>
      </w:r>
      <w:r w:rsidR="009E19E3" w:rsidRPr="00C00ACE">
        <w:rPr>
          <w:rFonts w:ascii="Palatino Linotype" w:eastAsia="Palatino Linotype" w:hAnsi="Palatino Linotype" w:cs="Palatino Linotype"/>
          <w:b/>
          <w:sz w:val="22"/>
          <w:szCs w:val="22"/>
        </w:rPr>
        <w:t xml:space="preserve"> de dos mil veinticuatro, </w:t>
      </w:r>
      <w:r w:rsidR="009E19E3" w:rsidRPr="00C00ACE">
        <w:rPr>
          <w:rFonts w:ascii="Palatino Linotype" w:eastAsia="Palatino Linotype" w:hAnsi="Palatino Linotype" w:cs="Palatino Linotype"/>
          <w:sz w:val="22"/>
          <w:szCs w:val="22"/>
        </w:rPr>
        <w:t>este Instituto de Transparencia, Acceso a la Información Pública y Protección de Datos Personales d</w:t>
      </w:r>
      <w:r w:rsidRPr="00C00ACE">
        <w:rPr>
          <w:rFonts w:ascii="Palatino Linotype" w:eastAsia="Palatino Linotype" w:hAnsi="Palatino Linotype" w:cs="Palatino Linotype"/>
          <w:sz w:val="22"/>
          <w:szCs w:val="22"/>
        </w:rPr>
        <w:t>el Estado de México y Municipio</w:t>
      </w:r>
      <w:r w:rsidR="00721DDA" w:rsidRPr="00C00ACE">
        <w:rPr>
          <w:rFonts w:ascii="Palatino Linotype" w:eastAsia="Palatino Linotype" w:hAnsi="Palatino Linotype" w:cs="Palatino Linotype"/>
          <w:sz w:val="22"/>
          <w:szCs w:val="22"/>
        </w:rPr>
        <w:t xml:space="preserve">, </w:t>
      </w:r>
      <w:r w:rsidR="009E19E3" w:rsidRPr="00C00ACE">
        <w:rPr>
          <w:rFonts w:ascii="Palatino Linotype" w:eastAsia="Palatino Linotype" w:hAnsi="Palatino Linotype" w:cs="Palatino Linotype"/>
          <w:sz w:val="22"/>
          <w:szCs w:val="22"/>
        </w:rPr>
        <w:t xml:space="preserve">admitió a trámite el recurso de revisión que ahora se resuelve, dando un plazo máximo de siete días hábiles para que las partes manifestaran lo que a su derecho resultara conveniente, ofrecieran pruebas, formularan alegatos y el </w:t>
      </w:r>
      <w:r w:rsidR="009E19E3" w:rsidRPr="00C00ACE">
        <w:rPr>
          <w:rFonts w:ascii="Palatino Linotype" w:eastAsia="Palatino Linotype" w:hAnsi="Palatino Linotype" w:cs="Palatino Linotype"/>
          <w:b/>
          <w:sz w:val="22"/>
          <w:szCs w:val="22"/>
        </w:rPr>
        <w:t xml:space="preserve">Sujeto Obligado </w:t>
      </w:r>
      <w:r w:rsidR="009E19E3" w:rsidRPr="00C00ACE">
        <w:rPr>
          <w:rFonts w:ascii="Palatino Linotype" w:eastAsia="Palatino Linotype" w:hAnsi="Palatino Linotype" w:cs="Palatino Linotype"/>
          <w:sz w:val="22"/>
          <w:szCs w:val="22"/>
        </w:rPr>
        <w:t>presentara su informe justificado.</w:t>
      </w:r>
    </w:p>
    <w:p w14:paraId="2351FA0A" w14:textId="77777777" w:rsidR="00515A09" w:rsidRPr="00C00ACE" w:rsidRDefault="00515A09">
      <w:pPr>
        <w:spacing w:line="360" w:lineRule="auto"/>
        <w:jc w:val="both"/>
        <w:rPr>
          <w:rFonts w:ascii="Palatino Linotype" w:eastAsia="Palatino Linotype" w:hAnsi="Palatino Linotype" w:cs="Palatino Linotype"/>
          <w:sz w:val="22"/>
          <w:szCs w:val="22"/>
        </w:rPr>
      </w:pPr>
    </w:p>
    <w:p w14:paraId="1AF2099B" w14:textId="77777777" w:rsidR="00515A09" w:rsidRPr="00C00ACE" w:rsidRDefault="00560C3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C00ACE">
        <w:rPr>
          <w:rFonts w:ascii="Palatino Linotype" w:eastAsia="Palatino Linotype" w:hAnsi="Palatino Linotype" w:cs="Palatino Linotype"/>
          <w:b/>
          <w:sz w:val="22"/>
          <w:szCs w:val="22"/>
        </w:rPr>
        <w:t>7</w:t>
      </w:r>
      <w:r w:rsidR="009E19E3" w:rsidRPr="00C00ACE">
        <w:rPr>
          <w:rFonts w:ascii="Palatino Linotype" w:eastAsia="Palatino Linotype" w:hAnsi="Palatino Linotype" w:cs="Palatino Linotype"/>
          <w:b/>
          <w:sz w:val="22"/>
          <w:szCs w:val="22"/>
        </w:rPr>
        <w:t>. Manifestaciones</w:t>
      </w:r>
      <w:r w:rsidR="009E19E3" w:rsidRPr="00C00ACE">
        <w:rPr>
          <w:rFonts w:ascii="Palatino Linotype" w:eastAsia="Palatino Linotype" w:hAnsi="Palatino Linotype" w:cs="Palatino Linotype"/>
          <w:sz w:val="22"/>
          <w:szCs w:val="22"/>
        </w:rPr>
        <w:t xml:space="preserve">. De las constancias que integran el expediente en que se actúa se advierte </w:t>
      </w:r>
      <w:proofErr w:type="gramStart"/>
      <w:r w:rsidR="009E19E3" w:rsidRPr="00C00ACE">
        <w:rPr>
          <w:rFonts w:ascii="Palatino Linotype" w:eastAsia="Palatino Linotype" w:hAnsi="Palatino Linotype" w:cs="Palatino Linotype"/>
          <w:sz w:val="22"/>
          <w:szCs w:val="22"/>
        </w:rPr>
        <w:t>que</w:t>
      </w:r>
      <w:proofErr w:type="gramEnd"/>
      <w:r w:rsidR="009E19E3" w:rsidRPr="00C00ACE">
        <w:rPr>
          <w:rFonts w:ascii="Palatino Linotype" w:eastAsia="Palatino Linotype" w:hAnsi="Palatino Linotype" w:cs="Palatino Linotype"/>
          <w:sz w:val="22"/>
          <w:szCs w:val="22"/>
        </w:rPr>
        <w:t xml:space="preserve"> durante el periodo de manifestaciones, el </w:t>
      </w:r>
      <w:r w:rsidR="009E19E3" w:rsidRPr="00C00ACE">
        <w:rPr>
          <w:rFonts w:ascii="Palatino Linotype" w:eastAsia="Palatino Linotype" w:hAnsi="Palatino Linotype" w:cs="Palatino Linotype"/>
          <w:b/>
          <w:sz w:val="22"/>
          <w:szCs w:val="22"/>
        </w:rPr>
        <w:t xml:space="preserve">Sujeto Obligado </w:t>
      </w:r>
      <w:r w:rsidR="006413E3" w:rsidRPr="00C00ACE">
        <w:rPr>
          <w:rFonts w:ascii="Palatino Linotype" w:eastAsia="Palatino Linotype" w:hAnsi="Palatino Linotype" w:cs="Palatino Linotype"/>
          <w:sz w:val="22"/>
          <w:szCs w:val="22"/>
        </w:rPr>
        <w:t>fue omiso en rendir su</w:t>
      </w:r>
      <w:r w:rsidR="00D22DCE" w:rsidRPr="00C00ACE">
        <w:rPr>
          <w:rFonts w:ascii="Palatino Linotype" w:eastAsia="Palatino Linotype" w:hAnsi="Palatino Linotype" w:cs="Palatino Linotype"/>
          <w:sz w:val="22"/>
          <w:szCs w:val="22"/>
        </w:rPr>
        <w:t xml:space="preserve"> informe justificado</w:t>
      </w:r>
      <w:r w:rsidR="006413E3" w:rsidRPr="00C00ACE">
        <w:rPr>
          <w:rFonts w:ascii="Palatino Linotype" w:eastAsia="Palatino Linotype" w:hAnsi="Palatino Linotype" w:cs="Palatino Linotype"/>
          <w:sz w:val="22"/>
          <w:szCs w:val="22"/>
        </w:rPr>
        <w:t xml:space="preserve">; y, la parte </w:t>
      </w:r>
      <w:r w:rsidR="006413E3" w:rsidRPr="00C00ACE">
        <w:rPr>
          <w:rFonts w:ascii="Palatino Linotype" w:eastAsia="Palatino Linotype" w:hAnsi="Palatino Linotype" w:cs="Palatino Linotype"/>
          <w:b/>
          <w:sz w:val="22"/>
          <w:szCs w:val="22"/>
        </w:rPr>
        <w:t xml:space="preserve">Recurrente </w:t>
      </w:r>
      <w:r w:rsidR="006413E3" w:rsidRPr="00C00ACE">
        <w:rPr>
          <w:rFonts w:ascii="Palatino Linotype" w:eastAsia="Palatino Linotype" w:hAnsi="Palatino Linotype" w:cs="Palatino Linotype"/>
          <w:sz w:val="22"/>
          <w:szCs w:val="22"/>
        </w:rPr>
        <w:t>fue omisa en hacer valer manifestaciones o alegatos que conforme a derecho resultaran procedentes, como se muestra:</w:t>
      </w:r>
    </w:p>
    <w:p w14:paraId="52674D15" w14:textId="77777777" w:rsidR="006413E3" w:rsidRPr="00C00ACE" w:rsidRDefault="006413E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0050D4C" w14:textId="77777777" w:rsidR="006413E3" w:rsidRPr="00C00ACE" w:rsidRDefault="006413E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sz w:val="22"/>
          <w:szCs w:val="22"/>
        </w:rPr>
        <w:drawing>
          <wp:inline distT="0" distB="0" distL="0" distR="0" wp14:anchorId="3B015C42" wp14:editId="3E3D2791">
            <wp:extent cx="5612130" cy="13277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327785"/>
                    </a:xfrm>
                    <a:prstGeom prst="rect">
                      <a:avLst/>
                    </a:prstGeom>
                  </pic:spPr>
                </pic:pic>
              </a:graphicData>
            </a:graphic>
          </wp:inline>
        </w:drawing>
      </w:r>
    </w:p>
    <w:p w14:paraId="3CDC0150" w14:textId="77777777" w:rsidR="00BC0643" w:rsidRPr="00C00ACE" w:rsidRDefault="00BC0643" w:rsidP="00BC0643">
      <w:pPr>
        <w:pStyle w:val="Prrafodelista"/>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sz w:val="22"/>
          <w:szCs w:val="22"/>
        </w:rPr>
      </w:pPr>
    </w:p>
    <w:p w14:paraId="5F2B38B2" w14:textId="77777777" w:rsidR="00515A09" w:rsidRPr="00C00ACE" w:rsidRDefault="00560C3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sz w:val="22"/>
          <w:szCs w:val="22"/>
        </w:rPr>
        <w:t>8</w:t>
      </w:r>
      <w:r w:rsidR="009E19E3" w:rsidRPr="00C00ACE">
        <w:rPr>
          <w:rFonts w:ascii="Palatino Linotype" w:eastAsia="Palatino Linotype" w:hAnsi="Palatino Linotype" w:cs="Palatino Linotype"/>
          <w:b/>
          <w:sz w:val="22"/>
          <w:szCs w:val="22"/>
        </w:rPr>
        <w:t xml:space="preserve">. Cierre de instrucción. </w:t>
      </w:r>
      <w:r w:rsidR="009E19E3" w:rsidRPr="00C00AC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6413E3" w:rsidRPr="00C00ACE">
        <w:rPr>
          <w:rFonts w:ascii="Palatino Linotype" w:eastAsia="Palatino Linotype" w:hAnsi="Palatino Linotype" w:cs="Palatino Linotype"/>
          <w:b/>
          <w:sz w:val="22"/>
          <w:szCs w:val="22"/>
        </w:rPr>
        <w:t>veintiuno</w:t>
      </w:r>
      <w:r w:rsidR="002F268B" w:rsidRPr="00C00ACE">
        <w:rPr>
          <w:rFonts w:ascii="Palatino Linotype" w:eastAsia="Palatino Linotype" w:hAnsi="Palatino Linotype" w:cs="Palatino Linotype"/>
          <w:b/>
          <w:sz w:val="22"/>
          <w:szCs w:val="22"/>
        </w:rPr>
        <w:t xml:space="preserve"> de enero de dos mil veinticinco</w:t>
      </w:r>
      <w:r w:rsidR="009E19E3" w:rsidRPr="00C00ACE">
        <w:rPr>
          <w:rFonts w:ascii="Palatino Linotype" w:eastAsia="Palatino Linotype" w:hAnsi="Palatino Linotype" w:cs="Palatino Linotype"/>
          <w:b/>
          <w:sz w:val="22"/>
          <w:szCs w:val="22"/>
        </w:rPr>
        <w:t>,</w:t>
      </w:r>
      <w:r w:rsidR="009E19E3" w:rsidRPr="00C00ACE">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82AEE51" w14:textId="77777777" w:rsidR="00515A09" w:rsidRPr="00C00ACE" w:rsidRDefault="00515A0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4205513F" w14:textId="77777777" w:rsidR="00515A09" w:rsidRPr="00C00ACE" w:rsidRDefault="009E19E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10AC416" w14:textId="77777777" w:rsidR="00515A09" w:rsidRPr="00C00ACE" w:rsidRDefault="009E19E3">
      <w:pPr>
        <w:widowControl w:val="0"/>
        <w:spacing w:before="240" w:after="240" w:line="360" w:lineRule="auto"/>
        <w:jc w:val="center"/>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II. C O N S I D E R A N D O S</w:t>
      </w:r>
    </w:p>
    <w:p w14:paraId="751176E7" w14:textId="77777777" w:rsidR="00515A09" w:rsidRPr="00C00ACE" w:rsidRDefault="009E19E3">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sz w:val="22"/>
          <w:szCs w:val="22"/>
        </w:rPr>
        <w:t>Primero. Competencia.</w:t>
      </w:r>
      <w:r w:rsidRPr="00C00AC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A0B5FDF" w14:textId="77777777" w:rsidR="00515A09" w:rsidRPr="00C00ACE" w:rsidRDefault="00515A09">
      <w:pPr>
        <w:spacing w:line="360" w:lineRule="auto"/>
        <w:jc w:val="both"/>
        <w:rPr>
          <w:rFonts w:ascii="Palatino Linotype" w:eastAsia="Palatino Linotype" w:hAnsi="Palatino Linotype" w:cs="Palatino Linotype"/>
          <w:sz w:val="22"/>
          <w:szCs w:val="22"/>
        </w:rPr>
      </w:pPr>
    </w:p>
    <w:p w14:paraId="6169D3D6" w14:textId="77777777" w:rsidR="00515A09" w:rsidRPr="00C00ACE" w:rsidRDefault="009E19E3">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C00ACE">
        <w:rPr>
          <w:rFonts w:ascii="Palatino Linotype" w:eastAsia="Palatino Linotype" w:hAnsi="Palatino Linotype" w:cs="Palatino Linotype"/>
          <w:b/>
          <w:sz w:val="22"/>
          <w:szCs w:val="22"/>
        </w:rPr>
        <w:t>Segundo. Oportunidad y Procedibilidad del Recurso de Revisión</w:t>
      </w:r>
      <w:r w:rsidRPr="00C00AC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3F0B32D" w14:textId="77777777" w:rsidR="00515A09" w:rsidRPr="00C00ACE" w:rsidRDefault="00515A09">
      <w:pPr>
        <w:spacing w:line="360" w:lineRule="auto"/>
        <w:jc w:val="both"/>
        <w:rPr>
          <w:rFonts w:ascii="Palatino Linotype" w:eastAsia="Palatino Linotype" w:hAnsi="Palatino Linotype" w:cs="Palatino Linotype"/>
          <w:sz w:val="22"/>
          <w:szCs w:val="22"/>
        </w:rPr>
      </w:pPr>
    </w:p>
    <w:p w14:paraId="3416978C" w14:textId="77777777" w:rsidR="004D38F7" w:rsidRPr="00C00ACE" w:rsidRDefault="009E19E3" w:rsidP="004D38F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C00ACE">
        <w:rPr>
          <w:rFonts w:ascii="Palatino Linotype" w:eastAsia="Palatino Linotype" w:hAnsi="Palatino Linotype" w:cs="Palatino Linotype"/>
          <w:b/>
          <w:sz w:val="22"/>
          <w:szCs w:val="22"/>
        </w:rPr>
        <w:t xml:space="preserve">Sujeto Obligado </w:t>
      </w:r>
      <w:r w:rsidRPr="00C00ACE">
        <w:rPr>
          <w:rFonts w:ascii="Palatino Linotype" w:eastAsia="Palatino Linotype" w:hAnsi="Palatino Linotype" w:cs="Palatino Linotype"/>
          <w:sz w:val="22"/>
          <w:szCs w:val="22"/>
        </w:rPr>
        <w:t xml:space="preserve">remitió la respuesta a la solicitud de información el </w:t>
      </w:r>
      <w:r w:rsidR="00E10B6F" w:rsidRPr="00C00ACE">
        <w:rPr>
          <w:rFonts w:ascii="Palatino Linotype" w:eastAsia="Palatino Linotype" w:hAnsi="Palatino Linotype" w:cs="Palatino Linotype"/>
          <w:b/>
          <w:sz w:val="22"/>
          <w:szCs w:val="22"/>
        </w:rPr>
        <w:t>trece de diciembre de dos mil veinticuatro</w:t>
      </w:r>
      <w:r w:rsidRPr="00C00ACE">
        <w:rPr>
          <w:rFonts w:ascii="Palatino Linotype" w:eastAsia="Palatino Linotype" w:hAnsi="Palatino Linotype" w:cs="Palatino Linotype"/>
          <w:b/>
          <w:sz w:val="22"/>
          <w:szCs w:val="22"/>
        </w:rPr>
        <w:t xml:space="preserve">, </w:t>
      </w:r>
      <w:r w:rsidRPr="00C00ACE">
        <w:rPr>
          <w:rFonts w:ascii="Palatino Linotype" w:eastAsia="Palatino Linotype" w:hAnsi="Palatino Linotype" w:cs="Palatino Linotype"/>
          <w:sz w:val="22"/>
          <w:szCs w:val="22"/>
        </w:rPr>
        <w:t xml:space="preserve">mientras que el recurso de </w:t>
      </w:r>
      <w:r w:rsidRPr="00C00ACE">
        <w:rPr>
          <w:rFonts w:ascii="Palatino Linotype" w:eastAsia="Palatino Linotype" w:hAnsi="Palatino Linotype" w:cs="Palatino Linotype"/>
          <w:sz w:val="22"/>
          <w:szCs w:val="22"/>
        </w:rPr>
        <w:lastRenderedPageBreak/>
        <w:t xml:space="preserve">revisión interpuesto por </w:t>
      </w:r>
      <w:r w:rsidRPr="00C00ACE">
        <w:rPr>
          <w:rFonts w:ascii="Palatino Linotype" w:eastAsia="Palatino Linotype" w:hAnsi="Palatino Linotype" w:cs="Palatino Linotype"/>
          <w:b/>
          <w:sz w:val="22"/>
          <w:szCs w:val="22"/>
        </w:rPr>
        <w:t>la parte</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b/>
          <w:sz w:val="22"/>
          <w:szCs w:val="22"/>
        </w:rPr>
        <w:t>Recurrente</w:t>
      </w:r>
      <w:r w:rsidRPr="00C00ACE">
        <w:rPr>
          <w:rFonts w:ascii="Palatino Linotype" w:eastAsia="Palatino Linotype" w:hAnsi="Palatino Linotype" w:cs="Palatino Linotype"/>
          <w:sz w:val="22"/>
          <w:szCs w:val="22"/>
        </w:rPr>
        <w:t xml:space="preserve">, se tuvo por presentado el </w:t>
      </w:r>
      <w:r w:rsidR="00E10B6F" w:rsidRPr="00C00ACE">
        <w:rPr>
          <w:rFonts w:ascii="Palatino Linotype" w:eastAsia="Palatino Linotype" w:hAnsi="Palatino Linotype" w:cs="Palatino Linotype"/>
          <w:b/>
          <w:sz w:val="22"/>
          <w:szCs w:val="22"/>
        </w:rPr>
        <w:t>trece de diciembre de dos mil veinticuatro</w:t>
      </w:r>
      <w:r w:rsidRPr="00C00ACE">
        <w:rPr>
          <w:rFonts w:ascii="Palatino Linotype" w:eastAsia="Palatino Linotype" w:hAnsi="Palatino Linotype" w:cs="Palatino Linotype"/>
          <w:sz w:val="22"/>
          <w:szCs w:val="22"/>
        </w:rPr>
        <w:t xml:space="preserve"> esto es, </w:t>
      </w:r>
      <w:r w:rsidR="004D38F7" w:rsidRPr="00C00ACE">
        <w:rPr>
          <w:rFonts w:ascii="Palatino Linotype" w:eastAsia="Palatino Linotype" w:hAnsi="Palatino Linotype" w:cs="Palatino Linotype"/>
          <w:sz w:val="22"/>
          <w:szCs w:val="22"/>
        </w:rPr>
        <w:t xml:space="preserve">el mismo día hábil en </w:t>
      </w:r>
      <w:r w:rsidR="004D38F7" w:rsidRPr="00C00ACE">
        <w:rPr>
          <w:rFonts w:ascii="Palatino Linotype" w:eastAsia="Palatino Linotype" w:hAnsi="Palatino Linotype" w:cs="Palatino Linotype"/>
          <w:b/>
          <w:sz w:val="22"/>
          <w:szCs w:val="22"/>
        </w:rPr>
        <w:t>que se tuvo conocimiento de la respuesta impugnada</w:t>
      </w:r>
      <w:r w:rsidR="004D38F7" w:rsidRPr="00C00ACE">
        <w:rPr>
          <w:rFonts w:ascii="Palatino Linotype" w:eastAsia="Palatino Linotype" w:hAnsi="Palatino Linotype" w:cs="Palatino Linotype"/>
          <w:sz w:val="22"/>
          <w:szCs w:val="22"/>
        </w:rPr>
        <w:t>.</w:t>
      </w:r>
    </w:p>
    <w:p w14:paraId="61C0934D" w14:textId="77777777" w:rsidR="004D38F7" w:rsidRPr="00C00ACE" w:rsidRDefault="004D38F7" w:rsidP="004D38F7">
      <w:pPr>
        <w:spacing w:line="360" w:lineRule="auto"/>
        <w:jc w:val="both"/>
        <w:rPr>
          <w:rFonts w:ascii="Palatino Linotype" w:eastAsia="Palatino Linotype" w:hAnsi="Palatino Linotype" w:cs="Palatino Linotype"/>
          <w:sz w:val="22"/>
          <w:szCs w:val="22"/>
        </w:rPr>
      </w:pPr>
    </w:p>
    <w:p w14:paraId="33DFC8B7" w14:textId="77777777" w:rsidR="004D38F7" w:rsidRPr="00C00ACE" w:rsidRDefault="004D38F7" w:rsidP="004D38F7">
      <w:pPr>
        <w:pBdr>
          <w:top w:val="nil"/>
          <w:left w:val="nil"/>
          <w:bottom w:val="nil"/>
          <w:right w:val="nil"/>
          <w:between w:val="nil"/>
        </w:pBdr>
        <w:spacing w:line="360" w:lineRule="auto"/>
        <w:jc w:val="both"/>
        <w:rPr>
          <w:sz w:val="22"/>
          <w:szCs w:val="22"/>
        </w:rPr>
      </w:pPr>
      <w:bookmarkStart w:id="7" w:name="_heading=h.3znysh7" w:colFirst="0" w:colLast="0"/>
      <w:bookmarkEnd w:id="7"/>
      <w:r w:rsidRPr="00C00ACE">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B23E2DB" w14:textId="77777777" w:rsidR="004D38F7" w:rsidRPr="00C00ACE" w:rsidRDefault="004D38F7" w:rsidP="004D38F7">
      <w:pPr>
        <w:pBdr>
          <w:top w:val="nil"/>
          <w:left w:val="nil"/>
          <w:bottom w:val="nil"/>
          <w:right w:val="nil"/>
          <w:between w:val="nil"/>
        </w:pBdr>
        <w:spacing w:before="120" w:after="120"/>
        <w:ind w:left="851" w:right="902"/>
        <w:jc w:val="both"/>
        <w:rPr>
          <w:sz w:val="22"/>
          <w:szCs w:val="22"/>
        </w:rPr>
      </w:pPr>
      <w:r w:rsidRPr="00C00ACE">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C00ACE">
        <w:rPr>
          <w:rFonts w:ascii="Palatino Linotype" w:eastAsia="Palatino Linotype" w:hAnsi="Palatino Linotype" w:cs="Palatino Linotype"/>
          <w:i/>
          <w:sz w:val="22"/>
          <w:szCs w:val="22"/>
        </w:rPr>
        <w:t>.</w:t>
      </w:r>
    </w:p>
    <w:p w14:paraId="1AC2C540" w14:textId="77777777" w:rsidR="004D38F7" w:rsidRPr="00C00ACE" w:rsidRDefault="004D38F7" w:rsidP="004D38F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C00ACE">
        <w:rPr>
          <w:rFonts w:ascii="Palatino Linotype" w:eastAsia="Palatino Linotype" w:hAnsi="Palatino Linotype" w:cs="Palatino Linotype"/>
          <w:i/>
          <w:sz w:val="22"/>
          <w:szCs w:val="22"/>
        </w:rPr>
        <w:t>que</w:t>
      </w:r>
      <w:proofErr w:type="gramEnd"/>
      <w:r w:rsidRPr="00C00ACE">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3D15EBFC" w14:textId="77777777" w:rsidR="004D38F7" w:rsidRPr="00C00ACE" w:rsidRDefault="004D38F7" w:rsidP="004D38F7">
      <w:pPr>
        <w:pBdr>
          <w:top w:val="nil"/>
          <w:left w:val="nil"/>
          <w:bottom w:val="nil"/>
          <w:right w:val="nil"/>
          <w:between w:val="nil"/>
        </w:pBdr>
        <w:spacing w:before="120" w:after="120"/>
        <w:ind w:left="851" w:right="902"/>
        <w:jc w:val="both"/>
        <w:rPr>
          <w:sz w:val="22"/>
          <w:szCs w:val="22"/>
        </w:rPr>
      </w:pPr>
    </w:p>
    <w:p w14:paraId="0D0B042F" w14:textId="77777777" w:rsidR="004D38F7" w:rsidRPr="00C00ACE" w:rsidRDefault="004D38F7" w:rsidP="004D38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AAC262F" w14:textId="77777777" w:rsidR="004D38F7" w:rsidRPr="00C00ACE" w:rsidRDefault="004D38F7" w:rsidP="004D38F7">
      <w:pPr>
        <w:pBdr>
          <w:top w:val="nil"/>
          <w:left w:val="nil"/>
          <w:bottom w:val="nil"/>
          <w:right w:val="nil"/>
          <w:between w:val="nil"/>
        </w:pBdr>
        <w:spacing w:line="360" w:lineRule="auto"/>
        <w:jc w:val="both"/>
        <w:rPr>
          <w:sz w:val="22"/>
          <w:szCs w:val="22"/>
        </w:rPr>
      </w:pPr>
    </w:p>
    <w:p w14:paraId="3941D23C" w14:textId="77777777" w:rsidR="004D38F7" w:rsidRPr="00C00ACE" w:rsidRDefault="004D38F7" w:rsidP="004D38F7">
      <w:pPr>
        <w:tabs>
          <w:tab w:val="left" w:pos="7938"/>
        </w:tabs>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D2B16B3" w14:textId="77777777" w:rsidR="004D38F7" w:rsidRPr="00C00ACE" w:rsidRDefault="004D38F7" w:rsidP="004D38F7">
      <w:pPr>
        <w:tabs>
          <w:tab w:val="left" w:pos="7938"/>
        </w:tabs>
        <w:spacing w:line="360" w:lineRule="auto"/>
        <w:jc w:val="both"/>
        <w:rPr>
          <w:rFonts w:ascii="Palatino Linotype" w:eastAsia="Palatino Linotype" w:hAnsi="Palatino Linotype" w:cs="Palatino Linotype"/>
          <w:sz w:val="22"/>
          <w:szCs w:val="22"/>
        </w:rPr>
      </w:pPr>
    </w:p>
    <w:p w14:paraId="69128EC4" w14:textId="77777777" w:rsidR="004D38F7" w:rsidRPr="00C00ACE" w:rsidRDefault="004D38F7" w:rsidP="004D38F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Por otro lado, es de suma importancia mencionar que, si bien la parte</w:t>
      </w:r>
      <w:r w:rsidRPr="00C00ACE">
        <w:rPr>
          <w:rFonts w:ascii="Palatino Linotype" w:eastAsia="Palatino Linotype" w:hAnsi="Palatino Linotype" w:cs="Palatino Linotype"/>
          <w:b/>
          <w:sz w:val="22"/>
          <w:szCs w:val="22"/>
        </w:rPr>
        <w:t xml:space="preserve"> Recurrente</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b/>
          <w:sz w:val="22"/>
          <w:szCs w:val="22"/>
        </w:rPr>
        <w:t xml:space="preserve">proporcionó </w:t>
      </w:r>
      <w:r w:rsidR="00F00A64" w:rsidRPr="00C00ACE">
        <w:rPr>
          <w:rFonts w:ascii="Palatino Linotype" w:eastAsia="Palatino Linotype" w:hAnsi="Palatino Linotype" w:cs="Palatino Linotype"/>
          <w:b/>
          <w:sz w:val="22"/>
          <w:szCs w:val="22"/>
        </w:rPr>
        <w:t>nombre incompleto</w:t>
      </w:r>
      <w:r w:rsidRPr="00C00ACE">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7FBE8D2" w14:textId="77777777" w:rsidR="004D38F7" w:rsidRPr="00C00ACE" w:rsidRDefault="004D38F7" w:rsidP="004D38F7">
      <w:pPr>
        <w:spacing w:line="360" w:lineRule="auto"/>
        <w:jc w:val="both"/>
        <w:rPr>
          <w:rFonts w:ascii="Palatino Linotype" w:eastAsia="Palatino Linotype" w:hAnsi="Palatino Linotype" w:cs="Palatino Linotype"/>
          <w:sz w:val="22"/>
          <w:szCs w:val="22"/>
        </w:rPr>
      </w:pPr>
    </w:p>
    <w:p w14:paraId="661F7E2E" w14:textId="77777777" w:rsidR="004D38F7" w:rsidRPr="00C00ACE" w:rsidRDefault="004D38F7" w:rsidP="004D38F7">
      <w:pPr>
        <w:spacing w:line="276" w:lineRule="auto"/>
        <w:ind w:left="851" w:right="902"/>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i/>
          <w:sz w:val="22"/>
          <w:szCs w:val="22"/>
        </w:rPr>
        <w:t>"</w:t>
      </w:r>
      <w:r w:rsidRPr="00C00ACE">
        <w:rPr>
          <w:rFonts w:ascii="Palatino Linotype" w:eastAsia="Palatino Linotype" w:hAnsi="Palatino Linotype" w:cs="Palatino Linotype"/>
          <w:b/>
          <w:i/>
          <w:sz w:val="22"/>
          <w:szCs w:val="22"/>
        </w:rPr>
        <w:t xml:space="preserve">Las solicitudes </w:t>
      </w:r>
      <w:r w:rsidRPr="00C00ACE">
        <w:rPr>
          <w:rFonts w:ascii="Palatino Linotype" w:eastAsia="Palatino Linotype" w:hAnsi="Palatino Linotype" w:cs="Palatino Linotype"/>
          <w:i/>
          <w:sz w:val="22"/>
          <w:szCs w:val="22"/>
        </w:rPr>
        <w:t xml:space="preserve">anónimas, </w:t>
      </w:r>
      <w:r w:rsidRPr="00C00ACE">
        <w:rPr>
          <w:rFonts w:ascii="Palatino Linotype" w:eastAsia="Palatino Linotype" w:hAnsi="Palatino Linotype" w:cs="Palatino Linotype"/>
          <w:b/>
          <w:i/>
          <w:sz w:val="22"/>
          <w:szCs w:val="22"/>
        </w:rPr>
        <w:t>con nombre incompleto</w:t>
      </w:r>
      <w:r w:rsidRPr="00C00ACE">
        <w:rPr>
          <w:rFonts w:ascii="Palatino Linotype" w:eastAsia="Palatino Linotype" w:hAnsi="Palatino Linotype" w:cs="Palatino Linotype"/>
          <w:i/>
          <w:sz w:val="22"/>
          <w:szCs w:val="22"/>
        </w:rPr>
        <w:t xml:space="preserve"> o seudónimo </w:t>
      </w:r>
      <w:r w:rsidRPr="00C00ACE">
        <w:rPr>
          <w:rFonts w:ascii="Palatino Linotype" w:eastAsia="Palatino Linotype" w:hAnsi="Palatino Linotype" w:cs="Palatino Linotype"/>
          <w:b/>
          <w:i/>
          <w:sz w:val="22"/>
          <w:szCs w:val="22"/>
        </w:rPr>
        <w:t>serán procedentes para su trámite por parte del sujeto obligado ante quien se presente</w:t>
      </w:r>
      <w:r w:rsidRPr="00C00ACE">
        <w:rPr>
          <w:rFonts w:ascii="Palatino Linotype" w:eastAsia="Palatino Linotype" w:hAnsi="Palatino Linotype" w:cs="Palatino Linotype"/>
          <w:i/>
          <w:sz w:val="22"/>
          <w:szCs w:val="22"/>
        </w:rPr>
        <w:t>. No podrá requerirse información adicional con motivo del nombre proporcionado por el solicitante."</w:t>
      </w:r>
    </w:p>
    <w:p w14:paraId="613885E6" w14:textId="77777777" w:rsidR="004D38F7" w:rsidRPr="00C00ACE" w:rsidRDefault="004D38F7" w:rsidP="004D38F7">
      <w:pPr>
        <w:tabs>
          <w:tab w:val="left" w:pos="7938"/>
        </w:tabs>
        <w:spacing w:line="360" w:lineRule="auto"/>
        <w:jc w:val="both"/>
        <w:rPr>
          <w:rFonts w:ascii="Palatino Linotype" w:eastAsia="Palatino Linotype" w:hAnsi="Palatino Linotype" w:cs="Palatino Linotype"/>
          <w:sz w:val="22"/>
          <w:szCs w:val="22"/>
        </w:rPr>
      </w:pPr>
    </w:p>
    <w:p w14:paraId="5075A491" w14:textId="77777777" w:rsidR="00515A09" w:rsidRPr="00C00ACE" w:rsidRDefault="009E19E3">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Finalmente, se advierte que resulta procedente la interposición del recurso, según lo manifestado por </w:t>
      </w:r>
      <w:r w:rsidRPr="00C00ACE">
        <w:rPr>
          <w:rFonts w:ascii="Palatino Linotype" w:eastAsia="Palatino Linotype" w:hAnsi="Palatino Linotype" w:cs="Palatino Linotype"/>
          <w:b/>
          <w:sz w:val="22"/>
          <w:szCs w:val="22"/>
        </w:rPr>
        <w:t>la parte</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b/>
          <w:sz w:val="22"/>
          <w:szCs w:val="22"/>
        </w:rPr>
        <w:t>Recurrente</w:t>
      </w:r>
      <w:r w:rsidRPr="00C00ACE">
        <w:rPr>
          <w:rFonts w:ascii="Palatino Linotype" w:eastAsia="Palatino Linotype" w:hAnsi="Palatino Linotype" w:cs="Palatino Linotype"/>
          <w:sz w:val="22"/>
          <w:szCs w:val="22"/>
        </w:rPr>
        <w:t xml:space="preserve"> en sus motivos de inconformidad, de acuerdo al artículo 179, </w:t>
      </w:r>
      <w:r w:rsidR="002F268B" w:rsidRPr="00C00ACE">
        <w:rPr>
          <w:rFonts w:ascii="Palatino Linotype" w:eastAsia="Palatino Linotype" w:hAnsi="Palatino Linotype" w:cs="Palatino Linotype"/>
          <w:sz w:val="22"/>
          <w:szCs w:val="22"/>
        </w:rPr>
        <w:t>fracción</w:t>
      </w:r>
      <w:r w:rsidR="00BF47D9" w:rsidRPr="00C00ACE">
        <w:rPr>
          <w:rFonts w:ascii="Palatino Linotype" w:eastAsia="Palatino Linotype" w:hAnsi="Palatino Linotype" w:cs="Palatino Linotype"/>
          <w:sz w:val="22"/>
          <w:szCs w:val="22"/>
        </w:rPr>
        <w:t xml:space="preserve"> </w:t>
      </w:r>
      <w:r w:rsidR="00F00A64" w:rsidRPr="00C00ACE">
        <w:rPr>
          <w:rFonts w:ascii="Palatino Linotype" w:eastAsia="Palatino Linotype" w:hAnsi="Palatino Linotype" w:cs="Palatino Linotype"/>
          <w:sz w:val="22"/>
          <w:szCs w:val="22"/>
        </w:rPr>
        <w:t>I</w:t>
      </w:r>
      <w:r w:rsidRPr="00C00ACE">
        <w:rPr>
          <w:rFonts w:ascii="Palatino Linotype" w:eastAsia="Palatino Linotype" w:hAnsi="Palatino Linotype" w:cs="Palatino Linotype"/>
          <w:sz w:val="22"/>
          <w:szCs w:val="22"/>
        </w:rPr>
        <w:t>I del ordenamiento legal citado, que a la letra dice: </w:t>
      </w:r>
    </w:p>
    <w:p w14:paraId="4C372A9D" w14:textId="77777777" w:rsidR="00515A09" w:rsidRPr="00C00ACE" w:rsidRDefault="00515A09">
      <w:pPr>
        <w:spacing w:line="360" w:lineRule="auto"/>
        <w:jc w:val="both"/>
        <w:rPr>
          <w:rFonts w:ascii="Palatino Linotype" w:eastAsia="Palatino Linotype" w:hAnsi="Palatino Linotype" w:cs="Palatino Linotype"/>
          <w:sz w:val="22"/>
          <w:szCs w:val="22"/>
        </w:rPr>
      </w:pPr>
    </w:p>
    <w:p w14:paraId="7B6A9E00" w14:textId="77777777" w:rsidR="00515A09" w:rsidRPr="00C00ACE" w:rsidRDefault="009E19E3">
      <w:pPr>
        <w:ind w:left="567" w:right="902"/>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r w:rsidRPr="00C00ACE">
        <w:rPr>
          <w:rFonts w:ascii="Palatino Linotype" w:eastAsia="Palatino Linotype" w:hAnsi="Palatino Linotype" w:cs="Palatino Linotype"/>
          <w:b/>
          <w:i/>
          <w:sz w:val="22"/>
          <w:szCs w:val="22"/>
        </w:rPr>
        <w:t>Artículo 179.</w:t>
      </w:r>
      <w:r w:rsidRPr="00C00AC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43C6574" w14:textId="77777777" w:rsidR="00F00A64" w:rsidRPr="00C00ACE" w:rsidRDefault="00F00A64">
      <w:pPr>
        <w:ind w:left="567" w:right="902"/>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p>
    <w:p w14:paraId="5C0CEBEE" w14:textId="77777777" w:rsidR="00515A09" w:rsidRPr="00C00ACE" w:rsidRDefault="00F00A64">
      <w:pPr>
        <w:ind w:left="567" w:right="902"/>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II. La clasificación de la información;</w:t>
      </w:r>
    </w:p>
    <w:p w14:paraId="76C3ECAA" w14:textId="77777777" w:rsidR="00515A09" w:rsidRPr="00C00ACE" w:rsidRDefault="009E19E3">
      <w:pPr>
        <w:ind w:left="567" w:right="902"/>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p>
    <w:p w14:paraId="555B227A" w14:textId="77777777" w:rsidR="00515A09" w:rsidRPr="00C00ACE" w:rsidRDefault="00515A09">
      <w:pPr>
        <w:ind w:left="567"/>
        <w:rPr>
          <w:rFonts w:ascii="Palatino Linotype" w:eastAsia="Palatino Linotype" w:hAnsi="Palatino Linotype" w:cs="Palatino Linotype"/>
          <w:b/>
          <w:i/>
          <w:sz w:val="22"/>
          <w:szCs w:val="22"/>
        </w:rPr>
      </w:pPr>
    </w:p>
    <w:p w14:paraId="244691BE" w14:textId="77777777" w:rsidR="00515A09" w:rsidRPr="00C00ACE" w:rsidRDefault="009E19E3">
      <w:pPr>
        <w:ind w:left="567" w:right="900"/>
        <w:jc w:val="right"/>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lastRenderedPageBreak/>
        <w:t xml:space="preserve"> </w:t>
      </w:r>
      <w:r w:rsidRPr="00C00ACE">
        <w:rPr>
          <w:rFonts w:ascii="Palatino Linotype" w:eastAsia="Palatino Linotype" w:hAnsi="Palatino Linotype" w:cs="Palatino Linotype"/>
          <w:i/>
          <w:sz w:val="22"/>
          <w:szCs w:val="22"/>
        </w:rPr>
        <w:t>(Énfasis añadido)</w:t>
      </w:r>
    </w:p>
    <w:p w14:paraId="4251DD52" w14:textId="77777777" w:rsidR="00515A09" w:rsidRPr="00C00ACE" w:rsidRDefault="00515A09">
      <w:pPr>
        <w:spacing w:line="360" w:lineRule="auto"/>
        <w:jc w:val="both"/>
        <w:rPr>
          <w:rFonts w:ascii="Palatino Linotype" w:eastAsia="Palatino Linotype" w:hAnsi="Palatino Linotype" w:cs="Palatino Linotype"/>
          <w:b/>
          <w:sz w:val="22"/>
          <w:szCs w:val="22"/>
        </w:rPr>
      </w:pPr>
    </w:p>
    <w:p w14:paraId="59A46E93" w14:textId="77777777" w:rsidR="00515A09" w:rsidRPr="00C00ACE" w:rsidRDefault="009E19E3">
      <w:pPr>
        <w:spacing w:line="360"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 xml:space="preserve">Tercero. Materia de la revisión. </w:t>
      </w:r>
      <w:r w:rsidRPr="00C00AC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00ACE">
        <w:rPr>
          <w:rFonts w:ascii="Palatino Linotype" w:eastAsia="Palatino Linotype" w:hAnsi="Palatino Linotype" w:cs="Palatino Linotype"/>
          <w:b/>
          <w:sz w:val="22"/>
          <w:szCs w:val="22"/>
        </w:rPr>
        <w:t>verificar si la respuesta</w:t>
      </w:r>
      <w:r w:rsidR="00BF47D9" w:rsidRPr="00C00ACE">
        <w:rPr>
          <w:rFonts w:ascii="Palatino Linotype" w:eastAsia="Palatino Linotype" w:hAnsi="Palatino Linotype" w:cs="Palatino Linotype"/>
          <w:b/>
          <w:sz w:val="22"/>
          <w:szCs w:val="22"/>
        </w:rPr>
        <w:t xml:space="preserve"> </w:t>
      </w:r>
      <w:r w:rsidR="00F00A64" w:rsidRPr="00C00ACE">
        <w:rPr>
          <w:rFonts w:ascii="Palatino Linotype" w:eastAsia="Palatino Linotype" w:hAnsi="Palatino Linotype" w:cs="Palatino Linotype"/>
          <w:b/>
          <w:sz w:val="22"/>
          <w:szCs w:val="22"/>
        </w:rPr>
        <w:t>o</w:t>
      </w:r>
      <w:r w:rsidR="00BF47D9" w:rsidRPr="00C00ACE">
        <w:rPr>
          <w:rFonts w:ascii="Palatino Linotype" w:eastAsia="Palatino Linotype" w:hAnsi="Palatino Linotype" w:cs="Palatino Linotype"/>
          <w:b/>
          <w:sz w:val="22"/>
          <w:szCs w:val="22"/>
        </w:rPr>
        <w:t>torgad</w:t>
      </w:r>
      <w:r w:rsidR="00F00A64" w:rsidRPr="00C00ACE">
        <w:rPr>
          <w:rFonts w:ascii="Palatino Linotype" w:eastAsia="Palatino Linotype" w:hAnsi="Palatino Linotype" w:cs="Palatino Linotype"/>
          <w:b/>
          <w:sz w:val="22"/>
          <w:szCs w:val="22"/>
        </w:rPr>
        <w:t>a</w:t>
      </w:r>
      <w:r w:rsidR="00BF47D9" w:rsidRPr="00C00ACE">
        <w:rPr>
          <w:rFonts w:ascii="Palatino Linotype" w:eastAsia="Palatino Linotype" w:hAnsi="Palatino Linotype" w:cs="Palatino Linotype"/>
          <w:b/>
          <w:sz w:val="22"/>
          <w:szCs w:val="22"/>
        </w:rPr>
        <w:t xml:space="preserve"> por el Sujeto Obligado </w:t>
      </w:r>
      <w:r w:rsidR="00F00A64" w:rsidRPr="00C00ACE">
        <w:rPr>
          <w:rFonts w:ascii="Palatino Linotype" w:eastAsia="Palatino Linotype" w:hAnsi="Palatino Linotype" w:cs="Palatino Linotype"/>
          <w:b/>
          <w:sz w:val="22"/>
          <w:szCs w:val="22"/>
        </w:rPr>
        <w:t>es</w:t>
      </w:r>
      <w:r w:rsidR="00BF47D9" w:rsidRPr="00C00ACE">
        <w:rPr>
          <w:rFonts w:ascii="Palatino Linotype" w:eastAsia="Palatino Linotype" w:hAnsi="Palatino Linotype" w:cs="Palatino Linotype"/>
          <w:b/>
          <w:sz w:val="22"/>
          <w:szCs w:val="22"/>
        </w:rPr>
        <w:t xml:space="preserve"> adecuad</w:t>
      </w:r>
      <w:r w:rsidR="00F00A64" w:rsidRPr="00C00ACE">
        <w:rPr>
          <w:rFonts w:ascii="Palatino Linotype" w:eastAsia="Palatino Linotype" w:hAnsi="Palatino Linotype" w:cs="Palatino Linotype"/>
          <w:b/>
          <w:sz w:val="22"/>
          <w:szCs w:val="22"/>
        </w:rPr>
        <w:t>a</w:t>
      </w:r>
      <w:r w:rsidRPr="00C00ACE">
        <w:rPr>
          <w:rFonts w:ascii="Palatino Linotype" w:eastAsia="Palatino Linotype" w:hAnsi="Palatino Linotype" w:cs="Palatino Linotype"/>
          <w:b/>
          <w:sz w:val="22"/>
          <w:szCs w:val="22"/>
        </w:rPr>
        <w:t xml:space="preserve"> y suficiente para satisfacer el derecho de acceso a la información pública de la parte Recurrente,</w:t>
      </w:r>
      <w:r w:rsidRPr="00C00ACE">
        <w:rPr>
          <w:rFonts w:ascii="Palatino Linotype" w:eastAsia="Palatino Linotype" w:hAnsi="Palatino Linotype" w:cs="Palatino Linotype"/>
          <w:sz w:val="22"/>
          <w:szCs w:val="22"/>
        </w:rPr>
        <w:t xml:space="preserve"> o en su defecto, en caso de ser procedente, ordenar la entrega de la información oportuna.</w:t>
      </w:r>
    </w:p>
    <w:p w14:paraId="1432EACD" w14:textId="77777777" w:rsidR="00515A09" w:rsidRPr="00C00ACE" w:rsidRDefault="00515A09">
      <w:pPr>
        <w:spacing w:line="360" w:lineRule="auto"/>
        <w:jc w:val="both"/>
        <w:rPr>
          <w:rFonts w:ascii="Palatino Linotype" w:eastAsia="Palatino Linotype" w:hAnsi="Palatino Linotype" w:cs="Palatino Linotype"/>
          <w:sz w:val="22"/>
          <w:szCs w:val="22"/>
        </w:rPr>
      </w:pPr>
    </w:p>
    <w:p w14:paraId="00667572" w14:textId="77777777" w:rsidR="00111BD6" w:rsidRPr="00C00ACE" w:rsidRDefault="009E19E3" w:rsidP="00111BD6">
      <w:pPr>
        <w:spacing w:before="240" w:after="240"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b/>
          <w:sz w:val="22"/>
          <w:szCs w:val="22"/>
        </w:rPr>
        <w:t xml:space="preserve">Cuarto. Estudio del asunto. </w:t>
      </w:r>
      <w:r w:rsidR="00111BD6" w:rsidRPr="00C00ACE">
        <w:rPr>
          <w:rFonts w:ascii="Palatino Linotype" w:eastAsia="Palatino Linotype" w:hAnsi="Palatino Linotype" w:cs="Palatino Linotype"/>
          <w:sz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5B44803" w14:textId="77777777" w:rsidR="00111BD6" w:rsidRPr="00C00ACE" w:rsidRDefault="00111BD6" w:rsidP="00111BD6">
      <w:pPr>
        <w:spacing w:before="120" w:after="120"/>
        <w:ind w:left="851" w:right="902"/>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r w:rsidRPr="00C00ACE">
        <w:rPr>
          <w:rFonts w:ascii="Palatino Linotype" w:eastAsia="Palatino Linotype" w:hAnsi="Palatino Linotype" w:cs="Palatino Linotype"/>
          <w:b/>
          <w:i/>
          <w:sz w:val="22"/>
          <w:szCs w:val="22"/>
        </w:rPr>
        <w:t>Artículo 4</w:t>
      </w:r>
      <w:r w:rsidRPr="00C00AC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03BA4BD" w14:textId="77777777" w:rsidR="00111BD6" w:rsidRPr="00C00ACE" w:rsidRDefault="00111BD6" w:rsidP="00111BD6">
      <w:pPr>
        <w:spacing w:before="120" w:after="120"/>
        <w:ind w:left="851" w:right="902"/>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00ACE">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w:t>
      </w:r>
      <w:r w:rsidRPr="00C00ACE">
        <w:rPr>
          <w:rFonts w:ascii="Palatino Linotype" w:eastAsia="Palatino Linotype" w:hAnsi="Palatino Linotype" w:cs="Palatino Linotype"/>
          <w:i/>
          <w:sz w:val="22"/>
          <w:szCs w:val="22"/>
        </w:rPr>
        <w:lastRenderedPageBreak/>
        <w:t>por razones de interés público, en los términos de las causas legítimas y estrictamente necesarias previstas por esta Ley.</w:t>
      </w:r>
    </w:p>
    <w:p w14:paraId="2B2B9C16" w14:textId="77777777" w:rsidR="00111BD6" w:rsidRPr="00C00ACE" w:rsidRDefault="00111BD6" w:rsidP="00111BD6">
      <w:pPr>
        <w:spacing w:before="120" w:after="120"/>
        <w:ind w:left="851" w:right="902"/>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00ACE">
        <w:rPr>
          <w:rFonts w:ascii="Palatino Linotype" w:eastAsia="Palatino Linotype" w:hAnsi="Palatino Linotype" w:cs="Palatino Linotype"/>
          <w:i/>
          <w:sz w:val="22"/>
          <w:szCs w:val="22"/>
        </w:rPr>
        <w:t>.”</w:t>
      </w:r>
    </w:p>
    <w:p w14:paraId="430FBF06" w14:textId="77777777" w:rsidR="00515A09" w:rsidRPr="00C00ACE" w:rsidRDefault="00515A09" w:rsidP="00111B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202A83" w14:textId="77777777" w:rsidR="00515A09" w:rsidRPr="00C00ACE" w:rsidRDefault="009E19E3">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30BBB8E" w14:textId="77777777" w:rsidR="00515A09" w:rsidRPr="00C00ACE" w:rsidRDefault="00515A09">
      <w:pPr>
        <w:spacing w:line="360" w:lineRule="auto"/>
        <w:jc w:val="both"/>
        <w:rPr>
          <w:rFonts w:ascii="Palatino Linotype" w:eastAsia="Palatino Linotype" w:hAnsi="Palatino Linotype" w:cs="Palatino Linotype"/>
          <w:sz w:val="22"/>
          <w:szCs w:val="22"/>
        </w:rPr>
      </w:pPr>
    </w:p>
    <w:p w14:paraId="342719DE" w14:textId="77777777" w:rsidR="00515A09" w:rsidRPr="00C00ACE" w:rsidRDefault="009E19E3">
      <w:pPr>
        <w:spacing w:line="276" w:lineRule="auto"/>
        <w:ind w:left="567" w:right="616"/>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“Artículo 12.-</w:t>
      </w:r>
      <w:r w:rsidRPr="00C00AC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B1826F9" w14:textId="77777777" w:rsidR="00515A09" w:rsidRPr="00C00ACE" w:rsidRDefault="00515A09">
      <w:pPr>
        <w:spacing w:line="276" w:lineRule="auto"/>
        <w:ind w:left="567" w:right="616"/>
        <w:jc w:val="both"/>
        <w:rPr>
          <w:rFonts w:ascii="Palatino Linotype" w:eastAsia="Palatino Linotype" w:hAnsi="Palatino Linotype" w:cs="Palatino Linotype"/>
          <w:i/>
          <w:sz w:val="22"/>
          <w:szCs w:val="22"/>
        </w:rPr>
      </w:pPr>
    </w:p>
    <w:p w14:paraId="489C09AE" w14:textId="77777777" w:rsidR="00515A09" w:rsidRPr="00C00ACE" w:rsidRDefault="009E19E3">
      <w:pPr>
        <w:spacing w:line="276" w:lineRule="auto"/>
        <w:ind w:left="567" w:right="616"/>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00ACE">
        <w:rPr>
          <w:rFonts w:ascii="Palatino Linotype" w:eastAsia="Palatino Linotype" w:hAnsi="Palatino Linotype" w:cs="Palatino Linotype"/>
          <w:i/>
          <w:sz w:val="22"/>
          <w:szCs w:val="22"/>
        </w:rPr>
        <w:t xml:space="preserve">. </w:t>
      </w:r>
      <w:r w:rsidRPr="00C00AC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52C2F48" w14:textId="77777777" w:rsidR="00515A09" w:rsidRPr="00C00ACE" w:rsidRDefault="00515A09">
      <w:pPr>
        <w:spacing w:line="360" w:lineRule="auto"/>
        <w:ind w:left="567" w:right="616"/>
        <w:jc w:val="both"/>
        <w:rPr>
          <w:rFonts w:ascii="Palatino Linotype" w:eastAsia="Palatino Linotype" w:hAnsi="Palatino Linotype" w:cs="Palatino Linotype"/>
          <w:i/>
          <w:sz w:val="22"/>
          <w:szCs w:val="22"/>
        </w:rPr>
      </w:pPr>
    </w:p>
    <w:p w14:paraId="2B1E932E" w14:textId="77777777" w:rsidR="00515A09" w:rsidRPr="00C00ACE" w:rsidRDefault="009E19E3">
      <w:pPr>
        <w:spacing w:line="360" w:lineRule="auto"/>
        <w:ind w:right="-93"/>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w:t>
      </w:r>
      <w:r w:rsidRPr="00C00ACE">
        <w:rPr>
          <w:rFonts w:ascii="Palatino Linotype" w:eastAsia="Palatino Linotype" w:hAnsi="Palatino Linotype" w:cs="Palatino Linotype"/>
          <w:sz w:val="22"/>
          <w:szCs w:val="22"/>
        </w:rPr>
        <w:lastRenderedPageBreak/>
        <w:t>estado que se encuentran, sin necesidad de concretarse al interés o términos específicos del solicitante.</w:t>
      </w:r>
    </w:p>
    <w:p w14:paraId="4F012420" w14:textId="77777777" w:rsidR="00515A09" w:rsidRPr="00C00ACE" w:rsidRDefault="00515A09">
      <w:pPr>
        <w:spacing w:line="360" w:lineRule="auto"/>
        <w:ind w:right="-93"/>
        <w:jc w:val="both"/>
        <w:rPr>
          <w:rFonts w:ascii="Palatino Linotype" w:eastAsia="Palatino Linotype" w:hAnsi="Palatino Linotype" w:cs="Palatino Linotype"/>
          <w:sz w:val="22"/>
          <w:szCs w:val="22"/>
        </w:rPr>
      </w:pPr>
    </w:p>
    <w:p w14:paraId="79D3C659" w14:textId="77777777" w:rsidR="00515A09" w:rsidRPr="00C00ACE" w:rsidRDefault="009E19E3">
      <w:pPr>
        <w:spacing w:line="360"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C00ACE">
        <w:rPr>
          <w:rFonts w:ascii="Palatino Linotype" w:eastAsia="Palatino Linotype" w:hAnsi="Palatino Linotype" w:cs="Palatino Linotype"/>
          <w:b/>
          <w:sz w:val="22"/>
          <w:szCs w:val="22"/>
        </w:rPr>
        <w:t xml:space="preserve"> </w:t>
      </w:r>
    </w:p>
    <w:p w14:paraId="4C6D45A8" w14:textId="77777777" w:rsidR="00515A09" w:rsidRPr="00C00ACE" w:rsidRDefault="00515A09">
      <w:pPr>
        <w:spacing w:line="360" w:lineRule="auto"/>
        <w:jc w:val="both"/>
        <w:rPr>
          <w:rFonts w:ascii="Palatino Linotype" w:eastAsia="Palatino Linotype" w:hAnsi="Palatino Linotype" w:cs="Palatino Linotype"/>
          <w:b/>
          <w:sz w:val="22"/>
          <w:szCs w:val="22"/>
        </w:rPr>
      </w:pPr>
    </w:p>
    <w:p w14:paraId="17162BA7" w14:textId="77777777" w:rsidR="00515A09" w:rsidRPr="00C00ACE" w:rsidRDefault="009E19E3">
      <w:pPr>
        <w:spacing w:line="276" w:lineRule="auto"/>
        <w:ind w:left="567" w:right="616"/>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r w:rsidRPr="00C00ACE">
        <w:rPr>
          <w:rFonts w:ascii="Palatino Linotype" w:eastAsia="Palatino Linotype" w:hAnsi="Palatino Linotype" w:cs="Palatino Linotype"/>
          <w:b/>
          <w:i/>
          <w:sz w:val="22"/>
          <w:szCs w:val="22"/>
        </w:rPr>
        <w:t>No existe obligación de elaborar documentos ad hoc para atender las solicitudes de acceso a la información.</w:t>
      </w:r>
      <w:r w:rsidRPr="00C00AC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895758B" w14:textId="77777777" w:rsidR="00515A09" w:rsidRPr="00C00ACE" w:rsidRDefault="00515A09">
      <w:pPr>
        <w:spacing w:line="360" w:lineRule="auto"/>
        <w:ind w:right="-93"/>
        <w:jc w:val="both"/>
        <w:rPr>
          <w:rFonts w:ascii="Palatino Linotype" w:eastAsia="Palatino Linotype" w:hAnsi="Palatino Linotype" w:cs="Palatino Linotype"/>
          <w:sz w:val="22"/>
          <w:szCs w:val="22"/>
        </w:rPr>
      </w:pPr>
    </w:p>
    <w:p w14:paraId="28CB211A" w14:textId="77777777" w:rsidR="00515A09" w:rsidRPr="00C00ACE" w:rsidRDefault="009E19E3">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3C1A07D" w14:textId="77777777" w:rsidR="00515A09" w:rsidRPr="00C00ACE" w:rsidRDefault="00515A09">
      <w:pPr>
        <w:spacing w:line="360" w:lineRule="auto"/>
        <w:jc w:val="both"/>
        <w:rPr>
          <w:rFonts w:ascii="Palatino Linotype" w:eastAsia="Palatino Linotype" w:hAnsi="Palatino Linotype" w:cs="Palatino Linotype"/>
          <w:sz w:val="22"/>
          <w:szCs w:val="22"/>
        </w:rPr>
      </w:pPr>
    </w:p>
    <w:p w14:paraId="06369E2D" w14:textId="77777777" w:rsidR="00515A09" w:rsidRPr="00C00ACE" w:rsidRDefault="009E19E3">
      <w:pP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w:t>
      </w:r>
      <w:r w:rsidRPr="00C00ACE">
        <w:rPr>
          <w:rFonts w:ascii="Palatino Linotype" w:eastAsia="Palatino Linotype" w:hAnsi="Palatino Linotype" w:cs="Palatino Linotype"/>
          <w:sz w:val="22"/>
          <w:szCs w:val="22"/>
        </w:rPr>
        <w:lastRenderedPageBreak/>
        <w:t>cada Sujeto Obligado; como así se establece en la Ley de Transparencia y Acceso a la Información Pública del Estado de México y Municipios.</w:t>
      </w:r>
    </w:p>
    <w:p w14:paraId="785ED1C0" w14:textId="77777777" w:rsidR="00515A09" w:rsidRPr="00C00ACE" w:rsidRDefault="00515A09">
      <w:pPr>
        <w:spacing w:line="360" w:lineRule="auto"/>
        <w:ind w:right="49"/>
        <w:jc w:val="both"/>
        <w:rPr>
          <w:rFonts w:ascii="Palatino Linotype" w:eastAsia="Palatino Linotype" w:hAnsi="Palatino Linotype" w:cs="Palatino Linotype"/>
          <w:sz w:val="22"/>
          <w:szCs w:val="22"/>
        </w:rPr>
      </w:pPr>
    </w:p>
    <w:p w14:paraId="68A1B5CC" w14:textId="77777777" w:rsidR="00515A09" w:rsidRPr="00C00ACE" w:rsidRDefault="009E19E3">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C8477A" w14:textId="77777777" w:rsidR="00515A09" w:rsidRPr="00C00ACE" w:rsidRDefault="00515A09">
      <w:pPr>
        <w:spacing w:line="360" w:lineRule="auto"/>
        <w:ind w:left="851" w:right="899"/>
        <w:jc w:val="both"/>
        <w:rPr>
          <w:rFonts w:ascii="Palatino Linotype" w:eastAsia="Palatino Linotype" w:hAnsi="Palatino Linotype" w:cs="Palatino Linotype"/>
          <w:i/>
          <w:sz w:val="22"/>
          <w:szCs w:val="22"/>
        </w:rPr>
      </w:pPr>
    </w:p>
    <w:p w14:paraId="046ACA2C" w14:textId="77777777" w:rsidR="00515A09" w:rsidRPr="00C00ACE" w:rsidRDefault="009E19E3">
      <w:pPr>
        <w:spacing w:line="276" w:lineRule="auto"/>
        <w:ind w:left="567" w:right="616"/>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r w:rsidRPr="00C00ACE">
        <w:rPr>
          <w:rFonts w:ascii="Palatino Linotype" w:eastAsia="Palatino Linotype" w:hAnsi="Palatino Linotype" w:cs="Palatino Linotype"/>
          <w:b/>
          <w:i/>
          <w:sz w:val="22"/>
          <w:szCs w:val="22"/>
        </w:rPr>
        <w:t xml:space="preserve">Artículo 3. </w:t>
      </w:r>
      <w:r w:rsidRPr="00C00ACE">
        <w:rPr>
          <w:rFonts w:ascii="Palatino Linotype" w:eastAsia="Palatino Linotype" w:hAnsi="Palatino Linotype" w:cs="Palatino Linotype"/>
          <w:i/>
          <w:sz w:val="22"/>
          <w:szCs w:val="22"/>
        </w:rPr>
        <w:t>Para los efectos de la presente Ley se entenderá por:</w:t>
      </w:r>
    </w:p>
    <w:p w14:paraId="0FDAABF7" w14:textId="77777777" w:rsidR="00515A09" w:rsidRPr="00C00ACE" w:rsidRDefault="009E19E3">
      <w:pPr>
        <w:spacing w:line="276" w:lineRule="auto"/>
        <w:ind w:left="567" w:right="616"/>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p>
    <w:p w14:paraId="5303DC20" w14:textId="77777777" w:rsidR="00515A09" w:rsidRPr="00C00ACE" w:rsidRDefault="009E19E3">
      <w:pPr>
        <w:spacing w:line="276" w:lineRule="auto"/>
        <w:ind w:left="567" w:right="616"/>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XI. Documento:</w:t>
      </w:r>
      <w:r w:rsidRPr="00C00ACE">
        <w:rPr>
          <w:rFonts w:ascii="Palatino Linotype" w:eastAsia="Palatino Linotype" w:hAnsi="Palatino Linotype" w:cs="Palatino Linotype"/>
          <w:i/>
          <w:sz w:val="22"/>
          <w:szCs w:val="22"/>
        </w:rPr>
        <w:t xml:space="preserve"> Los expedientes, reportes, estudios, actas</w:t>
      </w:r>
      <w:r w:rsidRPr="00C00ACE">
        <w:rPr>
          <w:rFonts w:ascii="Palatino Linotype" w:eastAsia="Palatino Linotype" w:hAnsi="Palatino Linotype" w:cs="Palatino Linotype"/>
          <w:b/>
          <w:i/>
          <w:sz w:val="22"/>
          <w:szCs w:val="22"/>
        </w:rPr>
        <w:t>,</w:t>
      </w:r>
      <w:r w:rsidRPr="00C00AC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62096B5" w14:textId="77777777" w:rsidR="00515A09" w:rsidRPr="00C00ACE" w:rsidRDefault="00515A09">
      <w:pPr>
        <w:spacing w:line="360" w:lineRule="auto"/>
        <w:ind w:left="851" w:right="899"/>
        <w:jc w:val="both"/>
        <w:rPr>
          <w:rFonts w:ascii="Palatino Linotype" w:eastAsia="Palatino Linotype" w:hAnsi="Palatino Linotype" w:cs="Palatino Linotype"/>
          <w:sz w:val="22"/>
          <w:szCs w:val="22"/>
        </w:rPr>
      </w:pPr>
    </w:p>
    <w:p w14:paraId="3B428ADA" w14:textId="77777777" w:rsidR="00515A09" w:rsidRPr="00C00ACE" w:rsidRDefault="009E19E3">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D592A8" w14:textId="77777777" w:rsidR="00515A09" w:rsidRPr="00C00ACE" w:rsidRDefault="00515A09">
      <w:pPr>
        <w:spacing w:line="360" w:lineRule="auto"/>
        <w:jc w:val="both"/>
        <w:rPr>
          <w:rFonts w:ascii="Palatino Linotype" w:eastAsia="Palatino Linotype" w:hAnsi="Palatino Linotype" w:cs="Palatino Linotype"/>
          <w:sz w:val="22"/>
          <w:szCs w:val="22"/>
        </w:rPr>
      </w:pPr>
    </w:p>
    <w:p w14:paraId="5667F91E" w14:textId="77777777" w:rsidR="00515A09" w:rsidRPr="00C00ACE" w:rsidRDefault="009E19E3">
      <w:pPr>
        <w:spacing w:line="276" w:lineRule="auto"/>
        <w:ind w:left="567" w:right="616"/>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sz w:val="22"/>
          <w:szCs w:val="22"/>
        </w:rPr>
        <w:lastRenderedPageBreak/>
        <w:t>“</w:t>
      </w:r>
      <w:r w:rsidRPr="00C00AC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00AC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DCCD5AE" w14:textId="77777777" w:rsidR="00515A09" w:rsidRPr="00C00ACE" w:rsidRDefault="009E19E3">
      <w:pPr>
        <w:spacing w:line="276" w:lineRule="auto"/>
        <w:ind w:left="567" w:right="616"/>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 xml:space="preserve">En </w:t>
      </w:r>
      <w:proofErr w:type="gramStart"/>
      <w:r w:rsidRPr="00C00ACE">
        <w:rPr>
          <w:rFonts w:ascii="Palatino Linotype" w:eastAsia="Palatino Linotype" w:hAnsi="Palatino Linotype" w:cs="Palatino Linotype"/>
          <w:i/>
          <w:sz w:val="22"/>
          <w:szCs w:val="22"/>
        </w:rPr>
        <w:t>consecuencia</w:t>
      </w:r>
      <w:proofErr w:type="gramEnd"/>
      <w:r w:rsidRPr="00C00AC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62E66A0" w14:textId="77777777" w:rsidR="00515A09" w:rsidRPr="00C00ACE" w:rsidRDefault="009E19E3">
      <w:pPr>
        <w:spacing w:line="276" w:lineRule="auto"/>
        <w:ind w:left="567" w:right="616"/>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00ACE">
        <w:rPr>
          <w:rFonts w:ascii="Palatino Linotype" w:eastAsia="Palatino Linotype" w:hAnsi="Palatino Linotype" w:cs="Palatino Linotype"/>
          <w:i/>
          <w:sz w:val="22"/>
          <w:szCs w:val="22"/>
        </w:rPr>
        <w:t>que</w:t>
      </w:r>
      <w:proofErr w:type="gramEnd"/>
      <w:r w:rsidRPr="00C00ACE">
        <w:rPr>
          <w:rFonts w:ascii="Palatino Linotype" w:eastAsia="Palatino Linotype" w:hAnsi="Palatino Linotype" w:cs="Palatino Linotype"/>
          <w:i/>
          <w:sz w:val="22"/>
          <w:szCs w:val="22"/>
        </w:rPr>
        <w:t xml:space="preserve"> en ejercicio de las atribuciones conferidas, sea generada por los Sujetos Obligados;</w:t>
      </w:r>
    </w:p>
    <w:p w14:paraId="1D23F00E" w14:textId="77777777" w:rsidR="00515A09" w:rsidRPr="00C00ACE" w:rsidRDefault="009E19E3">
      <w:pPr>
        <w:spacing w:line="276" w:lineRule="auto"/>
        <w:ind w:left="567" w:right="616"/>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C00ACE">
        <w:rPr>
          <w:rFonts w:ascii="Palatino Linotype" w:eastAsia="Palatino Linotype" w:hAnsi="Palatino Linotype" w:cs="Palatino Linotype"/>
          <w:b/>
          <w:i/>
          <w:sz w:val="22"/>
          <w:szCs w:val="22"/>
        </w:rPr>
        <w:t>que</w:t>
      </w:r>
      <w:proofErr w:type="gramEnd"/>
      <w:r w:rsidRPr="00C00ACE">
        <w:rPr>
          <w:rFonts w:ascii="Palatino Linotype" w:eastAsia="Palatino Linotype" w:hAnsi="Palatino Linotype" w:cs="Palatino Linotype"/>
          <w:b/>
          <w:i/>
          <w:sz w:val="22"/>
          <w:szCs w:val="22"/>
        </w:rPr>
        <w:t xml:space="preserve"> en ejercicio de las atribuciones conferidas, sea administrada por los Sujetos Obligados, y</w:t>
      </w:r>
    </w:p>
    <w:p w14:paraId="06BCFA18" w14:textId="77777777" w:rsidR="00515A09" w:rsidRPr="00C00ACE" w:rsidRDefault="009E19E3">
      <w:pPr>
        <w:spacing w:line="276" w:lineRule="auto"/>
        <w:ind w:left="567" w:right="616"/>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C00ACE">
        <w:rPr>
          <w:rFonts w:ascii="Palatino Linotype" w:eastAsia="Palatino Linotype" w:hAnsi="Palatino Linotype" w:cs="Palatino Linotype"/>
          <w:b/>
          <w:i/>
          <w:sz w:val="22"/>
          <w:szCs w:val="22"/>
        </w:rPr>
        <w:t>que</w:t>
      </w:r>
      <w:proofErr w:type="gramEnd"/>
      <w:r w:rsidRPr="00C00ACE">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1AD31641" w14:textId="77777777" w:rsidR="00515A09" w:rsidRPr="00C00ACE" w:rsidRDefault="00515A09">
      <w:pPr>
        <w:spacing w:line="276" w:lineRule="auto"/>
        <w:ind w:left="567" w:right="616"/>
        <w:jc w:val="both"/>
        <w:rPr>
          <w:rFonts w:ascii="Palatino Linotype" w:eastAsia="Palatino Linotype" w:hAnsi="Palatino Linotype" w:cs="Palatino Linotype"/>
          <w:b/>
          <w:i/>
          <w:sz w:val="22"/>
          <w:szCs w:val="22"/>
        </w:rPr>
      </w:pPr>
    </w:p>
    <w:p w14:paraId="2F09838C" w14:textId="77777777" w:rsidR="00515A09" w:rsidRPr="00C00ACE" w:rsidRDefault="009E19E3">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De ahí que el </w:t>
      </w:r>
      <w:r w:rsidRPr="00C00ACE">
        <w:rPr>
          <w:rFonts w:ascii="Palatino Linotype" w:eastAsia="Palatino Linotype" w:hAnsi="Palatino Linotype" w:cs="Palatino Linotype"/>
          <w:b/>
          <w:sz w:val="22"/>
          <w:szCs w:val="22"/>
        </w:rPr>
        <w:t>Sujeto Obligado</w:t>
      </w:r>
      <w:r w:rsidRPr="00C00ACE">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00ACE">
        <w:rPr>
          <w:rFonts w:ascii="Palatino Linotype" w:eastAsia="Palatino Linotype" w:hAnsi="Palatino Linotype" w:cs="Palatino Linotype"/>
          <w:sz w:val="22"/>
          <w:szCs w:val="22"/>
          <w:vertAlign w:val="superscript"/>
        </w:rPr>
        <w:footnoteReference w:id="1"/>
      </w:r>
      <w:r w:rsidRPr="00C00ACE">
        <w:rPr>
          <w:rFonts w:ascii="Palatino Linotype" w:eastAsia="Palatino Linotype" w:hAnsi="Palatino Linotype" w:cs="Palatino Linotype"/>
          <w:sz w:val="22"/>
          <w:szCs w:val="22"/>
        </w:rPr>
        <w:t xml:space="preserve">, así como de interés público, es decir, aquella que resulta relevante o beneficiosa para la sociedad y no simplemente de interés individual, y cuya divulgación resulta útil para que </w:t>
      </w:r>
      <w:r w:rsidRPr="00C00ACE">
        <w:rPr>
          <w:rFonts w:ascii="Palatino Linotype" w:eastAsia="Palatino Linotype" w:hAnsi="Palatino Linotype" w:cs="Palatino Linotype"/>
          <w:sz w:val="22"/>
          <w:szCs w:val="22"/>
        </w:rPr>
        <w:lastRenderedPageBreak/>
        <w:t>el público comprenda las actividades que llevan a cabo los Sujetos Obligados</w:t>
      </w:r>
      <w:r w:rsidRPr="00C00ACE">
        <w:rPr>
          <w:rFonts w:ascii="Palatino Linotype" w:eastAsia="Palatino Linotype" w:hAnsi="Palatino Linotype" w:cs="Palatino Linotype"/>
          <w:sz w:val="22"/>
          <w:szCs w:val="22"/>
          <w:vertAlign w:val="superscript"/>
        </w:rPr>
        <w:footnoteReference w:id="2"/>
      </w:r>
      <w:r w:rsidRPr="00C00ACE">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1B0853B9" w14:textId="77777777" w:rsidR="00515A09" w:rsidRPr="00C00ACE" w:rsidRDefault="00515A0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980AD16" w14:textId="77777777" w:rsidR="00515A09" w:rsidRPr="00C00ACE" w:rsidRDefault="009E19E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C00ACE">
        <w:rPr>
          <w:rFonts w:ascii="Palatino Linotype" w:eastAsia="Palatino Linotype" w:hAnsi="Palatino Linotype" w:cs="Palatino Linotype"/>
          <w:sz w:val="22"/>
          <w:szCs w:val="22"/>
        </w:rPr>
        <w:t xml:space="preserve">Para ello, conviene iniciar el presente estudio señalando que la persona solicitante requirió del </w:t>
      </w:r>
      <w:r w:rsidRPr="00C00ACE">
        <w:rPr>
          <w:rFonts w:ascii="Palatino Linotype" w:eastAsia="Palatino Linotype" w:hAnsi="Palatino Linotype" w:cs="Palatino Linotype"/>
          <w:b/>
          <w:sz w:val="22"/>
          <w:szCs w:val="22"/>
        </w:rPr>
        <w:t xml:space="preserve">Sujeto Obligado, </w:t>
      </w:r>
      <w:r w:rsidR="0067736D" w:rsidRPr="00C00ACE">
        <w:rPr>
          <w:rFonts w:ascii="Palatino Linotype" w:eastAsia="Palatino Linotype" w:hAnsi="Palatino Linotype" w:cs="Palatino Linotype"/>
          <w:sz w:val="22"/>
          <w:szCs w:val="22"/>
        </w:rPr>
        <w:t>medularmente</w:t>
      </w:r>
      <w:r w:rsidR="0067736D" w:rsidRPr="00C00ACE">
        <w:rPr>
          <w:rFonts w:ascii="Palatino Linotype" w:eastAsia="Palatino Linotype" w:hAnsi="Palatino Linotype" w:cs="Palatino Linotype"/>
          <w:b/>
          <w:sz w:val="22"/>
          <w:szCs w:val="22"/>
        </w:rPr>
        <w:t xml:space="preserve"> </w:t>
      </w:r>
      <w:r w:rsidRPr="00C00ACE">
        <w:rPr>
          <w:rFonts w:ascii="Palatino Linotype" w:eastAsia="Palatino Linotype" w:hAnsi="Palatino Linotype" w:cs="Palatino Linotype"/>
          <w:sz w:val="22"/>
          <w:szCs w:val="22"/>
        </w:rPr>
        <w:t>lo siguiente:</w:t>
      </w:r>
    </w:p>
    <w:p w14:paraId="487CE668" w14:textId="77777777" w:rsidR="00515A09" w:rsidRPr="00C00ACE" w:rsidRDefault="00515A0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A9FED35" w14:textId="77777777" w:rsidR="00111BD6" w:rsidRPr="00C00ACE" w:rsidRDefault="00111BD6" w:rsidP="00111BD6">
      <w:pPr>
        <w:pStyle w:val="Prrafodelista"/>
        <w:numPr>
          <w:ilvl w:val="0"/>
          <w:numId w:val="23"/>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La versión pública del expediente con la clave IEEM/CG/SUBS/084/2024.</w:t>
      </w:r>
    </w:p>
    <w:p w14:paraId="645C0AC1" w14:textId="77777777" w:rsidR="00626B3E" w:rsidRPr="00C00ACE" w:rsidRDefault="00626B3E" w:rsidP="00626B3E">
      <w:pPr>
        <w:spacing w:line="360" w:lineRule="auto"/>
        <w:ind w:right="49"/>
        <w:jc w:val="both"/>
        <w:rPr>
          <w:rFonts w:ascii="Palatino Linotype" w:eastAsia="Palatino Linotype" w:hAnsi="Palatino Linotype" w:cs="Palatino Linotype"/>
          <w:b/>
          <w:i/>
          <w:sz w:val="22"/>
          <w:szCs w:val="22"/>
        </w:rPr>
      </w:pPr>
    </w:p>
    <w:p w14:paraId="3A157BBC" w14:textId="77777777" w:rsidR="00111BD6" w:rsidRPr="00C00ACE" w:rsidRDefault="00111BD6">
      <w:pP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Lo anterior, en virtud de que el particular refiere que mediante el oficio No. IEEM/CG/591/2024 se precisa que el expediente referido se encuentra concluido.</w:t>
      </w:r>
    </w:p>
    <w:p w14:paraId="6538AB2B" w14:textId="77777777" w:rsidR="00111BD6" w:rsidRPr="00C00ACE" w:rsidRDefault="00111BD6">
      <w:pPr>
        <w:spacing w:line="360" w:lineRule="auto"/>
        <w:ind w:right="49"/>
        <w:jc w:val="both"/>
        <w:rPr>
          <w:rFonts w:ascii="Palatino Linotype" w:eastAsia="Palatino Linotype" w:hAnsi="Palatino Linotype" w:cs="Palatino Linotype"/>
          <w:sz w:val="22"/>
          <w:szCs w:val="22"/>
        </w:rPr>
      </w:pPr>
    </w:p>
    <w:p w14:paraId="4A0B8296" w14:textId="77777777" w:rsidR="0067736D" w:rsidRPr="00C00ACE" w:rsidRDefault="009E19E3">
      <w:pP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En respuesta, el </w:t>
      </w:r>
      <w:r w:rsidRPr="00C00ACE">
        <w:rPr>
          <w:rFonts w:ascii="Palatino Linotype" w:eastAsia="Palatino Linotype" w:hAnsi="Palatino Linotype" w:cs="Palatino Linotype"/>
          <w:b/>
          <w:sz w:val="22"/>
          <w:szCs w:val="22"/>
        </w:rPr>
        <w:t xml:space="preserve">Sujeto Obligado </w:t>
      </w:r>
      <w:r w:rsidR="00626B3E" w:rsidRPr="00C00ACE">
        <w:rPr>
          <w:rFonts w:ascii="Palatino Linotype" w:eastAsia="Palatino Linotype" w:hAnsi="Palatino Linotype" w:cs="Palatino Linotype"/>
          <w:sz w:val="22"/>
          <w:szCs w:val="22"/>
        </w:rPr>
        <w:t xml:space="preserve">por conducto de la servidora pública habilitada de la </w:t>
      </w:r>
      <w:r w:rsidR="00111BD6" w:rsidRPr="00C00ACE">
        <w:rPr>
          <w:rFonts w:ascii="Palatino Linotype" w:eastAsia="Palatino Linotype" w:hAnsi="Palatino Linotype" w:cs="Palatino Linotype"/>
          <w:sz w:val="22"/>
          <w:szCs w:val="22"/>
        </w:rPr>
        <w:t>Contraloría General</w:t>
      </w:r>
      <w:r w:rsidR="00111BD6" w:rsidRPr="00C00ACE">
        <w:rPr>
          <w:rFonts w:ascii="Palatino Linotype" w:hAnsi="Palatino Linotype"/>
          <w:sz w:val="22"/>
          <w:szCs w:val="22"/>
        </w:rPr>
        <w:t xml:space="preserve"> mediante oficio informó a la persona solicitante de manera medular que el</w:t>
      </w:r>
      <w:r w:rsidR="00111BD6" w:rsidRPr="00C00ACE">
        <w:rPr>
          <w:rFonts w:ascii="Palatino Linotype" w:eastAsia="Palatino Linotype" w:hAnsi="Palatino Linotype" w:cs="Palatino Linotype"/>
          <w:sz w:val="22"/>
          <w:szCs w:val="22"/>
        </w:rPr>
        <w:t xml:space="preserve"> expediente requerido y sus anexos se entregaban en </w:t>
      </w:r>
      <w:proofErr w:type="gramStart"/>
      <w:r w:rsidR="00111BD6" w:rsidRPr="00C00ACE">
        <w:rPr>
          <w:rFonts w:ascii="Palatino Linotype" w:eastAsia="Palatino Linotype" w:hAnsi="Palatino Linotype" w:cs="Palatino Linotype"/>
          <w:sz w:val="22"/>
          <w:szCs w:val="22"/>
        </w:rPr>
        <w:t>versión  pública</w:t>
      </w:r>
      <w:proofErr w:type="gramEnd"/>
      <w:r w:rsidR="00111BD6" w:rsidRPr="00C00ACE">
        <w:rPr>
          <w:rFonts w:ascii="Palatino Linotype" w:eastAsia="Palatino Linotype" w:hAnsi="Palatino Linotype" w:cs="Palatino Linotype"/>
          <w:sz w:val="22"/>
          <w:szCs w:val="22"/>
        </w:rPr>
        <w:t xml:space="preserve">; y, para tal efecto </w:t>
      </w:r>
      <w:r w:rsidR="00352E20" w:rsidRPr="00C00ACE">
        <w:rPr>
          <w:rFonts w:ascii="Palatino Linotype" w:eastAsia="Palatino Linotype" w:hAnsi="Palatino Linotype" w:cs="Palatino Linotype"/>
          <w:sz w:val="22"/>
          <w:szCs w:val="22"/>
        </w:rPr>
        <w:t>adjuntó lo siguiente</w:t>
      </w:r>
      <w:r w:rsidR="00111BD6" w:rsidRPr="00C00ACE">
        <w:rPr>
          <w:rFonts w:ascii="Palatino Linotype" w:eastAsia="Palatino Linotype" w:hAnsi="Palatino Linotype" w:cs="Palatino Linotype"/>
          <w:sz w:val="22"/>
          <w:szCs w:val="22"/>
        </w:rPr>
        <w:t>:</w:t>
      </w:r>
    </w:p>
    <w:p w14:paraId="369D98E6" w14:textId="77777777" w:rsidR="00352E20" w:rsidRPr="00C00ACE" w:rsidRDefault="00352E20">
      <w:pPr>
        <w:spacing w:line="360" w:lineRule="auto"/>
        <w:ind w:right="49"/>
        <w:jc w:val="both"/>
        <w:rPr>
          <w:rFonts w:ascii="Palatino Linotype" w:eastAsia="Palatino Linotype" w:hAnsi="Palatino Linotype" w:cs="Palatino Linotype"/>
          <w:sz w:val="22"/>
          <w:szCs w:val="22"/>
        </w:rPr>
      </w:pPr>
    </w:p>
    <w:p w14:paraId="56FF7251" w14:textId="77777777" w:rsidR="00352E20" w:rsidRPr="00C00ACE" w:rsidRDefault="00352E20" w:rsidP="0097049B">
      <w:pPr>
        <w:pStyle w:val="Prrafodelista"/>
        <w:numPr>
          <w:ilvl w:val="0"/>
          <w:numId w:val="24"/>
        </w:numP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Documentos en formato </w:t>
      </w:r>
      <w:proofErr w:type="spellStart"/>
      <w:r w:rsidRPr="00C00ACE">
        <w:rPr>
          <w:rFonts w:ascii="Palatino Linotype" w:eastAsia="Palatino Linotype" w:hAnsi="Palatino Linotype" w:cs="Palatino Linotype"/>
          <w:sz w:val="22"/>
          <w:szCs w:val="22"/>
        </w:rPr>
        <w:t>pdf</w:t>
      </w:r>
      <w:proofErr w:type="spellEnd"/>
      <w:r w:rsidRPr="00C00ACE">
        <w:rPr>
          <w:rFonts w:ascii="Palatino Linotype" w:eastAsia="Palatino Linotype" w:hAnsi="Palatino Linotype" w:cs="Palatino Linotype"/>
          <w:sz w:val="22"/>
          <w:szCs w:val="22"/>
        </w:rPr>
        <w:t xml:space="preserve"> que contienen las constancias en versión pública de los Tomos I y II de los expedientes de substanciación </w:t>
      </w:r>
      <w:r w:rsidR="0097049B" w:rsidRPr="00C00ACE">
        <w:rPr>
          <w:rFonts w:ascii="Palatino Linotype" w:eastAsia="Palatino Linotype" w:hAnsi="Palatino Linotype" w:cs="Palatino Linotype"/>
          <w:sz w:val="22"/>
          <w:szCs w:val="22"/>
        </w:rPr>
        <w:t xml:space="preserve">de procedimiento administrativo </w:t>
      </w:r>
      <w:r w:rsidRPr="00C00ACE">
        <w:rPr>
          <w:rFonts w:ascii="Palatino Linotype" w:eastAsia="Palatino Linotype" w:hAnsi="Palatino Linotype" w:cs="Palatino Linotype"/>
          <w:sz w:val="22"/>
          <w:szCs w:val="22"/>
        </w:rPr>
        <w:t xml:space="preserve">números IEEM/CG/SUBS/072/2024, IEEM/CG/SUBS/073/2024, IEEM/CG/SUBS/074/2024, IEEM/CG/SUBS/075/2024, IEEM/CG/SUBS/076/2024, IEEM/CG/SUBS/078/2024 y IEEM/CG/SUBS/079/2024, </w:t>
      </w:r>
      <w:r w:rsidR="0097049B" w:rsidRPr="00C00ACE">
        <w:rPr>
          <w:rFonts w:ascii="Palatino Linotype" w:eastAsia="Palatino Linotype" w:hAnsi="Palatino Linotype" w:cs="Palatino Linotype"/>
          <w:sz w:val="22"/>
          <w:szCs w:val="22"/>
        </w:rPr>
        <w:t xml:space="preserve">con resolución firme, </w:t>
      </w:r>
      <w:proofErr w:type="spellStart"/>
      <w:r w:rsidRPr="00C00ACE">
        <w:rPr>
          <w:rFonts w:ascii="Palatino Linotype" w:eastAsia="Palatino Linotype" w:hAnsi="Palatino Linotype" w:cs="Palatino Linotype"/>
          <w:sz w:val="22"/>
          <w:szCs w:val="22"/>
        </w:rPr>
        <w:t>aperturados</w:t>
      </w:r>
      <w:proofErr w:type="spellEnd"/>
      <w:r w:rsidRPr="00C00ACE">
        <w:rPr>
          <w:rFonts w:ascii="Palatino Linotype" w:eastAsia="Palatino Linotype" w:hAnsi="Palatino Linotype" w:cs="Palatino Linotype"/>
          <w:sz w:val="22"/>
          <w:szCs w:val="22"/>
        </w:rPr>
        <w:t xml:space="preserve"> en la Contraloría General, en la </w:t>
      </w:r>
      <w:proofErr w:type="spellStart"/>
      <w:r w:rsidRPr="00C00ACE">
        <w:rPr>
          <w:rFonts w:ascii="Palatino Linotype" w:eastAsia="Palatino Linotype" w:hAnsi="Palatino Linotype" w:cs="Palatino Linotype"/>
          <w:sz w:val="22"/>
          <w:szCs w:val="22"/>
        </w:rPr>
        <w:t>Subcontraloría</w:t>
      </w:r>
      <w:proofErr w:type="spellEnd"/>
      <w:r w:rsidRPr="00C00ACE">
        <w:rPr>
          <w:rFonts w:ascii="Palatino Linotype" w:eastAsia="Palatino Linotype" w:hAnsi="Palatino Linotype" w:cs="Palatino Linotype"/>
          <w:sz w:val="22"/>
          <w:szCs w:val="22"/>
        </w:rPr>
        <w:t xml:space="preserve"> de Substanciación, por presuntas responsabilidades administrativas </w:t>
      </w:r>
      <w:r w:rsidRPr="00C00ACE">
        <w:rPr>
          <w:rFonts w:ascii="Palatino Linotype" w:eastAsia="Palatino Linotype" w:hAnsi="Palatino Linotype" w:cs="Palatino Linotype"/>
          <w:b/>
          <w:sz w:val="22"/>
          <w:szCs w:val="22"/>
          <w:u w:val="single"/>
        </w:rPr>
        <w:t>no graves</w:t>
      </w:r>
      <w:r w:rsidRPr="00C00ACE">
        <w:rPr>
          <w:rFonts w:ascii="Palatino Linotype" w:eastAsia="Palatino Linotype" w:hAnsi="Palatino Linotype" w:cs="Palatino Linotype"/>
          <w:sz w:val="22"/>
          <w:szCs w:val="22"/>
        </w:rPr>
        <w:t xml:space="preserve"> cometidas por diversos ex </w:t>
      </w:r>
      <w:r w:rsidRPr="00C00ACE">
        <w:rPr>
          <w:rFonts w:ascii="Palatino Linotype" w:eastAsia="Palatino Linotype" w:hAnsi="Palatino Linotype" w:cs="Palatino Linotype"/>
          <w:sz w:val="22"/>
          <w:szCs w:val="22"/>
        </w:rPr>
        <w:lastRenderedPageBreak/>
        <w:t xml:space="preserve">servidores públicos </w:t>
      </w:r>
      <w:r w:rsidR="0097049B" w:rsidRPr="00C00ACE">
        <w:rPr>
          <w:rFonts w:ascii="Palatino Linotype" w:eastAsia="Palatino Linotype" w:hAnsi="Palatino Linotype" w:cs="Palatino Linotype"/>
          <w:sz w:val="22"/>
          <w:szCs w:val="22"/>
        </w:rPr>
        <w:t>por la conducta consistente en</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Pr="00C00ACE">
        <w:rPr>
          <w:rFonts w:ascii="Palatino Linotype" w:eastAsia="Palatino Linotype" w:hAnsi="Palatino Linotype" w:cs="Palatino Linotype"/>
          <w:sz w:val="22"/>
          <w:szCs w:val="22"/>
        </w:rPr>
        <w:t>”;</w:t>
      </w:r>
      <w:r w:rsidR="0097049B" w:rsidRPr="00C00ACE">
        <w:rPr>
          <w:rFonts w:ascii="Palatino Linotype" w:eastAsia="Palatino Linotype" w:hAnsi="Palatino Linotype" w:cs="Palatino Linotype"/>
          <w:sz w:val="22"/>
          <w:szCs w:val="22"/>
        </w:rPr>
        <w:t xml:space="preserve"> expedientes que contienen a su vez las constancias del expediente de investigación número IEEM/CG/INV/OF/068/2023, </w:t>
      </w:r>
      <w:r w:rsidR="0097049B" w:rsidRPr="00C00ACE">
        <w:rPr>
          <w:rFonts w:ascii="Palatino Linotype" w:eastAsia="Palatino Linotype" w:hAnsi="Palatino Linotype" w:cs="Palatino Linotype"/>
          <w:b/>
          <w:sz w:val="22"/>
          <w:szCs w:val="22"/>
        </w:rPr>
        <w:t>con documentación clasificada de manera parcial y en su totalidad, esta que será objeto de análisis más adelante.</w:t>
      </w:r>
    </w:p>
    <w:p w14:paraId="20D16133" w14:textId="77777777" w:rsidR="0097049B" w:rsidRPr="00C00ACE" w:rsidRDefault="0097049B" w:rsidP="0097049B">
      <w:pPr>
        <w:pStyle w:val="Prrafodelista"/>
        <w:spacing w:line="360" w:lineRule="auto"/>
        <w:ind w:right="49"/>
        <w:jc w:val="both"/>
        <w:rPr>
          <w:rFonts w:ascii="Palatino Linotype" w:eastAsia="Palatino Linotype" w:hAnsi="Palatino Linotype" w:cs="Palatino Linotype"/>
          <w:sz w:val="22"/>
          <w:szCs w:val="22"/>
        </w:rPr>
      </w:pPr>
    </w:p>
    <w:p w14:paraId="1B8A97DA" w14:textId="77777777" w:rsidR="0097049B" w:rsidRPr="00C00ACE" w:rsidRDefault="0097049B" w:rsidP="0097049B">
      <w:pPr>
        <w:pStyle w:val="Prrafodelista"/>
        <w:numPr>
          <w:ilvl w:val="0"/>
          <w:numId w:val="24"/>
        </w:numP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Acuerdo IEEM/CT/302/2024 del Comité de Transparencia emitida en la Vigésima Quinta Sesión Extraordinaria celebrada el 03 de diciembre de 2024, que sustenta las versiones públicas de la información remitida en respuesta.</w:t>
      </w:r>
    </w:p>
    <w:p w14:paraId="2EF0541F" w14:textId="77777777" w:rsidR="00111BD6" w:rsidRPr="00C00ACE" w:rsidRDefault="00111BD6">
      <w:pPr>
        <w:spacing w:line="360" w:lineRule="auto"/>
        <w:ind w:right="49"/>
        <w:jc w:val="both"/>
        <w:rPr>
          <w:rFonts w:ascii="Palatino Linotype" w:eastAsia="Palatino Linotype" w:hAnsi="Palatino Linotype" w:cs="Palatino Linotype"/>
          <w:sz w:val="22"/>
          <w:szCs w:val="22"/>
        </w:rPr>
      </w:pPr>
    </w:p>
    <w:p w14:paraId="54D7FF81" w14:textId="77777777" w:rsidR="00515A09" w:rsidRPr="00C00ACE" w:rsidRDefault="009E19E3">
      <w:pPr>
        <w:spacing w:line="360" w:lineRule="auto"/>
        <w:ind w:right="49"/>
        <w:jc w:val="both"/>
        <w:rPr>
          <w:rFonts w:ascii="Palatino Linotype" w:eastAsia="Palatino Linotype" w:hAnsi="Palatino Linotype" w:cs="Palatino Linotype"/>
          <w:b/>
          <w:sz w:val="22"/>
          <w:szCs w:val="22"/>
          <w:u w:val="single"/>
        </w:rPr>
      </w:pPr>
      <w:r w:rsidRPr="00C00ACE">
        <w:rPr>
          <w:rFonts w:ascii="Palatino Linotype" w:eastAsia="Palatino Linotype" w:hAnsi="Palatino Linotype" w:cs="Palatino Linotype"/>
          <w:sz w:val="22"/>
          <w:szCs w:val="22"/>
        </w:rPr>
        <w:t xml:space="preserve">Inconforme con la respuesta la parte </w:t>
      </w:r>
      <w:r w:rsidRPr="00C00ACE">
        <w:rPr>
          <w:rFonts w:ascii="Palatino Linotype" w:eastAsia="Palatino Linotype" w:hAnsi="Palatino Linotype" w:cs="Palatino Linotype"/>
          <w:b/>
          <w:sz w:val="22"/>
          <w:szCs w:val="22"/>
        </w:rPr>
        <w:t xml:space="preserve">Recurrente, </w:t>
      </w:r>
      <w:r w:rsidRPr="00C00ACE">
        <w:rPr>
          <w:rFonts w:ascii="Palatino Linotype" w:eastAsia="Palatino Linotype" w:hAnsi="Palatino Linotype" w:cs="Palatino Linotype"/>
          <w:sz w:val="22"/>
          <w:szCs w:val="22"/>
        </w:rPr>
        <w:t>promovió el presente recurso de revisión en el que a manera de motivos de inconformid</w:t>
      </w:r>
      <w:r w:rsidR="00927940" w:rsidRPr="00C00ACE">
        <w:rPr>
          <w:rFonts w:ascii="Palatino Linotype" w:eastAsia="Palatino Linotype" w:hAnsi="Palatino Linotype" w:cs="Palatino Linotype"/>
          <w:sz w:val="22"/>
          <w:szCs w:val="22"/>
        </w:rPr>
        <w:t>ad se adolece medularmente de</w:t>
      </w:r>
      <w:r w:rsidRPr="00C00ACE">
        <w:rPr>
          <w:rFonts w:ascii="Palatino Linotype" w:eastAsia="Palatino Linotype" w:hAnsi="Palatino Linotype" w:cs="Palatino Linotype"/>
          <w:sz w:val="22"/>
          <w:szCs w:val="22"/>
        </w:rPr>
        <w:t xml:space="preserve"> la </w:t>
      </w:r>
      <w:r w:rsidR="0097049B" w:rsidRPr="00C00ACE">
        <w:rPr>
          <w:rFonts w:ascii="Palatino Linotype" w:eastAsia="Palatino Linotype" w:hAnsi="Palatino Linotype" w:cs="Palatino Linotype"/>
          <w:sz w:val="22"/>
          <w:szCs w:val="22"/>
        </w:rPr>
        <w:t>clasificación en su totalidad realizada a algunas documentales remitidas en respuesta.</w:t>
      </w:r>
    </w:p>
    <w:p w14:paraId="7D71D452" w14:textId="77777777" w:rsidR="00515A09" w:rsidRPr="00C00ACE" w:rsidRDefault="00515A09">
      <w:pPr>
        <w:spacing w:line="360" w:lineRule="auto"/>
        <w:ind w:right="49"/>
        <w:jc w:val="both"/>
        <w:rPr>
          <w:rFonts w:ascii="Palatino Linotype" w:eastAsia="Palatino Linotype" w:hAnsi="Palatino Linotype" w:cs="Palatino Linotype"/>
          <w:b/>
          <w:sz w:val="22"/>
          <w:szCs w:val="22"/>
          <w:u w:val="single"/>
        </w:rPr>
      </w:pPr>
    </w:p>
    <w:p w14:paraId="12EB538A" w14:textId="77777777" w:rsidR="00515A09" w:rsidRPr="00C00ACE" w:rsidRDefault="009E19E3">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Admitido el presente recurso de revisión, en términos del artículo 185 fracción II</w:t>
      </w:r>
      <w:r w:rsidRPr="00C00ACE">
        <w:rPr>
          <w:rFonts w:ascii="Palatino Linotype" w:eastAsia="Palatino Linotype" w:hAnsi="Palatino Linotype" w:cs="Palatino Linotype"/>
          <w:sz w:val="22"/>
          <w:szCs w:val="22"/>
          <w:vertAlign w:val="superscript"/>
        </w:rPr>
        <w:footnoteReference w:id="3"/>
      </w:r>
      <w:r w:rsidRPr="00C00ACE">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8F09173" w14:textId="77777777" w:rsidR="00515A09" w:rsidRPr="00C00ACE" w:rsidRDefault="00515A09">
      <w:pPr>
        <w:spacing w:line="360" w:lineRule="auto"/>
        <w:jc w:val="both"/>
        <w:rPr>
          <w:rFonts w:ascii="Palatino Linotype" w:eastAsia="Palatino Linotype" w:hAnsi="Palatino Linotype" w:cs="Palatino Linotype"/>
          <w:sz w:val="22"/>
          <w:szCs w:val="22"/>
        </w:rPr>
      </w:pPr>
    </w:p>
    <w:p w14:paraId="7008CB15" w14:textId="77777777" w:rsidR="00626B3E" w:rsidRPr="00C00ACE" w:rsidRDefault="009E19E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Cabe resaltar </w:t>
      </w:r>
      <w:proofErr w:type="gramStart"/>
      <w:r w:rsidRPr="00C00ACE">
        <w:rPr>
          <w:rFonts w:ascii="Palatino Linotype" w:eastAsia="Palatino Linotype" w:hAnsi="Palatino Linotype" w:cs="Palatino Linotype"/>
          <w:sz w:val="22"/>
          <w:szCs w:val="22"/>
        </w:rPr>
        <w:t>que</w:t>
      </w:r>
      <w:proofErr w:type="gramEnd"/>
      <w:r w:rsidRPr="00C00ACE">
        <w:rPr>
          <w:rFonts w:ascii="Palatino Linotype" w:eastAsia="Palatino Linotype" w:hAnsi="Palatino Linotype" w:cs="Palatino Linotype"/>
          <w:sz w:val="22"/>
          <w:szCs w:val="22"/>
        </w:rPr>
        <w:t xml:space="preserve"> durante la etapa de manifestaciones</w:t>
      </w:r>
      <w:r w:rsidRPr="00C00ACE">
        <w:rPr>
          <w:rFonts w:ascii="Palatino Linotype" w:eastAsia="Palatino Linotype" w:hAnsi="Palatino Linotype" w:cs="Palatino Linotype"/>
          <w:b/>
          <w:sz w:val="22"/>
          <w:szCs w:val="22"/>
        </w:rPr>
        <w:t xml:space="preserve">, </w:t>
      </w:r>
      <w:r w:rsidRPr="00C00ACE">
        <w:rPr>
          <w:rFonts w:ascii="Palatino Linotype" w:eastAsia="Palatino Linotype" w:hAnsi="Palatino Linotype" w:cs="Palatino Linotype"/>
          <w:sz w:val="22"/>
          <w:szCs w:val="22"/>
        </w:rPr>
        <w:t xml:space="preserve">el </w:t>
      </w:r>
      <w:r w:rsidRPr="00C00ACE">
        <w:rPr>
          <w:rFonts w:ascii="Palatino Linotype" w:eastAsia="Palatino Linotype" w:hAnsi="Palatino Linotype" w:cs="Palatino Linotype"/>
          <w:b/>
          <w:sz w:val="22"/>
          <w:szCs w:val="22"/>
        </w:rPr>
        <w:t xml:space="preserve">Sujeto Obligado </w:t>
      </w:r>
      <w:r w:rsidR="0097049B" w:rsidRPr="00C00ACE">
        <w:rPr>
          <w:rFonts w:ascii="Palatino Linotype" w:eastAsia="Palatino Linotype" w:hAnsi="Palatino Linotype" w:cs="Palatino Linotype"/>
          <w:sz w:val="22"/>
          <w:szCs w:val="22"/>
        </w:rPr>
        <w:t>fue omiso en rendir s</w:t>
      </w:r>
      <w:r w:rsidR="00626B3E" w:rsidRPr="00C00ACE">
        <w:rPr>
          <w:rFonts w:ascii="Palatino Linotype" w:eastAsia="Palatino Linotype" w:hAnsi="Palatino Linotype" w:cs="Palatino Linotype"/>
          <w:sz w:val="22"/>
          <w:szCs w:val="22"/>
        </w:rPr>
        <w:t xml:space="preserve">u informe justificado </w:t>
      </w:r>
      <w:r w:rsidR="0097049B" w:rsidRPr="00C00ACE">
        <w:rPr>
          <w:rFonts w:ascii="Palatino Linotype" w:eastAsia="Palatino Linotype" w:hAnsi="Palatino Linotype" w:cs="Palatino Linotype"/>
          <w:sz w:val="22"/>
          <w:szCs w:val="22"/>
        </w:rPr>
        <w:t xml:space="preserve">y la parte </w:t>
      </w:r>
      <w:r w:rsidR="0097049B" w:rsidRPr="00C00ACE">
        <w:rPr>
          <w:rFonts w:ascii="Palatino Linotype" w:eastAsia="Palatino Linotype" w:hAnsi="Palatino Linotype" w:cs="Palatino Linotype"/>
          <w:b/>
          <w:sz w:val="22"/>
          <w:szCs w:val="22"/>
        </w:rPr>
        <w:t xml:space="preserve">Recurrente </w:t>
      </w:r>
      <w:r w:rsidR="0097049B" w:rsidRPr="00C00ACE">
        <w:rPr>
          <w:rFonts w:ascii="Palatino Linotype" w:eastAsia="Palatino Linotype" w:hAnsi="Palatino Linotype" w:cs="Palatino Linotype"/>
          <w:sz w:val="22"/>
          <w:szCs w:val="22"/>
        </w:rPr>
        <w:t>en rendir manifestaciones o alegatos que conforme a derecho resultaran procedentes.</w:t>
      </w:r>
    </w:p>
    <w:p w14:paraId="1C63CA75" w14:textId="77777777" w:rsidR="002568D9" w:rsidRPr="00C00ACE" w:rsidRDefault="006618A9" w:rsidP="006618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lastRenderedPageBreak/>
        <w:t xml:space="preserve">Acotado lo anterior, </w:t>
      </w:r>
      <w:r w:rsidR="00557981" w:rsidRPr="00C00ACE">
        <w:rPr>
          <w:rFonts w:ascii="Palatino Linotype" w:eastAsia="Palatino Linotype" w:hAnsi="Palatino Linotype" w:cs="Palatino Linotype"/>
          <w:sz w:val="22"/>
          <w:szCs w:val="22"/>
        </w:rPr>
        <w:t>se advierte que</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b/>
          <w:sz w:val="22"/>
          <w:szCs w:val="22"/>
        </w:rPr>
        <w:t>los motivos de inconformidad no versan sobre la totalidad de la información requerida</w:t>
      </w:r>
      <w:r w:rsidRPr="00C00ACE">
        <w:rPr>
          <w:rFonts w:ascii="Palatino Linotype" w:eastAsia="Palatino Linotype" w:hAnsi="Palatino Linotype" w:cs="Palatino Linotype"/>
          <w:sz w:val="22"/>
          <w:szCs w:val="22"/>
        </w:rPr>
        <w:t>,</w:t>
      </w:r>
      <w:r w:rsidR="002568D9" w:rsidRPr="00C00ACE">
        <w:rPr>
          <w:rFonts w:ascii="Palatino Linotype" w:eastAsia="Palatino Linotype" w:hAnsi="Palatino Linotype" w:cs="Palatino Linotype"/>
          <w:sz w:val="22"/>
          <w:szCs w:val="22"/>
        </w:rPr>
        <w:t xml:space="preserve"> pues no obstante que el </w:t>
      </w:r>
      <w:r w:rsidR="002568D9" w:rsidRPr="00C00ACE">
        <w:rPr>
          <w:rFonts w:ascii="Palatino Linotype" w:eastAsia="Palatino Linotype" w:hAnsi="Palatino Linotype" w:cs="Palatino Linotype"/>
          <w:b/>
          <w:sz w:val="22"/>
          <w:szCs w:val="22"/>
        </w:rPr>
        <w:t>Sujeto Obligado</w:t>
      </w:r>
      <w:r w:rsidR="002568D9" w:rsidRPr="00C00ACE">
        <w:rPr>
          <w:rFonts w:ascii="Palatino Linotype" w:eastAsia="Palatino Linotype" w:hAnsi="Palatino Linotype" w:cs="Palatino Linotype"/>
          <w:sz w:val="22"/>
          <w:szCs w:val="22"/>
        </w:rPr>
        <w:t xml:space="preserve"> hizo entrega de las constancias que integran expedientes de substanciación de procedimientos administrativos, </w:t>
      </w:r>
      <w:r w:rsidR="002568D9" w:rsidRPr="00C00ACE">
        <w:rPr>
          <w:rFonts w:ascii="Palatino Linotype" w:eastAsia="Palatino Linotype" w:hAnsi="Palatino Linotype" w:cs="Palatino Linotype"/>
          <w:b/>
          <w:sz w:val="22"/>
          <w:szCs w:val="22"/>
          <w:u w:val="single"/>
        </w:rPr>
        <w:t>diversos al requerido</w:t>
      </w:r>
      <w:r w:rsidR="002568D9" w:rsidRPr="00C00ACE">
        <w:rPr>
          <w:rFonts w:ascii="Palatino Linotype" w:eastAsia="Palatino Linotype" w:hAnsi="Palatino Linotype" w:cs="Palatino Linotype"/>
          <w:sz w:val="22"/>
          <w:szCs w:val="22"/>
        </w:rPr>
        <w:t xml:space="preserve">, </w:t>
      </w:r>
      <w:r w:rsidR="002568D9" w:rsidRPr="00C00ACE">
        <w:rPr>
          <w:rFonts w:ascii="Palatino Linotype" w:eastAsia="Palatino Linotype" w:hAnsi="Palatino Linotype" w:cs="Palatino Linotype"/>
          <w:sz w:val="22"/>
          <w:szCs w:val="22"/>
          <w:u w:val="single"/>
        </w:rPr>
        <w:t>el particular únicamente expresa agravio en contra de los d</w:t>
      </w:r>
      <w:r w:rsidRPr="00C00ACE">
        <w:rPr>
          <w:rFonts w:ascii="Palatino Linotype" w:eastAsia="Palatino Linotype" w:hAnsi="Palatino Linotype" w:cs="Palatino Linotype"/>
          <w:sz w:val="22"/>
          <w:szCs w:val="22"/>
          <w:u w:val="single"/>
        </w:rPr>
        <w:t>ocumentos remitidos en respuesta que fueron clasificados en su totalidad</w:t>
      </w:r>
      <w:r w:rsidRPr="00C00ACE">
        <w:rPr>
          <w:rFonts w:ascii="Palatino Linotype" w:eastAsia="Palatino Linotype" w:hAnsi="Palatino Linotype" w:cs="Palatino Linotype"/>
          <w:sz w:val="22"/>
          <w:szCs w:val="22"/>
        </w:rPr>
        <w:t>;</w:t>
      </w:r>
      <w:r w:rsidR="002568D9" w:rsidRPr="00C00ACE">
        <w:rPr>
          <w:rFonts w:ascii="Palatino Linotype" w:eastAsia="Palatino Linotype" w:hAnsi="Palatino Linotype" w:cs="Palatino Linotype"/>
          <w:sz w:val="22"/>
          <w:szCs w:val="22"/>
        </w:rPr>
        <w:t xml:space="preserve"> es decir, está conforme los las constancias de los expedientes entregados, sólo se adolece de la clasificación en su totalidad que se hizo respecto de algunas documentales.</w:t>
      </w:r>
    </w:p>
    <w:p w14:paraId="3B5ABEA6" w14:textId="77777777" w:rsidR="002568D9" w:rsidRPr="00C00ACE" w:rsidRDefault="002568D9" w:rsidP="006618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350BF79" w14:textId="77777777" w:rsidR="006618A9" w:rsidRPr="00C00ACE" w:rsidRDefault="002568D9" w:rsidP="006618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E</w:t>
      </w:r>
      <w:r w:rsidR="006618A9" w:rsidRPr="00C00ACE">
        <w:rPr>
          <w:rFonts w:ascii="Palatino Linotype" w:eastAsia="Palatino Linotype" w:hAnsi="Palatino Linotype" w:cs="Palatino Linotype"/>
          <w:sz w:val="22"/>
          <w:szCs w:val="22"/>
        </w:rPr>
        <w:t>n consecuencia, deben declararse con</w:t>
      </w:r>
      <w:r w:rsidRPr="00C00ACE">
        <w:rPr>
          <w:rFonts w:ascii="Palatino Linotype" w:eastAsia="Palatino Linotype" w:hAnsi="Palatino Linotype" w:cs="Palatino Linotype"/>
          <w:sz w:val="22"/>
          <w:szCs w:val="22"/>
        </w:rPr>
        <w:t>sentida</w:t>
      </w:r>
      <w:r w:rsidR="006618A9" w:rsidRPr="00C00ACE">
        <w:rPr>
          <w:rFonts w:ascii="Palatino Linotype" w:eastAsia="Palatino Linotype" w:hAnsi="Palatino Linotype" w:cs="Palatino Linotype"/>
          <w:sz w:val="22"/>
          <w:szCs w:val="22"/>
        </w:rPr>
        <w:t>s</w:t>
      </w:r>
      <w:r w:rsidRPr="00C00ACE">
        <w:rPr>
          <w:rFonts w:ascii="Palatino Linotype" w:eastAsia="Palatino Linotype" w:hAnsi="Palatino Linotype" w:cs="Palatino Linotype"/>
          <w:sz w:val="22"/>
          <w:szCs w:val="22"/>
        </w:rPr>
        <w:t xml:space="preserve"> las constancias que integran los expedientes de substanciación de los procedimientos administrativos números IEEM/CG/SUBS/072/2024, IEEM/CG/SUBS/073/2024, IEEM/CG/SUBS/074/2024, IEEM/CG/SUBS/075/2024, IEEM/CG/SUBS/076/2024, IEEM/CG/SUBS/078/2024 y IEEM/CG/SUBS/079/2024; </w:t>
      </w:r>
      <w:r w:rsidR="006618A9" w:rsidRPr="00C00ACE">
        <w:rPr>
          <w:rFonts w:ascii="Palatino Linotype" w:eastAsia="Palatino Linotype" w:hAnsi="Palatino Linotype" w:cs="Palatino Linotype"/>
          <w:sz w:val="22"/>
          <w:szCs w:val="22"/>
        </w:rPr>
        <w:t xml:space="preserve">toda vez que, al no haberse realizado manifestaciones de inconformidad al respecto, no pueden producirse efectos jurídicos tendentes a revocar, confirmar o modificar el acto reclamado, ya que, en el caso concreto se infiere que la información proporcionada por el </w:t>
      </w:r>
      <w:r w:rsidR="006618A9" w:rsidRPr="00C00ACE">
        <w:rPr>
          <w:rFonts w:ascii="Palatino Linotype" w:eastAsia="Palatino Linotype" w:hAnsi="Palatino Linotype" w:cs="Palatino Linotype"/>
          <w:b/>
          <w:sz w:val="22"/>
          <w:szCs w:val="22"/>
        </w:rPr>
        <w:t>Sujeto Obligado,</w:t>
      </w:r>
      <w:r w:rsidR="006618A9" w:rsidRPr="00C00ACE">
        <w:rPr>
          <w:rFonts w:ascii="Palatino Linotype" w:eastAsia="Palatino Linotype" w:hAnsi="Palatino Linotype" w:cs="Palatino Linotype"/>
          <w:sz w:val="22"/>
          <w:szCs w:val="22"/>
        </w:rPr>
        <w:t xml:space="preserve"> satisface parte de la solicitud presentada.</w:t>
      </w:r>
    </w:p>
    <w:p w14:paraId="6BCE3E46" w14:textId="77777777" w:rsidR="006618A9" w:rsidRPr="00C00ACE" w:rsidRDefault="006618A9" w:rsidP="006618A9">
      <w:pPr>
        <w:spacing w:line="360" w:lineRule="auto"/>
        <w:jc w:val="both"/>
        <w:rPr>
          <w:rFonts w:ascii="Palatino Linotype" w:eastAsia="Palatino Linotype" w:hAnsi="Palatino Linotype" w:cs="Palatino Linotype"/>
          <w:sz w:val="22"/>
          <w:szCs w:val="22"/>
        </w:rPr>
      </w:pPr>
    </w:p>
    <w:p w14:paraId="623801E8" w14:textId="77777777" w:rsidR="006618A9" w:rsidRPr="00C00ACE" w:rsidRDefault="006618A9" w:rsidP="006618A9">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Lo anterior es así, debido a que cuando la parte </w:t>
      </w:r>
      <w:r w:rsidRPr="00C00ACE">
        <w:rPr>
          <w:rFonts w:ascii="Palatino Linotype" w:eastAsia="Palatino Linotype" w:hAnsi="Palatino Linotype" w:cs="Palatino Linotype"/>
          <w:b/>
          <w:sz w:val="22"/>
          <w:szCs w:val="22"/>
        </w:rPr>
        <w:t xml:space="preserve">Recurrente </w:t>
      </w:r>
      <w:r w:rsidRPr="00C00ACE">
        <w:rPr>
          <w:rFonts w:ascii="Palatino Linotype" w:eastAsia="Palatino Linotype" w:hAnsi="Palatino Linotype" w:cs="Palatino Linotype"/>
          <w:sz w:val="22"/>
          <w:szCs w:val="22"/>
        </w:rPr>
        <w:t xml:space="preserve">impugna la respuesta del </w:t>
      </w:r>
      <w:r w:rsidRPr="00C00ACE">
        <w:rPr>
          <w:rFonts w:ascii="Palatino Linotype" w:eastAsia="Palatino Linotype" w:hAnsi="Palatino Linotype" w:cs="Palatino Linotype"/>
          <w:b/>
          <w:sz w:val="22"/>
          <w:szCs w:val="22"/>
        </w:rPr>
        <w:t>Sujeto Obligado</w:t>
      </w:r>
      <w:r w:rsidRPr="00C00ACE">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C00ACE">
        <w:rPr>
          <w:rFonts w:ascii="Palatino Linotype" w:eastAsia="Palatino Linotype" w:hAnsi="Palatino Linotype" w:cs="Palatino Linotype"/>
          <w:b/>
          <w:sz w:val="22"/>
          <w:szCs w:val="22"/>
        </w:rPr>
        <w:t>Recurrente</w:t>
      </w:r>
      <w:r w:rsidRPr="00C00ACE">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9AE1280" w14:textId="77777777" w:rsidR="006618A9" w:rsidRPr="00C00ACE" w:rsidRDefault="006618A9" w:rsidP="006618A9">
      <w:pPr>
        <w:spacing w:line="360" w:lineRule="auto"/>
        <w:jc w:val="both"/>
        <w:rPr>
          <w:rFonts w:ascii="Palatino Linotype" w:eastAsia="Palatino Linotype" w:hAnsi="Palatino Linotype" w:cs="Palatino Linotype"/>
          <w:sz w:val="22"/>
          <w:szCs w:val="22"/>
        </w:rPr>
      </w:pPr>
    </w:p>
    <w:p w14:paraId="46087D95" w14:textId="77777777" w:rsidR="006618A9" w:rsidRPr="00C00ACE" w:rsidRDefault="006618A9" w:rsidP="006618A9">
      <w:pPr>
        <w:spacing w:line="276" w:lineRule="auto"/>
        <w:ind w:left="567" w:right="616"/>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C00ACE">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EC6A91A" w14:textId="77777777" w:rsidR="006618A9" w:rsidRPr="00C00ACE" w:rsidRDefault="006618A9" w:rsidP="006618A9">
      <w:pPr>
        <w:spacing w:line="276" w:lineRule="auto"/>
        <w:ind w:left="567" w:right="616"/>
        <w:jc w:val="both"/>
        <w:rPr>
          <w:rFonts w:ascii="Palatino Linotype" w:eastAsia="Palatino Linotype" w:hAnsi="Palatino Linotype" w:cs="Palatino Linotype"/>
          <w:i/>
          <w:sz w:val="22"/>
          <w:szCs w:val="22"/>
        </w:rPr>
      </w:pPr>
    </w:p>
    <w:p w14:paraId="36521A78" w14:textId="77777777" w:rsidR="006618A9" w:rsidRPr="00C00ACE" w:rsidRDefault="006618A9" w:rsidP="006618A9">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Consecuentemente, se insiste, ante la falta de impugnación eficaz de todos los rubros solicitados, los mismos deben declararse consentidos.</w:t>
      </w:r>
    </w:p>
    <w:p w14:paraId="06CE4723" w14:textId="77777777" w:rsidR="006618A9" w:rsidRPr="00C00ACE" w:rsidRDefault="006618A9" w:rsidP="006618A9">
      <w:pPr>
        <w:spacing w:line="360" w:lineRule="auto"/>
        <w:jc w:val="both"/>
        <w:rPr>
          <w:rFonts w:ascii="Palatino Linotype" w:eastAsia="Palatino Linotype" w:hAnsi="Palatino Linotype" w:cs="Palatino Linotype"/>
          <w:sz w:val="22"/>
          <w:szCs w:val="22"/>
        </w:rPr>
      </w:pPr>
    </w:p>
    <w:p w14:paraId="328BBF84" w14:textId="77777777" w:rsidR="006618A9" w:rsidRPr="00C00ACE" w:rsidRDefault="006618A9" w:rsidP="006618A9">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363EEE77" w14:textId="77777777" w:rsidR="006618A9" w:rsidRPr="00C00ACE" w:rsidRDefault="006618A9" w:rsidP="006618A9">
      <w:pPr>
        <w:spacing w:line="360" w:lineRule="auto"/>
        <w:jc w:val="both"/>
        <w:rPr>
          <w:rFonts w:ascii="Palatino Linotype" w:eastAsia="Palatino Linotype" w:hAnsi="Palatino Linotype" w:cs="Palatino Linotype"/>
          <w:sz w:val="22"/>
          <w:szCs w:val="22"/>
        </w:rPr>
      </w:pPr>
    </w:p>
    <w:p w14:paraId="274F17F5" w14:textId="77777777" w:rsidR="006618A9" w:rsidRPr="00C00ACE" w:rsidRDefault="006618A9" w:rsidP="006618A9">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r w:rsidRPr="00C00ACE">
        <w:rPr>
          <w:rFonts w:ascii="Palatino Linotype" w:eastAsia="Palatino Linotype" w:hAnsi="Palatino Linotype" w:cs="Palatino Linotype"/>
          <w:b/>
          <w:i/>
          <w:sz w:val="22"/>
          <w:szCs w:val="22"/>
        </w:rPr>
        <w:t xml:space="preserve">Actos consentidos tácitamente. Improcedencia de su análisis. </w:t>
      </w:r>
      <w:r w:rsidRPr="00C00ACE">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056EBD8" w14:textId="77777777" w:rsidR="006618A9" w:rsidRPr="00C00ACE" w:rsidRDefault="006618A9" w:rsidP="006618A9">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41A28F24" w14:textId="77777777" w:rsidR="006618A9" w:rsidRPr="00C00ACE" w:rsidRDefault="006618A9" w:rsidP="006618A9">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145A3178" w14:textId="77777777" w:rsidR="006618A9" w:rsidRPr="00C00ACE" w:rsidRDefault="006618A9" w:rsidP="006618A9">
      <w:pPr>
        <w:spacing w:line="360" w:lineRule="auto"/>
        <w:ind w:left="851" w:right="900"/>
        <w:jc w:val="both"/>
        <w:rPr>
          <w:rFonts w:ascii="Palatino Linotype" w:eastAsia="Palatino Linotype" w:hAnsi="Palatino Linotype" w:cs="Palatino Linotype"/>
          <w:b/>
          <w:i/>
          <w:smallCaps/>
          <w:sz w:val="22"/>
          <w:szCs w:val="22"/>
        </w:rPr>
      </w:pPr>
    </w:p>
    <w:p w14:paraId="632896D1" w14:textId="77777777" w:rsidR="006618A9" w:rsidRPr="00C00ACE" w:rsidRDefault="006618A9" w:rsidP="006618A9">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i/>
          <w:smallCaps/>
          <w:sz w:val="22"/>
          <w:szCs w:val="22"/>
        </w:rPr>
        <w:t xml:space="preserve">“ACTOS CONSENTIDOS. SON LOS QUE NO SE IMPUGNAN MEDIANTE EL RECURSO IDÓNEO. </w:t>
      </w:r>
      <w:r w:rsidRPr="00C00ACE">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C00ACE">
        <w:rPr>
          <w:rFonts w:ascii="Palatino Linotype" w:eastAsia="Palatino Linotype" w:hAnsi="Palatino Linotype" w:cs="Palatino Linotype"/>
          <w:i/>
          <w:sz w:val="22"/>
          <w:szCs w:val="22"/>
        </w:rPr>
        <w:t>ya que</w:t>
      </w:r>
      <w:proofErr w:type="gramEnd"/>
      <w:r w:rsidRPr="00C00ACE">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w:t>
      </w:r>
      <w:r w:rsidRPr="00C00ACE">
        <w:rPr>
          <w:rFonts w:ascii="Palatino Linotype" w:eastAsia="Palatino Linotype" w:hAnsi="Palatino Linotype" w:cs="Palatino Linotype"/>
          <w:i/>
          <w:sz w:val="22"/>
          <w:szCs w:val="22"/>
        </w:rPr>
        <w:lastRenderedPageBreak/>
        <w:t>efectos jurídicos tendientes a revocar, confirmar o modificar el acto reclamado en amparo, lo que significa consentimiento del mismo por falta de impugnación eficaz.”</w:t>
      </w:r>
    </w:p>
    <w:p w14:paraId="272EC20B" w14:textId="77777777" w:rsidR="006618A9" w:rsidRPr="00C00ACE" w:rsidRDefault="006618A9" w:rsidP="006618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7D6EBF9" w14:textId="1CEA8A7B" w:rsidR="006618A9" w:rsidRPr="00C00ACE" w:rsidRDefault="006618A9" w:rsidP="006618A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C00ACE">
        <w:rPr>
          <w:rFonts w:ascii="Palatino Linotype" w:eastAsia="Palatino Linotype" w:hAnsi="Palatino Linotype" w:cs="Palatino Linotype"/>
          <w:sz w:val="22"/>
          <w:szCs w:val="22"/>
        </w:rPr>
        <w:t xml:space="preserve">Dicho lo anterior, en el presente asunto </w:t>
      </w:r>
      <w:r w:rsidR="00417E8A" w:rsidRPr="00C00ACE">
        <w:rPr>
          <w:rFonts w:ascii="Palatino Linotype" w:eastAsia="Palatino Linotype" w:hAnsi="Palatino Linotype" w:cs="Palatino Linotype"/>
          <w:sz w:val="22"/>
          <w:szCs w:val="22"/>
        </w:rPr>
        <w:t>únicamente procederá a</w:t>
      </w:r>
      <w:r w:rsidRPr="00C00ACE">
        <w:rPr>
          <w:rFonts w:ascii="Palatino Linotype" w:eastAsia="Palatino Linotype" w:hAnsi="Palatino Linotype" w:cs="Palatino Linotype"/>
          <w:sz w:val="22"/>
          <w:szCs w:val="22"/>
        </w:rPr>
        <w:t xml:space="preserve">l estudio de </w:t>
      </w:r>
      <w:r w:rsidRPr="00C00ACE">
        <w:rPr>
          <w:rFonts w:ascii="Palatino Linotype" w:eastAsia="Palatino Linotype" w:hAnsi="Palatino Linotype" w:cs="Palatino Linotype"/>
          <w:b/>
          <w:sz w:val="22"/>
          <w:szCs w:val="22"/>
        </w:rPr>
        <w:t xml:space="preserve">la </w:t>
      </w:r>
      <w:r w:rsidR="002568D9" w:rsidRPr="00C00ACE">
        <w:rPr>
          <w:rFonts w:ascii="Palatino Linotype" w:eastAsia="Palatino Linotype" w:hAnsi="Palatino Linotype" w:cs="Palatino Linotype"/>
          <w:b/>
          <w:sz w:val="22"/>
          <w:szCs w:val="22"/>
        </w:rPr>
        <w:t xml:space="preserve">clasificación en su totalidad que se realizó de </w:t>
      </w:r>
      <w:proofErr w:type="gramStart"/>
      <w:r w:rsidR="002568D9" w:rsidRPr="00C00ACE">
        <w:rPr>
          <w:rFonts w:ascii="Palatino Linotype" w:eastAsia="Palatino Linotype" w:hAnsi="Palatino Linotype" w:cs="Palatino Linotype"/>
          <w:b/>
          <w:sz w:val="22"/>
          <w:szCs w:val="22"/>
        </w:rPr>
        <w:t>determinadas documentales</w:t>
      </w:r>
      <w:proofErr w:type="gramEnd"/>
      <w:r w:rsidR="002568D9" w:rsidRPr="00C00ACE">
        <w:rPr>
          <w:rFonts w:ascii="Palatino Linotype" w:eastAsia="Palatino Linotype" w:hAnsi="Palatino Linotype" w:cs="Palatino Linotype"/>
          <w:b/>
          <w:sz w:val="22"/>
          <w:szCs w:val="22"/>
        </w:rPr>
        <w:t xml:space="preserve"> que integran los expedientes de substanciación de los procedimientos administrativos números IEEM/CG/SUBS/072/2024, IEEM/CG/SUBS/073/2024, IEEM/CG/SUBS/074/2024, IEEM/CG/SUBS/075/2024, IEEM/CG/SUBS/076/2024, IEEM/CG/SUBS/078/2024 y IEEM/CG/SUBS/079/2024 remitidos en respuesta.</w:t>
      </w:r>
    </w:p>
    <w:p w14:paraId="1B279058" w14:textId="77777777" w:rsidR="006618A9" w:rsidRPr="00C00ACE" w:rsidRDefault="006618A9" w:rsidP="006618A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p>
    <w:p w14:paraId="57D92E20" w14:textId="77777777" w:rsidR="006618A9" w:rsidRPr="00C00ACE" w:rsidRDefault="006618A9" w:rsidP="006618A9">
      <w:pPr>
        <w:spacing w:line="360" w:lineRule="auto"/>
        <w:jc w:val="both"/>
        <w:rPr>
          <w:rFonts w:ascii="Palatino Linotype" w:eastAsia="Calibri" w:hAnsi="Palatino Linotype" w:cs="Calibri"/>
          <w:sz w:val="22"/>
          <w:szCs w:val="22"/>
        </w:rPr>
      </w:pPr>
      <w:r w:rsidRPr="00C00ACE">
        <w:rPr>
          <w:rFonts w:ascii="Palatino Linotype" w:eastAsia="Calibri" w:hAnsi="Palatino Linotype" w:cs="Calibri"/>
          <w:sz w:val="22"/>
          <w:szCs w:val="22"/>
        </w:rPr>
        <w:t xml:space="preserve">Acotado lo anterior, </w:t>
      </w:r>
      <w:r w:rsidR="0079272C" w:rsidRPr="00C00ACE">
        <w:rPr>
          <w:rFonts w:ascii="Palatino Linotype" w:eastAsia="Calibri" w:hAnsi="Palatino Linotype" w:cs="Calibri"/>
          <w:sz w:val="22"/>
          <w:szCs w:val="22"/>
        </w:rPr>
        <w:t>en primer lugar,</w:t>
      </w:r>
      <w:r w:rsidRPr="00C00ACE">
        <w:rPr>
          <w:rFonts w:ascii="Palatino Linotype" w:eastAsia="Calibri" w:hAnsi="Palatino Linotype" w:cs="Calibri"/>
          <w:sz w:val="22"/>
          <w:szCs w:val="22"/>
        </w:rPr>
        <w:t xml:space="preserve"> es de recordar que quien se pronunció en respuesta con relación </w:t>
      </w:r>
      <w:r w:rsidR="0079272C" w:rsidRPr="00C00ACE">
        <w:rPr>
          <w:rFonts w:ascii="Palatino Linotype" w:eastAsia="Calibri" w:hAnsi="Palatino Linotype" w:cs="Calibri"/>
          <w:sz w:val="22"/>
          <w:szCs w:val="22"/>
        </w:rPr>
        <w:t>a lo requerido fue la servidora pública de la Contraloría General, misma que conforme el Manual de Organización del Instituto Electoral del Estado de México, tiene dentro de sus funciones las siguientes:</w:t>
      </w:r>
    </w:p>
    <w:p w14:paraId="41CB5745" w14:textId="77777777" w:rsidR="0079272C" w:rsidRPr="00C00ACE" w:rsidRDefault="0079272C" w:rsidP="0079272C">
      <w:pPr>
        <w:spacing w:line="276" w:lineRule="auto"/>
        <w:ind w:left="567" w:right="616"/>
        <w:jc w:val="both"/>
        <w:rPr>
          <w:rFonts w:ascii="Palatino Linotype" w:eastAsia="Calibri" w:hAnsi="Palatino Linotype" w:cs="Calibri"/>
          <w:i/>
          <w:sz w:val="22"/>
          <w:szCs w:val="22"/>
        </w:rPr>
      </w:pPr>
    </w:p>
    <w:p w14:paraId="30DFBD25" w14:textId="77777777" w:rsidR="0079272C" w:rsidRPr="00C00ACE" w:rsidRDefault="0079272C" w:rsidP="0079272C">
      <w:pPr>
        <w:spacing w:line="276" w:lineRule="auto"/>
        <w:ind w:left="567" w:right="616"/>
        <w:jc w:val="both"/>
        <w:rPr>
          <w:rFonts w:ascii="Palatino Linotype" w:eastAsia="Calibri" w:hAnsi="Palatino Linotype" w:cs="Calibri"/>
          <w:i/>
          <w:sz w:val="22"/>
          <w:szCs w:val="22"/>
        </w:rPr>
      </w:pPr>
      <w:r w:rsidRPr="00C00ACE">
        <w:rPr>
          <w:rFonts w:ascii="Palatino Linotype" w:eastAsia="Calibri" w:hAnsi="Palatino Linotype" w:cs="Calibri"/>
          <w:i/>
          <w:sz w:val="22"/>
          <w:szCs w:val="22"/>
        </w:rPr>
        <w:t xml:space="preserve">“4.- </w:t>
      </w:r>
      <w:r w:rsidRPr="00C00ACE">
        <w:rPr>
          <w:rFonts w:ascii="Palatino Linotype" w:eastAsia="Calibri" w:hAnsi="Palatino Linotype" w:cs="Calibri"/>
          <w:b/>
          <w:i/>
          <w:sz w:val="22"/>
          <w:szCs w:val="22"/>
        </w:rPr>
        <w:t>Contraloría General</w:t>
      </w:r>
      <w:r w:rsidRPr="00C00ACE">
        <w:rPr>
          <w:rFonts w:ascii="Palatino Linotype" w:eastAsia="Calibri" w:hAnsi="Palatino Linotype" w:cs="Calibri"/>
          <w:i/>
          <w:sz w:val="22"/>
          <w:szCs w:val="22"/>
        </w:rPr>
        <w:t xml:space="preserve"> </w:t>
      </w:r>
    </w:p>
    <w:p w14:paraId="12680E6F" w14:textId="77777777" w:rsidR="0079272C" w:rsidRPr="00C00ACE" w:rsidRDefault="0079272C" w:rsidP="0079272C">
      <w:pPr>
        <w:spacing w:line="276" w:lineRule="auto"/>
        <w:ind w:left="567" w:right="616"/>
        <w:jc w:val="both"/>
        <w:rPr>
          <w:rFonts w:ascii="Palatino Linotype" w:eastAsia="Calibri" w:hAnsi="Palatino Linotype" w:cs="Calibri"/>
          <w:i/>
          <w:sz w:val="22"/>
          <w:szCs w:val="22"/>
        </w:rPr>
      </w:pPr>
      <w:r w:rsidRPr="00C00ACE">
        <w:rPr>
          <w:rFonts w:ascii="Palatino Linotype" w:eastAsia="Calibri" w:hAnsi="Palatino Linotype" w:cs="Calibri"/>
          <w:i/>
          <w:sz w:val="22"/>
          <w:szCs w:val="22"/>
        </w:rPr>
        <w:t xml:space="preserve">Objetivo </w:t>
      </w:r>
    </w:p>
    <w:p w14:paraId="3CFE7192" w14:textId="77777777" w:rsidR="0079272C" w:rsidRPr="00C00ACE" w:rsidRDefault="0079272C" w:rsidP="0079272C">
      <w:pPr>
        <w:spacing w:line="276" w:lineRule="auto"/>
        <w:ind w:left="567" w:right="616"/>
        <w:jc w:val="both"/>
        <w:rPr>
          <w:rFonts w:ascii="Palatino Linotype" w:eastAsia="Calibri" w:hAnsi="Palatino Linotype" w:cs="Calibri"/>
          <w:i/>
          <w:sz w:val="22"/>
          <w:szCs w:val="22"/>
        </w:rPr>
      </w:pPr>
      <w:r w:rsidRPr="00C00ACE">
        <w:rPr>
          <w:rFonts w:ascii="Palatino Linotype" w:eastAsia="Calibri" w:hAnsi="Palatino Linotype" w:cs="Calibri"/>
          <w:i/>
          <w:sz w:val="22"/>
          <w:szCs w:val="22"/>
        </w:rPr>
        <w:t xml:space="preserve">Vigilar el cumplimiento de la normatividad vigente, planear, dirigir y ejecutar el Programa Anual de Auditorias para fiscalizar los recursos del Instituto, evaluar el sistema de control interno, establecer los mecanismos para las declaraciones de situación patrimonial, así como identificar, investigar y determinar las responsabilidades administrativas de los servidores públicos del Instituto e imponer las sanciones disciplinarias correspondientes. </w:t>
      </w:r>
    </w:p>
    <w:p w14:paraId="0857BF31" w14:textId="77777777" w:rsidR="0079272C" w:rsidRPr="00C00ACE" w:rsidRDefault="0079272C" w:rsidP="0079272C">
      <w:pPr>
        <w:spacing w:line="276" w:lineRule="auto"/>
        <w:ind w:left="567" w:right="616"/>
        <w:jc w:val="both"/>
        <w:rPr>
          <w:rFonts w:ascii="Palatino Linotype" w:eastAsia="Calibri" w:hAnsi="Palatino Linotype" w:cs="Calibri"/>
          <w:i/>
          <w:sz w:val="22"/>
          <w:szCs w:val="22"/>
        </w:rPr>
      </w:pPr>
      <w:r w:rsidRPr="00C00ACE">
        <w:rPr>
          <w:rFonts w:ascii="Palatino Linotype" w:eastAsia="Calibri" w:hAnsi="Palatino Linotype" w:cs="Calibri"/>
          <w:i/>
          <w:sz w:val="22"/>
          <w:szCs w:val="22"/>
        </w:rPr>
        <w:t>Funciones:</w:t>
      </w:r>
    </w:p>
    <w:p w14:paraId="294E636A" w14:textId="77777777" w:rsidR="0079272C" w:rsidRPr="00C00ACE" w:rsidRDefault="0079272C" w:rsidP="0079272C">
      <w:pPr>
        <w:spacing w:line="276" w:lineRule="auto"/>
        <w:ind w:left="567" w:right="616"/>
        <w:jc w:val="both"/>
        <w:rPr>
          <w:rFonts w:ascii="Palatino Linotype" w:eastAsia="Calibri" w:hAnsi="Palatino Linotype" w:cs="Calibri"/>
          <w:i/>
          <w:sz w:val="22"/>
          <w:szCs w:val="22"/>
        </w:rPr>
      </w:pPr>
      <w:r w:rsidRPr="00C00ACE">
        <w:rPr>
          <w:rFonts w:ascii="Palatino Linotype" w:eastAsia="Calibri" w:hAnsi="Palatino Linotype" w:cs="Calibri"/>
          <w:i/>
          <w:sz w:val="22"/>
          <w:szCs w:val="22"/>
        </w:rPr>
        <w:t>[…]</w:t>
      </w:r>
    </w:p>
    <w:p w14:paraId="3F489E38" w14:textId="77777777" w:rsidR="0079272C" w:rsidRPr="00C00ACE" w:rsidRDefault="0079272C" w:rsidP="0079272C">
      <w:pPr>
        <w:spacing w:line="276" w:lineRule="auto"/>
        <w:ind w:left="567" w:right="616"/>
        <w:jc w:val="both"/>
        <w:rPr>
          <w:rFonts w:ascii="Palatino Linotype" w:eastAsia="Calibri" w:hAnsi="Palatino Linotype" w:cs="Calibri"/>
          <w:i/>
          <w:sz w:val="22"/>
          <w:szCs w:val="22"/>
        </w:rPr>
      </w:pPr>
      <w:r w:rsidRPr="00C00ACE">
        <w:rPr>
          <w:rFonts w:ascii="Palatino Linotype" w:eastAsia="Calibri" w:hAnsi="Palatino Linotype" w:cs="Calibri"/>
          <w:i/>
          <w:sz w:val="22"/>
          <w:szCs w:val="22"/>
        </w:rPr>
        <w:sym w:font="Symbol" w:char="F02D"/>
      </w:r>
      <w:r w:rsidRPr="00C00ACE">
        <w:rPr>
          <w:rFonts w:ascii="Palatino Linotype" w:eastAsia="Calibri" w:hAnsi="Palatino Linotype" w:cs="Calibri"/>
          <w:i/>
          <w:sz w:val="22"/>
          <w:szCs w:val="22"/>
        </w:rPr>
        <w:t xml:space="preserve"> </w:t>
      </w:r>
      <w:r w:rsidRPr="00C00ACE">
        <w:rPr>
          <w:rFonts w:ascii="Palatino Linotype" w:eastAsia="Calibri" w:hAnsi="Palatino Linotype" w:cs="Calibri"/>
          <w:b/>
          <w:i/>
          <w:sz w:val="22"/>
          <w:szCs w:val="22"/>
        </w:rPr>
        <w:t xml:space="preserve">Conocer de las responsabilidades administrativas de los servidores del Instituto, en su caso instaurar los procedimientos respectivos y someter a la consideración del Consejo General la resolución respectiva. Asimismo, hacer efectivas las acciones que correspondan, en los términos de la Ley de Responsabilidades de los Servidores Públicos del Estado y </w:t>
      </w:r>
      <w:proofErr w:type="gramStart"/>
      <w:r w:rsidRPr="00C00ACE">
        <w:rPr>
          <w:rFonts w:ascii="Palatino Linotype" w:eastAsia="Calibri" w:hAnsi="Palatino Linotype" w:cs="Calibri"/>
          <w:b/>
          <w:i/>
          <w:sz w:val="22"/>
          <w:szCs w:val="22"/>
        </w:rPr>
        <w:t>Municipios</w:t>
      </w:r>
      <w:r w:rsidRPr="00C00ACE">
        <w:rPr>
          <w:rFonts w:ascii="Palatino Linotype" w:eastAsia="Calibri" w:hAnsi="Palatino Linotype" w:cs="Calibri"/>
          <w:i/>
          <w:sz w:val="22"/>
          <w:szCs w:val="22"/>
        </w:rPr>
        <w:t>.[</w:t>
      </w:r>
      <w:proofErr w:type="gramEnd"/>
      <w:r w:rsidRPr="00C00ACE">
        <w:rPr>
          <w:rFonts w:ascii="Palatino Linotype" w:eastAsia="Calibri" w:hAnsi="Palatino Linotype" w:cs="Calibri"/>
          <w:i/>
          <w:sz w:val="22"/>
          <w:szCs w:val="22"/>
        </w:rPr>
        <w:t>…]”</w:t>
      </w:r>
    </w:p>
    <w:p w14:paraId="5FEA9379" w14:textId="77777777" w:rsidR="0079272C" w:rsidRPr="00C00ACE" w:rsidRDefault="0079272C" w:rsidP="0079272C">
      <w:pPr>
        <w:spacing w:line="276" w:lineRule="auto"/>
        <w:ind w:left="567" w:right="616"/>
        <w:jc w:val="right"/>
        <w:rPr>
          <w:rFonts w:ascii="Palatino Linotype" w:eastAsia="Calibri" w:hAnsi="Palatino Linotype" w:cs="Calibri"/>
          <w:i/>
          <w:sz w:val="22"/>
          <w:szCs w:val="22"/>
        </w:rPr>
      </w:pPr>
      <w:r w:rsidRPr="00C00ACE">
        <w:rPr>
          <w:rFonts w:ascii="Palatino Linotype" w:eastAsia="Calibri" w:hAnsi="Palatino Linotype" w:cs="Calibri"/>
          <w:i/>
          <w:sz w:val="22"/>
          <w:szCs w:val="22"/>
        </w:rPr>
        <w:lastRenderedPageBreak/>
        <w:t>(Énfasis añadido)</w:t>
      </w:r>
    </w:p>
    <w:p w14:paraId="45286D96" w14:textId="77777777" w:rsidR="00533F02" w:rsidRPr="00C00ACE" w:rsidRDefault="00533F02" w:rsidP="00533F02">
      <w:pPr>
        <w:spacing w:line="360" w:lineRule="auto"/>
        <w:jc w:val="both"/>
        <w:rPr>
          <w:rFonts w:ascii="Palatino Linotype" w:eastAsia="Palatino Linotype" w:hAnsi="Palatino Linotype" w:cs="Palatino Linotype"/>
          <w:sz w:val="22"/>
          <w:szCs w:val="22"/>
        </w:rPr>
      </w:pPr>
    </w:p>
    <w:p w14:paraId="3B00EB29" w14:textId="77777777" w:rsidR="0097049B" w:rsidRPr="00C00ACE" w:rsidRDefault="0079272C" w:rsidP="00533F02">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Como se desprende de lo anterior, </w:t>
      </w:r>
      <w:r w:rsidR="00CB2D66" w:rsidRPr="00C00ACE">
        <w:rPr>
          <w:rFonts w:ascii="Palatino Linotype" w:eastAsia="Palatino Linotype" w:hAnsi="Palatino Linotype" w:cs="Palatino Linotype"/>
          <w:sz w:val="22"/>
          <w:szCs w:val="22"/>
        </w:rPr>
        <w:t xml:space="preserve">la Contraloría General es el área encargada de conocer los procedimientos administrativos instaurados en contra de servidores públicos; además, esta a su vez cuenta dentro de su estructura con tres </w:t>
      </w:r>
      <w:proofErr w:type="spellStart"/>
      <w:r w:rsidR="00CB2D66" w:rsidRPr="00C00ACE">
        <w:rPr>
          <w:rFonts w:ascii="Palatino Linotype" w:eastAsia="Palatino Linotype" w:hAnsi="Palatino Linotype" w:cs="Palatino Linotype"/>
          <w:sz w:val="22"/>
          <w:szCs w:val="22"/>
        </w:rPr>
        <w:t>Subcontraloría</w:t>
      </w:r>
      <w:proofErr w:type="spellEnd"/>
      <w:r w:rsidR="00CB2D66" w:rsidRPr="00C00ACE">
        <w:rPr>
          <w:rFonts w:ascii="Palatino Linotype" w:eastAsia="Palatino Linotype" w:hAnsi="Palatino Linotype" w:cs="Palatino Linotype"/>
          <w:sz w:val="22"/>
          <w:szCs w:val="22"/>
        </w:rPr>
        <w:t>, una encargada de la Fiscalización, otra de la Investigación y la otra de la Substanciación</w:t>
      </w:r>
      <w:r w:rsidR="00B73874" w:rsidRPr="00C00ACE">
        <w:rPr>
          <w:rFonts w:ascii="Palatino Linotype" w:eastAsia="Palatino Linotype" w:hAnsi="Palatino Linotype" w:cs="Palatino Linotype"/>
          <w:sz w:val="22"/>
          <w:szCs w:val="22"/>
        </w:rPr>
        <w:t>; siendo las dos últimas las encargadas de la investigación, substanciación y calificación de actos u omisiones que puedan constituir responsabilidad administrativa en contra de servidores públicos electorales del Instituto.</w:t>
      </w:r>
    </w:p>
    <w:p w14:paraId="2D4A4B4D" w14:textId="77777777" w:rsidR="0097049B" w:rsidRPr="00C00ACE" w:rsidRDefault="0097049B" w:rsidP="00533F02">
      <w:pPr>
        <w:spacing w:line="360" w:lineRule="auto"/>
        <w:jc w:val="both"/>
        <w:rPr>
          <w:rFonts w:ascii="Palatino Linotype" w:eastAsia="Palatino Linotype" w:hAnsi="Palatino Linotype" w:cs="Palatino Linotype"/>
          <w:sz w:val="22"/>
          <w:szCs w:val="22"/>
        </w:rPr>
      </w:pPr>
    </w:p>
    <w:p w14:paraId="1637A6C9" w14:textId="77777777" w:rsidR="00B73874" w:rsidRPr="00C00ACE" w:rsidRDefault="00B73874" w:rsidP="00B73874">
      <w:pPr>
        <w:spacing w:line="360" w:lineRule="auto"/>
        <w:jc w:val="both"/>
        <w:rPr>
          <w:sz w:val="22"/>
          <w:szCs w:val="22"/>
        </w:rPr>
      </w:pPr>
      <w:r w:rsidRPr="00C00ACE">
        <w:rPr>
          <w:rFonts w:ascii="Palatino Linotype" w:eastAsia="Palatino Linotype" w:hAnsi="Palatino Linotype" w:cs="Palatino Linotype"/>
          <w:sz w:val="22"/>
          <w:szCs w:val="22"/>
        </w:rPr>
        <w:t>Por lo tanto, se advierte que quien se pronunció fue el servidor público habilitado de la unidad administrativa competente, dando cumplimiento al procedimiento para la atención a las solicitudes de acceso a la información, el cual se encuentra establecido en los artículos 151, 159, 160, 162, 163, 164, 165 y 166, de la Ley de Transparencia y Acceso a la Información Pública del Estado de México y Municipios, es el siguiente:</w:t>
      </w:r>
    </w:p>
    <w:p w14:paraId="70063061" w14:textId="77777777" w:rsidR="00B73874" w:rsidRPr="00C00ACE" w:rsidRDefault="00B73874" w:rsidP="00B73874">
      <w:pPr>
        <w:spacing w:line="360" w:lineRule="auto"/>
        <w:rPr>
          <w:sz w:val="22"/>
          <w:szCs w:val="22"/>
        </w:rPr>
      </w:pPr>
    </w:p>
    <w:p w14:paraId="387ADE64" w14:textId="77777777" w:rsidR="00B73874" w:rsidRPr="00C00ACE" w:rsidRDefault="00B73874" w:rsidP="00B73874">
      <w:pPr>
        <w:numPr>
          <w:ilvl w:val="0"/>
          <w:numId w:val="25"/>
        </w:numPr>
        <w:spacing w:line="276"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CB2848F" w14:textId="77777777" w:rsidR="00B73874" w:rsidRPr="00C00ACE" w:rsidRDefault="00B73874" w:rsidP="00B73874">
      <w:pPr>
        <w:spacing w:line="276" w:lineRule="auto"/>
        <w:ind w:left="360"/>
        <w:jc w:val="both"/>
        <w:rPr>
          <w:rFonts w:ascii="Palatino Linotype" w:eastAsia="Palatino Linotype" w:hAnsi="Palatino Linotype" w:cs="Palatino Linotype"/>
          <w:sz w:val="22"/>
          <w:szCs w:val="22"/>
        </w:rPr>
      </w:pPr>
    </w:p>
    <w:p w14:paraId="479440CF" w14:textId="77777777" w:rsidR="00B73874" w:rsidRPr="00C00ACE" w:rsidRDefault="00B73874" w:rsidP="00B73874">
      <w:pPr>
        <w:numPr>
          <w:ilvl w:val="0"/>
          <w:numId w:val="25"/>
        </w:numPr>
        <w:spacing w:line="276"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D871D64" w14:textId="77777777" w:rsidR="00B73874" w:rsidRPr="00C00ACE" w:rsidRDefault="00B73874" w:rsidP="00B73874">
      <w:pPr>
        <w:spacing w:line="276" w:lineRule="auto"/>
        <w:ind w:left="720"/>
        <w:rPr>
          <w:rFonts w:ascii="Palatino Linotype" w:eastAsia="Palatino Linotype" w:hAnsi="Palatino Linotype" w:cs="Palatino Linotype"/>
          <w:sz w:val="22"/>
          <w:szCs w:val="22"/>
        </w:rPr>
      </w:pPr>
    </w:p>
    <w:p w14:paraId="637F5726" w14:textId="77777777" w:rsidR="00B73874" w:rsidRPr="00C00ACE" w:rsidRDefault="00B73874" w:rsidP="00B73874">
      <w:pPr>
        <w:numPr>
          <w:ilvl w:val="0"/>
          <w:numId w:val="25"/>
        </w:numPr>
        <w:spacing w:line="276"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lastRenderedPageBreak/>
        <w:t xml:space="preserve">Las respuestas a los requerimientos informativos deberán notificarse al interesado en el menor tiempo posible, que no podrá exceder </w:t>
      </w:r>
      <w:r w:rsidRPr="00C00ACE">
        <w:rPr>
          <w:rFonts w:ascii="Palatino Linotype" w:eastAsia="Palatino Linotype" w:hAnsi="Palatino Linotype" w:cs="Palatino Linotype"/>
          <w:b/>
          <w:sz w:val="22"/>
          <w:szCs w:val="22"/>
        </w:rPr>
        <w:t>quince días, contados a partir del día siguiente a la presentación de ésta.</w:t>
      </w:r>
      <w:r w:rsidRPr="00C00ACE">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273F3422" w14:textId="77777777" w:rsidR="00B73874" w:rsidRPr="00C00ACE" w:rsidRDefault="00B73874" w:rsidP="00B73874">
      <w:pPr>
        <w:spacing w:line="276" w:lineRule="auto"/>
        <w:ind w:left="720"/>
        <w:rPr>
          <w:rFonts w:ascii="Palatino Linotype" w:eastAsia="Palatino Linotype" w:hAnsi="Palatino Linotype" w:cs="Palatino Linotype"/>
          <w:sz w:val="22"/>
          <w:szCs w:val="22"/>
        </w:rPr>
      </w:pPr>
    </w:p>
    <w:p w14:paraId="3EBFC256" w14:textId="77777777" w:rsidR="00B73874" w:rsidRPr="00C00ACE" w:rsidRDefault="00B73874" w:rsidP="00B73874">
      <w:pPr>
        <w:numPr>
          <w:ilvl w:val="0"/>
          <w:numId w:val="25"/>
        </w:numPr>
        <w:spacing w:line="276" w:lineRule="auto"/>
        <w:jc w:val="both"/>
        <w:rPr>
          <w:rFonts w:ascii="Palatino Linotype" w:eastAsia="Palatino Linotype" w:hAnsi="Palatino Linotype" w:cs="Palatino Linotype"/>
          <w:b/>
          <w:sz w:val="22"/>
          <w:szCs w:val="22"/>
          <w:u w:val="single"/>
        </w:rPr>
      </w:pPr>
      <w:r w:rsidRPr="00C00ACE">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D8F29BE" w14:textId="77777777" w:rsidR="00B73874" w:rsidRPr="00C00ACE" w:rsidRDefault="00B73874" w:rsidP="00B73874">
      <w:pPr>
        <w:spacing w:line="276" w:lineRule="auto"/>
        <w:ind w:left="720"/>
        <w:rPr>
          <w:rFonts w:ascii="Palatino Linotype" w:eastAsia="Palatino Linotype" w:hAnsi="Palatino Linotype" w:cs="Palatino Linotype"/>
          <w:b/>
          <w:sz w:val="22"/>
          <w:szCs w:val="22"/>
          <w:u w:val="single"/>
        </w:rPr>
      </w:pPr>
    </w:p>
    <w:p w14:paraId="58414952" w14:textId="77777777" w:rsidR="00B73874" w:rsidRPr="00C00ACE" w:rsidRDefault="00B73874" w:rsidP="00B73874">
      <w:pPr>
        <w:numPr>
          <w:ilvl w:val="0"/>
          <w:numId w:val="25"/>
        </w:numPr>
        <w:spacing w:line="276"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BA6ACD3" w14:textId="77777777" w:rsidR="00B73874" w:rsidRPr="00C00ACE" w:rsidRDefault="00B73874" w:rsidP="00B73874">
      <w:pPr>
        <w:spacing w:line="276" w:lineRule="auto"/>
        <w:ind w:left="360"/>
        <w:jc w:val="both"/>
        <w:rPr>
          <w:rFonts w:ascii="Palatino Linotype" w:eastAsia="Palatino Linotype" w:hAnsi="Palatino Linotype" w:cs="Palatino Linotype"/>
          <w:b/>
          <w:sz w:val="22"/>
          <w:szCs w:val="22"/>
        </w:rPr>
      </w:pPr>
    </w:p>
    <w:p w14:paraId="2440F2EB" w14:textId="77777777" w:rsidR="00B73874" w:rsidRPr="00C00ACE" w:rsidRDefault="00B73874" w:rsidP="00B73874">
      <w:pPr>
        <w:numPr>
          <w:ilvl w:val="0"/>
          <w:numId w:val="25"/>
        </w:numPr>
        <w:spacing w:line="276"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6AB3FA29" w14:textId="77777777" w:rsidR="00B73874" w:rsidRPr="00C00ACE" w:rsidRDefault="00B73874" w:rsidP="00B73874">
      <w:pPr>
        <w:spacing w:line="360" w:lineRule="auto"/>
        <w:rPr>
          <w:sz w:val="22"/>
          <w:szCs w:val="22"/>
        </w:rPr>
      </w:pPr>
    </w:p>
    <w:p w14:paraId="1590DA1A" w14:textId="77777777" w:rsidR="00B73874" w:rsidRPr="00C00ACE" w:rsidRDefault="00B73874" w:rsidP="00B73874">
      <w:pPr>
        <w:spacing w:line="360" w:lineRule="auto"/>
        <w:ind w:right="49"/>
        <w:jc w:val="both"/>
        <w:rPr>
          <w:rFonts w:ascii="Palatino Linotype" w:eastAsia="Palatino Linotype" w:hAnsi="Palatino Linotype" w:cs="Palatino Linotype"/>
          <w:b/>
          <w:sz w:val="22"/>
          <w:szCs w:val="22"/>
          <w:u w:val="single"/>
        </w:rPr>
      </w:pPr>
      <w:r w:rsidRPr="00C00ACE">
        <w:rPr>
          <w:rFonts w:ascii="Palatino Linotype" w:eastAsia="Palatino Linotype" w:hAnsi="Palatino Linotype" w:cs="Palatino Linotype"/>
          <w:sz w:val="22"/>
          <w:szCs w:val="22"/>
        </w:rPr>
        <w:t xml:space="preserve">En ese sentido, se tiene que, </w:t>
      </w:r>
      <w:r w:rsidRPr="00C00ACE">
        <w:rPr>
          <w:rFonts w:ascii="Palatino Linotype" w:eastAsia="Palatino Linotype" w:hAnsi="Palatino Linotype" w:cs="Palatino Linotype"/>
          <w:b/>
          <w:sz w:val="22"/>
          <w:szCs w:val="22"/>
          <w:u w:val="single"/>
        </w:rPr>
        <w:t>el procedimiento de búsqueda de la información se tiene por atendido.</w:t>
      </w:r>
    </w:p>
    <w:p w14:paraId="710BDDCD" w14:textId="77777777" w:rsidR="0097049B" w:rsidRPr="00C00ACE" w:rsidRDefault="0097049B" w:rsidP="00533F02">
      <w:pPr>
        <w:spacing w:line="360" w:lineRule="auto"/>
        <w:jc w:val="both"/>
        <w:rPr>
          <w:rFonts w:ascii="Palatino Linotype" w:eastAsia="Palatino Linotype" w:hAnsi="Palatino Linotype" w:cs="Palatino Linotype"/>
          <w:sz w:val="22"/>
          <w:szCs w:val="22"/>
        </w:rPr>
      </w:pPr>
    </w:p>
    <w:p w14:paraId="6F48F0D0" w14:textId="77777777" w:rsidR="0097049B" w:rsidRPr="00C00ACE" w:rsidRDefault="00B73874" w:rsidP="00533F02">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Ahora, del análisis a la naturaleza de la información requerida en relación con las constancias que integran los expedientes de substanciación números IEEM/CG/SUBS/072/2024, IEEM/CG/SUBS/073/2024, IEEM/CG/SUBS/074/2024, IEEM/CG/SUBS/075/2024, IEEM/CG/SUBS/076/2024, IEEM/CG/SUBS/078/2024 y </w:t>
      </w:r>
      <w:r w:rsidRPr="00C00ACE">
        <w:rPr>
          <w:rFonts w:ascii="Palatino Linotype" w:eastAsia="Palatino Linotype" w:hAnsi="Palatino Linotype" w:cs="Palatino Linotype"/>
          <w:sz w:val="22"/>
          <w:szCs w:val="22"/>
        </w:rPr>
        <w:lastRenderedPageBreak/>
        <w:t xml:space="preserve">IEEM/CG/SUBS/079/2024 remitidos en respuesta, </w:t>
      </w:r>
      <w:r w:rsidR="00A57918" w:rsidRPr="00C00ACE">
        <w:rPr>
          <w:rFonts w:ascii="Palatino Linotype" w:eastAsia="Palatino Linotype" w:hAnsi="Palatino Linotype" w:cs="Palatino Linotype"/>
          <w:sz w:val="22"/>
          <w:szCs w:val="22"/>
        </w:rPr>
        <w:t xml:space="preserve">se advierte que dichas documentales son respecto de procedimientos administrativos instaurados en contra de ex servidores públicos del Sujeto Obligado por una falta administrativa </w:t>
      </w:r>
      <w:r w:rsidR="00A57918" w:rsidRPr="00C00ACE">
        <w:rPr>
          <w:rFonts w:ascii="Palatino Linotype" w:eastAsia="Palatino Linotype" w:hAnsi="Palatino Linotype" w:cs="Palatino Linotype"/>
          <w:b/>
          <w:sz w:val="22"/>
          <w:szCs w:val="22"/>
          <w:u w:val="single"/>
        </w:rPr>
        <w:t>no grave</w:t>
      </w:r>
      <w:r w:rsidR="00A57918" w:rsidRPr="00C00ACE">
        <w:rPr>
          <w:rFonts w:ascii="Palatino Linotype" w:eastAsia="Palatino Linotype" w:hAnsi="Palatino Linotype" w:cs="Palatino Linotype"/>
          <w:sz w:val="22"/>
          <w:szCs w:val="22"/>
        </w:rPr>
        <w:t xml:space="preserve"> consistente en “</w:t>
      </w:r>
      <w:r w:rsidR="00A57918" w:rsidRPr="00C00ACE">
        <w:rPr>
          <w:rFonts w:ascii="Palatino Linotype" w:eastAsia="Palatino Linotype" w:hAnsi="Palatino Linotype" w:cs="Palatino Linotype"/>
          <w:i/>
          <w:sz w:val="22"/>
          <w:szCs w:val="22"/>
        </w:rPr>
        <w:t>Omisión de elaborar el oficio dirigido al Titular de la Dirección de Organización del Instituto Electoral del Estado de México informando que los paquetes electorales de su adscripción se encontraban debidamente integrados…</w:t>
      </w:r>
      <w:r w:rsidR="00A57918" w:rsidRPr="00C00ACE">
        <w:rPr>
          <w:rFonts w:ascii="Palatino Linotype" w:eastAsia="Palatino Linotype" w:hAnsi="Palatino Linotype" w:cs="Palatino Linotype"/>
          <w:sz w:val="22"/>
          <w:szCs w:val="22"/>
        </w:rPr>
        <w:t xml:space="preserve">”, </w:t>
      </w:r>
      <w:r w:rsidR="00A57918" w:rsidRPr="00C00ACE">
        <w:rPr>
          <w:rFonts w:ascii="Palatino Linotype" w:eastAsia="Palatino Linotype" w:hAnsi="Palatino Linotype" w:cs="Palatino Linotype"/>
          <w:b/>
          <w:sz w:val="22"/>
          <w:szCs w:val="22"/>
          <w:u w:val="single"/>
        </w:rPr>
        <w:t>mismos que se encuentran concluidos al contar con resolución firme.</w:t>
      </w:r>
    </w:p>
    <w:p w14:paraId="5C4B58C4" w14:textId="77777777" w:rsidR="00A57918" w:rsidRPr="00C00ACE" w:rsidRDefault="00A57918" w:rsidP="00533F02">
      <w:pPr>
        <w:spacing w:line="360" w:lineRule="auto"/>
        <w:jc w:val="both"/>
        <w:rPr>
          <w:rFonts w:ascii="Palatino Linotype" w:eastAsia="Palatino Linotype" w:hAnsi="Palatino Linotype" w:cs="Palatino Linotype"/>
          <w:sz w:val="22"/>
          <w:szCs w:val="22"/>
        </w:rPr>
      </w:pPr>
    </w:p>
    <w:p w14:paraId="5199451F" w14:textId="77777777" w:rsidR="00285041" w:rsidRPr="00C00ACE" w:rsidRDefault="00285041" w:rsidP="00285041">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szCs w:val="22"/>
        </w:rPr>
        <w:t>Ahora, en el presente asunto es de señalar que, e</w:t>
      </w:r>
      <w:r w:rsidRPr="00C00ACE">
        <w:rPr>
          <w:rFonts w:ascii="Palatino Linotype" w:eastAsia="Palatino Linotype" w:hAnsi="Palatino Linotype" w:cs="Palatino Linotype"/>
          <w:sz w:val="22"/>
        </w:rPr>
        <w:t>n lo que concierne a las sanciones graves y no graves, si bien se relacionan con una de las obligaciones de transparencia común, como se desprende del artículo 92 fracción XXII de la Ley de Transparencia y Acceso a la Información Pública del Estado de México y Municipios, como se observa:</w:t>
      </w:r>
    </w:p>
    <w:p w14:paraId="7FFDA201" w14:textId="77777777" w:rsidR="00285041" w:rsidRPr="00C00ACE" w:rsidRDefault="00285041" w:rsidP="00285041">
      <w:pPr>
        <w:spacing w:line="360" w:lineRule="auto"/>
        <w:ind w:right="49"/>
        <w:jc w:val="both"/>
        <w:rPr>
          <w:rFonts w:ascii="Palatino Linotype" w:eastAsia="Palatino Linotype" w:hAnsi="Palatino Linotype" w:cs="Palatino Linotype"/>
          <w:sz w:val="10"/>
          <w:szCs w:val="12"/>
        </w:rPr>
      </w:pPr>
    </w:p>
    <w:p w14:paraId="403D0835" w14:textId="77777777" w:rsidR="00285041" w:rsidRPr="00C00ACE" w:rsidRDefault="00285041" w:rsidP="00285041">
      <w:pPr>
        <w:tabs>
          <w:tab w:val="left" w:pos="8222"/>
        </w:tabs>
        <w:spacing w:line="276" w:lineRule="auto"/>
        <w:ind w:left="851" w:right="616"/>
        <w:jc w:val="both"/>
        <w:rPr>
          <w:rFonts w:ascii="Palatino Linotype" w:eastAsia="Palatino Linotype" w:hAnsi="Palatino Linotype" w:cs="Palatino Linotype"/>
          <w:i/>
          <w:sz w:val="22"/>
        </w:rPr>
      </w:pPr>
      <w:r w:rsidRPr="00C00ACE">
        <w:rPr>
          <w:rFonts w:ascii="Palatino Linotype" w:eastAsia="Palatino Linotype" w:hAnsi="Palatino Linotype" w:cs="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70BF3C" w14:textId="77777777" w:rsidR="00285041" w:rsidRPr="00C00ACE" w:rsidRDefault="00285041" w:rsidP="00285041">
      <w:pPr>
        <w:tabs>
          <w:tab w:val="left" w:pos="8222"/>
        </w:tabs>
        <w:spacing w:line="276" w:lineRule="auto"/>
        <w:ind w:left="851" w:right="616"/>
        <w:jc w:val="both"/>
        <w:rPr>
          <w:rFonts w:ascii="Palatino Linotype" w:eastAsia="Palatino Linotype" w:hAnsi="Palatino Linotype" w:cs="Palatino Linotype"/>
          <w:i/>
          <w:sz w:val="22"/>
        </w:rPr>
      </w:pPr>
      <w:r w:rsidRPr="00C00ACE">
        <w:rPr>
          <w:rFonts w:ascii="Palatino Linotype" w:eastAsia="Palatino Linotype" w:hAnsi="Palatino Linotype" w:cs="Palatino Linotype"/>
          <w:i/>
          <w:sz w:val="22"/>
        </w:rPr>
        <w:t>...</w:t>
      </w:r>
    </w:p>
    <w:p w14:paraId="00651C72" w14:textId="77777777" w:rsidR="00285041" w:rsidRPr="00C00ACE" w:rsidRDefault="00285041" w:rsidP="00285041">
      <w:pPr>
        <w:tabs>
          <w:tab w:val="left" w:pos="8222"/>
        </w:tabs>
        <w:spacing w:line="276" w:lineRule="auto"/>
        <w:ind w:left="851" w:right="616"/>
        <w:jc w:val="both"/>
        <w:rPr>
          <w:rFonts w:ascii="Palatino Linotype" w:eastAsia="Palatino Linotype" w:hAnsi="Palatino Linotype" w:cs="Palatino Linotype"/>
          <w:i/>
          <w:sz w:val="22"/>
        </w:rPr>
      </w:pPr>
      <w:r w:rsidRPr="00C00ACE">
        <w:rPr>
          <w:rFonts w:ascii="Palatino Linotype" w:eastAsia="Palatino Linotype" w:hAnsi="Palatino Linotype" w:cs="Palatino Linotype"/>
          <w:b/>
          <w:i/>
          <w:sz w:val="22"/>
        </w:rPr>
        <w:t>XXII. El listado de Servidores Públicos con sanciones administrativas definitivas, especificando la causa de sanción y la disposición</w:t>
      </w:r>
      <w:r w:rsidRPr="00C00ACE">
        <w:rPr>
          <w:rFonts w:ascii="Palatino Linotype" w:eastAsia="Palatino Linotype" w:hAnsi="Palatino Linotype" w:cs="Palatino Linotype"/>
          <w:i/>
          <w:sz w:val="22"/>
        </w:rPr>
        <w:t xml:space="preserve">; </w:t>
      </w:r>
    </w:p>
    <w:p w14:paraId="4200E502" w14:textId="77777777" w:rsidR="00285041" w:rsidRPr="00C00ACE" w:rsidRDefault="00285041" w:rsidP="00285041">
      <w:pPr>
        <w:tabs>
          <w:tab w:val="left" w:pos="8222"/>
        </w:tabs>
        <w:spacing w:line="276" w:lineRule="auto"/>
        <w:ind w:left="851" w:right="616"/>
        <w:jc w:val="right"/>
        <w:rPr>
          <w:rFonts w:ascii="Palatino Linotype" w:eastAsia="Palatino Linotype" w:hAnsi="Palatino Linotype" w:cs="Palatino Linotype"/>
          <w:i/>
          <w:sz w:val="22"/>
        </w:rPr>
      </w:pPr>
      <w:r w:rsidRPr="00C00ACE">
        <w:rPr>
          <w:rFonts w:ascii="Palatino Linotype" w:eastAsia="Palatino Linotype" w:hAnsi="Palatino Linotype" w:cs="Palatino Linotype"/>
          <w:i/>
          <w:sz w:val="22"/>
        </w:rPr>
        <w:t>(Énfasis añadido)</w:t>
      </w:r>
    </w:p>
    <w:p w14:paraId="375E476B" w14:textId="77777777" w:rsidR="00285041" w:rsidRPr="00C00ACE" w:rsidRDefault="00285041" w:rsidP="00285041">
      <w:pPr>
        <w:spacing w:line="360" w:lineRule="auto"/>
        <w:ind w:right="49"/>
        <w:jc w:val="both"/>
        <w:rPr>
          <w:rFonts w:ascii="Palatino Linotype" w:eastAsia="Palatino Linotype" w:hAnsi="Palatino Linotype" w:cs="Palatino Linotype"/>
          <w:sz w:val="22"/>
        </w:rPr>
      </w:pPr>
    </w:p>
    <w:p w14:paraId="36E69F1A" w14:textId="77777777" w:rsidR="00285041" w:rsidRPr="00C00ACE" w:rsidRDefault="00285041" w:rsidP="00285041">
      <w:pPr>
        <w:spacing w:line="360" w:lineRule="auto"/>
        <w:ind w:right="49"/>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 xml:space="preserve">No obstante, </w:t>
      </w:r>
      <w:r w:rsidRPr="00C00ACE">
        <w:rPr>
          <w:rFonts w:ascii="Palatino Linotype" w:eastAsia="Palatino Linotype" w:hAnsi="Palatino Linotype" w:cs="Palatino Linotype"/>
          <w:b/>
          <w:sz w:val="22"/>
          <w:u w:val="single"/>
        </w:rPr>
        <w:t>sólo pueden ser dadas a conocer las responsabilidades administrativas</w:t>
      </w:r>
      <w:r w:rsidRPr="00C00ACE">
        <w:rPr>
          <w:rFonts w:ascii="Palatino Linotype" w:eastAsia="Palatino Linotype" w:hAnsi="Palatino Linotype" w:cs="Palatino Linotype"/>
          <w:sz w:val="22"/>
        </w:rPr>
        <w:t xml:space="preserve"> </w:t>
      </w:r>
      <w:r w:rsidRPr="00C00ACE">
        <w:rPr>
          <w:rFonts w:ascii="Palatino Linotype" w:eastAsia="Palatino Linotype" w:hAnsi="Palatino Linotype" w:cs="Palatino Linotype"/>
          <w:b/>
          <w:sz w:val="22"/>
          <w:u w:val="single"/>
        </w:rPr>
        <w:t>por faltas graves</w:t>
      </w:r>
      <w:r w:rsidRPr="00C00ACE">
        <w:rPr>
          <w:rFonts w:ascii="Palatino Linotype" w:eastAsia="Palatino Linotype" w:hAnsi="Palatino Linotype" w:cs="Palatino Linotype"/>
          <w:sz w:val="22"/>
        </w:rPr>
        <w:t xml:space="preserve">. Lo anterior, con motivo de la entrada en vigor de la Ley del Sistema Anticorrupción del Estado de México y Municipios publicada en el periódico oficial "Gaceta del Gobierno" el treinta de mayo de 2017, que establece que </w:t>
      </w:r>
      <w:r w:rsidRPr="00C00ACE">
        <w:rPr>
          <w:rFonts w:ascii="Palatino Linotype" w:eastAsia="Palatino Linotype" w:hAnsi="Palatino Linotype" w:cs="Palatino Linotype"/>
          <w:b/>
          <w:sz w:val="22"/>
          <w:u w:val="single"/>
        </w:rPr>
        <w:t>las sanciones no graves no serán públicas</w:t>
      </w:r>
      <w:r w:rsidRPr="00C00ACE">
        <w:rPr>
          <w:rFonts w:ascii="Palatino Linotype" w:eastAsia="Palatino Linotype" w:hAnsi="Palatino Linotype" w:cs="Palatino Linotype"/>
          <w:sz w:val="22"/>
        </w:rPr>
        <w:t xml:space="preserve">, toda vez que únicamente es de interés para los Poderes Ejecutivo, Legislativo y Judicial, los Ayuntamientos, Organismos Auxiliares, Fideicomisos Públicos y los Órganos Constitucionalmente Autónomos, en virtud de que exclusivamente se deriva </w:t>
      </w:r>
      <w:r w:rsidRPr="00C00ACE">
        <w:rPr>
          <w:rFonts w:ascii="Palatino Linotype" w:eastAsia="Palatino Linotype" w:hAnsi="Palatino Linotype" w:cs="Palatino Linotype"/>
          <w:sz w:val="22"/>
        </w:rPr>
        <w:lastRenderedPageBreak/>
        <w:t>de la relación entre autoridades administrativas y el titular de los datos personales, para acatar las disposiciones contenidas en el artículo 53 de la citada Ley Anticorrupción y que son de la literalidad siguiente:</w:t>
      </w:r>
    </w:p>
    <w:p w14:paraId="48726A02" w14:textId="77777777" w:rsidR="00285041" w:rsidRPr="00C00ACE" w:rsidRDefault="00285041" w:rsidP="00285041">
      <w:pPr>
        <w:spacing w:line="360" w:lineRule="auto"/>
        <w:ind w:right="49"/>
        <w:jc w:val="both"/>
        <w:rPr>
          <w:rFonts w:ascii="Palatino Linotype" w:eastAsia="Palatino Linotype" w:hAnsi="Palatino Linotype" w:cs="Palatino Linotype"/>
          <w:sz w:val="22"/>
        </w:rPr>
      </w:pPr>
    </w:p>
    <w:p w14:paraId="6859A617" w14:textId="77777777" w:rsidR="00285041" w:rsidRPr="00C00ACE" w:rsidRDefault="00285041" w:rsidP="00285041">
      <w:pPr>
        <w:ind w:left="851" w:right="822"/>
        <w:jc w:val="both"/>
        <w:rPr>
          <w:rFonts w:ascii="Palatino Linotype" w:eastAsia="Palatino Linotype" w:hAnsi="Palatino Linotype" w:cs="Palatino Linotype"/>
          <w:b/>
          <w:i/>
          <w:sz w:val="22"/>
        </w:rPr>
      </w:pPr>
      <w:r w:rsidRPr="00C00ACE">
        <w:rPr>
          <w:rFonts w:ascii="Palatino Linotype" w:eastAsia="Palatino Linotype" w:hAnsi="Palatino Linotype" w:cs="Palatino Linotype"/>
          <w:b/>
          <w:i/>
          <w:sz w:val="22"/>
        </w:rPr>
        <w:t xml:space="preserve">“Artículo 53. Las sanciones impuestas por faltas administrativas graves serán del conocimiento público </w:t>
      </w:r>
      <w:r w:rsidRPr="00C00ACE">
        <w:rPr>
          <w:rFonts w:ascii="Palatino Linotype" w:eastAsia="Palatino Linotype" w:hAnsi="Palatino Linotype" w:cs="Palatino Linotype"/>
          <w:b/>
          <w:i/>
          <w:sz w:val="22"/>
          <w:u w:val="single"/>
        </w:rPr>
        <w:t>cuando éstas contengan impedimentos o inhabilitaciones</w:t>
      </w:r>
      <w:r w:rsidRPr="00C00ACE">
        <w:rPr>
          <w:rFonts w:ascii="Palatino Linotype" w:eastAsia="Palatino Linotype" w:hAnsi="Palatino Linotype" w:cs="Palatino Linotype"/>
          <w:b/>
          <w:i/>
          <w:sz w:val="22"/>
        </w:rPr>
        <w:t xml:space="preserve"> para ser contratados como servidores públicos o como prestadores de servicios o contratistas del sector público, en términos de la Ley de Responsabilidades Administrativas del Estado de México y Municipios.</w:t>
      </w:r>
    </w:p>
    <w:p w14:paraId="5245B89D" w14:textId="77777777" w:rsidR="00285041" w:rsidRPr="00C00ACE" w:rsidRDefault="00285041" w:rsidP="00285041">
      <w:pPr>
        <w:ind w:left="851" w:right="822"/>
        <w:jc w:val="both"/>
        <w:rPr>
          <w:rFonts w:ascii="Palatino Linotype" w:eastAsia="Palatino Linotype" w:hAnsi="Palatino Linotype" w:cs="Palatino Linotype"/>
          <w:i/>
          <w:sz w:val="22"/>
        </w:rPr>
      </w:pPr>
    </w:p>
    <w:p w14:paraId="57C84D54" w14:textId="77777777" w:rsidR="00285041" w:rsidRPr="00C00ACE" w:rsidRDefault="00285041" w:rsidP="00285041">
      <w:pPr>
        <w:ind w:left="851" w:right="822"/>
        <w:jc w:val="both"/>
        <w:rPr>
          <w:rFonts w:ascii="Palatino Linotype" w:eastAsia="Palatino Linotype" w:hAnsi="Palatino Linotype" w:cs="Palatino Linotype"/>
          <w:i/>
          <w:sz w:val="22"/>
        </w:rPr>
      </w:pPr>
      <w:r w:rsidRPr="00C00ACE">
        <w:rPr>
          <w:rFonts w:ascii="Palatino Linotype" w:eastAsia="Palatino Linotype" w:hAnsi="Palatino Linotype" w:cs="Palatino Linotype"/>
          <w:i/>
          <w:sz w:val="22"/>
        </w:rPr>
        <w:t xml:space="preserve">Los registros de </w:t>
      </w:r>
      <w:r w:rsidRPr="00C00ACE">
        <w:rPr>
          <w:rFonts w:ascii="Palatino Linotype" w:eastAsia="Palatino Linotype" w:hAnsi="Palatino Linotype" w:cs="Palatino Linotype"/>
          <w:b/>
          <w:i/>
          <w:sz w:val="22"/>
          <w:u w:val="single"/>
        </w:rPr>
        <w:t>las sanciones relativas a responsabilidades administrativas no graves, quedarán registradas para efectos de eventual reincidencia, pero no serán públicas.</w:t>
      </w:r>
      <w:r w:rsidRPr="00C00ACE">
        <w:rPr>
          <w:rFonts w:ascii="Palatino Linotype" w:eastAsia="Palatino Linotype" w:hAnsi="Palatino Linotype" w:cs="Palatino Linotype"/>
          <w:i/>
          <w:sz w:val="22"/>
        </w:rPr>
        <w:t>” (Sic) (Énfasis añadido)</w:t>
      </w:r>
    </w:p>
    <w:p w14:paraId="3A4B77BE" w14:textId="77777777" w:rsidR="00285041" w:rsidRPr="00C00ACE" w:rsidRDefault="00285041" w:rsidP="00285041">
      <w:pPr>
        <w:spacing w:line="360" w:lineRule="auto"/>
        <w:ind w:right="49"/>
        <w:jc w:val="both"/>
        <w:rPr>
          <w:rFonts w:ascii="Palatino Linotype" w:eastAsia="Palatino Linotype" w:hAnsi="Palatino Linotype" w:cs="Palatino Linotype"/>
          <w:sz w:val="22"/>
        </w:rPr>
      </w:pPr>
    </w:p>
    <w:p w14:paraId="7C3D80E6" w14:textId="77777777" w:rsidR="00F02CE4" w:rsidRPr="00C00ACE" w:rsidRDefault="00F02CE4" w:rsidP="00F02CE4">
      <w:pPr>
        <w:spacing w:before="240" w:after="240" w:line="360" w:lineRule="auto"/>
        <w:ind w:right="51"/>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En ese sentido es importante, referir que la Ley de Responsabilidades Administrativas del Estado de México y Municipios, vigente, señala como faltas administrativas graves y no graves, lo siguiente:</w:t>
      </w:r>
    </w:p>
    <w:p w14:paraId="5E86DF54" w14:textId="77777777" w:rsidR="00F02CE4" w:rsidRPr="00C00ACE" w:rsidRDefault="00F02CE4" w:rsidP="00F02CE4">
      <w:pPr>
        <w:ind w:left="567"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 xml:space="preserve"> “Artículo 3. Para los efectos de la presente Ley, se entenderá por:</w:t>
      </w:r>
      <w:r w:rsidRPr="00C00ACE">
        <w:rPr>
          <w:rFonts w:ascii="Palatino Linotype" w:eastAsia="Palatino Linotype" w:hAnsi="Palatino Linotype" w:cs="Palatino Linotype"/>
          <w:i/>
          <w:sz w:val="22"/>
          <w:szCs w:val="22"/>
        </w:rPr>
        <w:br/>
        <w:t>...</w:t>
      </w:r>
    </w:p>
    <w:p w14:paraId="77328961" w14:textId="77777777" w:rsidR="00F02CE4" w:rsidRPr="00C00ACE" w:rsidRDefault="00F02CE4" w:rsidP="00F02CE4">
      <w:pPr>
        <w:ind w:left="567"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 xml:space="preserve">XIII. </w:t>
      </w:r>
      <w:r w:rsidRPr="00C00ACE">
        <w:rPr>
          <w:rFonts w:ascii="Palatino Linotype" w:eastAsia="Palatino Linotype" w:hAnsi="Palatino Linotype" w:cs="Palatino Linotype"/>
          <w:b/>
          <w:i/>
          <w:sz w:val="22"/>
          <w:szCs w:val="22"/>
        </w:rPr>
        <w:t>Falta administrativa no grave</w:t>
      </w:r>
      <w:r w:rsidRPr="00C00ACE">
        <w:rPr>
          <w:rFonts w:ascii="Palatino Linotype" w:eastAsia="Palatino Linotype" w:hAnsi="Palatino Linotype" w:cs="Palatino Linotype"/>
          <w:i/>
          <w:sz w:val="22"/>
          <w:szCs w:val="22"/>
        </w:rPr>
        <w:t>: A las faltas administrativas de los servidores públicos en los términos de la presente Ley, cuya imposición de la sanción corresponde a la Secretaría de la Contraloría del Estado de México y a los órganos internos de control.</w:t>
      </w:r>
    </w:p>
    <w:p w14:paraId="68CD55B5" w14:textId="77777777" w:rsidR="00F02CE4" w:rsidRPr="00C00ACE" w:rsidRDefault="00F02CE4" w:rsidP="00F02CE4">
      <w:pPr>
        <w:ind w:left="567"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 xml:space="preserve">XIV. </w:t>
      </w:r>
      <w:r w:rsidRPr="00C00ACE">
        <w:rPr>
          <w:rFonts w:ascii="Palatino Linotype" w:eastAsia="Palatino Linotype" w:hAnsi="Palatino Linotype" w:cs="Palatino Linotype"/>
          <w:b/>
          <w:i/>
          <w:sz w:val="22"/>
          <w:szCs w:val="22"/>
        </w:rPr>
        <w:t>Falta administrativa grave</w:t>
      </w:r>
      <w:r w:rsidRPr="00C00ACE">
        <w:rPr>
          <w:rFonts w:ascii="Palatino Linotype" w:eastAsia="Palatino Linotype" w:hAnsi="Palatino Linotype" w:cs="Palatino Linotype"/>
          <w:i/>
          <w:sz w:val="22"/>
          <w:szCs w:val="22"/>
        </w:rPr>
        <w:t>: A las faltas administrativas de los servidores públicos catalogadas como graves en los términos de la presente Ley, cuya sanción corresponde al Tribunal de Justicia Administrativa del Estado de México</w:t>
      </w:r>
    </w:p>
    <w:p w14:paraId="285DEA2E" w14:textId="77777777" w:rsidR="00F02CE4" w:rsidRPr="00C00ACE" w:rsidRDefault="00F02CE4" w:rsidP="00F02CE4">
      <w:pPr>
        <w:ind w:left="567"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w:t>
      </w:r>
      <w:r w:rsidRPr="00C00ACE">
        <w:rPr>
          <w:rFonts w:ascii="Palatino Linotype" w:eastAsia="Palatino Linotype" w:hAnsi="Palatino Linotype" w:cs="Palatino Linotype"/>
          <w:i/>
          <w:sz w:val="22"/>
          <w:szCs w:val="22"/>
        </w:rPr>
        <w:t>" (Énfasis añadido)</w:t>
      </w:r>
    </w:p>
    <w:p w14:paraId="35EDAFFE" w14:textId="77777777" w:rsidR="00F02CE4" w:rsidRPr="00C00ACE" w:rsidRDefault="00F02CE4" w:rsidP="00F02CE4">
      <w:pPr>
        <w:spacing w:line="360" w:lineRule="auto"/>
        <w:jc w:val="both"/>
        <w:rPr>
          <w:rFonts w:ascii="Palatino Linotype" w:eastAsia="Palatino Linotype" w:hAnsi="Palatino Linotype" w:cs="Palatino Linotype"/>
          <w:sz w:val="22"/>
          <w:szCs w:val="22"/>
        </w:rPr>
      </w:pPr>
    </w:p>
    <w:p w14:paraId="7A856F79" w14:textId="77777777" w:rsidR="00F02CE4" w:rsidRPr="00C00ACE" w:rsidRDefault="00F02CE4" w:rsidP="00F02CE4">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La Ley de Responsabilidades Administrativas vigente, contempla como faltas administrativas no graves, las cometidas por el servidor público </w:t>
      </w:r>
      <w:proofErr w:type="gramStart"/>
      <w:r w:rsidRPr="00C00ACE">
        <w:rPr>
          <w:rFonts w:ascii="Palatino Linotype" w:eastAsia="Palatino Linotype" w:hAnsi="Palatino Linotype" w:cs="Palatino Linotype"/>
          <w:sz w:val="22"/>
          <w:szCs w:val="22"/>
        </w:rPr>
        <w:t>que</w:t>
      </w:r>
      <w:proofErr w:type="gramEnd"/>
      <w:r w:rsidRPr="00C00ACE">
        <w:rPr>
          <w:rFonts w:ascii="Palatino Linotype" w:eastAsia="Palatino Linotype" w:hAnsi="Palatino Linotype" w:cs="Palatino Linotype"/>
          <w:sz w:val="22"/>
          <w:szCs w:val="22"/>
        </w:rPr>
        <w:t xml:space="preserve"> con sus actos u </w:t>
      </w:r>
      <w:r w:rsidRPr="00C00ACE">
        <w:rPr>
          <w:rFonts w:ascii="Palatino Linotype" w:eastAsia="Palatino Linotype" w:hAnsi="Palatino Linotype" w:cs="Palatino Linotype"/>
          <w:sz w:val="22"/>
          <w:szCs w:val="22"/>
        </w:rPr>
        <w:lastRenderedPageBreak/>
        <w:t>omisiones, incumpla o transgreda sus obligaciones, entre las que se pueden englobar las establecidas en el artículo 50 de la Ley de responsabilidades en mérito:</w:t>
      </w:r>
    </w:p>
    <w:p w14:paraId="6C126ABE" w14:textId="77777777" w:rsidR="00F02CE4" w:rsidRPr="00C00ACE" w:rsidRDefault="00F02CE4" w:rsidP="00F02CE4">
      <w:pPr>
        <w:pBdr>
          <w:top w:val="nil"/>
          <w:left w:val="nil"/>
          <w:bottom w:val="nil"/>
          <w:right w:val="nil"/>
          <w:between w:val="nil"/>
        </w:pBdr>
        <w:spacing w:before="120" w:after="120"/>
        <w:ind w:left="567" w:right="900"/>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 xml:space="preserve">“Artículo 50. Incurre en </w:t>
      </w:r>
      <w:r w:rsidRPr="00C00ACE">
        <w:rPr>
          <w:rFonts w:ascii="Palatino Linotype" w:eastAsia="Palatino Linotype" w:hAnsi="Palatino Linotype" w:cs="Palatino Linotype"/>
          <w:b/>
          <w:i/>
          <w:sz w:val="22"/>
          <w:szCs w:val="22"/>
          <w:u w:val="single"/>
        </w:rPr>
        <w:t>falta administrativa no grave</w:t>
      </w:r>
      <w:r w:rsidRPr="00C00ACE">
        <w:rPr>
          <w:rFonts w:ascii="Palatino Linotype" w:eastAsia="Palatino Linotype" w:hAnsi="Palatino Linotype" w:cs="Palatino Linotype"/>
          <w:b/>
          <w:i/>
          <w:sz w:val="22"/>
          <w:szCs w:val="22"/>
        </w:rPr>
        <w:t xml:space="preserve">, el servidor público </w:t>
      </w:r>
      <w:proofErr w:type="gramStart"/>
      <w:r w:rsidRPr="00C00ACE">
        <w:rPr>
          <w:rFonts w:ascii="Palatino Linotype" w:eastAsia="Palatino Linotype" w:hAnsi="Palatino Linotype" w:cs="Palatino Linotype"/>
          <w:b/>
          <w:i/>
          <w:sz w:val="22"/>
          <w:szCs w:val="22"/>
        </w:rPr>
        <w:t>que</w:t>
      </w:r>
      <w:proofErr w:type="gramEnd"/>
      <w:r w:rsidRPr="00C00ACE">
        <w:rPr>
          <w:rFonts w:ascii="Palatino Linotype" w:eastAsia="Palatino Linotype" w:hAnsi="Palatino Linotype" w:cs="Palatino Linotype"/>
          <w:b/>
          <w:i/>
          <w:sz w:val="22"/>
          <w:szCs w:val="22"/>
        </w:rPr>
        <w:t xml:space="preserve"> con sus actos u omisiones, incumpla o transgreda las obligaciones siguientes:</w:t>
      </w:r>
    </w:p>
    <w:p w14:paraId="1995E98C"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I.</w:t>
      </w:r>
      <w:r w:rsidRPr="00C00ACE">
        <w:rPr>
          <w:rFonts w:ascii="Palatino Linotype" w:eastAsia="Palatino Linotype" w:hAnsi="Palatino Linotype" w:cs="Palatino Linotype"/>
          <w:i/>
          <w:sz w:val="22"/>
          <w:szCs w:val="22"/>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272D5057"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II.</w:t>
      </w:r>
      <w:r w:rsidRPr="00C00ACE">
        <w:rPr>
          <w:rFonts w:ascii="Palatino Linotype" w:eastAsia="Palatino Linotype" w:hAnsi="Palatino Linotype" w:cs="Palatino Linotype"/>
          <w:i/>
          <w:sz w:val="22"/>
          <w:szCs w:val="22"/>
        </w:rPr>
        <w:t xml:space="preserve"> Denunciar los actos u omisiones que en ejercicio de sus funciones llegare a advertir, que puedan constituir faltas administrativas en términos del artículo 95 de la presente Ley. </w:t>
      </w:r>
    </w:p>
    <w:p w14:paraId="106FE117"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III.</w:t>
      </w:r>
      <w:r w:rsidRPr="00C00ACE">
        <w:rPr>
          <w:rFonts w:ascii="Palatino Linotype" w:eastAsia="Palatino Linotype" w:hAnsi="Palatino Linotype" w:cs="Palatino Linotype"/>
          <w:i/>
          <w:sz w:val="22"/>
          <w:szCs w:val="22"/>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2F1AEDC6"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IV</w:t>
      </w:r>
      <w:r w:rsidRPr="00C00ACE">
        <w:rPr>
          <w:rFonts w:ascii="Palatino Linotype" w:eastAsia="Palatino Linotype" w:hAnsi="Palatino Linotype" w:cs="Palatino Linotype"/>
          <w:i/>
          <w:sz w:val="22"/>
          <w:szCs w:val="22"/>
        </w:rPr>
        <w:t xml:space="preserve">. Presentar en tiempo y forma la declaración de situación patrimonial y la de intereses que, en su caso, considere se actualice, en los términos establecidos por esta Ley. </w:t>
      </w:r>
    </w:p>
    <w:p w14:paraId="3720842C"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V</w:t>
      </w:r>
      <w:r w:rsidRPr="00C00ACE">
        <w:rPr>
          <w:rFonts w:ascii="Palatino Linotype" w:eastAsia="Palatino Linotype" w:hAnsi="Palatino Linotype" w:cs="Palatino Linotype"/>
          <w:i/>
          <w:sz w:val="22"/>
          <w:szCs w:val="22"/>
        </w:rPr>
        <w:t xml:space="preserve">. Rendir cuentas sobre el ejercicio de las funciones, en términos de las normas aplicables. </w:t>
      </w:r>
    </w:p>
    <w:p w14:paraId="757B4B25"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VI</w:t>
      </w:r>
      <w:r w:rsidRPr="00C00ACE">
        <w:rPr>
          <w:rFonts w:ascii="Palatino Linotype" w:eastAsia="Palatino Linotype" w:hAnsi="Palatino Linotype" w:cs="Palatino Linotype"/>
          <w:i/>
          <w:sz w:val="22"/>
          <w:szCs w:val="22"/>
        </w:rPr>
        <w:t xml:space="preserve">. Colaborar en los procedimientos judiciales y administrativos en los que sea parte. </w:t>
      </w:r>
    </w:p>
    <w:p w14:paraId="15FECF5E"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VII</w:t>
      </w:r>
      <w:r w:rsidRPr="00C00ACE">
        <w:rPr>
          <w:rFonts w:ascii="Palatino Linotype" w:eastAsia="Palatino Linotype" w:hAnsi="Palatino Linotype" w:cs="Palatino Linotype"/>
          <w:i/>
          <w:sz w:val="22"/>
          <w:szCs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w:t>
      </w:r>
      <w:r w:rsidRPr="00C00ACE">
        <w:rPr>
          <w:rFonts w:ascii="Palatino Linotype" w:eastAsia="Palatino Linotype" w:hAnsi="Palatino Linotype" w:cs="Palatino Linotype"/>
          <w:i/>
          <w:sz w:val="22"/>
          <w:szCs w:val="22"/>
        </w:rPr>
        <w:lastRenderedPageBreak/>
        <w:t xml:space="preserve">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6B66059D"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VIII</w:t>
      </w:r>
      <w:r w:rsidRPr="00C00ACE">
        <w:rPr>
          <w:rFonts w:ascii="Palatino Linotype" w:eastAsia="Palatino Linotype" w:hAnsi="Palatino Linotype" w:cs="Palatino Linotype"/>
          <w:i/>
          <w:sz w:val="22"/>
          <w:szCs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43F24847"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IX</w:t>
      </w:r>
      <w:r w:rsidRPr="00C00ACE">
        <w:rPr>
          <w:rFonts w:ascii="Palatino Linotype" w:eastAsia="Palatino Linotype" w:hAnsi="Palatino Linotype" w:cs="Palatino Linotype"/>
          <w:i/>
          <w:sz w:val="22"/>
          <w:szCs w:val="22"/>
        </w:rPr>
        <w:t xml:space="preserve">. Registrar, integrar, custodiar y cuidar la documentación e información </w:t>
      </w:r>
      <w:proofErr w:type="gramStart"/>
      <w:r w:rsidRPr="00C00ACE">
        <w:rPr>
          <w:rFonts w:ascii="Palatino Linotype" w:eastAsia="Palatino Linotype" w:hAnsi="Palatino Linotype" w:cs="Palatino Linotype"/>
          <w:i/>
          <w:sz w:val="22"/>
          <w:szCs w:val="22"/>
        </w:rPr>
        <w:t>que</w:t>
      </w:r>
      <w:proofErr w:type="gramEnd"/>
      <w:r w:rsidRPr="00C00ACE">
        <w:rPr>
          <w:rFonts w:ascii="Palatino Linotype" w:eastAsia="Palatino Linotype" w:hAnsi="Palatino Linotype" w:cs="Palatino Linotype"/>
          <w:i/>
          <w:sz w:val="22"/>
          <w:szCs w:val="22"/>
        </w:rPr>
        <w:t xml:space="preserve"> por razón de su empleo, cargo o comisión, conserve bajo su cuidado y responsabilidad o a la cual tenga acceso, impidiendo o evitando el uso, divulgación, sustracción, destrucción, ocultamiento o inutilización indebidas de aquéllas. </w:t>
      </w:r>
    </w:p>
    <w:p w14:paraId="40CBA987"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w:t>
      </w:r>
      <w:r w:rsidRPr="00C00ACE">
        <w:rPr>
          <w:rFonts w:ascii="Palatino Linotype" w:eastAsia="Palatino Linotype" w:hAnsi="Palatino Linotype" w:cs="Palatino Linotype"/>
          <w:i/>
          <w:sz w:val="22"/>
          <w:szCs w:val="22"/>
        </w:rPr>
        <w:t xml:space="preserve"> Observar buena conducta en su empleo, cargo o comisión tratando con respeto, diligencia, imparcialidad y rectitud a las personas y servidores públicos con los que tenga relación con motivo de éste. </w:t>
      </w:r>
    </w:p>
    <w:p w14:paraId="603382CC"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 xml:space="preserve">XI. </w:t>
      </w:r>
      <w:r w:rsidRPr="00C00ACE">
        <w:rPr>
          <w:rFonts w:ascii="Palatino Linotype" w:eastAsia="Palatino Linotype" w:hAnsi="Palatino Linotype" w:cs="Palatino Linotype"/>
          <w:i/>
          <w:sz w:val="22"/>
          <w:szCs w:val="22"/>
        </w:rPr>
        <w:t xml:space="preserve">Observar un trato respetuoso con sus subalternos. </w:t>
      </w:r>
    </w:p>
    <w:p w14:paraId="332DB562"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 xml:space="preserve">XII. Supervisar que los servidores públicos sujetos a su dirección, cumplan con las disposiciones de esta Ley. </w:t>
      </w:r>
    </w:p>
    <w:p w14:paraId="7B94524E"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XIII.</w:t>
      </w:r>
      <w:r w:rsidRPr="00C00ACE">
        <w:rPr>
          <w:rFonts w:ascii="Palatino Linotype" w:eastAsia="Palatino Linotype" w:hAnsi="Palatino Linotype" w:cs="Palatino Linotype"/>
          <w:i/>
          <w:sz w:val="22"/>
          <w:szCs w:val="22"/>
        </w:rPr>
        <w:t xml:space="preserve"> Cumplir con la entrega de índole administrativo del despacho y de toda aquella documentación inherente a su cargo, en los términos que establezcan las disposiciones legales o administrativas que al efecto se señalen. </w:t>
      </w:r>
    </w:p>
    <w:p w14:paraId="04267526"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XIV.</w:t>
      </w:r>
      <w:r w:rsidRPr="00C00ACE">
        <w:rPr>
          <w:rFonts w:ascii="Palatino Linotype" w:eastAsia="Palatino Linotype" w:hAnsi="Palatino Linotype" w:cs="Palatino Linotype"/>
          <w:i/>
          <w:sz w:val="22"/>
          <w:szCs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5268DB31"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XV.</w:t>
      </w:r>
      <w:r w:rsidRPr="00C00ACE">
        <w:rPr>
          <w:rFonts w:ascii="Palatino Linotype" w:eastAsia="Palatino Linotype" w:hAnsi="Palatino Linotype" w:cs="Palatino Linotype"/>
          <w:i/>
          <w:sz w:val="22"/>
          <w:szCs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1BADBCF9"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XVI.</w:t>
      </w:r>
      <w:r w:rsidRPr="00C00ACE">
        <w:rPr>
          <w:rFonts w:ascii="Palatino Linotype" w:eastAsia="Palatino Linotype" w:hAnsi="Palatino Linotype" w:cs="Palatino Linotype"/>
          <w:i/>
          <w:sz w:val="22"/>
          <w:szCs w:val="22"/>
        </w:rPr>
        <w:t xml:space="preserve"> Cumplir con las disposiciones en materia de Gobierno Digital que impongan la Ley de la materia, su reglamento y demás disposiciones aplicables.</w:t>
      </w:r>
    </w:p>
    <w:p w14:paraId="73374B96"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lastRenderedPageBreak/>
        <w:t>XVII.</w:t>
      </w:r>
      <w:r w:rsidRPr="00C00ACE">
        <w:rPr>
          <w:rFonts w:ascii="Palatino Linotype" w:eastAsia="Palatino Linotype" w:hAnsi="Palatino Linotype" w:cs="Palatino Linotype"/>
          <w:i/>
          <w:sz w:val="22"/>
          <w:szCs w:val="22"/>
        </w:rPr>
        <w:t xml:space="preserve"> Utilizar las medidas de seguridad informática y protección de datos e información personal recomendada por las instancias competentes. </w:t>
      </w:r>
    </w:p>
    <w:p w14:paraId="2B5B9D00"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 xml:space="preserve">XVIII. </w:t>
      </w:r>
      <w:r w:rsidRPr="00C00ACE">
        <w:rPr>
          <w:rFonts w:ascii="Palatino Linotype" w:eastAsia="Palatino Linotype" w:hAnsi="Palatino Linotype" w:cs="Palatino Linotype"/>
          <w:i/>
          <w:sz w:val="22"/>
          <w:szCs w:val="22"/>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14:paraId="74A2C4DD" w14:textId="77777777" w:rsidR="00F02CE4" w:rsidRPr="00C00ACE" w:rsidRDefault="00F02CE4" w:rsidP="00F02CE4">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XIX.</w:t>
      </w:r>
      <w:r w:rsidRPr="00C00ACE">
        <w:rPr>
          <w:rFonts w:ascii="Palatino Linotype" w:eastAsia="Palatino Linotype" w:hAnsi="Palatino Linotype" w:cs="Palatino Linotype"/>
          <w:i/>
          <w:sz w:val="22"/>
          <w:szCs w:val="22"/>
        </w:rPr>
        <w:t xml:space="preserve"> Las demás que le impongan las leyes, reglamentos o disposiciones administrativas aplicables.”</w:t>
      </w:r>
    </w:p>
    <w:p w14:paraId="23675782" w14:textId="77777777" w:rsidR="00F02CE4" w:rsidRPr="00C00ACE" w:rsidRDefault="00F02CE4" w:rsidP="00F02CE4">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En cuanto a las faltas administrativas graves, la Ley de Responsabilidades determina que serán consideradas las siguientes:</w:t>
      </w:r>
    </w:p>
    <w:p w14:paraId="4E94EE91" w14:textId="77777777" w:rsidR="00F02CE4" w:rsidRPr="00C00ACE" w:rsidRDefault="00F02CE4" w:rsidP="00F02CE4">
      <w:pPr>
        <w:pBdr>
          <w:top w:val="nil"/>
          <w:left w:val="nil"/>
          <w:bottom w:val="nil"/>
          <w:right w:val="nil"/>
          <w:between w:val="nil"/>
        </w:pBdr>
        <w:ind w:left="851" w:right="900"/>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 xml:space="preserve">“Artículo 52. Para efectos de la presente Ley, se consideran </w:t>
      </w:r>
      <w:r w:rsidRPr="00C00ACE">
        <w:rPr>
          <w:rFonts w:ascii="Palatino Linotype" w:eastAsia="Palatino Linotype" w:hAnsi="Palatino Linotype" w:cs="Palatino Linotype"/>
          <w:b/>
          <w:i/>
          <w:sz w:val="22"/>
          <w:szCs w:val="22"/>
          <w:u w:val="single"/>
        </w:rPr>
        <w:t>faltas administrativas graves</w:t>
      </w:r>
      <w:r w:rsidRPr="00C00ACE">
        <w:rPr>
          <w:rFonts w:ascii="Palatino Linotype" w:eastAsia="Palatino Linotype" w:hAnsi="Palatino Linotype" w:cs="Palatino Linotype"/>
          <w:b/>
          <w:i/>
          <w:sz w:val="22"/>
          <w:szCs w:val="22"/>
        </w:rPr>
        <w:t xml:space="preserve"> de los servidores públicos, mediante cualquier acto u omisión, las siguientes: </w:t>
      </w:r>
    </w:p>
    <w:p w14:paraId="4291106F"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I.</w:t>
      </w:r>
      <w:r w:rsidRPr="00C00ACE">
        <w:rPr>
          <w:rFonts w:ascii="Palatino Linotype" w:eastAsia="Palatino Linotype" w:hAnsi="Palatino Linotype" w:cs="Palatino Linotype"/>
          <w:i/>
          <w:sz w:val="22"/>
          <w:szCs w:val="22"/>
        </w:rPr>
        <w:t xml:space="preserve"> El cohecho.</w:t>
      </w:r>
    </w:p>
    <w:p w14:paraId="52305168"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II.</w:t>
      </w:r>
      <w:r w:rsidRPr="00C00ACE">
        <w:rPr>
          <w:rFonts w:ascii="Palatino Linotype" w:eastAsia="Palatino Linotype" w:hAnsi="Palatino Linotype" w:cs="Palatino Linotype"/>
          <w:i/>
          <w:sz w:val="22"/>
          <w:szCs w:val="22"/>
        </w:rPr>
        <w:t xml:space="preserve"> El peculado. </w:t>
      </w:r>
    </w:p>
    <w:p w14:paraId="22AFEFE1"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III</w:t>
      </w:r>
      <w:r w:rsidRPr="00C00ACE">
        <w:rPr>
          <w:rFonts w:ascii="Palatino Linotype" w:eastAsia="Palatino Linotype" w:hAnsi="Palatino Linotype" w:cs="Palatino Linotype"/>
          <w:i/>
          <w:sz w:val="22"/>
          <w:szCs w:val="22"/>
        </w:rPr>
        <w:t xml:space="preserve">. El desvío de recursos públicos. </w:t>
      </w:r>
    </w:p>
    <w:p w14:paraId="52925032"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IV</w:t>
      </w:r>
      <w:r w:rsidRPr="00C00ACE">
        <w:rPr>
          <w:rFonts w:ascii="Palatino Linotype" w:eastAsia="Palatino Linotype" w:hAnsi="Palatino Linotype" w:cs="Palatino Linotype"/>
          <w:i/>
          <w:sz w:val="22"/>
          <w:szCs w:val="22"/>
        </w:rPr>
        <w:t>. La utilización indebida de información</w:t>
      </w:r>
      <w:r w:rsidRPr="00C00ACE">
        <w:rPr>
          <w:rFonts w:ascii="Palatino Linotype" w:eastAsia="Palatino Linotype" w:hAnsi="Palatino Linotype" w:cs="Palatino Linotype"/>
          <w:b/>
          <w:i/>
          <w:sz w:val="22"/>
          <w:szCs w:val="22"/>
        </w:rPr>
        <w:t xml:space="preserve">. </w:t>
      </w:r>
    </w:p>
    <w:p w14:paraId="521B769D"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V</w:t>
      </w:r>
      <w:r w:rsidRPr="00C00ACE">
        <w:rPr>
          <w:rFonts w:ascii="Palatino Linotype" w:eastAsia="Palatino Linotype" w:hAnsi="Palatino Linotype" w:cs="Palatino Linotype"/>
          <w:i/>
          <w:sz w:val="22"/>
          <w:szCs w:val="22"/>
        </w:rPr>
        <w:t xml:space="preserve">. El abuso de funciones. </w:t>
      </w:r>
    </w:p>
    <w:p w14:paraId="02A246D2"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VI</w:t>
      </w:r>
      <w:r w:rsidRPr="00C00ACE">
        <w:rPr>
          <w:rFonts w:ascii="Palatino Linotype" w:eastAsia="Palatino Linotype" w:hAnsi="Palatino Linotype" w:cs="Palatino Linotype"/>
          <w:i/>
          <w:sz w:val="22"/>
          <w:szCs w:val="22"/>
        </w:rPr>
        <w:t xml:space="preserve">. Cometer o tolerar conductas de hostigamiento y acoso sexual. </w:t>
      </w:r>
    </w:p>
    <w:p w14:paraId="26839B57"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b/>
          <w:i/>
          <w:sz w:val="22"/>
          <w:szCs w:val="22"/>
        </w:rPr>
      </w:pPr>
      <w:r w:rsidRPr="00C00ACE">
        <w:rPr>
          <w:rFonts w:ascii="Palatino Linotype" w:eastAsia="Palatino Linotype" w:hAnsi="Palatino Linotype" w:cs="Palatino Linotype"/>
          <w:b/>
          <w:i/>
          <w:sz w:val="22"/>
          <w:szCs w:val="22"/>
        </w:rPr>
        <w:t>VII.</w:t>
      </w:r>
      <w:r w:rsidRPr="00C00ACE">
        <w:rPr>
          <w:rFonts w:ascii="Palatino Linotype" w:eastAsia="Palatino Linotype" w:hAnsi="Palatino Linotype" w:cs="Palatino Linotype"/>
          <w:i/>
          <w:sz w:val="22"/>
          <w:szCs w:val="22"/>
        </w:rPr>
        <w:t xml:space="preserve"> El actuar bajo conflicto de interés</w:t>
      </w:r>
      <w:r w:rsidRPr="00C00ACE">
        <w:rPr>
          <w:rFonts w:ascii="Palatino Linotype" w:eastAsia="Palatino Linotype" w:hAnsi="Palatino Linotype" w:cs="Palatino Linotype"/>
          <w:b/>
          <w:i/>
          <w:sz w:val="22"/>
          <w:szCs w:val="22"/>
        </w:rPr>
        <w:t xml:space="preserve">. </w:t>
      </w:r>
    </w:p>
    <w:p w14:paraId="21EB232A"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VIII</w:t>
      </w:r>
      <w:r w:rsidRPr="00C00ACE">
        <w:rPr>
          <w:rFonts w:ascii="Palatino Linotype" w:eastAsia="Palatino Linotype" w:hAnsi="Palatino Linotype" w:cs="Palatino Linotype"/>
          <w:i/>
          <w:sz w:val="22"/>
          <w:szCs w:val="22"/>
        </w:rPr>
        <w:t xml:space="preserve">. La contratación indebida. </w:t>
      </w:r>
    </w:p>
    <w:p w14:paraId="54B0C278"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IX.</w:t>
      </w:r>
      <w:r w:rsidRPr="00C00ACE">
        <w:rPr>
          <w:rFonts w:ascii="Palatino Linotype" w:eastAsia="Palatino Linotype" w:hAnsi="Palatino Linotype" w:cs="Palatino Linotype"/>
          <w:i/>
          <w:sz w:val="22"/>
          <w:szCs w:val="22"/>
        </w:rPr>
        <w:t xml:space="preserve"> El enriquecimiento oculto u ocultamiento de conflicto de interés. </w:t>
      </w:r>
    </w:p>
    <w:p w14:paraId="1C2168FC"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w:t>
      </w:r>
      <w:r w:rsidRPr="00C00ACE">
        <w:rPr>
          <w:rFonts w:ascii="Palatino Linotype" w:eastAsia="Palatino Linotype" w:hAnsi="Palatino Linotype" w:cs="Palatino Linotype"/>
          <w:i/>
          <w:sz w:val="22"/>
          <w:szCs w:val="22"/>
        </w:rPr>
        <w:t xml:space="preserve">. El tráfico de influencias. </w:t>
      </w:r>
    </w:p>
    <w:p w14:paraId="48C55AE5"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XI.</w:t>
      </w:r>
      <w:r w:rsidRPr="00C00ACE">
        <w:rPr>
          <w:rFonts w:ascii="Palatino Linotype" w:eastAsia="Palatino Linotype" w:hAnsi="Palatino Linotype" w:cs="Palatino Linotype"/>
          <w:i/>
          <w:sz w:val="22"/>
          <w:szCs w:val="22"/>
        </w:rPr>
        <w:t xml:space="preserve"> El encubrimiento. </w:t>
      </w:r>
    </w:p>
    <w:p w14:paraId="563CEABE"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XII.</w:t>
      </w:r>
      <w:r w:rsidRPr="00C00ACE">
        <w:rPr>
          <w:rFonts w:ascii="Palatino Linotype" w:eastAsia="Palatino Linotype" w:hAnsi="Palatino Linotype" w:cs="Palatino Linotype"/>
          <w:i/>
          <w:sz w:val="22"/>
          <w:szCs w:val="22"/>
        </w:rPr>
        <w:t xml:space="preserve"> El desacato. </w:t>
      </w:r>
    </w:p>
    <w:p w14:paraId="7A0655E9" w14:textId="77777777" w:rsidR="00F02CE4" w:rsidRPr="00C00ACE" w:rsidRDefault="00F02CE4" w:rsidP="00F02CE4">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XIII.</w:t>
      </w:r>
      <w:r w:rsidRPr="00C00ACE">
        <w:rPr>
          <w:rFonts w:ascii="Palatino Linotype" w:eastAsia="Palatino Linotype" w:hAnsi="Palatino Linotype" w:cs="Palatino Linotype"/>
          <w:i/>
          <w:sz w:val="22"/>
          <w:szCs w:val="22"/>
        </w:rPr>
        <w:t xml:space="preserve"> La obstrucción de la Justicia.”</w:t>
      </w:r>
    </w:p>
    <w:p w14:paraId="601AB225" w14:textId="77777777" w:rsidR="00F02CE4" w:rsidRPr="00C00ACE" w:rsidRDefault="00F02CE4" w:rsidP="00285041">
      <w:pPr>
        <w:spacing w:line="360" w:lineRule="auto"/>
        <w:jc w:val="both"/>
        <w:rPr>
          <w:rFonts w:ascii="Palatino Linotype" w:eastAsia="Palatino Linotype" w:hAnsi="Palatino Linotype"/>
          <w:sz w:val="22"/>
        </w:rPr>
      </w:pPr>
    </w:p>
    <w:p w14:paraId="7B3121DC" w14:textId="77777777" w:rsidR="00285041" w:rsidRPr="00C00ACE" w:rsidRDefault="00285041" w:rsidP="00285041">
      <w:pPr>
        <w:spacing w:line="360" w:lineRule="auto"/>
        <w:jc w:val="both"/>
        <w:rPr>
          <w:rFonts w:ascii="Palatino Linotype" w:eastAsia="Palatino Linotype" w:hAnsi="Palatino Linotype"/>
          <w:sz w:val="22"/>
        </w:rPr>
      </w:pPr>
      <w:r w:rsidRPr="00C00ACE">
        <w:rPr>
          <w:rFonts w:ascii="Palatino Linotype" w:eastAsia="Palatino Linotype" w:hAnsi="Palatino Linotype"/>
          <w:sz w:val="22"/>
        </w:rPr>
        <w:t xml:space="preserve">En ese sentido es importante, referir que la Ley de Responsabilidades Administrativas del Estado de México y Municipios, señala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w:t>
      </w:r>
      <w:r w:rsidRPr="00C00ACE">
        <w:rPr>
          <w:rFonts w:ascii="Palatino Linotype" w:eastAsia="Palatino Linotype" w:hAnsi="Palatino Linotype"/>
          <w:sz w:val="22"/>
        </w:rPr>
        <w:lastRenderedPageBreak/>
        <w:t>cuidado de documentación, la rendición de cuentas sobre el ejercicio de sus funciones, entre otras.</w:t>
      </w:r>
    </w:p>
    <w:p w14:paraId="26ECEEC2" w14:textId="77777777" w:rsidR="00285041" w:rsidRPr="00C00ACE" w:rsidRDefault="00285041" w:rsidP="00285041">
      <w:pPr>
        <w:spacing w:line="360" w:lineRule="auto"/>
        <w:ind w:right="49"/>
        <w:jc w:val="both"/>
        <w:rPr>
          <w:rFonts w:ascii="Palatino Linotype" w:eastAsia="Palatino Linotype" w:hAnsi="Palatino Linotype" w:cs="Palatino Linotype"/>
          <w:i/>
          <w:sz w:val="22"/>
        </w:rPr>
      </w:pPr>
    </w:p>
    <w:p w14:paraId="6A904970" w14:textId="77777777" w:rsidR="00285041" w:rsidRPr="00C00ACE" w:rsidRDefault="00285041" w:rsidP="00285041">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 xml:space="preserve">Como se logra observar, </w:t>
      </w:r>
      <w:r w:rsidRPr="00C00ACE">
        <w:rPr>
          <w:rFonts w:ascii="Palatino Linotype" w:eastAsia="Palatino Linotype" w:hAnsi="Palatino Linotype" w:cs="Palatino Linotype"/>
          <w:b/>
          <w:sz w:val="22"/>
          <w:u w:val="single"/>
        </w:rPr>
        <w:t>las faltas no graves,</w:t>
      </w:r>
      <w:r w:rsidRPr="00C00ACE">
        <w:rPr>
          <w:rFonts w:ascii="Palatino Linotype" w:eastAsia="Palatino Linotype" w:hAnsi="Palatino Linotype" w:cs="Palatino Linotype"/>
          <w:sz w:val="22"/>
        </w:rPr>
        <w:t xml:space="preserve"> son aquellas que cometen los servidores públicos por incumplimiento a sus funciones, o bien, a sus obligaciones y, por lo tanto, las consecuencias recaen directamente en contra de este, al no haber una afectación a terceros (</w:t>
      </w:r>
      <w:r w:rsidRPr="00C00ACE">
        <w:rPr>
          <w:rFonts w:ascii="Palatino Linotype" w:eastAsia="Palatino Linotype" w:hAnsi="Palatino Linotype" w:cs="Palatino Linotype"/>
          <w:i/>
          <w:sz w:val="22"/>
        </w:rPr>
        <w:t>personas físicas, morales, instituciones públicas u otros trabajadores</w:t>
      </w:r>
      <w:r w:rsidRPr="00C00ACE">
        <w:rPr>
          <w:rFonts w:ascii="Palatino Linotype" w:eastAsia="Palatino Linotype" w:hAnsi="Palatino Linotype" w:cs="Palatino Linotype"/>
          <w:sz w:val="22"/>
        </w:rPr>
        <w:t>), ni haber un detrimento en el erario.</w:t>
      </w:r>
    </w:p>
    <w:p w14:paraId="3C5E3A09" w14:textId="77777777" w:rsidR="00285041" w:rsidRPr="00C00ACE" w:rsidRDefault="00285041" w:rsidP="00285041">
      <w:pPr>
        <w:spacing w:line="360" w:lineRule="auto"/>
        <w:jc w:val="both"/>
        <w:rPr>
          <w:rFonts w:ascii="Palatino Linotype" w:eastAsia="Palatino Linotype" w:hAnsi="Palatino Linotype" w:cs="Palatino Linotype"/>
          <w:sz w:val="22"/>
        </w:rPr>
      </w:pPr>
    </w:p>
    <w:p w14:paraId="05E537C6" w14:textId="77777777" w:rsidR="00285041" w:rsidRPr="00C00ACE" w:rsidRDefault="00285041" w:rsidP="00285041">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b/>
          <w:sz w:val="22"/>
        </w:rPr>
        <w:t xml:space="preserve">Así, se puede advertir que dichas faltas, no tienen una trascendencia social, </w:t>
      </w:r>
      <w:r w:rsidRPr="00C00ACE">
        <w:rPr>
          <w:rFonts w:ascii="Palatino Linotype" w:eastAsia="Palatino Linotype" w:hAnsi="Palatino Linotype" w:cs="Palatino Linotype"/>
          <w:sz w:val="22"/>
        </w:rPr>
        <w:t>pues no existe un daño externo, sino que únicamente le atañe al servidor público en cuestión.</w:t>
      </w:r>
    </w:p>
    <w:p w14:paraId="45996BDD" w14:textId="77777777" w:rsidR="00285041" w:rsidRPr="00C00ACE" w:rsidRDefault="00285041" w:rsidP="00285041">
      <w:pPr>
        <w:spacing w:line="360" w:lineRule="auto"/>
        <w:jc w:val="both"/>
        <w:rPr>
          <w:rFonts w:ascii="Palatino Linotype" w:eastAsia="Palatino Linotype" w:hAnsi="Palatino Linotype" w:cs="Palatino Linotype"/>
          <w:sz w:val="22"/>
        </w:rPr>
      </w:pPr>
    </w:p>
    <w:p w14:paraId="29CBDB52" w14:textId="77777777" w:rsidR="00285041" w:rsidRPr="00C00ACE" w:rsidRDefault="00285041" w:rsidP="00285041">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 xml:space="preserve">Por lo </w:t>
      </w:r>
      <w:r w:rsidR="00F02CE4" w:rsidRPr="00C00ACE">
        <w:rPr>
          <w:rFonts w:ascii="Palatino Linotype" w:eastAsia="Palatino Linotype" w:hAnsi="Palatino Linotype" w:cs="Palatino Linotype"/>
          <w:sz w:val="22"/>
        </w:rPr>
        <w:t>tanto,</w:t>
      </w:r>
      <w:r w:rsidRPr="00C00ACE">
        <w:rPr>
          <w:rFonts w:ascii="Palatino Linotype" w:eastAsia="Palatino Linotype" w:hAnsi="Palatino Linotype" w:cs="Palatino Linotype"/>
          <w:sz w:val="22"/>
        </w:rPr>
        <w:t xml:space="preserve"> se despre</w:t>
      </w:r>
      <w:r w:rsidR="00F02CE4" w:rsidRPr="00C00ACE">
        <w:rPr>
          <w:rFonts w:ascii="Palatino Linotype" w:eastAsia="Palatino Linotype" w:hAnsi="Palatino Linotype" w:cs="Palatino Linotype"/>
          <w:sz w:val="22"/>
        </w:rPr>
        <w:t xml:space="preserve">nde que dar a conocer el nombre, cargo y cualquier otra información que haga identificable a </w:t>
      </w:r>
      <w:r w:rsidRPr="00C00ACE">
        <w:rPr>
          <w:rFonts w:ascii="Palatino Linotype" w:eastAsia="Palatino Linotype" w:hAnsi="Palatino Linotype" w:cs="Palatino Linotype"/>
          <w:sz w:val="22"/>
        </w:rPr>
        <w:t xml:space="preserve">servidores públicos </w:t>
      </w:r>
      <w:r w:rsidR="00F02CE4" w:rsidRPr="00C00ACE">
        <w:rPr>
          <w:rFonts w:ascii="Palatino Linotype" w:eastAsia="Palatino Linotype" w:hAnsi="Palatino Linotype" w:cs="Palatino Linotype"/>
          <w:sz w:val="22"/>
        </w:rPr>
        <w:t>relacionados con</w:t>
      </w:r>
      <w:r w:rsidRPr="00C00ACE">
        <w:rPr>
          <w:rFonts w:ascii="Palatino Linotype" w:eastAsia="Palatino Linotype" w:hAnsi="Palatino Linotype" w:cs="Palatino Linotype"/>
          <w:sz w:val="22"/>
        </w:rPr>
        <w:t xml:space="preserve"> un procedimiento de responsabilidad administrativa no grave, constituye información confidencial que afecta su esfera privada, puesto que podría generar una percepción negativa de estos, ocasionando un perjuicio en su </w:t>
      </w:r>
      <w:r w:rsidRPr="00C00ACE">
        <w:rPr>
          <w:rFonts w:ascii="Palatino Linotype" w:eastAsia="Palatino Linotype" w:hAnsi="Palatino Linotype" w:cs="Palatino Linotype"/>
          <w:b/>
          <w:sz w:val="22"/>
        </w:rPr>
        <w:t>honor, intimidad y buena imagen</w:t>
      </w:r>
      <w:r w:rsidRPr="00C00ACE">
        <w:rPr>
          <w:rFonts w:ascii="Palatino Linotype" w:eastAsia="Palatino Linotype" w:hAnsi="Palatino Linotype" w:cs="Palatino Linotype"/>
          <w:sz w:val="22"/>
        </w:rPr>
        <w:t>, pues la afectación es para el propio servidor público, situación que no afecta a terceros.</w:t>
      </w:r>
    </w:p>
    <w:p w14:paraId="0CA9B10F" w14:textId="77777777" w:rsidR="00285041" w:rsidRPr="00C00ACE" w:rsidRDefault="00285041" w:rsidP="00285041">
      <w:pPr>
        <w:spacing w:line="360" w:lineRule="auto"/>
        <w:jc w:val="both"/>
        <w:rPr>
          <w:rFonts w:ascii="Palatino Linotype" w:eastAsia="Palatino Linotype" w:hAnsi="Palatino Linotype" w:cs="Palatino Linotype"/>
          <w:sz w:val="22"/>
        </w:rPr>
      </w:pPr>
    </w:p>
    <w:p w14:paraId="64FA3EE0" w14:textId="77777777" w:rsidR="00FD4B08" w:rsidRPr="00C00ACE" w:rsidRDefault="00FD4B08" w:rsidP="00FD4B08">
      <w:pPr>
        <w:tabs>
          <w:tab w:val="left" w:pos="3962"/>
        </w:tabs>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 xml:space="preserve">Por lo que hace al </w:t>
      </w:r>
      <w:r w:rsidRPr="00C00ACE">
        <w:rPr>
          <w:rFonts w:ascii="Palatino Linotype" w:eastAsia="Palatino Linotype" w:hAnsi="Palatino Linotype" w:cs="Palatino Linotype"/>
          <w:b/>
          <w:sz w:val="22"/>
        </w:rPr>
        <w:t>derecho al honor</w:t>
      </w:r>
      <w:r w:rsidRPr="00C00ACE">
        <w:rPr>
          <w:rFonts w:ascii="Palatino Linotype" w:eastAsia="Palatino Linotype" w:hAnsi="Palatino Linotype" w:cs="Palatino Linotype"/>
          <w:sz w:val="22"/>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6F4AFA94" w14:textId="77777777" w:rsidR="00FD4B08" w:rsidRPr="00C00ACE" w:rsidRDefault="00FD4B08" w:rsidP="00FD4B08">
      <w:pPr>
        <w:tabs>
          <w:tab w:val="left" w:pos="3962"/>
        </w:tabs>
        <w:spacing w:line="360" w:lineRule="auto"/>
        <w:jc w:val="both"/>
        <w:rPr>
          <w:rFonts w:ascii="Palatino Linotype" w:eastAsia="Palatino Linotype" w:hAnsi="Palatino Linotype" w:cs="Palatino Linotype"/>
          <w:sz w:val="22"/>
        </w:rPr>
      </w:pPr>
    </w:p>
    <w:p w14:paraId="2A7BEC7D" w14:textId="77777777" w:rsidR="00FD4B08" w:rsidRPr="00C00ACE" w:rsidRDefault="00FD4B08" w:rsidP="00FD4B08">
      <w:pPr>
        <w:spacing w:line="276" w:lineRule="auto"/>
        <w:ind w:left="851" w:right="902"/>
        <w:jc w:val="both"/>
        <w:rPr>
          <w:rFonts w:ascii="Palatino Linotype" w:eastAsia="Palatino Linotype" w:hAnsi="Palatino Linotype" w:cs="Palatino Linotype"/>
          <w:i/>
          <w:sz w:val="22"/>
        </w:rPr>
      </w:pPr>
      <w:r w:rsidRPr="00C00ACE">
        <w:rPr>
          <w:rFonts w:ascii="Palatino Linotype" w:eastAsia="Palatino Linotype" w:hAnsi="Palatino Linotype" w:cs="Palatino Linotype"/>
          <w:b/>
          <w:i/>
          <w:sz w:val="22"/>
        </w:rPr>
        <w:t xml:space="preserve">“DERECHO FUNDAMENTAL AL HONOR. SU DIMENSIÓN SUBJETIVA Y OBJETIVA. </w:t>
      </w:r>
      <w:r w:rsidRPr="00C00ACE">
        <w:rPr>
          <w:rFonts w:ascii="Palatino Linotype" w:eastAsia="Palatino Linotype" w:hAnsi="Palatino Linotype" w:cs="Palatino Linotype"/>
          <w:i/>
          <w:sz w:val="22"/>
        </w:rPr>
        <w:t xml:space="preserve">A juicio de esta Primera Sala de la Suprema Corte de Justicia de la Nación, es posible definir al honor como el </w:t>
      </w:r>
      <w:r w:rsidRPr="00C00ACE">
        <w:rPr>
          <w:rFonts w:ascii="Palatino Linotype" w:eastAsia="Palatino Linotype" w:hAnsi="Palatino Linotype" w:cs="Palatino Linotype"/>
          <w:b/>
          <w:i/>
          <w:sz w:val="22"/>
        </w:rPr>
        <w:t xml:space="preserve">concepto que la </w:t>
      </w:r>
      <w:r w:rsidRPr="00C00ACE">
        <w:rPr>
          <w:rFonts w:ascii="Palatino Linotype" w:eastAsia="Palatino Linotype" w:hAnsi="Palatino Linotype" w:cs="Palatino Linotype"/>
          <w:b/>
          <w:i/>
          <w:sz w:val="22"/>
        </w:rPr>
        <w:lastRenderedPageBreak/>
        <w:t>persona tiene de sí misma o que los demás se han formado de ella, en virtud de su proceder o de la expresión de su calidad ética y social</w:t>
      </w:r>
      <w:r w:rsidRPr="00C00ACE">
        <w:rPr>
          <w:rFonts w:ascii="Palatino Linotype" w:eastAsia="Palatino Linotype" w:hAnsi="Palatino Linotype" w:cs="Palatino Linotype"/>
          <w:i/>
          <w:sz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6F2C4076" w14:textId="77777777" w:rsidR="00FD4B08" w:rsidRPr="00C00ACE" w:rsidRDefault="00FD4B08" w:rsidP="00FD4B08">
      <w:pPr>
        <w:spacing w:line="276" w:lineRule="auto"/>
        <w:ind w:left="851" w:right="902"/>
        <w:jc w:val="both"/>
        <w:rPr>
          <w:rFonts w:ascii="Palatino Linotype" w:eastAsia="Palatino Linotype" w:hAnsi="Palatino Linotype" w:cs="Palatino Linotype"/>
          <w:sz w:val="22"/>
        </w:rPr>
      </w:pPr>
    </w:p>
    <w:p w14:paraId="0FB1F2E5" w14:textId="77777777" w:rsidR="00FD4B08" w:rsidRPr="00C00ACE" w:rsidRDefault="00FD4B08" w:rsidP="00FD4B08">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 xml:space="preserve">Como se observa, el honor es el concepto que la persona tiene de sí misma o que los demás se han formado de ella, en virtud de su proceder o de la expresión de su calidad ética y social. </w:t>
      </w:r>
    </w:p>
    <w:p w14:paraId="38BFF0C4" w14:textId="77777777" w:rsidR="00FD4B08" w:rsidRPr="00C00ACE" w:rsidRDefault="00FD4B08" w:rsidP="00FD4B08">
      <w:pPr>
        <w:spacing w:line="360" w:lineRule="auto"/>
        <w:jc w:val="both"/>
        <w:rPr>
          <w:rFonts w:ascii="Palatino Linotype" w:eastAsia="Palatino Linotype" w:hAnsi="Palatino Linotype" w:cs="Palatino Linotype"/>
          <w:sz w:val="22"/>
        </w:rPr>
      </w:pPr>
    </w:p>
    <w:p w14:paraId="3684642C" w14:textId="77777777" w:rsidR="00FD4B08" w:rsidRPr="00C00ACE" w:rsidRDefault="00FD4B08" w:rsidP="00FD4B08">
      <w:pPr>
        <w:spacing w:line="360" w:lineRule="auto"/>
        <w:jc w:val="both"/>
        <w:rPr>
          <w:rFonts w:ascii="Palatino Linotype" w:eastAsia="Palatino Linotype" w:hAnsi="Palatino Linotype" w:cs="Palatino Linotype"/>
          <w:b/>
          <w:sz w:val="22"/>
        </w:rPr>
      </w:pPr>
      <w:r w:rsidRPr="00C00ACE">
        <w:rPr>
          <w:rFonts w:ascii="Palatino Linotype" w:eastAsia="Palatino Linotype" w:hAnsi="Palatino Linotype" w:cs="Palatino Linotype"/>
          <w:sz w:val="22"/>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C00ACE">
        <w:rPr>
          <w:rFonts w:ascii="Palatino Linotype" w:eastAsia="Palatino Linotype" w:hAnsi="Palatino Linotype" w:cs="Palatino Linotype"/>
          <w:b/>
          <w:sz w:val="22"/>
        </w:rPr>
        <w:t>En el aspecto objetivo, el honor es lesionado por todo aquello que afecta a la reputación que la persona merece.</w:t>
      </w:r>
    </w:p>
    <w:p w14:paraId="1003C514" w14:textId="77777777" w:rsidR="00FD4B08" w:rsidRPr="00C00ACE" w:rsidRDefault="00FD4B08" w:rsidP="00FD4B08">
      <w:pPr>
        <w:spacing w:line="360" w:lineRule="auto"/>
        <w:jc w:val="both"/>
        <w:rPr>
          <w:rFonts w:ascii="Palatino Linotype" w:eastAsia="Palatino Linotype" w:hAnsi="Palatino Linotype" w:cs="Palatino Linotype"/>
          <w:sz w:val="22"/>
        </w:rPr>
      </w:pPr>
    </w:p>
    <w:p w14:paraId="7BAC429D" w14:textId="77777777" w:rsidR="00FD4B08" w:rsidRPr="00C00ACE" w:rsidRDefault="00FD4B08" w:rsidP="00FD4B08">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lastRenderedPageBreak/>
        <w:t>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1A8483A3" w14:textId="77777777" w:rsidR="00FD4B08" w:rsidRPr="00C00ACE" w:rsidRDefault="00FD4B08" w:rsidP="00FD4B08">
      <w:pPr>
        <w:spacing w:line="360" w:lineRule="auto"/>
        <w:jc w:val="both"/>
        <w:rPr>
          <w:rFonts w:ascii="Palatino Linotype" w:eastAsia="Palatino Linotype" w:hAnsi="Palatino Linotype" w:cs="Palatino Linotype"/>
          <w:sz w:val="22"/>
        </w:rPr>
      </w:pPr>
    </w:p>
    <w:p w14:paraId="68BACEC4" w14:textId="77777777" w:rsidR="00FD4B08" w:rsidRPr="00C00ACE" w:rsidRDefault="00FD4B08" w:rsidP="00FD4B08">
      <w:pPr>
        <w:tabs>
          <w:tab w:val="left" w:pos="7938"/>
        </w:tabs>
        <w:spacing w:line="276" w:lineRule="auto"/>
        <w:ind w:left="851" w:right="902"/>
        <w:jc w:val="both"/>
        <w:rPr>
          <w:rFonts w:ascii="Palatino Linotype" w:eastAsia="Palatino Linotype" w:hAnsi="Palatino Linotype" w:cs="Palatino Linotype"/>
          <w:i/>
          <w:sz w:val="22"/>
        </w:rPr>
      </w:pPr>
      <w:r w:rsidRPr="00C00ACE">
        <w:rPr>
          <w:rFonts w:ascii="Palatino Linotype" w:eastAsia="Palatino Linotype" w:hAnsi="Palatino Linotype" w:cs="Palatino Linotype"/>
          <w:i/>
          <w:sz w:val="22"/>
        </w:rPr>
        <w:t>“</w:t>
      </w:r>
      <w:r w:rsidRPr="00C00ACE">
        <w:rPr>
          <w:rFonts w:ascii="Palatino Linotype" w:eastAsia="Palatino Linotype" w:hAnsi="Palatino Linotype" w:cs="Palatino Linotype"/>
          <w:b/>
          <w:i/>
          <w:sz w:val="22"/>
        </w:rPr>
        <w:t xml:space="preserve">DERECHOS AL HONOR, A LA INTIMIDAD Y A LA PROPIA IMAGEN. CONSTITUYEN DERECHOS HUMANOS QUE SE PROTEGEN A TRAVÉS DEL ACTUAL MARCO CONSTITUCIONAL. </w:t>
      </w:r>
      <w:r w:rsidRPr="00C00ACE">
        <w:rPr>
          <w:rFonts w:ascii="Palatino Linotype" w:eastAsia="Palatino Linotype" w:hAnsi="Palatino Linotype" w:cs="Palatino Linotype"/>
          <w:i/>
          <w:sz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C00ACE">
        <w:rPr>
          <w:rFonts w:ascii="Palatino Linotype" w:eastAsia="Palatino Linotype" w:hAnsi="Palatino Linotype" w:cs="Palatino Linotype"/>
          <w:i/>
          <w:sz w:val="22"/>
        </w:rPr>
        <w:t>personae</w:t>
      </w:r>
      <w:proofErr w:type="spellEnd"/>
      <w:r w:rsidRPr="00C00ACE">
        <w:rPr>
          <w:rFonts w:ascii="Palatino Linotype" w:eastAsia="Palatino Linotype" w:hAnsi="Palatino Linotype" w:cs="Palatino Linotype"/>
          <w:i/>
          <w:sz w:val="22"/>
        </w:rPr>
        <w:t xml:space="preserv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w:t>
      </w:r>
      <w:r w:rsidRPr="00C00ACE">
        <w:rPr>
          <w:rFonts w:ascii="Palatino Linotype" w:eastAsia="Palatino Linotype" w:hAnsi="Palatino Linotype" w:cs="Palatino Linotype"/>
          <w:i/>
          <w:sz w:val="22"/>
        </w:rPr>
        <w:lastRenderedPageBreak/>
        <w:t>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14:paraId="619B2B23" w14:textId="77777777" w:rsidR="00FD4B08" w:rsidRPr="00C00ACE" w:rsidRDefault="00FD4B08" w:rsidP="00285041">
      <w:pPr>
        <w:spacing w:line="360" w:lineRule="auto"/>
        <w:jc w:val="both"/>
        <w:rPr>
          <w:rFonts w:ascii="Palatino Linotype" w:eastAsia="Palatino Linotype" w:hAnsi="Palatino Linotype" w:cs="Palatino Linotype"/>
          <w:sz w:val="22"/>
        </w:rPr>
      </w:pPr>
    </w:p>
    <w:p w14:paraId="18D2DA2C" w14:textId="77777777" w:rsidR="00F02CE4" w:rsidRPr="00C00ACE" w:rsidRDefault="00F02CE4" w:rsidP="00F02CE4">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De esta manera</w:t>
      </w:r>
      <w:r w:rsidR="00285041" w:rsidRPr="00C00ACE">
        <w:rPr>
          <w:rFonts w:ascii="Palatino Linotype" w:eastAsia="Palatino Linotype" w:hAnsi="Palatino Linotype" w:cs="Palatino Linotype"/>
          <w:sz w:val="22"/>
        </w:rPr>
        <w:t xml:space="preserve">, </w:t>
      </w:r>
      <w:r w:rsidR="00FD4B08" w:rsidRPr="00C00ACE">
        <w:rPr>
          <w:rFonts w:ascii="Palatino Linotype" w:eastAsia="Palatino Linotype" w:hAnsi="Palatino Linotype" w:cs="Palatino Linotype"/>
          <w:sz w:val="22"/>
        </w:rPr>
        <w:t xml:space="preserve">se insiste en que </w:t>
      </w:r>
      <w:r w:rsidR="00285041" w:rsidRPr="00C00ACE">
        <w:rPr>
          <w:rFonts w:ascii="Palatino Linotype" w:eastAsia="Palatino Linotype" w:hAnsi="Palatino Linotype" w:cs="Palatino Linotype"/>
          <w:sz w:val="22"/>
        </w:rPr>
        <w:t>dar a conocer el nombre y cargo del servidor público</w:t>
      </w:r>
      <w:r w:rsidR="00161453" w:rsidRPr="00C00ACE">
        <w:rPr>
          <w:rFonts w:ascii="Palatino Linotype" w:eastAsia="Palatino Linotype" w:hAnsi="Palatino Linotype" w:cs="Palatino Linotype"/>
          <w:sz w:val="22"/>
        </w:rPr>
        <w:t xml:space="preserve"> que fue sujeto a un procedimiento administrativo derivado de una </w:t>
      </w:r>
      <w:r w:rsidR="00285041" w:rsidRPr="00C00ACE">
        <w:rPr>
          <w:rFonts w:ascii="Palatino Linotype" w:eastAsia="Palatino Linotype" w:hAnsi="Palatino Linotype" w:cs="Palatino Linotype"/>
          <w:sz w:val="22"/>
        </w:rPr>
        <w:t xml:space="preserve">falta administrativa no grave, la cual no causa una afectación a otros, pues como se precisó en párrafos anteriores, se trata de incumplimientos a sus funciones u obligaciones, podría generar un juicio </w:t>
      </w:r>
      <w:r w:rsidR="00285041" w:rsidRPr="00C00ACE">
        <w:rPr>
          <w:rFonts w:ascii="Palatino Linotype" w:eastAsia="Palatino Linotype" w:hAnsi="Palatino Linotype" w:cs="Palatino Linotype"/>
          <w:i/>
          <w:sz w:val="22"/>
        </w:rPr>
        <w:t>a priori</w:t>
      </w:r>
      <w:r w:rsidR="00285041" w:rsidRPr="00C00ACE">
        <w:rPr>
          <w:rFonts w:ascii="Palatino Linotype" w:eastAsia="Palatino Linotype" w:hAnsi="Palatino Linotype" w:cs="Palatino Linotype"/>
          <w:sz w:val="22"/>
        </w:rPr>
        <w:t xml:space="preserve"> por parte de la sociedad, afectando su prestigio y su buen nombre, pues esto podría causar una mala percepción del servidor público frente a la sociedad, </w:t>
      </w:r>
      <w:r w:rsidR="00285041" w:rsidRPr="00C00ACE">
        <w:rPr>
          <w:rFonts w:ascii="Palatino Linotype" w:eastAsia="Palatino Linotype" w:hAnsi="Palatino Linotype" w:cs="Palatino Linotype"/>
          <w:b/>
          <w:sz w:val="22"/>
        </w:rPr>
        <w:t>lo cual daña su vida privada y profesional,</w:t>
      </w:r>
      <w:r w:rsidR="00285041" w:rsidRPr="00C00ACE">
        <w:rPr>
          <w:rFonts w:ascii="Palatino Linotype" w:eastAsia="Palatino Linotype" w:hAnsi="Palatino Linotype" w:cs="Palatino Linotype"/>
          <w:sz w:val="22"/>
        </w:rPr>
        <w:t xml:space="preserve"> mismas q</w:t>
      </w:r>
      <w:r w:rsidRPr="00C00ACE">
        <w:rPr>
          <w:rFonts w:ascii="Palatino Linotype" w:eastAsia="Palatino Linotype" w:hAnsi="Palatino Linotype" w:cs="Palatino Linotype"/>
          <w:sz w:val="22"/>
        </w:rPr>
        <w:t>ue forman parte de su intimidad.</w:t>
      </w:r>
    </w:p>
    <w:p w14:paraId="6C089882" w14:textId="77777777" w:rsidR="00F02CE4" w:rsidRPr="00C00ACE" w:rsidRDefault="00F02CE4" w:rsidP="00F02CE4">
      <w:pPr>
        <w:spacing w:line="360" w:lineRule="auto"/>
        <w:jc w:val="both"/>
        <w:rPr>
          <w:rFonts w:ascii="Palatino Linotype" w:eastAsia="Palatino Linotype" w:hAnsi="Palatino Linotype" w:cs="Palatino Linotype"/>
          <w:sz w:val="22"/>
        </w:rPr>
      </w:pPr>
    </w:p>
    <w:p w14:paraId="20CF9ADB" w14:textId="77777777" w:rsidR="00285041" w:rsidRPr="00C00ACE" w:rsidRDefault="00285041" w:rsidP="00285041">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 xml:space="preserve">Luego entonces, conforme a los preceptos legales antes citados </w:t>
      </w:r>
      <w:r w:rsidRPr="00C00ACE">
        <w:rPr>
          <w:rFonts w:ascii="Palatino Linotype" w:eastAsia="Palatino Linotype" w:hAnsi="Palatino Linotype" w:cs="Palatino Linotype"/>
          <w:b/>
          <w:sz w:val="22"/>
        </w:rPr>
        <w:t xml:space="preserve">el expediente derivado </w:t>
      </w:r>
      <w:r w:rsidR="00F02CE4" w:rsidRPr="00C00ACE">
        <w:rPr>
          <w:rFonts w:ascii="Palatino Linotype" w:eastAsia="Palatino Linotype" w:hAnsi="Palatino Linotype" w:cs="Palatino Linotype"/>
          <w:b/>
          <w:sz w:val="22"/>
        </w:rPr>
        <w:t>de un procedimiento administrativo por una falta administrativa no grave concluido</w:t>
      </w:r>
      <w:r w:rsidRPr="00C00ACE">
        <w:rPr>
          <w:rFonts w:ascii="Palatino Linotype" w:eastAsia="Palatino Linotype" w:hAnsi="Palatino Linotype" w:cs="Palatino Linotype"/>
          <w:b/>
          <w:sz w:val="22"/>
        </w:rPr>
        <w:t xml:space="preserve"> de manera absolutoria o condenatoria, será de acceso público en versión pública</w:t>
      </w:r>
      <w:r w:rsidRPr="00C00ACE">
        <w:rPr>
          <w:rFonts w:ascii="Palatino Linotype" w:eastAsia="Palatino Linotype" w:hAnsi="Palatino Linotype" w:cs="Palatino Linotype"/>
          <w:sz w:val="22"/>
        </w:rPr>
        <w:t>, clasificando como información confidencial el nombre, cargo, y</w:t>
      </w:r>
      <w:r w:rsidR="00F02CE4" w:rsidRPr="00C00ACE">
        <w:t xml:space="preserve"> </w:t>
      </w:r>
      <w:r w:rsidR="00F02CE4" w:rsidRPr="00C00ACE">
        <w:rPr>
          <w:rFonts w:ascii="Palatino Linotype" w:eastAsia="Palatino Linotype" w:hAnsi="Palatino Linotype" w:cs="Palatino Linotype"/>
          <w:sz w:val="22"/>
        </w:rPr>
        <w:t>cualquier dato que haga identificable al servidor público, p</w:t>
      </w:r>
      <w:r w:rsidRPr="00C00ACE">
        <w:rPr>
          <w:rFonts w:ascii="Palatino Linotype" w:eastAsia="Palatino Linotype" w:hAnsi="Palatino Linotype" w:cs="Palatino Linotype"/>
          <w:sz w:val="22"/>
        </w:rPr>
        <w:t>ara lo cual debe ser emitido</w:t>
      </w:r>
      <w:r w:rsidR="00F02CE4" w:rsidRPr="00C00ACE">
        <w:rPr>
          <w:rFonts w:ascii="Palatino Linotype" w:eastAsia="Palatino Linotype" w:hAnsi="Palatino Linotype" w:cs="Palatino Linotype"/>
          <w:sz w:val="22"/>
        </w:rPr>
        <w:t xml:space="preserve"> el acuerdo</w:t>
      </w:r>
      <w:r w:rsidRPr="00C00ACE">
        <w:rPr>
          <w:rFonts w:ascii="Palatino Linotype" w:eastAsia="Palatino Linotype" w:hAnsi="Palatino Linotype" w:cs="Palatino Linotype"/>
          <w:sz w:val="22"/>
        </w:rPr>
        <w:t xml:space="preserve"> por el Comité de Tr</w:t>
      </w:r>
      <w:r w:rsidR="00663BD7" w:rsidRPr="00C00ACE">
        <w:rPr>
          <w:rFonts w:ascii="Palatino Linotype" w:eastAsia="Palatino Linotype" w:hAnsi="Palatino Linotype" w:cs="Palatino Linotype"/>
          <w:sz w:val="22"/>
        </w:rPr>
        <w:t>ansparencia del Sujeto Obligado</w:t>
      </w:r>
      <w:r w:rsidRPr="00C00ACE">
        <w:rPr>
          <w:rFonts w:ascii="Palatino Linotype" w:eastAsia="Palatino Linotype" w:hAnsi="Palatino Linotype" w:cs="Palatino Linotype"/>
          <w:sz w:val="22"/>
        </w:rPr>
        <w:t>.</w:t>
      </w:r>
    </w:p>
    <w:p w14:paraId="57747F20" w14:textId="77777777" w:rsidR="00285041" w:rsidRPr="00C00ACE" w:rsidRDefault="00285041" w:rsidP="00285041">
      <w:pPr>
        <w:spacing w:line="360" w:lineRule="auto"/>
        <w:jc w:val="both"/>
        <w:rPr>
          <w:rFonts w:ascii="Palatino Linotype" w:eastAsia="Palatino Linotype" w:hAnsi="Palatino Linotype" w:cs="Palatino Linotype"/>
          <w:sz w:val="22"/>
        </w:rPr>
      </w:pPr>
    </w:p>
    <w:p w14:paraId="2B3DD7FA" w14:textId="6CCF6221" w:rsidR="00583626" w:rsidRPr="00C00ACE" w:rsidRDefault="00583626" w:rsidP="00533F02">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Acotado lo anterior, se procede al análisis de las documentales que fueron clasificadas en su totalidad, </w:t>
      </w:r>
      <w:r w:rsidRPr="00C00ACE">
        <w:rPr>
          <w:rFonts w:ascii="Palatino Linotype" w:eastAsia="Palatino Linotype" w:hAnsi="Palatino Linotype" w:cs="Palatino Linotype"/>
          <w:b/>
          <w:sz w:val="22"/>
          <w:szCs w:val="22"/>
        </w:rPr>
        <w:t>mismas que corresponden a los servidores públicos en contra de los que fueron instaurados los procedimientos administrativos por faltas no graves</w:t>
      </w:r>
      <w:r w:rsidRPr="00C00ACE">
        <w:rPr>
          <w:rFonts w:ascii="Palatino Linotype" w:eastAsia="Palatino Linotype" w:hAnsi="Palatino Linotype" w:cs="Palatino Linotype"/>
          <w:sz w:val="22"/>
          <w:szCs w:val="22"/>
        </w:rPr>
        <w:t xml:space="preserve"> de los cuales se </w:t>
      </w:r>
      <w:r w:rsidRPr="00C00ACE">
        <w:rPr>
          <w:rFonts w:ascii="Palatino Linotype" w:eastAsia="Palatino Linotype" w:hAnsi="Palatino Linotype" w:cs="Palatino Linotype"/>
          <w:sz w:val="22"/>
          <w:szCs w:val="22"/>
        </w:rPr>
        <w:lastRenderedPageBreak/>
        <w:t xml:space="preserve">remitieron en respuesta los expedientes de substanciación antes indicados; documentales que conforme </w:t>
      </w:r>
      <w:proofErr w:type="gramStart"/>
      <w:r w:rsidRPr="00C00ACE">
        <w:rPr>
          <w:rFonts w:ascii="Palatino Linotype" w:eastAsia="Palatino Linotype" w:hAnsi="Palatino Linotype" w:cs="Palatino Linotype"/>
          <w:sz w:val="22"/>
          <w:szCs w:val="22"/>
        </w:rPr>
        <w:t xml:space="preserve">el antecedente </w:t>
      </w:r>
      <w:r w:rsidRPr="00C00ACE">
        <w:rPr>
          <w:rFonts w:ascii="Palatino Linotype" w:eastAsia="Palatino Linotype" w:hAnsi="Palatino Linotype" w:cs="Palatino Linotype"/>
          <w:b/>
          <w:sz w:val="22"/>
          <w:szCs w:val="22"/>
        </w:rPr>
        <w:t xml:space="preserve">Tercero </w:t>
      </w:r>
      <w:r w:rsidRPr="00C00ACE">
        <w:rPr>
          <w:rFonts w:ascii="Palatino Linotype" w:eastAsia="Palatino Linotype" w:hAnsi="Palatino Linotype" w:cs="Palatino Linotype"/>
          <w:sz w:val="22"/>
          <w:szCs w:val="22"/>
        </w:rPr>
        <w:t>de la presente resolución consisten</w:t>
      </w:r>
      <w:proofErr w:type="gramEnd"/>
      <w:r w:rsidRPr="00C00ACE">
        <w:rPr>
          <w:rFonts w:ascii="Palatino Linotype" w:eastAsia="Palatino Linotype" w:hAnsi="Palatino Linotype" w:cs="Palatino Linotype"/>
          <w:sz w:val="22"/>
          <w:szCs w:val="22"/>
        </w:rPr>
        <w:t xml:space="preserve"> en las siguientes:</w:t>
      </w:r>
    </w:p>
    <w:p w14:paraId="7E935421" w14:textId="77777777" w:rsidR="00583626" w:rsidRPr="00C00ACE" w:rsidRDefault="00583626" w:rsidP="00533F02">
      <w:pPr>
        <w:spacing w:line="360" w:lineRule="auto"/>
        <w:jc w:val="both"/>
        <w:rPr>
          <w:rFonts w:ascii="Palatino Linotype" w:eastAsia="Palatino Linotype" w:hAnsi="Palatino Linotype" w:cs="Palatino Linotype"/>
          <w:sz w:val="22"/>
          <w:szCs w:val="22"/>
        </w:rPr>
      </w:pPr>
    </w:p>
    <w:p w14:paraId="750F6CAC" w14:textId="77777777" w:rsidR="00583626" w:rsidRPr="00C00ACE" w:rsidRDefault="00583626" w:rsidP="00583626">
      <w:pPr>
        <w:pStyle w:val="Prrafodelista"/>
        <w:numPr>
          <w:ilvl w:val="0"/>
          <w:numId w:val="23"/>
        </w:num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Avisos de movimientos al ISSEMYM;</w:t>
      </w:r>
    </w:p>
    <w:p w14:paraId="6BC8F7E5" w14:textId="77777777" w:rsidR="00583626" w:rsidRPr="00C00ACE" w:rsidRDefault="00583626" w:rsidP="00583626">
      <w:pPr>
        <w:pStyle w:val="Prrafodelista"/>
        <w:numPr>
          <w:ilvl w:val="0"/>
          <w:numId w:val="23"/>
        </w:num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Constancias de no inhabilitación;</w:t>
      </w:r>
    </w:p>
    <w:p w14:paraId="17DAFE4F" w14:textId="77777777" w:rsidR="00583626" w:rsidRPr="00C00ACE" w:rsidRDefault="00583626" w:rsidP="00583626">
      <w:pPr>
        <w:pStyle w:val="Prrafodelista"/>
        <w:numPr>
          <w:ilvl w:val="0"/>
          <w:numId w:val="23"/>
        </w:num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Credencial para votar expedida por el Instituto Nacional Electoral;</w:t>
      </w:r>
    </w:p>
    <w:p w14:paraId="475AE8C0" w14:textId="77777777" w:rsidR="00583626" w:rsidRPr="00C00ACE" w:rsidRDefault="00583626" w:rsidP="00583626">
      <w:pPr>
        <w:pStyle w:val="Prrafodelista"/>
        <w:numPr>
          <w:ilvl w:val="0"/>
          <w:numId w:val="23"/>
        </w:num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Clave Única de Registro de Población;</w:t>
      </w:r>
      <w:r w:rsidR="00FE5B4D" w:rsidRPr="00C00ACE">
        <w:rPr>
          <w:rFonts w:ascii="Palatino Linotype" w:eastAsia="Palatino Linotype" w:hAnsi="Palatino Linotype" w:cs="Palatino Linotype"/>
          <w:sz w:val="22"/>
          <w:szCs w:val="22"/>
        </w:rPr>
        <w:t xml:space="preserve"> y</w:t>
      </w:r>
    </w:p>
    <w:p w14:paraId="059FF59B" w14:textId="77777777" w:rsidR="00285041" w:rsidRPr="00C00ACE" w:rsidRDefault="00583626" w:rsidP="00533F02">
      <w:pPr>
        <w:pStyle w:val="Prrafodelista"/>
        <w:numPr>
          <w:ilvl w:val="0"/>
          <w:numId w:val="23"/>
        </w:num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Cédula profesional</w:t>
      </w:r>
      <w:r w:rsidR="00FE5B4D" w:rsidRPr="00C00ACE">
        <w:rPr>
          <w:rFonts w:ascii="Palatino Linotype" w:eastAsia="Palatino Linotype" w:hAnsi="Palatino Linotype" w:cs="Palatino Linotype"/>
          <w:sz w:val="22"/>
          <w:szCs w:val="22"/>
        </w:rPr>
        <w:t>.</w:t>
      </w:r>
    </w:p>
    <w:p w14:paraId="649DE557" w14:textId="77777777" w:rsidR="00FE5B4D" w:rsidRPr="00C00ACE" w:rsidRDefault="00FE5B4D" w:rsidP="00FE5B4D">
      <w:pPr>
        <w:pStyle w:val="Prrafodelista"/>
        <w:spacing w:line="360" w:lineRule="auto"/>
        <w:ind w:left="360"/>
        <w:jc w:val="both"/>
        <w:rPr>
          <w:rFonts w:ascii="Palatino Linotype" w:eastAsia="Palatino Linotype" w:hAnsi="Palatino Linotype" w:cs="Palatino Linotype"/>
          <w:sz w:val="22"/>
          <w:szCs w:val="22"/>
        </w:rPr>
      </w:pPr>
    </w:p>
    <w:p w14:paraId="187436FD" w14:textId="77777777" w:rsidR="00C25CE7" w:rsidRPr="00C00ACE" w:rsidRDefault="00583626" w:rsidP="00C25CE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Al respecto, </w:t>
      </w:r>
      <w:r w:rsidR="00C25CE7" w:rsidRPr="00C00ACE">
        <w:rPr>
          <w:rFonts w:ascii="Palatino Linotype" w:eastAsia="Palatino Linotype" w:hAnsi="Palatino Linotype" w:cs="Palatino Linotype"/>
          <w:sz w:val="22"/>
          <w:szCs w:val="22"/>
        </w:rPr>
        <w:t>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D6E4F78"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BEB73FA"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 xml:space="preserve">Artículo 91. </w:t>
      </w:r>
      <w:r w:rsidRPr="00C00AC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2CD1F4E"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236B2E0" w14:textId="77777777" w:rsidR="00C25CE7" w:rsidRPr="00C00ACE" w:rsidRDefault="00C25CE7" w:rsidP="00C25CE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w:t>
      </w:r>
      <w:r w:rsidRPr="00C00ACE">
        <w:rPr>
          <w:rFonts w:ascii="Palatino Linotype" w:eastAsia="Palatino Linotype" w:hAnsi="Palatino Linotype" w:cs="Palatino Linotype"/>
          <w:b/>
          <w:sz w:val="22"/>
          <w:szCs w:val="22"/>
        </w:rPr>
        <w:t xml:space="preserve">información confidencial, </w:t>
      </w:r>
      <w:r w:rsidRPr="00C00ACE">
        <w:rPr>
          <w:rFonts w:ascii="Palatino Linotype" w:eastAsia="Palatino Linotype" w:hAnsi="Palatino Linotype" w:cs="Palatino Linotype"/>
          <w:sz w:val="22"/>
          <w:szCs w:val="22"/>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77791669" w14:textId="77777777" w:rsidR="00C25CE7" w:rsidRPr="00C00ACE" w:rsidRDefault="00C25CE7" w:rsidP="00C25CE7">
      <w:pPr>
        <w:spacing w:line="360" w:lineRule="auto"/>
        <w:jc w:val="both"/>
        <w:rPr>
          <w:rFonts w:ascii="Palatino Linotype" w:eastAsia="Palatino Linotype" w:hAnsi="Palatino Linotype" w:cs="Palatino Linotype"/>
          <w:sz w:val="22"/>
          <w:szCs w:val="22"/>
        </w:rPr>
      </w:pPr>
    </w:p>
    <w:p w14:paraId="7B5DAE94" w14:textId="77777777" w:rsidR="00C25CE7" w:rsidRPr="00C00ACE" w:rsidRDefault="00C25CE7" w:rsidP="00C25CE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lastRenderedPageBreak/>
        <w:t>De manera que, la Ley de Transparencia y Acceso a la Información Pública del Estado de México y Municipios, en su artículo 143 prevé los siguientes supuestos para clasificar la información como confidencial:</w:t>
      </w:r>
    </w:p>
    <w:p w14:paraId="53FF6E75"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93D60BD"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 xml:space="preserve">Artículo 143. </w:t>
      </w:r>
      <w:r w:rsidRPr="00C00ACE">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12B4EB29"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 xml:space="preserve">I. </w:t>
      </w:r>
      <w:r w:rsidRPr="00C00ACE">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41AE35B9"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 xml:space="preserve">II. </w:t>
      </w:r>
      <w:r w:rsidRPr="00C00ACE">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534FCC07"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b/>
          <w:i/>
          <w:sz w:val="22"/>
          <w:szCs w:val="22"/>
        </w:rPr>
        <w:t xml:space="preserve">III. </w:t>
      </w:r>
      <w:r w:rsidRPr="00C00ACE">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37530FDF"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894A400"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9643A23"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5173C04" w14:textId="77777777" w:rsidR="00C25CE7" w:rsidRPr="00C00ACE" w:rsidRDefault="00C25CE7" w:rsidP="00C25CE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7661D21" w14:textId="77777777" w:rsidR="00C25CE7" w:rsidRPr="00C00ACE" w:rsidRDefault="00C25CE7" w:rsidP="00C25CE7">
      <w:pPr>
        <w:tabs>
          <w:tab w:val="left" w:pos="851"/>
        </w:tabs>
        <w:spacing w:line="360" w:lineRule="auto"/>
        <w:jc w:val="both"/>
        <w:rPr>
          <w:rFonts w:ascii="Palatino Linotype" w:eastAsia="Palatino Linotype" w:hAnsi="Palatino Linotype" w:cs="Palatino Linotype"/>
          <w:sz w:val="22"/>
          <w:szCs w:val="22"/>
        </w:rPr>
      </w:pPr>
    </w:p>
    <w:p w14:paraId="73782CE3" w14:textId="77777777" w:rsidR="00C25CE7" w:rsidRPr="00C00ACE" w:rsidRDefault="00C25CE7" w:rsidP="00C25CE7">
      <w:pPr>
        <w:numPr>
          <w:ilvl w:val="0"/>
          <w:numId w:val="28"/>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Se reciba una solicitud de acceso a la información;</w:t>
      </w:r>
    </w:p>
    <w:p w14:paraId="645EFF9E" w14:textId="77777777" w:rsidR="00C25CE7" w:rsidRPr="00C00ACE" w:rsidRDefault="00C25CE7" w:rsidP="00C25CE7">
      <w:pPr>
        <w:numPr>
          <w:ilvl w:val="0"/>
          <w:numId w:val="28"/>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Se determine mediante resolución de autoridad competente; y/o</w:t>
      </w:r>
    </w:p>
    <w:p w14:paraId="2B8133AE" w14:textId="77777777" w:rsidR="00C25CE7" w:rsidRPr="00C00ACE" w:rsidRDefault="00C25CE7" w:rsidP="00C25CE7">
      <w:pPr>
        <w:numPr>
          <w:ilvl w:val="0"/>
          <w:numId w:val="28"/>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Se generen versiones públicas para dar cumplimiento a las obligaciones de transparencia previstas en la Ley.</w:t>
      </w:r>
    </w:p>
    <w:p w14:paraId="16A8678A" w14:textId="77777777" w:rsidR="00C25CE7" w:rsidRPr="00C00ACE" w:rsidRDefault="00C25CE7" w:rsidP="00C25CE7">
      <w:pPr>
        <w:tabs>
          <w:tab w:val="left" w:pos="851"/>
        </w:tabs>
        <w:spacing w:line="360" w:lineRule="auto"/>
        <w:ind w:left="567"/>
        <w:jc w:val="both"/>
        <w:rPr>
          <w:rFonts w:ascii="Palatino Linotype" w:eastAsia="Palatino Linotype" w:hAnsi="Palatino Linotype" w:cs="Palatino Linotype"/>
          <w:sz w:val="22"/>
          <w:szCs w:val="22"/>
        </w:rPr>
      </w:pPr>
    </w:p>
    <w:p w14:paraId="5598DDFE" w14:textId="77777777" w:rsidR="00C25CE7" w:rsidRPr="00C00ACE" w:rsidRDefault="00C25CE7" w:rsidP="00C25CE7">
      <w:pPr>
        <w:spacing w:line="360" w:lineRule="auto"/>
        <w:ind w:right="51"/>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En ese sentido, es de precisar que la clasificación de la información no se da por el simple mandato de la ley, sino que es necesario que el</w:t>
      </w:r>
      <w:r w:rsidRPr="00C00ACE">
        <w:rPr>
          <w:rFonts w:ascii="Palatino Linotype" w:eastAsia="Palatino Linotype" w:hAnsi="Palatino Linotype" w:cs="Palatino Linotype"/>
          <w:b/>
          <w:sz w:val="22"/>
          <w:szCs w:val="22"/>
        </w:rPr>
        <w:t xml:space="preserve"> Sujeto Obligado,</w:t>
      </w:r>
      <w:r w:rsidRPr="00C00ACE">
        <w:rPr>
          <w:rFonts w:ascii="Palatino Linotype" w:eastAsia="Palatino Linotype" w:hAnsi="Palatino Linotype" w:cs="Palatino Linotype"/>
          <w:sz w:val="22"/>
          <w:szCs w:val="22"/>
        </w:rPr>
        <w:t xml:space="preserve"> cuando clasifique algún </w:t>
      </w:r>
      <w:r w:rsidRPr="00C00ACE">
        <w:rPr>
          <w:rFonts w:ascii="Palatino Linotype" w:eastAsia="Palatino Linotype" w:hAnsi="Palatino Linotype" w:cs="Palatino Linotype"/>
          <w:sz w:val="22"/>
          <w:szCs w:val="22"/>
        </w:rPr>
        <w:lastRenderedPageBreak/>
        <w:t xml:space="preserve">documento o información, </w:t>
      </w:r>
      <w:r w:rsidRPr="00C00ACE">
        <w:rPr>
          <w:rFonts w:ascii="Palatino Linotype" w:eastAsia="Palatino Linotype" w:hAnsi="Palatino Linotype" w:cs="Palatino Linotype"/>
          <w:b/>
          <w:sz w:val="22"/>
          <w:szCs w:val="22"/>
          <w:u w:val="single"/>
        </w:rPr>
        <w:t>ya sea todo</w:t>
      </w:r>
      <w:r w:rsidRPr="00C00ACE">
        <w:rPr>
          <w:rFonts w:ascii="Palatino Linotype" w:eastAsia="Palatino Linotype" w:hAnsi="Palatino Linotype" w:cs="Palatino Linotype"/>
          <w:sz w:val="22"/>
          <w:szCs w:val="22"/>
        </w:rPr>
        <w:t xml:space="preserve"> o en parte, atienda lo dispuesto por la ley de la materia, siendo que dicha clasificación es un trabajo en conjunto tanto de los Servidores Públicos Habilitados, de las Unidades de Transparencia y del Comité de Transparencia del </w:t>
      </w:r>
      <w:r w:rsidRPr="00C00ACE">
        <w:rPr>
          <w:rFonts w:ascii="Palatino Linotype" w:eastAsia="Palatino Linotype" w:hAnsi="Palatino Linotype" w:cs="Palatino Linotype"/>
          <w:b/>
          <w:sz w:val="22"/>
          <w:szCs w:val="22"/>
        </w:rPr>
        <w:t>Sujeto Obligado</w:t>
      </w:r>
      <w:r w:rsidRPr="00C00ACE">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64893057"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E1055FD"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Artículo 59. Los servidores públicos habilitados tendrán las funciones siguientes:</w:t>
      </w:r>
    </w:p>
    <w:p w14:paraId="53BFC9B0"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p>
    <w:p w14:paraId="7FA94BA9"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1CC893B9"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p>
    <w:p w14:paraId="55D7E776"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vertAlign w:val="superscript"/>
        </w:rPr>
      </w:pPr>
    </w:p>
    <w:p w14:paraId="56D7901A"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Artículo 53. Las Unidades de Transparencia tendrán las siguientes funciones:</w:t>
      </w:r>
    </w:p>
    <w:p w14:paraId="26C0276A"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p>
    <w:p w14:paraId="34B4CB8D"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X. Presentar ante el Comité, el proyecto de clasificación de información;</w:t>
      </w:r>
    </w:p>
    <w:p w14:paraId="16F1A2FD"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 xml:space="preserve">(…) </w:t>
      </w:r>
    </w:p>
    <w:p w14:paraId="4F067151"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vertAlign w:val="superscript"/>
        </w:rPr>
      </w:pPr>
    </w:p>
    <w:p w14:paraId="45360D1D"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Artículo 49. Los Comités de Transparencia tendrán las siguientes atribuciones:</w:t>
      </w:r>
    </w:p>
    <w:p w14:paraId="45A1DF76"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p>
    <w:p w14:paraId="6E06881B"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 xml:space="preserve">II. Confirmar, modificar o revocar las determinaciones </w:t>
      </w:r>
      <w:proofErr w:type="gramStart"/>
      <w:r w:rsidRPr="00C00ACE">
        <w:rPr>
          <w:rFonts w:ascii="Palatino Linotype" w:eastAsia="Palatino Linotype" w:hAnsi="Palatino Linotype" w:cs="Palatino Linotype"/>
          <w:i/>
          <w:sz w:val="22"/>
          <w:szCs w:val="22"/>
        </w:rPr>
        <w:t>que</w:t>
      </w:r>
      <w:proofErr w:type="gramEnd"/>
      <w:r w:rsidRPr="00C00ACE">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w:t>
      </w:r>
    </w:p>
    <w:p w14:paraId="0BA076A3"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p>
    <w:p w14:paraId="25F40463"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VIII. Aprobar, modificar o revocar la clasificación de la información;</w:t>
      </w:r>
    </w:p>
    <w:p w14:paraId="1D591425"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00ACE">
        <w:rPr>
          <w:rFonts w:ascii="Palatino Linotype" w:eastAsia="Palatino Linotype" w:hAnsi="Palatino Linotype" w:cs="Palatino Linotype"/>
          <w:i/>
          <w:sz w:val="22"/>
          <w:szCs w:val="22"/>
        </w:rPr>
        <w:t>(…)</w:t>
      </w:r>
    </w:p>
    <w:p w14:paraId="7D66A289" w14:textId="77777777" w:rsidR="00C25CE7" w:rsidRPr="00C00ACE" w:rsidRDefault="00C25CE7" w:rsidP="00C25CE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5764C77" w14:textId="77777777" w:rsidR="00C25CE7" w:rsidRPr="00C00ACE" w:rsidRDefault="00C25CE7" w:rsidP="00C25CE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lastRenderedPageBreak/>
        <w:t xml:space="preserve">Bajo tales consideraciones, este Organismo Garante no omite señalar que, si el  </w:t>
      </w:r>
      <w:r w:rsidRPr="00C00ACE">
        <w:rPr>
          <w:rFonts w:ascii="Palatino Linotype" w:eastAsia="Palatino Linotype" w:hAnsi="Palatino Linotype" w:cs="Palatino Linotype"/>
          <w:b/>
          <w:sz w:val="22"/>
          <w:szCs w:val="22"/>
        </w:rPr>
        <w:t>Sujeto Obligado</w:t>
      </w:r>
      <w:r w:rsidRPr="00C00ACE">
        <w:rPr>
          <w:rFonts w:ascii="Palatino Linotype" w:eastAsia="Palatino Linotype" w:hAnsi="Palatino Linotype" w:cs="Palatino Linotype"/>
          <w:sz w:val="22"/>
          <w:szCs w:val="22"/>
        </w:rPr>
        <w:t xml:space="preserve"> advierte que la información solicitada contiene datos personales que sean susceptibles de ser clasificados como confidenciales,</w:t>
      </w:r>
      <w:r w:rsidRPr="00C00ACE">
        <w:rPr>
          <w:rFonts w:ascii="Palatino Linotype" w:eastAsia="Palatino Linotype" w:hAnsi="Palatino Linotype" w:cs="Palatino Linotype"/>
          <w:b/>
          <w:sz w:val="22"/>
          <w:szCs w:val="22"/>
        </w:rPr>
        <w:t xml:space="preserve"> </w:t>
      </w:r>
      <w:r w:rsidRPr="00C00ACE">
        <w:rPr>
          <w:rFonts w:ascii="Palatino Linotype" w:eastAsia="Palatino Linotype" w:hAnsi="Palatino Linotype" w:cs="Palatino Linotype"/>
          <w:sz w:val="22"/>
          <w:szCs w:val="22"/>
        </w:rPr>
        <w:t xml:space="preserve">o, si por otro lado, por su propia y especial naturaleza, encuadra en alguno de los supuestos de reserva </w:t>
      </w:r>
      <w:r w:rsidRPr="00C00ACE">
        <w:rPr>
          <w:rFonts w:ascii="Palatino Linotype" w:eastAsia="Palatino Linotype" w:hAnsi="Palatino Linotype" w:cs="Palatino Linotype"/>
          <w:b/>
          <w:sz w:val="22"/>
          <w:szCs w:val="22"/>
        </w:rPr>
        <w:t>o de confidencialidad en su totalidad,</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b/>
          <w:sz w:val="22"/>
          <w:szCs w:val="22"/>
        </w:rPr>
        <w:t>deberá emitir un Acuerdo de Clasificación debidamente fundado y motivado que sustente</w:t>
      </w:r>
      <w:r w:rsidRPr="00C00ACE">
        <w:rPr>
          <w:rFonts w:ascii="Palatino Linotype" w:eastAsia="Palatino Linotype" w:hAnsi="Palatino Linotype" w:cs="Palatino Linotype"/>
          <w:sz w:val="22"/>
          <w:szCs w:val="22"/>
        </w:rPr>
        <w:t xml:space="preserve"> la clasificación parcial, a través de la versión pública que emita, o bien, </w:t>
      </w:r>
      <w:r w:rsidRPr="00C00ACE">
        <w:rPr>
          <w:rFonts w:ascii="Palatino Linotype" w:eastAsia="Palatino Linotype" w:hAnsi="Palatino Linotype" w:cs="Palatino Linotype"/>
          <w:b/>
          <w:sz w:val="22"/>
          <w:szCs w:val="22"/>
        </w:rPr>
        <w:t xml:space="preserve">la restricción total del derecho de acceso a la información.  </w:t>
      </w:r>
    </w:p>
    <w:p w14:paraId="06606440" w14:textId="77777777" w:rsidR="00C25CE7" w:rsidRPr="00C00ACE" w:rsidRDefault="00C25CE7" w:rsidP="00C25CE7">
      <w:pPr>
        <w:spacing w:line="360" w:lineRule="auto"/>
        <w:jc w:val="both"/>
        <w:rPr>
          <w:rFonts w:ascii="Palatino Linotype" w:eastAsia="Palatino Linotype" w:hAnsi="Palatino Linotype" w:cs="Palatino Linotype"/>
          <w:sz w:val="22"/>
          <w:szCs w:val="22"/>
        </w:rPr>
      </w:pPr>
    </w:p>
    <w:p w14:paraId="3AF297C2" w14:textId="77777777" w:rsidR="00C25CE7" w:rsidRPr="00C00ACE" w:rsidRDefault="00C25CE7" w:rsidP="00C25CE7">
      <w:pPr>
        <w:spacing w:line="360" w:lineRule="auto"/>
        <w:ind w:right="51"/>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Asimismo, no obsta mencionar que el Acuerdo del Comité de Transparencia mediante el cual se clasifique la información como reservada o </w:t>
      </w:r>
      <w:r w:rsidRPr="00C00ACE">
        <w:rPr>
          <w:rFonts w:ascii="Palatino Linotype" w:eastAsia="Palatino Linotype" w:hAnsi="Palatino Linotype" w:cs="Palatino Linotype"/>
          <w:b/>
          <w:sz w:val="22"/>
          <w:szCs w:val="22"/>
        </w:rPr>
        <w:t>confidencial,</w:t>
      </w:r>
      <w:r w:rsidRPr="00C00ACE">
        <w:rPr>
          <w:rFonts w:ascii="Palatino Linotype" w:eastAsia="Palatino Linotype" w:hAnsi="Palatino Linotype" w:cs="Palatino Linotype"/>
          <w:sz w:val="22"/>
          <w:szCs w:val="22"/>
        </w:rPr>
        <w:t xml:space="preserve"> </w:t>
      </w:r>
      <w:r w:rsidRPr="00C00ACE">
        <w:rPr>
          <w:rFonts w:ascii="Palatino Linotype" w:eastAsia="Palatino Linotype" w:hAnsi="Palatino Linotype" w:cs="Palatino Linotype"/>
          <w:b/>
          <w:sz w:val="22"/>
          <w:szCs w:val="22"/>
        </w:rPr>
        <w:t>de manera total</w:t>
      </w:r>
      <w:r w:rsidRPr="00C00ACE">
        <w:rPr>
          <w:rFonts w:ascii="Palatino Linotype" w:eastAsia="Palatino Linotype" w:hAnsi="Palatino Linotype" w:cs="Palatino Linotype"/>
          <w:sz w:val="22"/>
          <w:szCs w:val="22"/>
        </w:rPr>
        <w:t xml:space="preserve">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C00ACE">
        <w:rPr>
          <w:rFonts w:ascii="Palatino Linotype" w:eastAsia="Palatino Linotype" w:hAnsi="Palatino Linotype" w:cs="Palatino Linotype"/>
          <w:b/>
          <w:sz w:val="22"/>
          <w:szCs w:val="22"/>
          <w:u w:val="single"/>
        </w:rPr>
        <w:t>de igual forma en dicho acuerdo se deben exponer de manera clara los fundamentos y razones que llevaron a la autoridad a clasificar la información de acuerdo con lo establecido en el artículo 149 de la Ley de la materia,</w:t>
      </w:r>
      <w:r w:rsidRPr="00C00ACE">
        <w:rPr>
          <w:rFonts w:ascii="Palatino Linotype" w:eastAsia="Palatino Linotype" w:hAnsi="Palatino Linotype" w:cs="Palatino Linotype"/>
          <w:sz w:val="22"/>
          <w:szCs w:val="22"/>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7B4C346" w14:textId="77777777" w:rsidR="00C25CE7" w:rsidRPr="00C00ACE" w:rsidRDefault="00C25CE7" w:rsidP="00C25CE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CB40715" w14:textId="77777777" w:rsidR="00E5282F" w:rsidRPr="00C00ACE" w:rsidRDefault="00C25CE7" w:rsidP="00C25CE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No obstante, </w:t>
      </w:r>
      <w:r w:rsidR="00E5282F" w:rsidRPr="00C00ACE">
        <w:rPr>
          <w:rFonts w:ascii="Palatino Linotype" w:eastAsia="Palatino Linotype" w:hAnsi="Palatino Linotype" w:cs="Palatino Linotype"/>
          <w:sz w:val="22"/>
          <w:szCs w:val="22"/>
        </w:rPr>
        <w:t xml:space="preserve">por el </w:t>
      </w:r>
      <w:r w:rsidRPr="00C00ACE">
        <w:rPr>
          <w:rFonts w:ascii="Palatino Linotype" w:eastAsia="Palatino Linotype" w:hAnsi="Palatino Linotype" w:cs="Palatino Linotype"/>
          <w:sz w:val="22"/>
          <w:szCs w:val="22"/>
        </w:rPr>
        <w:t>tipo de do</w:t>
      </w:r>
      <w:r w:rsidR="00E5282F" w:rsidRPr="00C00ACE">
        <w:rPr>
          <w:rFonts w:ascii="Palatino Linotype" w:eastAsia="Palatino Linotype" w:hAnsi="Palatino Linotype" w:cs="Palatino Linotype"/>
          <w:sz w:val="22"/>
          <w:szCs w:val="22"/>
        </w:rPr>
        <w:t>cumentales</w:t>
      </w:r>
      <w:r w:rsidRPr="00C00ACE">
        <w:rPr>
          <w:rFonts w:ascii="Palatino Linotype" w:eastAsia="Palatino Linotype" w:hAnsi="Palatino Linotype" w:cs="Palatino Linotype"/>
          <w:sz w:val="22"/>
          <w:szCs w:val="22"/>
        </w:rPr>
        <w:t xml:space="preserve"> </w:t>
      </w:r>
      <w:r w:rsidR="00E5282F" w:rsidRPr="00C00ACE">
        <w:rPr>
          <w:rFonts w:ascii="Palatino Linotype" w:eastAsia="Palatino Linotype" w:hAnsi="Palatino Linotype" w:cs="Palatino Linotype"/>
          <w:sz w:val="22"/>
          <w:szCs w:val="22"/>
        </w:rPr>
        <w:t>de las que se adolece el particular, la naturaleza de las mismas y que a su vez corresponden a servidores públicos involucrados como responsables en procedimientos administrativos por faltas no graves concluidos, se considera que procede la clasificación en su totalidad por los siguientes motivos:</w:t>
      </w:r>
    </w:p>
    <w:p w14:paraId="61808260" w14:textId="77777777" w:rsidR="00E5282F" w:rsidRPr="00C00ACE" w:rsidRDefault="00E5282F" w:rsidP="00E5282F">
      <w:pPr>
        <w:pStyle w:val="Prrafodelista"/>
        <w:numPr>
          <w:ilvl w:val="0"/>
          <w:numId w:val="29"/>
        </w:num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Avisos de movimientos al ISSEMYM:</w:t>
      </w:r>
    </w:p>
    <w:p w14:paraId="1A167D3C" w14:textId="77777777" w:rsidR="00E5282F" w:rsidRPr="00C00ACE" w:rsidRDefault="00E5282F" w:rsidP="00E5282F">
      <w:pPr>
        <w:spacing w:line="360" w:lineRule="auto"/>
        <w:jc w:val="both"/>
        <w:rPr>
          <w:rFonts w:ascii="Palatino Linotype" w:eastAsia="Palatino Linotype" w:hAnsi="Palatino Linotype" w:cs="Palatino Linotype"/>
          <w:sz w:val="22"/>
          <w:szCs w:val="22"/>
        </w:rPr>
      </w:pPr>
    </w:p>
    <w:p w14:paraId="6BCF30E6"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 xml:space="preserve">El Aviso de Movimientos, es un documento que debe expedir la dependencia pública a la cual se ingresa y que indica el alta en el sistema como servidor público, este documento debe ser presentado ante el Instituto de Seguridad Social del Estado de México y Municipios, con la finalidad de llevar a cabo diversos trámites para obtener los beneficios de seguridad social. </w:t>
      </w:r>
    </w:p>
    <w:p w14:paraId="0693DA0D"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7120C6D0"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 xml:space="preserve">Ahora bien, las instituciones públicas del Estado, como lo es el </w:t>
      </w:r>
      <w:r w:rsidRPr="00C00ACE">
        <w:rPr>
          <w:rFonts w:ascii="Palatino Linotype" w:hAnsi="Palatino Linotype" w:cs="Tahoma"/>
          <w:b/>
          <w:sz w:val="22"/>
        </w:rPr>
        <w:t>Sujeto Obligado</w:t>
      </w:r>
      <w:r w:rsidRPr="00C00ACE">
        <w:rPr>
          <w:rFonts w:ascii="Palatino Linotype" w:hAnsi="Palatino Linotype" w:cs="Tahoma"/>
          <w:sz w:val="22"/>
        </w:rPr>
        <w:t xml:space="preserve">  tiene dentro de sus atribuciones aplicar en el Sistema del ISSEMyM, los movimientos de la nómina (altas, bajas y modificaciones), es decir, derivado del ingreso al servicio público, debe registrar los datos correspondientes con la finalidad de desempeñar sus atribuciones y en cumplimiento de las obligaciones y derechos laborales a favor de los servidores públicos que emplea; es decir, la inscripción de los trabajadores a alguna institución de salud. </w:t>
      </w:r>
    </w:p>
    <w:p w14:paraId="11780C35"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4578FD6F"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Por lo anterior, si bien este documento da cuenta del ejercicio de sus funciones del Sujeto Obligado, relativo a la inscripción de sus servidores públicos a una institución de salud, en el caso, al contener datos que harían identificables a servidores públicos relacionados con un procedimiento por falta administrativa no grave concluido, como su nombre, CURP y Clave del ISSEMYM; procede su clasificación en su totalidad.</w:t>
      </w:r>
    </w:p>
    <w:p w14:paraId="4D9F5D4C"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75CAFB82"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Al efecto, sirve insertar un ejemplo obtenido de fuentes electrónicas respecto de los datos que contiene el documento en análisis:</w:t>
      </w:r>
    </w:p>
    <w:p w14:paraId="071F8E56"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60A42021"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noProof/>
          <w:sz w:val="22"/>
        </w:rPr>
        <w:lastRenderedPageBreak/>
        <w:drawing>
          <wp:inline distT="0" distB="0" distL="0" distR="0" wp14:anchorId="4B23CC7A" wp14:editId="37684641">
            <wp:extent cx="5591810" cy="3458210"/>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810" cy="3458210"/>
                    </a:xfrm>
                    <a:prstGeom prst="rect">
                      <a:avLst/>
                    </a:prstGeom>
                    <a:noFill/>
                    <a:ln>
                      <a:noFill/>
                    </a:ln>
                  </pic:spPr>
                </pic:pic>
              </a:graphicData>
            </a:graphic>
          </wp:inline>
        </w:drawing>
      </w:r>
    </w:p>
    <w:p w14:paraId="1371763F"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02D203B7"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Como se desprende de lo anterior, dentro de los datos que se localizan en el aviso de movimientos al ISSEMYM se encuentra: el tipo de movimiento, la fecha de movimiento, clave del ISSEMYM, CURP y nombre del servidor público, nombre de la institución, fecha de emisión, clave de la institución, firma, número de referencia y sello digital.</w:t>
      </w:r>
    </w:p>
    <w:p w14:paraId="4DE53921"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6DCD82ED" w14:textId="77777777" w:rsidR="000C5818" w:rsidRPr="00C00ACE" w:rsidRDefault="000C5818" w:rsidP="000C5818">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C00ACE">
        <w:rPr>
          <w:rFonts w:ascii="Palatino Linotype" w:hAnsi="Palatino Linotype" w:cs="Tahoma"/>
          <w:sz w:val="22"/>
        </w:rPr>
        <w:t xml:space="preserve">Datos de los anteriores que por lo que corresponde a la CURP, la misma es confidencial, </w:t>
      </w:r>
      <w:r w:rsidRPr="00C00ACE">
        <w:rPr>
          <w:rFonts w:ascii="Palatino Linotype" w:eastAsia="Palatino Linotype" w:hAnsi="Palatino Linotype" w:cs="Palatino Linotype"/>
          <w:sz w:val="22"/>
        </w:rPr>
        <w:t>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por lo que se actualiza la procedencia de la clasificación en términos de los dispuesto por el artículo 143 fracción I de la Ley de la Materia.</w:t>
      </w:r>
    </w:p>
    <w:p w14:paraId="0024AA13" w14:textId="77777777" w:rsidR="000C5818" w:rsidRPr="00C00ACE" w:rsidRDefault="000C5818" w:rsidP="000C5818">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199D44A4" w14:textId="77777777" w:rsidR="000C5818" w:rsidRPr="00C00ACE" w:rsidRDefault="000C5818" w:rsidP="000C5818">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lastRenderedPageBreak/>
        <w:t>Argumento que es compartido por el Instituto Nacional de Transparencia, Acceso a la Información y Protección de Datos (INAI)</w:t>
      </w:r>
      <w:r w:rsidRPr="00C00ACE">
        <w:rPr>
          <w:rFonts w:ascii="Palatino Linotype" w:eastAsia="Palatino Linotype" w:hAnsi="Palatino Linotype" w:cs="Palatino Linotype"/>
          <w:b/>
          <w:sz w:val="22"/>
        </w:rPr>
        <w:t xml:space="preserve">, conforme al </w:t>
      </w:r>
      <w:r w:rsidRPr="00C00ACE">
        <w:rPr>
          <w:rFonts w:ascii="Palatino Linotype" w:eastAsia="Palatino Linotype" w:hAnsi="Palatino Linotype" w:cs="Palatino Linotype"/>
          <w:sz w:val="22"/>
        </w:rPr>
        <w:t xml:space="preserve">criterio número 18/17, el cual refiere: </w:t>
      </w:r>
    </w:p>
    <w:p w14:paraId="415F01B9" w14:textId="77777777" w:rsidR="000C5818" w:rsidRPr="00C00ACE" w:rsidRDefault="000C5818" w:rsidP="000C5818">
      <w:pPr>
        <w:spacing w:line="360" w:lineRule="auto"/>
        <w:jc w:val="both"/>
        <w:rPr>
          <w:rFonts w:ascii="Palatino Linotype" w:eastAsia="Palatino Linotype" w:hAnsi="Palatino Linotype" w:cs="Palatino Linotype"/>
        </w:rPr>
      </w:pPr>
    </w:p>
    <w:p w14:paraId="74D1FC9D" w14:textId="77777777" w:rsidR="000C5818" w:rsidRPr="00C00ACE" w:rsidRDefault="000C5818" w:rsidP="000C5818">
      <w:pPr>
        <w:pBdr>
          <w:top w:val="nil"/>
          <w:left w:val="nil"/>
          <w:bottom w:val="nil"/>
          <w:right w:val="nil"/>
          <w:between w:val="nil"/>
        </w:pBdr>
        <w:ind w:left="851" w:right="902"/>
        <w:jc w:val="both"/>
        <w:rPr>
          <w:rFonts w:ascii="Palatino Linotype" w:eastAsia="Palatino Linotype" w:hAnsi="Palatino Linotype" w:cs="Palatino Linotype"/>
          <w:i/>
        </w:rPr>
      </w:pPr>
      <w:r w:rsidRPr="00C00ACE">
        <w:rPr>
          <w:rFonts w:ascii="Palatino Linotype" w:eastAsia="Palatino Linotype" w:hAnsi="Palatino Linotype" w:cs="Palatino Linotype"/>
          <w:b/>
          <w:i/>
        </w:rPr>
        <w:t xml:space="preserve">“Clave Única de Registro de Población (CURP). </w:t>
      </w:r>
      <w:r w:rsidRPr="00C00ACE">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36D5005B"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247B7D80" w14:textId="77777777" w:rsidR="00963CE1"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b/>
          <w:sz w:val="22"/>
        </w:rPr>
        <w:t>La clave del ISSEMYM,</w:t>
      </w:r>
      <w:r w:rsidRPr="00C00ACE">
        <w:rPr>
          <w:rFonts w:ascii="Palatino Linotype" w:hAnsi="Palatino Linotype" w:cs="Tahoma"/>
          <w:sz w:val="22"/>
        </w:rPr>
        <w:t xml:space="preserve"> es confidencial, </w:t>
      </w:r>
      <w:r w:rsidR="00963CE1" w:rsidRPr="00C00ACE">
        <w:rPr>
          <w:rFonts w:ascii="Palatino Linotype" w:hAnsi="Palatino Linotype" w:cs="Tahoma"/>
          <w:sz w:val="22"/>
        </w:rPr>
        <w:t>por las siguientes razones:</w:t>
      </w:r>
    </w:p>
    <w:p w14:paraId="308A5431" w14:textId="77777777" w:rsidR="00963CE1" w:rsidRPr="00C00ACE" w:rsidRDefault="00963CE1" w:rsidP="000C5818">
      <w:pPr>
        <w:widowControl w:val="0"/>
        <w:autoSpaceDE w:val="0"/>
        <w:autoSpaceDN w:val="0"/>
        <w:adjustRightInd w:val="0"/>
        <w:spacing w:line="360" w:lineRule="auto"/>
        <w:jc w:val="both"/>
        <w:rPr>
          <w:rFonts w:ascii="Palatino Linotype" w:hAnsi="Palatino Linotype" w:cs="Tahoma"/>
          <w:sz w:val="22"/>
        </w:rPr>
      </w:pPr>
    </w:p>
    <w:p w14:paraId="45CCBA96"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 </w:t>
      </w:r>
    </w:p>
    <w:p w14:paraId="5A1EDDB7"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6D2C8B6C"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 </w:t>
      </w:r>
    </w:p>
    <w:p w14:paraId="60ED952F"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15811C18"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151F8D67"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7680633C"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66BE531" w14:textId="77777777" w:rsidR="000C5818" w:rsidRPr="00C00ACE" w:rsidRDefault="000C5818" w:rsidP="000C5818">
      <w:pPr>
        <w:widowControl w:val="0"/>
        <w:autoSpaceDE w:val="0"/>
        <w:autoSpaceDN w:val="0"/>
        <w:adjustRightInd w:val="0"/>
        <w:spacing w:line="360" w:lineRule="auto"/>
        <w:jc w:val="both"/>
        <w:rPr>
          <w:rFonts w:ascii="Palatino Linotype" w:hAnsi="Palatino Linotype" w:cs="Tahoma"/>
          <w:sz w:val="22"/>
        </w:rPr>
      </w:pPr>
    </w:p>
    <w:p w14:paraId="64444DF5" w14:textId="77777777" w:rsidR="00963CE1" w:rsidRPr="00C00ACE" w:rsidRDefault="00963CE1" w:rsidP="000C5818">
      <w:pPr>
        <w:widowControl w:val="0"/>
        <w:autoSpaceDE w:val="0"/>
        <w:autoSpaceDN w:val="0"/>
        <w:adjustRightInd w:val="0"/>
        <w:spacing w:line="360" w:lineRule="auto"/>
        <w:jc w:val="both"/>
        <w:rPr>
          <w:rFonts w:ascii="Palatino Linotype" w:hAnsi="Palatino Linotype" w:cs="Tahoma"/>
          <w:sz w:val="22"/>
        </w:rPr>
      </w:pPr>
      <w:r w:rsidRPr="00C00ACE">
        <w:rPr>
          <w:rFonts w:ascii="Palatino Linotype" w:hAnsi="Palatino Linotype" w:cs="Tahoma"/>
          <w:sz w:val="22"/>
        </w:rPr>
        <w:t xml:space="preserve">Por lo que corresponde </w:t>
      </w:r>
      <w:r w:rsidRPr="00C00ACE">
        <w:rPr>
          <w:rFonts w:ascii="Palatino Linotype" w:hAnsi="Palatino Linotype" w:cs="Tahoma"/>
          <w:b/>
          <w:sz w:val="22"/>
        </w:rPr>
        <w:t>al nombre y firma del servidor público</w:t>
      </w:r>
      <w:r w:rsidRPr="00C00ACE">
        <w:rPr>
          <w:rFonts w:ascii="Palatino Linotype" w:hAnsi="Palatino Linotype" w:cs="Tahoma"/>
          <w:sz w:val="22"/>
        </w:rPr>
        <w:t>, si bien por naturaleza el primero debe ser público</w:t>
      </w:r>
      <w:r w:rsidR="00BD60A6" w:rsidRPr="00C00ACE">
        <w:rPr>
          <w:rFonts w:ascii="Palatino Linotype" w:hAnsi="Palatino Linotype" w:cs="Tahoma"/>
          <w:sz w:val="22"/>
        </w:rPr>
        <w:t xml:space="preserve"> y el segundo sólo en caso de que el servidor emite un acto de autoridad conforme el criterio 02/19 emitido por el INAI</w:t>
      </w:r>
      <w:r w:rsidRPr="00C00ACE">
        <w:rPr>
          <w:rFonts w:ascii="Palatino Linotype" w:hAnsi="Palatino Linotype" w:cs="Tahoma"/>
          <w:sz w:val="22"/>
        </w:rPr>
        <w:t>, al relacionarse dichos datos con un procedimiento administrativo derivado de una falta no grave concluido, no procede su publicidad, ya que dichos datos hacen identificable al servidor público conforme los argumentos anteriormente expuestos.</w:t>
      </w:r>
    </w:p>
    <w:p w14:paraId="2B6FA2F2" w14:textId="77777777" w:rsidR="00963CE1" w:rsidRPr="00C00ACE" w:rsidRDefault="00963CE1" w:rsidP="000C5818">
      <w:pPr>
        <w:widowControl w:val="0"/>
        <w:autoSpaceDE w:val="0"/>
        <w:autoSpaceDN w:val="0"/>
        <w:adjustRightInd w:val="0"/>
        <w:spacing w:line="360" w:lineRule="auto"/>
        <w:jc w:val="both"/>
        <w:rPr>
          <w:rFonts w:ascii="Palatino Linotype" w:hAnsi="Palatino Linotype" w:cs="Tahoma"/>
          <w:sz w:val="22"/>
        </w:rPr>
      </w:pPr>
    </w:p>
    <w:p w14:paraId="74CAE9D0" w14:textId="77777777" w:rsidR="00963CE1" w:rsidRPr="00C00ACE" w:rsidRDefault="00963CE1" w:rsidP="000C5818">
      <w:pPr>
        <w:widowControl w:val="0"/>
        <w:autoSpaceDE w:val="0"/>
        <w:autoSpaceDN w:val="0"/>
        <w:adjustRightInd w:val="0"/>
        <w:spacing w:line="360" w:lineRule="auto"/>
        <w:jc w:val="both"/>
        <w:rPr>
          <w:rFonts w:ascii="Palatino Linotype" w:hAnsi="Palatino Linotype" w:cs="Tahoma"/>
          <w:sz w:val="22"/>
        </w:rPr>
      </w:pPr>
      <w:proofErr w:type="gramStart"/>
      <w:r w:rsidRPr="00C00ACE">
        <w:rPr>
          <w:rFonts w:ascii="Palatino Linotype" w:hAnsi="Palatino Linotype" w:cs="Tahoma"/>
          <w:sz w:val="22"/>
        </w:rPr>
        <w:t>Finalmente</w:t>
      </w:r>
      <w:proofErr w:type="gramEnd"/>
      <w:r w:rsidRPr="00C00ACE">
        <w:rPr>
          <w:rFonts w:ascii="Palatino Linotype" w:hAnsi="Palatino Linotype" w:cs="Tahoma"/>
          <w:sz w:val="22"/>
        </w:rPr>
        <w:t xml:space="preserve"> sobre el tipo de movimiento, la fecha de movimiento, nombre de la institución, fecha de emisión, clave de la institución, número de referencia y sello digital, si bien no se advierte que hagan identificable al servidor público, en nada abona a la transparencia y rendición de cuentas.</w:t>
      </w:r>
    </w:p>
    <w:p w14:paraId="2778D0D7" w14:textId="77777777" w:rsidR="00E5282F" w:rsidRPr="00C00ACE" w:rsidRDefault="00E5282F" w:rsidP="00E5282F">
      <w:pPr>
        <w:spacing w:line="360" w:lineRule="auto"/>
        <w:jc w:val="both"/>
        <w:rPr>
          <w:rFonts w:ascii="Palatino Linotype" w:eastAsia="Palatino Linotype" w:hAnsi="Palatino Linotype" w:cs="Palatino Linotype"/>
          <w:sz w:val="22"/>
          <w:szCs w:val="22"/>
        </w:rPr>
      </w:pPr>
    </w:p>
    <w:p w14:paraId="60F0A0BE" w14:textId="77777777" w:rsidR="00E5282F" w:rsidRPr="00C00ACE" w:rsidRDefault="00963CE1" w:rsidP="00E5282F">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Lo anterior, contrario a lo señalado por el particular, si se encuentra debidamente fundado y motivado en el acuerdo del Comité de Transparencia que sustenta la clasificación en su totalidad de la documental en análisis, con base en los motivos siguientes: </w:t>
      </w:r>
    </w:p>
    <w:p w14:paraId="0A5394A9" w14:textId="77777777" w:rsidR="00963CE1" w:rsidRPr="00C00ACE" w:rsidRDefault="00963CE1" w:rsidP="00E5282F">
      <w:pPr>
        <w:spacing w:line="360" w:lineRule="auto"/>
        <w:jc w:val="both"/>
        <w:rPr>
          <w:rFonts w:ascii="Palatino Linotype" w:eastAsia="Palatino Linotype" w:hAnsi="Palatino Linotype" w:cs="Palatino Linotype"/>
          <w:sz w:val="22"/>
          <w:szCs w:val="22"/>
        </w:rPr>
      </w:pPr>
    </w:p>
    <w:p w14:paraId="437ABFA2" w14:textId="77777777" w:rsidR="00963CE1" w:rsidRPr="00C00ACE" w:rsidRDefault="00963CE1" w:rsidP="00E5282F">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sz w:val="22"/>
          <w:szCs w:val="22"/>
        </w:rPr>
        <w:drawing>
          <wp:inline distT="0" distB="0" distL="0" distR="0" wp14:anchorId="365BEE9A" wp14:editId="7FDD4C41">
            <wp:extent cx="5612130" cy="3177540"/>
            <wp:effectExtent l="19050" t="19050" r="2667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77540"/>
                    </a:xfrm>
                    <a:prstGeom prst="rect">
                      <a:avLst/>
                    </a:prstGeom>
                    <a:ln>
                      <a:solidFill>
                        <a:schemeClr val="accent1"/>
                      </a:solidFill>
                    </a:ln>
                  </pic:spPr>
                </pic:pic>
              </a:graphicData>
            </a:graphic>
          </wp:inline>
        </w:drawing>
      </w:r>
    </w:p>
    <w:p w14:paraId="57167215" w14:textId="77777777" w:rsidR="00963CE1" w:rsidRPr="00C00ACE" w:rsidRDefault="00963CE1" w:rsidP="00E5282F">
      <w:pPr>
        <w:spacing w:line="360" w:lineRule="auto"/>
        <w:jc w:val="both"/>
        <w:rPr>
          <w:rFonts w:ascii="Palatino Linotype" w:eastAsia="Palatino Linotype" w:hAnsi="Palatino Linotype" w:cs="Palatino Linotype"/>
          <w:sz w:val="22"/>
          <w:szCs w:val="22"/>
        </w:rPr>
      </w:pPr>
    </w:p>
    <w:p w14:paraId="13236D5E" w14:textId="77777777" w:rsidR="00E5282F" w:rsidRPr="00C00ACE" w:rsidRDefault="00E5282F" w:rsidP="00E5282F">
      <w:pPr>
        <w:pStyle w:val="Prrafodelista"/>
        <w:numPr>
          <w:ilvl w:val="0"/>
          <w:numId w:val="29"/>
        </w:numPr>
        <w:spacing w:line="360"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Constancias de no inhabilitación;</w:t>
      </w:r>
    </w:p>
    <w:p w14:paraId="51276B8A" w14:textId="77777777" w:rsidR="00963CE1" w:rsidRPr="00C00ACE" w:rsidRDefault="00963CE1" w:rsidP="00963CE1">
      <w:pPr>
        <w:spacing w:line="360" w:lineRule="auto"/>
        <w:jc w:val="both"/>
        <w:rPr>
          <w:rFonts w:ascii="Palatino Linotype" w:eastAsia="Palatino Linotype" w:hAnsi="Palatino Linotype" w:cs="Palatino Linotype"/>
          <w:b/>
          <w:sz w:val="22"/>
          <w:szCs w:val="22"/>
        </w:rPr>
      </w:pPr>
    </w:p>
    <w:p w14:paraId="70557668" w14:textId="77777777" w:rsidR="00A300EE" w:rsidRPr="00C00ACE" w:rsidRDefault="00A300EE" w:rsidP="00A300EE">
      <w:pPr>
        <w:spacing w:line="360" w:lineRule="auto"/>
        <w:contextualSpacing/>
        <w:jc w:val="both"/>
        <w:rPr>
          <w:rFonts w:ascii="Palatino Linotype" w:hAnsi="Palatino Linotype" w:cs="Tahoma"/>
          <w:sz w:val="22"/>
          <w:szCs w:val="22"/>
          <w:lang w:val="es-ES"/>
        </w:rPr>
      </w:pPr>
      <w:r w:rsidRPr="00C00ACE">
        <w:rPr>
          <w:rFonts w:ascii="Palatino Linotype" w:hAnsi="Palatino Linotype" w:cs="Tahoma"/>
          <w:sz w:val="22"/>
          <w:szCs w:val="22"/>
          <w:lang w:val="es-ES"/>
        </w:rPr>
        <w:t xml:space="preserve">Sobre </w:t>
      </w:r>
      <w:proofErr w:type="gramStart"/>
      <w:r w:rsidRPr="00C00ACE">
        <w:rPr>
          <w:rFonts w:ascii="Palatino Linotype" w:hAnsi="Palatino Linotype" w:cs="Tahoma"/>
          <w:sz w:val="22"/>
          <w:szCs w:val="22"/>
          <w:lang w:val="es-ES"/>
        </w:rPr>
        <w:t>dicha documental</w:t>
      </w:r>
      <w:proofErr w:type="gramEnd"/>
      <w:r w:rsidRPr="00C00ACE">
        <w:rPr>
          <w:rFonts w:ascii="Palatino Linotype" w:hAnsi="Palatino Linotype" w:cs="Tahoma"/>
          <w:sz w:val="22"/>
          <w:szCs w:val="22"/>
          <w:lang w:val="es-ES"/>
        </w:rPr>
        <w:t>, resulta preciso señalar que corresponde al documento clasificado en su totalidad que el particular en sus motivos de inconformidad refiere como ejemplo del cual aparentemente el ente público no señaló motivo para su restricción total.</w:t>
      </w:r>
    </w:p>
    <w:p w14:paraId="19AC557E" w14:textId="77777777" w:rsidR="00A300EE" w:rsidRPr="00C00ACE" w:rsidRDefault="00A300EE" w:rsidP="00A300EE">
      <w:pPr>
        <w:spacing w:line="360" w:lineRule="auto"/>
        <w:contextualSpacing/>
        <w:jc w:val="both"/>
        <w:rPr>
          <w:rFonts w:ascii="Palatino Linotype" w:hAnsi="Palatino Linotype" w:cs="Tahoma"/>
          <w:sz w:val="22"/>
          <w:szCs w:val="22"/>
          <w:lang w:val="es-ES"/>
        </w:rPr>
      </w:pPr>
    </w:p>
    <w:p w14:paraId="035870DC" w14:textId="77777777" w:rsidR="00A300EE" w:rsidRPr="00C00ACE" w:rsidRDefault="00A300EE" w:rsidP="00A300EE">
      <w:pPr>
        <w:spacing w:line="360" w:lineRule="auto"/>
        <w:contextualSpacing/>
        <w:jc w:val="both"/>
        <w:rPr>
          <w:rFonts w:ascii="Palatino Linotype" w:hAnsi="Palatino Linotype" w:cs="Tahoma"/>
          <w:sz w:val="22"/>
          <w:szCs w:val="22"/>
          <w:lang w:val="es-ES"/>
        </w:rPr>
      </w:pPr>
      <w:r w:rsidRPr="00C00ACE">
        <w:rPr>
          <w:rFonts w:ascii="Palatino Linotype" w:hAnsi="Palatino Linotype" w:cs="Tahoma"/>
          <w:sz w:val="22"/>
          <w:szCs w:val="22"/>
          <w:lang w:val="es-ES"/>
        </w:rPr>
        <w:t xml:space="preserve">Lo anterior, ya que del análisis a las constancias que integran los expedientes de substanciación remitidos por el Sujeto Obligado, se advierte que es la </w:t>
      </w:r>
      <w:proofErr w:type="gramStart"/>
      <w:r w:rsidRPr="00C00ACE">
        <w:rPr>
          <w:rFonts w:ascii="Palatino Linotype" w:hAnsi="Palatino Linotype" w:cs="Tahoma"/>
          <w:sz w:val="22"/>
          <w:szCs w:val="22"/>
          <w:lang w:val="es-ES"/>
        </w:rPr>
        <w:t>única documental</w:t>
      </w:r>
      <w:proofErr w:type="gramEnd"/>
      <w:r w:rsidRPr="00C00ACE">
        <w:rPr>
          <w:rFonts w:ascii="Palatino Linotype" w:hAnsi="Palatino Linotype" w:cs="Tahoma"/>
          <w:sz w:val="22"/>
          <w:szCs w:val="22"/>
          <w:lang w:val="es-ES"/>
        </w:rPr>
        <w:t xml:space="preserve"> </w:t>
      </w:r>
      <w:r w:rsidRPr="00C00ACE">
        <w:rPr>
          <w:rFonts w:ascii="Palatino Linotype" w:hAnsi="Palatino Linotype" w:cs="Tahoma"/>
          <w:sz w:val="22"/>
          <w:szCs w:val="22"/>
          <w:lang w:val="es-ES"/>
        </w:rPr>
        <w:lastRenderedPageBreak/>
        <w:t>clasificada en su totalidad en la que sólo se dejó visible el destinatario como lo señaló el particular, como se muestra:</w:t>
      </w:r>
    </w:p>
    <w:p w14:paraId="72EE503B" w14:textId="77777777" w:rsidR="00A300EE" w:rsidRPr="00C00ACE" w:rsidRDefault="00A300EE" w:rsidP="00A300EE">
      <w:pPr>
        <w:spacing w:line="360" w:lineRule="auto"/>
        <w:contextualSpacing/>
        <w:jc w:val="both"/>
        <w:rPr>
          <w:rFonts w:ascii="Palatino Linotype" w:hAnsi="Palatino Linotype" w:cs="Tahoma"/>
          <w:sz w:val="22"/>
          <w:szCs w:val="22"/>
          <w:lang w:val="es-ES"/>
        </w:rPr>
      </w:pPr>
      <w:r w:rsidRPr="00C00ACE">
        <w:rPr>
          <w:rFonts w:ascii="Palatino Linotype" w:hAnsi="Palatino Linotype" w:cs="Tahoma"/>
          <w:sz w:val="22"/>
          <w:szCs w:val="22"/>
          <w:lang w:val="es-ES"/>
        </w:rPr>
        <w:t xml:space="preserve"> </w:t>
      </w:r>
      <w:r w:rsidR="00FB6F52" w:rsidRPr="00C00ACE">
        <w:rPr>
          <w:rFonts w:ascii="Palatino Linotype" w:hAnsi="Palatino Linotype" w:cs="Tahoma"/>
          <w:noProof/>
          <w:sz w:val="22"/>
          <w:szCs w:val="22"/>
        </w:rPr>
        <w:drawing>
          <wp:inline distT="0" distB="0" distL="0" distR="0" wp14:anchorId="67C3504C" wp14:editId="4AEC6906">
            <wp:extent cx="5612130" cy="4314190"/>
            <wp:effectExtent l="19050" t="19050" r="2667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314190"/>
                    </a:xfrm>
                    <a:prstGeom prst="rect">
                      <a:avLst/>
                    </a:prstGeom>
                    <a:ln>
                      <a:solidFill>
                        <a:schemeClr val="accent1"/>
                      </a:solidFill>
                    </a:ln>
                  </pic:spPr>
                </pic:pic>
              </a:graphicData>
            </a:graphic>
          </wp:inline>
        </w:drawing>
      </w:r>
    </w:p>
    <w:p w14:paraId="3B88DCFF" w14:textId="77777777" w:rsidR="00A300EE" w:rsidRPr="00C00ACE" w:rsidRDefault="00A300EE" w:rsidP="00A300EE">
      <w:pPr>
        <w:spacing w:line="360" w:lineRule="auto"/>
        <w:contextualSpacing/>
        <w:jc w:val="both"/>
        <w:rPr>
          <w:rFonts w:ascii="Palatino Linotype" w:hAnsi="Palatino Linotype" w:cs="Tahoma"/>
          <w:sz w:val="22"/>
          <w:szCs w:val="22"/>
          <w:lang w:val="es-ES"/>
        </w:rPr>
      </w:pPr>
    </w:p>
    <w:p w14:paraId="0C92FC54" w14:textId="77777777" w:rsidR="00FB6F52" w:rsidRPr="00C00ACE" w:rsidRDefault="00FB6F52" w:rsidP="00A300EE">
      <w:pPr>
        <w:spacing w:line="360" w:lineRule="auto"/>
        <w:contextualSpacing/>
        <w:jc w:val="both"/>
        <w:rPr>
          <w:rFonts w:ascii="Palatino Linotype" w:hAnsi="Palatino Linotype" w:cs="Tahoma"/>
          <w:sz w:val="22"/>
          <w:szCs w:val="22"/>
          <w:lang w:val="es-ES"/>
        </w:rPr>
      </w:pPr>
      <w:r w:rsidRPr="00C00ACE">
        <w:rPr>
          <w:rFonts w:ascii="Palatino Linotype" w:hAnsi="Palatino Linotype" w:cs="Tahoma"/>
          <w:sz w:val="22"/>
          <w:szCs w:val="22"/>
          <w:lang w:val="es-ES"/>
        </w:rPr>
        <w:t>Documente el anterior, que al relacionarlo con el cuadro de clasificación que remite el Sujeto Obligado en cada archivo con los expedientes de substanciación, se advierte que en las fojas que contienen ese documento corresponden a las constancias de no inhabilitación.</w:t>
      </w:r>
    </w:p>
    <w:p w14:paraId="7DE6E63F" w14:textId="77777777" w:rsidR="00FB6F52" w:rsidRPr="00C00ACE" w:rsidRDefault="00FB6F52" w:rsidP="00A300EE">
      <w:pPr>
        <w:spacing w:line="360" w:lineRule="auto"/>
        <w:contextualSpacing/>
        <w:jc w:val="both"/>
        <w:rPr>
          <w:rFonts w:ascii="Palatino Linotype" w:hAnsi="Palatino Linotype" w:cs="Tahoma"/>
          <w:sz w:val="22"/>
          <w:szCs w:val="22"/>
          <w:lang w:val="es-ES"/>
        </w:rPr>
      </w:pPr>
    </w:p>
    <w:p w14:paraId="1E1C06E2" w14:textId="77777777" w:rsidR="00A300EE" w:rsidRPr="00C00ACE" w:rsidRDefault="00FB6F52" w:rsidP="00A300EE">
      <w:pPr>
        <w:spacing w:line="360" w:lineRule="auto"/>
        <w:contextualSpacing/>
        <w:jc w:val="both"/>
        <w:rPr>
          <w:rFonts w:ascii="Palatino Linotype" w:eastAsia="Calibri" w:hAnsi="Palatino Linotype" w:cs="Tahoma"/>
          <w:bCs/>
          <w:iCs/>
          <w:sz w:val="22"/>
          <w:szCs w:val="22"/>
          <w:lang w:val="es-ES_tradnl" w:eastAsia="en-US"/>
        </w:rPr>
      </w:pPr>
      <w:r w:rsidRPr="00C00ACE">
        <w:rPr>
          <w:rFonts w:ascii="Palatino Linotype" w:hAnsi="Palatino Linotype" w:cs="Tahoma"/>
          <w:sz w:val="22"/>
          <w:szCs w:val="22"/>
          <w:lang w:val="es-ES"/>
        </w:rPr>
        <w:lastRenderedPageBreak/>
        <w:t xml:space="preserve">Aclarado lo anterior, dada la naturaleza de la documental indicada, es preciso </w:t>
      </w:r>
      <w:r w:rsidR="00A300EE" w:rsidRPr="00C00ACE">
        <w:rPr>
          <w:rFonts w:ascii="Palatino Linotype" w:hAnsi="Palatino Linotype" w:cs="Tahoma"/>
          <w:sz w:val="22"/>
          <w:szCs w:val="22"/>
          <w:lang w:val="es-ES"/>
        </w:rPr>
        <w:t xml:space="preserve">traer al estudio </w:t>
      </w:r>
      <w:r w:rsidR="00A300EE" w:rsidRPr="00C00ACE">
        <w:rPr>
          <w:rFonts w:ascii="Palatino Linotype" w:hAnsi="Palatino Linotype"/>
          <w:sz w:val="22"/>
          <w:szCs w:val="22"/>
        </w:rPr>
        <w:t>el</w:t>
      </w:r>
      <w:r w:rsidR="00A300EE" w:rsidRPr="00C00ACE">
        <w:rPr>
          <w:rFonts w:ascii="Palatino Linotype" w:eastAsia="Calibri" w:hAnsi="Palatino Linotype" w:cs="Tahoma"/>
          <w:bCs/>
          <w:sz w:val="22"/>
          <w:szCs w:val="22"/>
          <w:lang w:eastAsia="en-US"/>
        </w:rPr>
        <w:t xml:space="preserve"> artículo 47 de la Ley del Trabajo de los Servidores Públicos del Estado y Municipios; el cual refiere </w:t>
      </w:r>
      <w:proofErr w:type="gramStart"/>
      <w:r w:rsidR="00A300EE" w:rsidRPr="00C00ACE">
        <w:rPr>
          <w:rFonts w:ascii="Palatino Linotype" w:eastAsia="Calibri" w:hAnsi="Palatino Linotype" w:cs="Tahoma"/>
          <w:bCs/>
          <w:sz w:val="22"/>
          <w:szCs w:val="22"/>
          <w:lang w:eastAsia="en-US"/>
        </w:rPr>
        <w:t>que</w:t>
      </w:r>
      <w:proofErr w:type="gramEnd"/>
      <w:r w:rsidR="00A300EE" w:rsidRPr="00C00ACE">
        <w:rPr>
          <w:rFonts w:ascii="Palatino Linotype" w:eastAsia="Calibri" w:hAnsi="Palatino Linotype" w:cs="Tahoma"/>
          <w:bCs/>
          <w:sz w:val="22"/>
          <w:szCs w:val="22"/>
          <w:lang w:eastAsia="en-US"/>
        </w:rPr>
        <w:t xml:space="preserve"> para ingresar al servicio público, se requiere, lo siguiente:</w:t>
      </w:r>
    </w:p>
    <w:p w14:paraId="3440D9A7" w14:textId="77777777" w:rsidR="00A300EE" w:rsidRPr="00C00ACE" w:rsidRDefault="00A300EE" w:rsidP="00A300EE">
      <w:pPr>
        <w:spacing w:line="360" w:lineRule="auto"/>
        <w:contextualSpacing/>
        <w:jc w:val="both"/>
        <w:rPr>
          <w:rFonts w:ascii="Palatino Linotype" w:eastAsia="Calibri" w:hAnsi="Palatino Linotype" w:cs="Tahoma"/>
          <w:bCs/>
          <w:iCs/>
          <w:sz w:val="22"/>
          <w:szCs w:val="22"/>
          <w:lang w:val="es-ES_tradnl" w:eastAsia="en-US"/>
        </w:rPr>
      </w:pPr>
    </w:p>
    <w:p w14:paraId="36EAB56F"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b/>
          <w:bCs/>
          <w:i/>
          <w:iCs/>
          <w:sz w:val="22"/>
          <w:szCs w:val="22"/>
        </w:rPr>
        <w:t>ARTÍCULO 47.</w:t>
      </w:r>
      <w:r w:rsidRPr="00C00ACE">
        <w:rPr>
          <w:rFonts w:ascii="Palatino Linotype" w:hAnsi="Palatino Linotype"/>
          <w:i/>
          <w:iCs/>
          <w:sz w:val="22"/>
          <w:szCs w:val="22"/>
        </w:rPr>
        <w:t xml:space="preserve"> Para ingresar al servicio público se requiere:</w:t>
      </w:r>
    </w:p>
    <w:p w14:paraId="653F2E07"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p>
    <w:p w14:paraId="43D5A00E"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I. Presentar una solicitud utilizando la forma oficial que se autorice por la institución pública o dependencia correspondiente;</w:t>
      </w:r>
    </w:p>
    <w:p w14:paraId="756A06EF"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 xml:space="preserve">II. Ser de nacionalidad mexicana, con la excepción prevista en el artículo 17 de la presente ley; </w:t>
      </w:r>
    </w:p>
    <w:p w14:paraId="7F98F475"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III. Estar en pleno ejercicio de sus derechos civiles y políticos, en su caso;</w:t>
      </w:r>
    </w:p>
    <w:p w14:paraId="29E7339A"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IV. Acreditar, cuando proceda, el cumplimiento de la Ley del Servicio Militar Nacional;</w:t>
      </w:r>
    </w:p>
    <w:p w14:paraId="25B3619B"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V. Derogada.</w:t>
      </w:r>
    </w:p>
    <w:p w14:paraId="6DB435CC" w14:textId="77777777" w:rsidR="00A300EE" w:rsidRPr="00C00ACE" w:rsidRDefault="00A300EE" w:rsidP="00A300EE">
      <w:pPr>
        <w:spacing w:line="360" w:lineRule="auto"/>
        <w:ind w:left="567" w:right="539"/>
        <w:contextualSpacing/>
        <w:jc w:val="both"/>
        <w:rPr>
          <w:rFonts w:ascii="Palatino Linotype" w:hAnsi="Palatino Linotype"/>
          <w:b/>
          <w:i/>
          <w:iCs/>
          <w:sz w:val="22"/>
          <w:szCs w:val="22"/>
        </w:rPr>
      </w:pPr>
      <w:r w:rsidRPr="00C00ACE">
        <w:rPr>
          <w:rFonts w:ascii="Palatino Linotype" w:hAnsi="Palatino Linotype"/>
          <w:b/>
          <w:i/>
          <w:iCs/>
          <w:sz w:val="22"/>
          <w:szCs w:val="22"/>
        </w:rPr>
        <w:t>VI. No haber sido separado anteriormente del servicio por las causas previstas en el artículo 93 de la presente ley;</w:t>
      </w:r>
    </w:p>
    <w:p w14:paraId="3580BFAE"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VII. Tener buena salud, lo que se comprobará con los certificados médicos correspondientes, en la forma en que se establezca en cada institución pública;</w:t>
      </w:r>
    </w:p>
    <w:p w14:paraId="274657B2"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VIII. Cumplir con los requisitos que se establezcan para los diferentes puestos;</w:t>
      </w:r>
    </w:p>
    <w:p w14:paraId="509F0734"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 xml:space="preserve">IX. Acreditar por medio de los exámenes correspondientes los conocimientos y aptitudes necesarios para el desempeño del puesto; y </w:t>
      </w:r>
    </w:p>
    <w:p w14:paraId="7FE430ED"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X. No estar inhabilitado para el ejercicio del servicio público.</w:t>
      </w:r>
    </w:p>
    <w:p w14:paraId="7035E889" w14:textId="77777777" w:rsidR="00A300EE" w:rsidRPr="00C00ACE" w:rsidRDefault="00A300EE" w:rsidP="00A300EE">
      <w:pPr>
        <w:spacing w:line="360" w:lineRule="auto"/>
        <w:ind w:left="567" w:right="539"/>
        <w:contextualSpacing/>
        <w:jc w:val="both"/>
        <w:rPr>
          <w:rFonts w:ascii="Palatino Linotype" w:hAnsi="Palatino Linotype"/>
          <w:i/>
          <w:iCs/>
          <w:sz w:val="22"/>
          <w:szCs w:val="22"/>
        </w:rPr>
      </w:pPr>
      <w:r w:rsidRPr="00C00ACE">
        <w:rPr>
          <w:rFonts w:ascii="Palatino Linotype" w:hAnsi="Palatino Linotype"/>
          <w:i/>
          <w:iCs/>
          <w:sz w:val="22"/>
          <w:szCs w:val="22"/>
        </w:rPr>
        <w:t xml:space="preserve">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w:t>
      </w:r>
      <w:r w:rsidRPr="00C00ACE">
        <w:rPr>
          <w:rFonts w:ascii="Palatino Linotype" w:hAnsi="Palatino Linotype"/>
          <w:i/>
          <w:iCs/>
          <w:sz w:val="22"/>
          <w:szCs w:val="22"/>
        </w:rPr>
        <w:lastRenderedPageBreak/>
        <w:t>deberá dar aviso al juez de conocimiento de dicha circunstancia, para los efectos legales a que haya lugar.</w:t>
      </w:r>
    </w:p>
    <w:p w14:paraId="5F26B419" w14:textId="77777777" w:rsidR="00A300EE" w:rsidRPr="00C00ACE" w:rsidRDefault="00A300EE" w:rsidP="00A300EE">
      <w:pPr>
        <w:spacing w:line="360" w:lineRule="auto"/>
        <w:ind w:left="567" w:right="539"/>
        <w:contextualSpacing/>
        <w:jc w:val="right"/>
        <w:rPr>
          <w:rFonts w:ascii="Palatino Linotype" w:eastAsia="Calibri" w:hAnsi="Palatino Linotype" w:cs="Tahoma"/>
          <w:bCs/>
          <w:sz w:val="22"/>
          <w:szCs w:val="22"/>
          <w:lang w:val="es-ES" w:eastAsia="en-US"/>
        </w:rPr>
      </w:pPr>
      <w:r w:rsidRPr="00C00ACE">
        <w:rPr>
          <w:rFonts w:ascii="Palatino Linotype" w:eastAsia="Calibri" w:hAnsi="Palatino Linotype" w:cs="Tahoma"/>
          <w:bCs/>
          <w:sz w:val="22"/>
          <w:szCs w:val="22"/>
          <w:lang w:val="es-ES" w:eastAsia="en-US"/>
        </w:rPr>
        <w:t>(Énfasis añadido)</w:t>
      </w:r>
    </w:p>
    <w:p w14:paraId="6AD80550" w14:textId="77777777" w:rsidR="00A300EE" w:rsidRPr="00C00ACE" w:rsidRDefault="00A300EE" w:rsidP="00A300EE">
      <w:pPr>
        <w:spacing w:line="360" w:lineRule="auto"/>
        <w:contextualSpacing/>
        <w:jc w:val="both"/>
        <w:rPr>
          <w:rFonts w:ascii="Palatino Linotype" w:eastAsia="Calibri" w:hAnsi="Palatino Linotype" w:cs="Tahoma"/>
          <w:bCs/>
          <w:iCs/>
          <w:sz w:val="22"/>
          <w:szCs w:val="22"/>
          <w:lang w:val="es-ES_tradnl" w:eastAsia="en-US"/>
        </w:rPr>
      </w:pPr>
      <w:r w:rsidRPr="00C00ACE">
        <w:rPr>
          <w:rFonts w:ascii="Palatino Linotype" w:eastAsia="Calibri" w:hAnsi="Palatino Linotype" w:cs="Tahoma"/>
          <w:bCs/>
          <w:iCs/>
          <w:sz w:val="22"/>
          <w:szCs w:val="22"/>
          <w:lang w:val="es-ES_tradnl" w:eastAsia="en-US"/>
        </w:rPr>
        <w:tab/>
      </w:r>
    </w:p>
    <w:p w14:paraId="7C50ACEB" w14:textId="77777777" w:rsidR="00A300EE" w:rsidRPr="00C00ACE" w:rsidRDefault="00A300EE" w:rsidP="00A300EE">
      <w:pPr>
        <w:spacing w:line="360" w:lineRule="auto"/>
        <w:contextualSpacing/>
        <w:jc w:val="both"/>
        <w:rPr>
          <w:rFonts w:ascii="Palatino Linotype" w:hAnsi="Palatino Linotype" w:cs="Tahoma"/>
          <w:sz w:val="22"/>
          <w:szCs w:val="22"/>
          <w:lang w:val="es-ES"/>
        </w:rPr>
      </w:pPr>
      <w:r w:rsidRPr="00C00ACE">
        <w:rPr>
          <w:rFonts w:ascii="Palatino Linotype" w:hAnsi="Palatino Linotype" w:cs="Tahoma"/>
          <w:sz w:val="22"/>
          <w:szCs w:val="22"/>
          <w:lang w:val="es-ES"/>
        </w:rPr>
        <w:t>Del artículo citado, se advierte que uno de los requisitos para ingresar al servicio público, es que se acredite no estar inhabilitado para el ejercicio del servicio público; lo cual, tiene lugar a través de la constancia de no inhabilitación.</w:t>
      </w:r>
    </w:p>
    <w:p w14:paraId="3E06B213" w14:textId="77777777" w:rsidR="00A300EE" w:rsidRPr="00C00ACE" w:rsidRDefault="00A300EE" w:rsidP="00A300EE">
      <w:pPr>
        <w:spacing w:line="360" w:lineRule="auto"/>
        <w:contextualSpacing/>
        <w:jc w:val="both"/>
        <w:rPr>
          <w:rFonts w:ascii="Palatino Linotype" w:hAnsi="Palatino Linotype" w:cs="Tahoma"/>
          <w:sz w:val="22"/>
          <w:szCs w:val="22"/>
          <w:lang w:val="es-ES"/>
        </w:rPr>
      </w:pPr>
    </w:p>
    <w:p w14:paraId="21EA62BD" w14:textId="77777777" w:rsidR="00A300EE" w:rsidRPr="00C00ACE" w:rsidRDefault="00A300EE" w:rsidP="00A300EE">
      <w:pPr>
        <w:spacing w:line="360" w:lineRule="auto"/>
        <w:contextualSpacing/>
        <w:jc w:val="both"/>
        <w:rPr>
          <w:rFonts w:ascii="Palatino Linotype" w:hAnsi="Palatino Linotype" w:cs="Tahoma"/>
          <w:sz w:val="22"/>
          <w:szCs w:val="22"/>
          <w:lang w:val="es-ES"/>
        </w:rPr>
      </w:pPr>
      <w:r w:rsidRPr="00C00ACE">
        <w:rPr>
          <w:rFonts w:ascii="Palatino Linotype" w:hAnsi="Palatino Linotype" w:cs="Tahoma"/>
          <w:sz w:val="22"/>
          <w:szCs w:val="22"/>
          <w:lang w:val="es-ES"/>
        </w:rPr>
        <w:t xml:space="preserve">Ahora bien, esta misma Ley en su artículo 220K, establece que las instituciones o dependencias públicas deben conservar y exhibir en el proceso los documentos en los que consten los contratos o nombramientos, los recibos de pago, los controles de asistencia, los recibos de depósitos y todos aquellos que </w:t>
      </w:r>
      <w:proofErr w:type="gramStart"/>
      <w:r w:rsidRPr="00C00ACE">
        <w:rPr>
          <w:rFonts w:ascii="Palatino Linotype" w:hAnsi="Palatino Linotype" w:cs="Tahoma"/>
          <w:sz w:val="22"/>
          <w:szCs w:val="22"/>
          <w:lang w:val="es-ES"/>
        </w:rPr>
        <w:t>la leyes</w:t>
      </w:r>
      <w:proofErr w:type="gramEnd"/>
      <w:r w:rsidRPr="00C00ACE">
        <w:rPr>
          <w:rFonts w:ascii="Palatino Linotype" w:hAnsi="Palatino Linotype" w:cs="Tahoma"/>
          <w:sz w:val="22"/>
          <w:szCs w:val="22"/>
          <w:lang w:val="es-ES"/>
        </w:rPr>
        <w:t xml:space="preserve"> señalen; como lo son, los documentos para ingresar al servicio público.</w:t>
      </w:r>
    </w:p>
    <w:p w14:paraId="37DAAC5A" w14:textId="77777777" w:rsidR="00A300EE" w:rsidRPr="00C00ACE" w:rsidRDefault="00A300EE" w:rsidP="00A300EE">
      <w:pPr>
        <w:spacing w:line="360" w:lineRule="auto"/>
        <w:contextualSpacing/>
        <w:jc w:val="both"/>
        <w:rPr>
          <w:rFonts w:ascii="Palatino Linotype" w:hAnsi="Palatino Linotype" w:cs="Tahoma"/>
          <w:sz w:val="22"/>
          <w:szCs w:val="22"/>
          <w:lang w:val="es-ES"/>
        </w:rPr>
      </w:pPr>
    </w:p>
    <w:p w14:paraId="5B12BB4E" w14:textId="77777777" w:rsidR="00A300EE" w:rsidRPr="00C00ACE" w:rsidRDefault="00A300EE" w:rsidP="00A300EE">
      <w:pPr>
        <w:spacing w:line="360" w:lineRule="auto"/>
        <w:contextualSpacing/>
        <w:jc w:val="both"/>
        <w:rPr>
          <w:rFonts w:ascii="Palatino Linotype" w:hAnsi="Palatino Linotype" w:cs="Tahoma"/>
          <w:sz w:val="22"/>
          <w:szCs w:val="22"/>
          <w:lang w:val="es-ES"/>
        </w:rPr>
      </w:pPr>
      <w:r w:rsidRPr="00C00ACE">
        <w:rPr>
          <w:rFonts w:ascii="Palatino Linotype" w:hAnsi="Palatino Linotype" w:cs="Tahoma"/>
          <w:sz w:val="22"/>
          <w:szCs w:val="22"/>
          <w:lang w:val="es-ES"/>
        </w:rPr>
        <w:t xml:space="preserve">Entonces, es dable concluir que el Sujeto Obligado es competente para conocer de dichos documentos, pues es uno de los requisitos que deben cumplir los servidores públicos para ingresar a laborar en el Sujeto Obligado. </w:t>
      </w:r>
    </w:p>
    <w:p w14:paraId="78A88B87" w14:textId="77777777" w:rsidR="00A300EE" w:rsidRPr="00C00ACE" w:rsidRDefault="00A300EE" w:rsidP="00A300EE">
      <w:pPr>
        <w:spacing w:line="360" w:lineRule="auto"/>
        <w:contextualSpacing/>
        <w:jc w:val="both"/>
        <w:rPr>
          <w:rFonts w:ascii="Palatino Linotype" w:hAnsi="Palatino Linotype" w:cs="Tahoma"/>
          <w:sz w:val="22"/>
          <w:szCs w:val="22"/>
          <w:lang w:val="es-ES"/>
        </w:rPr>
      </w:pPr>
    </w:p>
    <w:p w14:paraId="74FDC555" w14:textId="77777777" w:rsidR="00A300EE" w:rsidRPr="00C00ACE" w:rsidRDefault="00A300EE" w:rsidP="00A300EE">
      <w:pPr>
        <w:spacing w:line="360" w:lineRule="auto"/>
        <w:contextualSpacing/>
        <w:jc w:val="both"/>
        <w:rPr>
          <w:rFonts w:ascii="Palatino Linotype" w:hAnsi="Palatino Linotype" w:cs="Tahoma"/>
          <w:sz w:val="22"/>
          <w:szCs w:val="22"/>
          <w:lang w:val="es-ES"/>
        </w:rPr>
      </w:pPr>
      <w:r w:rsidRPr="00C00ACE">
        <w:rPr>
          <w:rFonts w:ascii="Palatino Linotype" w:hAnsi="Palatino Linotype" w:cs="Tahoma"/>
          <w:sz w:val="22"/>
          <w:szCs w:val="22"/>
          <w:lang w:val="es-ES"/>
        </w:rPr>
        <w:t>Sin embargo, dado los datos que pueden contener se estima que es procedente la clasificación de las constancias de no inhabilitación en su totalidad en este caso.</w:t>
      </w:r>
    </w:p>
    <w:p w14:paraId="4688417E" w14:textId="77777777" w:rsidR="00A300EE" w:rsidRPr="00C00ACE" w:rsidRDefault="00A300EE" w:rsidP="00A300EE">
      <w:pPr>
        <w:spacing w:line="360" w:lineRule="auto"/>
        <w:contextualSpacing/>
        <w:jc w:val="both"/>
        <w:rPr>
          <w:rFonts w:ascii="Palatino Linotype" w:hAnsi="Palatino Linotype" w:cs="Tahoma"/>
          <w:sz w:val="22"/>
          <w:szCs w:val="22"/>
          <w:lang w:val="es-ES"/>
        </w:rPr>
      </w:pPr>
    </w:p>
    <w:p w14:paraId="74456319" w14:textId="77777777" w:rsidR="00A300EE" w:rsidRPr="00C00ACE" w:rsidRDefault="00A300EE" w:rsidP="00A300EE">
      <w:pPr>
        <w:spacing w:line="360" w:lineRule="auto"/>
        <w:contextualSpacing/>
        <w:jc w:val="both"/>
        <w:rPr>
          <w:rFonts w:ascii="Palatino Linotype" w:hAnsi="Palatino Linotype" w:cs="Tahoma"/>
          <w:sz w:val="22"/>
          <w:szCs w:val="22"/>
          <w:lang w:val="es-ES"/>
        </w:rPr>
      </w:pPr>
      <w:r w:rsidRPr="00C00ACE">
        <w:rPr>
          <w:rFonts w:ascii="Palatino Linotype" w:hAnsi="Palatino Linotype" w:cs="Tahoma"/>
          <w:sz w:val="22"/>
          <w:szCs w:val="22"/>
          <w:lang w:val="es-ES"/>
        </w:rPr>
        <w:t>Lo anterior, ya que dentro de la información que contiene se encuentra: el nombre completo del servidor público y su Registro Federal de Contribuyentes.</w:t>
      </w:r>
    </w:p>
    <w:p w14:paraId="24F7BE9A" w14:textId="77777777" w:rsidR="00A300EE" w:rsidRPr="00C00ACE" w:rsidRDefault="00A300EE" w:rsidP="00A300EE">
      <w:pPr>
        <w:spacing w:line="360" w:lineRule="auto"/>
        <w:contextualSpacing/>
        <w:jc w:val="both"/>
        <w:rPr>
          <w:rFonts w:ascii="Palatino Linotype" w:hAnsi="Palatino Linotype" w:cs="Tahoma"/>
          <w:sz w:val="22"/>
          <w:szCs w:val="22"/>
          <w:lang w:val="es-ES"/>
        </w:rPr>
      </w:pPr>
    </w:p>
    <w:p w14:paraId="4F57F1FC" w14:textId="77777777" w:rsidR="00A300EE" w:rsidRPr="00C00ACE" w:rsidRDefault="00A300EE" w:rsidP="00A300EE">
      <w:pPr>
        <w:spacing w:line="360" w:lineRule="auto"/>
        <w:ind w:right="49"/>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lastRenderedPageBreak/>
        <w:t>El RFC constituye un dato personal, ya que para su obtención es necesario acreditar ante la autoridad fiscal previamente la identidad de la persona, su fecha de nacimiento, entre otros aspectos.</w:t>
      </w:r>
    </w:p>
    <w:p w14:paraId="7BEB3ACB" w14:textId="77777777" w:rsidR="00A300EE" w:rsidRPr="00C00ACE" w:rsidRDefault="00A300EE" w:rsidP="00A300EE">
      <w:pPr>
        <w:spacing w:line="360" w:lineRule="auto"/>
        <w:ind w:right="49"/>
        <w:jc w:val="both"/>
        <w:rPr>
          <w:rFonts w:ascii="Palatino Linotype" w:eastAsia="Palatino Linotype" w:hAnsi="Palatino Linotype" w:cs="Palatino Linotype"/>
          <w:sz w:val="22"/>
        </w:rPr>
      </w:pPr>
    </w:p>
    <w:p w14:paraId="0A3B6D51" w14:textId="77777777" w:rsidR="00A300EE" w:rsidRPr="00C00ACE" w:rsidRDefault="00A300EE" w:rsidP="00A300EE">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4DD81BD" w14:textId="77777777" w:rsidR="00A300EE" w:rsidRPr="00C00ACE" w:rsidRDefault="00A300EE" w:rsidP="00A300EE">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Lo anterior es compartido por el Instituto Nacional de Transparencia, Acceso a la Información y Protección de Datos (INAI) a través del Criterio 19/17, el cual es del tenor literal siguiente:</w:t>
      </w:r>
    </w:p>
    <w:p w14:paraId="60C6E3CF" w14:textId="77777777" w:rsidR="00A300EE" w:rsidRPr="00C00ACE" w:rsidRDefault="00A300EE" w:rsidP="00A300EE">
      <w:pPr>
        <w:spacing w:line="360" w:lineRule="auto"/>
        <w:jc w:val="both"/>
        <w:rPr>
          <w:rFonts w:ascii="Palatino Linotype" w:eastAsia="Palatino Linotype" w:hAnsi="Palatino Linotype" w:cs="Palatino Linotype"/>
          <w:sz w:val="22"/>
        </w:rPr>
      </w:pPr>
    </w:p>
    <w:p w14:paraId="491E6639" w14:textId="77777777" w:rsidR="00A300EE" w:rsidRPr="00C00ACE" w:rsidRDefault="00A300EE" w:rsidP="00A300EE">
      <w:pPr>
        <w:ind w:left="851" w:right="902"/>
        <w:jc w:val="both"/>
        <w:rPr>
          <w:rFonts w:ascii="Palatino Linotype" w:eastAsia="Palatino Linotype" w:hAnsi="Palatino Linotype" w:cs="Palatino Linotype"/>
          <w:i/>
          <w:sz w:val="22"/>
        </w:rPr>
      </w:pPr>
      <w:r w:rsidRPr="00C00ACE">
        <w:rPr>
          <w:rFonts w:ascii="Palatino Linotype" w:eastAsia="Palatino Linotype" w:hAnsi="Palatino Linotype" w:cs="Palatino Linotype"/>
          <w:b/>
          <w:i/>
          <w:sz w:val="22"/>
        </w:rPr>
        <w:t xml:space="preserve">“Registro Federal de Contribuyentes (RFC) de personas físicas. </w:t>
      </w:r>
      <w:r w:rsidRPr="00C00ACE">
        <w:rPr>
          <w:rFonts w:ascii="Palatino Linotype" w:eastAsia="Palatino Linotype" w:hAnsi="Palatino Linotype" w:cs="Palatino Linotype"/>
          <w:i/>
          <w:sz w:val="22"/>
        </w:rPr>
        <w:t>El RFC es una clave de carácter fiscal, única e irrepetible, que permite identificar al titular, su edad y fecha de nacimiento, por lo que es un dato personal de carácter confidencial.” (Sic)</w:t>
      </w:r>
    </w:p>
    <w:p w14:paraId="2E44735F" w14:textId="77777777" w:rsidR="00A300EE" w:rsidRPr="00C00ACE" w:rsidRDefault="00A300EE" w:rsidP="00A300EE">
      <w:pPr>
        <w:ind w:left="851" w:right="902"/>
        <w:jc w:val="both"/>
        <w:rPr>
          <w:rFonts w:ascii="Arial" w:eastAsia="Arial" w:hAnsi="Arial" w:cs="Arial"/>
          <w:sz w:val="22"/>
        </w:rPr>
      </w:pPr>
    </w:p>
    <w:p w14:paraId="130AD51D" w14:textId="77777777" w:rsidR="00A300EE" w:rsidRPr="00C00ACE" w:rsidRDefault="00A300EE" w:rsidP="00A300EE">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 xml:space="preserve">Así, el RFC se vincula al nombre de su titular y permite identificar la edad de la persona, su fecha de nacimiento, así como su </w:t>
      </w:r>
      <w:proofErr w:type="spellStart"/>
      <w:r w:rsidRPr="00C00ACE">
        <w:rPr>
          <w:rFonts w:ascii="Palatino Linotype" w:eastAsia="Palatino Linotype" w:hAnsi="Palatino Linotype" w:cs="Palatino Linotype"/>
          <w:sz w:val="22"/>
        </w:rPr>
        <w:t>homoclave</w:t>
      </w:r>
      <w:proofErr w:type="spellEnd"/>
      <w:r w:rsidRPr="00C00ACE">
        <w:rPr>
          <w:rFonts w:ascii="Palatino Linotype" w:eastAsia="Palatino Linotype" w:hAnsi="Palatino Linotype" w:cs="Palatino Linotype"/>
          <w:sz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 por lo que se actualiza la procedencia de la clasificación en términos de los dispuesto por el artículo 143 fracción I de la Ley de la Materia.</w:t>
      </w:r>
    </w:p>
    <w:p w14:paraId="219E6598" w14:textId="77777777" w:rsidR="00A300EE" w:rsidRPr="00C00ACE" w:rsidRDefault="00A300EE" w:rsidP="00A300EE">
      <w:pPr>
        <w:spacing w:line="360" w:lineRule="auto"/>
        <w:contextualSpacing/>
        <w:jc w:val="both"/>
        <w:rPr>
          <w:rFonts w:ascii="Palatino Linotype" w:hAnsi="Palatino Linotype" w:cs="Tahoma"/>
          <w:sz w:val="22"/>
          <w:szCs w:val="22"/>
          <w:lang w:val="es-ES"/>
        </w:rPr>
      </w:pPr>
    </w:p>
    <w:p w14:paraId="54AC4A90" w14:textId="77777777" w:rsidR="00A300EE" w:rsidRPr="00C00ACE" w:rsidRDefault="00A300EE" w:rsidP="00963CE1">
      <w:pPr>
        <w:spacing w:line="360"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 xml:space="preserve">Por lo que corresponde al nombre completo del servidor público, </w:t>
      </w:r>
      <w:r w:rsidRPr="00C00ACE">
        <w:rPr>
          <w:rFonts w:ascii="Palatino Linotype" w:eastAsia="Palatino Linotype" w:hAnsi="Palatino Linotype" w:cs="Palatino Linotype"/>
          <w:sz w:val="22"/>
          <w:szCs w:val="22"/>
        </w:rPr>
        <w:t xml:space="preserve">se sigue la misma línea que lo indicado para el Aviso de movimientos del ISSEMYM; pues si bien </w:t>
      </w:r>
      <w:proofErr w:type="gramStart"/>
      <w:r w:rsidRPr="00C00ACE">
        <w:rPr>
          <w:rFonts w:ascii="Palatino Linotype" w:eastAsia="Palatino Linotype" w:hAnsi="Palatino Linotype" w:cs="Palatino Linotype"/>
          <w:sz w:val="22"/>
          <w:szCs w:val="22"/>
        </w:rPr>
        <w:t>el nombre de los servidores públicos son</w:t>
      </w:r>
      <w:proofErr w:type="gramEnd"/>
      <w:r w:rsidRPr="00C00ACE">
        <w:rPr>
          <w:rFonts w:ascii="Palatino Linotype" w:eastAsia="Palatino Linotype" w:hAnsi="Palatino Linotype" w:cs="Palatino Linotype"/>
          <w:sz w:val="22"/>
          <w:szCs w:val="22"/>
        </w:rPr>
        <w:t xml:space="preserve"> por naturaleza públicos; en el caso en encontrarse relacionados con </w:t>
      </w:r>
      <w:r w:rsidRPr="00C00ACE">
        <w:rPr>
          <w:rFonts w:ascii="Palatino Linotype" w:eastAsia="Palatino Linotype" w:hAnsi="Palatino Linotype" w:cs="Palatino Linotype"/>
          <w:sz w:val="22"/>
          <w:szCs w:val="22"/>
        </w:rPr>
        <w:lastRenderedPageBreak/>
        <w:t>servidores públicos involucrados en procedimientos administrativos por faltas no graves concluidos, su publicidad debe ser restringida al hacerlos identificables, ya que afectaría su honor.</w:t>
      </w:r>
    </w:p>
    <w:p w14:paraId="70B5680D" w14:textId="77777777" w:rsidR="00963CE1" w:rsidRPr="00C00ACE" w:rsidRDefault="00963CE1" w:rsidP="00963CE1">
      <w:pPr>
        <w:spacing w:line="360" w:lineRule="auto"/>
        <w:jc w:val="both"/>
        <w:rPr>
          <w:rFonts w:ascii="Palatino Linotype" w:eastAsia="Palatino Linotype" w:hAnsi="Palatino Linotype" w:cs="Palatino Linotype"/>
          <w:b/>
          <w:sz w:val="22"/>
          <w:szCs w:val="22"/>
        </w:rPr>
      </w:pPr>
    </w:p>
    <w:p w14:paraId="7A65B095" w14:textId="77777777" w:rsidR="00FB6F52" w:rsidRPr="00C00ACE" w:rsidRDefault="00FB6F52" w:rsidP="00963CE1">
      <w:pPr>
        <w:spacing w:line="360"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sz w:val="22"/>
          <w:szCs w:val="22"/>
        </w:rPr>
        <w:t xml:space="preserve">Lo anterior, contrario a lo señalado por el particular, si se encuentra debidamente fundado y motivado en el acuerdo del Comité de Transparencia que sustenta la clasificación en su totalidad de la documental en análisis, aunado a que el </w:t>
      </w:r>
      <w:r w:rsidRPr="00C00ACE">
        <w:rPr>
          <w:rFonts w:ascii="Palatino Linotype" w:eastAsia="Palatino Linotype" w:hAnsi="Palatino Linotype" w:cs="Palatino Linotype"/>
          <w:b/>
          <w:sz w:val="22"/>
          <w:szCs w:val="22"/>
        </w:rPr>
        <w:t xml:space="preserve">Sujeto Obligado </w:t>
      </w:r>
      <w:r w:rsidRPr="00C00ACE">
        <w:rPr>
          <w:rFonts w:ascii="Palatino Linotype" w:eastAsia="Palatino Linotype" w:hAnsi="Palatino Linotype" w:cs="Palatino Linotype"/>
          <w:sz w:val="22"/>
          <w:szCs w:val="22"/>
        </w:rPr>
        <w:t>motiva la clasificación con base en lo siguiente:</w:t>
      </w:r>
    </w:p>
    <w:p w14:paraId="2A3439B1" w14:textId="77777777" w:rsidR="00FB6F52" w:rsidRPr="00C00ACE" w:rsidRDefault="00FB6F52" w:rsidP="00963CE1">
      <w:pPr>
        <w:spacing w:line="360" w:lineRule="auto"/>
        <w:jc w:val="both"/>
        <w:rPr>
          <w:rFonts w:ascii="Palatino Linotype" w:eastAsia="Palatino Linotype" w:hAnsi="Palatino Linotype" w:cs="Palatino Linotype"/>
          <w:b/>
          <w:sz w:val="22"/>
          <w:szCs w:val="22"/>
        </w:rPr>
      </w:pPr>
    </w:p>
    <w:p w14:paraId="309614FE" w14:textId="77777777" w:rsidR="00FB6F52" w:rsidRPr="00C00ACE" w:rsidRDefault="00FB6F52" w:rsidP="00963CE1">
      <w:pPr>
        <w:spacing w:line="360"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noProof/>
          <w:sz w:val="22"/>
          <w:szCs w:val="22"/>
        </w:rPr>
        <w:drawing>
          <wp:inline distT="0" distB="0" distL="0" distR="0" wp14:anchorId="6A85D6DB" wp14:editId="2B907AEF">
            <wp:extent cx="5612130" cy="3731172"/>
            <wp:effectExtent l="19050" t="19050" r="26670" b="222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6256" cy="3733915"/>
                    </a:xfrm>
                    <a:prstGeom prst="rect">
                      <a:avLst/>
                    </a:prstGeom>
                    <a:ln>
                      <a:solidFill>
                        <a:schemeClr val="accent1"/>
                      </a:solidFill>
                    </a:ln>
                  </pic:spPr>
                </pic:pic>
              </a:graphicData>
            </a:graphic>
          </wp:inline>
        </w:drawing>
      </w:r>
    </w:p>
    <w:p w14:paraId="08B01803" w14:textId="77777777" w:rsidR="00FB6F52" w:rsidRPr="00C00ACE" w:rsidRDefault="00FB6F52" w:rsidP="00FB6F52">
      <w:pPr>
        <w:spacing w:line="360" w:lineRule="auto"/>
        <w:jc w:val="center"/>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w:t>
      </w:r>
    </w:p>
    <w:p w14:paraId="6695E65B" w14:textId="77777777" w:rsidR="00FB6F52" w:rsidRPr="00C00ACE" w:rsidRDefault="00FB6F52" w:rsidP="00FB6F52">
      <w:pPr>
        <w:spacing w:line="360" w:lineRule="auto"/>
        <w:jc w:val="center"/>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noProof/>
          <w:sz w:val="22"/>
          <w:szCs w:val="22"/>
        </w:rPr>
        <w:lastRenderedPageBreak/>
        <w:drawing>
          <wp:inline distT="0" distB="0" distL="0" distR="0" wp14:anchorId="60C8E176" wp14:editId="157E6661">
            <wp:extent cx="5612130" cy="6939915"/>
            <wp:effectExtent l="19050" t="19050" r="26670" b="13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939915"/>
                    </a:xfrm>
                    <a:prstGeom prst="rect">
                      <a:avLst/>
                    </a:prstGeom>
                    <a:ln>
                      <a:solidFill>
                        <a:schemeClr val="accent1"/>
                      </a:solidFill>
                    </a:ln>
                  </pic:spPr>
                </pic:pic>
              </a:graphicData>
            </a:graphic>
          </wp:inline>
        </w:drawing>
      </w:r>
    </w:p>
    <w:p w14:paraId="1FB324E6" w14:textId="77777777" w:rsidR="00FB6F52" w:rsidRPr="00C00ACE" w:rsidRDefault="00FB6F52" w:rsidP="00FB6F52">
      <w:pPr>
        <w:spacing w:line="360" w:lineRule="auto"/>
        <w:jc w:val="center"/>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w:t>
      </w:r>
    </w:p>
    <w:p w14:paraId="369B5E5A" w14:textId="77777777" w:rsidR="00FB6F52" w:rsidRPr="00C00ACE" w:rsidRDefault="00FB6F52" w:rsidP="00FB6F52">
      <w:pPr>
        <w:spacing w:line="360" w:lineRule="auto"/>
        <w:jc w:val="center"/>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noProof/>
          <w:sz w:val="22"/>
          <w:szCs w:val="22"/>
        </w:rPr>
        <w:lastRenderedPageBreak/>
        <w:drawing>
          <wp:inline distT="0" distB="0" distL="0" distR="0" wp14:anchorId="2D2A4A0B" wp14:editId="4A674151">
            <wp:extent cx="5612130" cy="5330825"/>
            <wp:effectExtent l="19050" t="19050" r="26670"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330825"/>
                    </a:xfrm>
                    <a:prstGeom prst="rect">
                      <a:avLst/>
                    </a:prstGeom>
                    <a:ln>
                      <a:solidFill>
                        <a:schemeClr val="accent1"/>
                      </a:solidFill>
                    </a:ln>
                  </pic:spPr>
                </pic:pic>
              </a:graphicData>
            </a:graphic>
          </wp:inline>
        </w:drawing>
      </w:r>
    </w:p>
    <w:p w14:paraId="017F7186" w14:textId="77777777" w:rsidR="00FB6F52" w:rsidRPr="00C00ACE" w:rsidRDefault="00FB6F52" w:rsidP="00963CE1">
      <w:pPr>
        <w:spacing w:line="360" w:lineRule="auto"/>
        <w:jc w:val="both"/>
        <w:rPr>
          <w:rFonts w:ascii="Palatino Linotype" w:eastAsia="Palatino Linotype" w:hAnsi="Palatino Linotype" w:cs="Palatino Linotype"/>
          <w:b/>
          <w:sz w:val="22"/>
          <w:szCs w:val="22"/>
        </w:rPr>
      </w:pPr>
    </w:p>
    <w:p w14:paraId="1132D875" w14:textId="77777777" w:rsidR="00E5282F" w:rsidRPr="00C00ACE" w:rsidRDefault="00E5282F" w:rsidP="00E5282F">
      <w:pPr>
        <w:pStyle w:val="Prrafodelista"/>
        <w:numPr>
          <w:ilvl w:val="0"/>
          <w:numId w:val="29"/>
        </w:num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Credencial para votar expedida por el Instituto Nacional Electoral</w:t>
      </w:r>
      <w:r w:rsidR="00FB6F52" w:rsidRPr="00C00ACE">
        <w:rPr>
          <w:rFonts w:ascii="Palatino Linotype" w:eastAsia="Palatino Linotype" w:hAnsi="Palatino Linotype" w:cs="Palatino Linotype"/>
          <w:sz w:val="22"/>
          <w:szCs w:val="22"/>
        </w:rPr>
        <w:t>:</w:t>
      </w:r>
    </w:p>
    <w:p w14:paraId="66A6AB83" w14:textId="77777777" w:rsidR="00FB6F52" w:rsidRPr="00C00ACE" w:rsidRDefault="00FB6F52" w:rsidP="00FB6F52">
      <w:pPr>
        <w:spacing w:line="360" w:lineRule="auto"/>
        <w:jc w:val="both"/>
        <w:rPr>
          <w:rFonts w:ascii="Palatino Linotype" w:eastAsia="Palatino Linotype" w:hAnsi="Palatino Linotype" w:cs="Palatino Linotype"/>
          <w:sz w:val="22"/>
          <w:szCs w:val="22"/>
        </w:rPr>
      </w:pPr>
    </w:p>
    <w:p w14:paraId="230EAFF9" w14:textId="77777777" w:rsidR="00FB6F52" w:rsidRPr="00C00ACE" w:rsidRDefault="00FB6F52" w:rsidP="00FB6F5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sz w:val="22"/>
          <w:szCs w:val="22"/>
          <w:u w:val="single"/>
        </w:rPr>
        <w:t>La credencial para votar,</w:t>
      </w:r>
      <w:r w:rsidRPr="00C00ACE">
        <w:rPr>
          <w:rFonts w:ascii="Palatino Linotype" w:eastAsia="Palatino Linotype" w:hAnsi="Palatino Linotype" w:cs="Palatino Linotype"/>
          <w:sz w:val="22"/>
          <w:szCs w:val="22"/>
        </w:rPr>
        <w:t xml:space="preserve"> constituye un documento que contiene datos personales como: el nombre, domicilio, huella digital, fotografía del elector, clave de registro o elector, Clave Única del Registro de Población y firma de su titular, tal como se refiere en el artículo 156 </w:t>
      </w:r>
      <w:r w:rsidRPr="00C00ACE">
        <w:rPr>
          <w:rFonts w:ascii="Palatino Linotype" w:eastAsia="Palatino Linotype" w:hAnsi="Palatino Linotype" w:cs="Palatino Linotype"/>
          <w:sz w:val="22"/>
          <w:szCs w:val="22"/>
        </w:rPr>
        <w:lastRenderedPageBreak/>
        <w:t>numeral 1, incisos d), g) e i) de la Ley General de Instituciones y Procedimientos Electorales que enlista los datos que, cuando menos, debe contener la credencial para votar, como son: </w:t>
      </w:r>
    </w:p>
    <w:p w14:paraId="0581AA7E" w14:textId="77777777" w:rsidR="00FB6F52" w:rsidRPr="00C00ACE" w:rsidRDefault="00FB6F52" w:rsidP="00FB6F52">
      <w:pPr>
        <w:spacing w:line="360" w:lineRule="auto"/>
        <w:rPr>
          <w:rFonts w:ascii="Palatino Linotype" w:eastAsia="Palatino Linotype" w:hAnsi="Palatino Linotype" w:cs="Palatino Linotype"/>
          <w:sz w:val="22"/>
          <w:szCs w:val="22"/>
        </w:rPr>
      </w:pPr>
    </w:p>
    <w:p w14:paraId="5A765EBE" w14:textId="77777777" w:rsidR="00FB6F52" w:rsidRPr="00C00ACE" w:rsidRDefault="00FB6F52" w:rsidP="00FB6F52">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i/>
          <w:sz w:val="22"/>
          <w:szCs w:val="22"/>
        </w:rPr>
        <w:t>“</w:t>
      </w:r>
      <w:r w:rsidRPr="00C00ACE">
        <w:rPr>
          <w:rFonts w:ascii="Palatino Linotype" w:eastAsia="Palatino Linotype" w:hAnsi="Palatino Linotype" w:cs="Palatino Linotype"/>
          <w:b/>
          <w:i/>
          <w:sz w:val="22"/>
          <w:szCs w:val="22"/>
        </w:rPr>
        <w:t>Artículo 156</w:t>
      </w:r>
      <w:r w:rsidRPr="00C00ACE">
        <w:rPr>
          <w:rFonts w:ascii="Palatino Linotype" w:eastAsia="Palatino Linotype" w:hAnsi="Palatino Linotype" w:cs="Palatino Linotype"/>
          <w:i/>
          <w:sz w:val="22"/>
          <w:szCs w:val="22"/>
        </w:rPr>
        <w:t>.</w:t>
      </w:r>
    </w:p>
    <w:p w14:paraId="0A1D76FE" w14:textId="77777777" w:rsidR="00FB6F52" w:rsidRPr="00C00ACE" w:rsidRDefault="00FB6F52" w:rsidP="00FB6F52">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i/>
          <w:sz w:val="22"/>
          <w:szCs w:val="22"/>
        </w:rPr>
        <w:t>1.</w:t>
      </w:r>
      <w:r w:rsidRPr="00C00ACE">
        <w:rPr>
          <w:rFonts w:ascii="Palatino Linotype" w:eastAsia="Palatino Linotype" w:hAnsi="Palatino Linotype" w:cs="Palatino Linotype"/>
          <w:i/>
          <w:sz w:val="22"/>
          <w:szCs w:val="22"/>
        </w:rPr>
        <w:t xml:space="preserve"> </w:t>
      </w:r>
      <w:r w:rsidRPr="00C00ACE">
        <w:rPr>
          <w:rFonts w:ascii="Palatino Linotype" w:eastAsia="Palatino Linotype" w:hAnsi="Palatino Linotype" w:cs="Palatino Linotype"/>
          <w:b/>
          <w:i/>
          <w:sz w:val="22"/>
          <w:szCs w:val="22"/>
          <w:u w:val="single"/>
        </w:rPr>
        <w:t>La credencial para votar deberá contener, cuando menos, los siguientes datos del elector</w:t>
      </w:r>
      <w:r w:rsidRPr="00C00ACE">
        <w:rPr>
          <w:rFonts w:ascii="Palatino Linotype" w:eastAsia="Palatino Linotype" w:hAnsi="Palatino Linotype" w:cs="Palatino Linotype"/>
          <w:i/>
          <w:sz w:val="22"/>
          <w:szCs w:val="22"/>
        </w:rPr>
        <w:t>:</w:t>
      </w:r>
    </w:p>
    <w:p w14:paraId="276AAB31" w14:textId="77777777" w:rsidR="00FB6F52" w:rsidRPr="00C00ACE" w:rsidRDefault="00FB6F52" w:rsidP="00FB6F52">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i/>
          <w:sz w:val="22"/>
          <w:szCs w:val="22"/>
        </w:rPr>
        <w:t>…</w:t>
      </w:r>
    </w:p>
    <w:p w14:paraId="42364421" w14:textId="77777777" w:rsidR="00FB6F52" w:rsidRPr="00C00ACE" w:rsidRDefault="00FB6F52" w:rsidP="00FB6F52">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i/>
          <w:sz w:val="22"/>
          <w:szCs w:val="22"/>
        </w:rPr>
        <w:t xml:space="preserve">d) </w:t>
      </w:r>
      <w:r w:rsidRPr="00C00ACE">
        <w:rPr>
          <w:rFonts w:ascii="Palatino Linotype" w:eastAsia="Palatino Linotype" w:hAnsi="Palatino Linotype" w:cs="Palatino Linotype"/>
          <w:b/>
          <w:i/>
          <w:sz w:val="22"/>
          <w:szCs w:val="22"/>
          <w:u w:val="single"/>
        </w:rPr>
        <w:t>Domicilio</w:t>
      </w:r>
      <w:r w:rsidRPr="00C00ACE">
        <w:rPr>
          <w:rFonts w:ascii="Palatino Linotype" w:eastAsia="Palatino Linotype" w:hAnsi="Palatino Linotype" w:cs="Palatino Linotype"/>
          <w:i/>
          <w:sz w:val="22"/>
          <w:szCs w:val="22"/>
        </w:rPr>
        <w:t>;</w:t>
      </w:r>
    </w:p>
    <w:p w14:paraId="36E06AD9" w14:textId="77777777" w:rsidR="00FB6F52" w:rsidRPr="00C00ACE" w:rsidRDefault="00FB6F52" w:rsidP="00FB6F52">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i/>
          <w:sz w:val="22"/>
          <w:szCs w:val="22"/>
        </w:rPr>
        <w:t>…</w:t>
      </w:r>
    </w:p>
    <w:p w14:paraId="5A6FDDE6" w14:textId="77777777" w:rsidR="00FB6F52" w:rsidRPr="00C00ACE" w:rsidRDefault="00FB6F52" w:rsidP="00FB6F52">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i/>
          <w:sz w:val="22"/>
          <w:szCs w:val="22"/>
        </w:rPr>
        <w:t xml:space="preserve">g) </w:t>
      </w:r>
      <w:r w:rsidRPr="00C00ACE">
        <w:rPr>
          <w:rFonts w:ascii="Palatino Linotype" w:eastAsia="Palatino Linotype" w:hAnsi="Palatino Linotype" w:cs="Palatino Linotype"/>
          <w:b/>
          <w:i/>
          <w:sz w:val="22"/>
          <w:szCs w:val="22"/>
        </w:rPr>
        <w:t>Firma</w:t>
      </w:r>
      <w:r w:rsidRPr="00C00ACE">
        <w:rPr>
          <w:rFonts w:ascii="Palatino Linotype" w:eastAsia="Palatino Linotype" w:hAnsi="Palatino Linotype" w:cs="Palatino Linotype"/>
          <w:i/>
          <w:sz w:val="22"/>
          <w:szCs w:val="22"/>
        </w:rPr>
        <w:t xml:space="preserve">, </w:t>
      </w:r>
      <w:r w:rsidRPr="00C00ACE">
        <w:rPr>
          <w:rFonts w:ascii="Palatino Linotype" w:eastAsia="Palatino Linotype" w:hAnsi="Palatino Linotype" w:cs="Palatino Linotype"/>
          <w:b/>
          <w:i/>
          <w:sz w:val="22"/>
          <w:szCs w:val="22"/>
          <w:u w:val="single"/>
        </w:rPr>
        <w:t>huella digital</w:t>
      </w:r>
      <w:r w:rsidRPr="00C00ACE">
        <w:rPr>
          <w:rFonts w:ascii="Palatino Linotype" w:eastAsia="Palatino Linotype" w:hAnsi="Palatino Linotype" w:cs="Palatino Linotype"/>
          <w:i/>
          <w:sz w:val="22"/>
          <w:szCs w:val="22"/>
        </w:rPr>
        <w:t xml:space="preserve"> y </w:t>
      </w:r>
      <w:r w:rsidRPr="00C00ACE">
        <w:rPr>
          <w:rFonts w:ascii="Palatino Linotype" w:eastAsia="Palatino Linotype" w:hAnsi="Palatino Linotype" w:cs="Palatino Linotype"/>
          <w:b/>
          <w:i/>
          <w:sz w:val="22"/>
          <w:szCs w:val="22"/>
          <w:u w:val="single"/>
        </w:rPr>
        <w:t>fotografía del elector</w:t>
      </w:r>
      <w:r w:rsidRPr="00C00ACE">
        <w:rPr>
          <w:rFonts w:ascii="Palatino Linotype" w:eastAsia="Palatino Linotype" w:hAnsi="Palatino Linotype" w:cs="Palatino Linotype"/>
          <w:i/>
          <w:sz w:val="22"/>
          <w:szCs w:val="22"/>
        </w:rPr>
        <w:t>;</w:t>
      </w:r>
    </w:p>
    <w:p w14:paraId="10A09CF2" w14:textId="77777777" w:rsidR="00FB6F52" w:rsidRPr="00C00ACE" w:rsidRDefault="00FB6F52" w:rsidP="00FB6F52">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i/>
          <w:sz w:val="22"/>
          <w:szCs w:val="22"/>
        </w:rPr>
        <w:t>…</w:t>
      </w:r>
    </w:p>
    <w:p w14:paraId="7CB1A1F6" w14:textId="77777777" w:rsidR="00FB6F52" w:rsidRPr="00C00ACE" w:rsidRDefault="00FB6F52" w:rsidP="00FB6F52">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i/>
          <w:sz w:val="22"/>
          <w:szCs w:val="22"/>
        </w:rPr>
        <w:t xml:space="preserve">i) </w:t>
      </w:r>
      <w:r w:rsidRPr="00C00ACE">
        <w:rPr>
          <w:rFonts w:ascii="Palatino Linotype" w:eastAsia="Palatino Linotype" w:hAnsi="Palatino Linotype" w:cs="Palatino Linotype"/>
          <w:b/>
          <w:i/>
          <w:sz w:val="22"/>
          <w:szCs w:val="22"/>
          <w:u w:val="single"/>
        </w:rPr>
        <w:t>Clave Única del Registro de Población</w:t>
      </w:r>
      <w:proofErr w:type="gramStart"/>
      <w:r w:rsidRPr="00C00ACE">
        <w:rPr>
          <w:rFonts w:ascii="Palatino Linotype" w:eastAsia="Palatino Linotype" w:hAnsi="Palatino Linotype" w:cs="Palatino Linotype"/>
          <w:i/>
          <w:sz w:val="22"/>
          <w:szCs w:val="22"/>
        </w:rPr>
        <w:t>. ”</w:t>
      </w:r>
      <w:proofErr w:type="gramEnd"/>
      <w:r w:rsidRPr="00C00ACE">
        <w:rPr>
          <w:rFonts w:ascii="Palatino Linotype" w:eastAsia="Palatino Linotype" w:hAnsi="Palatino Linotype" w:cs="Palatino Linotype"/>
          <w:i/>
          <w:sz w:val="22"/>
          <w:szCs w:val="22"/>
        </w:rPr>
        <w:t> </w:t>
      </w:r>
    </w:p>
    <w:p w14:paraId="459F6775" w14:textId="77777777" w:rsidR="00FB6F52" w:rsidRPr="00C00ACE" w:rsidRDefault="00FB6F52" w:rsidP="00FB6F52">
      <w:pPr>
        <w:pBdr>
          <w:top w:val="nil"/>
          <w:left w:val="nil"/>
          <w:bottom w:val="nil"/>
          <w:right w:val="nil"/>
          <w:between w:val="nil"/>
        </w:pBdr>
        <w:spacing w:line="360" w:lineRule="auto"/>
        <w:ind w:left="567" w:right="560"/>
        <w:jc w:val="right"/>
        <w:rPr>
          <w:rFonts w:ascii="Palatino Linotype" w:eastAsia="Palatino Linotype" w:hAnsi="Palatino Linotype" w:cs="Palatino Linotype"/>
          <w:sz w:val="22"/>
          <w:szCs w:val="22"/>
        </w:rPr>
      </w:pPr>
      <w:r w:rsidRPr="00C00ACE">
        <w:rPr>
          <w:rFonts w:ascii="Palatino Linotype" w:eastAsia="Palatino Linotype" w:hAnsi="Palatino Linotype" w:cs="Palatino Linotype"/>
          <w:i/>
          <w:sz w:val="22"/>
          <w:szCs w:val="22"/>
        </w:rPr>
        <w:t>(Énfasis añadido)</w:t>
      </w:r>
    </w:p>
    <w:p w14:paraId="0F50CE8C" w14:textId="77777777" w:rsidR="00FB6F52" w:rsidRPr="00C00ACE" w:rsidRDefault="00FB6F52" w:rsidP="00FB6F52">
      <w:pPr>
        <w:spacing w:line="360" w:lineRule="auto"/>
        <w:rPr>
          <w:rFonts w:ascii="Palatino Linotype" w:eastAsia="Palatino Linotype" w:hAnsi="Palatino Linotype" w:cs="Palatino Linotype"/>
          <w:sz w:val="22"/>
          <w:szCs w:val="22"/>
        </w:rPr>
      </w:pPr>
    </w:p>
    <w:p w14:paraId="2A107893" w14:textId="77777777" w:rsidR="00FB6F52" w:rsidRPr="00C00ACE" w:rsidRDefault="00FB6F52" w:rsidP="00FB6F5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Así, el conocimiento de dichos datos afecta la esfera más íntima de su Titular, en razón de que todos los elementos contenidos en la credencial hacen a su titular, identificado, identificable.</w:t>
      </w:r>
    </w:p>
    <w:p w14:paraId="54EE5D38" w14:textId="77777777" w:rsidR="00FB6F52" w:rsidRPr="00C00ACE" w:rsidRDefault="00FB6F52" w:rsidP="00FB6F52">
      <w:pPr>
        <w:spacing w:line="360" w:lineRule="auto"/>
        <w:rPr>
          <w:rFonts w:ascii="Palatino Linotype" w:eastAsia="Palatino Linotype" w:hAnsi="Palatino Linotype" w:cs="Palatino Linotype"/>
          <w:sz w:val="22"/>
          <w:szCs w:val="22"/>
        </w:rPr>
      </w:pPr>
    </w:p>
    <w:p w14:paraId="577B0190" w14:textId="77777777" w:rsidR="00FB6F52" w:rsidRPr="00C00ACE" w:rsidRDefault="00FB6F52" w:rsidP="00FB6F5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24F7D173" w14:textId="77777777" w:rsidR="00FB6F52" w:rsidRPr="00C00ACE" w:rsidRDefault="00FB6F52" w:rsidP="00FB6F52">
      <w:pPr>
        <w:spacing w:line="360" w:lineRule="auto"/>
        <w:rPr>
          <w:rFonts w:ascii="Palatino Linotype" w:eastAsia="Palatino Linotype" w:hAnsi="Palatino Linotype" w:cs="Palatino Linotype"/>
          <w:sz w:val="22"/>
          <w:szCs w:val="22"/>
        </w:rPr>
      </w:pPr>
    </w:p>
    <w:p w14:paraId="522ADDFA" w14:textId="77777777" w:rsidR="00FB6F52" w:rsidRPr="00C00ACE" w:rsidRDefault="00FB6F52" w:rsidP="00FB6F5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rPr>
        <w:lastRenderedPageBreak/>
        <w:drawing>
          <wp:inline distT="0" distB="0" distL="0" distR="0" wp14:anchorId="7641988A" wp14:editId="4D85D759">
            <wp:extent cx="4605249" cy="2215636"/>
            <wp:effectExtent l="12700" t="12700" r="12700" b="12700"/>
            <wp:docPr id="21431082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605249" cy="2215636"/>
                    </a:xfrm>
                    <a:prstGeom prst="rect">
                      <a:avLst/>
                    </a:prstGeom>
                    <a:ln w="12700">
                      <a:solidFill>
                        <a:srgbClr val="000000"/>
                      </a:solidFill>
                      <a:prstDash val="solid"/>
                    </a:ln>
                  </pic:spPr>
                </pic:pic>
              </a:graphicData>
            </a:graphic>
          </wp:inline>
        </w:drawing>
      </w:r>
    </w:p>
    <w:p w14:paraId="5192984F" w14:textId="77777777" w:rsidR="00FB6F52" w:rsidRPr="00C00ACE" w:rsidRDefault="00FB6F52" w:rsidP="00FB6F52">
      <w:pPr>
        <w:spacing w:line="360" w:lineRule="auto"/>
        <w:rPr>
          <w:rFonts w:ascii="Palatino Linotype" w:eastAsia="Palatino Linotype" w:hAnsi="Palatino Linotype" w:cs="Palatino Linotype"/>
          <w:sz w:val="22"/>
          <w:szCs w:val="22"/>
        </w:rPr>
      </w:pPr>
    </w:p>
    <w:p w14:paraId="7FE9FC64" w14:textId="77777777" w:rsidR="00FB6F52" w:rsidRPr="00C00ACE" w:rsidRDefault="00FB6F52" w:rsidP="00FB6F5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17">
        <w:r w:rsidRPr="00C00ACE">
          <w:rPr>
            <w:rFonts w:ascii="Palatino Linotype" w:eastAsia="Palatino Linotype" w:hAnsi="Palatino Linotype" w:cs="Palatino Linotype"/>
            <w:sz w:val="22"/>
            <w:szCs w:val="22"/>
            <w:u w:val="single"/>
          </w:rPr>
          <w:t>http://portalanterior.ine.mx/archivos2/portal/credencial/pdf-credencial/ABC_credenciales_ INE_2015.pdf</w:t>
        </w:r>
      </w:hyperlink>
      <w:r w:rsidRPr="00C00ACE">
        <w:rPr>
          <w:rFonts w:ascii="Palatino Linotype" w:eastAsia="Palatino Linotype" w:hAnsi="Palatino Linotype" w:cs="Palatino Linotype"/>
          <w:sz w:val="22"/>
          <w:szCs w:val="22"/>
        </w:rPr>
        <w:t>, como se muestra a continuación, en su parte medular: </w:t>
      </w:r>
    </w:p>
    <w:p w14:paraId="4E848588" w14:textId="77777777" w:rsidR="00FB6F52" w:rsidRPr="00C00ACE" w:rsidRDefault="00FB6F52" w:rsidP="00FB6F5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p>
    <w:p w14:paraId="4D03A053" w14:textId="77777777" w:rsidR="00FB6F52" w:rsidRPr="00C00ACE" w:rsidRDefault="00FB6F52" w:rsidP="00FB6F5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rPr>
        <w:drawing>
          <wp:inline distT="0" distB="0" distL="0" distR="0" wp14:anchorId="22A35CDB" wp14:editId="702E0A22">
            <wp:extent cx="4795843" cy="1516183"/>
            <wp:effectExtent l="12700" t="12700" r="12700" b="12700"/>
            <wp:docPr id="21431082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29362" t="28783" r="26850" b="46778"/>
                    <a:stretch>
                      <a:fillRect/>
                    </a:stretch>
                  </pic:blipFill>
                  <pic:spPr>
                    <a:xfrm>
                      <a:off x="0" y="0"/>
                      <a:ext cx="4795843" cy="1516183"/>
                    </a:xfrm>
                    <a:prstGeom prst="rect">
                      <a:avLst/>
                    </a:prstGeom>
                    <a:ln w="12700">
                      <a:solidFill>
                        <a:srgbClr val="000000"/>
                      </a:solidFill>
                      <a:prstDash val="solid"/>
                    </a:ln>
                  </pic:spPr>
                </pic:pic>
              </a:graphicData>
            </a:graphic>
          </wp:inline>
        </w:drawing>
      </w:r>
    </w:p>
    <w:p w14:paraId="1F2A7BE7" w14:textId="77777777" w:rsidR="00FB6F52" w:rsidRPr="00C00ACE" w:rsidRDefault="00FB6F52" w:rsidP="00FB6F5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rPr>
        <w:lastRenderedPageBreak/>
        <w:drawing>
          <wp:inline distT="0" distB="0" distL="0" distR="0" wp14:anchorId="3147AC9E" wp14:editId="25B60364">
            <wp:extent cx="4809851" cy="2188498"/>
            <wp:effectExtent l="12700" t="12700" r="12700" b="12700"/>
            <wp:docPr id="21431082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29361" t="55939" r="27358" b="13105"/>
                    <a:stretch>
                      <a:fillRect/>
                    </a:stretch>
                  </pic:blipFill>
                  <pic:spPr>
                    <a:xfrm>
                      <a:off x="0" y="0"/>
                      <a:ext cx="4809851" cy="2188498"/>
                    </a:xfrm>
                    <a:prstGeom prst="rect">
                      <a:avLst/>
                    </a:prstGeom>
                    <a:ln w="12700">
                      <a:solidFill>
                        <a:srgbClr val="000000"/>
                      </a:solidFill>
                      <a:prstDash val="solid"/>
                    </a:ln>
                  </pic:spPr>
                </pic:pic>
              </a:graphicData>
            </a:graphic>
          </wp:inline>
        </w:drawing>
      </w:r>
    </w:p>
    <w:p w14:paraId="3BE00809" w14:textId="77777777" w:rsidR="00FB6F52" w:rsidRPr="00C00ACE" w:rsidRDefault="00FB6F52" w:rsidP="00FB6F5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1CA1272D" w14:textId="77777777" w:rsidR="00FB6F52" w:rsidRPr="00C00ACE" w:rsidRDefault="00FB6F52" w:rsidP="00FB6F52">
      <w:pPr>
        <w:spacing w:line="360" w:lineRule="auto"/>
        <w:rPr>
          <w:rFonts w:ascii="Palatino Linotype" w:eastAsia="Palatino Linotype" w:hAnsi="Palatino Linotype" w:cs="Palatino Linotype"/>
          <w:sz w:val="22"/>
          <w:szCs w:val="22"/>
        </w:rPr>
      </w:pPr>
    </w:p>
    <w:p w14:paraId="6D689E05" w14:textId="77777777" w:rsidR="00FB6F52" w:rsidRPr="00C00ACE" w:rsidRDefault="00FB6F52" w:rsidP="00FB6F5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En el caso de la edad, se trata de un dato personal sensible que concierne únicamente a su titular, al corresponder a su esfera más íntima. </w:t>
      </w:r>
    </w:p>
    <w:p w14:paraId="61831A41" w14:textId="77777777" w:rsidR="00FB6F52" w:rsidRPr="00C00ACE" w:rsidRDefault="00FB6F52" w:rsidP="00FB6F52">
      <w:pPr>
        <w:spacing w:line="360" w:lineRule="auto"/>
        <w:rPr>
          <w:rFonts w:ascii="Palatino Linotype" w:eastAsia="Palatino Linotype" w:hAnsi="Palatino Linotype" w:cs="Palatino Linotype"/>
          <w:sz w:val="22"/>
          <w:szCs w:val="22"/>
        </w:rPr>
      </w:pPr>
    </w:p>
    <w:p w14:paraId="7D9313F0" w14:textId="77777777" w:rsidR="00FB6F52" w:rsidRPr="00C00ACE" w:rsidRDefault="00FB6F52" w:rsidP="00FB6F5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El código de barras bidimensional y cifrado, como fue anteriormente mencionado, se trata de un medio de almacenamiento de información, </w:t>
      </w:r>
      <w:proofErr w:type="gramStart"/>
      <w:r w:rsidRPr="00C00ACE">
        <w:rPr>
          <w:rFonts w:ascii="Palatino Linotype" w:eastAsia="Palatino Linotype" w:hAnsi="Palatino Linotype" w:cs="Palatino Linotype"/>
          <w:sz w:val="22"/>
          <w:szCs w:val="22"/>
        </w:rPr>
        <w:t>que</w:t>
      </w:r>
      <w:proofErr w:type="gramEnd"/>
      <w:r w:rsidRPr="00C00ACE">
        <w:rPr>
          <w:rFonts w:ascii="Palatino Linotype" w:eastAsia="Palatino Linotype" w:hAnsi="Palatino Linotype" w:cs="Palatino Linotype"/>
          <w:sz w:val="22"/>
          <w:szCs w:val="22"/>
        </w:rPr>
        <w:t xml:space="preserve"> en el caso de las credenciales para votar, contiene datos e información, utilizada para efectos electorales, misma, que únicamente concierne a las autoridades competentes en la materia y a su propio titular.</w:t>
      </w:r>
    </w:p>
    <w:p w14:paraId="0E70E6B6" w14:textId="77777777" w:rsidR="00FB6F52" w:rsidRPr="00C00ACE" w:rsidRDefault="00FB6F52" w:rsidP="00FB6F52">
      <w:pPr>
        <w:spacing w:line="360" w:lineRule="auto"/>
        <w:rPr>
          <w:rFonts w:ascii="Palatino Linotype" w:eastAsia="Palatino Linotype" w:hAnsi="Palatino Linotype" w:cs="Palatino Linotype"/>
          <w:sz w:val="22"/>
          <w:szCs w:val="22"/>
        </w:rPr>
      </w:pPr>
    </w:p>
    <w:p w14:paraId="1C4F85CC" w14:textId="77777777" w:rsidR="00FB6F52" w:rsidRPr="00C00ACE" w:rsidRDefault="00FB6F52" w:rsidP="00FB6F5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De acuerdo con lo anterior, resulta procedente la clasificación de la credencial para votar en su totalidad, por tratarse de un dato personal confidencial, en términos del artículo 143, fracción I, de la Ley de Transparencia y Acceso a la Información Pública del</w:t>
      </w:r>
      <w:r w:rsidR="00663BD7" w:rsidRPr="00C00ACE">
        <w:rPr>
          <w:rFonts w:ascii="Palatino Linotype" w:eastAsia="Palatino Linotype" w:hAnsi="Palatino Linotype" w:cs="Palatino Linotype"/>
          <w:sz w:val="22"/>
          <w:szCs w:val="22"/>
        </w:rPr>
        <w:t xml:space="preserve"> Estado de México y Municipios, además que contiene en su totalidad información que hace identificable al servidor público por las razones antes expuestas.</w:t>
      </w:r>
    </w:p>
    <w:p w14:paraId="31CCA6FF" w14:textId="77777777" w:rsidR="00FB6F52" w:rsidRPr="00C00ACE" w:rsidRDefault="00663BD7" w:rsidP="00FB6F52">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lastRenderedPageBreak/>
        <w:t xml:space="preserve">De esta manera, contrario a lo señalado por el particular, si se encuentra debidamente fundado y motivado en el acuerdo del Comité de Transparencia remitido en respuesta, la clasificación en su totalidad de la documental en análisis, aunado a que el </w:t>
      </w:r>
      <w:r w:rsidRPr="00C00ACE">
        <w:rPr>
          <w:rFonts w:ascii="Palatino Linotype" w:eastAsia="Palatino Linotype" w:hAnsi="Palatino Linotype" w:cs="Palatino Linotype"/>
          <w:b/>
          <w:sz w:val="22"/>
          <w:szCs w:val="22"/>
        </w:rPr>
        <w:t xml:space="preserve">Sujeto Obligado </w:t>
      </w:r>
      <w:r w:rsidRPr="00C00ACE">
        <w:rPr>
          <w:rFonts w:ascii="Palatino Linotype" w:eastAsia="Palatino Linotype" w:hAnsi="Palatino Linotype" w:cs="Palatino Linotype"/>
          <w:sz w:val="22"/>
          <w:szCs w:val="22"/>
        </w:rPr>
        <w:t>motiva la clasificación con base en lo siguiente:</w:t>
      </w:r>
    </w:p>
    <w:p w14:paraId="132F4DD8" w14:textId="77777777" w:rsidR="00663BD7" w:rsidRPr="00C00ACE" w:rsidRDefault="00663BD7" w:rsidP="00FB6F52">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sz w:val="22"/>
          <w:szCs w:val="22"/>
        </w:rPr>
        <w:drawing>
          <wp:inline distT="0" distB="0" distL="0" distR="0" wp14:anchorId="52ACCC93" wp14:editId="4A30F48D">
            <wp:extent cx="5611909" cy="5044966"/>
            <wp:effectExtent l="19050" t="19050" r="27305" b="228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5448" cy="5057137"/>
                    </a:xfrm>
                    <a:prstGeom prst="rect">
                      <a:avLst/>
                    </a:prstGeom>
                    <a:ln>
                      <a:solidFill>
                        <a:schemeClr val="accent1"/>
                      </a:solidFill>
                    </a:ln>
                  </pic:spPr>
                </pic:pic>
              </a:graphicData>
            </a:graphic>
          </wp:inline>
        </w:drawing>
      </w:r>
    </w:p>
    <w:p w14:paraId="18CA1CB5" w14:textId="77777777" w:rsidR="00FB6F52" w:rsidRPr="00C00ACE" w:rsidRDefault="00663BD7" w:rsidP="00663BD7">
      <w:pPr>
        <w:spacing w:line="360" w:lineRule="auto"/>
        <w:jc w:val="center"/>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w:t>
      </w:r>
    </w:p>
    <w:p w14:paraId="1CBBF8F0" w14:textId="77777777" w:rsidR="00663BD7" w:rsidRPr="00C00ACE" w:rsidRDefault="00663BD7" w:rsidP="00663BD7">
      <w:pPr>
        <w:spacing w:line="360" w:lineRule="auto"/>
        <w:jc w:val="center"/>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sz w:val="22"/>
          <w:szCs w:val="22"/>
        </w:rPr>
        <w:lastRenderedPageBreak/>
        <w:drawing>
          <wp:inline distT="0" distB="0" distL="0" distR="0" wp14:anchorId="53229432" wp14:editId="709C2D3C">
            <wp:extent cx="5612130" cy="2943225"/>
            <wp:effectExtent l="19050" t="19050" r="26670"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43225"/>
                    </a:xfrm>
                    <a:prstGeom prst="rect">
                      <a:avLst/>
                    </a:prstGeom>
                    <a:ln>
                      <a:solidFill>
                        <a:schemeClr val="accent1"/>
                      </a:solidFill>
                    </a:ln>
                  </pic:spPr>
                </pic:pic>
              </a:graphicData>
            </a:graphic>
          </wp:inline>
        </w:drawing>
      </w:r>
    </w:p>
    <w:p w14:paraId="7249D6F7" w14:textId="77777777" w:rsidR="00FB6F52" w:rsidRPr="00C00ACE" w:rsidRDefault="00FB6F52" w:rsidP="00FB6F52">
      <w:pPr>
        <w:spacing w:line="360" w:lineRule="auto"/>
        <w:jc w:val="both"/>
        <w:rPr>
          <w:rFonts w:ascii="Palatino Linotype" w:eastAsia="Palatino Linotype" w:hAnsi="Palatino Linotype" w:cs="Palatino Linotype"/>
          <w:sz w:val="22"/>
          <w:szCs w:val="22"/>
        </w:rPr>
      </w:pPr>
    </w:p>
    <w:p w14:paraId="15C8C263" w14:textId="77777777" w:rsidR="00E5282F" w:rsidRPr="00C00ACE" w:rsidRDefault="00E5282F" w:rsidP="00E5282F">
      <w:pPr>
        <w:pStyle w:val="Prrafodelista"/>
        <w:numPr>
          <w:ilvl w:val="0"/>
          <w:numId w:val="29"/>
        </w:num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Clave Única de Registro de Población</w:t>
      </w:r>
      <w:r w:rsidR="00663BD7" w:rsidRPr="00C00ACE">
        <w:rPr>
          <w:rFonts w:ascii="Palatino Linotype" w:eastAsia="Palatino Linotype" w:hAnsi="Palatino Linotype" w:cs="Palatino Linotype"/>
          <w:sz w:val="22"/>
          <w:szCs w:val="22"/>
        </w:rPr>
        <w:t>:</w:t>
      </w:r>
    </w:p>
    <w:p w14:paraId="51D5FECB" w14:textId="77777777" w:rsidR="00663BD7" w:rsidRPr="00C00ACE" w:rsidRDefault="00663BD7" w:rsidP="00663BD7">
      <w:pPr>
        <w:spacing w:line="360" w:lineRule="auto"/>
        <w:jc w:val="both"/>
        <w:rPr>
          <w:rFonts w:ascii="Palatino Linotype" w:eastAsia="Palatino Linotype" w:hAnsi="Palatino Linotype" w:cs="Palatino Linotype"/>
          <w:sz w:val="22"/>
          <w:szCs w:val="22"/>
        </w:rPr>
      </w:pPr>
    </w:p>
    <w:p w14:paraId="199C9FBE" w14:textId="77777777" w:rsidR="00663BD7" w:rsidRPr="00C00ACE" w:rsidRDefault="00663BD7" w:rsidP="00663BD7">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C00ACE">
        <w:rPr>
          <w:rFonts w:ascii="Palatino Linotype" w:hAnsi="Palatino Linotype" w:cs="Tahoma"/>
          <w:sz w:val="22"/>
        </w:rPr>
        <w:t xml:space="preserve">Como se indicó anteriormente, dicha información es confidencial, </w:t>
      </w:r>
      <w:r w:rsidRPr="00C00ACE">
        <w:rPr>
          <w:rFonts w:ascii="Palatino Linotype" w:eastAsia="Palatino Linotype" w:hAnsi="Palatino Linotype" w:cs="Palatino Linotype"/>
          <w:sz w:val="22"/>
        </w:rPr>
        <w:t xml:space="preserve">en virtud de que éste se integra por datos personales que únicamente le conciernen a un particular como son su fecha de nacimiento, su nombre, sus apellidos y su lugar de nacimiento; información que permite distinguirlo del resto de los habitantes, por </w:t>
      </w:r>
      <w:proofErr w:type="gramStart"/>
      <w:r w:rsidRPr="00C00ACE">
        <w:rPr>
          <w:rFonts w:ascii="Palatino Linotype" w:eastAsia="Palatino Linotype" w:hAnsi="Palatino Linotype" w:cs="Palatino Linotype"/>
          <w:sz w:val="22"/>
        </w:rPr>
        <w:t>tanto</w:t>
      </w:r>
      <w:proofErr w:type="gramEnd"/>
      <w:r w:rsidRPr="00C00ACE">
        <w:rPr>
          <w:rFonts w:ascii="Palatino Linotype" w:eastAsia="Palatino Linotype" w:hAnsi="Palatino Linotype" w:cs="Palatino Linotype"/>
          <w:sz w:val="22"/>
        </w:rPr>
        <w:t xml:space="preserve"> actualiza la procedencia de la clasificación en términos de los dispuesto por el artículo 143 fracción I de la Ley de la Materia.</w:t>
      </w:r>
    </w:p>
    <w:p w14:paraId="28A90861" w14:textId="77777777" w:rsidR="00663BD7" w:rsidRPr="00C00ACE" w:rsidRDefault="00663BD7" w:rsidP="00663BD7">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77B3283C" w14:textId="77777777" w:rsidR="00663BD7" w:rsidRPr="00C00ACE" w:rsidRDefault="00663BD7"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Así, del análisis al acuerdo del Comité de Transparencia remitido en respuesta, se desprende que el mismo se encuentra fundado y motivado por cuanto hace a la clasificación en su totalidad de la documental en análisis, aunado a que el </w:t>
      </w:r>
      <w:r w:rsidRPr="00C00ACE">
        <w:rPr>
          <w:rFonts w:ascii="Palatino Linotype" w:eastAsia="Palatino Linotype" w:hAnsi="Palatino Linotype" w:cs="Palatino Linotype"/>
          <w:b/>
          <w:sz w:val="22"/>
          <w:szCs w:val="22"/>
        </w:rPr>
        <w:t xml:space="preserve">Sujeto Obligado </w:t>
      </w:r>
      <w:r w:rsidRPr="00C00ACE">
        <w:rPr>
          <w:rFonts w:ascii="Palatino Linotype" w:eastAsia="Palatino Linotype" w:hAnsi="Palatino Linotype" w:cs="Palatino Linotype"/>
          <w:sz w:val="22"/>
          <w:szCs w:val="22"/>
        </w:rPr>
        <w:t>motiva la clasificación con base en lo siguiente:</w:t>
      </w:r>
    </w:p>
    <w:p w14:paraId="2F1B6C13" w14:textId="77777777" w:rsidR="00663BD7" w:rsidRPr="00C00ACE" w:rsidRDefault="00663BD7" w:rsidP="00663BD7">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4A0DEC7E" w14:textId="77777777" w:rsidR="00663BD7" w:rsidRPr="00C00ACE" w:rsidRDefault="00663BD7"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sz w:val="22"/>
          <w:szCs w:val="22"/>
        </w:rPr>
        <w:lastRenderedPageBreak/>
        <w:drawing>
          <wp:inline distT="0" distB="0" distL="0" distR="0" wp14:anchorId="3280464B" wp14:editId="7E156982">
            <wp:extent cx="5612130" cy="2427890"/>
            <wp:effectExtent l="19050" t="19050" r="2667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8372" cy="2430590"/>
                    </a:xfrm>
                    <a:prstGeom prst="rect">
                      <a:avLst/>
                    </a:prstGeom>
                    <a:ln>
                      <a:solidFill>
                        <a:schemeClr val="accent1"/>
                      </a:solidFill>
                    </a:ln>
                  </pic:spPr>
                </pic:pic>
              </a:graphicData>
            </a:graphic>
          </wp:inline>
        </w:drawing>
      </w:r>
    </w:p>
    <w:p w14:paraId="13368494" w14:textId="77777777" w:rsidR="00663BD7" w:rsidRPr="00C00ACE" w:rsidRDefault="00663BD7" w:rsidP="00663BD7">
      <w:pPr>
        <w:spacing w:line="360" w:lineRule="auto"/>
        <w:jc w:val="center"/>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w:t>
      </w:r>
    </w:p>
    <w:p w14:paraId="2D88DD56" w14:textId="77777777" w:rsidR="00663BD7" w:rsidRPr="00C00ACE" w:rsidRDefault="00663BD7"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sz w:val="22"/>
          <w:szCs w:val="22"/>
        </w:rPr>
        <w:drawing>
          <wp:inline distT="0" distB="0" distL="0" distR="0" wp14:anchorId="167D9E42" wp14:editId="6C2D1188">
            <wp:extent cx="5612130" cy="2911366"/>
            <wp:effectExtent l="19050" t="19050" r="26670" b="228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0116" cy="2920697"/>
                    </a:xfrm>
                    <a:prstGeom prst="rect">
                      <a:avLst/>
                    </a:prstGeom>
                    <a:ln>
                      <a:solidFill>
                        <a:schemeClr val="accent1"/>
                      </a:solidFill>
                    </a:ln>
                  </pic:spPr>
                </pic:pic>
              </a:graphicData>
            </a:graphic>
          </wp:inline>
        </w:drawing>
      </w:r>
    </w:p>
    <w:p w14:paraId="769FEF3A" w14:textId="77777777" w:rsidR="00E5282F" w:rsidRPr="00C00ACE" w:rsidRDefault="00E5282F" w:rsidP="00E5282F">
      <w:pPr>
        <w:pStyle w:val="Prrafodelista"/>
        <w:numPr>
          <w:ilvl w:val="0"/>
          <w:numId w:val="29"/>
        </w:numPr>
        <w:spacing w:line="360"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Cédula profesional</w:t>
      </w:r>
      <w:r w:rsidR="00BD60A6" w:rsidRPr="00C00ACE">
        <w:rPr>
          <w:rFonts w:ascii="Palatino Linotype" w:eastAsia="Palatino Linotype" w:hAnsi="Palatino Linotype" w:cs="Palatino Linotype"/>
          <w:b/>
          <w:sz w:val="22"/>
          <w:szCs w:val="22"/>
        </w:rPr>
        <w:t>:</w:t>
      </w:r>
    </w:p>
    <w:p w14:paraId="70A96CBE" w14:textId="77777777" w:rsidR="00663BD7" w:rsidRPr="00C00ACE" w:rsidRDefault="00663BD7" w:rsidP="00663BD7">
      <w:pPr>
        <w:spacing w:line="360" w:lineRule="auto"/>
        <w:jc w:val="both"/>
        <w:rPr>
          <w:rFonts w:ascii="Palatino Linotype" w:eastAsia="Palatino Linotype" w:hAnsi="Palatino Linotype" w:cs="Palatino Linotype"/>
          <w:sz w:val="22"/>
          <w:szCs w:val="22"/>
        </w:rPr>
      </w:pPr>
    </w:p>
    <w:p w14:paraId="2EBDABC9" w14:textId="77777777" w:rsidR="00AF6589" w:rsidRPr="00C00ACE" w:rsidRDefault="00AF6589" w:rsidP="00AF6589">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w:t>
      </w:r>
      <w:r w:rsidRPr="00C00ACE">
        <w:rPr>
          <w:rFonts w:ascii="Palatino Linotype" w:eastAsia="Palatino Linotype" w:hAnsi="Palatino Linotype" w:cs="Palatino Linotype"/>
          <w:sz w:val="22"/>
        </w:rPr>
        <w:lastRenderedPageBreak/>
        <w:t xml:space="preserve">referido en la página oficial de la Secretaría de Educación Pública (consultada el veintidós de septiembre de dos mil veinte, a las quince horas, en la liga </w:t>
      </w:r>
      <w:hyperlink r:id="rId23" w:history="1">
        <w:r w:rsidRPr="00C00ACE">
          <w:rPr>
            <w:rStyle w:val="Hipervnculo"/>
            <w:rFonts w:ascii="Palatino Linotype" w:eastAsia="Palatino Linotype" w:hAnsi="Palatino Linotype" w:cs="Palatino Linotype"/>
            <w:color w:val="auto"/>
            <w:sz w:val="22"/>
          </w:rPr>
          <w:t>http://consultatucedula.mx/</w:t>
        </w:r>
      </w:hyperlink>
      <w:r w:rsidRPr="00C00ACE">
        <w:rPr>
          <w:rFonts w:ascii="Palatino Linotype" w:eastAsia="Palatino Linotype" w:hAnsi="Palatino Linotype" w:cs="Palatino Linotype"/>
          <w:sz w:val="22"/>
        </w:rPr>
        <w:t>).</w:t>
      </w:r>
    </w:p>
    <w:p w14:paraId="3D74141D" w14:textId="77777777" w:rsidR="00AF6589" w:rsidRPr="00C00ACE" w:rsidRDefault="00AF6589" w:rsidP="00AF6589">
      <w:pPr>
        <w:spacing w:line="360" w:lineRule="auto"/>
        <w:jc w:val="both"/>
        <w:rPr>
          <w:rFonts w:ascii="Palatino Linotype" w:eastAsia="Palatino Linotype" w:hAnsi="Palatino Linotype" w:cs="Palatino Linotype"/>
          <w:sz w:val="22"/>
        </w:rPr>
      </w:pPr>
    </w:p>
    <w:p w14:paraId="29346B10" w14:textId="77777777" w:rsidR="00AF6589" w:rsidRPr="00C00ACE" w:rsidRDefault="00AF6589" w:rsidP="00AF6589">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5AFC0613" w14:textId="77777777" w:rsidR="00AF6589" w:rsidRPr="00C00ACE" w:rsidRDefault="00AF6589" w:rsidP="00AF6589">
      <w:pPr>
        <w:spacing w:line="360" w:lineRule="auto"/>
        <w:jc w:val="both"/>
        <w:rPr>
          <w:rFonts w:ascii="Palatino Linotype" w:eastAsia="Palatino Linotype" w:hAnsi="Palatino Linotype" w:cs="Palatino Linotype"/>
          <w:sz w:val="22"/>
        </w:rPr>
      </w:pPr>
    </w:p>
    <w:p w14:paraId="1181E8C3" w14:textId="77777777" w:rsidR="00AF6589" w:rsidRPr="00C00ACE" w:rsidRDefault="00AF6589" w:rsidP="00AF6589">
      <w:pPr>
        <w:spacing w:line="360" w:lineRule="auto"/>
        <w:jc w:val="both"/>
        <w:rPr>
          <w:rFonts w:ascii="Palatino Linotype" w:eastAsia="Palatino Linotype" w:hAnsi="Palatino Linotype" w:cs="Palatino Linotype"/>
          <w:sz w:val="22"/>
        </w:rPr>
      </w:pPr>
      <w:r w:rsidRPr="00C00ACE">
        <w:rPr>
          <w:rFonts w:ascii="Palatino Linotype" w:eastAsia="Palatino Linotype" w:hAnsi="Palatino Linotype" w:cs="Palatino Linotype"/>
          <w:sz w:val="22"/>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3FCB3CDC" w14:textId="77777777" w:rsidR="00AF6589" w:rsidRPr="00C00ACE" w:rsidRDefault="00AF6589" w:rsidP="00AF6589">
      <w:pPr>
        <w:spacing w:line="360" w:lineRule="auto"/>
        <w:jc w:val="both"/>
        <w:rPr>
          <w:rFonts w:ascii="Palatino Linotype" w:eastAsia="Palatino Linotype" w:hAnsi="Palatino Linotype" w:cs="Palatino Linotype"/>
          <w:sz w:val="22"/>
        </w:rPr>
      </w:pPr>
    </w:p>
    <w:p w14:paraId="72EA8A5A" w14:textId="77777777" w:rsidR="00663BD7" w:rsidRPr="00C00ACE" w:rsidRDefault="00AF6589"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rPr>
        <w:t xml:space="preserve">De esta manera, si bien la cédula profesional electrónica es un documento de naturaleza pública y está </w:t>
      </w:r>
      <w:r w:rsidR="00663BD7" w:rsidRPr="00C00ACE">
        <w:rPr>
          <w:rFonts w:ascii="Palatino Linotype" w:eastAsia="Palatino Linotype" w:hAnsi="Palatino Linotype" w:cs="Palatino Linotype"/>
          <w:sz w:val="22"/>
          <w:szCs w:val="22"/>
        </w:rPr>
        <w:t>dentro de los documentos probatorios de estudios, por tratarse de la expresión documental que permite acreditar el grado de estudios de los servidores públicos.</w:t>
      </w:r>
    </w:p>
    <w:p w14:paraId="2ACA9502" w14:textId="77777777" w:rsidR="00BD60A6" w:rsidRPr="00C00ACE" w:rsidRDefault="00BD60A6" w:rsidP="00663BD7">
      <w:pPr>
        <w:spacing w:line="360" w:lineRule="auto"/>
        <w:jc w:val="both"/>
        <w:rPr>
          <w:rFonts w:ascii="Palatino Linotype" w:eastAsia="Palatino Linotype" w:hAnsi="Palatino Linotype" w:cs="Palatino Linotype"/>
          <w:sz w:val="22"/>
          <w:szCs w:val="22"/>
        </w:rPr>
      </w:pPr>
    </w:p>
    <w:p w14:paraId="38C34060" w14:textId="77777777" w:rsidR="00BD60A6" w:rsidRPr="00C00ACE" w:rsidRDefault="00BD60A6"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En el caso, al tratarse de un documento relacionado con servidores públicos involucrados como responsables en procedimientos administrativos por faltas no graves concluidos; su publicidad se encuentra restringida de manera total, al advertirse en su contenido datos como el nombre, CURP, firma y número de cédula profesional que de entregarse haría </w:t>
      </w:r>
      <w:r w:rsidRPr="00C00ACE">
        <w:rPr>
          <w:rFonts w:ascii="Palatino Linotype" w:eastAsia="Palatino Linotype" w:hAnsi="Palatino Linotype" w:cs="Palatino Linotype"/>
          <w:sz w:val="22"/>
          <w:szCs w:val="22"/>
        </w:rPr>
        <w:lastRenderedPageBreak/>
        <w:t>identificable al servidor público, lo cual no es procedente conforme los argumentos anteriormente expuestos.</w:t>
      </w:r>
    </w:p>
    <w:p w14:paraId="358963C4" w14:textId="77777777" w:rsidR="00AF6589" w:rsidRPr="00C00ACE" w:rsidRDefault="00AF6589" w:rsidP="00663BD7">
      <w:pPr>
        <w:spacing w:line="360" w:lineRule="auto"/>
        <w:jc w:val="both"/>
        <w:rPr>
          <w:rFonts w:ascii="Palatino Linotype" w:eastAsia="Palatino Linotype" w:hAnsi="Palatino Linotype" w:cs="Palatino Linotype"/>
          <w:sz w:val="22"/>
          <w:szCs w:val="22"/>
        </w:rPr>
      </w:pPr>
    </w:p>
    <w:p w14:paraId="72C51537" w14:textId="77777777" w:rsidR="00FE5B4D" w:rsidRPr="00C00ACE" w:rsidRDefault="00AF6589"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Además</w:t>
      </w:r>
      <w:r w:rsidR="00BD60A6" w:rsidRPr="00C00ACE">
        <w:rPr>
          <w:rFonts w:ascii="Palatino Linotype" w:eastAsia="Palatino Linotype" w:hAnsi="Palatino Linotype" w:cs="Palatino Linotype"/>
          <w:sz w:val="22"/>
          <w:szCs w:val="22"/>
        </w:rPr>
        <w:t xml:space="preserve">, del análisis al acuerdo del Comité de Transparencia rendido por el Sujeto Obligado se advierte que funda y motiva debidamente la clasificación, en este caso, de la cédula profesional, ya que además de tratarse de un dato académico, corresponde a información que haría identificable </w:t>
      </w:r>
      <w:r w:rsidR="00FE5B4D" w:rsidRPr="00C00ACE">
        <w:rPr>
          <w:rFonts w:ascii="Palatino Linotype" w:eastAsia="Palatino Linotype" w:hAnsi="Palatino Linotype" w:cs="Palatino Linotype"/>
          <w:sz w:val="22"/>
          <w:szCs w:val="22"/>
        </w:rPr>
        <w:t>al servidor público en cuestión, como se muestra:</w:t>
      </w:r>
    </w:p>
    <w:p w14:paraId="0DCBD5F8" w14:textId="77777777" w:rsidR="00FE5B4D" w:rsidRPr="00C00ACE" w:rsidRDefault="00FE5B4D" w:rsidP="00663BD7">
      <w:pPr>
        <w:spacing w:line="360" w:lineRule="auto"/>
        <w:jc w:val="both"/>
        <w:rPr>
          <w:rFonts w:ascii="Palatino Linotype" w:eastAsia="Palatino Linotype" w:hAnsi="Palatino Linotype" w:cs="Palatino Linotype"/>
          <w:sz w:val="22"/>
          <w:szCs w:val="22"/>
        </w:rPr>
      </w:pPr>
    </w:p>
    <w:p w14:paraId="5FDC4FA7" w14:textId="77777777" w:rsidR="00FE5B4D" w:rsidRPr="00C00ACE" w:rsidRDefault="00FE5B4D"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sz w:val="22"/>
          <w:szCs w:val="22"/>
        </w:rPr>
        <w:drawing>
          <wp:inline distT="0" distB="0" distL="0" distR="0" wp14:anchorId="18067A28" wp14:editId="4B890BCD">
            <wp:extent cx="5612130" cy="687070"/>
            <wp:effectExtent l="19050" t="19050" r="26670" b="177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687070"/>
                    </a:xfrm>
                    <a:prstGeom prst="rect">
                      <a:avLst/>
                    </a:prstGeom>
                    <a:ln>
                      <a:solidFill>
                        <a:schemeClr val="accent1"/>
                      </a:solidFill>
                    </a:ln>
                  </pic:spPr>
                </pic:pic>
              </a:graphicData>
            </a:graphic>
          </wp:inline>
        </w:drawing>
      </w:r>
    </w:p>
    <w:p w14:paraId="21E89B3A" w14:textId="77777777" w:rsidR="00FE5B4D" w:rsidRPr="00C00ACE" w:rsidRDefault="00FE5B4D" w:rsidP="00FE5B4D">
      <w:pPr>
        <w:spacing w:line="360" w:lineRule="auto"/>
        <w:jc w:val="center"/>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w:t>
      </w:r>
    </w:p>
    <w:p w14:paraId="7397C693" w14:textId="77777777" w:rsidR="00FE5B4D" w:rsidRPr="00C00ACE" w:rsidRDefault="00FE5B4D"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noProof/>
          <w:sz w:val="22"/>
          <w:szCs w:val="22"/>
        </w:rPr>
        <w:drawing>
          <wp:inline distT="0" distB="0" distL="0" distR="0" wp14:anchorId="639684F2" wp14:editId="20773113">
            <wp:extent cx="5612130" cy="1209040"/>
            <wp:effectExtent l="19050" t="19050" r="26670" b="101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209040"/>
                    </a:xfrm>
                    <a:prstGeom prst="rect">
                      <a:avLst/>
                    </a:prstGeom>
                    <a:ln>
                      <a:solidFill>
                        <a:schemeClr val="accent1"/>
                      </a:solidFill>
                    </a:ln>
                  </pic:spPr>
                </pic:pic>
              </a:graphicData>
            </a:graphic>
          </wp:inline>
        </w:drawing>
      </w:r>
    </w:p>
    <w:p w14:paraId="20A9F2AF" w14:textId="77777777" w:rsidR="00FE5B4D" w:rsidRPr="00C00ACE" w:rsidRDefault="00FE5B4D" w:rsidP="00663BD7">
      <w:pPr>
        <w:spacing w:line="360" w:lineRule="auto"/>
        <w:jc w:val="both"/>
        <w:rPr>
          <w:rFonts w:ascii="Palatino Linotype" w:eastAsia="Palatino Linotype" w:hAnsi="Palatino Linotype" w:cs="Palatino Linotype"/>
          <w:sz w:val="22"/>
          <w:szCs w:val="22"/>
        </w:rPr>
      </w:pPr>
    </w:p>
    <w:p w14:paraId="32CFF206" w14:textId="77777777" w:rsidR="00BD60A6" w:rsidRPr="00C00ACE" w:rsidRDefault="00FE5B4D"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Lo anterior, guarda relevancia al tratarse de un servidor público </w:t>
      </w:r>
      <w:r w:rsidR="00BD60A6" w:rsidRPr="00C00ACE">
        <w:rPr>
          <w:rFonts w:ascii="Palatino Linotype" w:eastAsia="Palatino Linotype" w:hAnsi="Palatino Linotype" w:cs="Palatino Linotype"/>
          <w:sz w:val="22"/>
          <w:szCs w:val="22"/>
        </w:rPr>
        <w:t xml:space="preserve">señalado como responsable en un procedimiento administrativo derivado </w:t>
      </w:r>
      <w:r w:rsidRPr="00C00ACE">
        <w:rPr>
          <w:rFonts w:ascii="Palatino Linotype" w:eastAsia="Palatino Linotype" w:hAnsi="Palatino Linotype" w:cs="Palatino Linotype"/>
          <w:sz w:val="22"/>
          <w:szCs w:val="22"/>
        </w:rPr>
        <w:t>de una falta no grave concluido.</w:t>
      </w:r>
    </w:p>
    <w:p w14:paraId="6E84B0D6" w14:textId="77777777" w:rsidR="00580FB0" w:rsidRPr="00C00ACE" w:rsidRDefault="00580FB0" w:rsidP="00663BD7">
      <w:pPr>
        <w:spacing w:line="360" w:lineRule="auto"/>
        <w:jc w:val="both"/>
        <w:rPr>
          <w:rFonts w:ascii="Palatino Linotype" w:eastAsia="Palatino Linotype" w:hAnsi="Palatino Linotype" w:cs="Palatino Linotype"/>
          <w:sz w:val="22"/>
          <w:szCs w:val="22"/>
        </w:rPr>
      </w:pPr>
    </w:p>
    <w:p w14:paraId="7380E7B7" w14:textId="77777777" w:rsidR="00580FB0" w:rsidRPr="00C00ACE" w:rsidRDefault="00580FB0" w:rsidP="00663BD7">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Conforme lo anteriormente expuesto, las documentales que fueron clasificadas en su totalidad encuentran la justificación en su restricción de manera total atendiendo la naturaleza de las mismas, los datos contenidos en ellas y que además se encuentran relacionadas con servidores públicos señalados como responsables en procedimientos administrativos por faltas no graves concluidos.</w:t>
      </w:r>
    </w:p>
    <w:p w14:paraId="33465FED" w14:textId="77777777" w:rsidR="00580FB0" w:rsidRPr="00C00ACE" w:rsidRDefault="00580FB0" w:rsidP="00663BD7">
      <w:pPr>
        <w:spacing w:line="360" w:lineRule="auto"/>
        <w:jc w:val="both"/>
        <w:rPr>
          <w:rFonts w:ascii="Palatino Linotype" w:eastAsia="Palatino Linotype" w:hAnsi="Palatino Linotype" w:cs="Palatino Linotype"/>
          <w:sz w:val="22"/>
          <w:szCs w:val="22"/>
        </w:rPr>
      </w:pPr>
    </w:p>
    <w:p w14:paraId="2DDAD819" w14:textId="77777777" w:rsidR="00C25CE7" w:rsidRPr="00C00ACE" w:rsidRDefault="00AF6589" w:rsidP="00533F02">
      <w:pP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Conforme lo anterior, se advierte que contrario a los motivos de inconformidad hechos valer por la parte </w:t>
      </w:r>
      <w:r w:rsidRPr="00C00ACE">
        <w:rPr>
          <w:rFonts w:ascii="Palatino Linotype" w:eastAsia="Palatino Linotype" w:hAnsi="Palatino Linotype" w:cs="Palatino Linotype"/>
          <w:b/>
          <w:sz w:val="22"/>
          <w:szCs w:val="22"/>
        </w:rPr>
        <w:t xml:space="preserve">Recurrente </w:t>
      </w:r>
      <w:r w:rsidRPr="00C00ACE">
        <w:rPr>
          <w:rFonts w:ascii="Palatino Linotype" w:eastAsia="Palatino Linotype" w:hAnsi="Palatino Linotype" w:cs="Palatino Linotype"/>
          <w:sz w:val="22"/>
          <w:szCs w:val="22"/>
        </w:rPr>
        <w:t xml:space="preserve">vía recurso de revisión; el </w:t>
      </w:r>
      <w:r w:rsidRPr="00C00ACE">
        <w:rPr>
          <w:rFonts w:ascii="Palatino Linotype" w:eastAsia="Palatino Linotype" w:hAnsi="Palatino Linotype" w:cs="Palatino Linotype"/>
          <w:b/>
          <w:sz w:val="22"/>
          <w:szCs w:val="22"/>
        </w:rPr>
        <w:t xml:space="preserve">Sujeto Obligado </w:t>
      </w:r>
      <w:r w:rsidRPr="00C00ACE">
        <w:rPr>
          <w:rFonts w:ascii="Palatino Linotype" w:eastAsia="Palatino Linotype" w:hAnsi="Palatino Linotype" w:cs="Palatino Linotype"/>
          <w:sz w:val="22"/>
          <w:szCs w:val="22"/>
        </w:rPr>
        <w:t xml:space="preserve">fundó y motivó debidamente la clasificación en su totalidad las documentales </w:t>
      </w:r>
      <w:r w:rsidR="00580FB0" w:rsidRPr="00C00ACE">
        <w:rPr>
          <w:rFonts w:ascii="Palatino Linotype" w:eastAsia="Palatino Linotype" w:hAnsi="Palatino Linotype" w:cs="Palatino Linotype"/>
          <w:sz w:val="22"/>
          <w:szCs w:val="22"/>
        </w:rPr>
        <w:t xml:space="preserve">que integran los expedientes de substanciación números IEEM/CG/SUBS/072/2024, IEEM/CG/SUBS/073/2024, IEEM/CG/SUBS/074/2024, IEEM/CG/SUBS/075/2024, IEEM/CG/SUBS/076/2024, IEEM/CG/SUBS/078/2024 y IEEM/CG/SUBS/079/2024, entregados en respuesta; por tanto, devienen infundados los agravios del particular, siendo procedente </w:t>
      </w:r>
      <w:r w:rsidR="00580FB0" w:rsidRPr="00C00ACE">
        <w:rPr>
          <w:rFonts w:ascii="Palatino Linotype" w:eastAsia="Palatino Linotype" w:hAnsi="Palatino Linotype" w:cs="Palatino Linotype"/>
          <w:b/>
          <w:sz w:val="22"/>
          <w:szCs w:val="22"/>
        </w:rPr>
        <w:t xml:space="preserve">CONFIRMAR </w:t>
      </w:r>
      <w:r w:rsidR="00580FB0" w:rsidRPr="00C00ACE">
        <w:rPr>
          <w:rFonts w:ascii="Palatino Linotype" w:eastAsia="Palatino Linotype" w:hAnsi="Palatino Linotype" w:cs="Palatino Linotype"/>
          <w:sz w:val="22"/>
          <w:szCs w:val="22"/>
        </w:rPr>
        <w:t>la respuesta del ente obligado.</w:t>
      </w:r>
    </w:p>
    <w:p w14:paraId="3FA0F81F" w14:textId="77777777" w:rsidR="00580FB0" w:rsidRPr="00C00ACE" w:rsidRDefault="00580FB0" w:rsidP="00580FB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D5B8A37" w14:textId="77777777" w:rsidR="00580FB0" w:rsidRPr="00C00ACE" w:rsidRDefault="00381606" w:rsidP="0038160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Por otro lado,</w:t>
      </w:r>
      <w:r w:rsidR="00580FB0" w:rsidRPr="00C00ACE">
        <w:rPr>
          <w:rFonts w:ascii="Palatino Linotype" w:eastAsia="Palatino Linotype" w:hAnsi="Palatino Linotype" w:cs="Palatino Linotype"/>
          <w:sz w:val="22"/>
          <w:szCs w:val="22"/>
        </w:rPr>
        <w:t xml:space="preserve"> sirva la presente resolución para instar</w:t>
      </w:r>
      <w:r w:rsidR="00580FB0" w:rsidRPr="00C00ACE">
        <w:rPr>
          <w:rFonts w:ascii="Palatino Linotype" w:eastAsia="Palatino Linotype" w:hAnsi="Palatino Linotype" w:cs="Palatino Linotype"/>
          <w:b/>
          <w:sz w:val="22"/>
          <w:szCs w:val="22"/>
        </w:rPr>
        <w:t xml:space="preserve"> </w:t>
      </w:r>
      <w:r w:rsidR="00580FB0" w:rsidRPr="00C00ACE">
        <w:rPr>
          <w:rFonts w:ascii="Palatino Linotype" w:eastAsia="Palatino Linotype" w:hAnsi="Palatino Linotype" w:cs="Palatino Linotype"/>
          <w:sz w:val="22"/>
          <w:szCs w:val="22"/>
        </w:rPr>
        <w:t>al</w:t>
      </w:r>
      <w:r w:rsidR="00580FB0" w:rsidRPr="00C00ACE">
        <w:rPr>
          <w:rFonts w:ascii="Palatino Linotype" w:eastAsia="Palatino Linotype" w:hAnsi="Palatino Linotype" w:cs="Palatino Linotype"/>
          <w:b/>
          <w:sz w:val="22"/>
          <w:szCs w:val="22"/>
        </w:rPr>
        <w:t xml:space="preserve"> </w:t>
      </w:r>
      <w:r w:rsidRPr="00C00ACE">
        <w:rPr>
          <w:rFonts w:ascii="Palatino Linotype" w:eastAsia="Palatino Linotype" w:hAnsi="Palatino Linotype" w:cs="Palatino Linotype"/>
          <w:b/>
          <w:sz w:val="22"/>
          <w:szCs w:val="22"/>
        </w:rPr>
        <w:t>Sujeto Obligado</w:t>
      </w:r>
      <w:r w:rsidRPr="00C00ACE">
        <w:rPr>
          <w:rFonts w:ascii="Palatino Linotype" w:eastAsia="Palatino Linotype" w:hAnsi="Palatino Linotype" w:cs="Palatino Linotype"/>
          <w:sz w:val="22"/>
          <w:szCs w:val="22"/>
        </w:rPr>
        <w:t xml:space="preserve"> </w:t>
      </w:r>
      <w:r w:rsidR="00580FB0" w:rsidRPr="00C00ACE">
        <w:rPr>
          <w:rFonts w:ascii="Palatino Linotype" w:eastAsia="Palatino Linotype" w:hAnsi="Palatino Linotype" w:cs="Palatino Linotype"/>
          <w:sz w:val="22"/>
          <w:szCs w:val="22"/>
        </w:rPr>
        <w:t xml:space="preserve">a que en consecuentes solicitudes de información, </w:t>
      </w:r>
      <w:r w:rsidRPr="00C00ACE">
        <w:rPr>
          <w:rFonts w:ascii="Palatino Linotype" w:eastAsia="Palatino Linotype" w:hAnsi="Palatino Linotype" w:cs="Palatino Linotype"/>
          <w:sz w:val="22"/>
          <w:szCs w:val="22"/>
        </w:rPr>
        <w:t>si del análisis advierte que hay documentales que por su naturaleza actualizan el supuesto de clasificación en su totalidad; únicamente bastará la entrega del acuerdo del Comité de Transparencia que justifique dicha circunstancia, sin ser necesaria la entrega de las documentales testadas en su totalidad, ya que estas últimas no aportarían ninguna información que abone a la transparencia y rendición de cuentas.</w:t>
      </w:r>
    </w:p>
    <w:p w14:paraId="5BD2285C" w14:textId="77777777" w:rsidR="00381606" w:rsidRPr="00C00ACE" w:rsidRDefault="00381606" w:rsidP="00580F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8633D18" w14:textId="6D1584BE" w:rsidR="00580FB0" w:rsidRPr="00C00ACE" w:rsidRDefault="00580FB0" w:rsidP="00580F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D924E0E" w14:textId="20C9519E" w:rsidR="00436651" w:rsidRPr="00C00ACE" w:rsidRDefault="00436651" w:rsidP="00580F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64CEED7" w14:textId="3073A325" w:rsidR="00436651" w:rsidRPr="00C00ACE" w:rsidRDefault="00436651" w:rsidP="00580F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4691A4" w14:textId="314E1A32" w:rsidR="00436651" w:rsidRPr="00C00ACE" w:rsidRDefault="00436651" w:rsidP="00580F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C4FACEF" w14:textId="37AA0C37" w:rsidR="00436651" w:rsidRPr="00C00ACE" w:rsidRDefault="00436651" w:rsidP="00580F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22B9C3C" w14:textId="77777777" w:rsidR="00580FB0" w:rsidRPr="00C00ACE" w:rsidRDefault="00580FB0" w:rsidP="00580FB0">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C00ACE">
        <w:rPr>
          <w:rFonts w:ascii="Palatino Linotype" w:eastAsia="Palatino Linotype" w:hAnsi="Palatino Linotype" w:cs="Palatino Linotype"/>
          <w:b/>
          <w:sz w:val="22"/>
          <w:szCs w:val="22"/>
        </w:rPr>
        <w:lastRenderedPageBreak/>
        <w:t>III. R E S U E L V E</w:t>
      </w:r>
    </w:p>
    <w:p w14:paraId="5E156D75" w14:textId="77777777" w:rsidR="00580FB0" w:rsidRPr="00C00ACE" w:rsidRDefault="00580FB0" w:rsidP="00580FB0">
      <w:pPr>
        <w:spacing w:line="360" w:lineRule="auto"/>
        <w:jc w:val="both"/>
        <w:rPr>
          <w:rFonts w:ascii="Palatino Linotype" w:eastAsia="Palatino Linotype" w:hAnsi="Palatino Linotype" w:cs="Palatino Linotype"/>
          <w:b/>
          <w:sz w:val="22"/>
          <w:szCs w:val="22"/>
        </w:rPr>
      </w:pPr>
      <w:bookmarkStart w:id="10" w:name="_heading=h.26in1rg" w:colFirst="0" w:colLast="0"/>
      <w:bookmarkEnd w:id="10"/>
    </w:p>
    <w:p w14:paraId="7714FC2B" w14:textId="77777777" w:rsidR="00580FB0" w:rsidRPr="00C00ACE" w:rsidRDefault="00580FB0" w:rsidP="00580FB0">
      <w:pPr>
        <w:spacing w:line="360" w:lineRule="auto"/>
        <w:jc w:val="both"/>
        <w:rPr>
          <w:rFonts w:ascii="Palatino Linotype" w:eastAsia="Palatino Linotype" w:hAnsi="Palatino Linotype" w:cs="Palatino Linotype"/>
          <w:b/>
          <w:sz w:val="22"/>
          <w:szCs w:val="22"/>
        </w:rPr>
      </w:pPr>
      <w:r w:rsidRPr="00C00ACE">
        <w:rPr>
          <w:rFonts w:ascii="Palatino Linotype" w:eastAsia="Palatino Linotype" w:hAnsi="Palatino Linotype" w:cs="Palatino Linotype"/>
          <w:b/>
          <w:sz w:val="22"/>
          <w:szCs w:val="22"/>
        </w:rPr>
        <w:t xml:space="preserve">Primero. </w:t>
      </w:r>
      <w:r w:rsidRPr="00C00ACE">
        <w:rPr>
          <w:rFonts w:ascii="Palatino Linotype" w:eastAsia="Palatino Linotype" w:hAnsi="Palatino Linotype" w:cs="Palatino Linotype"/>
          <w:sz w:val="22"/>
          <w:szCs w:val="22"/>
        </w:rPr>
        <w:t xml:space="preserve">Resultan </w:t>
      </w:r>
      <w:r w:rsidRPr="00C00ACE">
        <w:rPr>
          <w:rFonts w:ascii="Palatino Linotype" w:eastAsia="Palatino Linotype" w:hAnsi="Palatino Linotype" w:cs="Palatino Linotype"/>
          <w:b/>
          <w:sz w:val="22"/>
          <w:szCs w:val="22"/>
        </w:rPr>
        <w:t>infundadas</w:t>
      </w:r>
      <w:r w:rsidRPr="00C00ACE">
        <w:rPr>
          <w:rFonts w:ascii="Palatino Linotype" w:eastAsia="Palatino Linotype" w:hAnsi="Palatino Linotype" w:cs="Palatino Linotype"/>
          <w:sz w:val="22"/>
          <w:szCs w:val="22"/>
        </w:rPr>
        <w:t xml:space="preserve"> las</w:t>
      </w:r>
      <w:r w:rsidRPr="00C00ACE">
        <w:rPr>
          <w:rFonts w:ascii="Palatino Linotype" w:eastAsia="Palatino Linotype" w:hAnsi="Palatino Linotype" w:cs="Palatino Linotype"/>
          <w:b/>
          <w:sz w:val="22"/>
          <w:szCs w:val="22"/>
        </w:rPr>
        <w:t xml:space="preserve"> </w:t>
      </w:r>
      <w:r w:rsidRPr="00C00ACE">
        <w:rPr>
          <w:rFonts w:ascii="Palatino Linotype" w:eastAsia="Palatino Linotype" w:hAnsi="Palatino Linotype" w:cs="Palatino Linotype"/>
          <w:sz w:val="22"/>
          <w:szCs w:val="22"/>
        </w:rPr>
        <w:t xml:space="preserve">razones o motivos de inconformidad hechos valer por la parte </w:t>
      </w:r>
      <w:r w:rsidRPr="00C00ACE">
        <w:rPr>
          <w:rFonts w:ascii="Palatino Linotype" w:eastAsia="Palatino Linotype" w:hAnsi="Palatino Linotype" w:cs="Palatino Linotype"/>
          <w:b/>
          <w:sz w:val="22"/>
          <w:szCs w:val="22"/>
        </w:rPr>
        <w:t>Recurrente</w:t>
      </w:r>
      <w:r w:rsidRPr="00C00ACE">
        <w:rPr>
          <w:rFonts w:ascii="Palatino Linotype" w:eastAsia="Palatino Linotype" w:hAnsi="Palatino Linotype" w:cs="Palatino Linotype"/>
          <w:sz w:val="22"/>
          <w:szCs w:val="22"/>
        </w:rPr>
        <w:t xml:space="preserve"> en el Recurso de Revisión </w:t>
      </w:r>
      <w:r w:rsidRPr="00C00ACE">
        <w:rPr>
          <w:rFonts w:ascii="Palatino Linotype" w:eastAsia="Palatino Linotype" w:hAnsi="Palatino Linotype" w:cs="Palatino Linotype"/>
          <w:b/>
          <w:sz w:val="22"/>
          <w:szCs w:val="22"/>
        </w:rPr>
        <w:t xml:space="preserve">07669/INFOEM/IP/RR/2024; </w:t>
      </w:r>
      <w:r w:rsidRPr="00C00ACE">
        <w:rPr>
          <w:rFonts w:ascii="Palatino Linotype" w:eastAsia="Palatino Linotype" w:hAnsi="Palatino Linotype" w:cs="Palatino Linotype"/>
          <w:sz w:val="22"/>
          <w:szCs w:val="22"/>
        </w:rPr>
        <w:t xml:space="preserve">por lo que, en términos del Considerando </w:t>
      </w:r>
      <w:r w:rsidRPr="00C00ACE">
        <w:rPr>
          <w:rFonts w:ascii="Palatino Linotype" w:eastAsia="Palatino Linotype" w:hAnsi="Palatino Linotype" w:cs="Palatino Linotype"/>
          <w:b/>
          <w:sz w:val="22"/>
          <w:szCs w:val="22"/>
        </w:rPr>
        <w:t>Cuarto</w:t>
      </w:r>
      <w:r w:rsidRPr="00C00ACE">
        <w:rPr>
          <w:rFonts w:ascii="Palatino Linotype" w:eastAsia="Palatino Linotype" w:hAnsi="Palatino Linotype" w:cs="Palatino Linotype"/>
          <w:sz w:val="22"/>
          <w:szCs w:val="22"/>
        </w:rPr>
        <w:t xml:space="preserve"> de la presente resolución se </w:t>
      </w:r>
      <w:r w:rsidRPr="00C00ACE">
        <w:rPr>
          <w:rFonts w:ascii="Palatino Linotype" w:eastAsia="Palatino Linotype" w:hAnsi="Palatino Linotype" w:cs="Palatino Linotype"/>
          <w:b/>
          <w:sz w:val="22"/>
          <w:szCs w:val="22"/>
        </w:rPr>
        <w:t xml:space="preserve">Confirma </w:t>
      </w:r>
      <w:r w:rsidRPr="00C00ACE">
        <w:rPr>
          <w:rFonts w:ascii="Palatino Linotype" w:eastAsia="Palatino Linotype" w:hAnsi="Palatino Linotype" w:cs="Palatino Linotype"/>
          <w:sz w:val="22"/>
          <w:szCs w:val="22"/>
        </w:rPr>
        <w:t xml:space="preserve">la respuesta emitida por el </w:t>
      </w:r>
      <w:r w:rsidRPr="00C00ACE">
        <w:rPr>
          <w:rFonts w:ascii="Palatino Linotype" w:eastAsia="Palatino Linotype" w:hAnsi="Palatino Linotype" w:cs="Palatino Linotype"/>
          <w:b/>
          <w:sz w:val="22"/>
          <w:szCs w:val="22"/>
        </w:rPr>
        <w:t xml:space="preserve">Sujeto Obligado. </w:t>
      </w:r>
    </w:p>
    <w:p w14:paraId="7B1AE638" w14:textId="77777777" w:rsidR="00580FB0" w:rsidRPr="00C00ACE" w:rsidRDefault="00580FB0" w:rsidP="00580FB0">
      <w:pPr>
        <w:spacing w:line="360" w:lineRule="auto"/>
        <w:jc w:val="both"/>
        <w:rPr>
          <w:rFonts w:ascii="Palatino Linotype" w:eastAsia="Palatino Linotype" w:hAnsi="Palatino Linotype" w:cs="Palatino Linotype"/>
          <w:b/>
          <w:sz w:val="22"/>
          <w:szCs w:val="22"/>
        </w:rPr>
      </w:pPr>
    </w:p>
    <w:p w14:paraId="51FEE210" w14:textId="77777777" w:rsidR="00580FB0" w:rsidRPr="00C00ACE" w:rsidRDefault="00580FB0" w:rsidP="00580FB0">
      <w:pPr>
        <w:spacing w:line="360" w:lineRule="auto"/>
        <w:ind w:right="51"/>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sz w:val="22"/>
          <w:szCs w:val="22"/>
        </w:rPr>
        <w:t>Segundo. Notifíquese, vía SAIMEX</w:t>
      </w:r>
      <w:r w:rsidRPr="00C00ACE">
        <w:rPr>
          <w:rFonts w:ascii="Palatino Linotype" w:eastAsia="Palatino Linotype" w:hAnsi="Palatino Linotype" w:cs="Palatino Linotype"/>
          <w:sz w:val="22"/>
          <w:szCs w:val="22"/>
        </w:rPr>
        <w:t xml:space="preserve"> la presente resolución al Titular de la Unidad de Transparencia del </w:t>
      </w:r>
      <w:r w:rsidRPr="00C00ACE">
        <w:rPr>
          <w:rFonts w:ascii="Palatino Linotype" w:eastAsia="Palatino Linotype" w:hAnsi="Palatino Linotype" w:cs="Palatino Linotype"/>
          <w:b/>
          <w:sz w:val="22"/>
          <w:szCs w:val="22"/>
        </w:rPr>
        <w:t>Sujeto Obligado</w:t>
      </w:r>
      <w:r w:rsidRPr="00C00ACE">
        <w:rPr>
          <w:rFonts w:ascii="Palatino Linotype" w:eastAsia="Palatino Linotype" w:hAnsi="Palatino Linotype" w:cs="Palatino Linotype"/>
          <w:sz w:val="22"/>
          <w:szCs w:val="22"/>
        </w:rPr>
        <w:t>, para su conocimiento.</w:t>
      </w:r>
    </w:p>
    <w:p w14:paraId="3A33530F" w14:textId="77777777" w:rsidR="00580FB0" w:rsidRPr="00C00ACE" w:rsidRDefault="00580FB0" w:rsidP="00580FB0">
      <w:pPr>
        <w:spacing w:line="360" w:lineRule="auto"/>
        <w:jc w:val="both"/>
        <w:rPr>
          <w:sz w:val="22"/>
          <w:szCs w:val="22"/>
        </w:rPr>
      </w:pPr>
    </w:p>
    <w:p w14:paraId="5E0638B8" w14:textId="77777777" w:rsidR="00580FB0" w:rsidRPr="00C00ACE" w:rsidRDefault="00580FB0" w:rsidP="00580FB0">
      <w:pPr>
        <w:spacing w:line="360" w:lineRule="auto"/>
        <w:ind w:right="49"/>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b/>
          <w:sz w:val="22"/>
          <w:szCs w:val="22"/>
        </w:rPr>
        <w:t>Tercero. Notifíquese vía SAIMEX</w:t>
      </w:r>
      <w:r w:rsidRPr="00C00ACE">
        <w:rPr>
          <w:rFonts w:ascii="Palatino Linotype" w:eastAsia="Palatino Linotype" w:hAnsi="Palatino Linotype" w:cs="Palatino Linotype"/>
          <w:sz w:val="22"/>
          <w:szCs w:val="22"/>
        </w:rPr>
        <w:t>,</w:t>
      </w:r>
      <w:r w:rsidRPr="00C00ACE">
        <w:rPr>
          <w:rFonts w:ascii="Palatino Linotype" w:eastAsia="Palatino Linotype" w:hAnsi="Palatino Linotype" w:cs="Palatino Linotype"/>
          <w:b/>
          <w:sz w:val="22"/>
          <w:szCs w:val="22"/>
        </w:rPr>
        <w:t xml:space="preserve"> </w:t>
      </w:r>
      <w:r w:rsidRPr="00C00ACE">
        <w:rPr>
          <w:rFonts w:ascii="Palatino Linotype" w:eastAsia="Palatino Linotype" w:hAnsi="Palatino Linotype" w:cs="Palatino Linotype"/>
          <w:sz w:val="22"/>
          <w:szCs w:val="22"/>
        </w:rPr>
        <w:t xml:space="preserve">a la parte </w:t>
      </w:r>
      <w:r w:rsidRPr="00C00ACE">
        <w:rPr>
          <w:rFonts w:ascii="Palatino Linotype" w:eastAsia="Palatino Linotype" w:hAnsi="Palatino Linotype" w:cs="Palatino Linotype"/>
          <w:b/>
          <w:sz w:val="22"/>
          <w:szCs w:val="22"/>
        </w:rPr>
        <w:t>Recurrente</w:t>
      </w:r>
      <w:r w:rsidRPr="00C00ACE">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2FBAD59E" w14:textId="77777777" w:rsidR="00515A09" w:rsidRPr="00C00ACE" w:rsidRDefault="00515A09">
      <w:pPr>
        <w:spacing w:line="360" w:lineRule="auto"/>
        <w:ind w:right="49"/>
        <w:jc w:val="both"/>
        <w:rPr>
          <w:rFonts w:ascii="Palatino Linotype" w:eastAsia="Palatino Linotype" w:hAnsi="Palatino Linotype" w:cs="Palatino Linotype"/>
          <w:sz w:val="22"/>
          <w:szCs w:val="22"/>
        </w:rPr>
      </w:pPr>
    </w:p>
    <w:p w14:paraId="2DA1E205" w14:textId="77777777" w:rsidR="00515A09" w:rsidRPr="00436651" w:rsidRDefault="009E19E3">
      <w:pPr>
        <w:spacing w:line="360" w:lineRule="auto"/>
        <w:ind w:right="-93"/>
        <w:jc w:val="both"/>
        <w:rPr>
          <w:rFonts w:ascii="Palatino Linotype" w:eastAsia="Palatino Linotype" w:hAnsi="Palatino Linotype" w:cs="Palatino Linotype"/>
          <w:sz w:val="22"/>
          <w:szCs w:val="22"/>
        </w:rPr>
      </w:pPr>
      <w:r w:rsidRPr="00C00ACE">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80FB0" w:rsidRPr="00C00ACE">
        <w:rPr>
          <w:rFonts w:ascii="Palatino Linotype" w:eastAsia="Palatino Linotype" w:hAnsi="Palatino Linotype" w:cs="Palatino Linotype"/>
          <w:sz w:val="22"/>
          <w:szCs w:val="22"/>
        </w:rPr>
        <w:t>TERCERA</w:t>
      </w:r>
      <w:r w:rsidRPr="00C00ACE">
        <w:rPr>
          <w:rFonts w:ascii="Palatino Linotype" w:eastAsia="Palatino Linotype" w:hAnsi="Palatino Linotype" w:cs="Palatino Linotype"/>
          <w:sz w:val="22"/>
          <w:szCs w:val="22"/>
        </w:rPr>
        <w:t xml:space="preserve"> SESIÓN ORDINARIA CELEBRADA EL </w:t>
      </w:r>
      <w:r w:rsidR="00E12B26" w:rsidRPr="00C00ACE">
        <w:rPr>
          <w:rFonts w:ascii="Palatino Linotype" w:eastAsia="Palatino Linotype" w:hAnsi="Palatino Linotype" w:cs="Palatino Linotype"/>
          <w:sz w:val="22"/>
          <w:szCs w:val="22"/>
        </w:rPr>
        <w:t>VENTI</w:t>
      </w:r>
      <w:r w:rsidR="00580FB0" w:rsidRPr="00C00ACE">
        <w:rPr>
          <w:rFonts w:ascii="Palatino Linotype" w:eastAsia="Palatino Linotype" w:hAnsi="Palatino Linotype" w:cs="Palatino Linotype"/>
          <w:sz w:val="22"/>
          <w:szCs w:val="22"/>
        </w:rPr>
        <w:t>NUEVE</w:t>
      </w:r>
      <w:r w:rsidR="00E12B26" w:rsidRPr="00C00ACE">
        <w:rPr>
          <w:rFonts w:ascii="Palatino Linotype" w:eastAsia="Palatino Linotype" w:hAnsi="Palatino Linotype" w:cs="Palatino Linotype"/>
          <w:sz w:val="22"/>
          <w:szCs w:val="22"/>
        </w:rPr>
        <w:t xml:space="preserve"> DE ENERO DE DOS MIL VEINTICINCO</w:t>
      </w:r>
      <w:r w:rsidRPr="00C00ACE">
        <w:rPr>
          <w:rFonts w:ascii="Palatino Linotype" w:eastAsia="Palatino Linotype" w:hAnsi="Palatino Linotype" w:cs="Palatino Linotype"/>
          <w:sz w:val="22"/>
          <w:szCs w:val="22"/>
        </w:rPr>
        <w:t>, ANTE EL SECRETARIO TÉCNICO DEL PLENO ALEXIS TAPIA RAMÍREZ.</w:t>
      </w:r>
    </w:p>
    <w:p w14:paraId="3668A891"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681798D7"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6C4F6BF6" w14:textId="77777777" w:rsidR="00515A09" w:rsidRPr="00436651" w:rsidRDefault="00515A09">
      <w:pPr>
        <w:spacing w:line="360" w:lineRule="auto"/>
        <w:jc w:val="both"/>
        <w:rPr>
          <w:rFonts w:ascii="Palatino Linotype" w:eastAsia="Palatino Linotype" w:hAnsi="Palatino Linotype" w:cs="Palatino Linotype"/>
          <w:sz w:val="22"/>
          <w:szCs w:val="22"/>
        </w:rPr>
      </w:pPr>
      <w:bookmarkStart w:id="11" w:name="_heading=h.1t3h5sf" w:colFirst="0" w:colLast="0"/>
      <w:bookmarkEnd w:id="11"/>
    </w:p>
    <w:p w14:paraId="3DED9FDF"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601B103E"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094AF963"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1C4DFCCB"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76E7C991"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352CA701"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0D0F976D"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2A30DDB5"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2FB62991"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7A657E15"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22A2E6BD"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5E7AA4EB"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2215B76B"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362A5ADD"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11ECA5B5"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3E9DC6ED"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45E55873"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0A7F1244"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47EC700D" w14:textId="77777777" w:rsidR="00515A09" w:rsidRPr="00436651" w:rsidRDefault="00515A09">
      <w:pPr>
        <w:spacing w:line="360" w:lineRule="auto"/>
        <w:jc w:val="both"/>
        <w:rPr>
          <w:rFonts w:ascii="Palatino Linotype" w:eastAsia="Palatino Linotype" w:hAnsi="Palatino Linotype" w:cs="Palatino Linotype"/>
          <w:sz w:val="22"/>
          <w:szCs w:val="22"/>
        </w:rPr>
      </w:pPr>
    </w:p>
    <w:p w14:paraId="54938926" w14:textId="77777777" w:rsidR="00515A09" w:rsidRPr="00436651" w:rsidRDefault="00515A09">
      <w:pPr>
        <w:spacing w:line="360" w:lineRule="auto"/>
        <w:jc w:val="both"/>
        <w:rPr>
          <w:rFonts w:ascii="Palatino Linotype" w:eastAsia="Palatino Linotype" w:hAnsi="Palatino Linotype" w:cs="Palatino Linotype"/>
          <w:sz w:val="22"/>
          <w:szCs w:val="22"/>
        </w:rPr>
      </w:pPr>
      <w:bookmarkStart w:id="12" w:name="_heading=h.1ksv4uv" w:colFirst="0" w:colLast="0"/>
      <w:bookmarkEnd w:id="12"/>
    </w:p>
    <w:sectPr w:rsidR="00515A09" w:rsidRPr="00436651">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9DB5E" w14:textId="77777777" w:rsidR="00135C4C" w:rsidRDefault="00135C4C">
      <w:r>
        <w:separator/>
      </w:r>
    </w:p>
  </w:endnote>
  <w:endnote w:type="continuationSeparator" w:id="0">
    <w:p w14:paraId="21B27C3E" w14:textId="77777777" w:rsidR="00135C4C" w:rsidRDefault="0013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747E" w14:textId="77777777" w:rsidR="00580FB0" w:rsidRDefault="00580FB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0ACE">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0ACE">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217AE16A" w14:textId="77777777" w:rsidR="00580FB0" w:rsidRDefault="00580FB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708B" w14:textId="77777777" w:rsidR="00580FB0" w:rsidRDefault="00580FB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0AC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0ACE">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477B4981" w14:textId="77777777" w:rsidR="00580FB0" w:rsidRDefault="00580FB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16E23" w14:textId="77777777" w:rsidR="00135C4C" w:rsidRDefault="00135C4C">
      <w:r>
        <w:separator/>
      </w:r>
    </w:p>
  </w:footnote>
  <w:footnote w:type="continuationSeparator" w:id="0">
    <w:p w14:paraId="6B62A982" w14:textId="77777777" w:rsidR="00135C4C" w:rsidRDefault="00135C4C">
      <w:r>
        <w:continuationSeparator/>
      </w:r>
    </w:p>
  </w:footnote>
  <w:footnote w:id="1">
    <w:p w14:paraId="3725ABEA" w14:textId="77777777" w:rsidR="00580FB0" w:rsidRDefault="00580FB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B40FC96" w14:textId="77777777" w:rsidR="00580FB0" w:rsidRDefault="00580FB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726D265" w14:textId="77777777" w:rsidR="00580FB0" w:rsidRDefault="00580FB0">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762469B" w14:textId="77777777" w:rsidR="00580FB0" w:rsidRDefault="00580FB0">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76A2" w14:textId="77777777" w:rsidR="00580FB0" w:rsidRDefault="00580FB0">
    <w:pPr>
      <w:rPr>
        <w:rFonts w:ascii="Cambria" w:eastAsia="Cambria" w:hAnsi="Cambria" w:cs="Cambria"/>
        <w:color w:val="000000"/>
      </w:rPr>
    </w:pPr>
    <w:r>
      <w:rPr>
        <w:noProof/>
      </w:rPr>
      <w:drawing>
        <wp:anchor distT="0" distB="0" distL="0" distR="0" simplePos="0" relativeHeight="251658240" behindDoc="1" locked="0" layoutInCell="1" hidden="0" allowOverlap="1" wp14:anchorId="514C2AE9" wp14:editId="72170C53">
          <wp:simplePos x="0" y="0"/>
          <wp:positionH relativeFrom="column">
            <wp:posOffset>-1080109</wp:posOffset>
          </wp:positionH>
          <wp:positionV relativeFrom="paragraph">
            <wp:posOffset>-488284</wp:posOffset>
          </wp:positionV>
          <wp:extent cx="7809865" cy="10165715"/>
          <wp:effectExtent l="0" t="0" r="0" b="0"/>
          <wp:wrapNone/>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7087" w:type="dxa"/>
      <w:tblInd w:w="3261" w:type="dxa"/>
      <w:tblLayout w:type="fixed"/>
      <w:tblLook w:val="0400" w:firstRow="0" w:lastRow="0" w:firstColumn="0" w:lastColumn="0" w:noHBand="0" w:noVBand="1"/>
    </w:tblPr>
    <w:tblGrid>
      <w:gridCol w:w="2489"/>
      <w:gridCol w:w="4598"/>
    </w:tblGrid>
    <w:tr w:rsidR="00580FB0" w14:paraId="0458122D" w14:textId="77777777">
      <w:tc>
        <w:tcPr>
          <w:tcW w:w="2489" w:type="dxa"/>
          <w:shd w:val="clear" w:color="auto" w:fill="auto"/>
        </w:tcPr>
        <w:p w14:paraId="36C31A91" w14:textId="77777777" w:rsidR="00580FB0" w:rsidRDefault="00580FB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75DEEDDC" w14:textId="77777777" w:rsidR="00580FB0" w:rsidRDefault="00580FB0" w:rsidP="006B1AC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07669/INFOEM/IP/RR/2024</w:t>
          </w:r>
        </w:p>
      </w:tc>
    </w:tr>
    <w:tr w:rsidR="00580FB0" w14:paraId="73195DF4" w14:textId="77777777">
      <w:trPr>
        <w:trHeight w:val="228"/>
      </w:trPr>
      <w:tc>
        <w:tcPr>
          <w:tcW w:w="2489" w:type="dxa"/>
          <w:shd w:val="clear" w:color="auto" w:fill="auto"/>
          <w:vAlign w:val="center"/>
        </w:tcPr>
        <w:p w14:paraId="41BE0890" w14:textId="77777777" w:rsidR="00580FB0" w:rsidRDefault="00580FB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325B4957" w14:textId="77777777" w:rsidR="00580FB0" w:rsidRDefault="00580FB0">
          <w:pPr>
            <w:ind w:left="-45" w:right="1586"/>
            <w:jc w:val="both"/>
            <w:rPr>
              <w:rFonts w:ascii="Palatino Linotype" w:eastAsia="Palatino Linotype" w:hAnsi="Palatino Linotype" w:cs="Palatino Linotype"/>
              <w:b/>
              <w:sz w:val="22"/>
              <w:szCs w:val="22"/>
            </w:rPr>
          </w:pPr>
          <w:r w:rsidRPr="006B1ACF">
            <w:rPr>
              <w:rFonts w:ascii="Palatino Linotype" w:eastAsia="Palatino Linotype" w:hAnsi="Palatino Linotype" w:cs="Palatino Linotype"/>
              <w:b/>
              <w:sz w:val="22"/>
              <w:szCs w:val="22"/>
            </w:rPr>
            <w:t>Instituto Electoral del Estado de México</w:t>
          </w:r>
        </w:p>
      </w:tc>
    </w:tr>
    <w:tr w:rsidR="00580FB0" w14:paraId="0F85392F" w14:textId="77777777">
      <w:tc>
        <w:tcPr>
          <w:tcW w:w="2489" w:type="dxa"/>
          <w:shd w:val="clear" w:color="auto" w:fill="auto"/>
          <w:vAlign w:val="center"/>
        </w:tcPr>
        <w:p w14:paraId="2F364131" w14:textId="77777777" w:rsidR="00580FB0" w:rsidRDefault="00580FB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4F6FCFD7" w14:textId="77777777" w:rsidR="00580FB0" w:rsidRDefault="00580FB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EF7DE5" w14:textId="77777777" w:rsidR="00580FB0" w:rsidRDefault="00580FB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F586" w14:textId="77777777" w:rsidR="00580FB0" w:rsidRDefault="00580FB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940CAA1" wp14:editId="45AA73B4">
          <wp:simplePos x="0" y="0"/>
          <wp:positionH relativeFrom="column">
            <wp:posOffset>-1079487</wp:posOffset>
          </wp:positionH>
          <wp:positionV relativeFrom="paragraph">
            <wp:posOffset>-328916</wp:posOffset>
          </wp:positionV>
          <wp:extent cx="7809865" cy="10165715"/>
          <wp:effectExtent l="0" t="0" r="0" b="0"/>
          <wp:wrapNone/>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551"/>
      <w:gridCol w:w="4394"/>
    </w:tblGrid>
    <w:tr w:rsidR="00580FB0" w14:paraId="3F13038E" w14:textId="77777777">
      <w:tc>
        <w:tcPr>
          <w:tcW w:w="2551" w:type="dxa"/>
          <w:shd w:val="clear" w:color="auto" w:fill="auto"/>
          <w:vAlign w:val="center"/>
        </w:tcPr>
        <w:p w14:paraId="75D4C688" w14:textId="77777777" w:rsidR="00580FB0" w:rsidRDefault="00580FB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7ED150BB" w14:textId="77777777" w:rsidR="00580FB0" w:rsidRDefault="00580FB0" w:rsidP="006B1AC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07669/INFOEM/IP/RR/2024</w:t>
          </w:r>
        </w:p>
      </w:tc>
    </w:tr>
    <w:tr w:rsidR="00580FB0" w14:paraId="1A09B9E4" w14:textId="77777777">
      <w:trPr>
        <w:trHeight w:val="130"/>
      </w:trPr>
      <w:tc>
        <w:tcPr>
          <w:tcW w:w="2551" w:type="dxa"/>
          <w:shd w:val="clear" w:color="auto" w:fill="auto"/>
          <w:vAlign w:val="center"/>
        </w:tcPr>
        <w:p w14:paraId="577C2E89" w14:textId="77777777" w:rsidR="00580FB0" w:rsidRDefault="00580FB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52121057" w14:textId="496D57D1" w:rsidR="00580FB0" w:rsidRDefault="000B24AB">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w:t>
          </w:r>
        </w:p>
      </w:tc>
    </w:tr>
    <w:tr w:rsidR="00580FB0" w14:paraId="4727BE44" w14:textId="77777777">
      <w:trPr>
        <w:trHeight w:val="228"/>
      </w:trPr>
      <w:tc>
        <w:tcPr>
          <w:tcW w:w="2551" w:type="dxa"/>
          <w:shd w:val="clear" w:color="auto" w:fill="auto"/>
          <w:vAlign w:val="center"/>
        </w:tcPr>
        <w:p w14:paraId="022D22F8" w14:textId="77777777" w:rsidR="00580FB0" w:rsidRDefault="00580FB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8A32DFB" w14:textId="77777777" w:rsidR="00580FB0" w:rsidRDefault="00580FB0">
          <w:pPr>
            <w:ind w:left="-45" w:right="1586"/>
            <w:jc w:val="both"/>
            <w:rPr>
              <w:rFonts w:ascii="Palatino Linotype" w:eastAsia="Palatino Linotype" w:hAnsi="Palatino Linotype" w:cs="Palatino Linotype"/>
              <w:b/>
              <w:sz w:val="22"/>
              <w:szCs w:val="22"/>
            </w:rPr>
          </w:pPr>
          <w:r w:rsidRPr="006B1ACF">
            <w:rPr>
              <w:rFonts w:ascii="Palatino Linotype" w:eastAsia="Palatino Linotype" w:hAnsi="Palatino Linotype" w:cs="Palatino Linotype"/>
              <w:b/>
              <w:sz w:val="22"/>
              <w:szCs w:val="22"/>
            </w:rPr>
            <w:t>Instituto Electoral del Estado de México</w:t>
          </w:r>
        </w:p>
      </w:tc>
    </w:tr>
    <w:tr w:rsidR="00580FB0" w14:paraId="4235B818" w14:textId="77777777">
      <w:tc>
        <w:tcPr>
          <w:tcW w:w="2551" w:type="dxa"/>
          <w:shd w:val="clear" w:color="auto" w:fill="auto"/>
          <w:vAlign w:val="center"/>
        </w:tcPr>
        <w:p w14:paraId="5ABB1D81" w14:textId="77777777" w:rsidR="00580FB0" w:rsidRDefault="00580FB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5767BFCB" w14:textId="77777777" w:rsidR="00580FB0" w:rsidRDefault="00580FB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E45965" w14:textId="77777777" w:rsidR="00580FB0" w:rsidRDefault="00580FB0">
    <w:pPr>
      <w:pBdr>
        <w:top w:val="nil"/>
        <w:left w:val="nil"/>
        <w:bottom w:val="nil"/>
        <w:right w:val="nil"/>
        <w:between w:val="nil"/>
      </w:pBdr>
      <w:tabs>
        <w:tab w:val="center" w:pos="4252"/>
        <w:tab w:val="right" w:pos="8504"/>
      </w:tabs>
      <w:rPr>
        <w:rFonts w:ascii="Cambria" w:eastAsia="Cambria" w:hAnsi="Cambria" w:cs="Cambria"/>
        <w:color w:val="000000"/>
      </w:rPr>
    </w:pPr>
  </w:p>
  <w:p w14:paraId="50464804" w14:textId="77777777" w:rsidR="00580FB0" w:rsidRDefault="00580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88C"/>
    <w:multiLevelType w:val="multilevel"/>
    <w:tmpl w:val="2CC4A968"/>
    <w:lvl w:ilvl="0">
      <w:start w:val="1"/>
      <w:numFmt w:val="decimal"/>
      <w:lvlText w:val="%1."/>
      <w:lvlJc w:val="left"/>
      <w:pPr>
        <w:ind w:left="1004" w:hanging="360"/>
      </w:p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01024C77"/>
    <w:multiLevelType w:val="hybridMultilevel"/>
    <w:tmpl w:val="6226DD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08C79F4"/>
    <w:multiLevelType w:val="hybridMultilevel"/>
    <w:tmpl w:val="6966DE1E"/>
    <w:lvl w:ilvl="0" w:tplc="1DEE90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1756327"/>
    <w:multiLevelType w:val="multilevel"/>
    <w:tmpl w:val="376EF3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183FBD"/>
    <w:multiLevelType w:val="hybridMultilevel"/>
    <w:tmpl w:val="CF384E86"/>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8B4ABC"/>
    <w:multiLevelType w:val="multilevel"/>
    <w:tmpl w:val="8C7600D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2C71183F"/>
    <w:multiLevelType w:val="hybridMultilevel"/>
    <w:tmpl w:val="9EB406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CCF36A8"/>
    <w:multiLevelType w:val="hybridMultilevel"/>
    <w:tmpl w:val="F000D552"/>
    <w:lvl w:ilvl="0" w:tplc="1E560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DAE2A8C"/>
    <w:multiLevelType w:val="multilevel"/>
    <w:tmpl w:val="0AA0046E"/>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074165C"/>
    <w:multiLevelType w:val="multilevel"/>
    <w:tmpl w:val="0B38E77C"/>
    <w:lvl w:ilvl="0">
      <w:start w:val="144"/>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3BB426E"/>
    <w:multiLevelType w:val="multilevel"/>
    <w:tmpl w:val="8182EC6A"/>
    <w:lvl w:ilvl="0">
      <w:start w:val="2"/>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096BD1"/>
    <w:multiLevelType w:val="hybridMultilevel"/>
    <w:tmpl w:val="9828E02A"/>
    <w:lvl w:ilvl="0" w:tplc="70947AE8">
      <w:start w:val="7"/>
      <w:numFmt w:val="bullet"/>
      <w:lvlText w:val=""/>
      <w:lvlJc w:val="left"/>
      <w:pPr>
        <w:ind w:left="720" w:hanging="360"/>
      </w:pPr>
      <w:rPr>
        <w:rFonts w:ascii="Symbol" w:eastAsia="Palatino Linotype" w:hAnsi="Symbol" w:cs="Palatino Linotype"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50840"/>
    <w:multiLevelType w:val="multilevel"/>
    <w:tmpl w:val="83CA649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B4C02E6"/>
    <w:multiLevelType w:val="hybridMultilevel"/>
    <w:tmpl w:val="B21EC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30B451D"/>
    <w:multiLevelType w:val="hybridMultilevel"/>
    <w:tmpl w:val="ADB8F8C0"/>
    <w:lvl w:ilvl="0" w:tplc="D40A08B0">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9318AF"/>
    <w:multiLevelType w:val="hybridMultilevel"/>
    <w:tmpl w:val="287A405E"/>
    <w:lvl w:ilvl="0" w:tplc="5DB2022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AB4351"/>
    <w:multiLevelType w:val="hybridMultilevel"/>
    <w:tmpl w:val="7BE0D7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8E6BCB"/>
    <w:multiLevelType w:val="hybridMultilevel"/>
    <w:tmpl w:val="7740775A"/>
    <w:lvl w:ilvl="0" w:tplc="DCB83794">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7B3DB1"/>
    <w:multiLevelType w:val="multilevel"/>
    <w:tmpl w:val="C65C380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15:restartNumberingAfterBreak="0">
    <w:nsid w:val="60822F7C"/>
    <w:multiLevelType w:val="multilevel"/>
    <w:tmpl w:val="CE16A2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2C32BA5"/>
    <w:multiLevelType w:val="hybridMultilevel"/>
    <w:tmpl w:val="C73E0DA0"/>
    <w:lvl w:ilvl="0" w:tplc="241496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6966873"/>
    <w:multiLevelType w:val="hybridMultilevel"/>
    <w:tmpl w:val="1E168D82"/>
    <w:lvl w:ilvl="0" w:tplc="325C38EE">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277EE8"/>
    <w:multiLevelType w:val="multilevel"/>
    <w:tmpl w:val="DFBE1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B076DB"/>
    <w:multiLevelType w:val="hybridMultilevel"/>
    <w:tmpl w:val="05DC4AD0"/>
    <w:lvl w:ilvl="0" w:tplc="7FA8DED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6EFD20BD"/>
    <w:multiLevelType w:val="multilevel"/>
    <w:tmpl w:val="52062C0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5" w15:restartNumberingAfterBreak="0">
    <w:nsid w:val="76A13E2C"/>
    <w:multiLevelType w:val="hybridMultilevel"/>
    <w:tmpl w:val="F71C8E2C"/>
    <w:lvl w:ilvl="0" w:tplc="44C2383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79575874"/>
    <w:multiLevelType w:val="hybridMultilevel"/>
    <w:tmpl w:val="4928F3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7FD73BC7"/>
    <w:multiLevelType w:val="hybridMultilevel"/>
    <w:tmpl w:val="1504BCFC"/>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0"/>
  </w:num>
  <w:num w:numId="4">
    <w:abstractNumId w:val="10"/>
  </w:num>
  <w:num w:numId="5">
    <w:abstractNumId w:val="8"/>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3"/>
  </w:num>
  <w:num w:numId="10">
    <w:abstractNumId w:val="25"/>
  </w:num>
  <w:num w:numId="11">
    <w:abstractNumId w:val="20"/>
  </w:num>
  <w:num w:numId="12">
    <w:abstractNumId w:val="2"/>
  </w:num>
  <w:num w:numId="13">
    <w:abstractNumId w:val="7"/>
  </w:num>
  <w:num w:numId="14">
    <w:abstractNumId w:val="6"/>
  </w:num>
  <w:num w:numId="15">
    <w:abstractNumId w:val="26"/>
  </w:num>
  <w:num w:numId="16">
    <w:abstractNumId w:val="21"/>
  </w:num>
  <w:num w:numId="17">
    <w:abstractNumId w:val="1"/>
  </w:num>
  <w:num w:numId="18">
    <w:abstractNumId w:val="14"/>
  </w:num>
  <w:num w:numId="19">
    <w:abstractNumId w:val="15"/>
  </w:num>
  <w:num w:numId="20">
    <w:abstractNumId w:val="4"/>
  </w:num>
  <w:num w:numId="21">
    <w:abstractNumId w:val="16"/>
  </w:num>
  <w:num w:numId="22">
    <w:abstractNumId w:val="9"/>
  </w:num>
  <w:num w:numId="23">
    <w:abstractNumId w:val="13"/>
  </w:num>
  <w:num w:numId="24">
    <w:abstractNumId w:val="17"/>
  </w:num>
  <w:num w:numId="25">
    <w:abstractNumId w:val="24"/>
  </w:num>
  <w:num w:numId="26">
    <w:abstractNumId w:val="22"/>
  </w:num>
  <w:num w:numId="27">
    <w:abstractNumId w:val="18"/>
  </w:num>
  <w:num w:numId="28">
    <w:abstractNumId w:val="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09"/>
    <w:rsid w:val="00002EFF"/>
    <w:rsid w:val="000138E5"/>
    <w:rsid w:val="00013CCB"/>
    <w:rsid w:val="00021CCF"/>
    <w:rsid w:val="000263D9"/>
    <w:rsid w:val="00032DBE"/>
    <w:rsid w:val="00033B95"/>
    <w:rsid w:val="000410F4"/>
    <w:rsid w:val="00044884"/>
    <w:rsid w:val="00061EC8"/>
    <w:rsid w:val="00063C9D"/>
    <w:rsid w:val="00075F35"/>
    <w:rsid w:val="0009600B"/>
    <w:rsid w:val="000A79A0"/>
    <w:rsid w:val="000B24AB"/>
    <w:rsid w:val="000C128A"/>
    <w:rsid w:val="000C2ECC"/>
    <w:rsid w:val="000C5818"/>
    <w:rsid w:val="000C7D7F"/>
    <w:rsid w:val="000D056C"/>
    <w:rsid w:val="000D0AB6"/>
    <w:rsid w:val="00111BD6"/>
    <w:rsid w:val="00132F51"/>
    <w:rsid w:val="00135C4C"/>
    <w:rsid w:val="00161453"/>
    <w:rsid w:val="00165253"/>
    <w:rsid w:val="00182E89"/>
    <w:rsid w:val="001932FD"/>
    <w:rsid w:val="001A7769"/>
    <w:rsid w:val="001B7BEA"/>
    <w:rsid w:val="001C4E2F"/>
    <w:rsid w:val="001C537C"/>
    <w:rsid w:val="001C5A98"/>
    <w:rsid w:val="001C66EA"/>
    <w:rsid w:val="001E031F"/>
    <w:rsid w:val="001F54B0"/>
    <w:rsid w:val="00217262"/>
    <w:rsid w:val="00220344"/>
    <w:rsid w:val="002244B6"/>
    <w:rsid w:val="002317AF"/>
    <w:rsid w:val="002477D4"/>
    <w:rsid w:val="0025424C"/>
    <w:rsid w:val="002568D9"/>
    <w:rsid w:val="00270F24"/>
    <w:rsid w:val="002724BF"/>
    <w:rsid w:val="002748E7"/>
    <w:rsid w:val="00283829"/>
    <w:rsid w:val="00285041"/>
    <w:rsid w:val="002B45E6"/>
    <w:rsid w:val="002B7D06"/>
    <w:rsid w:val="002D05BB"/>
    <w:rsid w:val="002D6D0C"/>
    <w:rsid w:val="002F268B"/>
    <w:rsid w:val="003044F2"/>
    <w:rsid w:val="0031696B"/>
    <w:rsid w:val="003243A1"/>
    <w:rsid w:val="00352E20"/>
    <w:rsid w:val="00357DE6"/>
    <w:rsid w:val="003643AE"/>
    <w:rsid w:val="00381606"/>
    <w:rsid w:val="00382284"/>
    <w:rsid w:val="00386D77"/>
    <w:rsid w:val="003B7334"/>
    <w:rsid w:val="003D1A07"/>
    <w:rsid w:val="003F3223"/>
    <w:rsid w:val="003F6F16"/>
    <w:rsid w:val="00406861"/>
    <w:rsid w:val="004158AB"/>
    <w:rsid w:val="00417E8A"/>
    <w:rsid w:val="004220C8"/>
    <w:rsid w:val="004222D6"/>
    <w:rsid w:val="00436651"/>
    <w:rsid w:val="00470F77"/>
    <w:rsid w:val="0047489B"/>
    <w:rsid w:val="004755BE"/>
    <w:rsid w:val="0048206D"/>
    <w:rsid w:val="004A282D"/>
    <w:rsid w:val="004A35E8"/>
    <w:rsid w:val="004A4405"/>
    <w:rsid w:val="004B1455"/>
    <w:rsid w:val="004B38C2"/>
    <w:rsid w:val="004D38F7"/>
    <w:rsid w:val="004D6A43"/>
    <w:rsid w:val="004F4441"/>
    <w:rsid w:val="005029B2"/>
    <w:rsid w:val="00515A09"/>
    <w:rsid w:val="00526D15"/>
    <w:rsid w:val="0052720F"/>
    <w:rsid w:val="00533F02"/>
    <w:rsid w:val="00553123"/>
    <w:rsid w:val="00557981"/>
    <w:rsid w:val="00557E97"/>
    <w:rsid w:val="00560C3A"/>
    <w:rsid w:val="0056122C"/>
    <w:rsid w:val="005644F6"/>
    <w:rsid w:val="00565311"/>
    <w:rsid w:val="005750C9"/>
    <w:rsid w:val="00580FB0"/>
    <w:rsid w:val="00583626"/>
    <w:rsid w:val="005905FE"/>
    <w:rsid w:val="00593AC1"/>
    <w:rsid w:val="00597DD1"/>
    <w:rsid w:val="005A3E15"/>
    <w:rsid w:val="005A4852"/>
    <w:rsid w:val="005A5EF5"/>
    <w:rsid w:val="005D55C6"/>
    <w:rsid w:val="005E1098"/>
    <w:rsid w:val="005E3771"/>
    <w:rsid w:val="005E3DD0"/>
    <w:rsid w:val="005E592A"/>
    <w:rsid w:val="00606119"/>
    <w:rsid w:val="00626B3E"/>
    <w:rsid w:val="006319A8"/>
    <w:rsid w:val="006350E6"/>
    <w:rsid w:val="006413E3"/>
    <w:rsid w:val="00644C6A"/>
    <w:rsid w:val="00646BEE"/>
    <w:rsid w:val="0065569A"/>
    <w:rsid w:val="00655864"/>
    <w:rsid w:val="006618A9"/>
    <w:rsid w:val="00662824"/>
    <w:rsid w:val="00663BD7"/>
    <w:rsid w:val="00664C52"/>
    <w:rsid w:val="006721E5"/>
    <w:rsid w:val="0067736D"/>
    <w:rsid w:val="00691410"/>
    <w:rsid w:val="006B1ACF"/>
    <w:rsid w:val="006D387B"/>
    <w:rsid w:val="006F16EF"/>
    <w:rsid w:val="00721DDA"/>
    <w:rsid w:val="00724E7F"/>
    <w:rsid w:val="00730176"/>
    <w:rsid w:val="007369BE"/>
    <w:rsid w:val="007438AC"/>
    <w:rsid w:val="00746437"/>
    <w:rsid w:val="007630D6"/>
    <w:rsid w:val="00770FAE"/>
    <w:rsid w:val="00771C38"/>
    <w:rsid w:val="00786F7F"/>
    <w:rsid w:val="0079272C"/>
    <w:rsid w:val="00795649"/>
    <w:rsid w:val="007A29B7"/>
    <w:rsid w:val="007A53D3"/>
    <w:rsid w:val="007A5D84"/>
    <w:rsid w:val="007B548C"/>
    <w:rsid w:val="007B70A3"/>
    <w:rsid w:val="007D01CA"/>
    <w:rsid w:val="007D7BB2"/>
    <w:rsid w:val="007E58EB"/>
    <w:rsid w:val="00825D26"/>
    <w:rsid w:val="0083557C"/>
    <w:rsid w:val="00840AE3"/>
    <w:rsid w:val="00844CDD"/>
    <w:rsid w:val="008564E8"/>
    <w:rsid w:val="008655A5"/>
    <w:rsid w:val="00877252"/>
    <w:rsid w:val="00893C8E"/>
    <w:rsid w:val="008B0DEF"/>
    <w:rsid w:val="008C01C5"/>
    <w:rsid w:val="008E7F80"/>
    <w:rsid w:val="0092554C"/>
    <w:rsid w:val="0092660C"/>
    <w:rsid w:val="00927940"/>
    <w:rsid w:val="00927F1D"/>
    <w:rsid w:val="00933240"/>
    <w:rsid w:val="00942C8D"/>
    <w:rsid w:val="009456A2"/>
    <w:rsid w:val="009513C9"/>
    <w:rsid w:val="0096244B"/>
    <w:rsid w:val="00962DAE"/>
    <w:rsid w:val="00963CE1"/>
    <w:rsid w:val="0097049B"/>
    <w:rsid w:val="009A51C1"/>
    <w:rsid w:val="009A6662"/>
    <w:rsid w:val="009A78DB"/>
    <w:rsid w:val="009B1336"/>
    <w:rsid w:val="009B5F52"/>
    <w:rsid w:val="009E19E3"/>
    <w:rsid w:val="00A02C21"/>
    <w:rsid w:val="00A25F13"/>
    <w:rsid w:val="00A300EE"/>
    <w:rsid w:val="00A31AED"/>
    <w:rsid w:val="00A378BF"/>
    <w:rsid w:val="00A57918"/>
    <w:rsid w:val="00A61D36"/>
    <w:rsid w:val="00A8139F"/>
    <w:rsid w:val="00A814A7"/>
    <w:rsid w:val="00AC53C9"/>
    <w:rsid w:val="00AF6589"/>
    <w:rsid w:val="00B011F6"/>
    <w:rsid w:val="00B67489"/>
    <w:rsid w:val="00B73874"/>
    <w:rsid w:val="00B73EE8"/>
    <w:rsid w:val="00B75AEC"/>
    <w:rsid w:val="00BB77EC"/>
    <w:rsid w:val="00BC0643"/>
    <w:rsid w:val="00BC59B5"/>
    <w:rsid w:val="00BD60A6"/>
    <w:rsid w:val="00BE4E7C"/>
    <w:rsid w:val="00BF47D9"/>
    <w:rsid w:val="00BF7974"/>
    <w:rsid w:val="00C00ACE"/>
    <w:rsid w:val="00C02B6A"/>
    <w:rsid w:val="00C13630"/>
    <w:rsid w:val="00C25CE7"/>
    <w:rsid w:val="00C35771"/>
    <w:rsid w:val="00C40977"/>
    <w:rsid w:val="00C728FC"/>
    <w:rsid w:val="00C94EA3"/>
    <w:rsid w:val="00CA116B"/>
    <w:rsid w:val="00CA1286"/>
    <w:rsid w:val="00CB2D66"/>
    <w:rsid w:val="00CD4B73"/>
    <w:rsid w:val="00CF0B4A"/>
    <w:rsid w:val="00D00B80"/>
    <w:rsid w:val="00D02C76"/>
    <w:rsid w:val="00D129B8"/>
    <w:rsid w:val="00D22DCE"/>
    <w:rsid w:val="00D240C7"/>
    <w:rsid w:val="00D30124"/>
    <w:rsid w:val="00D31B53"/>
    <w:rsid w:val="00D404D3"/>
    <w:rsid w:val="00D52027"/>
    <w:rsid w:val="00D5737C"/>
    <w:rsid w:val="00D61308"/>
    <w:rsid w:val="00D829DC"/>
    <w:rsid w:val="00D96E13"/>
    <w:rsid w:val="00DB55EA"/>
    <w:rsid w:val="00DC1A2C"/>
    <w:rsid w:val="00DC7E25"/>
    <w:rsid w:val="00DD338B"/>
    <w:rsid w:val="00DD7F1D"/>
    <w:rsid w:val="00DE1E6E"/>
    <w:rsid w:val="00E07AE1"/>
    <w:rsid w:val="00E10B6F"/>
    <w:rsid w:val="00E12B26"/>
    <w:rsid w:val="00E14A1D"/>
    <w:rsid w:val="00E5282F"/>
    <w:rsid w:val="00E53FE3"/>
    <w:rsid w:val="00E607C8"/>
    <w:rsid w:val="00E71CA0"/>
    <w:rsid w:val="00E722FB"/>
    <w:rsid w:val="00EA776D"/>
    <w:rsid w:val="00EB7527"/>
    <w:rsid w:val="00EC2F74"/>
    <w:rsid w:val="00ED703B"/>
    <w:rsid w:val="00EE4E42"/>
    <w:rsid w:val="00EE788B"/>
    <w:rsid w:val="00EF1ACD"/>
    <w:rsid w:val="00EF5798"/>
    <w:rsid w:val="00EF64B9"/>
    <w:rsid w:val="00F00A64"/>
    <w:rsid w:val="00F02CE4"/>
    <w:rsid w:val="00F1605D"/>
    <w:rsid w:val="00F263E8"/>
    <w:rsid w:val="00F3041C"/>
    <w:rsid w:val="00F304A7"/>
    <w:rsid w:val="00F62C1B"/>
    <w:rsid w:val="00F77EE7"/>
    <w:rsid w:val="00F82B70"/>
    <w:rsid w:val="00F862C4"/>
    <w:rsid w:val="00F90FBF"/>
    <w:rsid w:val="00FA6D82"/>
    <w:rsid w:val="00FB6F52"/>
    <w:rsid w:val="00FC0D3E"/>
    <w:rsid w:val="00FC2196"/>
    <w:rsid w:val="00FD4B08"/>
    <w:rsid w:val="00FE5B4D"/>
    <w:rsid w:val="00FE7B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72C76"/>
  <w15:docId w15:val="{875E6889-BF54-4BDB-872F-6D09E693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18">
    <w:name w:val="18"/>
    <w:basedOn w:val="TableNormal8"/>
    <w:tblPr>
      <w:tblStyleRowBandSize w:val="1"/>
      <w:tblStyleColBandSize w:val="1"/>
      <w:tblCellMar>
        <w:left w:w="115" w:type="dxa"/>
        <w:right w:w="115" w:type="dxa"/>
      </w:tblCellMar>
    </w:tblPr>
  </w:style>
  <w:style w:type="table" w:customStyle="1" w:styleId="17">
    <w:name w:val="17"/>
    <w:basedOn w:val="TableNormal8"/>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customStyle="1" w:styleId="Citas">
    <w:name w:val="Citas"/>
    <w:basedOn w:val="Normal"/>
    <w:qFormat/>
    <w:rsid w:val="005905FE"/>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40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00090.page"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portalanterior.ine.mx/archivos2/portal/credencial/pdf-credencial/ABC_credenciales_%20INE_2015.pdf"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onsultatucedula.mx/"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m5KoMoYz2jTCCIHWEekWTbZOIw==">CgMxLjAyCWguMWZvYjl0ZTIJaC40ZDM0b2c4MghoLmdqZGd4czIJaC4zZHk2dmttMgloLjMwajB6bGwyCWguMnM4ZXlvMTIIaC50eWpjd3QyCWguM3pueXNoNzIJaC4xeTgxMHR3Mg5oLmlqdjk4cG50Y2Q1czIJaC4yNmluMXJnMgloLjNyZGNyam4yCWguMmV0OTJwMDIJaC4xdDNoNXNmMgloLjFrc3Y0dXY4AHIhMTlpNUhHMG15Wk1acjd3a29MckNQcG1pLVh4cFJISz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17787</Words>
  <Characters>97829</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2025-01-31T19:54:00Z</cp:lastPrinted>
  <dcterms:created xsi:type="dcterms:W3CDTF">2025-02-06T18:16:00Z</dcterms:created>
  <dcterms:modified xsi:type="dcterms:W3CDTF">2025-02-06T18:16:00Z</dcterms:modified>
</cp:coreProperties>
</file>