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77298" w14:textId="77777777" w:rsidR="006131A1" w:rsidRPr="0024200F" w:rsidRDefault="006131A1" w:rsidP="006131A1">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veintidós de enero de dos mil veinticinco.</w:t>
      </w:r>
    </w:p>
    <w:p w14:paraId="6B23F94C" w14:textId="77777777" w:rsidR="006131A1" w:rsidRPr="0024200F" w:rsidRDefault="006131A1" w:rsidP="006131A1">
      <w:pPr>
        <w:spacing w:line="360" w:lineRule="auto"/>
        <w:jc w:val="both"/>
        <w:rPr>
          <w:rFonts w:ascii="Palatino Linotype" w:hAnsi="Palatino Linotype"/>
        </w:rPr>
      </w:pPr>
    </w:p>
    <w:p w14:paraId="5E1FCEC5" w14:textId="1B25D88C" w:rsidR="006131A1" w:rsidRPr="002C3EC8" w:rsidRDefault="006131A1" w:rsidP="006131A1">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sidR="0013315A" w:rsidRPr="0013315A">
        <w:rPr>
          <w:rFonts w:ascii="Palatino Linotype" w:hAnsi="Palatino Linotype" w:cs="Arial"/>
          <w:b/>
        </w:rPr>
        <w:t>0</w:t>
      </w:r>
      <w:r w:rsidR="00941653" w:rsidRPr="0013315A">
        <w:rPr>
          <w:rFonts w:ascii="Palatino Linotype" w:hAnsi="Palatino Linotype" w:cs="Arial"/>
          <w:b/>
          <w:bCs/>
          <w:lang w:eastAsia="es-MX"/>
        </w:rPr>
        <w:t>7640</w:t>
      </w:r>
      <w:r>
        <w:rPr>
          <w:rFonts w:ascii="Palatino Linotype" w:hAnsi="Palatino Linotype" w:cs="Arial"/>
          <w:b/>
          <w:bCs/>
          <w:lang w:eastAsia="es-MX"/>
        </w:rPr>
        <w:t>/INFOEM/IP/RR/2024</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 xml:space="preserve">por </w:t>
      </w:r>
      <w:r w:rsidRPr="00C14D07">
        <w:rPr>
          <w:rFonts w:ascii="Palatino Linotype" w:hAnsi="Palatino Linotype"/>
          <w:b/>
        </w:rPr>
        <w:t>“</w:t>
      </w:r>
      <w:r w:rsidR="00310853">
        <w:rPr>
          <w:rFonts w:ascii="Palatino Linotype" w:hAnsi="Palatino Linotype"/>
          <w:b/>
        </w:rPr>
        <w:t>XXXXXXXXXXXXXXXXXX</w:t>
      </w:r>
      <w:r w:rsidRPr="00C14D07">
        <w:rPr>
          <w:rFonts w:ascii="Palatino Linotype" w:hAnsi="Palatino Linotype"/>
          <w:b/>
        </w:rPr>
        <w:t>”</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C14D07">
        <w:rPr>
          <w:rFonts w:ascii="Palatino Linotype" w:hAnsi="Palatino Linotype"/>
          <w:b/>
        </w:rPr>
        <w:t>Ayuntamiento de Mexicaltzingo</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bookmarkStart w:id="0" w:name="_GoBack"/>
      <w:bookmarkEnd w:id="0"/>
    </w:p>
    <w:p w14:paraId="054C46A5" w14:textId="77777777" w:rsidR="006131A1" w:rsidRPr="002C3EC8" w:rsidRDefault="006131A1" w:rsidP="006131A1">
      <w:pPr>
        <w:tabs>
          <w:tab w:val="left" w:pos="1701"/>
        </w:tabs>
        <w:spacing w:before="240" w:line="360" w:lineRule="auto"/>
        <w:jc w:val="both"/>
        <w:rPr>
          <w:rFonts w:ascii="Palatino Linotype" w:hAnsi="Palatino Linotype" w:cs="Arial"/>
          <w:b/>
        </w:rPr>
      </w:pPr>
    </w:p>
    <w:p w14:paraId="5A3ECAB5" w14:textId="77777777" w:rsidR="006131A1" w:rsidRDefault="006131A1" w:rsidP="006131A1">
      <w:pPr>
        <w:pStyle w:val="infoemcitas"/>
        <w:jc w:val="center"/>
        <w:rPr>
          <w:b/>
          <w:bCs/>
          <w:i w:val="0"/>
          <w:iCs/>
          <w:sz w:val="28"/>
          <w:szCs w:val="28"/>
        </w:rPr>
      </w:pPr>
      <w:r w:rsidRPr="002C3EC8">
        <w:rPr>
          <w:b/>
          <w:bCs/>
          <w:i w:val="0"/>
          <w:iCs/>
          <w:sz w:val="28"/>
          <w:szCs w:val="28"/>
        </w:rPr>
        <w:t>A N T E C E D E N T E S   D E L   A S U N T O</w:t>
      </w:r>
    </w:p>
    <w:p w14:paraId="35F36662" w14:textId="77777777" w:rsidR="006131A1" w:rsidRPr="002C3EC8" w:rsidRDefault="006131A1" w:rsidP="006131A1">
      <w:pPr>
        <w:pStyle w:val="infoemcitas"/>
        <w:jc w:val="center"/>
        <w:rPr>
          <w:b/>
          <w:bCs/>
          <w:i w:val="0"/>
          <w:iCs/>
          <w:sz w:val="28"/>
          <w:szCs w:val="28"/>
        </w:rPr>
      </w:pPr>
    </w:p>
    <w:p w14:paraId="55AB9544" w14:textId="77777777" w:rsidR="006131A1" w:rsidRPr="002C3EC8" w:rsidRDefault="006131A1" w:rsidP="006131A1">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328A3F79" w14:textId="77777777" w:rsidR="006131A1" w:rsidRPr="00D705FF" w:rsidRDefault="006131A1" w:rsidP="006131A1">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rPr>
        <w:t xml:space="preserve">seis de noviembre de dos mil veinticuatro,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 xml:space="preserve">presentó a través </w:t>
      </w:r>
      <w:r>
        <w:rPr>
          <w:rFonts w:ascii="Palatino Linotype" w:hAnsi="Palatino Linotype" w:cs="Arial"/>
        </w:rPr>
        <w:t xml:space="preserve">del </w:t>
      </w:r>
      <w:r w:rsidRPr="00D705FF">
        <w:rPr>
          <w:rFonts w:ascii="Palatino Linotype" w:hAnsi="Palatino Linotype" w:cs="Arial"/>
        </w:rPr>
        <w:t>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w:t>
      </w:r>
      <w:proofErr w:type="gramStart"/>
      <w:r w:rsidRPr="00D705FF">
        <w:rPr>
          <w:rFonts w:ascii="Palatino Linotype" w:hAnsi="Palatino Linotype" w:cs="Arial"/>
        </w:rPr>
        <w:t>expediente</w:t>
      </w:r>
      <w:proofErr w:type="gramEnd"/>
      <w:r w:rsidRPr="00D705FF">
        <w:rPr>
          <w:rFonts w:ascii="Palatino Linotype" w:hAnsi="Palatino Linotype" w:cs="Arial"/>
        </w:rPr>
        <w:t xml:space="preserve"> </w:t>
      </w:r>
      <w:r>
        <w:rPr>
          <w:rFonts w:ascii="Palatino Linotype" w:hAnsi="Palatino Linotype" w:cs="Arial"/>
          <w:b/>
        </w:rPr>
        <w:t>00170/MEXICAL/IP/2024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7CB1E2C4" w14:textId="77777777" w:rsidR="006131A1" w:rsidRPr="001C7F6F" w:rsidRDefault="006131A1" w:rsidP="00037F2B">
      <w:pPr>
        <w:pStyle w:val="INFOEM"/>
        <w:rPr>
          <w:lang w:val="es-ES_tradnl" w:eastAsia="es-ES"/>
        </w:rPr>
      </w:pPr>
      <w:r w:rsidRPr="00D705FF">
        <w:rPr>
          <w:lang w:val="es-ES_tradnl" w:eastAsia="es-ES"/>
        </w:rPr>
        <w:t>“</w:t>
      </w:r>
      <w:r w:rsidR="00037F2B" w:rsidRPr="00037F2B">
        <w:rPr>
          <w:lang w:val="es-ES" w:eastAsia="es-ES"/>
        </w:rPr>
        <w:t>CERTIFICACION DE LA AUTORIDAD INVESTIGADORA, AUTORIDAD SUSTANCIADORA E RESOLUTORIA</w:t>
      </w:r>
      <w:r w:rsidRPr="00D705FF">
        <w:rPr>
          <w:lang w:val="es-ES_tradnl" w:eastAsia="es-ES"/>
        </w:rPr>
        <w:t>” (Sic)</w:t>
      </w:r>
    </w:p>
    <w:p w14:paraId="4F5562ED" w14:textId="77777777" w:rsidR="006131A1" w:rsidRPr="002C3EC8" w:rsidRDefault="006131A1" w:rsidP="0013315A">
      <w:pPr>
        <w:spacing w:line="360" w:lineRule="auto"/>
        <w:jc w:val="both"/>
        <w:rPr>
          <w:rFonts w:ascii="Palatino Linotype" w:hAnsi="Palatino Linotype"/>
          <w:lang w:val="es-ES_tradnl"/>
        </w:rPr>
      </w:pPr>
      <w:r w:rsidRPr="002C3EC8">
        <w:rPr>
          <w:rFonts w:ascii="Palatino Linotype" w:hAnsi="Palatino Linotype"/>
          <w:b/>
          <w:lang w:val="es-ES_tradnl"/>
        </w:rPr>
        <w:lastRenderedPageBreak/>
        <w:t>Modalidad de entrega:</w:t>
      </w:r>
      <w:r w:rsidRPr="002C3EC8">
        <w:rPr>
          <w:rFonts w:ascii="Palatino Linotype" w:hAnsi="Palatino Linotype"/>
          <w:lang w:val="es-ES_tradnl"/>
        </w:rPr>
        <w:t xml:space="preserve"> A través del SAIMEX</w:t>
      </w:r>
      <w:r w:rsidR="00037F2B">
        <w:rPr>
          <w:rFonts w:ascii="Palatino Linotype" w:eastAsia="Palatino Linotype" w:hAnsi="Palatino Linotype" w:cs="Palatino Linotype"/>
          <w:b/>
          <w:sz w:val="22"/>
          <w:szCs w:val="22"/>
          <w:lang w:eastAsia="es-MX"/>
        </w:rPr>
        <w:t>.</w:t>
      </w:r>
    </w:p>
    <w:p w14:paraId="19C10354" w14:textId="77777777" w:rsidR="006131A1" w:rsidRDefault="006131A1" w:rsidP="0013315A">
      <w:pPr>
        <w:spacing w:line="360" w:lineRule="auto"/>
        <w:jc w:val="both"/>
        <w:rPr>
          <w:rFonts w:ascii="Palatino Linotype" w:hAnsi="Palatino Linotype" w:cs="Arial"/>
          <w:b/>
          <w:sz w:val="28"/>
        </w:rPr>
      </w:pPr>
    </w:p>
    <w:p w14:paraId="1CA97034" w14:textId="77777777" w:rsidR="006131A1" w:rsidRDefault="006131A1" w:rsidP="0013315A">
      <w:pPr>
        <w:spacing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2B4247B2" w14:textId="77777777" w:rsidR="006131A1" w:rsidRPr="009062B2" w:rsidRDefault="006131A1" w:rsidP="0013315A">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veintiocho de noviembre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28C5321C" w14:textId="77777777" w:rsidR="006131A1" w:rsidRPr="00E818A5" w:rsidRDefault="006131A1" w:rsidP="006131A1">
      <w:pPr>
        <w:spacing w:line="360" w:lineRule="auto"/>
        <w:jc w:val="both"/>
        <w:rPr>
          <w:rFonts w:ascii="Palatino Linotype" w:hAnsi="Palatino Linotype" w:cs="Arial"/>
        </w:rPr>
      </w:pPr>
    </w:p>
    <w:p w14:paraId="302029B9" w14:textId="77777777" w:rsidR="006131A1" w:rsidRDefault="006131A1" w:rsidP="006131A1">
      <w:pPr>
        <w:ind w:left="567" w:right="567"/>
        <w:jc w:val="both"/>
        <w:rPr>
          <w:rFonts w:ascii="Palatino Linotype" w:hAnsi="Palatino Linotype" w:cs="Arial"/>
          <w:i/>
        </w:rPr>
      </w:pPr>
      <w:r>
        <w:rPr>
          <w:rFonts w:ascii="Palatino Linotype" w:hAnsi="Palatino Linotype" w:cs="Arial"/>
          <w:i/>
        </w:rPr>
        <w:t>“</w:t>
      </w:r>
      <w:r w:rsidR="00037F2B" w:rsidRPr="00037F2B">
        <w:rPr>
          <w:rFonts w:ascii="Palatino Linotype" w:hAnsi="Palatino Linotype" w:cs="Arial"/>
          <w:i/>
        </w:rPr>
        <w:t>Para dar atención a su solicitud de información, se entrega respuesta proporcionada por la Contraloría Municipal: De acuerdo a la Ley Orgánica Municipal solo el Contralor Interno debe estar certificado</w:t>
      </w:r>
      <w:proofErr w:type="gramStart"/>
      <w:r w:rsidR="00037F2B" w:rsidRPr="00037F2B">
        <w:rPr>
          <w:rFonts w:ascii="Palatino Linotype" w:hAnsi="Palatino Linotype" w:cs="Arial"/>
          <w:i/>
        </w:rPr>
        <w:t>.</w:t>
      </w:r>
      <w:r w:rsidRPr="00667998">
        <w:rPr>
          <w:rFonts w:ascii="Palatino Linotype" w:hAnsi="Palatino Linotype" w:cs="Arial"/>
          <w:i/>
        </w:rPr>
        <w:t>“</w:t>
      </w:r>
      <w:proofErr w:type="gramEnd"/>
      <w:r w:rsidRPr="00667998">
        <w:rPr>
          <w:rFonts w:ascii="Palatino Linotype" w:hAnsi="Palatino Linotype" w:cs="Arial"/>
          <w:i/>
        </w:rPr>
        <w:t>(Sic).</w:t>
      </w:r>
    </w:p>
    <w:p w14:paraId="5CED77F8" w14:textId="77777777" w:rsidR="006131A1" w:rsidRDefault="006131A1" w:rsidP="006131A1">
      <w:pPr>
        <w:spacing w:line="360" w:lineRule="auto"/>
        <w:ind w:right="567"/>
        <w:jc w:val="both"/>
        <w:rPr>
          <w:rFonts w:ascii="Palatino Linotype" w:hAnsi="Palatino Linotype" w:cs="Arial"/>
        </w:rPr>
      </w:pPr>
    </w:p>
    <w:p w14:paraId="1D20562A" w14:textId="77777777" w:rsidR="006131A1" w:rsidRDefault="006131A1" w:rsidP="006131A1">
      <w:pPr>
        <w:spacing w:line="360" w:lineRule="auto"/>
        <w:jc w:val="both"/>
        <w:rPr>
          <w:rFonts w:ascii="Palatino Linotype" w:hAnsi="Palatino Linotype" w:cs="Arial"/>
        </w:rPr>
      </w:pPr>
      <w:r>
        <w:rPr>
          <w:rFonts w:ascii="Palatino Linotype" w:hAnsi="Palatino Linotype" w:cs="Arial"/>
        </w:rPr>
        <w:t xml:space="preserve"> </w:t>
      </w:r>
    </w:p>
    <w:p w14:paraId="7C964067" w14:textId="77777777" w:rsidR="006131A1" w:rsidRPr="002C3EC8" w:rsidRDefault="006131A1" w:rsidP="006131A1">
      <w:pPr>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2B31A3A2" w14:textId="126EE5CC" w:rsidR="006131A1" w:rsidRDefault="006131A1" w:rsidP="006131A1">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037F2B">
        <w:rPr>
          <w:rFonts w:ascii="Palatino Linotype" w:hAnsi="Palatino Linotype" w:cs="Arial"/>
          <w:b/>
        </w:rPr>
        <w:t>doce</w:t>
      </w:r>
      <w:r>
        <w:rPr>
          <w:rFonts w:ascii="Palatino Linotype" w:hAnsi="Palatino Linotype" w:cs="Arial"/>
          <w:b/>
        </w:rPr>
        <w:t xml:space="preserve"> de diciembre de dos mil veinticuatro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13315A" w:rsidRPr="0013315A">
        <w:rPr>
          <w:rFonts w:ascii="Palatino Linotype" w:hAnsi="Palatino Linotype" w:cs="Arial"/>
          <w:b/>
          <w:bCs/>
        </w:rPr>
        <w:t>0</w:t>
      </w:r>
      <w:r w:rsidR="00941653">
        <w:rPr>
          <w:rFonts w:ascii="Palatino Linotype" w:hAnsi="Palatino Linotype" w:cs="Arial"/>
          <w:b/>
        </w:rPr>
        <w:t>7640</w:t>
      </w:r>
      <w:r>
        <w:rPr>
          <w:rFonts w:ascii="Palatino Linotype" w:hAnsi="Palatino Linotype" w:cs="Arial"/>
          <w:b/>
        </w:rPr>
        <w:t>/INFOEM/IP/RR/2024</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2A5F4D34" w14:textId="77777777" w:rsidR="006131A1" w:rsidRDefault="006131A1" w:rsidP="006131A1">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25218515" w14:textId="77777777" w:rsidR="006131A1" w:rsidRPr="007E4713" w:rsidRDefault="006131A1" w:rsidP="006131A1">
      <w:pPr>
        <w:pStyle w:val="INFOEM"/>
      </w:pPr>
      <w:r w:rsidRPr="007E4713">
        <w:t>“</w:t>
      </w:r>
      <w:r w:rsidR="00037F2B" w:rsidRPr="00037F2B">
        <w:t>NO RECIBI LA INFORMACION CORRECTA</w:t>
      </w:r>
      <w:r>
        <w:t>” (sic)</w:t>
      </w:r>
    </w:p>
    <w:p w14:paraId="11FB2B28" w14:textId="77777777" w:rsidR="006131A1" w:rsidRPr="0033050B" w:rsidRDefault="006131A1" w:rsidP="006131A1">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6BB35DAB" w14:textId="77777777" w:rsidR="006131A1" w:rsidRPr="009068C9" w:rsidRDefault="006131A1" w:rsidP="006131A1">
      <w:pPr>
        <w:pStyle w:val="INFOEM"/>
      </w:pPr>
      <w:r>
        <w:t>“</w:t>
      </w:r>
      <w:r w:rsidR="00037F2B" w:rsidRPr="00037F2B">
        <w:t>NO RECIBI LA INFORMACION CORRECTA</w:t>
      </w:r>
      <w:r>
        <w:t>” (sic)</w:t>
      </w:r>
    </w:p>
    <w:p w14:paraId="5B1D558A" w14:textId="77777777" w:rsidR="006131A1" w:rsidRDefault="006131A1" w:rsidP="006131A1">
      <w:pPr>
        <w:spacing w:line="360" w:lineRule="auto"/>
        <w:jc w:val="both"/>
        <w:rPr>
          <w:rFonts w:ascii="Palatino Linotype" w:hAnsi="Palatino Linotype" w:cs="Arial"/>
        </w:rPr>
      </w:pPr>
    </w:p>
    <w:p w14:paraId="0F67890B" w14:textId="77777777" w:rsidR="006131A1" w:rsidRPr="002C3EC8" w:rsidRDefault="006131A1" w:rsidP="006131A1">
      <w:pPr>
        <w:spacing w:before="240" w:line="360" w:lineRule="auto"/>
        <w:jc w:val="both"/>
        <w:rPr>
          <w:rFonts w:ascii="Palatino Linotype" w:hAnsi="Palatino Linotype" w:cs="Arial"/>
          <w:b/>
        </w:rPr>
      </w:pPr>
      <w:r>
        <w:rPr>
          <w:rFonts w:ascii="Palatino Linotype" w:hAnsi="Palatino Linotype" w:cs="Arial"/>
          <w:b/>
          <w:sz w:val="28"/>
        </w:rPr>
        <w:lastRenderedPageBreak/>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120132C8" w14:textId="77777777" w:rsidR="006131A1" w:rsidRDefault="006131A1" w:rsidP="006131A1">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037F2B">
        <w:rPr>
          <w:rFonts w:ascii="Palatino Linotype" w:hAnsi="Palatino Linotype"/>
          <w:b/>
        </w:rPr>
        <w:t>dieciséis</w:t>
      </w:r>
      <w:r>
        <w:rPr>
          <w:rFonts w:ascii="Palatino Linotype" w:hAnsi="Palatino Linotype"/>
          <w:b/>
        </w:rPr>
        <w:t xml:space="preserve"> de diciembre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14:paraId="5305D695" w14:textId="77777777" w:rsidR="006131A1" w:rsidRPr="004C20B7" w:rsidRDefault="006131A1" w:rsidP="006131A1">
      <w:pPr>
        <w:spacing w:before="240" w:line="360" w:lineRule="auto"/>
        <w:jc w:val="both"/>
        <w:rPr>
          <w:rFonts w:ascii="Palatino Linotype" w:hAnsi="Palatino Linotype" w:cs="Arial"/>
          <w:sz w:val="28"/>
        </w:rPr>
      </w:pPr>
    </w:p>
    <w:p w14:paraId="2205E740" w14:textId="77777777" w:rsidR="006131A1" w:rsidRPr="00E52C83" w:rsidRDefault="006131A1" w:rsidP="006131A1">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578542E9" w14:textId="77777777" w:rsidR="006131A1" w:rsidRDefault="006131A1" w:rsidP="006131A1">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2E64DB7B" w14:textId="77777777" w:rsidR="006131A1" w:rsidRPr="00DD2E32" w:rsidRDefault="006131A1" w:rsidP="006131A1">
      <w:pPr>
        <w:spacing w:line="360" w:lineRule="auto"/>
        <w:jc w:val="both"/>
        <w:rPr>
          <w:rFonts w:ascii="Palatino Linotype" w:hAnsi="Palatino Linotype" w:cs="Arial"/>
        </w:rPr>
      </w:pPr>
    </w:p>
    <w:p w14:paraId="6E44DAAB" w14:textId="77777777" w:rsidR="006131A1" w:rsidRDefault="006131A1" w:rsidP="006131A1">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14:paraId="6285BBEB" w14:textId="77777777" w:rsidR="006131A1" w:rsidRDefault="006131A1" w:rsidP="006131A1">
      <w:pPr>
        <w:spacing w:line="360" w:lineRule="auto"/>
        <w:jc w:val="both"/>
        <w:rPr>
          <w:rFonts w:ascii="Palatino Linotype" w:hAnsi="Palatino Linotype" w:cs="Arial"/>
          <w:b/>
          <w:sz w:val="28"/>
          <w:szCs w:val="28"/>
        </w:rPr>
      </w:pPr>
    </w:p>
    <w:p w14:paraId="3F87127E" w14:textId="77777777" w:rsidR="006131A1" w:rsidRDefault="006131A1" w:rsidP="006131A1">
      <w:pPr>
        <w:spacing w:line="360" w:lineRule="auto"/>
        <w:jc w:val="both"/>
        <w:rPr>
          <w:rFonts w:ascii="Palatino Linotype" w:hAnsi="Palatino Linotype" w:cs="Arial"/>
          <w:b/>
          <w:sz w:val="28"/>
          <w:szCs w:val="28"/>
        </w:rPr>
      </w:pPr>
    </w:p>
    <w:p w14:paraId="3BDD49BC" w14:textId="77777777" w:rsidR="006131A1" w:rsidRPr="002C3EC8" w:rsidRDefault="006131A1" w:rsidP="006131A1">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33628298" w14:textId="77777777" w:rsidR="006131A1" w:rsidRDefault="006131A1" w:rsidP="006131A1">
      <w:pPr>
        <w:spacing w:line="360" w:lineRule="auto"/>
        <w:jc w:val="both"/>
        <w:rPr>
          <w:rFonts w:ascii="Palatino Linotype" w:hAnsi="Palatino Linotype" w:cs="Arial"/>
        </w:rPr>
      </w:pPr>
      <w:r w:rsidRPr="002C3EC8">
        <w:rPr>
          <w:rFonts w:ascii="Palatino Linotype" w:hAnsi="Palatino Linotype" w:cs="Arial"/>
        </w:rPr>
        <w:lastRenderedPageBreak/>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037F2B">
        <w:rPr>
          <w:rFonts w:ascii="Palatino Linotype" w:hAnsi="Palatino Linotype" w:cs="Arial"/>
          <w:b/>
        </w:rPr>
        <w:t>dieciséis</w:t>
      </w:r>
      <w:r>
        <w:rPr>
          <w:rFonts w:ascii="Palatino Linotype" w:hAnsi="Palatino Linotype" w:cs="Arial"/>
          <w:b/>
        </w:rPr>
        <w:t xml:space="preserve"> de enero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w:t>
      </w:r>
      <w:r>
        <w:rPr>
          <w:rFonts w:ascii="Palatino Linotype" w:hAnsi="Palatino Linotype" w:cs="Arial"/>
        </w:rPr>
        <w:t>solución que en derecho proceda.</w:t>
      </w:r>
    </w:p>
    <w:p w14:paraId="6538DE21" w14:textId="77777777" w:rsidR="006131A1" w:rsidRPr="009A3812" w:rsidRDefault="006131A1" w:rsidP="006131A1">
      <w:pPr>
        <w:spacing w:line="360" w:lineRule="auto"/>
        <w:jc w:val="both"/>
        <w:rPr>
          <w:rFonts w:ascii="Palatino Linotype" w:hAnsi="Palatino Linotype" w:cs="Arial"/>
        </w:rPr>
      </w:pPr>
    </w:p>
    <w:p w14:paraId="51AE7AD1" w14:textId="77777777" w:rsidR="006131A1" w:rsidRPr="0024200F" w:rsidRDefault="006131A1" w:rsidP="006131A1">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2DAA942B" w14:textId="77777777" w:rsidR="006131A1" w:rsidRPr="00825F67" w:rsidRDefault="006131A1" w:rsidP="006131A1">
      <w:pPr>
        <w:spacing w:line="360" w:lineRule="auto"/>
        <w:ind w:right="49"/>
        <w:jc w:val="both"/>
        <w:rPr>
          <w:rFonts w:ascii="Palatino Linotype" w:hAnsi="Palatino Linotype"/>
          <w:szCs w:val="28"/>
        </w:rPr>
      </w:pPr>
    </w:p>
    <w:p w14:paraId="04031336" w14:textId="77777777" w:rsidR="006131A1" w:rsidRPr="002C3EC8" w:rsidRDefault="006131A1" w:rsidP="006131A1">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0504AD14" w14:textId="77777777" w:rsidR="006131A1" w:rsidRPr="007C6AB6" w:rsidRDefault="006131A1" w:rsidP="006131A1">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F707D0F" w14:textId="77777777" w:rsidR="006131A1" w:rsidRPr="002C3EC8" w:rsidRDefault="006131A1" w:rsidP="006131A1">
      <w:pPr>
        <w:spacing w:before="240" w:line="360" w:lineRule="auto"/>
        <w:jc w:val="both"/>
        <w:rPr>
          <w:rFonts w:ascii="Palatino Linotype" w:eastAsia="Calibri" w:hAnsi="Palatino Linotype"/>
          <w:b/>
          <w:color w:val="000000" w:themeColor="text1"/>
        </w:rPr>
      </w:pPr>
    </w:p>
    <w:p w14:paraId="397A630B" w14:textId="77777777" w:rsidR="006131A1" w:rsidRPr="002C3EC8" w:rsidRDefault="006131A1" w:rsidP="006131A1">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lastRenderedPageBreak/>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2736787C" w14:textId="77777777" w:rsidR="006131A1" w:rsidRDefault="006131A1" w:rsidP="006131A1">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B8FE91" w14:textId="77777777" w:rsidR="006131A1" w:rsidRDefault="006131A1" w:rsidP="006131A1">
      <w:pPr>
        <w:pStyle w:val="Prrafodelista"/>
        <w:autoSpaceDE w:val="0"/>
        <w:autoSpaceDN w:val="0"/>
        <w:adjustRightInd w:val="0"/>
        <w:spacing w:before="240" w:after="160" w:line="360" w:lineRule="auto"/>
        <w:ind w:left="0"/>
        <w:jc w:val="both"/>
        <w:rPr>
          <w:rFonts w:ascii="Palatino Linotype" w:hAnsi="Palatino Linotype" w:cs="Arial"/>
          <w:b/>
          <w:sz w:val="28"/>
        </w:rPr>
      </w:pPr>
    </w:p>
    <w:p w14:paraId="270AF27E" w14:textId="77777777" w:rsidR="006131A1" w:rsidRPr="002C3EC8" w:rsidRDefault="006131A1" w:rsidP="006131A1">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6A05A250" w14:textId="77777777" w:rsidR="006131A1" w:rsidRPr="002C3EC8" w:rsidRDefault="006131A1" w:rsidP="006131A1">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530CF65" w14:textId="77777777" w:rsidR="006131A1" w:rsidRPr="002C3EC8" w:rsidRDefault="006131A1" w:rsidP="006131A1">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w:t>
      </w:r>
      <w:r w:rsidRPr="002C3EC8">
        <w:rPr>
          <w:rFonts w:ascii="Palatino Linotype" w:hAnsi="Palatino Linotype" w:cs="Arial"/>
        </w:rPr>
        <w:lastRenderedPageBreak/>
        <w:t>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6C914AF4" w14:textId="77777777" w:rsidR="006131A1" w:rsidRDefault="006131A1" w:rsidP="006131A1">
      <w:pPr>
        <w:tabs>
          <w:tab w:val="left" w:pos="709"/>
        </w:tabs>
        <w:spacing w:before="240" w:line="360" w:lineRule="auto"/>
        <w:ind w:right="51"/>
        <w:jc w:val="both"/>
        <w:rPr>
          <w:rFonts w:ascii="Palatino Linotype" w:hAnsi="Palatino Linotype"/>
          <w:b/>
          <w:sz w:val="28"/>
          <w:szCs w:val="28"/>
        </w:rPr>
      </w:pPr>
    </w:p>
    <w:p w14:paraId="1CF556D2" w14:textId="77777777" w:rsidR="006131A1" w:rsidRPr="002C3EC8" w:rsidRDefault="006131A1" w:rsidP="006131A1">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0B108A96" w14:textId="77777777" w:rsidR="006131A1" w:rsidRPr="007379EE" w:rsidRDefault="006131A1" w:rsidP="006131A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7379EE">
        <w:rPr>
          <w:rFonts w:ascii="Palatino Linotype" w:eastAsia="Palatino Linotype" w:hAnsi="Palatino Linotype" w:cs="Palatino Linotype"/>
          <w:color w:val="000000"/>
        </w:rPr>
        <w:lastRenderedPageBreak/>
        <w:t>que el Estado Mexicano sea parte, en concordancia con el párrafo tercero del artículo 1 de la Constitución Federal y el diverso 8 de la Ley de Transparencia local.</w:t>
      </w:r>
    </w:p>
    <w:p w14:paraId="14A15D3C" w14:textId="77777777" w:rsidR="006131A1" w:rsidRDefault="006131A1" w:rsidP="006131A1">
      <w:pPr>
        <w:autoSpaceDE w:val="0"/>
        <w:autoSpaceDN w:val="0"/>
        <w:adjustRightInd w:val="0"/>
        <w:ind w:right="567"/>
        <w:rPr>
          <w:rFonts w:ascii="Palatino Linotype" w:eastAsia="Calibri" w:hAnsi="Palatino Linotype" w:cs="Arial"/>
        </w:rPr>
      </w:pPr>
    </w:p>
    <w:p w14:paraId="0D8277E1" w14:textId="77777777" w:rsidR="006131A1" w:rsidRDefault="006131A1" w:rsidP="006131A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613DA53D" w14:textId="77777777" w:rsidR="006131A1" w:rsidRDefault="006131A1" w:rsidP="006131A1">
      <w:pPr>
        <w:pStyle w:val="Citas"/>
      </w:pPr>
      <w:r w:rsidRPr="002E7A81">
        <w:t xml:space="preserve">Artículo 179. El recurso de revisión es un medio de protección que la Ley otorga a los particulares, para hacer valer su derecho de acceso a la información pública, y procederá en contra de las siguientes causas: </w:t>
      </w:r>
    </w:p>
    <w:p w14:paraId="14F8FF56" w14:textId="77777777" w:rsidR="006131A1" w:rsidRDefault="006131A1" w:rsidP="006131A1">
      <w:pPr>
        <w:pStyle w:val="Citas"/>
        <w:numPr>
          <w:ilvl w:val="0"/>
          <w:numId w:val="3"/>
        </w:numPr>
        <w:spacing w:line="240" w:lineRule="auto"/>
      </w:pPr>
      <w:r w:rsidRPr="002E7A81">
        <w:t xml:space="preserve">La negativa a la información solicitada; </w:t>
      </w:r>
    </w:p>
    <w:p w14:paraId="2F68487B" w14:textId="77777777" w:rsidR="006131A1" w:rsidRDefault="006131A1" w:rsidP="006131A1">
      <w:pPr>
        <w:pStyle w:val="Citas"/>
        <w:numPr>
          <w:ilvl w:val="0"/>
          <w:numId w:val="3"/>
        </w:numPr>
        <w:spacing w:line="240" w:lineRule="auto"/>
      </w:pPr>
      <w:r w:rsidRPr="002E7A81">
        <w:t xml:space="preserve">La clasificación de la información; </w:t>
      </w:r>
    </w:p>
    <w:p w14:paraId="4EB1600A" w14:textId="77777777" w:rsidR="006131A1" w:rsidRDefault="006131A1" w:rsidP="006131A1">
      <w:pPr>
        <w:pStyle w:val="Citas"/>
        <w:numPr>
          <w:ilvl w:val="0"/>
          <w:numId w:val="3"/>
        </w:numPr>
        <w:spacing w:line="240" w:lineRule="auto"/>
      </w:pPr>
      <w:r w:rsidRPr="002E7A81">
        <w:t xml:space="preserve">La declaración de inexistencia de la información; </w:t>
      </w:r>
    </w:p>
    <w:p w14:paraId="05BE32CF" w14:textId="77777777" w:rsidR="006131A1" w:rsidRDefault="006131A1" w:rsidP="006131A1">
      <w:pPr>
        <w:pStyle w:val="Citas"/>
        <w:numPr>
          <w:ilvl w:val="0"/>
          <w:numId w:val="3"/>
        </w:numPr>
        <w:spacing w:line="240" w:lineRule="auto"/>
      </w:pPr>
      <w:r w:rsidRPr="002E7A81">
        <w:t xml:space="preserve">La declaración de incompetencia por el sujeto obligado; </w:t>
      </w:r>
    </w:p>
    <w:p w14:paraId="6CAFD423" w14:textId="77777777" w:rsidR="006131A1" w:rsidRDefault="006131A1" w:rsidP="006131A1">
      <w:pPr>
        <w:pStyle w:val="Citas"/>
        <w:numPr>
          <w:ilvl w:val="0"/>
          <w:numId w:val="3"/>
        </w:numPr>
        <w:spacing w:line="240" w:lineRule="auto"/>
      </w:pPr>
      <w:r w:rsidRPr="002E7A81">
        <w:t xml:space="preserve">La entrega de información incompleta; </w:t>
      </w:r>
    </w:p>
    <w:p w14:paraId="306A319C" w14:textId="77777777" w:rsidR="006131A1" w:rsidRPr="000E31EC" w:rsidRDefault="006131A1" w:rsidP="006131A1">
      <w:pPr>
        <w:pStyle w:val="Citas"/>
        <w:numPr>
          <w:ilvl w:val="0"/>
          <w:numId w:val="3"/>
        </w:numPr>
        <w:spacing w:line="240" w:lineRule="auto"/>
      </w:pPr>
      <w:r w:rsidRPr="000E31EC">
        <w:t xml:space="preserve">La entrega de información que no corresponda con lo solicitado; </w:t>
      </w:r>
    </w:p>
    <w:p w14:paraId="74FE00EA" w14:textId="77777777" w:rsidR="006131A1" w:rsidRDefault="006131A1" w:rsidP="006131A1">
      <w:pPr>
        <w:pStyle w:val="Citas"/>
        <w:numPr>
          <w:ilvl w:val="0"/>
          <w:numId w:val="3"/>
        </w:numPr>
        <w:spacing w:line="240" w:lineRule="auto"/>
      </w:pPr>
      <w:r w:rsidRPr="002E7A81">
        <w:t xml:space="preserve">La falta de respuesta a una solicitud de acceso a la información; </w:t>
      </w:r>
    </w:p>
    <w:p w14:paraId="4F7609A4" w14:textId="77777777" w:rsidR="006131A1" w:rsidRDefault="006131A1" w:rsidP="006131A1">
      <w:pPr>
        <w:pStyle w:val="Citas"/>
        <w:numPr>
          <w:ilvl w:val="0"/>
          <w:numId w:val="3"/>
        </w:numPr>
        <w:spacing w:line="240" w:lineRule="auto"/>
      </w:pPr>
      <w:r w:rsidRPr="002E7A81">
        <w:t xml:space="preserve">La notificación, entrega o puesta a disposición de información en una modalidad o formato distinto al solicitado; </w:t>
      </w:r>
    </w:p>
    <w:p w14:paraId="7E5CC37F" w14:textId="77777777" w:rsidR="006131A1" w:rsidRDefault="006131A1" w:rsidP="006131A1">
      <w:pPr>
        <w:pStyle w:val="Citas"/>
        <w:numPr>
          <w:ilvl w:val="0"/>
          <w:numId w:val="3"/>
        </w:numPr>
        <w:spacing w:line="240" w:lineRule="auto"/>
      </w:pPr>
      <w:r w:rsidRPr="002E7A81">
        <w:t xml:space="preserve">La entrega o puesta a disposición de información en un formato incomprensible y/o no accesible para el solicitante; </w:t>
      </w:r>
    </w:p>
    <w:p w14:paraId="47C4E70E" w14:textId="77777777" w:rsidR="006131A1" w:rsidRDefault="006131A1" w:rsidP="006131A1">
      <w:pPr>
        <w:pStyle w:val="Citas"/>
        <w:numPr>
          <w:ilvl w:val="0"/>
          <w:numId w:val="3"/>
        </w:numPr>
        <w:spacing w:line="240" w:lineRule="auto"/>
      </w:pPr>
      <w:r w:rsidRPr="002E7A81">
        <w:t xml:space="preserve">Los costos o tiempos de entrega de la información; </w:t>
      </w:r>
    </w:p>
    <w:p w14:paraId="67E0F11B" w14:textId="77777777" w:rsidR="006131A1" w:rsidRDefault="006131A1" w:rsidP="006131A1">
      <w:pPr>
        <w:pStyle w:val="Citas"/>
        <w:numPr>
          <w:ilvl w:val="0"/>
          <w:numId w:val="3"/>
        </w:numPr>
        <w:spacing w:line="240" w:lineRule="auto"/>
      </w:pPr>
      <w:r w:rsidRPr="002E7A81">
        <w:t xml:space="preserve">La falta de trámite a una solicitud; </w:t>
      </w:r>
    </w:p>
    <w:p w14:paraId="3B8E7DAA" w14:textId="77777777" w:rsidR="006131A1" w:rsidRDefault="006131A1" w:rsidP="006131A1">
      <w:pPr>
        <w:pStyle w:val="Citas"/>
        <w:numPr>
          <w:ilvl w:val="0"/>
          <w:numId w:val="3"/>
        </w:numPr>
        <w:spacing w:line="240" w:lineRule="auto"/>
      </w:pPr>
      <w:r w:rsidRPr="002E7A81">
        <w:t xml:space="preserve">La negativa a permitir la consulta directa de la información; </w:t>
      </w:r>
    </w:p>
    <w:p w14:paraId="6477A8F7" w14:textId="77777777" w:rsidR="006131A1" w:rsidRDefault="006131A1" w:rsidP="006131A1">
      <w:pPr>
        <w:pStyle w:val="Citas"/>
        <w:numPr>
          <w:ilvl w:val="0"/>
          <w:numId w:val="3"/>
        </w:numPr>
        <w:spacing w:line="240" w:lineRule="auto"/>
      </w:pPr>
      <w:r w:rsidRPr="002E7A81">
        <w:t xml:space="preserve">La falta, deficiencia o insuficiencia de la fundamentación y/o motivación en la respuesta; y </w:t>
      </w:r>
    </w:p>
    <w:p w14:paraId="5D99ED23" w14:textId="77777777" w:rsidR="006131A1" w:rsidRDefault="006131A1" w:rsidP="006131A1">
      <w:pPr>
        <w:pStyle w:val="Citas"/>
        <w:numPr>
          <w:ilvl w:val="0"/>
          <w:numId w:val="3"/>
        </w:numPr>
        <w:spacing w:line="240" w:lineRule="auto"/>
      </w:pPr>
      <w:r w:rsidRPr="002E7A81">
        <w:lastRenderedPageBreak/>
        <w:t xml:space="preserve">La orientación a un trámite específico. </w:t>
      </w:r>
    </w:p>
    <w:p w14:paraId="752B36A5" w14:textId="77777777" w:rsidR="006131A1" w:rsidRPr="007379EE" w:rsidRDefault="006131A1" w:rsidP="006131A1">
      <w:pPr>
        <w:pStyle w:val="Citas"/>
        <w:spacing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15DC5D77" w14:textId="77777777" w:rsidR="006131A1" w:rsidRDefault="006131A1" w:rsidP="006131A1">
      <w:pPr>
        <w:autoSpaceDE w:val="0"/>
        <w:autoSpaceDN w:val="0"/>
        <w:adjustRightInd w:val="0"/>
        <w:ind w:right="567"/>
        <w:rPr>
          <w:rFonts w:ascii="Palatino Linotype" w:eastAsia="Calibri" w:hAnsi="Palatino Linotype" w:cs="Arial"/>
        </w:rPr>
      </w:pPr>
    </w:p>
    <w:p w14:paraId="41FA6C15" w14:textId="77777777" w:rsidR="006131A1" w:rsidRDefault="006131A1" w:rsidP="006131A1">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14:paraId="3F1130E7" w14:textId="77777777" w:rsidR="006131A1" w:rsidRPr="009A3812" w:rsidRDefault="006131A1" w:rsidP="006131A1">
      <w:pPr>
        <w:tabs>
          <w:tab w:val="left" w:pos="1828"/>
        </w:tabs>
        <w:spacing w:line="360" w:lineRule="auto"/>
        <w:jc w:val="both"/>
        <w:rPr>
          <w:rFonts w:ascii="Palatino Linotype" w:hAnsi="Palatino Linotype" w:cs="Tahoma"/>
          <w:bCs/>
        </w:rPr>
      </w:pPr>
    </w:p>
    <w:p w14:paraId="118DEE81" w14:textId="77777777" w:rsidR="006131A1" w:rsidRDefault="00037F2B" w:rsidP="00037F2B">
      <w:pPr>
        <w:pStyle w:val="Prrafodelista"/>
        <w:numPr>
          <w:ilvl w:val="0"/>
          <w:numId w:val="2"/>
        </w:numPr>
        <w:tabs>
          <w:tab w:val="left" w:pos="1828"/>
        </w:tabs>
        <w:spacing w:line="360" w:lineRule="auto"/>
        <w:jc w:val="both"/>
        <w:rPr>
          <w:rFonts w:ascii="Palatino Linotype" w:hAnsi="Palatino Linotype" w:cs="Tahoma"/>
          <w:bCs/>
        </w:rPr>
      </w:pPr>
      <w:r w:rsidRPr="00037F2B">
        <w:rPr>
          <w:rFonts w:ascii="Palatino Linotype" w:hAnsi="Palatino Linotype" w:cs="Tahoma"/>
          <w:bCs/>
        </w:rPr>
        <w:t xml:space="preserve">Certificación de la autoridad investigadora, autoridad sustanciadora </w:t>
      </w:r>
      <w:r>
        <w:rPr>
          <w:rFonts w:ascii="Palatino Linotype" w:hAnsi="Palatino Linotype" w:cs="Tahoma"/>
          <w:bCs/>
        </w:rPr>
        <w:t>y</w:t>
      </w:r>
      <w:r w:rsidRPr="00037F2B">
        <w:rPr>
          <w:rFonts w:ascii="Palatino Linotype" w:hAnsi="Palatino Linotype" w:cs="Tahoma"/>
          <w:bCs/>
        </w:rPr>
        <w:t xml:space="preserve"> resolutoria</w:t>
      </w:r>
      <w:r w:rsidR="006131A1">
        <w:rPr>
          <w:rFonts w:ascii="Palatino Linotype" w:hAnsi="Palatino Linotype" w:cs="Tahoma"/>
          <w:bCs/>
        </w:rPr>
        <w:t>.</w:t>
      </w:r>
    </w:p>
    <w:p w14:paraId="0D038383" w14:textId="77777777" w:rsidR="006131A1" w:rsidRPr="001106D5" w:rsidRDefault="006131A1" w:rsidP="006131A1">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00170/MEXICAL/IP/2024</w:t>
      </w:r>
      <w:r w:rsidRPr="001106D5">
        <w:rPr>
          <w:rFonts w:ascii="Palatino Linotype" w:hAnsi="Palatino Linotype" w:cs="Arial"/>
          <w:b/>
        </w:rPr>
        <w:t xml:space="preserve">; </w:t>
      </w:r>
      <w:r w:rsidR="00AA6B1B">
        <w:rPr>
          <w:rFonts w:ascii="Palatino Linotype" w:hAnsi="Palatino Linotype" w:cs="Arial"/>
        </w:rPr>
        <w:t>manifestando lo siguiente</w:t>
      </w:r>
      <w:r w:rsidRPr="001106D5">
        <w:rPr>
          <w:rFonts w:ascii="Palatino Linotype" w:hAnsi="Palatino Linotype" w:cs="Arial"/>
          <w:b/>
        </w:rPr>
        <w:t>:</w:t>
      </w:r>
    </w:p>
    <w:p w14:paraId="5AD8F85A" w14:textId="77777777" w:rsidR="006131A1" w:rsidRDefault="006131A1" w:rsidP="006131A1">
      <w:pPr>
        <w:pStyle w:val="INFOEM"/>
      </w:pPr>
      <w:r>
        <w:t>“(…)</w:t>
      </w:r>
    </w:p>
    <w:p w14:paraId="50BC84A3" w14:textId="77777777" w:rsidR="006131A1" w:rsidRPr="00037F2B" w:rsidRDefault="00037F2B" w:rsidP="00037F2B">
      <w:pPr>
        <w:pStyle w:val="INFOEM"/>
        <w:rPr>
          <w:b/>
          <w:u w:val="single"/>
          <w:lang w:val="es-ES"/>
        </w:rPr>
      </w:pPr>
      <w:r w:rsidRPr="00037F2B">
        <w:rPr>
          <w:lang w:val="es-ES"/>
        </w:rPr>
        <w:t xml:space="preserve">Para dar atención a su solicitud de información, </w:t>
      </w:r>
      <w:r w:rsidRPr="00037F2B">
        <w:rPr>
          <w:b/>
          <w:u w:val="single"/>
          <w:lang w:val="es-ES"/>
        </w:rPr>
        <w:t>se entrega respuesta proporcionada por la Contraloría Municipal: De acuerdo a la Ley Orgánica Municipal solo el Contralor Interno debe estar certificado.</w:t>
      </w:r>
    </w:p>
    <w:p w14:paraId="6B39494A" w14:textId="77777777" w:rsidR="006131A1" w:rsidRPr="00A2631F" w:rsidRDefault="006131A1" w:rsidP="006131A1">
      <w:pPr>
        <w:pStyle w:val="INFOEM"/>
        <w:rPr>
          <w:rFonts w:cs="Arial"/>
          <w:b/>
          <w:sz w:val="24"/>
        </w:rPr>
      </w:pPr>
      <w:r>
        <w:t xml:space="preserve"> (…)” (Sic)</w:t>
      </w:r>
    </w:p>
    <w:p w14:paraId="0FBD8130" w14:textId="77777777" w:rsidR="006131A1" w:rsidRPr="00AA5BB2" w:rsidRDefault="006131A1" w:rsidP="006131A1">
      <w:pPr>
        <w:spacing w:line="360" w:lineRule="auto"/>
        <w:jc w:val="both"/>
        <w:rPr>
          <w:rFonts w:ascii="Palatino Linotype" w:hAnsi="Palatino Linotype" w:cs="Arial"/>
          <w:b/>
          <w:bCs/>
          <w:i/>
        </w:rPr>
      </w:pPr>
    </w:p>
    <w:p w14:paraId="7411D817" w14:textId="77777777" w:rsidR="006131A1" w:rsidRDefault="006131A1" w:rsidP="006131A1">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037F2B" w:rsidRPr="00037F2B">
        <w:rPr>
          <w:rFonts w:ascii="Palatino Linotype" w:hAnsi="Palatino Linotype"/>
          <w:i/>
        </w:rPr>
        <w:t>NO RECIBI LA INFORMACION CORRECTA</w:t>
      </w:r>
      <w:r>
        <w:rPr>
          <w:rFonts w:ascii="Palatino Linotype" w:hAnsi="Palatino Linotype"/>
          <w:i/>
        </w:rPr>
        <w:t>” (Sic).</w:t>
      </w:r>
    </w:p>
    <w:p w14:paraId="6B9BD966" w14:textId="77777777" w:rsidR="006131A1" w:rsidRDefault="006131A1" w:rsidP="006131A1">
      <w:pPr>
        <w:spacing w:line="360" w:lineRule="auto"/>
        <w:jc w:val="both"/>
        <w:rPr>
          <w:rFonts w:ascii="Palatino Linotype" w:hAnsi="Palatino Linotype"/>
          <w:i/>
        </w:rPr>
      </w:pPr>
    </w:p>
    <w:p w14:paraId="54EFFF63" w14:textId="77777777" w:rsidR="006131A1" w:rsidRPr="00177253" w:rsidRDefault="006131A1" w:rsidP="006131A1">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16255102" w14:textId="77777777" w:rsidR="006131A1" w:rsidRDefault="006131A1" w:rsidP="006131A1">
      <w:pPr>
        <w:rPr>
          <w:rFonts w:ascii="Palatino Linotype" w:eastAsia="Calibri" w:hAnsi="Palatino Linotype" w:cs="Calibri"/>
          <w:lang w:val="es-ES_tradnl" w:eastAsia="es-MX"/>
        </w:rPr>
      </w:pPr>
    </w:p>
    <w:p w14:paraId="30A17D9D" w14:textId="77777777" w:rsidR="00037F2B" w:rsidRDefault="00037F2B" w:rsidP="00037F2B">
      <w:pPr>
        <w:spacing w:line="360" w:lineRule="auto"/>
        <w:ind w:right="214"/>
        <w:jc w:val="both"/>
        <w:rPr>
          <w:rFonts w:ascii="Palatino Linotype" w:hAnsi="Palatino Linotype"/>
        </w:rPr>
      </w:pPr>
      <w:r>
        <w:rPr>
          <w:rFonts w:ascii="Palatino Linotype" w:hAnsi="Palatino Linotype"/>
        </w:rPr>
        <w:t>En ese orden de ideas, el Bando Municipal de Mexicaltzingo</w:t>
      </w:r>
      <w:r w:rsidRPr="00112C93">
        <w:rPr>
          <w:rFonts w:ascii="Palatino Linotype" w:hAnsi="Palatino Linotype"/>
        </w:rPr>
        <w:t xml:space="preserve">, </w:t>
      </w:r>
      <w:r>
        <w:rPr>
          <w:rFonts w:ascii="Palatino Linotype" w:hAnsi="Palatino Linotype"/>
        </w:rPr>
        <w:t>establece la forma en que se integra la Contraloría Municipal, tal como se cita:</w:t>
      </w:r>
    </w:p>
    <w:p w14:paraId="3E5CB93E" w14:textId="77777777" w:rsidR="00037F2B" w:rsidRPr="00112C93" w:rsidRDefault="00037F2B" w:rsidP="00037F2B">
      <w:pPr>
        <w:spacing w:line="360" w:lineRule="auto"/>
        <w:ind w:right="214"/>
        <w:jc w:val="center"/>
        <w:rPr>
          <w:rFonts w:ascii="Palatino Linotype" w:hAnsi="Palatino Linotype"/>
        </w:rPr>
      </w:pPr>
    </w:p>
    <w:p w14:paraId="063B44C3" w14:textId="77777777" w:rsidR="00037F2B" w:rsidRPr="007D7317" w:rsidRDefault="00037F2B" w:rsidP="00037F2B">
      <w:pPr>
        <w:spacing w:before="240"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sidRPr="007D7317">
        <w:rPr>
          <w:rFonts w:ascii="Palatino Linotype" w:eastAsia="Palatino Linotype" w:hAnsi="Palatino Linotype" w:cs="Palatino Linotype"/>
          <w:b/>
          <w:i/>
          <w:sz w:val="22"/>
          <w:szCs w:val="22"/>
        </w:rPr>
        <w:t xml:space="preserve">Artículo 88.- La Contraloría Municipal contará con un titular denominado Contralor Interno Municipal, el cual será designado por el Ayuntamiento a propuesta de la Presidenta Municipal. </w:t>
      </w:r>
    </w:p>
    <w:p w14:paraId="2AC99A06" w14:textId="77777777" w:rsidR="00037F2B" w:rsidRDefault="00037F2B" w:rsidP="00037F2B">
      <w:pPr>
        <w:spacing w:before="240" w:after="240" w:line="276" w:lineRule="auto"/>
        <w:ind w:left="567" w:right="900"/>
        <w:jc w:val="both"/>
        <w:rPr>
          <w:rFonts w:ascii="Palatino Linotype" w:eastAsia="Palatino Linotype" w:hAnsi="Palatino Linotype" w:cs="Palatino Linotype"/>
          <w:i/>
          <w:sz w:val="22"/>
          <w:szCs w:val="22"/>
        </w:rPr>
      </w:pPr>
      <w:r w:rsidRPr="007D7317">
        <w:rPr>
          <w:rFonts w:ascii="Palatino Linotype" w:eastAsia="Palatino Linotype" w:hAnsi="Palatino Linotype" w:cs="Palatino Linotype"/>
          <w:b/>
          <w:i/>
          <w:sz w:val="22"/>
          <w:szCs w:val="22"/>
        </w:rPr>
        <w:t>Artículo 89.- El Contralor Interno Municipal</w:t>
      </w:r>
      <w:r w:rsidRPr="007D7317">
        <w:rPr>
          <w:rFonts w:ascii="Palatino Linotype" w:eastAsia="Palatino Linotype" w:hAnsi="Palatino Linotype" w:cs="Palatino Linotype"/>
          <w:i/>
          <w:sz w:val="22"/>
          <w:szCs w:val="22"/>
        </w:rPr>
        <w:t>, establecerá y ejecutará los sistemas de control y fiscalización, vigilará que la administración de la Hacienda Pública Municipal y las acciones de los servidores públicos se conduzcan en cumplimiento a las disposiciones legales vigentes aplicables; así mismo, planeará y programará el sistema de control y evaluación de la gestión pública municipal; establecerá las bases generales para la realización de auditorías, inspecciones y supervisiones, además de vigilar el cumplimiento de las obligaciones de proveedores y contratistas de la Administración Pública Municipal, independientemente de las demás atribuciones que le señale el artículo 112 de la Ley Orgánica Municipal y demás disposiciones legales vigentes aplicables</w:t>
      </w:r>
      <w:r>
        <w:rPr>
          <w:rFonts w:ascii="Palatino Linotype" w:eastAsia="Palatino Linotype" w:hAnsi="Palatino Linotype" w:cs="Palatino Linotype"/>
          <w:i/>
          <w:sz w:val="22"/>
          <w:szCs w:val="22"/>
        </w:rPr>
        <w:t>.</w:t>
      </w:r>
    </w:p>
    <w:p w14:paraId="13269FF7" w14:textId="77777777" w:rsidR="00037F2B" w:rsidRDefault="00037F2B" w:rsidP="00037F2B">
      <w:pPr>
        <w:spacing w:before="240" w:after="240" w:line="276" w:lineRule="auto"/>
        <w:ind w:left="567" w:right="900"/>
        <w:jc w:val="both"/>
        <w:rPr>
          <w:rFonts w:ascii="Palatino Linotype" w:eastAsia="Palatino Linotype" w:hAnsi="Palatino Linotype" w:cs="Palatino Linotype"/>
          <w:i/>
          <w:sz w:val="22"/>
          <w:szCs w:val="22"/>
        </w:rPr>
      </w:pPr>
      <w:r w:rsidRPr="00037F2B">
        <w:rPr>
          <w:rFonts w:ascii="Palatino Linotype" w:eastAsia="Palatino Linotype" w:hAnsi="Palatino Linotype" w:cs="Palatino Linotype"/>
          <w:i/>
          <w:sz w:val="22"/>
          <w:szCs w:val="22"/>
        </w:rPr>
        <w:t xml:space="preserve">Artículo 90.- La Contraloría Municipal se encontrará conformada por: </w:t>
      </w:r>
    </w:p>
    <w:p w14:paraId="4BD37AA8" w14:textId="77777777" w:rsidR="00B36687" w:rsidRDefault="00037F2B" w:rsidP="00037F2B">
      <w:pPr>
        <w:spacing w:before="240" w:after="240" w:line="276" w:lineRule="auto"/>
        <w:ind w:left="567" w:right="900"/>
        <w:jc w:val="both"/>
        <w:rPr>
          <w:rFonts w:ascii="Palatino Linotype" w:eastAsia="Palatino Linotype" w:hAnsi="Palatino Linotype" w:cs="Palatino Linotype"/>
          <w:i/>
          <w:sz w:val="22"/>
          <w:szCs w:val="22"/>
        </w:rPr>
      </w:pPr>
      <w:r w:rsidRPr="00425592">
        <w:rPr>
          <w:rFonts w:ascii="Palatino Linotype" w:eastAsia="Palatino Linotype" w:hAnsi="Palatino Linotype" w:cs="Palatino Linotype"/>
          <w:b/>
          <w:i/>
          <w:sz w:val="22"/>
          <w:szCs w:val="22"/>
        </w:rPr>
        <w:lastRenderedPageBreak/>
        <w:t>a) Autoridad Investigadora:</w:t>
      </w:r>
      <w:r w:rsidRPr="00037F2B">
        <w:rPr>
          <w:rFonts w:ascii="Palatino Linotype" w:eastAsia="Palatino Linotype" w:hAnsi="Palatino Linotype" w:cs="Palatino Linotype"/>
          <w:i/>
          <w:sz w:val="22"/>
          <w:szCs w:val="22"/>
        </w:rPr>
        <w:t xml:space="preserve"> quien será la encargada de la investigación de las faltas administrativas graves y no graves, quien para el cumplimiento de sus requerimientos y sus determinaciones podrá emplear las siguientes medidas de apremio (multa de 100 a 150 veces el valor diario de la unidad de medida y actualización, la cual podrá duplicarse o triplicarse en cada ocasión hasta alcanzar 200 veces el valor diario de la unidad de medida o actualización, solicitar el auxilio de la fuerza pública a cualquier orden de gobierno, arresto hasta por 36 horas); derivado de las atribuciones con las que cuenta la autoridad investigadora. En el </w:t>
      </w:r>
      <w:proofErr w:type="spellStart"/>
      <w:r w:rsidRPr="00037F2B">
        <w:rPr>
          <w:rFonts w:ascii="Palatino Linotype" w:eastAsia="Palatino Linotype" w:hAnsi="Palatino Linotype" w:cs="Palatino Linotype"/>
          <w:i/>
          <w:sz w:val="22"/>
          <w:szCs w:val="22"/>
        </w:rPr>
        <w:t>articulo</w:t>
      </w:r>
      <w:proofErr w:type="spellEnd"/>
      <w:r w:rsidRPr="00037F2B">
        <w:rPr>
          <w:rFonts w:ascii="Palatino Linotype" w:eastAsia="Palatino Linotype" w:hAnsi="Palatino Linotype" w:cs="Palatino Linotype"/>
          <w:i/>
          <w:sz w:val="22"/>
          <w:szCs w:val="22"/>
        </w:rPr>
        <w:t xml:space="preserve"> 101 de la Ley de Responsabilidades Administrativas del Estado de México y Municipios.</w:t>
      </w:r>
    </w:p>
    <w:p w14:paraId="0B155427" w14:textId="77777777" w:rsidR="00B36687" w:rsidRDefault="00037F2B" w:rsidP="00037F2B">
      <w:pPr>
        <w:spacing w:before="240" w:after="240" w:line="276" w:lineRule="auto"/>
        <w:ind w:left="567" w:right="900"/>
        <w:jc w:val="both"/>
        <w:rPr>
          <w:rFonts w:ascii="Palatino Linotype" w:eastAsia="Palatino Linotype" w:hAnsi="Palatino Linotype" w:cs="Palatino Linotype"/>
          <w:i/>
          <w:sz w:val="22"/>
          <w:szCs w:val="22"/>
        </w:rPr>
      </w:pPr>
      <w:r w:rsidRPr="00425592">
        <w:rPr>
          <w:rFonts w:ascii="Palatino Linotype" w:eastAsia="Palatino Linotype" w:hAnsi="Palatino Linotype" w:cs="Palatino Linotype"/>
          <w:b/>
          <w:i/>
          <w:sz w:val="22"/>
          <w:szCs w:val="22"/>
        </w:rPr>
        <w:t>b) Autoridad Substanciadora:</w:t>
      </w:r>
      <w:r w:rsidRPr="00037F2B">
        <w:rPr>
          <w:rFonts w:ascii="Palatino Linotype" w:eastAsia="Palatino Linotype" w:hAnsi="Palatino Linotype" w:cs="Palatino Linotype"/>
          <w:i/>
          <w:sz w:val="22"/>
          <w:szCs w:val="22"/>
        </w:rPr>
        <w:t xml:space="preserve"> que será en el ámbito de su competencia, la que dirija y conduzca el procedimiento de responsabilidades administrativas desde la admisión del informe de presunta responsabilidad administrativa y hasta la conclusión de la audiencia inicial. Su función en ningún caso podrá ser ejercida por una autoridad investigadora; y </w:t>
      </w:r>
    </w:p>
    <w:p w14:paraId="4C4A1CD5" w14:textId="77777777" w:rsidR="00425592" w:rsidRDefault="00037F2B" w:rsidP="00037F2B">
      <w:pPr>
        <w:spacing w:before="240" w:after="240" w:line="276" w:lineRule="auto"/>
        <w:ind w:left="567" w:right="900"/>
        <w:jc w:val="both"/>
        <w:rPr>
          <w:rFonts w:ascii="Palatino Linotype" w:eastAsia="Palatino Linotype" w:hAnsi="Palatino Linotype" w:cs="Palatino Linotype"/>
          <w:i/>
          <w:sz w:val="22"/>
          <w:szCs w:val="22"/>
        </w:rPr>
      </w:pPr>
      <w:r w:rsidRPr="00425592">
        <w:rPr>
          <w:rFonts w:ascii="Palatino Linotype" w:eastAsia="Palatino Linotype" w:hAnsi="Palatino Linotype" w:cs="Palatino Linotype"/>
          <w:b/>
          <w:i/>
          <w:sz w:val="22"/>
          <w:szCs w:val="22"/>
        </w:rPr>
        <w:t>c) Autoridad Resolutora:</w:t>
      </w:r>
      <w:r w:rsidRPr="00037F2B">
        <w:rPr>
          <w:rFonts w:ascii="Palatino Linotype" w:eastAsia="Palatino Linotype" w:hAnsi="Palatino Linotype" w:cs="Palatino Linotype"/>
          <w:i/>
          <w:sz w:val="22"/>
          <w:szCs w:val="22"/>
        </w:rPr>
        <w:t xml:space="preserve">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 de Justicia Administrativa. </w:t>
      </w:r>
    </w:p>
    <w:p w14:paraId="5240E7DA" w14:textId="77777777" w:rsidR="00037F2B" w:rsidRDefault="00037F2B" w:rsidP="00037F2B">
      <w:pPr>
        <w:spacing w:before="240" w:after="240" w:line="276" w:lineRule="auto"/>
        <w:ind w:left="567" w:right="900"/>
        <w:jc w:val="both"/>
        <w:rPr>
          <w:rFonts w:ascii="Palatino Linotype" w:eastAsia="Palatino Linotype" w:hAnsi="Palatino Linotype" w:cs="Palatino Linotype"/>
          <w:i/>
          <w:sz w:val="22"/>
          <w:szCs w:val="22"/>
        </w:rPr>
      </w:pPr>
      <w:r w:rsidRPr="00037F2B">
        <w:rPr>
          <w:rFonts w:ascii="Palatino Linotype" w:eastAsia="Palatino Linotype" w:hAnsi="Palatino Linotype" w:cs="Palatino Linotype"/>
          <w:i/>
          <w:sz w:val="22"/>
          <w:szCs w:val="22"/>
        </w:rPr>
        <w:t>Artículo 91.- La Autoridad Investigadora, Substanciadora y Resolutora aludidas, serán designadas por la Presidenta Municipal mediante la expedición del nombramiento respectivo, derivado de la potestad otorgada a ésta por el artículo 128 fracción VIII, de la Constitución Local.</w:t>
      </w:r>
      <w:r>
        <w:rPr>
          <w:rFonts w:ascii="Palatino Linotype" w:eastAsia="Palatino Linotype" w:hAnsi="Palatino Linotype" w:cs="Palatino Linotype"/>
          <w:i/>
          <w:sz w:val="22"/>
          <w:szCs w:val="22"/>
        </w:rPr>
        <w:t xml:space="preserve">” </w:t>
      </w:r>
    </w:p>
    <w:p w14:paraId="1F0B732F" w14:textId="77777777" w:rsidR="00037F2B" w:rsidRDefault="00037F2B" w:rsidP="006131A1">
      <w:pPr>
        <w:rPr>
          <w:rFonts w:ascii="Palatino Linotype" w:eastAsia="Calibri" w:hAnsi="Palatino Linotype" w:cs="Calibri"/>
          <w:lang w:val="es-ES_tradnl" w:eastAsia="es-MX"/>
        </w:rPr>
      </w:pPr>
    </w:p>
    <w:p w14:paraId="154E9583" w14:textId="77777777" w:rsidR="006131A1" w:rsidRDefault="006131A1" w:rsidP="006131A1">
      <w:pPr>
        <w:spacing w:before="240" w:after="240" w:line="360" w:lineRule="auto"/>
        <w:ind w:right="49"/>
        <w:jc w:val="both"/>
        <w:rPr>
          <w:rFonts w:ascii="Palatino Linotype" w:eastAsia="Palatino Linotype" w:hAnsi="Palatino Linotype" w:cs="Palatino Linotype"/>
          <w:szCs w:val="22"/>
        </w:rPr>
      </w:pPr>
      <w:r>
        <w:rPr>
          <w:rFonts w:ascii="Palatino Linotype" w:eastAsia="Palatino Linotype" w:hAnsi="Palatino Linotype" w:cs="Palatino Linotype"/>
          <w:szCs w:val="22"/>
        </w:rPr>
        <w:t>Ahora bien, la Ley Orgánica Municipal del Estado de México establece en los artículos 110 y 111 que el nombramiento del Contralor debe ser por acuerdo del Cabildo, por lo que deberá emitir una convocatoria pública, y corresponderá al Presidente Municipal recibir y evaluar a los aspirantes, así como formular la terma que será sometida a consideración en sesión de Cabildo, tal como se transcribe:</w:t>
      </w:r>
    </w:p>
    <w:p w14:paraId="02CA885A" w14:textId="77777777" w:rsidR="00425592" w:rsidRDefault="006131A1" w:rsidP="00B36687">
      <w:pPr>
        <w:pStyle w:val="Citas"/>
        <w:rPr>
          <w:lang w:val="es-ES"/>
        </w:rPr>
      </w:pPr>
      <w:r>
        <w:lastRenderedPageBreak/>
        <w:t>“</w:t>
      </w:r>
      <w:r w:rsidR="00425592" w:rsidRPr="00425592">
        <w:rPr>
          <w:lang w:val="es-ES"/>
        </w:rPr>
        <w:t xml:space="preserve">Artículo 32.-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w:t>
      </w:r>
    </w:p>
    <w:p w14:paraId="2EDD9C4B" w14:textId="77777777" w:rsidR="00425592" w:rsidRDefault="00425592" w:rsidP="00425592">
      <w:pPr>
        <w:pStyle w:val="Citas"/>
        <w:numPr>
          <w:ilvl w:val="0"/>
          <w:numId w:val="10"/>
        </w:numPr>
        <w:rPr>
          <w:lang w:val="es-ES"/>
        </w:rPr>
      </w:pPr>
      <w:r w:rsidRPr="00425592">
        <w:rPr>
          <w:lang w:val="es-ES"/>
        </w:rPr>
        <w:t xml:space="preserve">Ser persona ciudadana del Estado, en pleno uso de sus derechos; </w:t>
      </w:r>
    </w:p>
    <w:p w14:paraId="06C1BA8D" w14:textId="77777777" w:rsidR="00425592" w:rsidRPr="00425592" w:rsidRDefault="00425592" w:rsidP="00425592">
      <w:pPr>
        <w:pStyle w:val="Citas"/>
        <w:numPr>
          <w:ilvl w:val="0"/>
          <w:numId w:val="10"/>
        </w:numPr>
      </w:pPr>
      <w:r w:rsidRPr="00425592">
        <w:rPr>
          <w:lang w:val="es-ES"/>
        </w:rPr>
        <w:t xml:space="preserve">No estar inhabilitada o inhabilitado para desempeñar cargo, empleo, o comisión pública; </w:t>
      </w:r>
    </w:p>
    <w:p w14:paraId="511E5A69" w14:textId="77777777" w:rsidR="00425592" w:rsidRPr="00425592" w:rsidRDefault="00425592" w:rsidP="00425592">
      <w:pPr>
        <w:pStyle w:val="Citas"/>
        <w:numPr>
          <w:ilvl w:val="0"/>
          <w:numId w:val="10"/>
        </w:numPr>
      </w:pPr>
      <w:r w:rsidRPr="00425592">
        <w:rPr>
          <w:lang w:val="es-ES"/>
        </w:rPr>
        <w:t xml:space="preserve">Contar con título profesional o acreditar experiencia mínima de un año en la materia, ante la o el Presidente o el Ayuntamiento, cuando sea el caso, para el desempeño de los cargos que así lo requieran; </w:t>
      </w:r>
    </w:p>
    <w:p w14:paraId="147F47E9" w14:textId="77777777" w:rsidR="00425592" w:rsidRPr="00425592" w:rsidRDefault="00425592" w:rsidP="00425592">
      <w:pPr>
        <w:pStyle w:val="Citas"/>
        <w:numPr>
          <w:ilvl w:val="0"/>
          <w:numId w:val="10"/>
        </w:numPr>
        <w:rPr>
          <w:b/>
          <w:u w:val="single"/>
        </w:rPr>
      </w:pPr>
      <w:r w:rsidRPr="00425592">
        <w:rPr>
          <w:b/>
          <w:u w:val="single"/>
          <w:lang w:val="es-ES"/>
        </w:rPr>
        <w:t xml:space="preserve">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71F68058" w14:textId="77777777" w:rsidR="00425592" w:rsidRPr="00425592" w:rsidRDefault="00425592" w:rsidP="00425592">
      <w:pPr>
        <w:pStyle w:val="Citas"/>
        <w:numPr>
          <w:ilvl w:val="0"/>
          <w:numId w:val="10"/>
        </w:numPr>
      </w:pPr>
      <w:r w:rsidRPr="00425592">
        <w:rPr>
          <w:lang w:val="es-ES"/>
        </w:rPr>
        <w:t xml:space="preserve">No estar condenada o condenado por sentencia ejecutoriada por el delito de violencia política contra las mujeres en razón de género; </w:t>
      </w:r>
    </w:p>
    <w:p w14:paraId="18A6B3D8" w14:textId="77777777" w:rsidR="00425592" w:rsidRPr="00425592" w:rsidRDefault="00425592" w:rsidP="00425592">
      <w:pPr>
        <w:pStyle w:val="Citas"/>
        <w:numPr>
          <w:ilvl w:val="0"/>
          <w:numId w:val="10"/>
        </w:numPr>
      </w:pPr>
      <w:r w:rsidRPr="00425592">
        <w:rPr>
          <w:lang w:val="es-ES"/>
        </w:rPr>
        <w:t>No estar inscrito en el Registro de Deudores Alimentarios Morosos en el Estado, ni en otra entidad federativa, y</w:t>
      </w:r>
      <w:r>
        <w:rPr>
          <w:lang w:val="es-ES"/>
        </w:rPr>
        <w:t xml:space="preserve"> </w:t>
      </w:r>
    </w:p>
    <w:p w14:paraId="4E4E3352" w14:textId="77777777" w:rsidR="00425592" w:rsidRDefault="00425592" w:rsidP="00425592">
      <w:pPr>
        <w:pStyle w:val="Citas"/>
        <w:numPr>
          <w:ilvl w:val="0"/>
          <w:numId w:val="10"/>
        </w:numPr>
      </w:pPr>
      <w:r w:rsidRPr="00425592">
        <w:rPr>
          <w:lang w:val="es-ES"/>
        </w:rPr>
        <w:t>No estar condenada o condenado por sentencia ejecutoriada por delitos de violencia familiar, contra la libertad sexual o de violencia de género.</w:t>
      </w:r>
    </w:p>
    <w:p w14:paraId="2913A011" w14:textId="77777777" w:rsidR="00B36687" w:rsidRDefault="00B36687" w:rsidP="00B36687">
      <w:pPr>
        <w:pStyle w:val="Citas"/>
        <w:rPr>
          <w:lang w:val="es-ES"/>
        </w:rPr>
      </w:pPr>
      <w:r w:rsidRPr="00B36687">
        <w:rPr>
          <w:lang w:val="es-ES"/>
        </w:rPr>
        <w:lastRenderedPageBreak/>
        <w:t xml:space="preserve">Artículo 96.- Para ser tesorero municipal se requiere, además de los requisitos del artículo 32 de esta Ley: </w:t>
      </w:r>
    </w:p>
    <w:p w14:paraId="70F06664" w14:textId="77777777" w:rsidR="00425592" w:rsidRDefault="00B36687" w:rsidP="00425592">
      <w:pPr>
        <w:pStyle w:val="Citas"/>
        <w:numPr>
          <w:ilvl w:val="0"/>
          <w:numId w:val="7"/>
        </w:numPr>
        <w:ind w:left="1276" w:hanging="578"/>
        <w:rPr>
          <w:lang w:val="es-ES"/>
        </w:rPr>
      </w:pPr>
      <w:r w:rsidRPr="00B36687">
        <w:rPr>
          <w:lang w:val="es-ES"/>
        </w:rPr>
        <w:t xml:space="preserve">Tener los conocimientos suficientes para poder desempeñar el cargo, a juicio del Ayuntamiento; contar con título profesional en las áreas jurídicas, económicas o contables administrativas, con experiencia mínima de un año, con anterioridad a la fecha de su designación, </w:t>
      </w:r>
      <w:r w:rsidRPr="00B36687">
        <w:rPr>
          <w:b/>
          <w:u w:val="single"/>
          <w:lang w:val="es-ES"/>
        </w:rPr>
        <w:t>y con certificación de competencia laboral en funciones expedida por el Instituto Hacendario del Estado de México o por alguna institución con reconocimiento de validez oficial,</w:t>
      </w:r>
      <w:r w:rsidRPr="00B36687">
        <w:rPr>
          <w:lang w:val="es-ES"/>
        </w:rPr>
        <w:t xml:space="preserve"> que asegure los conocimientos y habilidades para desempeñar el cargo, de conformidad con los aspectos técnicos y operativos aplicables al Estado de México; </w:t>
      </w:r>
    </w:p>
    <w:p w14:paraId="51950FB3" w14:textId="77777777" w:rsidR="00B36687" w:rsidRPr="00425592" w:rsidRDefault="00B36687" w:rsidP="00425592">
      <w:pPr>
        <w:pStyle w:val="Citas"/>
        <w:ind w:left="1276"/>
        <w:rPr>
          <w:lang w:val="es-ES"/>
        </w:rPr>
      </w:pPr>
      <w:r w:rsidRPr="00425592">
        <w:rPr>
          <w:lang w:val="es-ES"/>
        </w:rPr>
        <w:t xml:space="preserve">El requisito de la certificación de competencia laboral, deberá acreditarse dentro de los seis meses siguientes a la fecha en que inicie funciones. </w:t>
      </w:r>
    </w:p>
    <w:p w14:paraId="5E882C27" w14:textId="77777777" w:rsidR="00B36687" w:rsidRPr="00B36687" w:rsidRDefault="00B36687" w:rsidP="00425592">
      <w:pPr>
        <w:pStyle w:val="Citas"/>
        <w:numPr>
          <w:ilvl w:val="0"/>
          <w:numId w:val="7"/>
        </w:numPr>
        <w:ind w:left="1276" w:hanging="578"/>
      </w:pPr>
      <w:r w:rsidRPr="00B36687">
        <w:rPr>
          <w:lang w:val="es-ES"/>
        </w:rPr>
        <w:t xml:space="preserve"> Caucionar el manejo de los fondos municipales, por un monto equivalente al uno al millar del importe correspondiente a los ingresos propios del municipio y las participaciones que en ingresos federales y estatales le correspondieron en el ejercicio inmediato anterior; </w:t>
      </w:r>
    </w:p>
    <w:p w14:paraId="2912C41D" w14:textId="77777777" w:rsidR="00B36687" w:rsidRPr="00B36687" w:rsidRDefault="00B36687" w:rsidP="00425592">
      <w:pPr>
        <w:pStyle w:val="Citas"/>
        <w:numPr>
          <w:ilvl w:val="0"/>
          <w:numId w:val="7"/>
        </w:numPr>
        <w:ind w:left="1276" w:hanging="578"/>
      </w:pPr>
      <w:r w:rsidRPr="00B36687">
        <w:rPr>
          <w:lang w:val="es-ES"/>
        </w:rPr>
        <w:t xml:space="preserve">Derogada </w:t>
      </w:r>
    </w:p>
    <w:p w14:paraId="4FFA4E3F" w14:textId="77777777" w:rsidR="00B36687" w:rsidRDefault="00B36687" w:rsidP="00425592">
      <w:pPr>
        <w:pStyle w:val="Citas"/>
        <w:numPr>
          <w:ilvl w:val="0"/>
          <w:numId w:val="7"/>
        </w:numPr>
        <w:ind w:left="1276" w:hanging="578"/>
      </w:pPr>
      <w:r w:rsidRPr="00B36687">
        <w:rPr>
          <w:lang w:val="es-ES"/>
        </w:rPr>
        <w:t>Cumplir con otros requisitos que señalen las leyes, o acuerde el ayuntamiento.</w:t>
      </w:r>
    </w:p>
    <w:p w14:paraId="5098AC30" w14:textId="77777777" w:rsidR="006131A1" w:rsidRDefault="00B36687" w:rsidP="00B36687">
      <w:pPr>
        <w:pStyle w:val="Citas"/>
        <w:rPr>
          <w:lang w:val="es-ES"/>
        </w:rPr>
      </w:pPr>
      <w:r w:rsidRPr="00B36687">
        <w:rPr>
          <w:b/>
          <w:lang w:val="es-ES"/>
        </w:rPr>
        <w:t>Artículo 113.- Para ser contralor se requiere cumplir con los requisitos que se exigen para ser tesorero municipal</w:t>
      </w:r>
      <w:r w:rsidRPr="00B36687">
        <w:rPr>
          <w:lang w:val="es-ES"/>
        </w:rPr>
        <w:t>, a excepción de la caución correspondiente.</w:t>
      </w:r>
      <w:r w:rsidR="006131A1">
        <w:rPr>
          <w:lang w:val="es-ES"/>
        </w:rPr>
        <w:t>”</w:t>
      </w:r>
    </w:p>
    <w:p w14:paraId="0C129D75" w14:textId="77777777" w:rsidR="00B36687" w:rsidRDefault="00B36687" w:rsidP="006131A1">
      <w:pPr>
        <w:pBdr>
          <w:top w:val="nil"/>
          <w:left w:val="nil"/>
          <w:bottom w:val="nil"/>
          <w:right w:val="nil"/>
          <w:between w:val="nil"/>
        </w:pBdr>
        <w:spacing w:line="360" w:lineRule="auto"/>
        <w:contextualSpacing/>
        <w:jc w:val="both"/>
        <w:rPr>
          <w:rFonts w:ascii="Palatino Linotype" w:eastAsiaTheme="minorHAnsi" w:hAnsi="Palatino Linotype" w:cs="Arial"/>
          <w:i/>
          <w:sz w:val="22"/>
          <w:szCs w:val="22"/>
          <w:lang w:val="es-MX" w:eastAsia="en-US"/>
        </w:rPr>
      </w:pPr>
    </w:p>
    <w:p w14:paraId="412F5A2F" w14:textId="77777777" w:rsidR="006131A1" w:rsidRPr="00177253" w:rsidRDefault="006131A1" w:rsidP="006131A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CD225B">
        <w:rPr>
          <w:rFonts w:ascii="Palatino Linotype" w:eastAsia="Palatino Linotype" w:hAnsi="Palatino Linotype" w:cs="Palatino Linotype"/>
          <w:color w:val="000000"/>
          <w:lang w:val="es-ES_tradnl" w:eastAsia="es-MX"/>
        </w:rPr>
        <w:t xml:space="preserve">Ahora bien, quedando establecido lo anterior, este Órgano Garante considera viable realizar el estudio en aras de establecer si la respuesta del Sujeto Obligado colma la </w:t>
      </w:r>
      <w:r w:rsidRPr="00CD225B">
        <w:rPr>
          <w:rFonts w:ascii="Palatino Linotype" w:eastAsia="Palatino Linotype" w:hAnsi="Palatino Linotype" w:cs="Palatino Linotype"/>
          <w:color w:val="000000"/>
          <w:lang w:val="es-ES_tradnl" w:eastAsia="es-MX"/>
        </w:rPr>
        <w:lastRenderedPageBreak/>
        <w:t>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14:paraId="50A39E41" w14:textId="77777777" w:rsidR="006131A1" w:rsidRDefault="006131A1" w:rsidP="006131A1">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4201"/>
        <w:gridCol w:w="1829"/>
      </w:tblGrid>
      <w:tr w:rsidR="006131A1" w14:paraId="136D1BE7" w14:textId="77777777" w:rsidTr="003E46FD">
        <w:trPr>
          <w:trHeight w:val="828"/>
        </w:trPr>
        <w:tc>
          <w:tcPr>
            <w:tcW w:w="3014" w:type="dxa"/>
            <w:shd w:val="clear" w:color="auto" w:fill="E7E6E6" w:themeFill="background2"/>
          </w:tcPr>
          <w:p w14:paraId="2FFB1402" w14:textId="77777777" w:rsidR="006131A1" w:rsidRPr="00B94808" w:rsidRDefault="006131A1" w:rsidP="003E46FD">
            <w:pPr>
              <w:spacing w:line="360" w:lineRule="auto"/>
              <w:jc w:val="center"/>
              <w:rPr>
                <w:rFonts w:ascii="Palatino Linotype" w:hAnsi="Palatino Linotype"/>
                <w:b/>
                <w:i/>
                <w:color w:val="000000"/>
              </w:rPr>
            </w:pPr>
            <w:r w:rsidRPr="00B94808">
              <w:rPr>
                <w:rFonts w:ascii="Palatino Linotype" w:hAnsi="Palatino Linotype"/>
                <w:b/>
                <w:i/>
                <w:color w:val="000000"/>
              </w:rPr>
              <w:t>Requerimientos</w:t>
            </w:r>
          </w:p>
        </w:tc>
        <w:tc>
          <w:tcPr>
            <w:tcW w:w="4201" w:type="dxa"/>
            <w:shd w:val="clear" w:color="auto" w:fill="E7E6E6" w:themeFill="background2"/>
          </w:tcPr>
          <w:p w14:paraId="4E3B55E3" w14:textId="77777777" w:rsidR="006131A1" w:rsidRPr="00B94808" w:rsidRDefault="006131A1" w:rsidP="003E46FD">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1829" w:type="dxa"/>
            <w:shd w:val="clear" w:color="auto" w:fill="E7E6E6" w:themeFill="background2"/>
          </w:tcPr>
          <w:p w14:paraId="555AB20A" w14:textId="77777777" w:rsidR="006131A1" w:rsidRPr="00B94808" w:rsidRDefault="006131A1" w:rsidP="003E46FD">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B36687" w:rsidRPr="00C73DD1" w14:paraId="4D2C15ED" w14:textId="77777777" w:rsidTr="00B36687">
        <w:trPr>
          <w:trHeight w:val="1205"/>
        </w:trPr>
        <w:tc>
          <w:tcPr>
            <w:tcW w:w="3014" w:type="dxa"/>
          </w:tcPr>
          <w:p w14:paraId="5BD42078" w14:textId="77777777" w:rsidR="00B36687" w:rsidRPr="00425592" w:rsidRDefault="00425592" w:rsidP="00425592">
            <w:pPr>
              <w:jc w:val="both"/>
              <w:rPr>
                <w:rFonts w:ascii="Palatino Linotype" w:hAnsi="Palatino Linotype" w:cs="Tahoma"/>
                <w:sz w:val="22"/>
              </w:rPr>
            </w:pPr>
            <w:r w:rsidRPr="00425592">
              <w:rPr>
                <w:rFonts w:ascii="Palatino Linotype" w:hAnsi="Palatino Linotype" w:cs="Tahoma"/>
              </w:rPr>
              <w:t>Certificación de la autoridad investigadora, autoridad sustanciadora y resolutoria</w:t>
            </w:r>
          </w:p>
        </w:tc>
        <w:tc>
          <w:tcPr>
            <w:tcW w:w="4201" w:type="dxa"/>
          </w:tcPr>
          <w:p w14:paraId="73EE743B" w14:textId="77777777" w:rsidR="00B36687" w:rsidRPr="00425592" w:rsidRDefault="00425592" w:rsidP="00425592">
            <w:pPr>
              <w:pStyle w:val="INFOEM"/>
              <w:spacing w:before="0" w:line="276" w:lineRule="auto"/>
              <w:ind w:left="0" w:right="0"/>
              <w:rPr>
                <w:i w:val="0"/>
                <w:lang w:val="es-ES"/>
              </w:rPr>
            </w:pPr>
            <w:r w:rsidRPr="00425592">
              <w:rPr>
                <w:i w:val="0"/>
                <w:lang w:val="es-ES"/>
              </w:rPr>
              <w:t>De acuerdo a la Ley Orgánica Municipal solo el Contralor Interno debe estar certificado.</w:t>
            </w:r>
          </w:p>
        </w:tc>
        <w:tc>
          <w:tcPr>
            <w:tcW w:w="1829" w:type="dxa"/>
          </w:tcPr>
          <w:p w14:paraId="1DEDF711" w14:textId="77777777" w:rsidR="00B36687" w:rsidRPr="009463E5" w:rsidRDefault="00425592" w:rsidP="003E46FD">
            <w:pPr>
              <w:jc w:val="center"/>
              <w:rPr>
                <w:rFonts w:ascii="Palatino Linotype" w:hAnsi="Palatino Linotype"/>
                <w:i/>
                <w:color w:val="000000"/>
              </w:rPr>
            </w:pPr>
            <w:r>
              <w:rPr>
                <w:rFonts w:ascii="Palatino Linotype" w:hAnsi="Palatino Linotype"/>
                <w:i/>
                <w:color w:val="000000"/>
              </w:rPr>
              <w:t>Sí</w:t>
            </w:r>
          </w:p>
        </w:tc>
      </w:tr>
    </w:tbl>
    <w:p w14:paraId="2F51FB44" w14:textId="77777777" w:rsidR="006131A1" w:rsidRDefault="006131A1" w:rsidP="006131A1">
      <w:pPr>
        <w:spacing w:line="360" w:lineRule="auto"/>
        <w:jc w:val="both"/>
        <w:rPr>
          <w:rFonts w:ascii="Palatino Linotype" w:hAnsi="Palatino Linotype" w:cs="Arial"/>
        </w:rPr>
      </w:pPr>
    </w:p>
    <w:p w14:paraId="77213531" w14:textId="77777777" w:rsidR="006131A1" w:rsidRDefault="006131A1" w:rsidP="006131A1">
      <w:pPr>
        <w:spacing w:line="360" w:lineRule="auto"/>
        <w:ind w:right="142"/>
        <w:jc w:val="both"/>
        <w:rPr>
          <w:rFonts w:ascii="Palatino Linotype" w:hAnsi="Palatino Linotype"/>
        </w:rPr>
      </w:pPr>
    </w:p>
    <w:p w14:paraId="5002A2AB" w14:textId="77777777" w:rsidR="00425592" w:rsidRPr="009E63DA" w:rsidRDefault="00425592" w:rsidP="00425592">
      <w:pPr>
        <w:spacing w:line="360" w:lineRule="auto"/>
        <w:jc w:val="both"/>
        <w:rPr>
          <w:rFonts w:ascii="Palatino Linotype" w:hAnsi="Palatino Linotype"/>
          <w:color w:val="000000"/>
        </w:rPr>
      </w:pPr>
      <w:r>
        <w:rPr>
          <w:rFonts w:ascii="Palatino Linotype" w:hAnsi="Palatino Linotype"/>
          <w:color w:val="000000"/>
        </w:rPr>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10275C5B" w14:textId="77777777" w:rsidR="00425592" w:rsidRPr="009E63DA" w:rsidRDefault="00425592" w:rsidP="00425592">
      <w:pPr>
        <w:spacing w:line="360" w:lineRule="auto"/>
        <w:jc w:val="both"/>
        <w:rPr>
          <w:rFonts w:ascii="Palatino Linotype" w:hAnsi="Palatino Linotype"/>
          <w:color w:val="000000"/>
        </w:rPr>
      </w:pPr>
    </w:p>
    <w:p w14:paraId="510EC78E" w14:textId="77777777" w:rsidR="00425592" w:rsidRPr="009E63DA" w:rsidRDefault="00425592" w:rsidP="00425592">
      <w:pPr>
        <w:ind w:left="567" w:right="567"/>
        <w:jc w:val="both"/>
        <w:rPr>
          <w:rFonts w:ascii="Palatino Linotype" w:hAnsi="Palatino Linotype"/>
          <w:b/>
          <w:i/>
        </w:rPr>
      </w:pPr>
      <w:r w:rsidRPr="009E63DA">
        <w:rPr>
          <w:rFonts w:ascii="Palatino Linotype" w:hAnsi="Palatino Linotype"/>
          <w:b/>
          <w:i/>
        </w:rPr>
        <w:t>Artículo 6</w:t>
      </w:r>
    </w:p>
    <w:p w14:paraId="3F0A6AC7" w14:textId="77777777" w:rsidR="00425592" w:rsidRPr="009E63DA" w:rsidRDefault="00425592" w:rsidP="00425592">
      <w:pPr>
        <w:ind w:left="567" w:right="567"/>
        <w:jc w:val="both"/>
        <w:rPr>
          <w:rFonts w:ascii="Palatino Linotype" w:hAnsi="Palatino Linotype"/>
          <w:i/>
        </w:rPr>
      </w:pPr>
      <w:r w:rsidRPr="009E63DA">
        <w:rPr>
          <w:rFonts w:ascii="Palatino Linotype" w:hAnsi="Palatino Linotype"/>
          <w:i/>
        </w:rPr>
        <w:t>…</w:t>
      </w:r>
    </w:p>
    <w:p w14:paraId="0DAF261E" w14:textId="77777777" w:rsidR="00425592" w:rsidRPr="009E63DA" w:rsidRDefault="00425592" w:rsidP="00425592">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13560DDD" w14:textId="77777777" w:rsidR="00425592" w:rsidRPr="009E63DA" w:rsidRDefault="00425592" w:rsidP="00425592">
      <w:pPr>
        <w:ind w:left="567" w:right="567"/>
        <w:jc w:val="both"/>
        <w:rPr>
          <w:rFonts w:ascii="Palatino Linotype" w:hAnsi="Palatino Linotype"/>
          <w:i/>
        </w:rPr>
      </w:pPr>
    </w:p>
    <w:p w14:paraId="675E9D44" w14:textId="77777777" w:rsidR="00425592" w:rsidRPr="009E63DA" w:rsidRDefault="00425592" w:rsidP="00425592">
      <w:pPr>
        <w:numPr>
          <w:ilvl w:val="0"/>
          <w:numId w:val="9"/>
        </w:numPr>
        <w:ind w:left="993" w:right="567"/>
        <w:jc w:val="both"/>
        <w:rPr>
          <w:rFonts w:ascii="Palatino Linotype" w:hAnsi="Palatino Linotype"/>
          <w:i/>
        </w:rPr>
      </w:pPr>
      <w:r w:rsidRPr="009E63DA">
        <w:rPr>
          <w:rFonts w:ascii="Palatino Linotype" w:hAnsi="Palatino Linotype"/>
          <w:i/>
        </w:rPr>
        <w:t xml:space="preserve">Toda la información en posesión de cualquier autoridad, entidad, órgano y organismo de los Poderes Ejecutivo, Legislativo y Judicial, órganos autónomos, </w:t>
      </w:r>
      <w:r w:rsidRPr="009E63DA">
        <w:rPr>
          <w:rFonts w:ascii="Palatino Linotype" w:hAnsi="Palatino Linotype"/>
          <w:i/>
        </w:rPr>
        <w:lastRenderedPageBreak/>
        <w:t>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3C42C92" w14:textId="77777777" w:rsidR="00425592" w:rsidRPr="009E63DA" w:rsidRDefault="00425592" w:rsidP="00425592">
      <w:pPr>
        <w:spacing w:line="360" w:lineRule="auto"/>
        <w:jc w:val="both"/>
        <w:rPr>
          <w:rFonts w:ascii="Palatino Linotype" w:hAnsi="Palatino Linotype"/>
        </w:rPr>
      </w:pPr>
    </w:p>
    <w:p w14:paraId="07EEA1FA" w14:textId="77777777" w:rsidR="00425592" w:rsidRPr="009E63DA" w:rsidRDefault="00425592" w:rsidP="00425592">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68C8AB7D" w14:textId="77777777" w:rsidR="00425592" w:rsidRPr="009E63DA" w:rsidRDefault="00425592" w:rsidP="00425592">
      <w:pPr>
        <w:ind w:left="567" w:right="567"/>
        <w:jc w:val="both"/>
        <w:rPr>
          <w:rFonts w:ascii="Palatino Linotype" w:hAnsi="Palatino Linotype"/>
        </w:rPr>
      </w:pPr>
    </w:p>
    <w:p w14:paraId="7567D909" w14:textId="77777777" w:rsidR="00425592" w:rsidRPr="009E63DA" w:rsidRDefault="00425592" w:rsidP="00425592">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2BFE2D6D" w14:textId="77777777" w:rsidR="00425592" w:rsidRPr="009E63DA" w:rsidRDefault="00425592" w:rsidP="00425592">
      <w:pPr>
        <w:ind w:left="851" w:right="851"/>
        <w:jc w:val="both"/>
        <w:rPr>
          <w:rFonts w:ascii="Palatino Linotype" w:hAnsi="Palatino Linotype"/>
          <w:i/>
        </w:rPr>
      </w:pPr>
      <w:r w:rsidRPr="009E63DA">
        <w:rPr>
          <w:rFonts w:ascii="Palatino Linotype" w:hAnsi="Palatino Linotype"/>
          <w:i/>
        </w:rPr>
        <w:t>…</w:t>
      </w:r>
    </w:p>
    <w:p w14:paraId="51216B83" w14:textId="77777777" w:rsidR="00425592" w:rsidRPr="009E63DA" w:rsidRDefault="00425592" w:rsidP="00425592">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0A267448" w14:textId="77777777" w:rsidR="00425592" w:rsidRPr="009E63DA" w:rsidRDefault="00425592" w:rsidP="00425592">
      <w:pPr>
        <w:ind w:left="851" w:right="851"/>
        <w:jc w:val="both"/>
        <w:rPr>
          <w:rFonts w:ascii="Palatino Linotype" w:hAnsi="Palatino Linotype"/>
          <w:i/>
        </w:rPr>
      </w:pPr>
    </w:p>
    <w:p w14:paraId="0047B305" w14:textId="77777777" w:rsidR="00425592" w:rsidRPr="009E63DA" w:rsidRDefault="00425592" w:rsidP="00425592">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9AB7785" w14:textId="77777777" w:rsidR="00425592" w:rsidRPr="009E63DA" w:rsidRDefault="00425592" w:rsidP="00425592">
      <w:pPr>
        <w:ind w:left="851" w:right="851"/>
        <w:jc w:val="both"/>
        <w:rPr>
          <w:rFonts w:ascii="Palatino Linotype" w:hAnsi="Palatino Linotype"/>
          <w:bCs/>
          <w:i/>
        </w:rPr>
      </w:pPr>
    </w:p>
    <w:p w14:paraId="221505B5" w14:textId="77777777" w:rsidR="00425592" w:rsidRPr="009E63DA" w:rsidRDefault="00425592" w:rsidP="00425592">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w:t>
      </w:r>
      <w:r w:rsidRPr="009E63DA">
        <w:rPr>
          <w:rFonts w:ascii="Palatino Linotype" w:hAnsi="Palatino Linotype"/>
          <w:bCs/>
          <w:i/>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B88B132" w14:textId="77777777" w:rsidR="00425592" w:rsidRPr="009E63DA" w:rsidRDefault="00425592" w:rsidP="00425592">
      <w:pPr>
        <w:ind w:left="851" w:right="851"/>
        <w:jc w:val="both"/>
        <w:rPr>
          <w:rFonts w:ascii="Palatino Linotype" w:hAnsi="Palatino Linotype"/>
          <w:bCs/>
          <w:i/>
        </w:rPr>
      </w:pPr>
    </w:p>
    <w:p w14:paraId="660286BB" w14:textId="77777777" w:rsidR="00425592" w:rsidRPr="009E63DA" w:rsidRDefault="00425592" w:rsidP="00425592">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09F79D49" w14:textId="77777777" w:rsidR="00425592" w:rsidRPr="009E63DA" w:rsidRDefault="00425592" w:rsidP="00425592">
      <w:pPr>
        <w:ind w:left="851" w:right="851"/>
        <w:jc w:val="both"/>
        <w:rPr>
          <w:rFonts w:ascii="Palatino Linotype" w:hAnsi="Palatino Linotype"/>
          <w:i/>
        </w:rPr>
      </w:pPr>
    </w:p>
    <w:p w14:paraId="7B59BBD4" w14:textId="77777777" w:rsidR="00425592" w:rsidRPr="009E63DA" w:rsidRDefault="00425592" w:rsidP="00425592">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3C87AAB4" w14:textId="77777777" w:rsidR="00425592" w:rsidRPr="009E63DA" w:rsidRDefault="00425592" w:rsidP="00425592">
      <w:pPr>
        <w:ind w:left="851" w:right="851"/>
        <w:jc w:val="both"/>
        <w:rPr>
          <w:rFonts w:ascii="Palatino Linotype" w:hAnsi="Palatino Linotype"/>
          <w:i/>
        </w:rPr>
      </w:pPr>
    </w:p>
    <w:p w14:paraId="3BAC8A71" w14:textId="77777777" w:rsidR="00425592" w:rsidRPr="009E63DA" w:rsidRDefault="00425592" w:rsidP="00425592">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6547DCBA" w14:textId="77777777" w:rsidR="00425592" w:rsidRPr="009E63DA" w:rsidRDefault="00425592" w:rsidP="00425592">
      <w:pPr>
        <w:spacing w:line="360" w:lineRule="auto"/>
        <w:jc w:val="both"/>
        <w:rPr>
          <w:rFonts w:ascii="Palatino Linotype" w:hAnsi="Palatino Linotype"/>
        </w:rPr>
      </w:pPr>
    </w:p>
    <w:p w14:paraId="10EBB6F2" w14:textId="77777777" w:rsidR="00425592" w:rsidRPr="009E63DA" w:rsidRDefault="00425592" w:rsidP="00425592">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3DD6208E" w14:textId="77777777" w:rsidR="00425592" w:rsidRPr="009E63DA" w:rsidRDefault="00425592" w:rsidP="00425592">
      <w:pPr>
        <w:spacing w:line="360" w:lineRule="auto"/>
        <w:jc w:val="both"/>
        <w:rPr>
          <w:rFonts w:ascii="Palatino Linotype" w:hAnsi="Palatino Linotype"/>
        </w:rPr>
      </w:pPr>
    </w:p>
    <w:p w14:paraId="5AABBBBB" w14:textId="77777777" w:rsidR="00425592" w:rsidRPr="009E63DA" w:rsidRDefault="00425592" w:rsidP="00425592">
      <w:pPr>
        <w:tabs>
          <w:tab w:val="left" w:pos="709"/>
        </w:tabs>
        <w:spacing w:line="360" w:lineRule="auto"/>
        <w:jc w:val="both"/>
        <w:rPr>
          <w:rFonts w:ascii="Palatino Linotype" w:hAnsi="Palatino Linotype"/>
        </w:rPr>
      </w:pPr>
      <w:r w:rsidRPr="009E63DA">
        <w:rPr>
          <w:rFonts w:ascii="Palatino Linotype" w:hAnsi="Palatino Linotype" w:cs="Arial"/>
        </w:rPr>
        <w:t xml:space="preserve">En tal tesitura, este Órgano Garante estima que las razones o motivos de inconformidad hechos valer por </w:t>
      </w:r>
      <w:r>
        <w:rPr>
          <w:rFonts w:ascii="Palatino Linotype" w:hAnsi="Palatino Linotype"/>
        </w:rPr>
        <w:t xml:space="preserve">la parte </w:t>
      </w:r>
      <w:r w:rsidRPr="009E63DA">
        <w:rPr>
          <w:rFonts w:ascii="Palatino Linotype" w:hAnsi="Palatino Linotype" w:cs="Arial"/>
        </w:rPr>
        <w:t>Recurrente son infundados</w:t>
      </w:r>
      <w:r>
        <w:rPr>
          <w:rFonts w:ascii="Palatino Linotype" w:hAnsi="Palatino Linotype" w:cs="Arial"/>
        </w:rPr>
        <w:t>, en virtud de que,</w:t>
      </w:r>
      <w:r w:rsidRPr="009E63DA">
        <w:rPr>
          <w:rFonts w:ascii="Palatino Linotype" w:hAnsi="Palatino Linotype"/>
        </w:rPr>
        <w:t xml:space="preserve"> la </w:t>
      </w:r>
      <w:r>
        <w:rPr>
          <w:rFonts w:ascii="Palatino Linotype" w:hAnsi="Palatino Linotype"/>
        </w:rPr>
        <w:t>respuesta</w:t>
      </w:r>
      <w:r w:rsidRPr="009E63DA">
        <w:rPr>
          <w:rFonts w:ascii="Palatino Linotype" w:hAnsi="Palatino Linotype"/>
        </w:rPr>
        <w:t xml:space="preserve"> </w:t>
      </w:r>
      <w:r>
        <w:rPr>
          <w:rFonts w:ascii="Palatino Linotype" w:hAnsi="Palatino Linotype"/>
        </w:rPr>
        <w:t>se emitió por el servidor público habilitado</w:t>
      </w:r>
      <w:r>
        <w:rPr>
          <w:rFonts w:ascii="Palatino Linotype" w:hAnsi="Palatino Linotype" w:cs="Arial"/>
        </w:rPr>
        <w:t>, tal como ya quedo precisado en párrafos anteriores</w:t>
      </w:r>
      <w:r w:rsidRPr="009E63DA">
        <w:rPr>
          <w:rFonts w:ascii="Palatino Linotype" w:hAnsi="Palatino Linotype" w:cs="Arial"/>
        </w:rPr>
        <w:t xml:space="preserve">, </w:t>
      </w:r>
      <w:r>
        <w:rPr>
          <w:rFonts w:ascii="Palatino Linotype" w:hAnsi="Palatino Linotype" w:cs="Arial"/>
        </w:rPr>
        <w:t>por lo que</w:t>
      </w:r>
      <w:r w:rsidRPr="009E63DA">
        <w:rPr>
          <w:rFonts w:ascii="Palatino Linotype" w:hAnsi="Palatino Linotype"/>
        </w:rPr>
        <w:t xml:space="preserve">, se tiene que </w:t>
      </w:r>
      <w:r>
        <w:rPr>
          <w:rFonts w:ascii="Palatino Linotype" w:hAnsi="Palatino Linotype"/>
        </w:rPr>
        <w:t>la autoridad que emitió la respuesta y el</w:t>
      </w:r>
      <w:r w:rsidRPr="009E63DA">
        <w:rPr>
          <w:rFonts w:ascii="Palatino Linotype" w:hAnsi="Palatino Linotype"/>
        </w:rPr>
        <w:t xml:space="preserve"> documento remitido satisface la pretensión del particular.</w:t>
      </w:r>
    </w:p>
    <w:p w14:paraId="094DCE1A" w14:textId="77777777" w:rsidR="00425592" w:rsidRPr="009E63DA" w:rsidRDefault="00425592" w:rsidP="00425592">
      <w:pPr>
        <w:spacing w:line="360" w:lineRule="auto"/>
        <w:jc w:val="both"/>
        <w:rPr>
          <w:rFonts w:ascii="Palatino Linotype" w:eastAsia="Calibri" w:hAnsi="Palatino Linotype" w:cs="Arial"/>
          <w:color w:val="000000"/>
          <w:lang w:val="es-ES_tradnl" w:eastAsia="es-MX"/>
        </w:rPr>
      </w:pPr>
    </w:p>
    <w:p w14:paraId="08E874C5" w14:textId="77777777" w:rsidR="00425592" w:rsidRPr="009E63DA" w:rsidRDefault="00425592" w:rsidP="00425592">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14:paraId="58D45B51" w14:textId="77777777" w:rsidR="00425592" w:rsidRPr="009E63DA" w:rsidRDefault="00425592" w:rsidP="00425592">
      <w:pPr>
        <w:spacing w:line="360" w:lineRule="auto"/>
        <w:jc w:val="both"/>
        <w:rPr>
          <w:rFonts w:ascii="Palatino Linotype" w:eastAsia="Calibri" w:hAnsi="Palatino Linotype" w:cs="Arial"/>
          <w:color w:val="000000"/>
          <w:lang w:val="es-ES_tradnl" w:eastAsia="es-MX"/>
        </w:rPr>
      </w:pPr>
    </w:p>
    <w:p w14:paraId="65C023A4" w14:textId="77777777" w:rsidR="00425592" w:rsidRPr="009E63DA" w:rsidRDefault="00425592" w:rsidP="00425592">
      <w:pPr>
        <w:spacing w:line="360" w:lineRule="auto"/>
        <w:jc w:val="both"/>
        <w:rPr>
          <w:rFonts w:ascii="Palatino Linotype" w:eastAsia="Calibri" w:hAnsi="Palatino Linotype" w:cs="Calibri"/>
          <w:b/>
          <w:bCs/>
          <w:color w:val="000000"/>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14:paraId="17243607" w14:textId="77777777" w:rsidR="00425592" w:rsidRPr="009E63DA" w:rsidRDefault="00425592" w:rsidP="00425592">
      <w:pPr>
        <w:spacing w:line="360" w:lineRule="auto"/>
        <w:jc w:val="both"/>
        <w:rPr>
          <w:rFonts w:ascii="Palatino Linotype" w:hAnsi="Palatino Linotype"/>
          <w:lang w:val="es-ES_tradnl"/>
        </w:rPr>
      </w:pPr>
    </w:p>
    <w:p w14:paraId="63397026" w14:textId="77777777" w:rsidR="00425592" w:rsidRPr="009E63DA" w:rsidRDefault="00425592" w:rsidP="00425592">
      <w:pPr>
        <w:spacing w:line="360" w:lineRule="auto"/>
        <w:ind w:left="851" w:right="850"/>
        <w:jc w:val="both"/>
        <w:rPr>
          <w:rFonts w:ascii="Palatino Linotype" w:eastAsia="Calibri" w:hAnsi="Palatino Linotype" w:cs="Arial"/>
          <w:color w:val="000000"/>
          <w:sz w:val="2"/>
          <w:lang w:val="es-ES_tradnl" w:eastAsia="es-MX"/>
        </w:rPr>
      </w:pPr>
    </w:p>
    <w:p w14:paraId="2D905831" w14:textId="77777777" w:rsidR="00425592" w:rsidRPr="009E63DA" w:rsidRDefault="00425592" w:rsidP="00425592">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5942958" w14:textId="77777777" w:rsidR="00425592" w:rsidRPr="009E63DA" w:rsidRDefault="00425592" w:rsidP="00425592">
      <w:pPr>
        <w:ind w:left="567" w:right="567"/>
        <w:jc w:val="both"/>
        <w:rPr>
          <w:rFonts w:ascii="Palatino Linotype" w:eastAsia="Calibri" w:hAnsi="Palatino Linotype" w:cs="Arial"/>
          <w:i/>
          <w:color w:val="000000"/>
          <w:sz w:val="2"/>
          <w:lang w:val="es-ES_tradnl" w:eastAsia="es-MX"/>
        </w:rPr>
      </w:pPr>
    </w:p>
    <w:p w14:paraId="7002CAC4" w14:textId="77777777" w:rsidR="00425592" w:rsidRPr="00F55BA2" w:rsidRDefault="00425592" w:rsidP="00425592">
      <w:pPr>
        <w:spacing w:line="360" w:lineRule="auto"/>
        <w:jc w:val="both"/>
        <w:rPr>
          <w:rFonts w:ascii="Palatino Linotype" w:eastAsia="Calibri" w:hAnsi="Palatino Linotype" w:cs="Arial"/>
          <w:color w:val="000000"/>
          <w:lang w:val="es-ES_tradnl" w:eastAsia="es-MX"/>
        </w:rPr>
      </w:pPr>
    </w:p>
    <w:p w14:paraId="3629AB14" w14:textId="77777777" w:rsidR="00425592" w:rsidRPr="009E63DA" w:rsidRDefault="00425592" w:rsidP="00425592">
      <w:pPr>
        <w:spacing w:line="360" w:lineRule="auto"/>
        <w:contextualSpacing/>
        <w:jc w:val="both"/>
        <w:rPr>
          <w:rFonts w:ascii="Palatino Linotype" w:hAnsi="Palatino Linotype" w:cs="Arial"/>
        </w:rPr>
      </w:pPr>
      <w:r w:rsidRPr="009E63DA">
        <w:rPr>
          <w:rFonts w:ascii="Palatino Linotype" w:hAnsi="Palatino Linotype" w:cs="Arial"/>
          <w:noProof/>
          <w:color w:val="000000"/>
          <w:lang w:eastAsia="es-MX"/>
        </w:rPr>
        <w:t xml:space="preserve">En virtud de lo anterior, este Órgano Garante arriba a la conclusión de que la respuesta primigenia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se encuentra dotada de los principios de </w:t>
      </w:r>
      <w:r w:rsidRPr="009E63DA">
        <w:rPr>
          <w:rFonts w:ascii="Palatino Linotype" w:hAnsi="Palatino Linotype" w:cs="Arial"/>
        </w:rPr>
        <w:t xml:space="preserve">congruencia y exhaustividad, los cuales a toda luz garantizan el derecho de acceso a la información pública. Robustece lo anterior el criterio </w:t>
      </w:r>
      <w:r w:rsidRPr="009E63DA">
        <w:rPr>
          <w:rFonts w:ascii="Palatino Linotype" w:hAnsi="Palatino Linotype" w:cs="Arial"/>
          <w:b/>
        </w:rPr>
        <w:t xml:space="preserve">02/17 </w:t>
      </w:r>
      <w:r w:rsidRPr="009E63DA">
        <w:rPr>
          <w:rFonts w:ascii="Palatino Linotype" w:hAnsi="Palatino Linotype" w:cs="Arial"/>
        </w:rPr>
        <w:t xml:space="preserve">del Instituto Nacional de Transparencia, </w:t>
      </w:r>
      <w:r w:rsidRPr="009E63DA">
        <w:rPr>
          <w:rFonts w:ascii="Palatino Linotype" w:hAnsi="Palatino Linotype" w:cs="Arial"/>
        </w:rPr>
        <w:lastRenderedPageBreak/>
        <w:t xml:space="preserve">Acceso a la Información y Protección de Datos Personales que dispone a la literalidad lo siguiente: </w:t>
      </w:r>
    </w:p>
    <w:p w14:paraId="7794EB10" w14:textId="77777777" w:rsidR="00425592" w:rsidRPr="009E63DA" w:rsidRDefault="00425592" w:rsidP="00425592">
      <w:pPr>
        <w:spacing w:before="240" w:line="360" w:lineRule="auto"/>
        <w:ind w:left="851" w:right="851"/>
        <w:jc w:val="both"/>
        <w:rPr>
          <w:rFonts w:ascii="Palatino Linotype" w:hAnsi="Palatino Linotype" w:cs="Arial"/>
          <w:b/>
          <w:i/>
        </w:rPr>
      </w:pPr>
      <w:r w:rsidRPr="009E63DA">
        <w:rPr>
          <w:rFonts w:ascii="Palatino Linotype" w:hAnsi="Palatino Linotype" w:cs="Arial"/>
          <w:b/>
          <w:i/>
        </w:rPr>
        <w:t xml:space="preserve">“CONGRUENCIA Y EXHAUSTIVIDAD. SUS ALCANCES PARA GARANTIZAR EL DERECHO DE ACCESO A LA INFORMACIÓN. </w:t>
      </w:r>
    </w:p>
    <w:p w14:paraId="270ACBFC" w14:textId="77777777" w:rsidR="00425592" w:rsidRPr="009E63DA" w:rsidRDefault="00425592" w:rsidP="00425592">
      <w:pPr>
        <w:spacing w:before="240" w:line="360" w:lineRule="auto"/>
        <w:ind w:left="851" w:right="851"/>
        <w:jc w:val="both"/>
        <w:rPr>
          <w:rFonts w:ascii="Palatino Linotype" w:hAnsi="Palatino Linotype" w:cs="Arial"/>
          <w:i/>
        </w:rPr>
      </w:pPr>
      <w:r w:rsidRPr="009E63DA">
        <w:rPr>
          <w:rFonts w:ascii="Palatino Linotype" w:hAnsi="Palatino Linotype" w:cs="Arial"/>
          <w:i/>
        </w:rPr>
        <w:t xml:space="preserve">De conformidad con el artículo </w:t>
      </w:r>
      <w:r w:rsidRPr="009E63DA">
        <w:rPr>
          <w:rFonts w:ascii="Palatino Linotype" w:hAnsi="Palatino Linotype"/>
          <w:i/>
          <w:lang w:val="es-ES_tradnl"/>
        </w:rPr>
        <w:t>3 de la Ley Federal de Procedimiento Administrativo</w:t>
      </w:r>
      <w:r w:rsidRPr="009E63DA">
        <w:rPr>
          <w:rFonts w:ascii="Palatino Linotype" w:hAnsi="Palatino Linotype" w:cs="Arial"/>
          <w:i/>
        </w:rPr>
        <w:t>, de aplicación supletoria a la Ley Federal de Transparencia y Acceso a la Información Pública, en términos de su artículo 7</w:t>
      </w:r>
      <w:r w:rsidRPr="009E63DA">
        <w:rPr>
          <w:rFonts w:ascii="Palatino Linotype" w:hAnsi="Palatino Linotype" w:cs="Arial"/>
          <w:b/>
          <w:i/>
          <w:u w:val="single"/>
        </w:rPr>
        <w:t>; todo acto administrativo debe cumplir con los principios de congruencia y exhaustividad.</w:t>
      </w:r>
      <w:r w:rsidRPr="009E63DA">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4405019" w14:textId="77777777" w:rsidR="00425592" w:rsidRPr="009E63DA" w:rsidRDefault="00425592" w:rsidP="00425592">
      <w:pPr>
        <w:numPr>
          <w:ilvl w:val="0"/>
          <w:numId w:val="8"/>
        </w:numPr>
        <w:spacing w:before="240"/>
        <w:ind w:right="851"/>
        <w:jc w:val="both"/>
        <w:rPr>
          <w:rFonts w:ascii="Palatino Linotype" w:hAnsi="Palatino Linotype" w:cs="Arial"/>
          <w:i/>
        </w:rPr>
      </w:pPr>
      <w:r w:rsidRPr="009E63DA">
        <w:rPr>
          <w:rFonts w:ascii="Palatino Linotype" w:hAnsi="Palatino Linotype" w:cs="Arial"/>
          <w:i/>
        </w:rPr>
        <w:t xml:space="preserve">RRA 0003/16 Comisión Nacional de las Zonas Áridas. 29 de junio de 2016. Por unanimidad. Comisionado Ponente Oscar Mauricio Guerra Ford. </w:t>
      </w:r>
    </w:p>
    <w:p w14:paraId="124DA8D9" w14:textId="77777777" w:rsidR="00425592" w:rsidRPr="009E63DA" w:rsidRDefault="00425592" w:rsidP="00425592">
      <w:pPr>
        <w:numPr>
          <w:ilvl w:val="0"/>
          <w:numId w:val="8"/>
        </w:numPr>
        <w:spacing w:before="240"/>
        <w:ind w:right="851"/>
        <w:jc w:val="both"/>
        <w:rPr>
          <w:rFonts w:ascii="Palatino Linotype" w:hAnsi="Palatino Linotype" w:cs="Arial"/>
          <w:i/>
        </w:rPr>
      </w:pPr>
      <w:r w:rsidRPr="009E63DA">
        <w:rPr>
          <w:rFonts w:ascii="Palatino Linotype" w:hAnsi="Palatino Linotype" w:cs="Arial"/>
          <w:i/>
        </w:rPr>
        <w:t xml:space="preserve">RRA 0100/16. Sindicato Nacional de Trabajadores de la Educación. 13 de julio de 2016. Por unanimidad. Comisionada Ponente Areli Cano Guadiana. </w:t>
      </w:r>
    </w:p>
    <w:p w14:paraId="48535789" w14:textId="77777777" w:rsidR="00425592" w:rsidRPr="009E63DA" w:rsidRDefault="00425592" w:rsidP="00425592">
      <w:pPr>
        <w:numPr>
          <w:ilvl w:val="0"/>
          <w:numId w:val="8"/>
        </w:numPr>
        <w:spacing w:before="240"/>
        <w:ind w:right="851"/>
        <w:jc w:val="both"/>
        <w:rPr>
          <w:rFonts w:ascii="Palatino Linotype" w:hAnsi="Palatino Linotype"/>
          <w:b/>
          <w:lang w:val="es-ES_tradnl"/>
        </w:rPr>
      </w:pPr>
      <w:r w:rsidRPr="009E63DA">
        <w:rPr>
          <w:rFonts w:ascii="Palatino Linotype" w:hAnsi="Palatino Linotype" w:cs="Arial"/>
          <w:i/>
        </w:rPr>
        <w:lastRenderedPageBreak/>
        <w:t xml:space="preserve">RRA 1419/16 Secretaría de Educación Pública. 14 de septiembre de 2016. Por unanimidad. Comisionado Ponente </w:t>
      </w:r>
      <w:proofErr w:type="spellStart"/>
      <w:r w:rsidRPr="009E63DA">
        <w:rPr>
          <w:rFonts w:ascii="Palatino Linotype" w:hAnsi="Palatino Linotype" w:cs="Arial"/>
          <w:i/>
        </w:rPr>
        <w:t>Rosendoevgueni</w:t>
      </w:r>
      <w:proofErr w:type="spellEnd"/>
      <w:r w:rsidRPr="009E63DA">
        <w:rPr>
          <w:rFonts w:ascii="Palatino Linotype" w:hAnsi="Palatino Linotype" w:cs="Arial"/>
          <w:i/>
        </w:rPr>
        <w:t xml:space="preserve"> Monterrey </w:t>
      </w:r>
      <w:proofErr w:type="spellStart"/>
      <w:r w:rsidRPr="009E63DA">
        <w:rPr>
          <w:rFonts w:ascii="Palatino Linotype" w:hAnsi="Palatino Linotype" w:cs="Arial"/>
          <w:i/>
        </w:rPr>
        <w:t>Chepov</w:t>
      </w:r>
      <w:proofErr w:type="spellEnd"/>
      <w:r w:rsidRPr="009E63DA">
        <w:rPr>
          <w:rFonts w:ascii="Palatino Linotype" w:hAnsi="Palatino Linotype" w:cs="Arial"/>
          <w:i/>
        </w:rPr>
        <w:t xml:space="preserve">.” </w:t>
      </w:r>
      <w:r w:rsidRPr="009E63DA">
        <w:rPr>
          <w:rFonts w:ascii="Palatino Linotype" w:hAnsi="Palatino Linotype"/>
          <w:b/>
          <w:i/>
          <w:lang w:val="es-ES_tradnl"/>
        </w:rPr>
        <w:t>(Sic)</w:t>
      </w:r>
    </w:p>
    <w:p w14:paraId="40520048" w14:textId="77777777" w:rsidR="00425592" w:rsidRPr="009E63DA" w:rsidRDefault="00425592" w:rsidP="00425592">
      <w:pPr>
        <w:spacing w:line="360" w:lineRule="auto"/>
        <w:jc w:val="both"/>
        <w:rPr>
          <w:rFonts w:ascii="Palatino Linotype" w:hAnsi="Palatino Linotype" w:cs="Arial"/>
          <w:noProof/>
          <w:color w:val="000000"/>
          <w:lang w:eastAsia="es-MX"/>
        </w:rPr>
      </w:pPr>
    </w:p>
    <w:p w14:paraId="24E19802" w14:textId="77777777" w:rsidR="00425592" w:rsidRPr="009E63DA" w:rsidRDefault="00425592" w:rsidP="00425592">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colmó el derecho de acceso a la información ejercido por el particular. </w:t>
      </w:r>
    </w:p>
    <w:p w14:paraId="7D9153FF" w14:textId="77777777" w:rsidR="00425592" w:rsidRDefault="00425592" w:rsidP="0042559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B506495" w14:textId="77777777" w:rsidR="00425592" w:rsidRPr="009E63DA" w:rsidRDefault="00425592" w:rsidP="00425592">
      <w:pPr>
        <w:spacing w:line="360" w:lineRule="auto"/>
        <w:jc w:val="both"/>
        <w:rPr>
          <w:rFonts w:ascii="Palatino Linotype" w:hAnsi="Palatino Linotype"/>
        </w:rPr>
      </w:pPr>
      <w:r w:rsidRPr="009E63DA">
        <w:rPr>
          <w:rFonts w:ascii="Palatino Linotype" w:hAnsi="Palatino Linotype"/>
        </w:rPr>
        <w:t xml:space="preserve">En mérito de lo expuesto en líneas anteriores, resultan 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 xml:space="preserve">CONFIRMA </w:t>
      </w:r>
      <w:r w:rsidRPr="009E63DA">
        <w:rPr>
          <w:rFonts w:ascii="Palatino Linotype" w:hAnsi="Palatino Linotype"/>
        </w:rPr>
        <w:t xml:space="preserve">la respuesta a la solicitud de información número </w:t>
      </w:r>
      <w:r>
        <w:rPr>
          <w:rFonts w:ascii="Palatino Linotype" w:hAnsi="Palatino Linotype"/>
          <w:b/>
        </w:rPr>
        <w:t xml:space="preserve">00170/MEXICAL/IP/2024 </w:t>
      </w:r>
      <w:r w:rsidRPr="009E63DA">
        <w:rPr>
          <w:rFonts w:ascii="Palatino Linotype" w:hAnsi="Palatino Linotype"/>
        </w:rPr>
        <w:t xml:space="preserve">que ha sido materia del presente fallo. </w:t>
      </w:r>
    </w:p>
    <w:p w14:paraId="662F8736" w14:textId="77777777" w:rsidR="00425592" w:rsidRPr="009E63DA" w:rsidRDefault="00425592" w:rsidP="00425592">
      <w:pPr>
        <w:tabs>
          <w:tab w:val="left" w:pos="709"/>
        </w:tabs>
        <w:spacing w:before="240"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14:paraId="48630FB6" w14:textId="77777777" w:rsidR="00425592" w:rsidRPr="009E63DA" w:rsidRDefault="00425592" w:rsidP="00425592">
      <w:pPr>
        <w:spacing w:line="360" w:lineRule="auto"/>
        <w:jc w:val="both"/>
        <w:rPr>
          <w:rFonts w:ascii="Palatino Linotype" w:hAnsi="Palatino Linotype"/>
        </w:rPr>
      </w:pPr>
    </w:p>
    <w:p w14:paraId="1B5EA4F1" w14:textId="77777777" w:rsidR="00425592" w:rsidRPr="009E63DA" w:rsidRDefault="00425592" w:rsidP="00425592">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14:paraId="18EA73A4" w14:textId="77777777" w:rsidR="00425592" w:rsidRPr="009E63DA" w:rsidRDefault="00425592" w:rsidP="00425592">
      <w:pPr>
        <w:autoSpaceDE w:val="0"/>
        <w:autoSpaceDN w:val="0"/>
        <w:adjustRightInd w:val="0"/>
        <w:spacing w:line="360" w:lineRule="auto"/>
        <w:ind w:right="49"/>
        <w:jc w:val="both"/>
        <w:rPr>
          <w:rFonts w:ascii="Palatino Linotype" w:hAnsi="Palatino Linotype" w:cs="Arial"/>
          <w:sz w:val="28"/>
          <w:szCs w:val="28"/>
          <w:lang w:val="es-ES_tradnl"/>
        </w:rPr>
      </w:pPr>
    </w:p>
    <w:p w14:paraId="756315FE" w14:textId="77777777" w:rsidR="00425592" w:rsidRPr="009E63DA" w:rsidRDefault="00425592" w:rsidP="00425592">
      <w:pPr>
        <w:spacing w:before="240" w:line="360" w:lineRule="auto"/>
        <w:jc w:val="both"/>
        <w:rPr>
          <w:rFonts w:ascii="Palatino Linotype" w:hAnsi="Palatino Linotype" w:cs="Arial"/>
        </w:rPr>
      </w:pPr>
      <w:r w:rsidRPr="009E63DA">
        <w:rPr>
          <w:rFonts w:ascii="Palatino Linotype" w:hAnsi="Palatino Linotype" w:cs="Arial"/>
          <w:b/>
          <w:sz w:val="28"/>
          <w:szCs w:val="28"/>
          <w:lang w:val="es-ES_tradnl"/>
        </w:rPr>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sidRPr="009E63DA">
        <w:rPr>
          <w:rFonts w:ascii="Palatino Linotype" w:hAnsi="Palatino Linotype" w:cs="Arial"/>
          <w:lang w:val="es-ES_tradnl"/>
        </w:rPr>
        <w:t xml:space="preserve"> </w:t>
      </w:r>
      <w:r w:rsidRPr="009E63DA">
        <w:rPr>
          <w:rFonts w:ascii="Palatino Linotype" w:eastAsia="Arial Unicode MS" w:hAnsi="Palatino Linotype" w:cs="Arial"/>
        </w:rPr>
        <w:t xml:space="preserve">la respuesta entregada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 xml:space="preserve">a la solicitud de información número </w:t>
      </w:r>
      <w:r>
        <w:rPr>
          <w:rFonts w:ascii="Palatino Linotype" w:hAnsi="Palatino Linotype"/>
          <w:b/>
        </w:rPr>
        <w:t>00170/MEXICAL/IP/2024</w:t>
      </w:r>
      <w:r w:rsidRPr="009E63DA">
        <w:rPr>
          <w:rFonts w:ascii="Palatino Linotype" w:hAnsi="Palatino Linotype"/>
          <w:b/>
        </w:rPr>
        <w:t xml:space="preserve">, </w:t>
      </w:r>
      <w:r w:rsidRPr="009E63DA">
        <w:rPr>
          <w:rFonts w:ascii="Palatino Linotype" w:eastAsia="Arial Unicode MS" w:hAnsi="Palatino Linotype" w:cs="Arial"/>
        </w:rPr>
        <w:t xml:space="preserve">por resultar 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14:paraId="754FB30C" w14:textId="77777777" w:rsidR="00425592" w:rsidRPr="009E63DA" w:rsidRDefault="00425592" w:rsidP="00425592">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lastRenderedPageBreak/>
        <w:t>SEGUNDO.</w:t>
      </w:r>
      <w:r w:rsidRPr="009E63DA">
        <w:rPr>
          <w:rFonts w:ascii="Palatino Linotype" w:hAnsi="Palatino Linotype" w:cs="Arial"/>
          <w:b/>
        </w:rPr>
        <w:t xml:space="preserve"> Notifíquese</w:t>
      </w:r>
      <w:r w:rsidRPr="009E63DA">
        <w:rPr>
          <w:rFonts w:ascii="Palatino Linotype" w:hAnsi="Palatino Linotype" w:cs="Arial"/>
          <w:b/>
          <w:i/>
        </w:rPr>
        <w:t xml:space="preserve"> </w:t>
      </w:r>
      <w:r w:rsidRPr="009E63DA">
        <w:rPr>
          <w:rFonts w:ascii="Palatino Linotype" w:hAnsi="Palatino Linotype" w:cs="Arial"/>
        </w:rPr>
        <w:t xml:space="preserve">la presente resolución al Titular de la Unidad de Transparencia del </w:t>
      </w:r>
      <w:r w:rsidRPr="009E63DA">
        <w:rPr>
          <w:rFonts w:ascii="Palatino Linotype" w:hAnsi="Palatino Linotype" w:cs="Arial"/>
          <w:b/>
        </w:rPr>
        <w:t xml:space="preserve">SUJETO OBLIGADO </w:t>
      </w:r>
      <w:r w:rsidRPr="009E63DA">
        <w:rPr>
          <w:rFonts w:ascii="Palatino Linotype" w:hAnsi="Palatino Linotype" w:cs="Arial"/>
        </w:rPr>
        <w:t xml:space="preserve">a través del Sistema de Acceso a la Información Mexiquense </w:t>
      </w:r>
      <w:r w:rsidRPr="009E63DA">
        <w:rPr>
          <w:rFonts w:ascii="Palatino Linotype" w:hAnsi="Palatino Linotype" w:cs="Arial"/>
          <w:b/>
        </w:rPr>
        <w:t>(SAIMEX).</w:t>
      </w:r>
      <w:r>
        <w:rPr>
          <w:rFonts w:ascii="Palatino Linotype" w:hAnsi="Palatino Linotype" w:cs="Arial"/>
          <w:b/>
        </w:rPr>
        <w:t xml:space="preserve">  </w:t>
      </w:r>
    </w:p>
    <w:p w14:paraId="0D94C448" w14:textId="77777777" w:rsidR="00425592" w:rsidRPr="009E63DA" w:rsidRDefault="00425592" w:rsidP="00425592">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TERCERO</w:t>
      </w:r>
      <w:r w:rsidRPr="009E63DA">
        <w:rPr>
          <w:rFonts w:ascii="Palatino Linotype" w:hAnsi="Palatino Linotype" w:cs="Arial"/>
          <w:sz w:val="28"/>
          <w:szCs w:val="28"/>
        </w:rPr>
        <w:t>.</w:t>
      </w:r>
      <w:r w:rsidRPr="009E63DA">
        <w:rPr>
          <w:rFonts w:ascii="Palatino Linotype" w:hAnsi="Palatino Linotype" w:cs="Arial"/>
        </w:rPr>
        <w:t xml:space="preserve"> </w:t>
      </w:r>
      <w:r w:rsidRPr="009E63DA">
        <w:rPr>
          <w:rFonts w:ascii="Palatino Linotype" w:hAnsi="Palatino Linotype" w:cs="Arial"/>
          <w:b/>
          <w:bCs/>
          <w:color w:val="222222"/>
          <w:shd w:val="clear" w:color="auto" w:fill="FFFFFF"/>
        </w:rPr>
        <w:t>Notifíquese</w:t>
      </w:r>
      <w:r w:rsidRPr="009E63DA">
        <w:rPr>
          <w:rFonts w:ascii="Palatino Linotype" w:hAnsi="Palatino Linotype" w:cs="Arial"/>
        </w:rPr>
        <w:t xml:space="preserve"> la presente resolución </w:t>
      </w:r>
      <w:r>
        <w:rPr>
          <w:rFonts w:ascii="Palatino Linotype" w:hAnsi="Palatino Linotype" w:cs="Arial"/>
        </w:rPr>
        <w:t xml:space="preserve">a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a través del Sistema de Acceso a la Información Mexiquense </w:t>
      </w:r>
      <w:r>
        <w:rPr>
          <w:rFonts w:ascii="Palatino Linotype" w:hAnsi="Palatino Linotype" w:cs="Arial"/>
          <w:b/>
        </w:rPr>
        <w:t>(SAIMEX).</w:t>
      </w:r>
    </w:p>
    <w:p w14:paraId="1F3AA772" w14:textId="77777777" w:rsidR="00425592" w:rsidRDefault="00425592" w:rsidP="00425592">
      <w:pPr>
        <w:autoSpaceDE w:val="0"/>
        <w:autoSpaceDN w:val="0"/>
        <w:adjustRightInd w:val="0"/>
        <w:spacing w:before="240" w:line="360" w:lineRule="auto"/>
        <w:jc w:val="both"/>
        <w:rPr>
          <w:rFonts w:ascii="Palatino Linotype" w:hAnsi="Palatino Linotype" w:cs="Arial"/>
        </w:rPr>
      </w:pPr>
      <w:r w:rsidRPr="009E63DA">
        <w:rPr>
          <w:rFonts w:ascii="Palatino Linotype" w:hAnsi="Palatino Linotype" w:cs="Arial"/>
          <w:b/>
          <w:sz w:val="28"/>
          <w:szCs w:val="28"/>
        </w:rPr>
        <w:t xml:space="preserve">CUARTO. </w:t>
      </w:r>
      <w:r>
        <w:rPr>
          <w:rFonts w:ascii="Palatino Linotype" w:hAnsi="Palatino Linotype" w:cs="Arial"/>
        </w:rPr>
        <w:t xml:space="preserve">Se hace del conocimiento de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2836771D" w14:textId="77777777" w:rsidR="006131A1" w:rsidRPr="007C3942" w:rsidRDefault="006131A1" w:rsidP="006131A1">
      <w:pPr>
        <w:spacing w:line="360" w:lineRule="auto"/>
        <w:jc w:val="both"/>
        <w:rPr>
          <w:rFonts w:ascii="Palatino Linotype" w:hAnsi="Palatino Linotype"/>
          <w:lang w:eastAsia="es-ES_tradnl"/>
        </w:rPr>
      </w:pPr>
    </w:p>
    <w:p w14:paraId="0D14A831" w14:textId="3F422B3A" w:rsidR="006131A1" w:rsidRPr="00A151D0" w:rsidRDefault="006131A1" w:rsidP="0013315A">
      <w:pPr>
        <w:spacing w:line="360" w:lineRule="auto"/>
        <w:jc w:val="both"/>
        <w:rPr>
          <w:rFonts w:ascii="Palatino Linotype" w:hAnsi="Palatino Linotype" w:cs="Arial"/>
          <w:sz w:val="20"/>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SEGUNDA </w:t>
      </w:r>
      <w:r w:rsidRPr="007C3942">
        <w:rPr>
          <w:rFonts w:ascii="Palatino Linotype" w:hAnsi="Palatino Linotype" w:cs="Arial"/>
        </w:rPr>
        <w:t>SESIÓN ORDINARIA CELEBRADA EL</w:t>
      </w:r>
      <w:r>
        <w:rPr>
          <w:rFonts w:ascii="Palatino Linotype" w:hAnsi="Palatino Linotype" w:cs="Arial"/>
        </w:rPr>
        <w:t xml:space="preserve"> VEINTIDÓS DE ENERO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13315A">
        <w:rPr>
          <w:rFonts w:ascii="Palatino Linotype" w:hAnsi="Palatino Linotype" w:cs="Arial"/>
        </w:rPr>
        <w:t>---------------------------------------------------------------------------------------------------------------</w:t>
      </w:r>
    </w:p>
    <w:p w14:paraId="6C8517C5" w14:textId="77777777" w:rsidR="006131A1" w:rsidRPr="00E23C8F" w:rsidRDefault="006131A1" w:rsidP="006131A1">
      <w:pPr>
        <w:spacing w:line="360" w:lineRule="auto"/>
        <w:jc w:val="both"/>
        <w:rPr>
          <w:rFonts w:ascii="Palatino Linotype" w:hAnsi="Palatino Linotype" w:cs="Arial"/>
          <w:sz w:val="16"/>
        </w:rPr>
      </w:pPr>
      <w:r>
        <w:rPr>
          <w:rFonts w:ascii="Palatino Linotype" w:hAnsi="Palatino Linotype" w:cs="Arial"/>
          <w:sz w:val="16"/>
        </w:rPr>
        <w:t>JMV/CCR/</w:t>
      </w:r>
      <w:r w:rsidR="00825749">
        <w:rPr>
          <w:rFonts w:ascii="Palatino Linotype" w:hAnsi="Palatino Linotype" w:cs="Arial"/>
          <w:sz w:val="16"/>
        </w:rPr>
        <w:t>LMST</w:t>
      </w:r>
    </w:p>
    <w:p w14:paraId="48EDD4B4" w14:textId="77777777" w:rsidR="006131A1" w:rsidRDefault="006131A1" w:rsidP="006131A1"/>
    <w:p w14:paraId="6705EC35" w14:textId="77777777" w:rsidR="006131A1" w:rsidRDefault="006131A1" w:rsidP="006131A1"/>
    <w:p w14:paraId="69439FE4" w14:textId="77777777" w:rsidR="006131A1" w:rsidRDefault="006131A1" w:rsidP="006131A1"/>
    <w:p w14:paraId="6259EA95" w14:textId="77777777" w:rsidR="006131A1" w:rsidRDefault="006131A1" w:rsidP="006131A1"/>
    <w:p w14:paraId="2E894087" w14:textId="77777777" w:rsidR="006131A1" w:rsidRDefault="006131A1" w:rsidP="006131A1"/>
    <w:p w14:paraId="627D522F" w14:textId="77777777" w:rsidR="006131A1" w:rsidRDefault="006131A1" w:rsidP="006131A1"/>
    <w:p w14:paraId="7CC6B86D" w14:textId="77777777" w:rsidR="006131A1" w:rsidRDefault="006131A1" w:rsidP="006131A1"/>
    <w:p w14:paraId="6E9E2841" w14:textId="77777777" w:rsidR="006131A1" w:rsidRDefault="006131A1" w:rsidP="006131A1"/>
    <w:p w14:paraId="447B2CCA" w14:textId="77777777" w:rsidR="006131A1" w:rsidRDefault="006131A1" w:rsidP="006131A1"/>
    <w:p w14:paraId="44721FDE" w14:textId="77777777" w:rsidR="006131A1" w:rsidRDefault="006131A1" w:rsidP="006131A1"/>
    <w:p w14:paraId="693D635C" w14:textId="77777777" w:rsidR="006131A1" w:rsidRDefault="006131A1" w:rsidP="006131A1"/>
    <w:p w14:paraId="7319A6D9" w14:textId="77777777" w:rsidR="006131A1" w:rsidRDefault="006131A1" w:rsidP="006131A1"/>
    <w:p w14:paraId="3A22B849" w14:textId="77777777" w:rsidR="006131A1" w:rsidRDefault="006131A1" w:rsidP="006131A1"/>
    <w:p w14:paraId="6104A042" w14:textId="77777777" w:rsidR="006131A1" w:rsidRDefault="006131A1" w:rsidP="006131A1"/>
    <w:p w14:paraId="0984F8B8" w14:textId="77777777" w:rsidR="006131A1" w:rsidRDefault="006131A1" w:rsidP="006131A1"/>
    <w:p w14:paraId="4D465E2B" w14:textId="77777777" w:rsidR="006131A1" w:rsidRDefault="006131A1" w:rsidP="006131A1"/>
    <w:p w14:paraId="1F9781B9" w14:textId="77777777" w:rsidR="006131A1" w:rsidRDefault="006131A1" w:rsidP="006131A1"/>
    <w:p w14:paraId="1258517A" w14:textId="77777777" w:rsidR="006131A1" w:rsidRDefault="006131A1" w:rsidP="006131A1"/>
    <w:p w14:paraId="613A82CB" w14:textId="77777777" w:rsidR="006131A1" w:rsidRDefault="006131A1" w:rsidP="006131A1"/>
    <w:p w14:paraId="1CB89EE8" w14:textId="77777777" w:rsidR="006131A1" w:rsidRDefault="006131A1" w:rsidP="006131A1"/>
    <w:p w14:paraId="71B4F91A" w14:textId="77777777" w:rsidR="006131A1" w:rsidRDefault="006131A1" w:rsidP="006131A1"/>
    <w:p w14:paraId="46C55DF2" w14:textId="77777777" w:rsidR="006131A1" w:rsidRDefault="006131A1" w:rsidP="006131A1"/>
    <w:p w14:paraId="1CB1DE5D" w14:textId="77777777" w:rsidR="006131A1" w:rsidRDefault="006131A1" w:rsidP="006131A1"/>
    <w:p w14:paraId="6EAC5A44" w14:textId="77777777" w:rsidR="008727E4" w:rsidRDefault="008727E4"/>
    <w:sectPr w:rsidR="008727E4" w:rsidSect="007D7317">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2DA39" w14:textId="77777777" w:rsidR="006131A1" w:rsidRDefault="006131A1" w:rsidP="006131A1">
      <w:r>
        <w:separator/>
      </w:r>
    </w:p>
  </w:endnote>
  <w:endnote w:type="continuationSeparator" w:id="0">
    <w:p w14:paraId="10F4E3D3" w14:textId="77777777" w:rsidR="006131A1" w:rsidRDefault="006131A1" w:rsidP="0061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CD5A" w14:textId="77777777" w:rsidR="0013315A" w:rsidRPr="00A2780F" w:rsidRDefault="00425592" w:rsidP="007D731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10853">
      <w:rPr>
        <w:rFonts w:ascii="Arial" w:hAnsi="Arial" w:cs="Arial"/>
        <w:b/>
        <w:bCs/>
        <w:noProof/>
        <w:sz w:val="20"/>
        <w:szCs w:val="20"/>
      </w:rPr>
      <w:t>20</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10853">
      <w:rPr>
        <w:rFonts w:ascii="Arial" w:hAnsi="Arial" w:cs="Arial"/>
        <w:b/>
        <w:bCs/>
        <w:noProof/>
        <w:sz w:val="20"/>
        <w:szCs w:val="20"/>
      </w:rPr>
      <w:t>20</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4A6DC" w14:textId="77777777" w:rsidR="0013315A" w:rsidRPr="00070856" w:rsidRDefault="00425592" w:rsidP="007D731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10853">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10853">
      <w:rPr>
        <w:rFonts w:ascii="Arial" w:hAnsi="Arial" w:cs="Arial"/>
        <w:b/>
        <w:bCs/>
        <w:noProof/>
        <w:sz w:val="20"/>
        <w:szCs w:val="20"/>
      </w:rPr>
      <w:t>20</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D6EBC" w14:textId="77777777" w:rsidR="006131A1" w:rsidRDefault="006131A1" w:rsidP="006131A1">
      <w:r>
        <w:separator/>
      </w:r>
    </w:p>
  </w:footnote>
  <w:footnote w:type="continuationSeparator" w:id="0">
    <w:p w14:paraId="2D3B760D" w14:textId="77777777" w:rsidR="006131A1" w:rsidRDefault="006131A1" w:rsidP="006131A1">
      <w:r>
        <w:continuationSeparator/>
      </w:r>
    </w:p>
  </w:footnote>
  <w:footnote w:id="1">
    <w:p w14:paraId="4E848C9D" w14:textId="77777777" w:rsidR="006131A1" w:rsidRPr="005552A8" w:rsidRDefault="006131A1" w:rsidP="006131A1">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E134D96" w14:textId="77777777" w:rsidR="006131A1" w:rsidRPr="005552A8" w:rsidRDefault="006131A1" w:rsidP="006131A1">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9463E5" w:rsidRPr="008F2CCC" w14:paraId="479A5D10" w14:textId="77777777" w:rsidTr="007D7317">
      <w:tc>
        <w:tcPr>
          <w:tcW w:w="3620" w:type="dxa"/>
          <w:shd w:val="clear" w:color="auto" w:fill="auto"/>
        </w:tcPr>
        <w:p w14:paraId="0A84C283" w14:textId="77777777" w:rsidR="0013315A" w:rsidRPr="007E5FC4" w:rsidRDefault="00425592" w:rsidP="007D731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2226DA88" w14:textId="4D9E1763" w:rsidR="0013315A" w:rsidRPr="00664658" w:rsidRDefault="0013315A" w:rsidP="007D731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6131A1">
            <w:rPr>
              <w:rFonts w:ascii="Palatino Linotype" w:hAnsi="Palatino Linotype"/>
              <w:b/>
              <w:sz w:val="22"/>
              <w:szCs w:val="22"/>
              <w:lang w:val="es-ES_tradnl"/>
            </w:rPr>
            <w:t>7640</w:t>
          </w:r>
          <w:r w:rsidR="00425592">
            <w:rPr>
              <w:rFonts w:ascii="Palatino Linotype" w:hAnsi="Palatino Linotype"/>
              <w:b/>
              <w:sz w:val="22"/>
              <w:szCs w:val="22"/>
              <w:lang w:val="es-ES_tradnl"/>
            </w:rPr>
            <w:t>/INFOEM/IP/RR/2024</w:t>
          </w:r>
        </w:p>
      </w:tc>
    </w:tr>
    <w:tr w:rsidR="009463E5" w:rsidRPr="008F2CCC" w14:paraId="1813EA09" w14:textId="77777777" w:rsidTr="007D7317">
      <w:tc>
        <w:tcPr>
          <w:tcW w:w="3620" w:type="dxa"/>
          <w:shd w:val="clear" w:color="auto" w:fill="auto"/>
        </w:tcPr>
        <w:p w14:paraId="07F0F77F" w14:textId="77777777" w:rsidR="0013315A" w:rsidRPr="007E5FC4" w:rsidRDefault="00425592" w:rsidP="007D731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42537DF5" w14:textId="77777777" w:rsidR="0013315A" w:rsidRPr="00664658" w:rsidRDefault="00425592" w:rsidP="007D7317">
          <w:pPr>
            <w:spacing w:line="276" w:lineRule="auto"/>
            <w:jc w:val="right"/>
            <w:rPr>
              <w:rFonts w:ascii="Palatino Linotype" w:hAnsi="Palatino Linotype"/>
              <w:b/>
              <w:sz w:val="22"/>
              <w:szCs w:val="22"/>
              <w:lang w:val="es-ES_tradnl"/>
            </w:rPr>
          </w:pPr>
          <w:r w:rsidRPr="00C14D07">
            <w:rPr>
              <w:rFonts w:ascii="Palatino Linotype" w:hAnsi="Palatino Linotype"/>
              <w:b/>
              <w:sz w:val="22"/>
              <w:szCs w:val="22"/>
            </w:rPr>
            <w:t>Ayuntamiento de Mexicaltzingo</w:t>
          </w:r>
        </w:p>
      </w:tc>
    </w:tr>
    <w:tr w:rsidR="009463E5" w:rsidRPr="008F2CCC" w14:paraId="3EE3C209" w14:textId="77777777" w:rsidTr="007D7317">
      <w:trPr>
        <w:trHeight w:val="228"/>
      </w:trPr>
      <w:tc>
        <w:tcPr>
          <w:tcW w:w="3620" w:type="dxa"/>
          <w:shd w:val="clear" w:color="auto" w:fill="auto"/>
        </w:tcPr>
        <w:p w14:paraId="4F06206E" w14:textId="77777777" w:rsidR="0013315A" w:rsidRPr="007E5FC4" w:rsidRDefault="00425592" w:rsidP="007D731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3916E88A" w14:textId="77777777" w:rsidR="0013315A" w:rsidRPr="00664658" w:rsidRDefault="00425592" w:rsidP="007D731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4297AD2F" w14:textId="77777777" w:rsidR="0013315A" w:rsidRDefault="0013315A" w:rsidP="007D7317">
    <w:pPr>
      <w:pStyle w:val="Encabezado"/>
      <w:tabs>
        <w:tab w:val="clear" w:pos="4252"/>
        <w:tab w:val="clear" w:pos="8504"/>
        <w:tab w:val="left" w:pos="2326"/>
      </w:tabs>
      <w:rPr>
        <w:rFonts w:ascii="Palatino Linotype" w:hAnsi="Palatino Linotype"/>
        <w:sz w:val="20"/>
      </w:rPr>
    </w:pPr>
  </w:p>
  <w:p w14:paraId="4FDBBCB7" w14:textId="77777777" w:rsidR="0013315A" w:rsidRPr="001779E0" w:rsidRDefault="00425592" w:rsidP="007D7317">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F8346B8" wp14:editId="5A3CDBF5">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9463E5" w:rsidRPr="008F2CCC" w14:paraId="73DCB1C6" w14:textId="77777777" w:rsidTr="007D7317">
      <w:tc>
        <w:tcPr>
          <w:tcW w:w="2977" w:type="dxa"/>
          <w:shd w:val="clear" w:color="auto" w:fill="auto"/>
        </w:tcPr>
        <w:p w14:paraId="74560AD5" w14:textId="77777777" w:rsidR="0013315A" w:rsidRPr="007E5FC4" w:rsidRDefault="00425592" w:rsidP="007D731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23EA7023" w14:textId="6B94FC40" w:rsidR="0013315A" w:rsidRPr="008F2CCC" w:rsidRDefault="0013315A" w:rsidP="007D731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6131A1">
            <w:rPr>
              <w:rFonts w:ascii="Palatino Linotype" w:hAnsi="Palatino Linotype"/>
              <w:b/>
              <w:sz w:val="22"/>
              <w:szCs w:val="22"/>
              <w:lang w:val="es-ES_tradnl"/>
            </w:rPr>
            <w:t>7640</w:t>
          </w:r>
          <w:r w:rsidR="00425592">
            <w:rPr>
              <w:rFonts w:ascii="Palatino Linotype" w:hAnsi="Palatino Linotype"/>
              <w:b/>
              <w:sz w:val="22"/>
              <w:szCs w:val="22"/>
              <w:lang w:val="es-ES_tradnl"/>
            </w:rPr>
            <w:t>/INFOEM/IP/RR/2024</w:t>
          </w:r>
        </w:p>
      </w:tc>
    </w:tr>
    <w:tr w:rsidR="009463E5" w:rsidRPr="008F2CCC" w14:paraId="209C988D" w14:textId="77777777" w:rsidTr="007D7317">
      <w:tc>
        <w:tcPr>
          <w:tcW w:w="2977" w:type="dxa"/>
          <w:shd w:val="clear" w:color="auto" w:fill="auto"/>
          <w:vAlign w:val="center"/>
        </w:tcPr>
        <w:p w14:paraId="749CE892" w14:textId="77777777" w:rsidR="0013315A" w:rsidRPr="007E5FC4" w:rsidRDefault="00425592" w:rsidP="007D731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42931BC1" w14:textId="0E026DB3" w:rsidR="0013315A" w:rsidRPr="008F2CCC" w:rsidRDefault="00310853" w:rsidP="007D731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XXXXXXXXXXXXXXXXXXX</w:t>
          </w:r>
        </w:p>
      </w:tc>
    </w:tr>
    <w:tr w:rsidR="009463E5" w:rsidRPr="008F2CCC" w14:paraId="2105CE1A" w14:textId="77777777" w:rsidTr="007D7317">
      <w:trPr>
        <w:trHeight w:val="228"/>
      </w:trPr>
      <w:tc>
        <w:tcPr>
          <w:tcW w:w="2977" w:type="dxa"/>
          <w:shd w:val="clear" w:color="auto" w:fill="auto"/>
        </w:tcPr>
        <w:p w14:paraId="3295201B" w14:textId="77777777" w:rsidR="0013315A" w:rsidRPr="007E5FC4" w:rsidRDefault="00425592" w:rsidP="007D731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1DFD7F35" w14:textId="77777777" w:rsidR="0013315A" w:rsidRPr="00DC41C8" w:rsidRDefault="00425592" w:rsidP="007D7317">
          <w:pPr>
            <w:spacing w:line="360" w:lineRule="auto"/>
            <w:jc w:val="right"/>
            <w:rPr>
              <w:rFonts w:ascii="Palatino Linotype" w:hAnsi="Palatino Linotype"/>
              <w:b/>
              <w:sz w:val="22"/>
              <w:szCs w:val="22"/>
            </w:rPr>
          </w:pPr>
          <w:r w:rsidRPr="00C14D07">
            <w:rPr>
              <w:rFonts w:ascii="Palatino Linotype" w:hAnsi="Palatino Linotype"/>
              <w:b/>
              <w:sz w:val="22"/>
              <w:szCs w:val="22"/>
            </w:rPr>
            <w:t>Ayuntamiento de Mexicaltzingo</w:t>
          </w:r>
        </w:p>
      </w:tc>
    </w:tr>
    <w:tr w:rsidR="009463E5" w:rsidRPr="008F2CCC" w14:paraId="7ACBDBA2" w14:textId="77777777" w:rsidTr="007D7317">
      <w:tc>
        <w:tcPr>
          <w:tcW w:w="2977" w:type="dxa"/>
          <w:shd w:val="clear" w:color="auto" w:fill="auto"/>
        </w:tcPr>
        <w:p w14:paraId="76C0779C" w14:textId="77777777" w:rsidR="0013315A" w:rsidRPr="007E5FC4" w:rsidRDefault="00425592" w:rsidP="007D731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50B99667" w14:textId="77777777" w:rsidR="0013315A" w:rsidRPr="008F2CCC" w:rsidRDefault="00425592" w:rsidP="007D731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79B5DD78" w14:textId="77777777" w:rsidR="0013315A" w:rsidRPr="009F1AB6" w:rsidRDefault="00425592">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BCF1B0C" wp14:editId="034D7B6C">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E5D0D2B"/>
    <w:multiLevelType w:val="hybridMultilevel"/>
    <w:tmpl w:val="E332A364"/>
    <w:lvl w:ilvl="0" w:tplc="F350FD1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F2A7657"/>
    <w:multiLevelType w:val="hybridMultilevel"/>
    <w:tmpl w:val="8E7EFD0A"/>
    <w:lvl w:ilvl="0" w:tplc="21FC489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8C1EAA"/>
    <w:multiLevelType w:val="hybridMultilevel"/>
    <w:tmpl w:val="5ACEF55E"/>
    <w:lvl w:ilvl="0" w:tplc="71B00AE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7CB1D2D"/>
    <w:multiLevelType w:val="hybridMultilevel"/>
    <w:tmpl w:val="534292AC"/>
    <w:lvl w:ilvl="0" w:tplc="35AECEE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4"/>
  </w:num>
  <w:num w:numId="3">
    <w:abstractNumId w:val="1"/>
  </w:num>
  <w:num w:numId="4">
    <w:abstractNumId w:val="8"/>
  </w:num>
  <w:num w:numId="5">
    <w:abstractNumId w:val="2"/>
  </w:num>
  <w:num w:numId="6">
    <w:abstractNumId w:val="5"/>
  </w:num>
  <w:num w:numId="7">
    <w:abstractNumId w:val="9"/>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A1"/>
    <w:rsid w:val="00037F2B"/>
    <w:rsid w:val="000E31EC"/>
    <w:rsid w:val="0013315A"/>
    <w:rsid w:val="00310853"/>
    <w:rsid w:val="00425592"/>
    <w:rsid w:val="00432D2E"/>
    <w:rsid w:val="006131A1"/>
    <w:rsid w:val="00825749"/>
    <w:rsid w:val="008727E4"/>
    <w:rsid w:val="00941653"/>
    <w:rsid w:val="00AA6B1B"/>
    <w:rsid w:val="00B36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745A1"/>
  <w15:chartTrackingRefBased/>
  <w15:docId w15:val="{27AF62E5-2303-44CC-A37E-A65808A1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1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31A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131A1"/>
    <w:rPr>
      <w:rFonts w:eastAsiaTheme="minorEastAsia"/>
      <w:sz w:val="24"/>
      <w:szCs w:val="24"/>
      <w:lang w:val="es-ES_tradnl" w:eastAsia="es-ES"/>
    </w:rPr>
  </w:style>
  <w:style w:type="paragraph" w:styleId="Piedepgina">
    <w:name w:val="footer"/>
    <w:basedOn w:val="Normal"/>
    <w:link w:val="PiedepginaCar"/>
    <w:uiPriority w:val="99"/>
    <w:unhideWhenUsed/>
    <w:rsid w:val="006131A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131A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31A1"/>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31A1"/>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6131A1"/>
    <w:pPr>
      <w:spacing w:after="0" w:line="240" w:lineRule="auto"/>
    </w:pPr>
  </w:style>
  <w:style w:type="character" w:customStyle="1" w:styleId="SinespaciadoCar">
    <w:name w:val="Sin espaciado Car"/>
    <w:aliases w:val="Francesa Car,INAI Car"/>
    <w:link w:val="Sinespaciado"/>
    <w:uiPriority w:val="1"/>
    <w:locked/>
    <w:rsid w:val="006131A1"/>
  </w:style>
  <w:style w:type="character" w:styleId="Hipervnculo">
    <w:name w:val="Hyperlink"/>
    <w:aliases w:val="Hipervínculo1,Hipervínculo11,Hipervínculo12,Hipervínculo13,Hipervínculo14,Hipervínculo15"/>
    <w:basedOn w:val="Fuentedeprrafopredeter"/>
    <w:uiPriority w:val="99"/>
    <w:unhideWhenUsed/>
    <w:rsid w:val="006131A1"/>
    <w:rPr>
      <w:color w:val="0563C1" w:themeColor="hyperlink"/>
      <w:u w:val="single"/>
    </w:rPr>
  </w:style>
  <w:style w:type="paragraph" w:customStyle="1" w:styleId="INFOEM">
    <w:name w:val="INFOEM"/>
    <w:basedOn w:val="Normal"/>
    <w:qFormat/>
    <w:rsid w:val="006131A1"/>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6131A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31A1"/>
    <w:rPr>
      <w:vertAlign w:val="superscript"/>
    </w:rPr>
  </w:style>
  <w:style w:type="paragraph" w:customStyle="1" w:styleId="infoemcitas">
    <w:name w:val="infoem citas"/>
    <w:basedOn w:val="Normal"/>
    <w:qFormat/>
    <w:rsid w:val="006131A1"/>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61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6131A1"/>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20</Pages>
  <Words>4428</Words>
  <Characters>24360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7</cp:revision>
  <dcterms:created xsi:type="dcterms:W3CDTF">2025-01-14T21:38:00Z</dcterms:created>
  <dcterms:modified xsi:type="dcterms:W3CDTF">2025-01-29T00:06:00Z</dcterms:modified>
</cp:coreProperties>
</file>