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6E47D" w14:textId="77777777" w:rsidR="00113961" w:rsidRDefault="00113961">
      <w:pPr>
        <w:widowControl w:val="0"/>
        <w:pBdr>
          <w:top w:val="nil"/>
          <w:left w:val="nil"/>
          <w:bottom w:val="nil"/>
          <w:right w:val="nil"/>
          <w:between w:val="nil"/>
        </w:pBdr>
        <w:spacing w:after="0" w:line="276" w:lineRule="auto"/>
        <w:jc w:val="left"/>
      </w:pPr>
    </w:p>
    <w:p w14:paraId="01A84D9B" w14:textId="77777777" w:rsidR="00113961" w:rsidRDefault="00113961">
      <w:pPr>
        <w:widowControl w:val="0"/>
        <w:pBdr>
          <w:top w:val="nil"/>
          <w:left w:val="nil"/>
          <w:bottom w:val="nil"/>
          <w:right w:val="nil"/>
          <w:between w:val="nil"/>
        </w:pBdr>
        <w:spacing w:after="0" w:line="276" w:lineRule="auto"/>
        <w:jc w:val="left"/>
      </w:pPr>
    </w:p>
    <w:p w14:paraId="30B5DDA5" w14:textId="77777777" w:rsidR="00113961" w:rsidRDefault="008765D5">
      <w:pPr>
        <w:keepNext/>
        <w:keepLines/>
        <w:pBdr>
          <w:top w:val="nil"/>
          <w:left w:val="nil"/>
          <w:bottom w:val="nil"/>
          <w:right w:val="nil"/>
          <w:between w:val="nil"/>
        </w:pBdr>
        <w:spacing w:after="0" w:line="360" w:lineRule="auto"/>
        <w:jc w:val="center"/>
        <w:rPr>
          <w:color w:val="000000"/>
        </w:rPr>
      </w:pPr>
      <w:r>
        <w:rPr>
          <w:color w:val="000000"/>
        </w:rPr>
        <w:t>RESOLUCIÓN DEL RECURSO DE REVISIÓN 11356/INFOEM/IP/RR/2025</w:t>
      </w:r>
    </w:p>
    <w:p w14:paraId="4C04CE78" w14:textId="77777777" w:rsidR="00113961" w:rsidRDefault="00113961">
      <w:pPr>
        <w:spacing w:after="0" w:line="360" w:lineRule="auto"/>
      </w:pPr>
    </w:p>
    <w:p w14:paraId="6F71BA87" w14:textId="77777777" w:rsidR="00113961" w:rsidRDefault="00113961">
      <w:pPr>
        <w:pBdr>
          <w:top w:val="nil"/>
          <w:left w:val="nil"/>
          <w:bottom w:val="nil"/>
          <w:right w:val="nil"/>
          <w:between w:val="nil"/>
        </w:pBdr>
        <w:jc w:val="left"/>
        <w:rPr>
          <w:color w:val="000000"/>
        </w:rPr>
      </w:pPr>
    </w:p>
    <w:sdt>
      <w:sdtPr>
        <w:id w:val="-534202965"/>
        <w:docPartObj>
          <w:docPartGallery w:val="Table of Contents"/>
          <w:docPartUnique/>
        </w:docPartObj>
      </w:sdtPr>
      <w:sdtContent>
        <w:p w14:paraId="790DC8F9" w14:textId="77777777" w:rsidR="00113961" w:rsidRDefault="008765D5">
          <w:pPr>
            <w:pBdr>
              <w:top w:val="nil"/>
              <w:left w:val="nil"/>
              <w:bottom w:val="nil"/>
              <w:right w:val="nil"/>
              <w:between w:val="nil"/>
            </w:pBdr>
            <w:tabs>
              <w:tab w:val="right" w:pos="8921"/>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52kvh6tatu7t">
            <w:r>
              <w:rPr>
                <w:color w:val="000000"/>
              </w:rPr>
              <w:t>A N T E C E D E N T E S</w:t>
            </w:r>
            <w:r>
              <w:rPr>
                <w:color w:val="000000"/>
              </w:rPr>
              <w:tab/>
              <w:t>2</w:t>
            </w:r>
          </w:hyperlink>
        </w:p>
        <w:p w14:paraId="20E3E315"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d73o7wyb32">
            <w:r>
              <w:rPr>
                <w:color w:val="000000"/>
              </w:rPr>
              <w:t>I. Presentación de la solicitud de información</w:t>
            </w:r>
            <w:r>
              <w:rPr>
                <w:color w:val="000000"/>
              </w:rPr>
              <w:tab/>
              <w:t>2</w:t>
            </w:r>
          </w:hyperlink>
        </w:p>
        <w:p w14:paraId="618B6263"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kqpv7x31jxkl">
            <w:r>
              <w:rPr>
                <w:color w:val="000000"/>
              </w:rPr>
              <w:t>II. Respuesta del Sujeto Obligado</w:t>
            </w:r>
            <w:r>
              <w:rPr>
                <w:color w:val="000000"/>
              </w:rPr>
              <w:tab/>
              <w:t>3</w:t>
            </w:r>
          </w:hyperlink>
        </w:p>
        <w:p w14:paraId="3B4A4DED"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yo3s5uroi9j8">
            <w:r>
              <w:rPr>
                <w:color w:val="000000"/>
              </w:rPr>
              <w:t>III. Interposición del Recurso de Revisión</w:t>
            </w:r>
            <w:r>
              <w:rPr>
                <w:color w:val="000000"/>
              </w:rPr>
              <w:tab/>
              <w:t>4</w:t>
            </w:r>
          </w:hyperlink>
        </w:p>
        <w:p w14:paraId="2C9C4E65"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ktjyi51zueeg">
            <w:r>
              <w:rPr>
                <w:color w:val="000000"/>
              </w:rPr>
              <w:t>IV. Trámite del Recurso de Revisión ante este Instituto</w:t>
            </w:r>
            <w:r>
              <w:rPr>
                <w:color w:val="000000"/>
              </w:rPr>
              <w:tab/>
              <w:t>5</w:t>
            </w:r>
          </w:hyperlink>
        </w:p>
        <w:p w14:paraId="0378559B" w14:textId="77777777" w:rsidR="00113961" w:rsidRDefault="008765D5">
          <w:pPr>
            <w:pBdr>
              <w:top w:val="nil"/>
              <w:left w:val="nil"/>
              <w:bottom w:val="nil"/>
              <w:right w:val="nil"/>
              <w:between w:val="nil"/>
            </w:pBdr>
            <w:tabs>
              <w:tab w:val="right" w:pos="8921"/>
            </w:tabs>
            <w:spacing w:after="100"/>
            <w:rPr>
              <w:rFonts w:ascii="Calibri" w:eastAsia="Calibri" w:hAnsi="Calibri" w:cs="Calibri"/>
              <w:color w:val="000000"/>
            </w:rPr>
          </w:pPr>
          <w:hyperlink w:anchor="_heading=h.g434k4fenh3p">
            <w:r>
              <w:rPr>
                <w:color w:val="000000"/>
              </w:rPr>
              <w:t>C O N S I D E R A N D O S</w:t>
            </w:r>
            <w:r>
              <w:rPr>
                <w:color w:val="000000"/>
              </w:rPr>
              <w:tab/>
              <w:t>6</w:t>
            </w:r>
          </w:hyperlink>
        </w:p>
        <w:p w14:paraId="3A78D7C7"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3o3pgyo4cffh">
            <w:r>
              <w:rPr>
                <w:color w:val="000000"/>
              </w:rPr>
              <w:t>PRIMERO. Competencia</w:t>
            </w:r>
            <w:r>
              <w:rPr>
                <w:color w:val="000000"/>
              </w:rPr>
              <w:tab/>
              <w:t>6</w:t>
            </w:r>
          </w:hyperlink>
        </w:p>
        <w:p w14:paraId="48FAB72C"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4gyzpqi5vnmd">
            <w:r>
              <w:rPr>
                <w:color w:val="000000"/>
              </w:rPr>
              <w:t>SEGUNDO. Causales de improcedencia y sobreseimiento</w:t>
            </w:r>
            <w:r>
              <w:rPr>
                <w:color w:val="000000"/>
              </w:rPr>
              <w:tab/>
              <w:t>6</w:t>
            </w:r>
          </w:hyperlink>
        </w:p>
        <w:p w14:paraId="5551F092"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44k479spspc4">
            <w:r>
              <w:rPr>
                <w:color w:val="000000"/>
              </w:rPr>
              <w:t>TERCERO. Determinación de la Controversia</w:t>
            </w:r>
            <w:r>
              <w:rPr>
                <w:color w:val="000000"/>
              </w:rPr>
              <w:tab/>
              <w:t>8</w:t>
            </w:r>
          </w:hyperlink>
        </w:p>
        <w:p w14:paraId="4386E5DC"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e0wkp6iqmto8">
            <w:r>
              <w:rPr>
                <w:color w:val="000000"/>
              </w:rPr>
              <w:t>CUARTO. Marco normativo aplicable en materia de transparencia y acceso a la información pública</w:t>
            </w:r>
            <w:r>
              <w:rPr>
                <w:color w:val="000000"/>
              </w:rPr>
              <w:tab/>
              <w:t>9</w:t>
            </w:r>
          </w:hyperlink>
        </w:p>
        <w:p w14:paraId="292CF414"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tk4ixa8a7l0i">
            <w:r>
              <w:rPr>
                <w:color w:val="000000"/>
              </w:rPr>
              <w:t>QUINTO. Estudio de Fondo</w:t>
            </w:r>
            <w:r>
              <w:rPr>
                <w:color w:val="000000"/>
              </w:rPr>
              <w:tab/>
              <w:t>10</w:t>
            </w:r>
          </w:hyperlink>
        </w:p>
        <w:p w14:paraId="3C9C5DDC" w14:textId="77777777" w:rsidR="00113961" w:rsidRDefault="008765D5">
          <w:pPr>
            <w:pBdr>
              <w:top w:val="nil"/>
              <w:left w:val="nil"/>
              <w:bottom w:val="nil"/>
              <w:right w:val="nil"/>
              <w:between w:val="nil"/>
            </w:pBdr>
            <w:tabs>
              <w:tab w:val="right" w:pos="8921"/>
            </w:tabs>
            <w:spacing w:after="100"/>
            <w:ind w:left="220"/>
            <w:rPr>
              <w:rFonts w:ascii="Calibri" w:eastAsia="Calibri" w:hAnsi="Calibri" w:cs="Calibri"/>
              <w:color w:val="000000"/>
            </w:rPr>
          </w:pPr>
          <w:hyperlink w:anchor="_heading=h.vs2vwuwfhnmk">
            <w:r>
              <w:rPr>
                <w:color w:val="000000"/>
              </w:rPr>
              <w:t>SEXTO. Decisión</w:t>
            </w:r>
            <w:r>
              <w:rPr>
                <w:color w:val="000000"/>
              </w:rPr>
              <w:tab/>
              <w:t>17</w:t>
            </w:r>
          </w:hyperlink>
        </w:p>
        <w:p w14:paraId="55C99C69" w14:textId="77777777" w:rsidR="00113961" w:rsidRDefault="008765D5">
          <w:pPr>
            <w:pBdr>
              <w:top w:val="nil"/>
              <w:left w:val="nil"/>
              <w:bottom w:val="nil"/>
              <w:right w:val="nil"/>
              <w:between w:val="nil"/>
            </w:pBdr>
            <w:tabs>
              <w:tab w:val="right" w:pos="8921"/>
            </w:tabs>
            <w:spacing w:after="100"/>
            <w:rPr>
              <w:rFonts w:ascii="Calibri" w:eastAsia="Calibri" w:hAnsi="Calibri" w:cs="Calibri"/>
              <w:color w:val="000000"/>
            </w:rPr>
          </w:pPr>
          <w:hyperlink w:anchor="_heading=h.h65x934spu6s">
            <w:r>
              <w:rPr>
                <w:color w:val="000000"/>
              </w:rPr>
              <w:t>R E S U E L V E</w:t>
            </w:r>
            <w:r>
              <w:rPr>
                <w:color w:val="000000"/>
              </w:rPr>
              <w:tab/>
              <w:t>18</w:t>
            </w:r>
          </w:hyperlink>
        </w:p>
        <w:p w14:paraId="328239AB" w14:textId="77777777" w:rsidR="00113961" w:rsidRDefault="008765D5">
          <w:r>
            <w:fldChar w:fldCharType="end"/>
          </w:r>
        </w:p>
      </w:sdtContent>
    </w:sdt>
    <w:p w14:paraId="48EB2093" w14:textId="77777777" w:rsidR="00113961" w:rsidRDefault="00113961">
      <w:pPr>
        <w:tabs>
          <w:tab w:val="left" w:pos="8931"/>
        </w:tabs>
        <w:spacing w:after="0" w:line="360" w:lineRule="auto"/>
      </w:pPr>
    </w:p>
    <w:p w14:paraId="7F4D7DDE" w14:textId="77777777" w:rsidR="00113961" w:rsidRDefault="00113961">
      <w:pPr>
        <w:tabs>
          <w:tab w:val="left" w:pos="8931"/>
        </w:tabs>
        <w:spacing w:after="0" w:line="360" w:lineRule="auto"/>
      </w:pPr>
    </w:p>
    <w:p w14:paraId="5AE29F03" w14:textId="77777777" w:rsidR="00113961" w:rsidRDefault="00113961">
      <w:pPr>
        <w:tabs>
          <w:tab w:val="left" w:pos="8931"/>
        </w:tabs>
        <w:spacing w:after="0" w:line="360" w:lineRule="auto"/>
      </w:pPr>
    </w:p>
    <w:p w14:paraId="42FB2F8C" w14:textId="77777777" w:rsidR="00113961" w:rsidRDefault="00113961">
      <w:pPr>
        <w:tabs>
          <w:tab w:val="left" w:pos="8931"/>
        </w:tabs>
        <w:spacing w:after="0" w:line="360" w:lineRule="auto"/>
      </w:pPr>
    </w:p>
    <w:p w14:paraId="395BF88F" w14:textId="77777777" w:rsidR="00113961" w:rsidRDefault="00113961">
      <w:pPr>
        <w:tabs>
          <w:tab w:val="left" w:pos="8931"/>
        </w:tabs>
        <w:spacing w:after="0" w:line="360" w:lineRule="auto"/>
      </w:pPr>
    </w:p>
    <w:p w14:paraId="185B529B" w14:textId="77777777" w:rsidR="00113961" w:rsidRDefault="00113961">
      <w:pPr>
        <w:tabs>
          <w:tab w:val="left" w:pos="8931"/>
        </w:tabs>
        <w:spacing w:after="0" w:line="360" w:lineRule="auto"/>
      </w:pPr>
    </w:p>
    <w:p w14:paraId="027CB0D2" w14:textId="77777777" w:rsidR="00113961" w:rsidRDefault="00113961">
      <w:pPr>
        <w:tabs>
          <w:tab w:val="left" w:pos="8931"/>
        </w:tabs>
        <w:spacing w:after="0" w:line="360" w:lineRule="auto"/>
      </w:pPr>
    </w:p>
    <w:p w14:paraId="049817B9" w14:textId="77777777" w:rsidR="00113961" w:rsidRDefault="008765D5">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14:paraId="59D2C6DC" w14:textId="77777777" w:rsidR="00113961" w:rsidRDefault="00113961">
      <w:pPr>
        <w:spacing w:after="0" w:line="360" w:lineRule="auto"/>
        <w:rPr>
          <w:b/>
        </w:rPr>
      </w:pPr>
    </w:p>
    <w:p w14:paraId="0623CEAB" w14:textId="77777777" w:rsidR="00113961" w:rsidRDefault="008765D5">
      <w:pPr>
        <w:spacing w:after="0" w:line="360" w:lineRule="auto"/>
        <w:rPr>
          <w:color w:val="0D0D0D"/>
        </w:rPr>
      </w:pPr>
      <w:r>
        <w:rPr>
          <w:b/>
        </w:rPr>
        <w:t xml:space="preserve">VISTO </w:t>
      </w:r>
      <w:r>
        <w:t xml:space="preserve">el expediente electrónico conformado con motivo del Recurso de Revisión </w:t>
      </w:r>
      <w:r>
        <w:rPr>
          <w:b/>
        </w:rPr>
        <w:t>11356/INFOEM/IP/RR/2025</w:t>
      </w:r>
      <w:r>
        <w:t xml:space="preserve">, interpuestos por la persona </w:t>
      </w:r>
      <w:r>
        <w:rPr>
          <w:color w:val="0D0D0D"/>
        </w:rPr>
        <w:t xml:space="preserve">Recurrente o Particular, en contra de la respuesta del Sujeto Obligado, </w:t>
      </w:r>
      <w:r>
        <w:rPr>
          <w:b/>
          <w:color w:val="000000"/>
        </w:rPr>
        <w:t>Ayuntamiento de Almoloya de Juárez</w:t>
      </w:r>
      <w:r>
        <w:rPr>
          <w:color w:val="0D0D0D"/>
        </w:rPr>
        <w:t>, a la solicitud de acceso a la información pública</w:t>
      </w:r>
      <w:r>
        <w:rPr>
          <w:rFonts w:ascii="Verdana" w:eastAsia="Verdana" w:hAnsi="Verdana" w:cs="Verdana"/>
          <w:b/>
          <w:color w:val="FF0000"/>
        </w:rPr>
        <w:t xml:space="preserve"> </w:t>
      </w:r>
      <w:r>
        <w:t xml:space="preserve">00409/ALMOJU/IP/2025, </w:t>
      </w:r>
      <w:r>
        <w:rPr>
          <w:color w:val="0D0D0D"/>
        </w:rPr>
        <w:t>se emite la presente Resolución, con base en los Antecedentes y Considerandos que se exponen a continuación:</w:t>
      </w:r>
    </w:p>
    <w:p w14:paraId="26BC17C4" w14:textId="77777777" w:rsidR="00113961" w:rsidRDefault="00113961">
      <w:pPr>
        <w:spacing w:after="0" w:line="360" w:lineRule="auto"/>
        <w:rPr>
          <w:color w:val="0D0D0D"/>
        </w:rPr>
      </w:pPr>
    </w:p>
    <w:p w14:paraId="18E88309" w14:textId="77777777" w:rsidR="00113961" w:rsidRDefault="008765D5">
      <w:pPr>
        <w:pStyle w:val="Ttulo1"/>
        <w:spacing w:before="0" w:line="360" w:lineRule="auto"/>
        <w:jc w:val="center"/>
        <w:rPr>
          <w:rFonts w:ascii="Palatino Linotype" w:eastAsia="Palatino Linotype" w:hAnsi="Palatino Linotype" w:cs="Palatino Linotype"/>
          <w:b/>
          <w:color w:val="000000"/>
          <w:sz w:val="22"/>
          <w:szCs w:val="22"/>
        </w:rPr>
      </w:pPr>
      <w:bookmarkStart w:id="0" w:name="_heading=h.52kvh6tatu7t" w:colFirst="0" w:colLast="0"/>
      <w:bookmarkEnd w:id="0"/>
      <w:r>
        <w:rPr>
          <w:rFonts w:ascii="Palatino Linotype" w:eastAsia="Palatino Linotype" w:hAnsi="Palatino Linotype" w:cs="Palatino Linotype"/>
          <w:b/>
          <w:color w:val="000000"/>
          <w:sz w:val="22"/>
          <w:szCs w:val="22"/>
        </w:rPr>
        <w:t>A N T E C E D E N T E S</w:t>
      </w:r>
    </w:p>
    <w:p w14:paraId="2AF7B907" w14:textId="77777777" w:rsidR="00113961" w:rsidRDefault="00113961">
      <w:pPr>
        <w:spacing w:after="0" w:line="360" w:lineRule="auto"/>
        <w:jc w:val="center"/>
        <w:rPr>
          <w:b/>
        </w:rPr>
      </w:pPr>
    </w:p>
    <w:p w14:paraId="7C820354"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1" w:name="_heading=h.d73o7wyb32" w:colFirst="0" w:colLast="0"/>
      <w:bookmarkEnd w:id="1"/>
      <w:r>
        <w:rPr>
          <w:rFonts w:ascii="Palatino Linotype" w:eastAsia="Palatino Linotype" w:hAnsi="Palatino Linotype" w:cs="Palatino Linotype"/>
          <w:b/>
          <w:color w:val="000000"/>
          <w:sz w:val="22"/>
          <w:szCs w:val="22"/>
        </w:rPr>
        <w:t>I. Presentación de la solicitud de información</w:t>
      </w:r>
    </w:p>
    <w:p w14:paraId="22C699CA" w14:textId="77777777" w:rsidR="00113961" w:rsidRDefault="00113961">
      <w:pPr>
        <w:spacing w:after="0" w:line="360" w:lineRule="auto"/>
        <w:rPr>
          <w:b/>
        </w:rPr>
      </w:pPr>
    </w:p>
    <w:p w14:paraId="38069FFE" w14:textId="77777777" w:rsidR="00113961" w:rsidRDefault="008765D5">
      <w:pPr>
        <w:tabs>
          <w:tab w:val="left" w:pos="4667"/>
        </w:tabs>
        <w:spacing w:after="0" w:line="360" w:lineRule="auto"/>
      </w:pPr>
      <w:r>
        <w:t>Con fecha veintidós de septiembre de dos mil veinticinco, la persona Particular presentó una solicitud de acceso a la información pública a través del Sistema de Acceso a la Información Mexiquense (SAIMEX), ante el Sujeto Obligado, en los siguientes términos:</w:t>
      </w:r>
    </w:p>
    <w:p w14:paraId="7134A34B" w14:textId="77777777" w:rsidR="00113961" w:rsidRDefault="00113961">
      <w:pPr>
        <w:tabs>
          <w:tab w:val="left" w:pos="4667"/>
        </w:tabs>
        <w:spacing w:after="0" w:line="360" w:lineRule="auto"/>
      </w:pPr>
    </w:p>
    <w:p w14:paraId="0B697427" w14:textId="77777777" w:rsidR="00113961" w:rsidRDefault="008765D5">
      <w:pPr>
        <w:tabs>
          <w:tab w:val="left" w:pos="4667"/>
        </w:tabs>
        <w:spacing w:after="0" w:line="360" w:lineRule="auto"/>
        <w:ind w:left="567" w:right="567"/>
        <w:rPr>
          <w:b/>
          <w:i/>
        </w:rPr>
      </w:pPr>
      <w:r>
        <w:rPr>
          <w:b/>
          <w:i/>
        </w:rPr>
        <w:t>“</w:t>
      </w:r>
      <w:r>
        <w:rPr>
          <w:b/>
          <w:i/>
          <w:sz w:val="20"/>
          <w:szCs w:val="20"/>
        </w:rPr>
        <w:t>DESCRIPCIÓN CLARA Y PRECISA DE LA INFORMACIÓN SOLICITADA</w:t>
      </w:r>
    </w:p>
    <w:p w14:paraId="6799B20A" w14:textId="77777777" w:rsidR="00113961" w:rsidRDefault="008765D5">
      <w:pPr>
        <w:tabs>
          <w:tab w:val="left" w:pos="4667"/>
        </w:tabs>
        <w:spacing w:after="0" w:line="360" w:lineRule="auto"/>
        <w:ind w:left="567" w:right="567"/>
        <w:rPr>
          <w:i/>
        </w:rPr>
      </w:pPr>
      <w:r>
        <w:rPr>
          <w:i/>
        </w:rPr>
        <w:t>Solicito el Programa Anual de Obra Pública 2025 del Ayuntamiento de Almoloya de Juárez.” (Sic)</w:t>
      </w:r>
    </w:p>
    <w:p w14:paraId="0E501A7A" w14:textId="77777777" w:rsidR="00113961" w:rsidRDefault="00113961">
      <w:pPr>
        <w:tabs>
          <w:tab w:val="left" w:pos="4667"/>
        </w:tabs>
        <w:spacing w:after="0" w:line="360" w:lineRule="auto"/>
        <w:ind w:left="567" w:right="567"/>
        <w:rPr>
          <w:i/>
        </w:rPr>
      </w:pPr>
    </w:p>
    <w:p w14:paraId="321482ED" w14:textId="77777777" w:rsidR="00113961" w:rsidRDefault="008765D5">
      <w:pPr>
        <w:tabs>
          <w:tab w:val="left" w:pos="4667"/>
        </w:tabs>
        <w:spacing w:after="0" w:line="360" w:lineRule="auto"/>
        <w:ind w:left="567" w:right="567"/>
        <w:rPr>
          <w:b/>
          <w:i/>
          <w:sz w:val="20"/>
          <w:szCs w:val="20"/>
        </w:rPr>
      </w:pPr>
      <w:r>
        <w:rPr>
          <w:b/>
          <w:i/>
          <w:sz w:val="20"/>
          <w:szCs w:val="20"/>
        </w:rPr>
        <w:t>“MODALIDAD DE ENTREGA</w:t>
      </w:r>
    </w:p>
    <w:p w14:paraId="57EF984F" w14:textId="77777777" w:rsidR="00113961" w:rsidRDefault="008765D5">
      <w:pPr>
        <w:tabs>
          <w:tab w:val="left" w:pos="4667"/>
        </w:tabs>
        <w:spacing w:after="0" w:line="360" w:lineRule="auto"/>
        <w:ind w:left="567" w:right="567"/>
        <w:rPr>
          <w:i/>
        </w:rPr>
      </w:pPr>
      <w:r>
        <w:rPr>
          <w:i/>
        </w:rPr>
        <w:t>A través del SAIMEX”</w:t>
      </w:r>
    </w:p>
    <w:p w14:paraId="1DB30337" w14:textId="77777777" w:rsidR="00113961" w:rsidRDefault="00113961">
      <w:pPr>
        <w:spacing w:after="0" w:line="360" w:lineRule="auto"/>
      </w:pPr>
    </w:p>
    <w:p w14:paraId="778F19C3" w14:textId="77777777" w:rsidR="00113961" w:rsidRDefault="008765D5">
      <w:pPr>
        <w:pStyle w:val="Ttulo2"/>
        <w:spacing w:before="0" w:line="360" w:lineRule="auto"/>
        <w:rPr>
          <w:rFonts w:ascii="Palatino Linotype" w:eastAsia="Palatino Linotype" w:hAnsi="Palatino Linotype" w:cs="Palatino Linotype"/>
          <w:b/>
          <w:sz w:val="22"/>
          <w:szCs w:val="22"/>
        </w:rPr>
      </w:pPr>
      <w:bookmarkStart w:id="2" w:name="_heading=h.kqpv7x31jxkl" w:colFirst="0" w:colLast="0"/>
      <w:bookmarkEnd w:id="2"/>
      <w:r>
        <w:lastRenderedPageBreak/>
        <w:t xml:space="preserve"> </w:t>
      </w:r>
      <w:r>
        <w:rPr>
          <w:rFonts w:ascii="Palatino Linotype" w:eastAsia="Palatino Linotype" w:hAnsi="Palatino Linotype" w:cs="Palatino Linotype"/>
          <w:b/>
          <w:color w:val="000000"/>
          <w:sz w:val="22"/>
          <w:szCs w:val="22"/>
        </w:rPr>
        <w:t>II. Respuesta del Sujeto Obligado</w:t>
      </w:r>
    </w:p>
    <w:p w14:paraId="47DC444D" w14:textId="77777777" w:rsidR="00113961" w:rsidRDefault="00113961">
      <w:pPr>
        <w:spacing w:after="0" w:line="360" w:lineRule="auto"/>
        <w:rPr>
          <w:b/>
        </w:rPr>
      </w:pPr>
    </w:p>
    <w:p w14:paraId="68351E8E" w14:textId="77777777" w:rsidR="00113961" w:rsidRDefault="008765D5">
      <w:pPr>
        <w:spacing w:after="0" w:line="360" w:lineRule="auto"/>
      </w:pPr>
      <w:bookmarkStart w:id="3" w:name="_heading=h.ba6y6mw1ra8e" w:colFirst="0" w:colLast="0"/>
      <w:bookmarkEnd w:id="3"/>
      <w:r>
        <w:t xml:space="preserve">El treinta de septiembre de dos mil veinticinco, el </w:t>
      </w:r>
      <w:r>
        <w:rPr>
          <w:color w:val="000000"/>
        </w:rPr>
        <w:t>Ayuntamiento de Almoloya de Juárez</w:t>
      </w:r>
      <w:r>
        <w:t>, notificó la respuesta a la solicitud, a través del Sistema de Acceso a la Información Mexiquense (SAIMEX), a través del Titular de la Unidad de Transparencia, en donde refirió lo siguiente:</w:t>
      </w:r>
    </w:p>
    <w:p w14:paraId="58E20C98" w14:textId="77777777" w:rsidR="00113961" w:rsidRDefault="00113961">
      <w:pPr>
        <w:pBdr>
          <w:top w:val="nil"/>
          <w:left w:val="nil"/>
          <w:bottom w:val="nil"/>
          <w:right w:val="nil"/>
          <w:between w:val="nil"/>
        </w:pBdr>
        <w:spacing w:after="0" w:line="360" w:lineRule="auto"/>
        <w:ind w:left="720"/>
        <w:rPr>
          <w:color w:val="000000"/>
        </w:rPr>
      </w:pPr>
    </w:p>
    <w:p w14:paraId="730A0958" w14:textId="77777777" w:rsidR="00113961" w:rsidRDefault="008765D5">
      <w:pPr>
        <w:spacing w:after="0" w:line="360" w:lineRule="auto"/>
        <w:ind w:left="567" w:right="567"/>
      </w:pPr>
      <w:r>
        <w:t>“…</w:t>
      </w:r>
    </w:p>
    <w:p w14:paraId="631564E9" w14:textId="77777777" w:rsidR="00113961" w:rsidRDefault="008765D5">
      <w:pPr>
        <w:spacing w:after="0" w:line="360" w:lineRule="auto"/>
        <w:ind w:left="567" w:right="567"/>
        <w:rPr>
          <w:i/>
          <w:sz w:val="20"/>
          <w:szCs w:val="20"/>
        </w:rPr>
      </w:pPr>
      <w:r>
        <w:rPr>
          <w:i/>
          <w:sz w:val="20"/>
          <w:szCs w:val="20"/>
        </w:rPr>
        <w:t xml:space="preserve">Con fundamento en lo establecido en los artículos 4, 12, 59 y 164 de la Ley de Transparencia y Acceso a la Información Pública del Estado de México y Municipios, se adjunta la respuesta proporcionada por autoridad competente. Se le hace de su conocimiento </w:t>
      </w:r>
      <w:proofErr w:type="gramStart"/>
      <w:r>
        <w:rPr>
          <w:i/>
          <w:sz w:val="20"/>
          <w:szCs w:val="20"/>
        </w:rPr>
        <w:t>que</w:t>
      </w:r>
      <w:proofErr w:type="gramEnd"/>
      <w:r>
        <w:rPr>
          <w:i/>
          <w:sz w:val="20"/>
          <w:szCs w:val="20"/>
        </w:rPr>
        <w:t xml:space="preserv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 S e agrega el </w:t>
      </w:r>
      <w:proofErr w:type="gramStart"/>
      <w:r>
        <w:rPr>
          <w:i/>
          <w:sz w:val="20"/>
          <w:szCs w:val="20"/>
        </w:rPr>
        <w:t>link</w:t>
      </w:r>
      <w:proofErr w:type="gramEnd"/>
      <w:r>
        <w:rPr>
          <w:i/>
          <w:sz w:val="20"/>
          <w:szCs w:val="20"/>
        </w:rPr>
        <w:t xml:space="preserve"> para acceder a dicha información </w:t>
      </w:r>
      <w:hyperlink r:id="rId9">
        <w:r>
          <w:rPr>
            <w:i/>
            <w:color w:val="0563C1"/>
            <w:sz w:val="20"/>
            <w:szCs w:val="20"/>
            <w:u w:val="single"/>
          </w:rPr>
          <w:t>https://almoloyadejuarez.gob.mx/wp-content/uploads/2025/04/PROGRAMA-ANUAL-DE-EVALUACION-PAE-2025-ALMOLOYA-DE-JUAREZ.pdf</w:t>
        </w:r>
      </w:hyperlink>
    </w:p>
    <w:p w14:paraId="46CD26DF" w14:textId="77777777" w:rsidR="00113961" w:rsidRDefault="008765D5">
      <w:pPr>
        <w:spacing w:after="0" w:line="360" w:lineRule="auto"/>
        <w:ind w:left="567" w:right="567"/>
        <w:rPr>
          <w:i/>
          <w:sz w:val="20"/>
          <w:szCs w:val="20"/>
        </w:rPr>
      </w:pPr>
      <w:r>
        <w:t>…</w:t>
      </w:r>
      <w:r>
        <w:rPr>
          <w:i/>
          <w:sz w:val="20"/>
          <w:szCs w:val="20"/>
        </w:rPr>
        <w:t>”</w:t>
      </w:r>
    </w:p>
    <w:p w14:paraId="475905E3" w14:textId="77777777" w:rsidR="00113961" w:rsidRDefault="00113961">
      <w:pPr>
        <w:spacing w:after="0" w:line="360" w:lineRule="auto"/>
        <w:rPr>
          <w:b/>
          <w:color w:val="000000"/>
        </w:rPr>
      </w:pPr>
    </w:p>
    <w:p w14:paraId="3D43BD3E" w14:textId="77777777" w:rsidR="00113961" w:rsidRDefault="008765D5">
      <w:pPr>
        <w:spacing w:after="0" w:line="360" w:lineRule="auto"/>
        <w:rPr>
          <w:color w:val="000000"/>
        </w:rPr>
      </w:pPr>
      <w:r>
        <w:rPr>
          <w:color w:val="000000"/>
        </w:rPr>
        <w:t xml:space="preserve">Asimismo, adjuntó la digitalización de los documentos siguientes: </w:t>
      </w:r>
    </w:p>
    <w:p w14:paraId="6ABFBCF3" w14:textId="77777777" w:rsidR="00113961" w:rsidRDefault="00113961">
      <w:pPr>
        <w:spacing w:after="0" w:line="360" w:lineRule="auto"/>
        <w:rPr>
          <w:color w:val="000000"/>
        </w:rPr>
      </w:pPr>
    </w:p>
    <w:p w14:paraId="58C0B6C7" w14:textId="77777777" w:rsidR="00113961" w:rsidRDefault="008765D5">
      <w:pPr>
        <w:spacing w:after="0" w:line="360" w:lineRule="auto"/>
      </w:pPr>
      <w:r>
        <w:rPr>
          <w:color w:val="000000"/>
        </w:rPr>
        <w:t xml:space="preserve">i) Oficio número STGAJ/UT/507/2025, del veintitrés de septiembre de dos mil veinticinco, suscrito por el Titular de la Unidad de Transparencia y dirigido al </w:t>
      </w:r>
      <w:proofErr w:type="gramStart"/>
      <w:r>
        <w:rPr>
          <w:color w:val="000000"/>
        </w:rPr>
        <w:t>Director</w:t>
      </w:r>
      <w:proofErr w:type="gramEnd"/>
      <w:r>
        <w:rPr>
          <w:color w:val="000000"/>
        </w:rPr>
        <w:t xml:space="preserve"> de Obras Públicas, por medio del cual se solicitó atender la solicitud de información con número de folio </w:t>
      </w:r>
      <w:r>
        <w:t xml:space="preserve">00409/ALMOJU/IP/2025. </w:t>
      </w:r>
    </w:p>
    <w:p w14:paraId="7430DDD6" w14:textId="77777777" w:rsidR="00113961" w:rsidRDefault="00113961">
      <w:pPr>
        <w:spacing w:after="0" w:line="360" w:lineRule="auto"/>
      </w:pPr>
    </w:p>
    <w:p w14:paraId="11BB4A04" w14:textId="77777777" w:rsidR="00113961" w:rsidRDefault="008765D5">
      <w:pPr>
        <w:spacing w:after="0" w:line="360" w:lineRule="auto"/>
        <w:rPr>
          <w:color w:val="000000"/>
        </w:rPr>
      </w:pPr>
      <w:proofErr w:type="spellStart"/>
      <w:r>
        <w:rPr>
          <w:color w:val="000000"/>
        </w:rPr>
        <w:lastRenderedPageBreak/>
        <w:t>ii</w:t>
      </w:r>
      <w:proofErr w:type="spellEnd"/>
      <w:r>
        <w:rPr>
          <w:color w:val="000000"/>
        </w:rPr>
        <w:t xml:space="preserve">) Oficio número PMAJ/DOP/AM/0241/2025, del veinticinco de septiembre de dos mil veinticinco, suscrito por el </w:t>
      </w:r>
      <w:proofErr w:type="gramStart"/>
      <w:r>
        <w:rPr>
          <w:color w:val="000000"/>
        </w:rPr>
        <w:t>Director</w:t>
      </w:r>
      <w:proofErr w:type="gramEnd"/>
      <w:r>
        <w:rPr>
          <w:color w:val="000000"/>
        </w:rPr>
        <w:t xml:space="preserve"> de Obras Públicas y dirigido al Titular de la Unidad de Transparencia, en los siguientes términos: </w:t>
      </w:r>
    </w:p>
    <w:p w14:paraId="591324E3" w14:textId="77777777" w:rsidR="00113961" w:rsidRDefault="00113961">
      <w:pPr>
        <w:spacing w:after="0" w:line="360" w:lineRule="auto"/>
        <w:rPr>
          <w:color w:val="000000"/>
        </w:rPr>
      </w:pPr>
    </w:p>
    <w:p w14:paraId="4E7B0376" w14:textId="77777777" w:rsidR="00113961" w:rsidRDefault="008765D5">
      <w:pPr>
        <w:spacing w:after="0" w:line="360" w:lineRule="auto"/>
        <w:ind w:left="567"/>
        <w:rPr>
          <w:i/>
          <w:color w:val="000000"/>
          <w:sz w:val="20"/>
          <w:szCs w:val="20"/>
        </w:rPr>
      </w:pPr>
      <w:r>
        <w:rPr>
          <w:i/>
          <w:color w:val="000000"/>
          <w:sz w:val="20"/>
          <w:szCs w:val="20"/>
        </w:rPr>
        <w:t>“…</w:t>
      </w:r>
    </w:p>
    <w:p w14:paraId="6040AE64" w14:textId="77777777" w:rsidR="00113961" w:rsidRDefault="008765D5">
      <w:pPr>
        <w:spacing w:after="0" w:line="360" w:lineRule="auto"/>
        <w:ind w:left="567"/>
        <w:rPr>
          <w:i/>
          <w:color w:val="000000"/>
          <w:sz w:val="20"/>
          <w:szCs w:val="20"/>
        </w:rPr>
      </w:pPr>
      <w:r>
        <w:rPr>
          <w:i/>
          <w:color w:val="000000"/>
          <w:sz w:val="20"/>
          <w:szCs w:val="20"/>
        </w:rPr>
        <w:t xml:space="preserve">Considerando el compromiso que esta administración tiene con la ciudadanía se informa que la información solicitada se encuentra disponible en la liga </w:t>
      </w:r>
      <w:hyperlink r:id="rId10">
        <w:r>
          <w:rPr>
            <w:i/>
            <w:color w:val="0563C1"/>
            <w:sz w:val="20"/>
            <w:szCs w:val="20"/>
            <w:u w:val="single"/>
          </w:rPr>
          <w:t>https://almoloyadejuarez.gob.mx/wp-content/uploads/2025/04/PROGRAMA-ANUAL-DE-OBRAS-PAO-2025-ALMOLOYA-DE-JUAREZ.pdf</w:t>
        </w:r>
      </w:hyperlink>
      <w:r>
        <w:rPr>
          <w:i/>
          <w:color w:val="000000"/>
          <w:sz w:val="20"/>
          <w:szCs w:val="20"/>
        </w:rPr>
        <w:t xml:space="preserve">. </w:t>
      </w:r>
    </w:p>
    <w:p w14:paraId="2C6F1B14" w14:textId="77777777" w:rsidR="00113961" w:rsidRDefault="00113961">
      <w:pPr>
        <w:spacing w:after="0" w:line="360" w:lineRule="auto"/>
        <w:ind w:left="567"/>
        <w:rPr>
          <w:i/>
          <w:color w:val="000000"/>
          <w:sz w:val="20"/>
          <w:szCs w:val="20"/>
        </w:rPr>
      </w:pPr>
    </w:p>
    <w:p w14:paraId="3D6EA58F" w14:textId="77777777" w:rsidR="00113961" w:rsidRDefault="008765D5">
      <w:pPr>
        <w:spacing w:after="0" w:line="360" w:lineRule="auto"/>
        <w:ind w:left="567"/>
        <w:rPr>
          <w:i/>
          <w:color w:val="000000"/>
          <w:sz w:val="20"/>
          <w:szCs w:val="20"/>
        </w:rPr>
      </w:pPr>
      <w:r>
        <w:rPr>
          <w:i/>
          <w:color w:val="000000"/>
          <w:sz w:val="20"/>
          <w:szCs w:val="20"/>
        </w:rPr>
        <w:t>Se reitera el compromiso que esta administración tiene con la ciudadanía a fin de cumplir con los requerimientos y necesidades que esta demanda.</w:t>
      </w:r>
    </w:p>
    <w:p w14:paraId="58D229E0" w14:textId="77777777" w:rsidR="00113961" w:rsidRDefault="008765D5">
      <w:pPr>
        <w:spacing w:after="0" w:line="360" w:lineRule="auto"/>
        <w:ind w:left="567"/>
        <w:rPr>
          <w:i/>
          <w:color w:val="000000"/>
          <w:sz w:val="20"/>
          <w:szCs w:val="20"/>
        </w:rPr>
      </w:pPr>
      <w:r>
        <w:rPr>
          <w:i/>
          <w:color w:val="000000"/>
          <w:sz w:val="20"/>
          <w:szCs w:val="20"/>
        </w:rPr>
        <w:t xml:space="preserve">…” </w:t>
      </w:r>
    </w:p>
    <w:p w14:paraId="119D68CB" w14:textId="77777777" w:rsidR="00113961" w:rsidRDefault="00113961">
      <w:pPr>
        <w:spacing w:after="0" w:line="360" w:lineRule="auto"/>
        <w:rPr>
          <w:color w:val="000000"/>
        </w:rPr>
      </w:pPr>
    </w:p>
    <w:p w14:paraId="5EC9F53B"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4" w:name="_heading=h.yo3s5uroi9j8" w:colFirst="0" w:colLast="0"/>
      <w:bookmarkEnd w:id="4"/>
      <w:r>
        <w:rPr>
          <w:rFonts w:ascii="Palatino Linotype" w:eastAsia="Palatino Linotype" w:hAnsi="Palatino Linotype" w:cs="Palatino Linotype"/>
          <w:b/>
          <w:color w:val="000000"/>
          <w:sz w:val="22"/>
          <w:szCs w:val="22"/>
        </w:rPr>
        <w:t>III. Interposición del Recurso de Revisión</w:t>
      </w:r>
    </w:p>
    <w:p w14:paraId="04D1CF33" w14:textId="77777777" w:rsidR="00113961" w:rsidRDefault="00113961">
      <w:pPr>
        <w:spacing w:after="0" w:line="360" w:lineRule="auto"/>
        <w:rPr>
          <w:color w:val="000000"/>
        </w:rPr>
      </w:pPr>
    </w:p>
    <w:p w14:paraId="00068730" w14:textId="77777777" w:rsidR="00113961" w:rsidRDefault="008765D5">
      <w:pPr>
        <w:widowControl w:val="0"/>
        <w:spacing w:after="0" w:line="360" w:lineRule="auto"/>
        <w:rPr>
          <w:color w:val="000000"/>
        </w:rPr>
      </w:pPr>
      <w:r>
        <w:t xml:space="preserve">El dos de octubre de dos mil veinticinco, se recibió en este Instituto, a través del Sistema de Acceso a la Información Mexiquense (SAIMEX), el Recurso de Revisión interpuesto por la persona Recurrente, en contra de la respuesta del Sujeto Obligado, </w:t>
      </w:r>
      <w:r>
        <w:rPr>
          <w:color w:val="000000"/>
        </w:rPr>
        <w:t>en los términos siguientes:</w:t>
      </w:r>
    </w:p>
    <w:p w14:paraId="157CDDA2" w14:textId="77777777" w:rsidR="00113961" w:rsidRDefault="00113961">
      <w:pPr>
        <w:widowControl w:val="0"/>
        <w:spacing w:after="0" w:line="360" w:lineRule="auto"/>
      </w:pPr>
    </w:p>
    <w:p w14:paraId="724F553C" w14:textId="77777777" w:rsidR="00113961" w:rsidRDefault="008765D5">
      <w:pPr>
        <w:spacing w:after="0" w:line="360" w:lineRule="auto"/>
        <w:ind w:left="567" w:right="567"/>
        <w:rPr>
          <w:b/>
          <w:i/>
          <w:sz w:val="20"/>
          <w:szCs w:val="20"/>
        </w:rPr>
      </w:pPr>
      <w:r>
        <w:rPr>
          <w:b/>
          <w:i/>
          <w:sz w:val="20"/>
          <w:szCs w:val="20"/>
        </w:rPr>
        <w:t>ACTO IMPUGNADO</w:t>
      </w:r>
    </w:p>
    <w:p w14:paraId="6885CDEF" w14:textId="77777777" w:rsidR="00113961" w:rsidRDefault="008765D5">
      <w:pPr>
        <w:tabs>
          <w:tab w:val="left" w:pos="4667"/>
        </w:tabs>
        <w:spacing w:after="0" w:line="360" w:lineRule="auto"/>
        <w:ind w:left="567" w:right="567"/>
        <w:rPr>
          <w:i/>
          <w:sz w:val="20"/>
          <w:szCs w:val="20"/>
        </w:rPr>
      </w:pPr>
      <w:r>
        <w:rPr>
          <w:i/>
          <w:sz w:val="20"/>
          <w:szCs w:val="20"/>
        </w:rPr>
        <w:t xml:space="preserve">Solicito el programa anual de obra </w:t>
      </w:r>
      <w:proofErr w:type="spellStart"/>
      <w:r>
        <w:rPr>
          <w:i/>
          <w:sz w:val="20"/>
          <w:szCs w:val="20"/>
        </w:rPr>
        <w:t>publica</w:t>
      </w:r>
      <w:proofErr w:type="spellEnd"/>
      <w:r>
        <w:rPr>
          <w:i/>
          <w:sz w:val="20"/>
          <w:szCs w:val="20"/>
        </w:rPr>
        <w:t xml:space="preserve"> 2025 del ayuntamiento de </w:t>
      </w:r>
      <w:proofErr w:type="spellStart"/>
      <w:r>
        <w:rPr>
          <w:i/>
          <w:sz w:val="20"/>
          <w:szCs w:val="20"/>
        </w:rPr>
        <w:t>almoloya</w:t>
      </w:r>
      <w:proofErr w:type="spellEnd"/>
      <w:r>
        <w:rPr>
          <w:i/>
          <w:sz w:val="20"/>
          <w:szCs w:val="20"/>
        </w:rPr>
        <w:t xml:space="preserve"> de </w:t>
      </w:r>
      <w:proofErr w:type="spellStart"/>
      <w:r>
        <w:rPr>
          <w:i/>
          <w:sz w:val="20"/>
          <w:szCs w:val="20"/>
        </w:rPr>
        <w:t>juarez</w:t>
      </w:r>
      <w:proofErr w:type="spellEnd"/>
      <w:r>
        <w:rPr>
          <w:i/>
          <w:sz w:val="20"/>
          <w:szCs w:val="20"/>
        </w:rPr>
        <w:t xml:space="preserve">, </w:t>
      </w:r>
      <w:proofErr w:type="spellStart"/>
      <w:r>
        <w:rPr>
          <w:i/>
          <w:sz w:val="20"/>
          <w:szCs w:val="20"/>
        </w:rPr>
        <w:t>adjuntandolo</w:t>
      </w:r>
      <w:proofErr w:type="spellEnd"/>
      <w:r>
        <w:rPr>
          <w:i/>
          <w:sz w:val="20"/>
          <w:szCs w:val="20"/>
        </w:rPr>
        <w:t xml:space="preserve"> en formato </w:t>
      </w:r>
      <w:proofErr w:type="spellStart"/>
      <w:r>
        <w:rPr>
          <w:i/>
          <w:sz w:val="20"/>
          <w:szCs w:val="20"/>
        </w:rPr>
        <w:t>pdf</w:t>
      </w:r>
      <w:proofErr w:type="spellEnd"/>
      <w:r>
        <w:rPr>
          <w:i/>
          <w:sz w:val="20"/>
          <w:szCs w:val="20"/>
        </w:rPr>
        <w:t xml:space="preserve"> en el sistema </w:t>
      </w:r>
      <w:proofErr w:type="spellStart"/>
      <w:r>
        <w:rPr>
          <w:i/>
          <w:sz w:val="20"/>
          <w:szCs w:val="20"/>
        </w:rPr>
        <w:t>saimex</w:t>
      </w:r>
      <w:proofErr w:type="spellEnd"/>
      <w:r>
        <w:rPr>
          <w:i/>
          <w:sz w:val="20"/>
          <w:szCs w:val="20"/>
        </w:rPr>
        <w:t xml:space="preserve">, toda vez que el </w:t>
      </w:r>
      <w:proofErr w:type="gramStart"/>
      <w:r>
        <w:rPr>
          <w:i/>
          <w:sz w:val="20"/>
          <w:szCs w:val="20"/>
        </w:rPr>
        <w:t>link</w:t>
      </w:r>
      <w:proofErr w:type="gramEnd"/>
      <w:r>
        <w:rPr>
          <w:i/>
          <w:sz w:val="20"/>
          <w:szCs w:val="20"/>
        </w:rPr>
        <w:t xml:space="preserve"> que proporcionan no es visible.” (Sic.)</w:t>
      </w:r>
    </w:p>
    <w:p w14:paraId="703A2A41" w14:textId="77777777" w:rsidR="00113961" w:rsidRDefault="00113961">
      <w:pPr>
        <w:tabs>
          <w:tab w:val="left" w:pos="4667"/>
        </w:tabs>
        <w:spacing w:after="0" w:line="360" w:lineRule="auto"/>
        <w:ind w:left="567" w:right="567"/>
        <w:rPr>
          <w:i/>
          <w:sz w:val="20"/>
          <w:szCs w:val="20"/>
        </w:rPr>
      </w:pPr>
    </w:p>
    <w:p w14:paraId="0273F70E" w14:textId="77777777" w:rsidR="00113961" w:rsidRDefault="00113961">
      <w:pPr>
        <w:tabs>
          <w:tab w:val="left" w:pos="4667"/>
        </w:tabs>
        <w:spacing w:after="0" w:line="360" w:lineRule="auto"/>
        <w:ind w:left="567" w:right="567"/>
        <w:rPr>
          <w:i/>
          <w:sz w:val="20"/>
          <w:szCs w:val="20"/>
        </w:rPr>
      </w:pPr>
    </w:p>
    <w:p w14:paraId="35D975E1" w14:textId="77777777" w:rsidR="00113961" w:rsidRDefault="00113961">
      <w:pPr>
        <w:tabs>
          <w:tab w:val="left" w:pos="4667"/>
        </w:tabs>
        <w:spacing w:after="0" w:line="360" w:lineRule="auto"/>
        <w:ind w:left="567" w:right="567"/>
        <w:rPr>
          <w:i/>
          <w:sz w:val="20"/>
          <w:szCs w:val="20"/>
        </w:rPr>
      </w:pPr>
    </w:p>
    <w:p w14:paraId="728C0F81" w14:textId="77777777" w:rsidR="00113961" w:rsidRDefault="008765D5">
      <w:pPr>
        <w:tabs>
          <w:tab w:val="left" w:pos="4667"/>
        </w:tabs>
        <w:spacing w:after="0" w:line="360" w:lineRule="auto"/>
        <w:ind w:left="567" w:right="567"/>
        <w:rPr>
          <w:b/>
          <w:i/>
          <w:sz w:val="20"/>
          <w:szCs w:val="20"/>
        </w:rPr>
      </w:pPr>
      <w:r>
        <w:rPr>
          <w:b/>
          <w:i/>
          <w:sz w:val="20"/>
          <w:szCs w:val="20"/>
        </w:rPr>
        <w:lastRenderedPageBreak/>
        <w:t>RAZONES O MOTIVOS DE LA INCONFORMIDAD</w:t>
      </w:r>
    </w:p>
    <w:p w14:paraId="023BC5BF" w14:textId="77777777" w:rsidR="00113961" w:rsidRDefault="008765D5">
      <w:pPr>
        <w:tabs>
          <w:tab w:val="left" w:pos="4667"/>
        </w:tabs>
        <w:spacing w:after="0" w:line="360" w:lineRule="auto"/>
        <w:ind w:left="567" w:right="567"/>
        <w:rPr>
          <w:i/>
          <w:sz w:val="20"/>
          <w:szCs w:val="20"/>
        </w:rPr>
      </w:pPr>
      <w:r>
        <w:rPr>
          <w:i/>
          <w:sz w:val="20"/>
          <w:szCs w:val="20"/>
        </w:rPr>
        <w:t xml:space="preserve">Solicito el programa anual de obra </w:t>
      </w:r>
      <w:proofErr w:type="spellStart"/>
      <w:r>
        <w:rPr>
          <w:i/>
          <w:sz w:val="20"/>
          <w:szCs w:val="20"/>
        </w:rPr>
        <w:t>publica</w:t>
      </w:r>
      <w:proofErr w:type="spellEnd"/>
      <w:r>
        <w:rPr>
          <w:i/>
          <w:sz w:val="20"/>
          <w:szCs w:val="20"/>
        </w:rPr>
        <w:t xml:space="preserve"> 2025 del ayuntamiento de </w:t>
      </w:r>
      <w:proofErr w:type="spellStart"/>
      <w:r>
        <w:rPr>
          <w:i/>
          <w:sz w:val="20"/>
          <w:szCs w:val="20"/>
        </w:rPr>
        <w:t>almoloya</w:t>
      </w:r>
      <w:proofErr w:type="spellEnd"/>
      <w:r>
        <w:rPr>
          <w:i/>
          <w:sz w:val="20"/>
          <w:szCs w:val="20"/>
        </w:rPr>
        <w:t xml:space="preserve"> de </w:t>
      </w:r>
      <w:proofErr w:type="spellStart"/>
      <w:r>
        <w:rPr>
          <w:i/>
          <w:sz w:val="20"/>
          <w:szCs w:val="20"/>
        </w:rPr>
        <w:t>juarez</w:t>
      </w:r>
      <w:proofErr w:type="spellEnd"/>
      <w:r>
        <w:rPr>
          <w:i/>
          <w:sz w:val="20"/>
          <w:szCs w:val="20"/>
        </w:rPr>
        <w:t xml:space="preserve">, </w:t>
      </w:r>
      <w:proofErr w:type="spellStart"/>
      <w:r>
        <w:rPr>
          <w:i/>
          <w:sz w:val="20"/>
          <w:szCs w:val="20"/>
        </w:rPr>
        <w:t>adjuntandolo</w:t>
      </w:r>
      <w:proofErr w:type="spellEnd"/>
      <w:r>
        <w:rPr>
          <w:i/>
          <w:sz w:val="20"/>
          <w:szCs w:val="20"/>
        </w:rPr>
        <w:t xml:space="preserve"> en formato </w:t>
      </w:r>
      <w:proofErr w:type="spellStart"/>
      <w:r>
        <w:rPr>
          <w:i/>
          <w:sz w:val="20"/>
          <w:szCs w:val="20"/>
        </w:rPr>
        <w:t>pdf</w:t>
      </w:r>
      <w:proofErr w:type="spellEnd"/>
      <w:r>
        <w:rPr>
          <w:i/>
          <w:sz w:val="20"/>
          <w:szCs w:val="20"/>
        </w:rPr>
        <w:t xml:space="preserve"> en el sistema </w:t>
      </w:r>
      <w:proofErr w:type="spellStart"/>
      <w:r>
        <w:rPr>
          <w:i/>
          <w:sz w:val="20"/>
          <w:szCs w:val="20"/>
        </w:rPr>
        <w:t>saimex</w:t>
      </w:r>
      <w:proofErr w:type="spellEnd"/>
      <w:r>
        <w:rPr>
          <w:i/>
          <w:sz w:val="20"/>
          <w:szCs w:val="20"/>
        </w:rPr>
        <w:t xml:space="preserve">, toda vez que el </w:t>
      </w:r>
      <w:proofErr w:type="gramStart"/>
      <w:r>
        <w:rPr>
          <w:i/>
          <w:sz w:val="20"/>
          <w:szCs w:val="20"/>
        </w:rPr>
        <w:t>link</w:t>
      </w:r>
      <w:proofErr w:type="gramEnd"/>
      <w:r>
        <w:rPr>
          <w:i/>
          <w:sz w:val="20"/>
          <w:szCs w:val="20"/>
        </w:rPr>
        <w:t xml:space="preserve"> que proporcionan no es visible. Negatividad de acceso a la información pública a </w:t>
      </w:r>
      <w:proofErr w:type="spellStart"/>
      <w:r>
        <w:rPr>
          <w:i/>
          <w:sz w:val="20"/>
          <w:szCs w:val="20"/>
        </w:rPr>
        <w:t>traves</w:t>
      </w:r>
      <w:proofErr w:type="spellEnd"/>
      <w:r>
        <w:rPr>
          <w:i/>
          <w:sz w:val="20"/>
          <w:szCs w:val="20"/>
        </w:rPr>
        <w:t xml:space="preserve"> de un </w:t>
      </w:r>
      <w:proofErr w:type="gramStart"/>
      <w:r>
        <w:rPr>
          <w:i/>
          <w:sz w:val="20"/>
          <w:szCs w:val="20"/>
        </w:rPr>
        <w:t>link</w:t>
      </w:r>
      <w:proofErr w:type="gramEnd"/>
      <w:r>
        <w:rPr>
          <w:i/>
          <w:sz w:val="20"/>
          <w:szCs w:val="20"/>
        </w:rPr>
        <w:t xml:space="preserve"> que no es visible.” (Sic.)</w:t>
      </w:r>
    </w:p>
    <w:p w14:paraId="4A1DE9DB" w14:textId="77777777" w:rsidR="00113961" w:rsidRDefault="00113961">
      <w:pPr>
        <w:tabs>
          <w:tab w:val="left" w:pos="4667"/>
        </w:tabs>
        <w:spacing w:after="0" w:line="360" w:lineRule="auto"/>
        <w:ind w:right="567"/>
        <w:rPr>
          <w:i/>
          <w:sz w:val="20"/>
          <w:szCs w:val="20"/>
        </w:rPr>
      </w:pPr>
    </w:p>
    <w:p w14:paraId="78A15C9C"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5" w:name="_heading=h.ktjyi51zueeg" w:colFirst="0" w:colLast="0"/>
      <w:bookmarkEnd w:id="5"/>
      <w:r>
        <w:rPr>
          <w:rFonts w:ascii="Palatino Linotype" w:eastAsia="Palatino Linotype" w:hAnsi="Palatino Linotype" w:cs="Palatino Linotype"/>
          <w:b/>
          <w:color w:val="000000"/>
          <w:sz w:val="22"/>
          <w:szCs w:val="22"/>
        </w:rPr>
        <w:t>IV. Trámite del Recurso de Revisión ante este Instituto</w:t>
      </w:r>
    </w:p>
    <w:p w14:paraId="616ACCA6" w14:textId="77777777" w:rsidR="00113961" w:rsidRDefault="00113961">
      <w:pPr>
        <w:spacing w:after="0" w:line="360" w:lineRule="auto"/>
        <w:rPr>
          <w:b/>
          <w:color w:val="000000"/>
        </w:rPr>
      </w:pPr>
    </w:p>
    <w:p w14:paraId="5939DF6F" w14:textId="77777777" w:rsidR="00113961" w:rsidRDefault="008765D5">
      <w:pPr>
        <w:spacing w:after="0" w:line="360" w:lineRule="auto"/>
        <w:rPr>
          <w:b/>
          <w:color w:val="000000"/>
        </w:rPr>
      </w:pPr>
      <w:r>
        <w:rPr>
          <w:b/>
          <w:color w:val="000000"/>
        </w:rPr>
        <w:t xml:space="preserve">a) Turno del Medio de Impugnación. </w:t>
      </w:r>
      <w:r>
        <w:rPr>
          <w:color w:val="000000"/>
        </w:rPr>
        <w:t xml:space="preserve">El </w:t>
      </w:r>
      <w:r>
        <w:t xml:space="preserve">dos de octubre </w:t>
      </w:r>
      <w:r>
        <w:rPr>
          <w:color w:val="000000"/>
        </w:rPr>
        <w:t xml:space="preserve">de dos mil veinticinco, el Sistema de Acceso a la Información Mexiquense (SAIMEX), </w:t>
      </w:r>
      <w:r>
        <w:t xml:space="preserve">asignó el número de expediente </w:t>
      </w:r>
      <w:r>
        <w:rPr>
          <w:b/>
        </w:rPr>
        <w:t>11356/INFOEM/IP/RR/2025</w:t>
      </w:r>
      <w:r>
        <w:rPr>
          <w:color w:val="000000"/>
        </w:rPr>
        <w:t xml:space="preserve">, al Medio de Impugnación que nos ocupa, con base en el sistema aprobado por el Pleno de este Organismo Garante y lo turnó al </w:t>
      </w:r>
      <w:r>
        <w:rPr>
          <w:b/>
          <w:color w:val="000000"/>
        </w:rPr>
        <w:t>Comisionado Ponente</w:t>
      </w:r>
      <w:r>
        <w:rPr>
          <w:b/>
        </w:rPr>
        <w:t xml:space="preserve"> Luis Gustavo Parra </w:t>
      </w:r>
      <w:proofErr w:type="gramStart"/>
      <w:r>
        <w:rPr>
          <w:b/>
        </w:rPr>
        <w:t>Noriega</w:t>
      </w:r>
      <w:r>
        <w:rPr>
          <w:color w:val="000000"/>
        </w:rPr>
        <w:t>,  para</w:t>
      </w:r>
      <w:proofErr w:type="gramEnd"/>
      <w:r>
        <w:rPr>
          <w:color w:val="000000"/>
        </w:rPr>
        <w:t xml:space="preserve"> los efectos del artículo 185, fracción I de la Ley de Transparencia y Acceso a la Información Pública del Estado de México y Municipios.</w:t>
      </w:r>
    </w:p>
    <w:p w14:paraId="1C3D8B14" w14:textId="77777777" w:rsidR="00113961" w:rsidRDefault="00113961">
      <w:pPr>
        <w:spacing w:after="0" w:line="360" w:lineRule="auto"/>
        <w:rPr>
          <w:color w:val="000000"/>
        </w:rPr>
      </w:pPr>
    </w:p>
    <w:p w14:paraId="000D4B5F" w14:textId="77777777" w:rsidR="00113961" w:rsidRDefault="008765D5">
      <w:pPr>
        <w:spacing w:after="0" w:line="360" w:lineRule="auto"/>
        <w:rPr>
          <w:color w:val="000000"/>
        </w:rPr>
      </w:pPr>
      <w:r>
        <w:rPr>
          <w:b/>
          <w:color w:val="000000"/>
        </w:rPr>
        <w:t xml:space="preserve">b) Admisión de los Recursos de Revisión. </w:t>
      </w:r>
      <w:r>
        <w:rPr>
          <w:color w:val="000000"/>
        </w:rPr>
        <w:t xml:space="preserve">El siete de octubre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19112B78" w14:textId="77777777" w:rsidR="00113961" w:rsidRDefault="00113961">
      <w:pPr>
        <w:spacing w:after="0" w:line="360" w:lineRule="auto"/>
      </w:pPr>
    </w:p>
    <w:p w14:paraId="42BD57A9" w14:textId="77777777" w:rsidR="00113961" w:rsidRDefault="008765D5">
      <w:pPr>
        <w:spacing w:after="0" w:line="360" w:lineRule="auto"/>
      </w:pPr>
      <w:r>
        <w:rPr>
          <w:b/>
        </w:rPr>
        <w:t xml:space="preserve">c) Informe Justificado o Manifestaciones. </w:t>
      </w:r>
      <w:r>
        <w:t>Las partes fueron omisas en emitir manifestaciones o alegatos.</w:t>
      </w:r>
    </w:p>
    <w:p w14:paraId="74D8D74F" w14:textId="77777777" w:rsidR="00113961" w:rsidRDefault="00113961">
      <w:pPr>
        <w:spacing w:after="0" w:line="360" w:lineRule="auto"/>
        <w:rPr>
          <w:b/>
        </w:rPr>
      </w:pPr>
    </w:p>
    <w:p w14:paraId="3DC8F56C" w14:textId="77777777" w:rsidR="00113961" w:rsidRDefault="008765D5">
      <w:pPr>
        <w:spacing w:after="0" w:line="360" w:lineRule="auto"/>
        <w:ind w:right="-28"/>
      </w:pPr>
      <w:r>
        <w:rPr>
          <w:b/>
          <w:color w:val="000000"/>
        </w:rPr>
        <w:lastRenderedPageBreak/>
        <w:t>d) Cierre de instrucción.</w:t>
      </w:r>
      <w:r>
        <w:rPr>
          <w:color w:val="000000"/>
        </w:rPr>
        <w:t xml:space="preserve"> El </w:t>
      </w:r>
      <w:r>
        <w:t>veintiuno</w:t>
      </w:r>
      <w:r>
        <w:rPr>
          <w:color w:val="000000"/>
        </w:rPr>
        <w:t xml:space="preserve">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617C16A9" w14:textId="77777777" w:rsidR="00113961" w:rsidRDefault="00113961">
      <w:pPr>
        <w:spacing w:after="0" w:line="360" w:lineRule="auto"/>
        <w:ind w:right="-28"/>
      </w:pPr>
    </w:p>
    <w:p w14:paraId="707E36D8" w14:textId="77777777" w:rsidR="00113961" w:rsidRDefault="008765D5">
      <w:pPr>
        <w:spacing w:after="0" w:line="360" w:lineRule="auto"/>
        <w:rPr>
          <w:color w:val="000000"/>
        </w:rPr>
      </w:pPr>
      <w:proofErr w:type="gramStart"/>
      <w:r>
        <w:rPr>
          <w:color w:val="000000"/>
        </w:rPr>
        <w:t>En razón de</w:t>
      </w:r>
      <w:proofErr w:type="gramEnd"/>
      <w:r>
        <w:rPr>
          <w:color w:val="000000"/>
        </w:rPr>
        <w:t xml:space="preserve"> que fue debidamente sustanciado e integrado el expediente electrónico y no existe diligencia pendiente de desahogo, se emite la resolución que conforme a Derecho proceda, </w:t>
      </w:r>
      <w:proofErr w:type="gramStart"/>
      <w:r>
        <w:rPr>
          <w:color w:val="000000"/>
        </w:rPr>
        <w:t>de acuerdo a</w:t>
      </w:r>
      <w:proofErr w:type="gramEnd"/>
      <w:r>
        <w:rPr>
          <w:color w:val="000000"/>
        </w:rPr>
        <w:t xml:space="preserve"> los siguientes:</w:t>
      </w:r>
    </w:p>
    <w:p w14:paraId="350AFA6D" w14:textId="77777777" w:rsidR="00113961" w:rsidRDefault="00113961">
      <w:pPr>
        <w:spacing w:after="0" w:line="360" w:lineRule="auto"/>
        <w:rPr>
          <w:b/>
          <w:color w:val="000000"/>
        </w:rPr>
      </w:pPr>
    </w:p>
    <w:p w14:paraId="0135E81D" w14:textId="77777777" w:rsidR="00113961" w:rsidRDefault="008765D5">
      <w:pPr>
        <w:pStyle w:val="Ttulo1"/>
        <w:spacing w:before="0" w:line="360" w:lineRule="auto"/>
        <w:jc w:val="center"/>
        <w:rPr>
          <w:rFonts w:ascii="Palatino Linotype" w:eastAsia="Palatino Linotype" w:hAnsi="Palatino Linotype" w:cs="Palatino Linotype"/>
          <w:b/>
          <w:color w:val="000000"/>
          <w:sz w:val="22"/>
          <w:szCs w:val="22"/>
        </w:rPr>
      </w:pPr>
      <w:bookmarkStart w:id="6" w:name="_heading=h.g434k4fenh3p" w:colFirst="0" w:colLast="0"/>
      <w:bookmarkEnd w:id="6"/>
      <w:r>
        <w:rPr>
          <w:rFonts w:ascii="Palatino Linotype" w:eastAsia="Palatino Linotype" w:hAnsi="Palatino Linotype" w:cs="Palatino Linotype"/>
          <w:b/>
          <w:color w:val="000000"/>
          <w:sz w:val="22"/>
          <w:szCs w:val="22"/>
        </w:rPr>
        <w:t>C O N S I D E R A N D O S</w:t>
      </w:r>
    </w:p>
    <w:p w14:paraId="0C166313" w14:textId="77777777" w:rsidR="00113961" w:rsidRDefault="00113961">
      <w:pPr>
        <w:spacing w:after="0" w:line="360" w:lineRule="auto"/>
        <w:jc w:val="center"/>
        <w:rPr>
          <w:b/>
          <w:color w:val="000000"/>
        </w:rPr>
      </w:pPr>
    </w:p>
    <w:p w14:paraId="51E38EC5"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7" w:name="_heading=h.3o3pgyo4cffh" w:colFirst="0" w:colLast="0"/>
      <w:bookmarkEnd w:id="7"/>
      <w:r>
        <w:rPr>
          <w:rFonts w:ascii="Palatino Linotype" w:eastAsia="Palatino Linotype" w:hAnsi="Palatino Linotype" w:cs="Palatino Linotype"/>
          <w:b/>
          <w:color w:val="000000"/>
          <w:sz w:val="22"/>
          <w:szCs w:val="22"/>
        </w:rPr>
        <w:t>PRIMERO. Competencia</w:t>
      </w:r>
    </w:p>
    <w:p w14:paraId="21E8E9C2" w14:textId="77777777" w:rsidR="00503E3C" w:rsidRPr="00503E3C" w:rsidRDefault="00503E3C" w:rsidP="00503E3C"/>
    <w:p w14:paraId="7F5C6C86" w14:textId="77777777" w:rsidR="00113961" w:rsidRDefault="00503E3C">
      <w:pPr>
        <w:spacing w:after="0" w:line="360" w:lineRule="auto"/>
        <w:rPr>
          <w:color w:val="000000"/>
        </w:rPr>
      </w:pPr>
      <w:r w:rsidRPr="00503E3C">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w:t>
      </w:r>
      <w:r w:rsidRPr="00503E3C">
        <w:rPr>
          <w:color w:val="000000"/>
        </w:rPr>
        <w:lastRenderedPageBreak/>
        <w:t>Instituto de Transparencia, Acceso a la Información Pública y Protección de Datos Personales del Estado de México y Municipios.</w:t>
      </w:r>
    </w:p>
    <w:p w14:paraId="17BC4199" w14:textId="77777777" w:rsidR="00503E3C" w:rsidRPr="00503E3C" w:rsidRDefault="00503E3C">
      <w:pPr>
        <w:spacing w:after="0" w:line="360" w:lineRule="auto"/>
        <w:rPr>
          <w:color w:val="000000"/>
        </w:rPr>
      </w:pPr>
    </w:p>
    <w:p w14:paraId="2C2D5A3B" w14:textId="77777777" w:rsidR="00113961" w:rsidRDefault="008765D5">
      <w:pPr>
        <w:pStyle w:val="Ttulo2"/>
        <w:spacing w:before="0" w:line="360" w:lineRule="auto"/>
        <w:rPr>
          <w:rFonts w:ascii="Palatino Linotype" w:eastAsia="Palatino Linotype" w:hAnsi="Palatino Linotype" w:cs="Palatino Linotype"/>
          <w:b/>
          <w:sz w:val="22"/>
          <w:szCs w:val="22"/>
        </w:rPr>
      </w:pPr>
      <w:bookmarkStart w:id="8" w:name="_heading=h.b0w4f7n6agbt" w:colFirst="0" w:colLast="0"/>
      <w:bookmarkStart w:id="9" w:name="_heading=h.4gyzpqi5vnmd" w:colFirst="0" w:colLast="0"/>
      <w:bookmarkEnd w:id="8"/>
      <w:bookmarkEnd w:id="9"/>
      <w:r>
        <w:rPr>
          <w:rFonts w:ascii="Palatino Linotype" w:eastAsia="Palatino Linotype" w:hAnsi="Palatino Linotype" w:cs="Palatino Linotype"/>
          <w:b/>
          <w:color w:val="000000"/>
          <w:sz w:val="22"/>
          <w:szCs w:val="22"/>
        </w:rPr>
        <w:t xml:space="preserve">SEGUNDO. Causales de improcedencia y sobreseimiento </w:t>
      </w:r>
    </w:p>
    <w:p w14:paraId="62EB667E" w14:textId="77777777" w:rsidR="00113961" w:rsidRDefault="00113961">
      <w:pPr>
        <w:spacing w:after="0" w:line="360" w:lineRule="auto"/>
        <w:rPr>
          <w:color w:val="000000"/>
        </w:rPr>
      </w:pPr>
    </w:p>
    <w:p w14:paraId="7BC7E08A" w14:textId="77777777" w:rsidR="00113961" w:rsidRDefault="008765D5">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3DFDF622" w14:textId="77777777" w:rsidR="00113961" w:rsidRDefault="00113961">
      <w:pPr>
        <w:spacing w:after="0" w:line="360" w:lineRule="auto"/>
        <w:rPr>
          <w:b/>
        </w:rPr>
      </w:pPr>
    </w:p>
    <w:p w14:paraId="52D854AF" w14:textId="77777777" w:rsidR="00113961" w:rsidRDefault="008765D5">
      <w:pPr>
        <w:spacing w:after="0" w:line="360" w:lineRule="auto"/>
        <w:rPr>
          <w:b/>
        </w:rPr>
      </w:pPr>
      <w:r>
        <w:rPr>
          <w:b/>
        </w:rPr>
        <w:t>Causales de improcedencia</w:t>
      </w:r>
    </w:p>
    <w:p w14:paraId="5035B1B6" w14:textId="77777777" w:rsidR="00113961" w:rsidRDefault="00113961">
      <w:pPr>
        <w:spacing w:after="0" w:line="360" w:lineRule="auto"/>
      </w:pPr>
    </w:p>
    <w:p w14:paraId="36EF81CA" w14:textId="77777777" w:rsidR="00113961" w:rsidRDefault="008765D5">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D52E0BA" w14:textId="77777777" w:rsidR="00113961" w:rsidRDefault="00113961">
      <w:pPr>
        <w:spacing w:after="0" w:line="360" w:lineRule="auto"/>
        <w:rPr>
          <w:color w:val="000000"/>
        </w:rPr>
      </w:pPr>
    </w:p>
    <w:p w14:paraId="0F83F7D8" w14:textId="77777777" w:rsidR="00113961" w:rsidRDefault="008765D5">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4C7DCC1" w14:textId="77777777" w:rsidR="00113961" w:rsidRDefault="00113961">
      <w:pPr>
        <w:spacing w:after="0" w:line="360" w:lineRule="auto"/>
        <w:rPr>
          <w:color w:val="000000"/>
        </w:rPr>
      </w:pPr>
    </w:p>
    <w:p w14:paraId="126CB64D" w14:textId="77777777" w:rsidR="00113961" w:rsidRDefault="008765D5">
      <w:pPr>
        <w:spacing w:after="0" w:line="360" w:lineRule="auto"/>
        <w:rPr>
          <w:color w:val="000000"/>
        </w:rPr>
      </w:pPr>
      <w:r>
        <w:rPr>
          <w:color w:val="000000"/>
        </w:rPr>
        <w:t>Conforme a lo anterior, se actualiza la causal de procedencia señalada en el artículo 179</w:t>
      </w:r>
      <w:r>
        <w:t xml:space="preserve">, fracción VI, de la Ley en cita, pues la persona Recurrente se inconformó </w:t>
      </w:r>
      <w:r>
        <w:rPr>
          <w:color w:val="000000"/>
        </w:rPr>
        <w:t xml:space="preserve">con la entrega de información que no corresponde con lo solicitado. </w:t>
      </w:r>
    </w:p>
    <w:p w14:paraId="6F9A67CF" w14:textId="77777777" w:rsidR="00113961" w:rsidRDefault="00113961">
      <w:pPr>
        <w:spacing w:after="0" w:line="360" w:lineRule="auto"/>
      </w:pPr>
    </w:p>
    <w:p w14:paraId="118D671D" w14:textId="77777777" w:rsidR="00113961" w:rsidRDefault="008765D5">
      <w:pPr>
        <w:spacing w:after="0" w:line="360" w:lineRule="auto"/>
        <w:rPr>
          <w:color w:val="0D0D0D"/>
        </w:rPr>
      </w:pPr>
      <w:r>
        <w:rPr>
          <w:b/>
          <w:color w:val="0D0D0D"/>
        </w:rPr>
        <w:t>Causales de sobreseimiento</w:t>
      </w:r>
    </w:p>
    <w:p w14:paraId="78B98133" w14:textId="77777777" w:rsidR="00113961" w:rsidRDefault="00113961">
      <w:pPr>
        <w:spacing w:after="0" w:line="360" w:lineRule="auto"/>
        <w:rPr>
          <w:color w:val="0D0D0D"/>
        </w:rPr>
      </w:pPr>
    </w:p>
    <w:p w14:paraId="7F9E6E2B" w14:textId="77777777" w:rsidR="00113961" w:rsidRDefault="008765D5">
      <w:pPr>
        <w:spacing w:after="0" w:line="360" w:lineRule="auto"/>
        <w:rPr>
          <w:color w:val="0D0D0D"/>
        </w:rPr>
      </w:pPr>
      <w:r>
        <w:rPr>
          <w:color w:val="0D0D0D"/>
        </w:rPr>
        <w:t>Por ser de previo y especial pronunciamiento, este Instituto analiza si se actualiza alguna causal de sobreseimiento.</w:t>
      </w:r>
    </w:p>
    <w:p w14:paraId="7BF57682" w14:textId="77777777" w:rsidR="00113961" w:rsidRDefault="00113961">
      <w:pPr>
        <w:spacing w:after="0" w:line="360" w:lineRule="auto"/>
        <w:rPr>
          <w:color w:val="0D0D0D"/>
        </w:rPr>
      </w:pPr>
    </w:p>
    <w:p w14:paraId="12D0420E" w14:textId="77777777" w:rsidR="00113961" w:rsidRDefault="008765D5">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A82CB0E" w14:textId="77777777" w:rsidR="00113961" w:rsidRDefault="00113961">
      <w:pPr>
        <w:spacing w:after="0" w:line="360" w:lineRule="auto"/>
        <w:rPr>
          <w:color w:val="000000"/>
        </w:rPr>
      </w:pPr>
    </w:p>
    <w:p w14:paraId="66B4CC39" w14:textId="77777777" w:rsidR="00113961" w:rsidRDefault="008765D5">
      <w:pPr>
        <w:spacing w:after="0" w:line="360" w:lineRule="auto"/>
        <w:rPr>
          <w:color w:val="0D0D0D"/>
        </w:rPr>
      </w:pPr>
      <w:r>
        <w:rPr>
          <w:color w:val="0D0D0D"/>
        </w:rPr>
        <w:t xml:space="preserve">Por tales motivos, se considera procedente entrar al fondo del presente asunto. </w:t>
      </w:r>
    </w:p>
    <w:p w14:paraId="410B9560" w14:textId="77777777" w:rsidR="00113961" w:rsidRDefault="00113961">
      <w:pPr>
        <w:spacing w:after="0" w:line="360" w:lineRule="auto"/>
        <w:rPr>
          <w:b/>
          <w:color w:val="000000"/>
        </w:rPr>
      </w:pPr>
    </w:p>
    <w:p w14:paraId="746E6893"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10" w:name="_heading=h.44k479spspc4" w:colFirst="0" w:colLast="0"/>
      <w:bookmarkEnd w:id="10"/>
      <w:r>
        <w:rPr>
          <w:rFonts w:ascii="Palatino Linotype" w:eastAsia="Palatino Linotype" w:hAnsi="Palatino Linotype" w:cs="Palatino Linotype"/>
          <w:b/>
          <w:color w:val="000000"/>
          <w:sz w:val="22"/>
          <w:szCs w:val="22"/>
        </w:rPr>
        <w:t>TERCERO. Determinación de la Controversia</w:t>
      </w:r>
    </w:p>
    <w:p w14:paraId="4AAED466" w14:textId="77777777" w:rsidR="00113961" w:rsidRDefault="00113961">
      <w:pPr>
        <w:spacing w:after="0" w:line="360" w:lineRule="auto"/>
        <w:rPr>
          <w:color w:val="000000"/>
        </w:rPr>
      </w:pPr>
    </w:p>
    <w:p w14:paraId="301736C8" w14:textId="77777777" w:rsidR="00113961" w:rsidRDefault="008765D5">
      <w:pPr>
        <w:spacing w:after="0" w:line="360" w:lineRule="auto"/>
      </w:pPr>
      <w:bookmarkStart w:id="11" w:name="_heading=h.8gl4ok4t7yk8" w:colFirst="0" w:colLast="0"/>
      <w:bookmarkEnd w:id="11"/>
      <w:r>
        <w:t>Con el objetivo de ilustrar la controversia planteada, resulta conveniente precisar, que una vez realizado el estudio de las constancias que integran el expediente en el que se actúa, se desprende que el Particular requirió, el Programa Anual de Obra Pública, correspondiente al ejercicio fiscal dos mil veinticinco.</w:t>
      </w:r>
    </w:p>
    <w:p w14:paraId="059D5573" w14:textId="77777777" w:rsidR="00113961" w:rsidRDefault="00113961">
      <w:pPr>
        <w:spacing w:after="0" w:line="360" w:lineRule="auto"/>
        <w:rPr>
          <w:i/>
          <w:color w:val="000000"/>
          <w:sz w:val="20"/>
          <w:szCs w:val="20"/>
        </w:rPr>
      </w:pPr>
    </w:p>
    <w:p w14:paraId="7FE3D87E" w14:textId="77777777" w:rsidR="00113961" w:rsidRDefault="008765D5">
      <w:pPr>
        <w:spacing w:after="0" w:line="360" w:lineRule="auto"/>
        <w:rPr>
          <w:color w:val="000000"/>
        </w:rPr>
      </w:pPr>
      <w:r>
        <w:rPr>
          <w:color w:val="000000"/>
        </w:rPr>
        <w:t xml:space="preserve">En respuesta, el Sujeto Obligado, a través de la Unidad de Transparencia proporcionó una liga electrónica  que dirige al Programa Anual de Evaluación (PAE) del ejercicio fiscal 2025, mientras que la  Dirección de Obras Públicas remitió una liga en formato cerrado; </w:t>
      </w:r>
      <w:r>
        <w:t>ante dicha circunstancia, el Particular se inconformó por el la entrega de información que no corresponde con lo solicitado,  lo cual actualiza la causal de procedencia prevista en la fracción VI, del artículo 179 de la Ley de Transparencia y Acceso a la Información Pública del Estado de México y Municipios</w:t>
      </w:r>
      <w:r>
        <w:rPr>
          <w:color w:val="0D0D0D"/>
        </w:rPr>
        <w:t xml:space="preserve">. </w:t>
      </w:r>
      <w:r>
        <w:t>Así, las cosas, una vez admitido y notificado el Recurso de Revisión a las partes, estas fueron omisas en emitir manifestaciones o alegatos.</w:t>
      </w:r>
    </w:p>
    <w:p w14:paraId="62F5510F" w14:textId="77777777" w:rsidR="00113961" w:rsidRDefault="00113961">
      <w:pPr>
        <w:tabs>
          <w:tab w:val="left" w:pos="4962"/>
        </w:tabs>
        <w:spacing w:after="0" w:line="360" w:lineRule="auto"/>
      </w:pPr>
    </w:p>
    <w:p w14:paraId="78338CE1" w14:textId="77777777" w:rsidR="00113961" w:rsidRDefault="008765D5">
      <w:pPr>
        <w:tabs>
          <w:tab w:val="left" w:pos="4962"/>
        </w:tabs>
        <w:spacing w:after="0" w:line="360" w:lineRule="auto"/>
      </w:pPr>
      <w:r>
        <w:t xml:space="preserve">Lo anterior, se desprende de las documentales que obran en el expediente de referencia, materia de la presente resolución, consistente en: la solicitud de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CB08B2C" w14:textId="77777777" w:rsidR="00113961" w:rsidRDefault="00113961">
      <w:pPr>
        <w:spacing w:after="0" w:line="360" w:lineRule="auto"/>
        <w:rPr>
          <w:b/>
          <w:color w:val="000000"/>
        </w:rPr>
      </w:pPr>
    </w:p>
    <w:p w14:paraId="4BD80581"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12" w:name="_heading=h.e0wkp6iqmto8" w:colFirst="0" w:colLast="0"/>
      <w:bookmarkEnd w:id="12"/>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3957FCB5" w14:textId="77777777" w:rsidR="00113961" w:rsidRDefault="00113961">
      <w:pPr>
        <w:spacing w:after="0" w:line="360" w:lineRule="auto"/>
        <w:rPr>
          <w:color w:val="000000"/>
        </w:rPr>
      </w:pPr>
    </w:p>
    <w:p w14:paraId="7F86733B" w14:textId="77777777" w:rsidR="00113961" w:rsidRDefault="008765D5">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proofErr w:type="gramStart"/>
      <w:r>
        <w:rPr>
          <w:color w:val="000000"/>
        </w:rPr>
        <w:t>autoridad,</w:t>
      </w:r>
      <w:proofErr w:type="gramEnd"/>
      <w:r>
        <w:rPr>
          <w:color w:val="000000"/>
        </w:rPr>
        <w:t xml:space="preserve"> es pública y sólo podrá ser reservada temporalmente por razones de interés público.</w:t>
      </w:r>
    </w:p>
    <w:p w14:paraId="63FFA993" w14:textId="77777777" w:rsidR="00113961" w:rsidRDefault="00113961">
      <w:pPr>
        <w:spacing w:after="0" w:line="360" w:lineRule="auto"/>
        <w:rPr>
          <w:color w:val="000000"/>
        </w:rPr>
      </w:pPr>
    </w:p>
    <w:p w14:paraId="62195214" w14:textId="77777777" w:rsidR="00113961" w:rsidRDefault="008765D5">
      <w:pPr>
        <w:spacing w:after="0" w:line="360" w:lineRule="auto"/>
        <w:rPr>
          <w:color w:val="000000"/>
        </w:rPr>
      </w:pPr>
      <w:r>
        <w:rPr>
          <w:color w:val="000000"/>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06EB5C4" w14:textId="77777777" w:rsidR="00113961" w:rsidRDefault="00113961">
      <w:pPr>
        <w:spacing w:after="0" w:line="360" w:lineRule="auto"/>
        <w:rPr>
          <w:color w:val="000000"/>
        </w:rPr>
      </w:pPr>
    </w:p>
    <w:p w14:paraId="323FD448" w14:textId="77777777" w:rsidR="00113961" w:rsidRDefault="008765D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BF8AD9" w14:textId="77777777" w:rsidR="00113961" w:rsidRDefault="00113961">
      <w:pPr>
        <w:spacing w:after="0" w:line="360" w:lineRule="auto"/>
        <w:rPr>
          <w:color w:val="000000"/>
        </w:rPr>
      </w:pPr>
    </w:p>
    <w:p w14:paraId="303E911E" w14:textId="77777777" w:rsidR="00113961" w:rsidRDefault="008765D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B520BCE" w14:textId="77777777" w:rsidR="00113961" w:rsidRDefault="00113961">
      <w:pPr>
        <w:spacing w:after="0" w:line="360" w:lineRule="auto"/>
        <w:rPr>
          <w:color w:val="000000"/>
        </w:rPr>
      </w:pPr>
    </w:p>
    <w:p w14:paraId="459BCADB" w14:textId="77777777" w:rsidR="00113961" w:rsidRDefault="008765D5">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4C2187E" w14:textId="77777777" w:rsidR="00113961" w:rsidRDefault="00113961">
      <w:pPr>
        <w:spacing w:after="0" w:line="360" w:lineRule="auto"/>
        <w:rPr>
          <w:color w:val="000000"/>
        </w:rPr>
      </w:pPr>
    </w:p>
    <w:p w14:paraId="25324097" w14:textId="77777777" w:rsidR="00113961" w:rsidRDefault="008765D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3E497C8" w14:textId="77777777" w:rsidR="00113961" w:rsidRDefault="00113961">
      <w:pPr>
        <w:spacing w:after="0" w:line="360" w:lineRule="auto"/>
        <w:rPr>
          <w:color w:val="000000"/>
        </w:rPr>
      </w:pPr>
    </w:p>
    <w:p w14:paraId="439F8C9A" w14:textId="77777777" w:rsidR="00113961" w:rsidRDefault="008765D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E1CB95" w14:textId="77777777" w:rsidR="00113961" w:rsidRDefault="00113961">
      <w:pPr>
        <w:spacing w:after="0" w:line="360" w:lineRule="auto"/>
      </w:pPr>
    </w:p>
    <w:p w14:paraId="234BF297"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13" w:name="_heading=h.tk4ixa8a7l0i" w:colFirst="0" w:colLast="0"/>
      <w:bookmarkEnd w:id="13"/>
      <w:r>
        <w:rPr>
          <w:rFonts w:ascii="Palatino Linotype" w:eastAsia="Palatino Linotype" w:hAnsi="Palatino Linotype" w:cs="Palatino Linotype"/>
          <w:b/>
          <w:color w:val="000000"/>
          <w:sz w:val="22"/>
          <w:szCs w:val="22"/>
        </w:rPr>
        <w:lastRenderedPageBreak/>
        <w:t>QUINTO. Estudio de Fondo</w:t>
      </w:r>
    </w:p>
    <w:p w14:paraId="33A64E11" w14:textId="77777777" w:rsidR="00113961" w:rsidRDefault="00113961">
      <w:pPr>
        <w:spacing w:after="0" w:line="360" w:lineRule="auto"/>
        <w:rPr>
          <w:b/>
          <w:color w:val="000000"/>
        </w:rPr>
      </w:pPr>
    </w:p>
    <w:p w14:paraId="0E0DB965" w14:textId="77777777" w:rsidR="00113961" w:rsidRDefault="008765D5">
      <w:pPr>
        <w:spacing w:after="0" w:line="360" w:lineRule="auto"/>
      </w:pPr>
      <w:r>
        <w:rPr>
          <w:color w:val="000000"/>
        </w:rPr>
        <w:t>Expuestas las posturas de las partes, se procede al análisis del agravio hecho valer por la persona Recurrente</w:t>
      </w:r>
      <w:r>
        <w:t>, por lo que, en principio es necesario contextualizar la solicitud de información.</w:t>
      </w:r>
    </w:p>
    <w:p w14:paraId="3F8E1BA7" w14:textId="77777777" w:rsidR="00113961" w:rsidRDefault="00113961">
      <w:pPr>
        <w:spacing w:after="0" w:line="360" w:lineRule="auto"/>
      </w:pPr>
    </w:p>
    <w:p w14:paraId="49C7A5D7" w14:textId="77777777" w:rsidR="00113961" w:rsidRDefault="008765D5">
      <w:pPr>
        <w:spacing w:after="0" w:line="360" w:lineRule="auto"/>
      </w:pPr>
      <w:r>
        <w:t>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14:paraId="0B321096" w14:textId="77777777" w:rsidR="00113961" w:rsidRDefault="00113961">
      <w:pPr>
        <w:spacing w:after="0" w:line="360" w:lineRule="auto"/>
      </w:pPr>
    </w:p>
    <w:p w14:paraId="1AB2F80D" w14:textId="77777777" w:rsidR="00113961" w:rsidRDefault="008765D5">
      <w:pPr>
        <w:spacing w:after="0" w:line="360" w:lineRule="auto"/>
      </w:pPr>
      <w:r>
        <w:t>Ahora bien, respecto al Programa, es necesario traer a colación el párrafo tercero del artículo 285, del Código Financiero del Estado de México y Municipios, que precisa que el Ayuntamiento es el encargado de aprobar el Presupuesto de Egresos del Municipio.</w:t>
      </w:r>
    </w:p>
    <w:p w14:paraId="5EE2CEFB" w14:textId="77777777" w:rsidR="00113961" w:rsidRDefault="00113961">
      <w:pPr>
        <w:spacing w:after="0" w:line="360" w:lineRule="auto"/>
      </w:pPr>
    </w:p>
    <w:p w14:paraId="3E2B5F3B" w14:textId="77777777" w:rsidR="00113961" w:rsidRDefault="008765D5">
      <w:pPr>
        <w:spacing w:after="0" w:line="360" w:lineRule="auto"/>
      </w:pPr>
      <w:r>
        <w:t>En el mismo sentido, el artículo 31, fracción XIX, de la Ley Orgánica Municipal del Estado de México, establece que los Ayuntamientos serán los encargados de aprobar anualmente, el Presupuesto de Egresos, en base a los ingresos presupuestados para el ejercicio que corresponda.</w:t>
      </w:r>
    </w:p>
    <w:p w14:paraId="20F1316D" w14:textId="77777777" w:rsidR="00113961" w:rsidRDefault="00113961">
      <w:pPr>
        <w:spacing w:after="0" w:line="360" w:lineRule="auto"/>
      </w:pPr>
    </w:p>
    <w:p w14:paraId="6001F804" w14:textId="77777777" w:rsidR="00113961" w:rsidRDefault="008765D5">
      <w:pPr>
        <w:spacing w:after="0" w:line="360" w:lineRule="auto"/>
      </w:pPr>
      <w:r>
        <w:t xml:space="preserve">Además, los diversos 100 y 101, fracción II, de dicho ordenamiento jurídico, prevén que el Presupuesto de Egresos, deberá contener las previsiones de gasto público y se conformará, entre otras cosas, por los </w:t>
      </w:r>
      <w:r>
        <w:rPr>
          <w:b/>
        </w:rPr>
        <w:t>programas</w:t>
      </w:r>
      <w:r>
        <w:t xml:space="preserve"> en que se señalen objetivos, metas y unidades responsables para su ejecución, así como la valuación estimada del programa.</w:t>
      </w:r>
    </w:p>
    <w:p w14:paraId="46948DFD" w14:textId="77777777" w:rsidR="00113961" w:rsidRDefault="00113961">
      <w:pPr>
        <w:spacing w:after="0" w:line="360" w:lineRule="auto"/>
      </w:pPr>
    </w:p>
    <w:p w14:paraId="4C180943" w14:textId="77777777" w:rsidR="00113961" w:rsidRDefault="008765D5">
      <w:pPr>
        <w:spacing w:after="0" w:line="360" w:lineRule="auto"/>
      </w:pPr>
      <w:r>
        <w:t>Así, en el Marco Conceptual, en el apartado “Definición del Presupuesto”, del Manual para la Planeación, Programación y Presupuesto de Egresos Municipal para el Ejercicio Fiscal 2025,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51282DD3" w14:textId="77777777" w:rsidR="00113961" w:rsidRDefault="00113961">
      <w:pPr>
        <w:spacing w:after="0" w:line="360" w:lineRule="auto"/>
      </w:pPr>
    </w:p>
    <w:p w14:paraId="0D72D35E" w14:textId="77777777" w:rsidR="00113961" w:rsidRDefault="008765D5">
      <w:pPr>
        <w:spacing w:after="0" w:line="360" w:lineRule="auto"/>
      </w:pPr>
      <w:r>
        <w:t xml:space="preserve">Por otra parte, en los Lineamientos generales, del apartado del Presupuesto de Egresos Municipal (Tercera etapa), de dicho ordenamiento, establece los Formatos que integran el Proyecto de Presupuesto de Egresos, entre los cuales, se encuentra el </w:t>
      </w:r>
      <w:r>
        <w:rPr>
          <w:b/>
        </w:rPr>
        <w:t>Programa Anual de Obra (</w:t>
      </w:r>
      <w:proofErr w:type="spellStart"/>
      <w:r>
        <w:rPr>
          <w:b/>
        </w:rPr>
        <w:t>PbRM</w:t>
      </w:r>
      <w:proofErr w:type="spellEnd"/>
      <w:r>
        <w:rPr>
          <w:b/>
        </w:rPr>
        <w:t xml:space="preserve"> E-07a)</w:t>
      </w:r>
      <w:r>
        <w:t>.</w:t>
      </w:r>
    </w:p>
    <w:p w14:paraId="09237D37" w14:textId="77777777" w:rsidR="00113961" w:rsidRDefault="00113961">
      <w:pPr>
        <w:spacing w:after="0" w:line="360" w:lineRule="auto"/>
      </w:pPr>
    </w:p>
    <w:p w14:paraId="31876612" w14:textId="77777777" w:rsidR="00113961" w:rsidRDefault="008765D5">
      <w:pPr>
        <w:spacing w:after="0" w:line="360" w:lineRule="auto"/>
      </w:pPr>
      <w:r>
        <w:t xml:space="preserve">Ahora bien, los artículos 250 y 251 del Bando Municipal, dos mil veinticinco, de Almoloya de Juárez, establecen que una obra pública se considera todo trabajo que tenga por objeto principal construir, instalar, ampliar, adecuar, remodelar, restaurar, conservar, mantener, modificar o demoler bienes inmuebles propiedad del Estado, de sus dependencias y entidades; así como de los municipios y sus organismos con cargo a recursos públicos estatales o municipales y para </w:t>
      </w:r>
      <w:proofErr w:type="spellStart"/>
      <w:r>
        <w:t>tale</w:t>
      </w:r>
      <w:proofErr w:type="spellEnd"/>
      <w:r>
        <w:t xml:space="preserve"> efecto el Ayuntamiento se auxiliará de la Dirección de Obra Pública, encargada de planear, programar presupuestar, mantendrá y adecuará las obras de infraestructura y apoyará la realización de obras con la participación de las comunidades, así como formular y proponer el Programa Anual de Obra Pública, de acuerdo a la normatividad aplicable y en congruencia con los objetivos y lineamientos del Plan de Desarrollo Municipal. </w:t>
      </w:r>
    </w:p>
    <w:p w14:paraId="32639822" w14:textId="77777777" w:rsidR="00113961" w:rsidRDefault="00113961">
      <w:pPr>
        <w:spacing w:after="0" w:line="360" w:lineRule="auto"/>
        <w:rPr>
          <w:color w:val="000000"/>
        </w:rPr>
      </w:pPr>
    </w:p>
    <w:p w14:paraId="31D010CB" w14:textId="77777777" w:rsidR="00113961" w:rsidRDefault="008765D5">
      <w:pPr>
        <w:spacing w:after="0" w:line="360" w:lineRule="auto"/>
      </w:pPr>
      <w:bookmarkStart w:id="14" w:name="_heading=h.lwkiqpcfgfqr" w:colFirst="0" w:colLast="0"/>
      <w:bookmarkEnd w:id="14"/>
      <w:r>
        <w:lastRenderedPageBreak/>
        <w:t xml:space="preserve">Conforme a lo anterior, se logra vislumbrar que la pretensión de la persona Recurrente es obtener el Programa Anual de Obra Pública </w:t>
      </w:r>
      <w:proofErr w:type="spellStart"/>
      <w:r>
        <w:t>PbRM</w:t>
      </w:r>
      <w:proofErr w:type="spellEnd"/>
      <w:r>
        <w:t xml:space="preserve"> E-07a, del ejercicio fiscal dos mil veinticinco.</w:t>
      </w:r>
    </w:p>
    <w:p w14:paraId="1620F751" w14:textId="77777777" w:rsidR="00113961" w:rsidRDefault="00113961">
      <w:pPr>
        <w:spacing w:after="0" w:line="360" w:lineRule="auto"/>
      </w:pPr>
    </w:p>
    <w:p w14:paraId="09BCA16A" w14:textId="77777777" w:rsidR="00113961" w:rsidRDefault="008765D5">
      <w:pPr>
        <w:spacing w:after="0" w:line="360" w:lineRule="auto"/>
        <w:rPr>
          <w:color w:val="0D0D0D"/>
        </w:rPr>
      </w:pPr>
      <w:bookmarkStart w:id="15" w:name="_heading=h.ymhrqxg6v097" w:colFirst="0" w:colLast="0"/>
      <w:bookmarkEnd w:id="15"/>
      <w:r>
        <w:rPr>
          <w:color w:val="000000"/>
        </w:rPr>
        <w:t>Ahora bien, de las constancias que obran en el expediente electrónico, se advierte que el Sujeto Obligado</w:t>
      </w:r>
      <w:r>
        <w:rPr>
          <w:color w:val="0D0D0D"/>
        </w:rPr>
        <w:t>, turnó la solicitud de información a la Dirección de Obras Públicas</w:t>
      </w:r>
      <w:r>
        <w:rPr>
          <w:color w:val="000000"/>
        </w:rPr>
        <w:t xml:space="preserve">; </w:t>
      </w:r>
      <w:r>
        <w:t xml:space="preserve">por lo que, es oportuno hacer referencia al </w:t>
      </w:r>
      <w:r>
        <w:rPr>
          <w:b/>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48921D2" w14:textId="77777777" w:rsidR="00113961" w:rsidRDefault="00113961">
      <w:pPr>
        <w:spacing w:after="0" w:line="360" w:lineRule="auto"/>
      </w:pPr>
    </w:p>
    <w:p w14:paraId="3BE3459D" w14:textId="77777777" w:rsidR="00113961" w:rsidRDefault="008765D5">
      <w:pPr>
        <w:spacing w:after="0" w:line="360" w:lineRule="auto"/>
        <w:rPr>
          <w:color w:val="000000"/>
        </w:rPr>
      </w:pPr>
      <w:r>
        <w:rPr>
          <w:color w:val="000000"/>
        </w:rPr>
        <w:t>Así y de lo plasmado en párrafos anteriores,</w:t>
      </w:r>
      <w:r>
        <w:t xml:space="preserve"> se logra colegir que el Sujeto Obligado cumplió con el procedimiento de búsqueda </w:t>
      </w:r>
      <w:r>
        <w:rPr>
          <w:color w:val="000000"/>
        </w:rPr>
        <w:t>establecido en la Ley de Transparencia y Acceso a la Información Pública del Estado de México y Municipios, toda vez, que turnó el requerimiento de información al área competente de conocer la información.</w:t>
      </w:r>
    </w:p>
    <w:p w14:paraId="18F26716" w14:textId="77777777" w:rsidR="00113961" w:rsidRDefault="00113961">
      <w:pPr>
        <w:spacing w:after="0" w:line="360" w:lineRule="auto"/>
        <w:rPr>
          <w:b/>
          <w:color w:val="000000"/>
        </w:rPr>
      </w:pPr>
    </w:p>
    <w:p w14:paraId="266982AC" w14:textId="77777777" w:rsidR="00113961" w:rsidRDefault="008765D5">
      <w:pPr>
        <w:spacing w:after="0" w:line="360" w:lineRule="auto"/>
        <w:rPr>
          <w:color w:val="000000"/>
        </w:rPr>
      </w:pPr>
      <w:r>
        <w:rPr>
          <w:color w:val="000000"/>
        </w:rPr>
        <w:t xml:space="preserve">Ahora bien, en respuesta, la Dirección de Obras Públicas proporcionó </w:t>
      </w:r>
      <w:proofErr w:type="gramStart"/>
      <w:r>
        <w:rPr>
          <w:color w:val="000000"/>
        </w:rPr>
        <w:t>un liga</w:t>
      </w:r>
      <w:proofErr w:type="gramEnd"/>
      <w:r>
        <w:rPr>
          <w:color w:val="000000"/>
        </w:rPr>
        <w:t xml:space="preserve"> para consultar la información solicitada, tal como se muestra en la siguiente imagen ilustrativa: </w:t>
      </w:r>
    </w:p>
    <w:p w14:paraId="38C6C57E" w14:textId="77777777" w:rsidR="00113961" w:rsidRDefault="00113961">
      <w:pPr>
        <w:spacing w:after="0" w:line="360" w:lineRule="auto"/>
        <w:rPr>
          <w:b/>
        </w:rPr>
      </w:pPr>
    </w:p>
    <w:p w14:paraId="3C9357C7" w14:textId="77777777" w:rsidR="00113961" w:rsidRDefault="008765D5">
      <w:pPr>
        <w:spacing w:after="0" w:line="360" w:lineRule="auto"/>
        <w:jc w:val="center"/>
      </w:pPr>
      <w:r>
        <w:rPr>
          <w:noProof/>
        </w:rPr>
        <w:drawing>
          <wp:inline distT="0" distB="0" distL="0" distR="0" wp14:anchorId="2E55777C" wp14:editId="1FD596B5">
            <wp:extent cx="5082980" cy="647756"/>
            <wp:effectExtent l="0" t="0" r="0" b="0"/>
            <wp:docPr id="2121741584" name="image2.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10;&#10;El contenido generado por IA puede ser incorrecto."/>
                    <pic:cNvPicPr preferRelativeResize="0"/>
                  </pic:nvPicPr>
                  <pic:blipFill>
                    <a:blip r:embed="rId11"/>
                    <a:srcRect/>
                    <a:stretch>
                      <a:fillRect/>
                    </a:stretch>
                  </pic:blipFill>
                  <pic:spPr>
                    <a:xfrm>
                      <a:off x="0" y="0"/>
                      <a:ext cx="5082980" cy="647756"/>
                    </a:xfrm>
                    <a:prstGeom prst="rect">
                      <a:avLst/>
                    </a:prstGeom>
                    <a:ln/>
                  </pic:spPr>
                </pic:pic>
              </a:graphicData>
            </a:graphic>
          </wp:inline>
        </w:drawing>
      </w:r>
    </w:p>
    <w:p w14:paraId="7B9B416F" w14:textId="77777777" w:rsidR="00113961" w:rsidRDefault="00113961">
      <w:pPr>
        <w:spacing w:after="0" w:line="360" w:lineRule="auto"/>
      </w:pPr>
    </w:p>
    <w:p w14:paraId="0E2A3EDB" w14:textId="77777777" w:rsidR="00113961" w:rsidRDefault="008765D5">
      <w:pPr>
        <w:spacing w:after="0" w:line="360" w:lineRule="auto"/>
      </w:pPr>
      <w: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5BA1108" w14:textId="77777777" w:rsidR="00113961" w:rsidRDefault="00113961">
      <w:pPr>
        <w:spacing w:after="0" w:line="360" w:lineRule="auto"/>
      </w:pPr>
    </w:p>
    <w:p w14:paraId="4E2C1F98" w14:textId="77777777" w:rsidR="00113961" w:rsidRDefault="008765D5">
      <w:pPr>
        <w:spacing w:after="0" w:line="360" w:lineRule="auto"/>
      </w:pPr>
      <w: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DC4F332" w14:textId="77777777" w:rsidR="00113961" w:rsidRDefault="00113961">
      <w:pPr>
        <w:spacing w:after="0" w:line="360" w:lineRule="auto"/>
      </w:pPr>
    </w:p>
    <w:p w14:paraId="57B28AFF" w14:textId="77777777" w:rsidR="00113961" w:rsidRDefault="008765D5">
      <w:pPr>
        <w:spacing w:after="0" w:line="360" w:lineRule="auto"/>
      </w:pPr>
      <w: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78B3D90" w14:textId="77777777" w:rsidR="00113961" w:rsidRDefault="00113961">
      <w:pPr>
        <w:spacing w:after="0" w:line="360" w:lineRule="auto"/>
      </w:pPr>
    </w:p>
    <w:p w14:paraId="33C5B0DA" w14:textId="77777777" w:rsidR="00113961" w:rsidRDefault="008765D5">
      <w:pPr>
        <w:numPr>
          <w:ilvl w:val="0"/>
          <w:numId w:val="2"/>
        </w:numPr>
        <w:spacing w:after="0" w:line="360" w:lineRule="auto"/>
        <w:rPr>
          <w:b/>
        </w:rPr>
      </w:pPr>
      <w:r>
        <w:rPr>
          <w:b/>
        </w:rPr>
        <w:t xml:space="preserve">Dato abierto: </w:t>
      </w:r>
      <w: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21E78A2" w14:textId="77777777" w:rsidR="00113961" w:rsidRDefault="00113961">
      <w:pPr>
        <w:spacing w:after="0" w:line="360" w:lineRule="auto"/>
        <w:ind w:left="720"/>
        <w:rPr>
          <w:b/>
        </w:rPr>
      </w:pPr>
    </w:p>
    <w:p w14:paraId="2606A5BC" w14:textId="77777777" w:rsidR="00113961" w:rsidRDefault="008765D5">
      <w:pPr>
        <w:numPr>
          <w:ilvl w:val="0"/>
          <w:numId w:val="2"/>
        </w:numPr>
        <w:spacing w:after="0" w:line="360" w:lineRule="auto"/>
        <w:rPr>
          <w:b/>
        </w:rPr>
      </w:pPr>
      <w:r>
        <w:rPr>
          <w:b/>
        </w:rPr>
        <w:t xml:space="preserve">Formato accesible: </w:t>
      </w:r>
      <w:r>
        <w:t xml:space="preserve">Conjunto de características técnicas y de presentación de la información que corresponden a la estructura lógica usada para almacenar datos de forma integral y facilitan su procesamiento digital, cuyas especificaciones estás </w:t>
      </w:r>
      <w:r>
        <w:lastRenderedPageBreak/>
        <w:t>disponibles públicamente y que permite el acceso sin restricción de uso por parte de los usuarios.</w:t>
      </w:r>
    </w:p>
    <w:p w14:paraId="6810F0B1" w14:textId="77777777" w:rsidR="00113961" w:rsidRDefault="00113961">
      <w:pPr>
        <w:spacing w:after="0" w:line="360" w:lineRule="auto"/>
      </w:pPr>
    </w:p>
    <w:p w14:paraId="6CEE9682" w14:textId="77777777" w:rsidR="00113961" w:rsidRDefault="008765D5">
      <w:pPr>
        <w:spacing w:after="0" w:line="360" w:lineRule="auto"/>
      </w:pPr>
      <w: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810DBC3" w14:textId="77777777" w:rsidR="00113961" w:rsidRDefault="00113961">
      <w:pPr>
        <w:spacing w:after="0" w:line="360" w:lineRule="auto"/>
      </w:pPr>
    </w:p>
    <w:p w14:paraId="59CB75EB" w14:textId="77777777" w:rsidR="00113961" w:rsidRDefault="008765D5">
      <w:pPr>
        <w:tabs>
          <w:tab w:val="left" w:pos="4962"/>
        </w:tabs>
        <w:spacing w:after="0" w:line="360" w:lineRule="auto"/>
      </w:pPr>
      <w: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Pr>
          <w:b/>
        </w:rPr>
        <w:t>la fuente, el lugar y la forma</w:t>
      </w:r>
      <w:r>
        <w:t xml:space="preserve"> en que se puede obtener la información.</w:t>
      </w:r>
    </w:p>
    <w:p w14:paraId="6D77AD68" w14:textId="77777777" w:rsidR="00113961" w:rsidRDefault="00113961">
      <w:pPr>
        <w:spacing w:after="0" w:line="360" w:lineRule="auto"/>
      </w:pPr>
    </w:p>
    <w:p w14:paraId="23446459" w14:textId="77777777" w:rsidR="00113961" w:rsidRDefault="008765D5">
      <w:pPr>
        <w:widowControl w:val="0"/>
        <w:tabs>
          <w:tab w:val="center" w:pos="4522"/>
        </w:tabs>
        <w:spacing w:after="0" w:line="360" w:lineRule="auto"/>
        <w:rPr>
          <w:b/>
        </w:rPr>
      </w:pPr>
      <w:r>
        <w:t>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Pr>
          <w:b/>
        </w:rPr>
        <w:t xml:space="preserve"> </w:t>
      </w:r>
    </w:p>
    <w:p w14:paraId="11CA5DA9" w14:textId="77777777" w:rsidR="00113961" w:rsidRDefault="00113961">
      <w:pPr>
        <w:spacing w:after="0" w:line="360" w:lineRule="auto"/>
        <w:rPr>
          <w:color w:val="000000"/>
        </w:rPr>
      </w:pPr>
    </w:p>
    <w:p w14:paraId="1B77E022" w14:textId="77777777" w:rsidR="00113961" w:rsidRDefault="008765D5">
      <w:pPr>
        <w:spacing w:after="0" w:line="360" w:lineRule="auto"/>
      </w:pPr>
      <w:r>
        <w:t>Ahora bien, de la revisión de la liga precisada, este Instituto advirtió que remite a la página oficial del Ayuntamiento de Almoloya de Juárez, tal como se muestra a continuación:</w:t>
      </w:r>
    </w:p>
    <w:p w14:paraId="60DE339E" w14:textId="77777777" w:rsidR="00113961" w:rsidRDefault="00113961">
      <w:pPr>
        <w:spacing w:after="0" w:line="360" w:lineRule="auto"/>
      </w:pPr>
    </w:p>
    <w:p w14:paraId="476F283D" w14:textId="77777777" w:rsidR="00113961" w:rsidRDefault="008765D5">
      <w:pPr>
        <w:spacing w:after="0" w:line="360" w:lineRule="auto"/>
        <w:jc w:val="center"/>
      </w:pPr>
      <w:r>
        <w:rPr>
          <w:noProof/>
        </w:rPr>
        <w:lastRenderedPageBreak/>
        <w:drawing>
          <wp:inline distT="0" distB="0" distL="0" distR="0" wp14:anchorId="600367BE" wp14:editId="7DAFDF3D">
            <wp:extent cx="5117069" cy="2356567"/>
            <wp:effectExtent l="0" t="0" r="0" b="0"/>
            <wp:docPr id="2121741585" name="image3.png" descr="Interfaz de usuario gráfic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Sitio web&#10;&#10;El contenido generado por IA puede ser incorrecto."/>
                    <pic:cNvPicPr preferRelativeResize="0"/>
                  </pic:nvPicPr>
                  <pic:blipFill>
                    <a:blip r:embed="rId12"/>
                    <a:srcRect/>
                    <a:stretch>
                      <a:fillRect/>
                    </a:stretch>
                  </pic:blipFill>
                  <pic:spPr>
                    <a:xfrm>
                      <a:off x="0" y="0"/>
                      <a:ext cx="5117069" cy="2356567"/>
                    </a:xfrm>
                    <a:prstGeom prst="rect">
                      <a:avLst/>
                    </a:prstGeom>
                    <a:ln/>
                  </pic:spPr>
                </pic:pic>
              </a:graphicData>
            </a:graphic>
          </wp:inline>
        </w:drawing>
      </w:r>
    </w:p>
    <w:p w14:paraId="0E677EF6" w14:textId="77777777" w:rsidR="00113961" w:rsidRDefault="00113961">
      <w:pPr>
        <w:spacing w:after="0" w:line="360" w:lineRule="auto"/>
      </w:pPr>
    </w:p>
    <w:p w14:paraId="337E4BD4" w14:textId="77777777" w:rsidR="00113961" w:rsidRDefault="008765D5">
      <w:pPr>
        <w:spacing w:after="0" w:line="360" w:lineRule="auto"/>
        <w:rPr>
          <w:b/>
          <w:color w:val="000000"/>
        </w:rPr>
      </w:pPr>
      <w:r>
        <w:t xml:space="preserve">De tal circunstancia se logra advertir que tal como lo precisó Particular, la información no se encuentra visible en la liga proporcionada, además cabe precisar que tendría que realizar una búsqueda en la plataforma de información, pues únicamente señaló la liga que debía consultar, sin señalar el procedimiento de búsqueda de información, </w:t>
      </w:r>
      <w:r>
        <w:rPr>
          <w:color w:val="000000"/>
        </w:rPr>
        <w:t xml:space="preserve">lo cual da como resultado que no se pueda validar la respuesta entregada y que el agravio resulte </w:t>
      </w:r>
      <w:r>
        <w:rPr>
          <w:b/>
          <w:color w:val="000000"/>
        </w:rPr>
        <w:t>FUNDADO.</w:t>
      </w:r>
    </w:p>
    <w:p w14:paraId="0F2FE128" w14:textId="77777777" w:rsidR="00113961" w:rsidRDefault="00113961">
      <w:pPr>
        <w:spacing w:after="0" w:line="360" w:lineRule="auto"/>
        <w:rPr>
          <w:color w:val="000000"/>
        </w:rPr>
      </w:pPr>
    </w:p>
    <w:p w14:paraId="3ADD668A" w14:textId="77777777" w:rsidR="00113961" w:rsidRDefault="008765D5">
      <w:pPr>
        <w:spacing w:after="0" w:line="360" w:lineRule="auto"/>
      </w:pPr>
      <w:r>
        <w:rPr>
          <w:color w:val="000000"/>
        </w:rPr>
        <w:t xml:space="preserve">Asimismo, cabe precisar que si bien el Titular de la Unidad de Transparencia pretendió subsanar la actuación de la Dirección de Obras Públicas, al proporcionar una liga electrónica en formato abierto (accesible para copiar y pegar), ésta no corresponde con lo solicitado, pues remite al Programa Anual de Evaluación  (PAE) del ejercicio fiscal dos mil veinticinco, no obstante como quedó precisado en párrafos que anteceden, la pretensión de la persona Recurrente es obtener el </w:t>
      </w:r>
      <w:r>
        <w:t xml:space="preserve">Programa Anual de Obra Pública </w:t>
      </w:r>
      <w:proofErr w:type="spellStart"/>
      <w:r>
        <w:t>PbRM</w:t>
      </w:r>
      <w:proofErr w:type="spellEnd"/>
      <w:r>
        <w:t xml:space="preserve"> E-07a, del ejercicio fiscal dos mil veinticinco.</w:t>
      </w:r>
    </w:p>
    <w:p w14:paraId="5AB3A003" w14:textId="77777777" w:rsidR="00113961" w:rsidRDefault="00113961">
      <w:pPr>
        <w:spacing w:after="0" w:line="360" w:lineRule="auto"/>
      </w:pPr>
    </w:p>
    <w:p w14:paraId="380E71CD" w14:textId="77777777" w:rsidR="00113961" w:rsidRDefault="008765D5">
      <w:pPr>
        <w:spacing w:after="0" w:line="360" w:lineRule="auto"/>
      </w:pPr>
      <w:r>
        <w:lastRenderedPageBreak/>
        <w:t xml:space="preserve">Por lo tanto, para atender al requerimiento en análisis, el Sujeto Obligado, deberá realizar una búsqueda exhaustiva y razonable en los archivos de las unidades administrativas, a efecto de proporcionar el Programa Anual de Obra Pública </w:t>
      </w:r>
      <w:proofErr w:type="spellStart"/>
      <w:r>
        <w:t>PbRM</w:t>
      </w:r>
      <w:proofErr w:type="spellEnd"/>
      <w:r>
        <w:t xml:space="preserve"> E-07a, del ejercicio fiscal dos mil veinticinco,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D308FBB" w14:textId="77777777" w:rsidR="00113961" w:rsidRDefault="00113961">
      <w:pPr>
        <w:spacing w:after="0" w:line="360" w:lineRule="auto"/>
      </w:pPr>
    </w:p>
    <w:p w14:paraId="6B06ACA2" w14:textId="77777777" w:rsidR="00113961" w:rsidRDefault="008765D5">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7A19A96D" w14:textId="77777777" w:rsidR="00113961" w:rsidRDefault="00113961">
      <w:pPr>
        <w:spacing w:after="0" w:line="360" w:lineRule="auto"/>
      </w:pPr>
    </w:p>
    <w:p w14:paraId="4585AE10" w14:textId="77777777" w:rsidR="00113961" w:rsidRDefault="008765D5">
      <w:pPr>
        <w:spacing w:after="0" w:line="360" w:lineRule="auto"/>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deberá entregar el Programa Anual de Obra Pública </w:t>
      </w:r>
      <w:proofErr w:type="spellStart"/>
      <w:r>
        <w:t>PbRM</w:t>
      </w:r>
      <w:proofErr w:type="spellEnd"/>
      <w:r>
        <w:t xml:space="preserve"> E-07a, del ejercicio fiscal dos mil veinticinco; ahora bien, de la revisión de los formatos se logra desprender que dichos documentos no contienen información clasificable, por lo que deberá entregarlos en versión íntegra.</w:t>
      </w:r>
    </w:p>
    <w:p w14:paraId="34737235" w14:textId="77777777" w:rsidR="00113961" w:rsidRDefault="00113961">
      <w:pPr>
        <w:spacing w:after="0" w:line="360" w:lineRule="auto"/>
      </w:pPr>
    </w:p>
    <w:p w14:paraId="4BF11F4A" w14:textId="77777777" w:rsidR="00113961" w:rsidRDefault="008765D5">
      <w:pPr>
        <w:pStyle w:val="Ttulo2"/>
        <w:spacing w:before="0" w:line="360" w:lineRule="auto"/>
        <w:rPr>
          <w:rFonts w:ascii="Palatino Linotype" w:eastAsia="Palatino Linotype" w:hAnsi="Palatino Linotype" w:cs="Palatino Linotype"/>
          <w:b/>
          <w:color w:val="000000"/>
          <w:sz w:val="22"/>
          <w:szCs w:val="22"/>
        </w:rPr>
      </w:pPr>
      <w:bookmarkStart w:id="16" w:name="_heading=h.vs2vwuwfhnmk" w:colFirst="0" w:colLast="0"/>
      <w:bookmarkEnd w:id="16"/>
      <w:r>
        <w:rPr>
          <w:rFonts w:ascii="Palatino Linotype" w:eastAsia="Palatino Linotype" w:hAnsi="Palatino Linotype" w:cs="Palatino Linotype"/>
          <w:b/>
          <w:color w:val="000000"/>
          <w:sz w:val="22"/>
          <w:szCs w:val="22"/>
        </w:rPr>
        <w:lastRenderedPageBreak/>
        <w:t>SEXTO. Decisión</w:t>
      </w:r>
    </w:p>
    <w:p w14:paraId="7C4A3105" w14:textId="77777777" w:rsidR="00113961" w:rsidRDefault="00113961">
      <w:pPr>
        <w:spacing w:after="0" w:line="360" w:lineRule="auto"/>
        <w:rPr>
          <w:b/>
        </w:rPr>
      </w:pPr>
    </w:p>
    <w:p w14:paraId="45479689" w14:textId="77777777" w:rsidR="00113961" w:rsidRDefault="008765D5">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rPr>
        <w:t xml:space="preserve">REVOCAR </w:t>
      </w:r>
      <w:r>
        <w:t>la respuesta del Ayuntamiento de Almoloya de Juárez,</w:t>
      </w:r>
      <w:r>
        <w:rPr>
          <w:b/>
        </w:rPr>
        <w:t xml:space="preserve"> </w:t>
      </w:r>
      <w:r>
        <w:t>a efecto de que previa búsqueda exhaustiva y razonable, entregue la información solicitada.</w:t>
      </w:r>
    </w:p>
    <w:p w14:paraId="6666DA36" w14:textId="77777777" w:rsidR="00113961" w:rsidRDefault="00113961">
      <w:pPr>
        <w:spacing w:after="0" w:line="360" w:lineRule="auto"/>
      </w:pPr>
    </w:p>
    <w:p w14:paraId="12CE3EA9" w14:textId="77777777" w:rsidR="00113961" w:rsidRDefault="008765D5">
      <w:pPr>
        <w:spacing w:after="0" w:line="360" w:lineRule="auto"/>
        <w:rPr>
          <w:b/>
        </w:rPr>
      </w:pPr>
      <w:r>
        <w:rPr>
          <w:b/>
        </w:rPr>
        <w:t>Términos de la Resolución para conocimiento del Particular</w:t>
      </w:r>
    </w:p>
    <w:p w14:paraId="0D46823C" w14:textId="77777777" w:rsidR="00113961" w:rsidRDefault="00113961">
      <w:pPr>
        <w:spacing w:after="0" w:line="360" w:lineRule="auto"/>
        <w:rPr>
          <w:b/>
        </w:rPr>
      </w:pPr>
    </w:p>
    <w:p w14:paraId="64FEEB0C" w14:textId="77777777" w:rsidR="00113961" w:rsidRDefault="008765D5">
      <w:pPr>
        <w:spacing w:after="0" w:line="360" w:lineRule="auto"/>
      </w:pPr>
      <w:r>
        <w:t xml:space="preserve">Se le hace del conocimiento al ahora Recurrente que, en el presente asunto, se le da la razón, pues el Sujeto Obligado no proporcionó la información solicitada, al entregarla en formato cerrado; por lo que, en el presente caso deberá entregarle la información solicitada. </w:t>
      </w: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28C0E7E" w14:textId="77777777" w:rsidR="00113961" w:rsidRDefault="00113961">
      <w:pPr>
        <w:spacing w:after="0" w:line="360" w:lineRule="auto"/>
      </w:pPr>
    </w:p>
    <w:p w14:paraId="7214B729" w14:textId="77777777" w:rsidR="00113961" w:rsidRDefault="008765D5">
      <w:pPr>
        <w:spacing w:after="0" w:line="360" w:lineRule="auto"/>
      </w:pPr>
      <w:r>
        <w:t>Por lo expuesto y fundado, este Pleno:</w:t>
      </w:r>
    </w:p>
    <w:p w14:paraId="1FC3935C" w14:textId="77777777" w:rsidR="00113961" w:rsidRDefault="00113961">
      <w:pPr>
        <w:spacing w:after="0" w:line="360" w:lineRule="auto"/>
        <w:rPr>
          <w:b/>
        </w:rPr>
      </w:pPr>
    </w:p>
    <w:p w14:paraId="2CF906D1" w14:textId="77777777" w:rsidR="00113961" w:rsidRDefault="008765D5">
      <w:pPr>
        <w:pStyle w:val="Ttulo1"/>
        <w:spacing w:before="0" w:line="360" w:lineRule="auto"/>
        <w:jc w:val="center"/>
        <w:rPr>
          <w:rFonts w:ascii="Palatino Linotype" w:eastAsia="Palatino Linotype" w:hAnsi="Palatino Linotype" w:cs="Palatino Linotype"/>
          <w:b/>
          <w:color w:val="000000"/>
          <w:sz w:val="22"/>
          <w:szCs w:val="22"/>
        </w:rPr>
      </w:pPr>
      <w:bookmarkStart w:id="17" w:name="_heading=h.h65x934spu6s" w:colFirst="0" w:colLast="0"/>
      <w:bookmarkEnd w:id="17"/>
      <w:r>
        <w:rPr>
          <w:rFonts w:ascii="Palatino Linotype" w:eastAsia="Palatino Linotype" w:hAnsi="Palatino Linotype" w:cs="Palatino Linotype"/>
          <w:b/>
          <w:color w:val="000000"/>
          <w:sz w:val="22"/>
          <w:szCs w:val="22"/>
        </w:rPr>
        <w:t>R E S U E L V E</w:t>
      </w:r>
    </w:p>
    <w:p w14:paraId="688743F5" w14:textId="77777777" w:rsidR="00113961" w:rsidRDefault="00113961">
      <w:pPr>
        <w:spacing w:after="0" w:line="360" w:lineRule="auto"/>
      </w:pPr>
    </w:p>
    <w:p w14:paraId="28470B83" w14:textId="77777777" w:rsidR="00113961" w:rsidRDefault="008765D5">
      <w:pPr>
        <w:spacing w:after="0" w:line="360" w:lineRule="auto"/>
      </w:pPr>
      <w:r>
        <w:rPr>
          <w:b/>
        </w:rPr>
        <w:t xml:space="preserve">PRIMERO. </w:t>
      </w:r>
      <w:r>
        <w:t xml:space="preserve">Se </w:t>
      </w:r>
      <w:r>
        <w:rPr>
          <w:b/>
        </w:rPr>
        <w:t xml:space="preserve">REVOCA </w:t>
      </w:r>
      <w:r>
        <w:t xml:space="preserve">la respuesta entregada por el Ayuntamiento de Almoloya de Juárez, a la solicitud de información 00409/ALMOJU/IP/2025, por resultar </w:t>
      </w:r>
      <w:r>
        <w:rPr>
          <w:b/>
        </w:rPr>
        <w:t xml:space="preserve">FUNDADAS </w:t>
      </w:r>
      <w:r>
        <w:t>las razones o motivos de inconformidad hechos valer por el Recurrente, en términos de los considerandos QUINTO y SEXTO de la presente Resolución.</w:t>
      </w:r>
    </w:p>
    <w:p w14:paraId="48915D95" w14:textId="77777777" w:rsidR="00113961" w:rsidRDefault="00113961">
      <w:pPr>
        <w:spacing w:after="0" w:line="360" w:lineRule="auto"/>
      </w:pPr>
    </w:p>
    <w:p w14:paraId="0BBFF16D" w14:textId="77777777" w:rsidR="00113961" w:rsidRDefault="008765D5">
      <w:pPr>
        <w:spacing w:after="0" w:line="360" w:lineRule="auto"/>
      </w:pPr>
      <w:r>
        <w:rPr>
          <w:b/>
        </w:rPr>
        <w:t xml:space="preserve">SEGUNDO. </w:t>
      </w:r>
      <w:r>
        <w:t xml:space="preserve">Se </w:t>
      </w:r>
      <w:r>
        <w:rPr>
          <w:b/>
        </w:rPr>
        <w:t>ORDENA</w:t>
      </w:r>
      <w:r>
        <w:t xml:space="preserve"> al Ente Recurrido</w:t>
      </w:r>
      <w:r>
        <w:rPr>
          <w:b/>
        </w:rPr>
        <w:t xml:space="preserve">, </w:t>
      </w:r>
      <w:r>
        <w:t>a efecto de que previa búsqueda exhaustiva y razonable, en los archivos de las unidades administrativas competentes, entregue a través del Sistema de Acceso a la Información Mexiquense (SAIMEX), lo siguiente:</w:t>
      </w:r>
    </w:p>
    <w:p w14:paraId="5D9DA356" w14:textId="77777777" w:rsidR="00113961" w:rsidRDefault="00113961">
      <w:pPr>
        <w:spacing w:after="0" w:line="360" w:lineRule="auto"/>
      </w:pPr>
    </w:p>
    <w:p w14:paraId="038FF1B0" w14:textId="77777777" w:rsidR="00113961" w:rsidRDefault="008765D5">
      <w:pPr>
        <w:numPr>
          <w:ilvl w:val="0"/>
          <w:numId w:val="1"/>
        </w:numPr>
        <w:pBdr>
          <w:top w:val="nil"/>
          <w:left w:val="nil"/>
          <w:bottom w:val="nil"/>
          <w:right w:val="nil"/>
          <w:between w:val="nil"/>
        </w:pBdr>
        <w:spacing w:after="0" w:line="360" w:lineRule="auto"/>
        <w:ind w:right="-28"/>
        <w:rPr>
          <w:color w:val="000000"/>
        </w:rPr>
      </w:pPr>
      <w:r>
        <w:rPr>
          <w:color w:val="000000"/>
        </w:rPr>
        <w:t xml:space="preserve">El </w:t>
      </w:r>
      <w:proofErr w:type="spellStart"/>
      <w:r>
        <w:rPr>
          <w:color w:val="000000"/>
        </w:rPr>
        <w:t>PbRM</w:t>
      </w:r>
      <w:proofErr w:type="spellEnd"/>
      <w:r>
        <w:rPr>
          <w:color w:val="000000"/>
        </w:rPr>
        <w:t xml:space="preserve"> 07a “Programa Anual de Obra”, del ejercicio fiscal dos mil veinticinco.</w:t>
      </w:r>
    </w:p>
    <w:p w14:paraId="44379F70" w14:textId="77777777" w:rsidR="00113961" w:rsidRDefault="00113961">
      <w:pPr>
        <w:spacing w:after="0" w:line="360" w:lineRule="auto"/>
        <w:ind w:right="-91"/>
        <w:rPr>
          <w:b/>
        </w:rPr>
      </w:pPr>
    </w:p>
    <w:p w14:paraId="24EC75DD" w14:textId="77777777" w:rsidR="00113961" w:rsidRDefault="008765D5">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E726186" w14:textId="77777777" w:rsidR="00113961" w:rsidRDefault="00113961">
      <w:pPr>
        <w:spacing w:after="0" w:line="360" w:lineRule="auto"/>
        <w:ind w:right="-28"/>
        <w:rPr>
          <w:color w:val="000000"/>
        </w:rPr>
      </w:pPr>
    </w:p>
    <w:p w14:paraId="25141B09" w14:textId="77777777" w:rsidR="00113961" w:rsidRDefault="008765D5">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5DFB71" w14:textId="77777777" w:rsidR="00113961" w:rsidRDefault="00113961">
      <w:pPr>
        <w:spacing w:after="0" w:line="360" w:lineRule="auto"/>
        <w:rPr>
          <w:color w:val="000000"/>
        </w:rPr>
      </w:pPr>
    </w:p>
    <w:p w14:paraId="2383E95B" w14:textId="77777777" w:rsidR="00113961" w:rsidRDefault="008765D5">
      <w:pPr>
        <w:spacing w:after="0" w:line="360" w:lineRule="auto"/>
      </w:pPr>
      <w:r>
        <w:rPr>
          <w:b/>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9C1098" w14:textId="77777777" w:rsidR="00113961" w:rsidRDefault="00113961">
      <w:pPr>
        <w:spacing w:after="0" w:line="360" w:lineRule="auto"/>
      </w:pPr>
    </w:p>
    <w:p w14:paraId="7C354419" w14:textId="77777777" w:rsidR="00113961" w:rsidRDefault="008765D5">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w:t>
      </w:r>
      <w:r w:rsidR="00C97C12">
        <w:t xml:space="preserve"> (AUSENCIA JUSTIFICADA)</w:t>
      </w:r>
      <w:r>
        <w:t>, SHARON CRISTINA MORALES MARTÍNEZ, LUIS GUSTAVO PARRA NORIEGA Y GUADALUPE RAMÍREZ PEÑA, EN LA TRIGÉSIMA NOVENA SESIÓN ORDINARIA, CELEBRADA EL CINCO DE NOVIEMBRE DE DOS MIL VEINTICINCO, ANTE EL SECRETARIO TÉCNICO DEL PLENO, ALEXIS TAPIA RAMÍREZ.</w:t>
      </w:r>
    </w:p>
    <w:p w14:paraId="22826BB8" w14:textId="77777777" w:rsidR="00113961" w:rsidRDefault="00113961">
      <w:pPr>
        <w:spacing w:after="0" w:line="360" w:lineRule="auto"/>
        <w:rPr>
          <w:b/>
        </w:rPr>
      </w:pPr>
    </w:p>
    <w:p w14:paraId="006B3668" w14:textId="77777777" w:rsidR="00113961" w:rsidRDefault="00113961">
      <w:pPr>
        <w:spacing w:after="0" w:line="360" w:lineRule="auto"/>
        <w:rPr>
          <w:color w:val="000000"/>
        </w:rPr>
      </w:pPr>
    </w:p>
    <w:p w14:paraId="2C12EEFA" w14:textId="77777777" w:rsidR="00113961" w:rsidRDefault="00113961">
      <w:pPr>
        <w:spacing w:after="0" w:line="360" w:lineRule="auto"/>
        <w:rPr>
          <w:color w:val="000000"/>
        </w:rPr>
      </w:pPr>
    </w:p>
    <w:p w14:paraId="6D66B354" w14:textId="77777777" w:rsidR="00113961" w:rsidRDefault="00113961">
      <w:pPr>
        <w:spacing w:after="0" w:line="360" w:lineRule="auto"/>
        <w:rPr>
          <w:color w:val="000000"/>
        </w:rPr>
      </w:pPr>
    </w:p>
    <w:p w14:paraId="17FA7FF0" w14:textId="77777777" w:rsidR="00113961" w:rsidRDefault="00113961">
      <w:pPr>
        <w:spacing w:after="0" w:line="360" w:lineRule="auto"/>
        <w:rPr>
          <w:color w:val="000000"/>
        </w:rPr>
      </w:pPr>
    </w:p>
    <w:p w14:paraId="000AD0F7" w14:textId="77777777" w:rsidR="00113961" w:rsidRDefault="00113961">
      <w:pPr>
        <w:spacing w:after="0" w:line="360" w:lineRule="auto"/>
        <w:rPr>
          <w:color w:val="000000"/>
        </w:rPr>
      </w:pPr>
    </w:p>
    <w:p w14:paraId="39FF3EBD" w14:textId="77777777" w:rsidR="00113961" w:rsidRDefault="00113961">
      <w:pPr>
        <w:spacing w:after="0" w:line="360" w:lineRule="auto"/>
        <w:rPr>
          <w:color w:val="000000"/>
        </w:rPr>
      </w:pPr>
    </w:p>
    <w:p w14:paraId="1016BC8B" w14:textId="77777777" w:rsidR="00113961" w:rsidRDefault="00113961">
      <w:pPr>
        <w:spacing w:after="0" w:line="360" w:lineRule="auto"/>
        <w:rPr>
          <w:color w:val="000000"/>
        </w:rPr>
      </w:pPr>
    </w:p>
    <w:p w14:paraId="534BE67A" w14:textId="77777777" w:rsidR="00113961" w:rsidRDefault="00113961">
      <w:pPr>
        <w:spacing w:after="0" w:line="360" w:lineRule="auto"/>
        <w:rPr>
          <w:color w:val="000000"/>
        </w:rPr>
      </w:pPr>
    </w:p>
    <w:p w14:paraId="21D5C930" w14:textId="77777777" w:rsidR="00113961" w:rsidRDefault="00113961">
      <w:pPr>
        <w:spacing w:after="0" w:line="360" w:lineRule="auto"/>
        <w:rPr>
          <w:color w:val="000000"/>
        </w:rPr>
      </w:pPr>
    </w:p>
    <w:p w14:paraId="2193FB60" w14:textId="77777777" w:rsidR="00113961" w:rsidRDefault="00113961">
      <w:pPr>
        <w:spacing w:after="0" w:line="360" w:lineRule="auto"/>
        <w:rPr>
          <w:color w:val="000000"/>
        </w:rPr>
      </w:pPr>
    </w:p>
    <w:p w14:paraId="451F498C" w14:textId="77777777" w:rsidR="00113961" w:rsidRDefault="00113961">
      <w:pPr>
        <w:spacing w:after="0" w:line="360" w:lineRule="auto"/>
      </w:pPr>
    </w:p>
    <w:p w14:paraId="5C555820" w14:textId="77777777" w:rsidR="00C329EC" w:rsidRDefault="00C329EC">
      <w:pPr>
        <w:spacing w:after="0" w:line="360" w:lineRule="auto"/>
      </w:pPr>
    </w:p>
    <w:p w14:paraId="51229C6A" w14:textId="77777777" w:rsidR="00C329EC" w:rsidRDefault="00C329EC">
      <w:pPr>
        <w:spacing w:after="0" w:line="360" w:lineRule="auto"/>
      </w:pPr>
    </w:p>
    <w:p w14:paraId="37D771B7" w14:textId="77777777" w:rsidR="00C329EC" w:rsidRDefault="00C329EC">
      <w:pPr>
        <w:spacing w:after="0" w:line="360" w:lineRule="auto"/>
      </w:pPr>
    </w:p>
    <w:p w14:paraId="5F323FD6" w14:textId="77777777" w:rsidR="00C329EC" w:rsidRDefault="00C329EC">
      <w:pPr>
        <w:spacing w:after="0" w:line="360" w:lineRule="auto"/>
      </w:pPr>
    </w:p>
    <w:p w14:paraId="25C7E416" w14:textId="77777777" w:rsidR="00113961" w:rsidRDefault="00113961">
      <w:pPr>
        <w:spacing w:after="0" w:line="360" w:lineRule="auto"/>
      </w:pPr>
    </w:p>
    <w:p w14:paraId="0085F6B0" w14:textId="77777777" w:rsidR="00113961" w:rsidRDefault="00113961">
      <w:pPr>
        <w:spacing w:after="0" w:line="360" w:lineRule="auto"/>
      </w:pPr>
    </w:p>
    <w:sectPr w:rsidR="00113961">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B54D3" w14:textId="77777777" w:rsidR="00CA7795" w:rsidRDefault="00CA7795">
      <w:pPr>
        <w:spacing w:after="0" w:line="240" w:lineRule="auto"/>
      </w:pPr>
      <w:r>
        <w:separator/>
      </w:r>
    </w:p>
  </w:endnote>
  <w:endnote w:type="continuationSeparator" w:id="0">
    <w:p w14:paraId="1F075F85" w14:textId="77777777" w:rsidR="00CA7795" w:rsidRDefault="00CA7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28EDDC71-DF97-416E-A4AB-565FCE738F8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DACC42A-5F06-467F-92C5-C3E413AE3986}"/>
    <w:embedBold r:id="rId3" w:fontKey="{26D6D2F0-BB95-473C-B86C-62FC15A2E4FE}"/>
    <w:embedItalic r:id="rId4" w:fontKey="{E1795AFC-2702-4C3A-8185-E837F48A71B5}"/>
    <w:embedBoldItalic r:id="rId5" w:fontKey="{0C78427B-0B24-45E4-A0E3-2BD2E3942DA1}"/>
  </w:font>
  <w:font w:name="Calibri">
    <w:panose1 w:val="020F0502020204030204"/>
    <w:charset w:val="00"/>
    <w:family w:val="swiss"/>
    <w:pitch w:val="variable"/>
    <w:sig w:usb0="E4002EFF" w:usb1="C000247B" w:usb2="00000009" w:usb3="00000000" w:csb0="000001FF" w:csb1="00000000"/>
    <w:embedRegular r:id="rId6" w:fontKey="{8E9DFD3B-927A-4D6D-BFDA-93B40AB65E6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3974DC22-DCE3-4093-851B-6C2856322FE1}"/>
  </w:font>
  <w:font w:name="Georgia">
    <w:panose1 w:val="02040502050405020303"/>
    <w:charset w:val="00"/>
    <w:family w:val="roman"/>
    <w:pitch w:val="variable"/>
    <w:sig w:usb0="00000287" w:usb1="00000000" w:usb2="00000000" w:usb3="00000000" w:csb0="0000009F" w:csb1="00000000"/>
    <w:embedRegular r:id="rId8" w:fontKey="{26121474-7458-48A0-A6DB-5BE50921B6D7}"/>
    <w:embedItalic r:id="rId9" w:fontKey="{DF0B3412-59ED-471C-8B94-8F39270D3886}"/>
  </w:font>
  <w:font w:name="Verdana">
    <w:panose1 w:val="020B0604030504040204"/>
    <w:charset w:val="00"/>
    <w:family w:val="swiss"/>
    <w:pitch w:val="variable"/>
    <w:sig w:usb0="A00006FF" w:usb1="4000205B" w:usb2="00000010" w:usb3="00000000" w:csb0="0000019F" w:csb1="00000000"/>
    <w:embedRegular r:id="rId10" w:fontKey="{1AC29A67-50E7-4315-8326-C8AFA15D48D1}"/>
    <w:embedBold r:id="rId11" w:fontKey="{C16BB044-A7C0-407E-A2B6-52DA9424C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07D6" w14:textId="3DC46A51" w:rsidR="00113961" w:rsidRDefault="008765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4D72A6">
      <w:rPr>
        <w:b/>
        <w:color w:val="000000"/>
        <w:sz w:val="24"/>
        <w:szCs w:val="24"/>
      </w:rPr>
      <w:fldChar w:fldCharType="separate"/>
    </w:r>
    <w:r w:rsidR="004D72A6">
      <w:rPr>
        <w:b/>
        <w:noProof/>
        <w:color w:val="000000"/>
        <w:sz w:val="24"/>
        <w:szCs w:val="24"/>
      </w:rPr>
      <w:t>21</w:t>
    </w:r>
    <w:r>
      <w:rPr>
        <w:b/>
        <w:color w:val="000000"/>
        <w:sz w:val="24"/>
        <w:szCs w:val="24"/>
      </w:rPr>
      <w:fldChar w:fldCharType="end"/>
    </w:r>
  </w:p>
  <w:p w14:paraId="68D28B69" w14:textId="77777777" w:rsidR="00113961" w:rsidRDefault="0011396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A678" w14:textId="77777777" w:rsidR="00113961" w:rsidRDefault="008765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03E3C">
      <w:rPr>
        <w:b/>
        <w:noProof/>
        <w:color w:val="000000"/>
        <w:sz w:val="24"/>
        <w:szCs w:val="24"/>
      </w:rPr>
      <w:t>10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3E3C">
      <w:rPr>
        <w:b/>
        <w:noProof/>
        <w:color w:val="000000"/>
        <w:sz w:val="24"/>
        <w:szCs w:val="24"/>
      </w:rPr>
      <w:t>21</w:t>
    </w:r>
    <w:r>
      <w:rPr>
        <w:b/>
        <w:color w:val="000000"/>
        <w:sz w:val="24"/>
        <w:szCs w:val="24"/>
      </w:rPr>
      <w:fldChar w:fldCharType="end"/>
    </w:r>
  </w:p>
  <w:p w14:paraId="1C9C0CF5" w14:textId="77777777" w:rsidR="00113961" w:rsidRDefault="0011396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44A6" w14:textId="77777777" w:rsidR="00113961" w:rsidRDefault="008765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F332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F332E">
      <w:rPr>
        <w:b/>
        <w:noProof/>
        <w:color w:val="000000"/>
        <w:sz w:val="24"/>
        <w:szCs w:val="24"/>
      </w:rPr>
      <w:t>1</w:t>
    </w:r>
    <w:r>
      <w:rPr>
        <w:b/>
        <w:color w:val="000000"/>
        <w:sz w:val="24"/>
        <w:szCs w:val="24"/>
      </w:rPr>
      <w:fldChar w:fldCharType="end"/>
    </w:r>
  </w:p>
  <w:p w14:paraId="3C7E5FFC" w14:textId="77777777" w:rsidR="00113961" w:rsidRDefault="0011396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863A2" w14:textId="77777777" w:rsidR="00CA7795" w:rsidRDefault="00CA7795">
      <w:pPr>
        <w:spacing w:after="0" w:line="240" w:lineRule="auto"/>
      </w:pPr>
      <w:r>
        <w:separator/>
      </w:r>
    </w:p>
  </w:footnote>
  <w:footnote w:type="continuationSeparator" w:id="0">
    <w:p w14:paraId="4E8C21E7" w14:textId="77777777" w:rsidR="00CA7795" w:rsidRDefault="00CA7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57C1" w14:textId="77777777" w:rsidR="00113961" w:rsidRDefault="00113961">
    <w:pPr>
      <w:widowControl w:val="0"/>
      <w:pBdr>
        <w:top w:val="nil"/>
        <w:left w:val="nil"/>
        <w:bottom w:val="nil"/>
        <w:right w:val="nil"/>
        <w:between w:val="nil"/>
      </w:pBdr>
      <w:spacing w:after="0" w:line="276" w:lineRule="auto"/>
      <w:jc w:val="left"/>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3961" w14:paraId="23A2B933" w14:textId="77777777">
      <w:trPr>
        <w:trHeight w:val="132"/>
      </w:trPr>
      <w:tc>
        <w:tcPr>
          <w:tcW w:w="2691" w:type="dxa"/>
        </w:tcPr>
        <w:p w14:paraId="084B5AF6" w14:textId="77777777" w:rsidR="00113961" w:rsidRDefault="008765D5">
          <w:pPr>
            <w:tabs>
              <w:tab w:val="right" w:pos="8838"/>
            </w:tabs>
            <w:ind w:right="-105"/>
            <w:rPr>
              <w:b/>
            </w:rPr>
          </w:pPr>
          <w:r>
            <w:rPr>
              <w:b/>
            </w:rPr>
            <w:t>Recurso de Revisión:</w:t>
          </w:r>
        </w:p>
      </w:tc>
      <w:tc>
        <w:tcPr>
          <w:tcW w:w="3405" w:type="dxa"/>
        </w:tcPr>
        <w:p w14:paraId="4DED4CA8" w14:textId="77777777" w:rsidR="00113961" w:rsidRDefault="008765D5">
          <w:pPr>
            <w:tabs>
              <w:tab w:val="right" w:pos="8838"/>
            </w:tabs>
            <w:ind w:left="-28" w:right="-32"/>
          </w:pPr>
          <w:r>
            <w:t>03846/INFOEM/IP/RR/2020</w:t>
          </w:r>
        </w:p>
      </w:tc>
    </w:tr>
    <w:tr w:rsidR="00113961" w14:paraId="203AFE62" w14:textId="77777777">
      <w:trPr>
        <w:trHeight w:val="261"/>
      </w:trPr>
      <w:tc>
        <w:tcPr>
          <w:tcW w:w="2691" w:type="dxa"/>
        </w:tcPr>
        <w:p w14:paraId="34A7B025" w14:textId="77777777" w:rsidR="00113961" w:rsidRDefault="008765D5">
          <w:pPr>
            <w:tabs>
              <w:tab w:val="right" w:pos="8838"/>
            </w:tabs>
            <w:ind w:right="-105"/>
            <w:rPr>
              <w:b/>
            </w:rPr>
          </w:pPr>
          <w:r>
            <w:rPr>
              <w:b/>
            </w:rPr>
            <w:t>Sujeto Obligado:</w:t>
          </w:r>
        </w:p>
      </w:tc>
      <w:tc>
        <w:tcPr>
          <w:tcW w:w="3405" w:type="dxa"/>
        </w:tcPr>
        <w:p w14:paraId="201D5462" w14:textId="77777777" w:rsidR="00113961" w:rsidRDefault="008765D5">
          <w:pPr>
            <w:tabs>
              <w:tab w:val="right" w:pos="8838"/>
            </w:tabs>
            <w:ind w:right="-32"/>
          </w:pPr>
          <w:r>
            <w:t>Ayuntamiento de Temascalcingo</w:t>
          </w:r>
        </w:p>
      </w:tc>
    </w:tr>
    <w:tr w:rsidR="00113961" w14:paraId="630CCE0D" w14:textId="77777777">
      <w:trPr>
        <w:trHeight w:val="261"/>
      </w:trPr>
      <w:tc>
        <w:tcPr>
          <w:tcW w:w="2691" w:type="dxa"/>
        </w:tcPr>
        <w:p w14:paraId="123DB3B8" w14:textId="77777777" w:rsidR="00113961" w:rsidRDefault="008765D5">
          <w:pPr>
            <w:tabs>
              <w:tab w:val="right" w:pos="8838"/>
            </w:tabs>
            <w:ind w:right="-105"/>
            <w:rPr>
              <w:b/>
            </w:rPr>
          </w:pPr>
          <w:r>
            <w:rPr>
              <w:b/>
            </w:rPr>
            <w:t>Comisionado Ponente:</w:t>
          </w:r>
        </w:p>
      </w:tc>
      <w:tc>
        <w:tcPr>
          <w:tcW w:w="3405" w:type="dxa"/>
        </w:tcPr>
        <w:p w14:paraId="64246392" w14:textId="77777777" w:rsidR="00113961" w:rsidRDefault="008765D5">
          <w:pPr>
            <w:tabs>
              <w:tab w:val="right" w:pos="8838"/>
            </w:tabs>
            <w:ind w:right="-32"/>
            <w:rPr>
              <w:b/>
            </w:rPr>
          </w:pPr>
          <w:r>
            <w:t>Luis Gustavo Parra Noriega</w:t>
          </w:r>
        </w:p>
      </w:tc>
    </w:tr>
  </w:tbl>
  <w:p w14:paraId="7D49A5C8" w14:textId="77777777" w:rsidR="0011396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FDA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4950" w14:textId="77777777" w:rsidR="00113961" w:rsidRDefault="00113961">
    <w:pPr>
      <w:widowControl w:val="0"/>
      <w:pBdr>
        <w:top w:val="nil"/>
        <w:left w:val="nil"/>
        <w:bottom w:val="nil"/>
        <w:right w:val="nil"/>
        <w:between w:val="nil"/>
      </w:pBdr>
      <w:spacing w:after="0" w:line="276" w:lineRule="auto"/>
      <w:jc w:val="left"/>
      <w:rPr>
        <w:color w:val="000000"/>
      </w:rPr>
    </w:pPr>
  </w:p>
  <w:tbl>
    <w:tblPr>
      <w:tblStyle w:val="a3"/>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113961" w14:paraId="2842C180" w14:textId="77777777">
      <w:trPr>
        <w:trHeight w:val="138"/>
      </w:trPr>
      <w:tc>
        <w:tcPr>
          <w:tcW w:w="2551" w:type="dxa"/>
          <w:vAlign w:val="center"/>
        </w:tcPr>
        <w:p w14:paraId="1A224101" w14:textId="77777777" w:rsidR="00113961" w:rsidRDefault="008765D5">
          <w:pPr>
            <w:tabs>
              <w:tab w:val="right" w:pos="8838"/>
            </w:tabs>
            <w:ind w:right="-105"/>
            <w:jc w:val="left"/>
            <w:rPr>
              <w:b/>
            </w:rPr>
          </w:pPr>
          <w:r>
            <w:rPr>
              <w:b/>
            </w:rPr>
            <w:t>Recurso de Revisión:</w:t>
          </w:r>
        </w:p>
      </w:tc>
      <w:tc>
        <w:tcPr>
          <w:tcW w:w="4253" w:type="dxa"/>
        </w:tcPr>
        <w:p w14:paraId="2F248D05" w14:textId="77777777" w:rsidR="00113961" w:rsidRDefault="008765D5">
          <w:pPr>
            <w:tabs>
              <w:tab w:val="right" w:pos="8838"/>
            </w:tabs>
            <w:ind w:right="-108"/>
          </w:pPr>
          <w:r>
            <w:t>11356/INFOEM/IP/RR/2025</w:t>
          </w:r>
        </w:p>
      </w:tc>
    </w:tr>
    <w:tr w:rsidR="00113961" w14:paraId="6142DA72" w14:textId="77777777">
      <w:trPr>
        <w:trHeight w:val="273"/>
      </w:trPr>
      <w:tc>
        <w:tcPr>
          <w:tcW w:w="2551" w:type="dxa"/>
        </w:tcPr>
        <w:p w14:paraId="24060652" w14:textId="77777777" w:rsidR="00113961" w:rsidRDefault="008765D5">
          <w:pPr>
            <w:tabs>
              <w:tab w:val="right" w:pos="8838"/>
            </w:tabs>
            <w:ind w:right="-105"/>
            <w:rPr>
              <w:b/>
            </w:rPr>
          </w:pPr>
          <w:r>
            <w:rPr>
              <w:b/>
            </w:rPr>
            <w:t>Sujeto Obligado:</w:t>
          </w:r>
        </w:p>
      </w:tc>
      <w:tc>
        <w:tcPr>
          <w:tcW w:w="4253" w:type="dxa"/>
        </w:tcPr>
        <w:p w14:paraId="162D41D2" w14:textId="77777777" w:rsidR="00113961" w:rsidRDefault="008765D5">
          <w:pPr>
            <w:tabs>
              <w:tab w:val="right" w:pos="8838"/>
            </w:tabs>
            <w:ind w:right="744"/>
          </w:pPr>
          <w:r>
            <w:rPr>
              <w:color w:val="000000"/>
            </w:rPr>
            <w:t>Ayuntamiento de Almoloya de Juárez</w:t>
          </w:r>
        </w:p>
      </w:tc>
    </w:tr>
    <w:tr w:rsidR="00113961" w14:paraId="1D3A3749" w14:textId="77777777">
      <w:trPr>
        <w:trHeight w:val="273"/>
      </w:trPr>
      <w:tc>
        <w:tcPr>
          <w:tcW w:w="2551" w:type="dxa"/>
        </w:tcPr>
        <w:p w14:paraId="5CC33A5A" w14:textId="77777777" w:rsidR="00113961" w:rsidRDefault="008765D5">
          <w:pPr>
            <w:tabs>
              <w:tab w:val="right" w:pos="8838"/>
            </w:tabs>
            <w:ind w:right="-105"/>
            <w:rPr>
              <w:b/>
            </w:rPr>
          </w:pPr>
          <w:r>
            <w:rPr>
              <w:b/>
            </w:rPr>
            <w:t>Comisionado Ponente:</w:t>
          </w:r>
        </w:p>
      </w:tc>
      <w:tc>
        <w:tcPr>
          <w:tcW w:w="4253" w:type="dxa"/>
        </w:tcPr>
        <w:p w14:paraId="48A280F6" w14:textId="77777777" w:rsidR="00113961" w:rsidRDefault="008765D5">
          <w:pPr>
            <w:tabs>
              <w:tab w:val="right" w:pos="8838"/>
            </w:tabs>
            <w:ind w:right="-170"/>
            <w:rPr>
              <w:b/>
            </w:rPr>
          </w:pPr>
          <w:r>
            <w:t>Luis Gustavo Parra Noriega</w:t>
          </w:r>
        </w:p>
      </w:tc>
    </w:tr>
  </w:tbl>
  <w:p w14:paraId="5D679DCC" w14:textId="77777777" w:rsidR="0011396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C3E1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3AD3" w14:textId="77777777" w:rsidR="00113961" w:rsidRDefault="00113961">
    <w:pPr>
      <w:widowControl w:val="0"/>
      <w:pBdr>
        <w:top w:val="nil"/>
        <w:left w:val="nil"/>
        <w:bottom w:val="nil"/>
        <w:right w:val="nil"/>
        <w:between w:val="nil"/>
      </w:pBdr>
      <w:spacing w:after="0" w:line="276" w:lineRule="auto"/>
      <w:jc w:val="left"/>
      <w:rPr>
        <w:color w:val="000000"/>
      </w:rPr>
    </w:pPr>
  </w:p>
  <w:tbl>
    <w:tblPr>
      <w:tblStyle w:val="a4"/>
      <w:tblW w:w="6500"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409"/>
      <w:gridCol w:w="4091"/>
    </w:tblGrid>
    <w:tr w:rsidR="00113961" w14:paraId="7089DEE8" w14:textId="77777777">
      <w:trPr>
        <w:trHeight w:val="132"/>
      </w:trPr>
      <w:tc>
        <w:tcPr>
          <w:tcW w:w="2409" w:type="dxa"/>
        </w:tcPr>
        <w:p w14:paraId="6BF7A7F0" w14:textId="77777777" w:rsidR="00113961" w:rsidRDefault="008765D5">
          <w:pPr>
            <w:tabs>
              <w:tab w:val="right" w:pos="8838"/>
            </w:tabs>
            <w:ind w:right="-105"/>
            <w:rPr>
              <w:b/>
            </w:rPr>
          </w:pPr>
          <w:r>
            <w:rPr>
              <w:b/>
            </w:rPr>
            <w:t>Recurso de Revisión:</w:t>
          </w:r>
        </w:p>
      </w:tc>
      <w:tc>
        <w:tcPr>
          <w:tcW w:w="4091" w:type="dxa"/>
        </w:tcPr>
        <w:p w14:paraId="16F282A0" w14:textId="77777777" w:rsidR="00113961" w:rsidRDefault="008765D5">
          <w:pPr>
            <w:tabs>
              <w:tab w:val="right" w:pos="8838"/>
            </w:tabs>
            <w:ind w:left="-111" w:right="597"/>
          </w:pPr>
          <w:r>
            <w:t>11356/INFOEM/IP/RR/2025</w:t>
          </w:r>
        </w:p>
      </w:tc>
    </w:tr>
    <w:tr w:rsidR="00113961" w14:paraId="632E79E7" w14:textId="77777777">
      <w:trPr>
        <w:trHeight w:val="132"/>
      </w:trPr>
      <w:tc>
        <w:tcPr>
          <w:tcW w:w="2409" w:type="dxa"/>
        </w:tcPr>
        <w:p w14:paraId="74395F9E" w14:textId="77777777" w:rsidR="00113961" w:rsidRDefault="008765D5">
          <w:pPr>
            <w:tabs>
              <w:tab w:val="left" w:pos="1875"/>
            </w:tabs>
            <w:ind w:right="-105"/>
            <w:rPr>
              <w:b/>
            </w:rPr>
          </w:pPr>
          <w:r>
            <w:rPr>
              <w:b/>
            </w:rPr>
            <w:t>Recurrente:</w:t>
          </w:r>
          <w:r>
            <w:rPr>
              <w:b/>
            </w:rPr>
            <w:tab/>
          </w:r>
        </w:p>
      </w:tc>
      <w:tc>
        <w:tcPr>
          <w:tcW w:w="4091" w:type="dxa"/>
        </w:tcPr>
        <w:p w14:paraId="58161B9F" w14:textId="77777777" w:rsidR="00113961" w:rsidRDefault="00113961">
          <w:pPr>
            <w:tabs>
              <w:tab w:val="right" w:pos="8838"/>
            </w:tabs>
            <w:ind w:left="-113"/>
            <w:rPr>
              <w:highlight w:val="black"/>
            </w:rPr>
          </w:pPr>
        </w:p>
      </w:tc>
    </w:tr>
    <w:tr w:rsidR="00113961" w14:paraId="0BA0B350" w14:textId="77777777">
      <w:trPr>
        <w:trHeight w:val="261"/>
      </w:trPr>
      <w:tc>
        <w:tcPr>
          <w:tcW w:w="2409" w:type="dxa"/>
        </w:tcPr>
        <w:p w14:paraId="09077647" w14:textId="77777777" w:rsidR="00113961" w:rsidRDefault="008765D5">
          <w:pPr>
            <w:tabs>
              <w:tab w:val="right" w:pos="8838"/>
            </w:tabs>
            <w:ind w:right="-105"/>
            <w:rPr>
              <w:b/>
            </w:rPr>
          </w:pPr>
          <w:r>
            <w:rPr>
              <w:b/>
            </w:rPr>
            <w:t>Sujeto Obligado:</w:t>
          </w:r>
        </w:p>
      </w:tc>
      <w:tc>
        <w:tcPr>
          <w:tcW w:w="4091" w:type="dxa"/>
        </w:tcPr>
        <w:p w14:paraId="7E512FB8" w14:textId="77777777" w:rsidR="00113961" w:rsidRDefault="008765D5">
          <w:pPr>
            <w:tabs>
              <w:tab w:val="right" w:pos="8838"/>
            </w:tabs>
            <w:ind w:left="-111" w:right="717"/>
          </w:pPr>
          <w:r>
            <w:rPr>
              <w:color w:val="000000"/>
            </w:rPr>
            <w:t>Ayuntamiento de Almoloya de Juárez</w:t>
          </w:r>
        </w:p>
      </w:tc>
    </w:tr>
    <w:tr w:rsidR="00113961" w14:paraId="45B14DB9" w14:textId="77777777">
      <w:trPr>
        <w:trHeight w:val="261"/>
      </w:trPr>
      <w:tc>
        <w:tcPr>
          <w:tcW w:w="2409" w:type="dxa"/>
        </w:tcPr>
        <w:p w14:paraId="2F0BB524" w14:textId="77777777" w:rsidR="00113961" w:rsidRDefault="008765D5">
          <w:pPr>
            <w:tabs>
              <w:tab w:val="right" w:pos="8838"/>
            </w:tabs>
            <w:ind w:right="-105"/>
            <w:rPr>
              <w:b/>
            </w:rPr>
          </w:pPr>
          <w:r>
            <w:rPr>
              <w:b/>
            </w:rPr>
            <w:t>Comisionado Ponente:</w:t>
          </w:r>
        </w:p>
      </w:tc>
      <w:tc>
        <w:tcPr>
          <w:tcW w:w="4091" w:type="dxa"/>
        </w:tcPr>
        <w:p w14:paraId="6F30FEF1" w14:textId="77777777" w:rsidR="00113961" w:rsidRDefault="008765D5">
          <w:pPr>
            <w:tabs>
              <w:tab w:val="right" w:pos="8838"/>
            </w:tabs>
            <w:ind w:left="-111" w:right="-32"/>
            <w:rPr>
              <w:b/>
            </w:rPr>
          </w:pPr>
          <w:r>
            <w:t>Luis Gustavo Parra Noriega</w:t>
          </w:r>
        </w:p>
      </w:tc>
    </w:tr>
  </w:tbl>
  <w:p w14:paraId="3DFF9AE2" w14:textId="77777777" w:rsidR="00113961"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5F1B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466CF"/>
    <w:multiLevelType w:val="multilevel"/>
    <w:tmpl w:val="CA48B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C9546C"/>
    <w:multiLevelType w:val="multilevel"/>
    <w:tmpl w:val="FF10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6036454">
    <w:abstractNumId w:val="0"/>
  </w:num>
  <w:num w:numId="2" w16cid:durableId="639966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961"/>
    <w:rsid w:val="000F14B9"/>
    <w:rsid w:val="00113961"/>
    <w:rsid w:val="00303FC1"/>
    <w:rsid w:val="004D72A6"/>
    <w:rsid w:val="004F332E"/>
    <w:rsid w:val="00503E3C"/>
    <w:rsid w:val="007E747F"/>
    <w:rsid w:val="008765D5"/>
    <w:rsid w:val="00C329EC"/>
    <w:rsid w:val="00C97C12"/>
    <w:rsid w:val="00CA7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9F6F9"/>
  <w15:docId w15:val="{1CCB0301-814D-48D1-9744-5BF20092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0" w:line="240" w:lineRule="auto"/>
    </w:pPr>
    <w:rPr>
      <w:rFonts w:ascii="Calibri" w:eastAsia="Calibri" w:hAnsi="Calibri" w:cs="Calibri"/>
      <w:color w:val="000000"/>
      <w:sz w:val="56"/>
      <w:szCs w:val="56"/>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02807"/>
    <w:pPr>
      <w:autoSpaceDE w:val="0"/>
      <w:autoSpaceDN w:val="0"/>
      <w:adjustRightInd w:val="0"/>
      <w:spacing w:after="0" w:line="240" w:lineRule="auto"/>
    </w:pPr>
    <w:rPr>
      <w:color w:val="000000"/>
      <w:sz w:val="24"/>
      <w:szCs w:val="24"/>
    </w:rPr>
  </w:style>
  <w:style w:type="character" w:customStyle="1" w:styleId="Mencinsinresolver3">
    <w:name w:val="Mención sin resolver3"/>
    <w:basedOn w:val="Fuentedeprrafopredeter"/>
    <w:uiPriority w:val="99"/>
    <w:semiHidden/>
    <w:unhideWhenUsed/>
    <w:rsid w:val="008A7374"/>
    <w:rPr>
      <w:color w:val="605E5C"/>
      <w:shd w:val="clear" w:color="auto" w:fill="E1DFDD"/>
    </w:rPr>
  </w:style>
  <w:style w:type="character" w:customStyle="1" w:styleId="TtuloCar">
    <w:name w:val="Título Car"/>
    <w:basedOn w:val="Fuentedeprrafopredeter"/>
    <w:uiPriority w:val="10"/>
    <w:rsid w:val="00DE56C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uiPriority w:val="9"/>
    <w:rsid w:val="00DE56CD"/>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DE56CD"/>
    <w:pPr>
      <w:jc w:val="left"/>
    </w:pPr>
  </w:style>
  <w:style w:type="paragraph" w:styleId="TDC1">
    <w:name w:val="toc 1"/>
    <w:basedOn w:val="Normal"/>
    <w:next w:val="Normal"/>
    <w:autoRedefine/>
    <w:uiPriority w:val="39"/>
    <w:unhideWhenUsed/>
    <w:rsid w:val="00DE56CD"/>
    <w:pPr>
      <w:spacing w:after="100"/>
    </w:pPr>
  </w:style>
  <w:style w:type="character" w:customStyle="1" w:styleId="Ttulo2Car">
    <w:name w:val="Título 2 Car"/>
    <w:basedOn w:val="Fuentedeprrafopredeter"/>
    <w:uiPriority w:val="9"/>
    <w:rsid w:val="0051134F"/>
    <w:rPr>
      <w:rFonts w:asciiTheme="majorHAnsi" w:eastAsiaTheme="majorEastAsia" w:hAnsiTheme="majorHAnsi" w:cstheme="majorBidi"/>
      <w:color w:val="2F5496" w:themeColor="accent1" w:themeShade="BF"/>
      <w:kern w:val="0"/>
      <w:sz w:val="26"/>
      <w:szCs w:val="26"/>
    </w:rPr>
  </w:style>
  <w:style w:type="paragraph" w:styleId="TDC2">
    <w:name w:val="toc 2"/>
    <w:basedOn w:val="Normal"/>
    <w:next w:val="Normal"/>
    <w:autoRedefine/>
    <w:uiPriority w:val="39"/>
    <w:unhideWhenUsed/>
    <w:rsid w:val="0043384F"/>
    <w:pPr>
      <w:spacing w:after="100"/>
      <w:ind w:left="220"/>
    </w:p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DA7C1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almoloyadejuarez.gob.mx/wp-content/uploads/2025/04/PROGRAMA-ANUAL-DE-OBRAS-PAO-2025-ALMOLOYA-DE-JUAREZ.pd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lmoloyadejuarez.gob.mx/wp-content/uploads/2025/04/PROGRAMA-ANUAL-DE-EVALUACION-PAE-2025-ALMOLOYA-DE-JUAREZ.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Qg3FRWRPvvXd07S4+BBjbVEVg==">CgMxLjAyDmguNTJrdmg2dGF0dTd0MgxoLmQ3M283d3liMzIyDmgua3Fwdjd4MzFqeGtsMg5oLmJhNnk2bXcxcmE4ZTIOaC55bzNzNXVyb2k5ajgyDmgua3RqeWk1MXp1ZWVnMg5oLmc0MzRrNGZlbmgzcDIOaC4zbzNwZ3lvNGNmZmgyDmguYjB3NGY3bjZhZ2J0Mg5oLjRneXpwcWk1dm5tZDIOaC40NGs0NzlzcHNwYzQyDmguOGdsNG9rNHQ3eWs4Mg5oLmUwd2twNmlxbXRvODIOaC50azRpeGE4YTdsMGkyDmgubHdraXFwY2ZnZnFyMg5oLnltaHJxeGc2djA5NzIOaC52czJ2d3V3ZmhubWsyDmguaDY1eDkzNHNwdTZzOAByITEwZW5ZWGgzMXE5NTUtTjlQNXEwSU5QX3pCYnBTelhFcA==</go:docsCustomData>
</go:gDocsCustomXmlDataStorage>
</file>

<file path=customXml/itemProps1.xml><?xml version="1.0" encoding="utf-8"?>
<ds:datastoreItem xmlns:ds="http://schemas.openxmlformats.org/officeDocument/2006/customXml" ds:itemID="{67CBB7E0-AE35-46D2-9DEC-1E3C4233B2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4650</Words>
  <Characters>24789</Characters>
  <Application>Microsoft Office Word</Application>
  <DocSecurity>0</DocSecurity>
  <Lines>527</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Office</cp:lastModifiedBy>
  <cp:revision>3</cp:revision>
  <cp:lastPrinted>2025-11-07T05:04:00Z</cp:lastPrinted>
  <dcterms:created xsi:type="dcterms:W3CDTF">2025-11-07T05:04:00Z</dcterms:created>
  <dcterms:modified xsi:type="dcterms:W3CDTF">2025-11-07T05:04:00Z</dcterms:modified>
</cp:coreProperties>
</file>