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D57F" w14:textId="77777777" w:rsidR="000C7D05" w:rsidRDefault="000C7D05">
      <w:pPr>
        <w:widowControl w:val="0"/>
        <w:pBdr>
          <w:top w:val="nil"/>
          <w:left w:val="nil"/>
          <w:bottom w:val="nil"/>
          <w:right w:val="nil"/>
          <w:between w:val="nil"/>
        </w:pBdr>
        <w:spacing w:line="276" w:lineRule="auto"/>
      </w:pPr>
    </w:p>
    <w:p w14:paraId="49DC1E8F" w14:textId="77777777" w:rsidR="000C7D05" w:rsidRDefault="000C7D05">
      <w:pPr>
        <w:widowControl w:val="0"/>
        <w:pBdr>
          <w:top w:val="nil"/>
          <w:left w:val="nil"/>
          <w:bottom w:val="nil"/>
          <w:right w:val="nil"/>
          <w:between w:val="nil"/>
        </w:pBdr>
        <w:spacing w:line="276" w:lineRule="auto"/>
      </w:pPr>
    </w:p>
    <w:p w14:paraId="1C8D4159" w14:textId="77777777" w:rsidR="000C7D05" w:rsidRDefault="002156DB">
      <w:pPr>
        <w:tabs>
          <w:tab w:val="left" w:pos="8931"/>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quince de</w:t>
      </w:r>
      <w:r w:rsidR="00E76DAE">
        <w:rPr>
          <w:rFonts w:ascii="Palatino Linotype" w:eastAsia="Palatino Linotype" w:hAnsi="Palatino Linotype" w:cs="Palatino Linotype"/>
          <w:sz w:val="22"/>
          <w:szCs w:val="22"/>
        </w:rPr>
        <w:t xml:space="preserve"> enero de dos mil veinticinco.</w:t>
      </w:r>
    </w:p>
    <w:p w14:paraId="7210AE4C" w14:textId="77777777" w:rsidR="000C7D05" w:rsidRDefault="000C7D05">
      <w:pPr>
        <w:spacing w:line="360" w:lineRule="auto"/>
        <w:jc w:val="both"/>
        <w:rPr>
          <w:rFonts w:ascii="Palatino Linotype" w:eastAsia="Palatino Linotype" w:hAnsi="Palatino Linotype" w:cs="Palatino Linotype"/>
          <w:b/>
          <w:sz w:val="22"/>
          <w:szCs w:val="22"/>
        </w:rPr>
      </w:pPr>
    </w:p>
    <w:p w14:paraId="04FB97F1" w14:textId="75F6C299" w:rsidR="000C7D05" w:rsidRDefault="002156DB">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electrónico conformado con motivo del Recurso de Revisión </w:t>
      </w:r>
      <w:r>
        <w:rPr>
          <w:rFonts w:ascii="Palatino Linotype" w:eastAsia="Palatino Linotype" w:hAnsi="Palatino Linotype" w:cs="Palatino Linotype"/>
          <w:b/>
          <w:sz w:val="22"/>
          <w:szCs w:val="22"/>
        </w:rPr>
        <w:t>07451/INFOEM/IP/RR/2024</w:t>
      </w:r>
      <w:r>
        <w:rPr>
          <w:rFonts w:ascii="Palatino Linotype" w:eastAsia="Palatino Linotype" w:hAnsi="Palatino Linotype" w:cs="Palatino Linotype"/>
          <w:sz w:val="22"/>
          <w:szCs w:val="22"/>
        </w:rPr>
        <w:t xml:space="preserve">, interpuesto por </w:t>
      </w:r>
      <w:r w:rsidR="002117CE" w:rsidRPr="008D158B">
        <w:rPr>
          <w:highlight w:val="black"/>
        </w:rPr>
        <w:t>XXXXXXXXXXXXXXXXXX</w:t>
      </w:r>
      <w:r w:rsidR="002117CE">
        <w:rPr>
          <w:highlight w:val="black"/>
        </w:rPr>
        <w:t>XX</w:t>
      </w:r>
      <w:r w:rsidR="002117CE" w:rsidRPr="008D158B">
        <w:rPr>
          <w:highlight w:val="black"/>
        </w:rPr>
        <w:t>XXXXXXXXX</w:t>
      </w:r>
      <w:r>
        <w:rPr>
          <w:rFonts w:ascii="Palatino Linotype" w:eastAsia="Palatino Linotype" w:hAnsi="Palatino Linotype" w:cs="Palatino Linotype"/>
          <w:sz w:val="22"/>
          <w:szCs w:val="22"/>
        </w:rPr>
        <w:t xml:space="preserve">, en lo sucesivo la </w:t>
      </w:r>
      <w:r>
        <w:rPr>
          <w:rFonts w:ascii="Palatino Linotype" w:eastAsia="Palatino Linotype" w:hAnsi="Palatino Linotype" w:cs="Palatino Linotype"/>
          <w:color w:val="0D0D0D"/>
          <w:sz w:val="22"/>
          <w:szCs w:val="22"/>
        </w:rPr>
        <w:t>Recurrente o Particular, en contra de la</w:t>
      </w:r>
      <w:r w:rsidR="00E76DAE">
        <w:rPr>
          <w:rFonts w:ascii="Palatino Linotype" w:eastAsia="Palatino Linotype" w:hAnsi="Palatino Linotype" w:cs="Palatino Linotype"/>
          <w:color w:val="0D0D0D"/>
          <w:sz w:val="22"/>
          <w:szCs w:val="22"/>
        </w:rPr>
        <w:t xml:space="preserve"> falta de </w:t>
      </w:r>
      <w:r>
        <w:rPr>
          <w:rFonts w:ascii="Palatino Linotype" w:eastAsia="Palatino Linotype" w:hAnsi="Palatino Linotype" w:cs="Palatino Linotype"/>
          <w:color w:val="0D0D0D"/>
          <w:sz w:val="22"/>
          <w:szCs w:val="22"/>
        </w:rPr>
        <w:t xml:space="preserve">respuesta del Sujeto Obligado, </w:t>
      </w:r>
      <w:r w:rsidRPr="00E76DAE">
        <w:rPr>
          <w:rFonts w:ascii="Palatino Linotype" w:eastAsia="Palatino Linotype" w:hAnsi="Palatino Linotype" w:cs="Palatino Linotype"/>
          <w:b/>
          <w:sz w:val="22"/>
          <w:szCs w:val="22"/>
        </w:rPr>
        <w:t>Ayuntamiento de Ecatepec de Morelos</w:t>
      </w:r>
      <w:r>
        <w:rPr>
          <w:rFonts w:ascii="Palatino Linotype" w:eastAsia="Palatino Linotype" w:hAnsi="Palatino Linotype" w:cs="Palatino Linotype"/>
          <w:sz w:val="22"/>
          <w:szCs w:val="22"/>
        </w:rPr>
        <w:t>,</w:t>
      </w:r>
      <w:r>
        <w:rPr>
          <w:rFonts w:ascii="Palatino Linotype" w:eastAsia="Palatino Linotype" w:hAnsi="Palatino Linotype" w:cs="Palatino Linotype"/>
          <w:color w:val="0D0D0D"/>
          <w:sz w:val="22"/>
          <w:szCs w:val="22"/>
        </w:rPr>
        <w:t xml:space="preserve"> a la solicitud de acceso a la información pública </w:t>
      </w:r>
      <w:r>
        <w:rPr>
          <w:rFonts w:ascii="Palatino Linotype" w:eastAsia="Palatino Linotype" w:hAnsi="Palatino Linotype" w:cs="Palatino Linotype"/>
          <w:b/>
          <w:color w:val="0D0D0D"/>
          <w:sz w:val="22"/>
          <w:szCs w:val="22"/>
        </w:rPr>
        <w:t>01390/ECATEPEC/IP/2024</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Considerandos que se exponen a continuación:</w:t>
      </w:r>
    </w:p>
    <w:p w14:paraId="4300B59E" w14:textId="77777777" w:rsidR="000C7D05" w:rsidRDefault="000C7D05">
      <w:pPr>
        <w:spacing w:line="360" w:lineRule="auto"/>
        <w:jc w:val="both"/>
        <w:rPr>
          <w:rFonts w:ascii="Palatino Linotype" w:eastAsia="Palatino Linotype" w:hAnsi="Palatino Linotype" w:cs="Palatino Linotype"/>
          <w:b/>
          <w:sz w:val="22"/>
          <w:szCs w:val="22"/>
        </w:rPr>
      </w:pPr>
    </w:p>
    <w:p w14:paraId="0D4449AA" w14:textId="77777777" w:rsidR="000C7D05" w:rsidRDefault="002156D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0FCABB61" w14:textId="77777777" w:rsidR="000C7D05" w:rsidRDefault="000C7D05">
      <w:pPr>
        <w:spacing w:line="360" w:lineRule="auto"/>
        <w:jc w:val="center"/>
        <w:rPr>
          <w:rFonts w:ascii="Palatino Linotype" w:eastAsia="Palatino Linotype" w:hAnsi="Palatino Linotype" w:cs="Palatino Linotype"/>
          <w:b/>
          <w:sz w:val="22"/>
          <w:szCs w:val="22"/>
        </w:rPr>
      </w:pPr>
    </w:p>
    <w:p w14:paraId="6F8329B0" w14:textId="77777777" w:rsidR="000C7D05" w:rsidRDefault="002156DB">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14:paraId="15E340A6" w14:textId="77777777" w:rsidR="000C7D05" w:rsidRDefault="000C7D05">
      <w:pPr>
        <w:tabs>
          <w:tab w:val="left" w:pos="567"/>
        </w:tabs>
        <w:spacing w:line="360" w:lineRule="auto"/>
        <w:jc w:val="both"/>
        <w:rPr>
          <w:rFonts w:ascii="Palatino Linotype" w:eastAsia="Palatino Linotype" w:hAnsi="Palatino Linotype" w:cs="Palatino Linotype"/>
          <w:sz w:val="22"/>
          <w:szCs w:val="22"/>
        </w:rPr>
      </w:pPr>
    </w:p>
    <w:p w14:paraId="4A33CF96"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ocho de noviembre de dos mil veinticuatro, la persona Particular presentó una solicitud de acceso a la información pública, a través del Sistema de Acceso a la Información Mexiquense, en lo sucesivo SAIMEX, ante el Ayuntamiento de Ecatepec de Morelos, en los siguientes términos: </w:t>
      </w:r>
    </w:p>
    <w:p w14:paraId="40AF7892" w14:textId="77777777" w:rsidR="000C7D05" w:rsidRDefault="000C7D05">
      <w:pPr>
        <w:spacing w:line="360" w:lineRule="auto"/>
        <w:jc w:val="both"/>
        <w:rPr>
          <w:rFonts w:ascii="Palatino Linotype" w:eastAsia="Palatino Linotype" w:hAnsi="Palatino Linotype" w:cs="Palatino Linotype"/>
          <w:sz w:val="22"/>
          <w:szCs w:val="22"/>
        </w:rPr>
      </w:pPr>
    </w:p>
    <w:p w14:paraId="26B15308" w14:textId="77777777" w:rsidR="000C7D05" w:rsidRDefault="002156DB">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Folio de solicitud:</w:t>
      </w:r>
      <w:r>
        <w:t xml:space="preserve"> </w:t>
      </w:r>
      <w:r>
        <w:rPr>
          <w:rFonts w:ascii="Palatino Linotype" w:eastAsia="Palatino Linotype" w:hAnsi="Palatino Linotype" w:cs="Palatino Linotype"/>
          <w:b/>
        </w:rPr>
        <w:t>01390/ECATEPEC/IP/2024</w:t>
      </w:r>
    </w:p>
    <w:p w14:paraId="7BCB1326" w14:textId="77777777" w:rsidR="000C7D05" w:rsidRDefault="002156DB">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38AA9051" w14:textId="77777777" w:rsidR="000C7D05" w:rsidRDefault="002156DB">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“La C. Biol. Katy Elizabeth Domínguez Flores, Directora de Medio Ambiente y Ecología, suscribió el Oficio </w:t>
      </w:r>
      <w:proofErr w:type="spellStart"/>
      <w:r>
        <w:rPr>
          <w:rFonts w:ascii="Palatino Linotype" w:eastAsia="Palatino Linotype" w:hAnsi="Palatino Linotype" w:cs="Palatino Linotype"/>
          <w:i/>
        </w:rPr>
        <w:t>DMAyE</w:t>
      </w:r>
      <w:proofErr w:type="spellEnd"/>
      <w:r>
        <w:rPr>
          <w:rFonts w:ascii="Palatino Linotype" w:eastAsia="Palatino Linotype" w:hAnsi="Palatino Linotype" w:cs="Palatino Linotype"/>
          <w:i/>
        </w:rPr>
        <w:t xml:space="preserve">/ECA/742/DIVNA/2024 de fecha 07 de noviembre de 2024, en el que se señala: “De tal manera que le hago de su conocimiento que está autoridad no genero ningún </w:t>
      </w:r>
      <w:r>
        <w:rPr>
          <w:rFonts w:ascii="Palatino Linotype" w:eastAsia="Palatino Linotype" w:hAnsi="Palatino Linotype" w:cs="Palatino Linotype"/>
          <w:i/>
        </w:rPr>
        <w:lastRenderedPageBreak/>
        <w:t xml:space="preserve">tipo de muestra que se tuviera que analizar mediante medios científicos por un tercero, así mismo no son facultades que sean establecidas en los artículos 65 y 66 del Bando Municipal Vigente.” Por lo anterior, </w:t>
      </w:r>
      <w:r>
        <w:rPr>
          <w:rFonts w:ascii="Palatino Linotype" w:eastAsia="Palatino Linotype" w:hAnsi="Palatino Linotype" w:cs="Palatino Linotype"/>
          <w:b/>
          <w:i/>
        </w:rPr>
        <w:t>agradeceré como es que la Dirección de Medio Ambiente y Ecología, afirma que el árbol NO CUENTA CON PLAGA y sustente su dicho en donde funde y motive su respuesta</w:t>
      </w:r>
      <w:r>
        <w:rPr>
          <w:rFonts w:ascii="Palatino Linotype" w:eastAsia="Palatino Linotype" w:hAnsi="Palatino Linotype" w:cs="Palatino Linotype"/>
          <w:i/>
        </w:rPr>
        <w:t>.” (Sic)</w:t>
      </w:r>
    </w:p>
    <w:p w14:paraId="026F427B" w14:textId="77777777" w:rsidR="000C7D05" w:rsidRDefault="000C7D05">
      <w:pPr>
        <w:tabs>
          <w:tab w:val="left" w:pos="4667"/>
        </w:tabs>
        <w:spacing w:line="360" w:lineRule="auto"/>
        <w:ind w:left="567" w:right="567"/>
        <w:jc w:val="both"/>
        <w:rPr>
          <w:rFonts w:ascii="Palatino Linotype" w:eastAsia="Palatino Linotype" w:hAnsi="Palatino Linotype" w:cs="Palatino Linotype"/>
          <w:i/>
        </w:rPr>
      </w:pPr>
    </w:p>
    <w:p w14:paraId="01560E01" w14:textId="77777777" w:rsidR="000C7D05" w:rsidRDefault="002156DB">
      <w:pPr>
        <w:tabs>
          <w:tab w:val="left" w:pos="4667"/>
        </w:tabs>
        <w:spacing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rPr>
        <w:t xml:space="preserve">Modalidad de Entrega </w:t>
      </w:r>
      <w:r>
        <w:rPr>
          <w:rFonts w:ascii="Palatino Linotype" w:eastAsia="Palatino Linotype" w:hAnsi="Palatino Linotype" w:cs="Palatino Linotype"/>
          <w:i/>
          <w:sz w:val="22"/>
          <w:szCs w:val="22"/>
        </w:rPr>
        <w:t>“A través del SAIMEX”</w:t>
      </w:r>
    </w:p>
    <w:p w14:paraId="5D63DB03" w14:textId="77777777" w:rsidR="000C7D05" w:rsidRDefault="000C7D05">
      <w:pPr>
        <w:tabs>
          <w:tab w:val="left" w:pos="4667"/>
        </w:tabs>
        <w:spacing w:line="360" w:lineRule="auto"/>
        <w:ind w:left="567"/>
        <w:jc w:val="both"/>
        <w:rPr>
          <w:rFonts w:ascii="Palatino Linotype" w:eastAsia="Palatino Linotype" w:hAnsi="Palatino Linotype" w:cs="Palatino Linotype"/>
          <w:i/>
          <w:sz w:val="22"/>
          <w:szCs w:val="22"/>
        </w:rPr>
      </w:pPr>
    </w:p>
    <w:p w14:paraId="5AD5D7BA"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Respuesta del Sujeto Obligado</w:t>
      </w:r>
    </w:p>
    <w:p w14:paraId="58C1D8E7" w14:textId="77777777" w:rsidR="000C7D05" w:rsidRDefault="000C7D05">
      <w:pPr>
        <w:spacing w:line="360" w:lineRule="auto"/>
        <w:jc w:val="both"/>
        <w:rPr>
          <w:rFonts w:ascii="Palatino Linotype" w:eastAsia="Palatino Linotype" w:hAnsi="Palatino Linotype" w:cs="Palatino Linotype"/>
          <w:b/>
          <w:sz w:val="22"/>
          <w:szCs w:val="22"/>
        </w:rPr>
      </w:pPr>
    </w:p>
    <w:p w14:paraId="1FAB0A0F"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obran en el SAIMEX, se aprecia que el Sujeto Obligado no dio respuesta a la solicitud de información que nos ocupa. </w:t>
      </w:r>
    </w:p>
    <w:p w14:paraId="7FADA9C0" w14:textId="77777777" w:rsidR="000C7D05" w:rsidRDefault="000C7D05">
      <w:pPr>
        <w:spacing w:line="360" w:lineRule="auto"/>
        <w:jc w:val="both"/>
        <w:rPr>
          <w:rFonts w:ascii="Palatino Linotype" w:eastAsia="Palatino Linotype" w:hAnsi="Palatino Linotype" w:cs="Palatino Linotype"/>
          <w:i/>
        </w:rPr>
      </w:pPr>
    </w:p>
    <w:p w14:paraId="445635D1"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3A5B7190" w14:textId="77777777" w:rsidR="000C7D05" w:rsidRDefault="000C7D05">
      <w:pPr>
        <w:spacing w:line="360" w:lineRule="auto"/>
        <w:jc w:val="both"/>
        <w:rPr>
          <w:rFonts w:ascii="Palatino Linotype" w:eastAsia="Palatino Linotype" w:hAnsi="Palatino Linotype" w:cs="Palatino Linotype"/>
          <w:b/>
          <w:sz w:val="22"/>
          <w:szCs w:val="22"/>
        </w:rPr>
      </w:pPr>
    </w:p>
    <w:p w14:paraId="61206499"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tres de diciembre de dos mil veinticuatro, se recibió en este Instituto, a través del SAIMEX, Recurso de Revisión interpuesto por la parte Recurrente, en contra de la respuesta por el Sujeto Obligado, a la solicitud de información,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los siguientes términos:</w:t>
      </w:r>
    </w:p>
    <w:p w14:paraId="32C01FC5" w14:textId="77777777" w:rsidR="000C7D05" w:rsidRDefault="000C7D05">
      <w:pPr>
        <w:spacing w:line="360" w:lineRule="auto"/>
        <w:jc w:val="both"/>
        <w:rPr>
          <w:rFonts w:ascii="Palatino Linotype" w:eastAsia="Palatino Linotype" w:hAnsi="Palatino Linotype" w:cs="Palatino Linotype"/>
          <w:sz w:val="22"/>
          <w:szCs w:val="22"/>
        </w:rPr>
      </w:pPr>
    </w:p>
    <w:p w14:paraId="0F8F8869" w14:textId="77777777" w:rsidR="000C7D05" w:rsidRDefault="002156DB">
      <w:pPr>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b/>
        </w:rPr>
        <w:t>ACTO IMPUGNADO</w:t>
      </w:r>
    </w:p>
    <w:p w14:paraId="1070CE55" w14:textId="77777777" w:rsidR="000C7D05" w:rsidRDefault="002156D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“La C. Biol. Katy Elizabeth Domínguez Flores, Directora de Medio Ambiente y Ecología, suscribió el Oficio </w:t>
      </w:r>
      <w:proofErr w:type="spellStart"/>
      <w:r>
        <w:rPr>
          <w:rFonts w:ascii="Palatino Linotype" w:eastAsia="Palatino Linotype" w:hAnsi="Palatino Linotype" w:cs="Palatino Linotype"/>
          <w:i/>
        </w:rPr>
        <w:t>DMAyE</w:t>
      </w:r>
      <w:proofErr w:type="spellEnd"/>
      <w:r>
        <w:rPr>
          <w:rFonts w:ascii="Palatino Linotype" w:eastAsia="Palatino Linotype" w:hAnsi="Palatino Linotype" w:cs="Palatino Linotype"/>
          <w:i/>
        </w:rPr>
        <w:t>/ECA/742/DIVNA/2024 de fecha 07 de noviembre de 2024, en el que se señala: “De tal manera que le hago de su conocimiento que está autoridad no genero ningún tipo de muestra que se tuviera que analizar mediante medios científicos por un tercero, así mismo no son facultades que sean establecidas en los artículos 65 y 66 del Bando Municipal Vigente.” Por lo anterior, agradeceré como es que la Dirección de Medio Ambiente y Ecología, afirma que el árbol NO CUENTA CON PLAGA y sustente su dicho en donde funde y motive su respuesta.” (Sic.)</w:t>
      </w:r>
    </w:p>
    <w:p w14:paraId="52A85078" w14:textId="77777777" w:rsidR="000C7D05" w:rsidRDefault="000C7D05">
      <w:pPr>
        <w:spacing w:line="360" w:lineRule="auto"/>
        <w:ind w:left="567" w:right="567"/>
        <w:jc w:val="both"/>
        <w:rPr>
          <w:rFonts w:ascii="Palatino Linotype" w:eastAsia="Palatino Linotype" w:hAnsi="Palatino Linotype" w:cs="Palatino Linotype"/>
          <w:i/>
          <w:highlight w:val="yellow"/>
        </w:rPr>
      </w:pPr>
    </w:p>
    <w:p w14:paraId="1E23F146" w14:textId="77777777" w:rsidR="000C7D05" w:rsidRDefault="002156DB">
      <w:pPr>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p w14:paraId="63EBD090" w14:textId="77777777" w:rsidR="000C7D05" w:rsidRDefault="002156D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“Existe una falta de respuesta del Municipio de Ecatepec de Morelos, a mi solicitud de acceso a la información.” (Sic).</w:t>
      </w:r>
    </w:p>
    <w:p w14:paraId="68ACFEC0" w14:textId="77777777" w:rsidR="000C7D05" w:rsidRDefault="000C7D05">
      <w:pPr>
        <w:spacing w:line="360" w:lineRule="auto"/>
        <w:jc w:val="both"/>
        <w:rPr>
          <w:rFonts w:ascii="Palatino Linotype" w:eastAsia="Palatino Linotype" w:hAnsi="Palatino Linotype" w:cs="Palatino Linotype"/>
          <w:sz w:val="22"/>
          <w:szCs w:val="22"/>
        </w:rPr>
      </w:pPr>
    </w:p>
    <w:p w14:paraId="4FB5EECE"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este Instituto</w:t>
      </w:r>
    </w:p>
    <w:p w14:paraId="119733A0" w14:textId="77777777" w:rsidR="000C7D05" w:rsidRDefault="000C7D05">
      <w:pPr>
        <w:spacing w:line="360" w:lineRule="auto"/>
        <w:jc w:val="both"/>
        <w:rPr>
          <w:rFonts w:ascii="Palatino Linotype" w:eastAsia="Palatino Linotype" w:hAnsi="Palatino Linotype" w:cs="Palatino Linotype"/>
          <w:b/>
          <w:sz w:val="22"/>
          <w:szCs w:val="22"/>
        </w:rPr>
      </w:pPr>
    </w:p>
    <w:p w14:paraId="70A42BFB"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 Turno del Medio de Impugnación. </w:t>
      </w:r>
      <w:r>
        <w:rPr>
          <w:rFonts w:ascii="Palatino Linotype" w:eastAsia="Palatino Linotype" w:hAnsi="Palatino Linotype" w:cs="Palatino Linotype"/>
          <w:sz w:val="22"/>
          <w:szCs w:val="22"/>
        </w:rPr>
        <w:t xml:space="preserve">El tres de diciembre de dos mil veinticuatro, el Sistema de Acceso a la Información Mexiquense (SAIMEX), asignó el número de expediente </w:t>
      </w:r>
      <w:r>
        <w:rPr>
          <w:rFonts w:ascii="Palatino Linotype" w:eastAsia="Palatino Linotype" w:hAnsi="Palatino Linotype" w:cs="Palatino Linotype"/>
          <w:b/>
          <w:sz w:val="22"/>
          <w:szCs w:val="22"/>
        </w:rPr>
        <w:t>07451/INFOEM/IP/RR/2024</w:t>
      </w:r>
      <w:r>
        <w:rPr>
          <w:rFonts w:ascii="Palatino Linotype" w:eastAsia="Palatino Linotype" w:hAnsi="Palatino Linotype" w:cs="Palatino Linotype"/>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538387D" w14:textId="77777777" w:rsidR="000C7D05" w:rsidRDefault="000C7D05">
      <w:pPr>
        <w:spacing w:line="360" w:lineRule="auto"/>
        <w:jc w:val="both"/>
        <w:rPr>
          <w:rFonts w:ascii="Palatino Linotype" w:eastAsia="Palatino Linotype" w:hAnsi="Palatino Linotype" w:cs="Palatino Linotype"/>
          <w:sz w:val="22"/>
          <w:szCs w:val="22"/>
        </w:rPr>
      </w:pPr>
    </w:p>
    <w:p w14:paraId="38DBFA70"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seis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treinta y uno del mismo mes y año, a través del Sistema de Acceso a la Información Mexiquense (SAIMEX), en el que se les otorgó un plazo de siete días hábiles posteriores a la misma, para que manifestaran lo que a su derecho conviniera y formularan alegatos.</w:t>
      </w:r>
    </w:p>
    <w:p w14:paraId="6A236B29" w14:textId="77777777" w:rsidR="000C7D05" w:rsidRDefault="000C7D05">
      <w:pPr>
        <w:tabs>
          <w:tab w:val="left" w:pos="567"/>
        </w:tabs>
        <w:spacing w:line="360" w:lineRule="auto"/>
        <w:jc w:val="both"/>
        <w:rPr>
          <w:rFonts w:ascii="Palatino Linotype" w:eastAsia="Palatino Linotype" w:hAnsi="Palatino Linotype" w:cs="Palatino Linotype"/>
          <w:color w:val="000000"/>
          <w:sz w:val="22"/>
          <w:szCs w:val="22"/>
        </w:rPr>
      </w:pPr>
    </w:p>
    <w:p w14:paraId="6BD2E0E1" w14:textId="77777777" w:rsidR="000C7D05" w:rsidRDefault="002156D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Manifestaciones. </w:t>
      </w:r>
      <w:r>
        <w:rPr>
          <w:rFonts w:ascii="Palatino Linotype" w:eastAsia="Palatino Linotype" w:hAnsi="Palatino Linotype" w:cs="Palatino Linotype"/>
          <w:sz w:val="22"/>
          <w:szCs w:val="22"/>
        </w:rPr>
        <w:t xml:space="preserve">El seis de diciembre de dos mil veinticuatro, la persona Particular emitió sus manifestaciones a través del SAIMEX, en el que señaló: </w:t>
      </w:r>
      <w:r>
        <w:rPr>
          <w:rFonts w:ascii="Palatino Linotype" w:eastAsia="Palatino Linotype" w:hAnsi="Palatino Linotype" w:cs="Palatino Linotype"/>
          <w:sz w:val="22"/>
          <w:szCs w:val="22"/>
        </w:rPr>
        <w:br/>
        <w:t>“</w:t>
      </w:r>
      <w:r>
        <w:rPr>
          <w:rFonts w:ascii="Palatino Linotype" w:eastAsia="Palatino Linotype" w:hAnsi="Palatino Linotype" w:cs="Palatino Linotype"/>
          <w:i/>
          <w:sz w:val="22"/>
          <w:szCs w:val="22"/>
        </w:rPr>
        <w:t>Al día 06 de diciembre de 2024. Existe una falta de respuesta del Municipio de Ecatepec de Morelos, a mi solicitud de acceso a la información</w:t>
      </w:r>
      <w:r>
        <w:rPr>
          <w:rFonts w:ascii="Palatino Linotype" w:eastAsia="Palatino Linotype" w:hAnsi="Palatino Linotype" w:cs="Palatino Linotype"/>
          <w:sz w:val="22"/>
          <w:szCs w:val="22"/>
        </w:rPr>
        <w:t>.”</w:t>
      </w:r>
    </w:p>
    <w:p w14:paraId="140A018A"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De igual forma, adjuntó el acuerdo de admisión al Recurso de Revisión que nos ocupa, en los mismos términos en los que fue descrito en líneas anteriores. </w:t>
      </w:r>
    </w:p>
    <w:p w14:paraId="5EE9D0E4" w14:textId="77777777" w:rsidR="000C7D05" w:rsidRDefault="000C7D05">
      <w:pPr>
        <w:tabs>
          <w:tab w:val="left" w:pos="567"/>
        </w:tabs>
        <w:spacing w:line="360" w:lineRule="auto"/>
        <w:jc w:val="both"/>
        <w:rPr>
          <w:rFonts w:ascii="Palatino Linotype" w:eastAsia="Palatino Linotype" w:hAnsi="Palatino Linotype" w:cs="Palatino Linotype"/>
          <w:color w:val="000000"/>
          <w:sz w:val="22"/>
          <w:szCs w:val="22"/>
        </w:rPr>
      </w:pPr>
    </w:p>
    <w:p w14:paraId="4AFF98CA" w14:textId="77777777" w:rsidR="000C7D05" w:rsidRDefault="002156DB">
      <w:pP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d)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El Sujeto Obligado fue omiso en emitir manifestaciones o alegatos.</w:t>
      </w:r>
    </w:p>
    <w:p w14:paraId="4A954EAE" w14:textId="77777777" w:rsidR="000C7D05" w:rsidRDefault="000C7D05">
      <w:pPr>
        <w:spacing w:line="360" w:lineRule="auto"/>
        <w:jc w:val="both"/>
        <w:rPr>
          <w:rFonts w:ascii="Palatino Linotype" w:eastAsia="Palatino Linotype" w:hAnsi="Palatino Linotype" w:cs="Palatino Linotype"/>
          <w:b/>
          <w:sz w:val="22"/>
          <w:szCs w:val="22"/>
        </w:rPr>
      </w:pPr>
    </w:p>
    <w:p w14:paraId="5CF8461F"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 Cierre de instrucción.</w:t>
      </w:r>
      <w:r>
        <w:rPr>
          <w:rFonts w:ascii="Palatino Linotype" w:eastAsia="Palatino Linotype" w:hAnsi="Palatino Linotype" w:cs="Palatino Linotype"/>
          <w:sz w:val="22"/>
          <w:szCs w:val="22"/>
        </w:rPr>
        <w:t xml:space="preserve"> El dieciocho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3BA6F618" w14:textId="77777777" w:rsidR="000C7D05" w:rsidRDefault="000C7D05">
      <w:pPr>
        <w:spacing w:line="360" w:lineRule="auto"/>
        <w:ind w:right="-28"/>
        <w:jc w:val="both"/>
        <w:rPr>
          <w:rFonts w:ascii="Palatino Linotype" w:eastAsia="Palatino Linotype" w:hAnsi="Palatino Linotype" w:cs="Palatino Linotype"/>
          <w:sz w:val="22"/>
          <w:szCs w:val="22"/>
        </w:rPr>
      </w:pPr>
    </w:p>
    <w:p w14:paraId="0F3BC09A"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 integrado el expediente electrónico y no existe diligencia pendiente de desahogo, se emite la resolución que conforme a Derecho proceda, de acuerdo a los siguientes:</w:t>
      </w:r>
    </w:p>
    <w:p w14:paraId="02588B2C"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19DFC571" w14:textId="77777777" w:rsidR="000C7D05" w:rsidRDefault="002156D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38A64B35" w14:textId="77777777" w:rsidR="000C7D05" w:rsidRDefault="000C7D05">
      <w:pPr>
        <w:spacing w:line="360" w:lineRule="auto"/>
        <w:rPr>
          <w:rFonts w:ascii="Palatino Linotype" w:eastAsia="Palatino Linotype" w:hAnsi="Palatino Linotype" w:cs="Palatino Linotype"/>
          <w:b/>
          <w:sz w:val="22"/>
          <w:szCs w:val="22"/>
        </w:rPr>
      </w:pPr>
    </w:p>
    <w:p w14:paraId="5EA001D9"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3B73DA9E" w14:textId="77777777" w:rsidR="000C7D05" w:rsidRDefault="000C7D05">
      <w:pPr>
        <w:spacing w:line="360" w:lineRule="auto"/>
        <w:jc w:val="both"/>
        <w:rPr>
          <w:rFonts w:ascii="Palatino Linotype" w:eastAsia="Palatino Linotype" w:hAnsi="Palatino Linotype" w:cs="Palatino Linotype"/>
          <w:b/>
          <w:sz w:val="22"/>
          <w:szCs w:val="22"/>
        </w:rPr>
      </w:pPr>
    </w:p>
    <w:p w14:paraId="6696B1BE" w14:textId="77777777" w:rsidR="000C7D05" w:rsidRDefault="002156DB">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w:t>
      </w:r>
      <w:r>
        <w:rPr>
          <w:rFonts w:ascii="Palatino Linotype" w:eastAsia="Palatino Linotype" w:hAnsi="Palatino Linotype" w:cs="Palatino Linotype"/>
          <w:sz w:val="22"/>
          <w:szCs w:val="22"/>
        </w:rPr>
        <w:lastRenderedPageBreak/>
        <w:t>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E2DB7C4"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7AEFA9B3"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Causales de improcedencia </w:t>
      </w:r>
    </w:p>
    <w:p w14:paraId="574E2D84"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6D34F399"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3721BD6"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6BA29FE8"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el presente caso, </w:t>
      </w:r>
      <w:r>
        <w:rPr>
          <w:rFonts w:ascii="Palatino Linotype" w:eastAsia="Palatino Linotype" w:hAnsi="Palatino Linotype" w:cs="Palatino Linotype"/>
          <w:b/>
          <w:sz w:val="22"/>
          <w:szCs w:val="22"/>
        </w:rPr>
        <w:t>no se actualizan las causales de improcedencia</w:t>
      </w:r>
      <w:r>
        <w:rPr>
          <w:rFonts w:ascii="Palatino Linotype" w:eastAsia="Palatino Linotype" w:hAnsi="Palatino Linotype" w:cs="Palatino Linotype"/>
          <w:sz w:val="22"/>
          <w:szCs w:val="22"/>
        </w:rPr>
        <w:t xml:space="preserve"> establecidas en el ordenamiento jurídico previamente señalado, en sus fracciones de la I a la V y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 trámite mediante el pedimento de información, o bien, la </w:t>
      </w:r>
      <w:r>
        <w:rPr>
          <w:rFonts w:ascii="Palatino Linotype" w:eastAsia="Palatino Linotype" w:hAnsi="Palatino Linotype" w:cs="Palatino Linotype"/>
          <w:color w:val="000000"/>
          <w:sz w:val="22"/>
          <w:szCs w:val="22"/>
        </w:rPr>
        <w:t>ampliación a los alcances del requerimiento informativo.</w:t>
      </w:r>
    </w:p>
    <w:p w14:paraId="58DD65D7"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4098CBF0"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Asimismo, se actualiza la causal de procedencia del Recurso de Revisión señalada en el artículo 179, fracción VII, de la Ley en cita, pues la persona Recurrente se inconformó con la falta de respuesta a una solicitud de acceso a la información. </w:t>
      </w:r>
    </w:p>
    <w:p w14:paraId="40D48011"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3341E9C3" w14:textId="77777777" w:rsidR="000C7D05" w:rsidRDefault="002156DB">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TERCERO. Causales de sobreseimiento</w:t>
      </w:r>
    </w:p>
    <w:p w14:paraId="02B1B2AA" w14:textId="77777777" w:rsidR="000C7D05" w:rsidRDefault="000C7D05">
      <w:pPr>
        <w:spacing w:line="360" w:lineRule="auto"/>
        <w:jc w:val="both"/>
        <w:rPr>
          <w:rFonts w:ascii="Palatino Linotype" w:eastAsia="Palatino Linotype" w:hAnsi="Palatino Linotype" w:cs="Palatino Linotype"/>
          <w:b/>
          <w:color w:val="0D0D0D"/>
          <w:sz w:val="22"/>
          <w:szCs w:val="22"/>
        </w:rPr>
      </w:pPr>
    </w:p>
    <w:p w14:paraId="761FC88B"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ser de previo y especial pronunciamiento, este Instituto analiza si se actualiza alguna causal de sobreseimiento. 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Pr>
          <w:rFonts w:ascii="Palatino Linotype" w:eastAsia="Palatino Linotype" w:hAnsi="Palatino Linotype" w:cs="Palatino Linotype"/>
          <w:b/>
          <w:sz w:val="22"/>
          <w:szCs w:val="22"/>
        </w:rPr>
        <w:t>que no se actualizan los supuestos de sobreseimiento previstos en las fracciones I, II, III y V</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toda vez que no hay constancias en el expediente en que se actúa, de que la persona Recurrente se haya desistido, haya fallecido, haya modificado o revocado su respuesta o bien, </w:t>
      </w:r>
      <w:r>
        <w:rPr>
          <w:rFonts w:ascii="Palatino Linotype" w:eastAsia="Palatino Linotype" w:hAnsi="Palatino Linotype" w:cs="Palatino Linotype"/>
          <w:sz w:val="22"/>
          <w:szCs w:val="22"/>
        </w:rPr>
        <w:t>que el Recurso de Revisión haya quedado sin materia.</w:t>
      </w:r>
    </w:p>
    <w:p w14:paraId="3C5D83D2" w14:textId="77777777" w:rsidR="000C7D05" w:rsidRDefault="000C7D05">
      <w:pPr>
        <w:spacing w:line="360" w:lineRule="auto"/>
        <w:jc w:val="both"/>
        <w:rPr>
          <w:rFonts w:ascii="Palatino Linotype" w:eastAsia="Palatino Linotype" w:hAnsi="Palatino Linotype" w:cs="Palatino Linotype"/>
          <w:sz w:val="22"/>
          <w:szCs w:val="22"/>
        </w:rPr>
      </w:pPr>
    </w:p>
    <w:p w14:paraId="6A96DB7D"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por lo que hace a la hipótesis prevista en la </w:t>
      </w:r>
      <w:r>
        <w:rPr>
          <w:rFonts w:ascii="Palatino Linotype" w:eastAsia="Palatino Linotype" w:hAnsi="Palatino Linotype" w:cs="Palatino Linotype"/>
          <w:b/>
          <w:sz w:val="22"/>
          <w:szCs w:val="22"/>
        </w:rPr>
        <w:t xml:space="preserve">fracción IV </w:t>
      </w:r>
      <w:r>
        <w:rPr>
          <w:rFonts w:ascii="Palatino Linotype" w:eastAsia="Palatino Linotype" w:hAnsi="Palatino Linotype" w:cs="Palatino Linotype"/>
          <w:sz w:val="22"/>
          <w:szCs w:val="22"/>
        </w:rPr>
        <w:t xml:space="preserve">del artículo 192 de la Ley de la materia, que prevé que, será sobreseído el asunto, cuando una vez admitido el Recurso de Revisión, aparezca alguna causal de improcedencia en términos de la presente Ley; al respecto, resulta necesario traer a colación el artículo 191, fracción VI, de la Ley de la materia, que establece que el Recurso de Revisión será desechado por improcedente, cuando </w:t>
      </w:r>
      <w:r>
        <w:rPr>
          <w:rFonts w:ascii="Palatino Linotype" w:eastAsia="Palatino Linotype" w:hAnsi="Palatino Linotype" w:cs="Palatino Linotype"/>
          <w:b/>
          <w:sz w:val="22"/>
          <w:szCs w:val="22"/>
        </w:rPr>
        <w:t>la solicitud de información se trate de una consulta.</w:t>
      </w:r>
    </w:p>
    <w:p w14:paraId="386F4033" w14:textId="77777777" w:rsidR="000C7D05" w:rsidRDefault="000C7D05">
      <w:pPr>
        <w:spacing w:line="360" w:lineRule="auto"/>
        <w:jc w:val="both"/>
        <w:rPr>
          <w:rFonts w:ascii="Palatino Linotype" w:eastAsia="Palatino Linotype" w:hAnsi="Palatino Linotype" w:cs="Palatino Linotype"/>
          <w:sz w:val="22"/>
          <w:szCs w:val="22"/>
        </w:rPr>
      </w:pPr>
    </w:p>
    <w:p w14:paraId="1EFEACB0" w14:textId="77777777" w:rsidR="000C7D05" w:rsidRDefault="002156DB">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con el fin de verificar si se actualiza la causal de improcedencia, es necesario precisar que la persona </w:t>
      </w:r>
      <w:r>
        <w:rPr>
          <w:rFonts w:ascii="Palatino Linotype" w:eastAsia="Palatino Linotype" w:hAnsi="Palatino Linotype" w:cs="Palatino Linotype"/>
          <w:color w:val="000000"/>
          <w:sz w:val="22"/>
          <w:szCs w:val="22"/>
        </w:rPr>
        <w:t xml:space="preserve">Recurrente requirió que en relación a un oficio </w:t>
      </w:r>
      <w:proofErr w:type="spellStart"/>
      <w:r>
        <w:rPr>
          <w:rFonts w:ascii="Palatino Linotype" w:eastAsia="Palatino Linotype" w:hAnsi="Palatino Linotype" w:cs="Palatino Linotype"/>
          <w:sz w:val="22"/>
          <w:szCs w:val="22"/>
        </w:rPr>
        <w:t>DMAyE</w:t>
      </w:r>
      <w:proofErr w:type="spellEnd"/>
      <w:r>
        <w:rPr>
          <w:rFonts w:ascii="Palatino Linotype" w:eastAsia="Palatino Linotype" w:hAnsi="Palatino Linotype" w:cs="Palatino Linotype"/>
          <w:sz w:val="22"/>
          <w:szCs w:val="22"/>
        </w:rPr>
        <w:t>/ECA/742/DIVNA/2024 de fecha 07 de noviembre de 2024</w:t>
      </w:r>
      <w:r>
        <w:rPr>
          <w:rFonts w:ascii="Palatino Linotype" w:eastAsia="Palatino Linotype" w:hAnsi="Palatino Linotype" w:cs="Palatino Linotype"/>
          <w:color w:val="000000"/>
          <w:sz w:val="22"/>
          <w:szCs w:val="22"/>
        </w:rPr>
        <w:t>, suscrito por la</w:t>
      </w:r>
      <w:r>
        <w:rPr>
          <w:rFonts w:ascii="Palatino Linotype" w:eastAsia="Palatino Linotype" w:hAnsi="Palatino Linotype" w:cs="Palatino Linotype"/>
          <w:sz w:val="22"/>
          <w:szCs w:val="22"/>
        </w:rPr>
        <w:t xml:space="preserve"> C. Biol. Katy Elizabeth Domínguez Flores, Directora de Medio Ambiente y Ecología, se le informara </w:t>
      </w:r>
      <w:r>
        <w:rPr>
          <w:rFonts w:ascii="Palatino Linotype" w:eastAsia="Palatino Linotype" w:hAnsi="Palatino Linotype" w:cs="Palatino Linotype"/>
          <w:sz w:val="22"/>
          <w:szCs w:val="22"/>
        </w:rPr>
        <w:lastRenderedPageBreak/>
        <w:t>como es que la Dirección de Medio Ambiente y Ecología, afirma que el árbol NO CUENTA CON PLAGA y sustente su dicho en donde funde y motive su respuesta.</w:t>
      </w:r>
    </w:p>
    <w:p w14:paraId="2B338C58" w14:textId="77777777" w:rsidR="000C7D05" w:rsidRDefault="000C7D05">
      <w:pPr>
        <w:tabs>
          <w:tab w:val="left" w:pos="4667"/>
        </w:tabs>
        <w:spacing w:line="360" w:lineRule="auto"/>
        <w:jc w:val="both"/>
        <w:rPr>
          <w:rFonts w:ascii="Palatino Linotype" w:eastAsia="Palatino Linotype" w:hAnsi="Palatino Linotype" w:cs="Palatino Linotype"/>
          <w:sz w:val="22"/>
          <w:szCs w:val="22"/>
        </w:rPr>
      </w:pPr>
    </w:p>
    <w:p w14:paraId="739BCC7B" w14:textId="77777777" w:rsidR="000C7D05" w:rsidRDefault="002156DB">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este Organismo Garante localizó el oficio referido por la parte Recurrente, por medio del cual la Directora de Medio Ambiente y Ecología, precisó que en relación al árbol de su interés no se generó ningún tipo de muestra que se tuviera que analizar mediante medios científicos por un tercero, a fin de aportar mayor referencia, se inserta parte del oficio en cuestión: </w:t>
      </w:r>
    </w:p>
    <w:p w14:paraId="3B007395" w14:textId="77777777" w:rsidR="000C7D05" w:rsidRDefault="000C7D05">
      <w:pPr>
        <w:tabs>
          <w:tab w:val="left" w:pos="4667"/>
        </w:tabs>
        <w:spacing w:line="360" w:lineRule="auto"/>
        <w:jc w:val="both"/>
        <w:rPr>
          <w:rFonts w:ascii="Palatino Linotype" w:eastAsia="Palatino Linotype" w:hAnsi="Palatino Linotype" w:cs="Palatino Linotype"/>
          <w:sz w:val="22"/>
          <w:szCs w:val="22"/>
        </w:rPr>
      </w:pPr>
    </w:p>
    <w:p w14:paraId="1B5F005C" w14:textId="77777777" w:rsidR="000C7D05" w:rsidRDefault="002156DB">
      <w:pPr>
        <w:tabs>
          <w:tab w:val="left" w:pos="4667"/>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37119737" wp14:editId="38E2EC27">
            <wp:extent cx="5061794" cy="29087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61794" cy="2908785"/>
                    </a:xfrm>
                    <a:prstGeom prst="rect">
                      <a:avLst/>
                    </a:prstGeom>
                    <a:ln/>
                  </pic:spPr>
                </pic:pic>
              </a:graphicData>
            </a:graphic>
          </wp:inline>
        </w:drawing>
      </w:r>
    </w:p>
    <w:p w14:paraId="269D8C1C" w14:textId="77777777" w:rsidR="000C7D05" w:rsidRDefault="000C7D05">
      <w:pPr>
        <w:tabs>
          <w:tab w:val="left" w:pos="4667"/>
        </w:tabs>
        <w:spacing w:line="360" w:lineRule="auto"/>
        <w:jc w:val="both"/>
        <w:rPr>
          <w:rFonts w:ascii="Palatino Linotype" w:eastAsia="Palatino Linotype" w:hAnsi="Palatino Linotype" w:cs="Palatino Linotype"/>
          <w:sz w:val="22"/>
          <w:szCs w:val="22"/>
        </w:rPr>
      </w:pPr>
    </w:p>
    <w:p w14:paraId="0514DAFA"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logra vislumbrar que la persona Particular requiere que se le explique, sustente o funde y motive las razones por las que la Directora de Medio Ambiente y Ecología afirmó que el árbol no cuenta con plaga, lo que implica que el Sujeto Obligado emita un pronunciamiento especifico en el que generé un nuevo documento en el que funde, motive y explique una situación particular, por tanto, dicha solicitud escapa del ejercicio del derecho de acceso a la información; sobre dicha situación, es necesario traer a colación los </w:t>
      </w:r>
      <w:r>
        <w:rPr>
          <w:rFonts w:ascii="Palatino Linotype" w:eastAsia="Palatino Linotype" w:hAnsi="Palatino Linotype" w:cs="Palatino Linotype"/>
          <w:sz w:val="22"/>
          <w:szCs w:val="22"/>
        </w:rPr>
        <w:lastRenderedPageBreak/>
        <w:t>artículos 2°, fracción II; 3°, fracción XI y 18 de la Ley de Transparencia y Acceso a la Información Pública del Estado de México y Municipios, los cuales disponen lo siguiente:</w:t>
      </w:r>
    </w:p>
    <w:p w14:paraId="0C216345" w14:textId="77777777" w:rsidR="000C7D05" w:rsidRDefault="000C7D05">
      <w:pPr>
        <w:spacing w:line="360" w:lineRule="auto"/>
        <w:jc w:val="both"/>
        <w:rPr>
          <w:rFonts w:ascii="Palatino Linotype" w:eastAsia="Palatino Linotype" w:hAnsi="Palatino Linotype" w:cs="Palatino Linotype"/>
          <w:sz w:val="22"/>
          <w:szCs w:val="22"/>
        </w:rPr>
      </w:pPr>
    </w:p>
    <w:p w14:paraId="77E9F540" w14:textId="77777777" w:rsidR="000C7D05" w:rsidRDefault="002156DB">
      <w:pPr>
        <w:numPr>
          <w:ilvl w:val="0"/>
          <w:numId w:val="1"/>
        </w:numPr>
        <w:spacing w:after="1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14:paraId="65729860" w14:textId="77777777" w:rsidR="000C7D05" w:rsidRDefault="000C7D05">
      <w:pPr>
        <w:spacing w:line="360" w:lineRule="auto"/>
        <w:jc w:val="both"/>
        <w:rPr>
          <w:rFonts w:ascii="Palatino Linotype" w:eastAsia="Palatino Linotype" w:hAnsi="Palatino Linotype" w:cs="Palatino Linotype"/>
          <w:sz w:val="22"/>
          <w:szCs w:val="22"/>
        </w:rPr>
      </w:pPr>
    </w:p>
    <w:p w14:paraId="784C8C17" w14:textId="77777777" w:rsidR="000C7D05" w:rsidRDefault="002156DB">
      <w:pPr>
        <w:numPr>
          <w:ilvl w:val="0"/>
          <w:numId w:val="1"/>
        </w:numPr>
        <w:spacing w:after="1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los </w:t>
      </w:r>
      <w:r>
        <w:rPr>
          <w:rFonts w:ascii="Palatino Linotype" w:eastAsia="Palatino Linotype" w:hAnsi="Palatino Linotype" w:cs="Palatino Linotype"/>
          <w:b/>
          <w:sz w:val="22"/>
          <w:szCs w:val="22"/>
        </w:rPr>
        <w:t xml:space="preserve">documentos </w:t>
      </w:r>
      <w:r>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Pr>
          <w:rFonts w:ascii="Palatino Linotype" w:eastAsia="Palatino Linotype" w:hAnsi="Palatino Linotype" w:cs="Palatino Linotype"/>
          <w:b/>
          <w:sz w:val="22"/>
          <w:szCs w:val="22"/>
        </w:rPr>
        <w:t>cualquier registro que documente el ejercicio de facultades, funciones y competencia</w:t>
      </w:r>
      <w:r>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2BA739CE" w14:textId="77777777" w:rsidR="000C7D05" w:rsidRDefault="000C7D05">
      <w:pPr>
        <w:spacing w:line="360" w:lineRule="auto"/>
        <w:jc w:val="both"/>
        <w:rPr>
          <w:rFonts w:ascii="Palatino Linotype" w:eastAsia="Palatino Linotype" w:hAnsi="Palatino Linotype" w:cs="Palatino Linotype"/>
          <w:sz w:val="22"/>
          <w:szCs w:val="22"/>
        </w:rPr>
      </w:pPr>
    </w:p>
    <w:p w14:paraId="49615998"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lo anterior, es necesario señalar que del análisis del requerimiento de información presentado ante el Ayuntamiento de Ecatepec de Morelos se logra colegir que el Particular requiere un pronunciamiento específico, a una situación concreta y determinada, lo cual implicaría que el Sujeto Obligado elaborara una investigación y diera una respuesta delimitada y </w:t>
      </w:r>
      <w:r>
        <w:rPr>
          <w:rFonts w:ascii="Palatino Linotype" w:eastAsia="Palatino Linotype" w:hAnsi="Palatino Linotype" w:cs="Palatino Linotype"/>
          <w:i/>
          <w:sz w:val="22"/>
          <w:szCs w:val="22"/>
        </w:rPr>
        <w:t xml:space="preserve">ad hoc </w:t>
      </w:r>
      <w:r>
        <w:rPr>
          <w:rFonts w:ascii="Palatino Linotype" w:eastAsia="Palatino Linotype" w:hAnsi="Palatino Linotype" w:cs="Palatino Linotype"/>
          <w:sz w:val="22"/>
          <w:szCs w:val="22"/>
        </w:rPr>
        <w:t>en la que exponga motivos y razones</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w:t>
      </w:r>
    </w:p>
    <w:p w14:paraId="36B6FA2E" w14:textId="77777777" w:rsidR="000C7D05" w:rsidRDefault="000C7D05">
      <w:pPr>
        <w:spacing w:line="360" w:lineRule="auto"/>
        <w:jc w:val="both"/>
        <w:rPr>
          <w:rFonts w:ascii="Palatino Linotype" w:eastAsia="Palatino Linotype" w:hAnsi="Palatino Linotype" w:cs="Palatino Linotype"/>
          <w:sz w:val="22"/>
          <w:szCs w:val="22"/>
        </w:rPr>
      </w:pPr>
    </w:p>
    <w:p w14:paraId="24A88803"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Pr>
          <w:rFonts w:ascii="Palatino Linotype" w:eastAsia="Palatino Linotype" w:hAnsi="Palatino Linotype" w:cs="Palatino Linotype"/>
          <w:b/>
          <w:sz w:val="22"/>
          <w:szCs w:val="22"/>
        </w:rPr>
        <w:t xml:space="preserve">generada, obtenida, adquirida, </w:t>
      </w:r>
      <w:r>
        <w:rPr>
          <w:rFonts w:ascii="Palatino Linotype" w:eastAsia="Palatino Linotype" w:hAnsi="Palatino Linotype" w:cs="Palatino Linotype"/>
          <w:b/>
          <w:sz w:val="22"/>
          <w:szCs w:val="22"/>
        </w:rPr>
        <w:lastRenderedPageBreak/>
        <w:t xml:space="preserve">transformada </w:t>
      </w:r>
      <w:r>
        <w:rPr>
          <w:rFonts w:ascii="Palatino Linotype" w:eastAsia="Palatino Linotype" w:hAnsi="Palatino Linotype" w:cs="Palatino Linotype"/>
          <w:sz w:val="22"/>
          <w:szCs w:val="22"/>
        </w:rPr>
        <w:t xml:space="preserve">por los sujetos obligados, o en su caso, </w:t>
      </w:r>
      <w:r>
        <w:rPr>
          <w:rFonts w:ascii="Palatino Linotype" w:eastAsia="Palatino Linotype" w:hAnsi="Palatino Linotype" w:cs="Palatino Linotype"/>
          <w:b/>
          <w:sz w:val="22"/>
          <w:szCs w:val="22"/>
        </w:rPr>
        <w:t xml:space="preserve">la tengan en su posesión, será pública y accesible para cualquier persona. </w:t>
      </w:r>
      <w:r>
        <w:rPr>
          <w:rFonts w:ascii="Palatino Linotype" w:eastAsia="Palatino Linotype" w:hAnsi="Palatino Linotype" w:cs="Palatino Linotype"/>
          <w:sz w:val="22"/>
          <w:szCs w:val="22"/>
        </w:rPr>
        <w:t xml:space="preserve">Así, se advierte que el derecho de acceso a la información, consiste en una prerrogativa de cualquier persona, a solicitar información pública que conste en </w:t>
      </w:r>
      <w:r>
        <w:rPr>
          <w:rFonts w:ascii="Palatino Linotype" w:eastAsia="Palatino Linotype" w:hAnsi="Palatino Linotype" w:cs="Palatino Linotype"/>
          <w:b/>
          <w:sz w:val="22"/>
          <w:szCs w:val="22"/>
        </w:rPr>
        <w:t>documentos generados, obtenidos, adquiridos, transformados o que tengan en posesión los sujetos obligados.</w:t>
      </w:r>
    </w:p>
    <w:p w14:paraId="707691A3" w14:textId="77777777" w:rsidR="000C7D05" w:rsidRDefault="000C7D05">
      <w:pPr>
        <w:spacing w:line="360" w:lineRule="auto"/>
        <w:jc w:val="both"/>
        <w:rPr>
          <w:rFonts w:ascii="Palatino Linotype" w:eastAsia="Palatino Linotype" w:hAnsi="Palatino Linotype" w:cs="Palatino Linotype"/>
          <w:b/>
          <w:sz w:val="22"/>
          <w:szCs w:val="22"/>
        </w:rPr>
      </w:pPr>
    </w:p>
    <w:p w14:paraId="0FBDFD0C"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6A17F51" w14:textId="77777777" w:rsidR="000C7D05" w:rsidRDefault="000C7D05">
      <w:pPr>
        <w:spacing w:line="360" w:lineRule="auto"/>
        <w:jc w:val="both"/>
        <w:rPr>
          <w:rFonts w:ascii="Palatino Linotype" w:eastAsia="Palatino Linotype" w:hAnsi="Palatino Linotype" w:cs="Palatino Linotype"/>
          <w:b/>
          <w:sz w:val="22"/>
          <w:szCs w:val="22"/>
        </w:rPr>
      </w:pPr>
    </w:p>
    <w:p w14:paraId="7C9E049D"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5523F218" w14:textId="77777777" w:rsidR="000C7D05" w:rsidRDefault="000C7D05">
      <w:pPr>
        <w:spacing w:line="360" w:lineRule="auto"/>
        <w:jc w:val="both"/>
        <w:rPr>
          <w:rFonts w:ascii="Palatino Linotype" w:eastAsia="Palatino Linotype" w:hAnsi="Palatino Linotype" w:cs="Palatino Linotype"/>
          <w:sz w:val="22"/>
          <w:szCs w:val="22"/>
        </w:rPr>
      </w:pPr>
    </w:p>
    <w:p w14:paraId="5F0B74AF"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colige que los sujetos obligados únicamente están constreñidos a proporcionar </w:t>
      </w:r>
      <w:r>
        <w:rPr>
          <w:rFonts w:ascii="Palatino Linotype" w:eastAsia="Palatino Linotype" w:hAnsi="Palatino Linotype" w:cs="Palatino Linotype"/>
          <w:b/>
          <w:sz w:val="22"/>
          <w:szCs w:val="22"/>
        </w:rPr>
        <w:t>la documentación que obre en sus archivos</w:t>
      </w:r>
      <w:r>
        <w:rPr>
          <w:rFonts w:ascii="Palatino Linotype" w:eastAsia="Palatino Linotype" w:hAnsi="Palatino Linotype" w:cs="Palatino Linotype"/>
          <w:sz w:val="22"/>
          <w:szCs w:val="22"/>
        </w:rPr>
        <w:t xml:space="preserve">; por lo que, no están obligados a </w:t>
      </w:r>
      <w:r>
        <w:rPr>
          <w:rFonts w:ascii="Palatino Linotype" w:eastAsia="Palatino Linotype" w:hAnsi="Palatino Linotype" w:cs="Palatino Linotype"/>
          <w:sz w:val="22"/>
          <w:szCs w:val="22"/>
        </w:rPr>
        <w:lastRenderedPageBreak/>
        <w:t>generar o elaborar documentos </w:t>
      </w:r>
      <w:r>
        <w:rPr>
          <w:rFonts w:ascii="Palatino Linotype" w:eastAsia="Palatino Linotype" w:hAnsi="Palatino Linotype" w:cs="Palatino Linotype"/>
          <w:i/>
          <w:sz w:val="22"/>
          <w:szCs w:val="22"/>
        </w:rPr>
        <w:t>ad hoc, </w:t>
      </w:r>
      <w:r>
        <w:rPr>
          <w:rFonts w:ascii="Palatino Linotype" w:eastAsia="Palatino Linotype" w:hAnsi="Palatino Linotype" w:cs="Palatino Linotype"/>
          <w:sz w:val="22"/>
          <w:szCs w:val="22"/>
        </w:rPr>
        <w:t>como es el caso de proporcionar respuesta a un cuestionamiento. Robustece lo anterior el Criterio de Interpretación, con clave de control SO/013/2017, de la Segunda Época, emitido por el Instituto Nacional de Transparencia, Acceso a la Información y Protección de Datos Personales, que a continuación se cita:</w:t>
      </w:r>
    </w:p>
    <w:p w14:paraId="558841FA" w14:textId="77777777" w:rsidR="000C7D05" w:rsidRDefault="000C7D05">
      <w:pPr>
        <w:spacing w:line="360" w:lineRule="auto"/>
        <w:jc w:val="both"/>
        <w:rPr>
          <w:rFonts w:ascii="Palatino Linotype" w:eastAsia="Palatino Linotype" w:hAnsi="Palatino Linotype" w:cs="Palatino Linotype"/>
          <w:sz w:val="22"/>
          <w:szCs w:val="22"/>
        </w:rPr>
      </w:pPr>
    </w:p>
    <w:p w14:paraId="6757FCF1" w14:textId="77777777" w:rsidR="000C7D05" w:rsidRDefault="002156D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358FA3AF" w14:textId="77777777" w:rsidR="000C7D05" w:rsidRDefault="000C7D05">
      <w:pPr>
        <w:spacing w:line="360" w:lineRule="auto"/>
        <w:jc w:val="both"/>
        <w:rPr>
          <w:rFonts w:ascii="Palatino Linotype" w:eastAsia="Palatino Linotype" w:hAnsi="Palatino Linotype" w:cs="Palatino Linotype"/>
          <w:sz w:val="22"/>
          <w:szCs w:val="22"/>
        </w:rPr>
      </w:pPr>
    </w:p>
    <w:p w14:paraId="62874D42"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w:t>
      </w:r>
      <w:r>
        <w:rPr>
          <w:rFonts w:ascii="Palatino Linotype" w:eastAsia="Palatino Linotype" w:hAnsi="Palatino Linotype" w:cs="Palatino Linotype"/>
          <w:b/>
          <w:sz w:val="22"/>
          <w:szCs w:val="22"/>
        </w:rPr>
        <w:t>se advierte que la respuesta a la solicitud de información prevé una consulta</w:t>
      </w:r>
      <w:r>
        <w:rPr>
          <w:rFonts w:ascii="Palatino Linotype" w:eastAsia="Palatino Linotype" w:hAnsi="Palatino Linotype" w:cs="Palatino Linotype"/>
          <w:sz w:val="22"/>
          <w:szCs w:val="22"/>
        </w:rPr>
        <w:t xml:space="preserve"> y no así una solicitud de acceso a información pública que pueda ser atendida mediante una expresión documental; pues corresponde a una pregunta que implicaría elaborar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pues el Recurrente requiere que el Sujeto Obligado realice una opinión subjetiva del porqué el Sujeto Obligado afirmó la inexistencia del actuar sobre un árbol específico. </w:t>
      </w:r>
    </w:p>
    <w:p w14:paraId="7BABD143" w14:textId="77777777" w:rsidR="000C7D05" w:rsidRDefault="000C7D05">
      <w:pPr>
        <w:spacing w:line="360" w:lineRule="auto"/>
        <w:jc w:val="both"/>
        <w:rPr>
          <w:rFonts w:ascii="Palatino Linotype" w:eastAsia="Palatino Linotype" w:hAnsi="Palatino Linotype" w:cs="Palatino Linotype"/>
          <w:sz w:val="22"/>
          <w:szCs w:val="22"/>
        </w:rPr>
      </w:pPr>
    </w:p>
    <w:p w14:paraId="0987F3F3"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w:t>
      </w:r>
      <w:r>
        <w:rPr>
          <w:rFonts w:ascii="Palatino Linotype" w:eastAsia="Palatino Linotype" w:hAnsi="Palatino Linotype" w:cs="Palatino Linotype"/>
          <w:sz w:val="22"/>
          <w:szCs w:val="22"/>
        </w:rPr>
        <w:lastRenderedPageBreak/>
        <w:t>respuesta. Además, la Jurisprudencia XXI.1o.P.A. J/27, de los Tribunales Colegiados de Circuito, localizada en la página 1406, del Semanario Judicial de la Federación y su Gaceta, Tomo XXXIII, marzo 2011, Novena Época, que establece lo siguiente:</w:t>
      </w:r>
    </w:p>
    <w:p w14:paraId="3FA66773" w14:textId="77777777" w:rsidR="000C7D05" w:rsidRDefault="000C7D05">
      <w:pPr>
        <w:spacing w:line="360" w:lineRule="auto"/>
        <w:jc w:val="both"/>
        <w:rPr>
          <w:rFonts w:ascii="Palatino Linotype" w:eastAsia="Palatino Linotype" w:hAnsi="Palatino Linotype" w:cs="Palatino Linotype"/>
          <w:sz w:val="22"/>
          <w:szCs w:val="22"/>
        </w:rPr>
      </w:pPr>
    </w:p>
    <w:p w14:paraId="6DDB8D20" w14:textId="77777777" w:rsidR="000C7D05" w:rsidRDefault="002156DB">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“DERECHO DE PETICIÓN. SUS ELEMENTOS. </w:t>
      </w:r>
      <w:r>
        <w:rPr>
          <w:rFonts w:ascii="Palatino Linotype" w:eastAsia="Palatino Linotype" w:hAnsi="Palatino Linotype" w:cs="Palatino Linotype"/>
          <w:i/>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1AC2097A" w14:textId="77777777" w:rsidR="000C7D05" w:rsidRDefault="000C7D05">
      <w:pPr>
        <w:spacing w:line="360" w:lineRule="auto"/>
        <w:jc w:val="both"/>
        <w:rPr>
          <w:rFonts w:ascii="Palatino Linotype" w:eastAsia="Palatino Linotype" w:hAnsi="Palatino Linotype" w:cs="Palatino Linotype"/>
          <w:sz w:val="22"/>
          <w:szCs w:val="22"/>
        </w:rPr>
      </w:pPr>
    </w:p>
    <w:p w14:paraId="20F242BF"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08F7606C" w14:textId="77777777" w:rsidR="000C7D05" w:rsidRDefault="000C7D05">
      <w:pPr>
        <w:spacing w:line="360" w:lineRule="auto"/>
        <w:jc w:val="both"/>
        <w:rPr>
          <w:rFonts w:ascii="Palatino Linotype" w:eastAsia="Palatino Linotype" w:hAnsi="Palatino Linotype" w:cs="Palatino Linotype"/>
          <w:sz w:val="22"/>
          <w:szCs w:val="22"/>
        </w:rPr>
      </w:pPr>
    </w:p>
    <w:p w14:paraId="153ACA35"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De tal circunstancia, se puede colegir que el requerimiento de información realizado por la persona Recurrente, se trata de una consulta y derecho de petición que implicaría la generación de un documento </w:t>
      </w:r>
      <w:r>
        <w:rPr>
          <w:rFonts w:ascii="Palatino Linotype" w:eastAsia="Palatino Linotype" w:hAnsi="Palatino Linotype" w:cs="Palatino Linotype"/>
          <w:b/>
          <w:i/>
          <w:sz w:val="22"/>
          <w:szCs w:val="22"/>
        </w:rPr>
        <w:t>ad hoc</w:t>
      </w:r>
      <w:r>
        <w:rPr>
          <w:rFonts w:ascii="Palatino Linotype" w:eastAsia="Palatino Linotype" w:hAnsi="Palatino Linotype" w:cs="Palatino Linotype"/>
          <w:b/>
          <w:sz w:val="22"/>
          <w:szCs w:val="22"/>
        </w:rPr>
        <w:t xml:space="preserve">, y, por lo tanto, no es procedente la vía del derecho de acceso a la información. </w:t>
      </w:r>
    </w:p>
    <w:p w14:paraId="0B6C04DC" w14:textId="77777777" w:rsidR="000C7D05" w:rsidRDefault="000C7D05">
      <w:pPr>
        <w:spacing w:line="360" w:lineRule="auto"/>
        <w:jc w:val="both"/>
        <w:rPr>
          <w:rFonts w:ascii="Palatino Linotype" w:eastAsia="Palatino Linotype" w:hAnsi="Palatino Linotype" w:cs="Palatino Linotype"/>
          <w:b/>
          <w:sz w:val="22"/>
          <w:szCs w:val="22"/>
        </w:rPr>
      </w:pPr>
    </w:p>
    <w:p w14:paraId="4A0328D7"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toda vez de que la solicitud de acceso a la información se trata de una consulta, que implicaría que el Sujeto Obligado realizará un documento que contenga determinado contenido, con un pronunciamiento específico, el Medio de Impugnación </w:t>
      </w:r>
      <w:r>
        <w:rPr>
          <w:rFonts w:ascii="Palatino Linotype" w:eastAsia="Palatino Linotype" w:hAnsi="Palatino Linotype" w:cs="Palatino Linotype"/>
          <w:b/>
          <w:sz w:val="22"/>
          <w:szCs w:val="22"/>
        </w:rPr>
        <w:t xml:space="preserve">actualiza la causal de desechamiento establecida en el artículo 191, fracción VI, de la Ley de Transparencia y Acceso a la Información Pública del Estado de México y Municipios, </w:t>
      </w:r>
      <w:r>
        <w:rPr>
          <w:rFonts w:ascii="Palatino Linotype" w:eastAsia="Palatino Linotype" w:hAnsi="Palatino Linotype" w:cs="Palatino Linotype"/>
          <w:sz w:val="22"/>
          <w:szCs w:val="22"/>
        </w:rPr>
        <w:t xml:space="preserve">por lo que  lo procedente es </w:t>
      </w:r>
      <w:r>
        <w:rPr>
          <w:rFonts w:ascii="Palatino Linotype" w:eastAsia="Palatino Linotype" w:hAnsi="Palatino Linotype" w:cs="Palatino Linotype"/>
          <w:b/>
          <w:sz w:val="22"/>
          <w:szCs w:val="22"/>
        </w:rPr>
        <w:t xml:space="preserve">SOBRESEER </w:t>
      </w:r>
      <w:r>
        <w:rPr>
          <w:rFonts w:ascii="Palatino Linotype" w:eastAsia="Palatino Linotype" w:hAnsi="Palatino Linotype" w:cs="Palatino Linotype"/>
          <w:sz w:val="22"/>
          <w:szCs w:val="22"/>
        </w:rPr>
        <w:t xml:space="preserve">el presente Recurso de Revisión, al actualizarse el supuesto previsto en el </w:t>
      </w:r>
      <w:r>
        <w:rPr>
          <w:rFonts w:ascii="Palatino Linotype" w:eastAsia="Palatino Linotype" w:hAnsi="Palatino Linotype" w:cs="Palatino Linotype"/>
          <w:b/>
          <w:sz w:val="22"/>
          <w:szCs w:val="22"/>
        </w:rPr>
        <w:t>artículo 192, fracción IV</w:t>
      </w:r>
      <w:r>
        <w:rPr>
          <w:rFonts w:ascii="Palatino Linotype" w:eastAsia="Palatino Linotype" w:hAnsi="Palatino Linotype" w:cs="Palatino Linotype"/>
          <w:sz w:val="22"/>
          <w:szCs w:val="22"/>
        </w:rPr>
        <w:t>, en relación con el diverso 186, fracción I, de ese ordenamiento legal.</w:t>
      </w:r>
    </w:p>
    <w:p w14:paraId="76428D6E" w14:textId="77777777" w:rsidR="000C7D05" w:rsidRDefault="000C7D05">
      <w:pPr>
        <w:spacing w:line="360" w:lineRule="auto"/>
        <w:jc w:val="both"/>
        <w:rPr>
          <w:rFonts w:ascii="Palatino Linotype" w:eastAsia="Palatino Linotype" w:hAnsi="Palatino Linotype" w:cs="Palatino Linotype"/>
          <w:b/>
          <w:color w:val="000000"/>
          <w:sz w:val="22"/>
          <w:szCs w:val="22"/>
        </w:rPr>
      </w:pPr>
    </w:p>
    <w:p w14:paraId="7238A02E"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CUARTO. Decisión</w:t>
      </w:r>
    </w:p>
    <w:p w14:paraId="01660238" w14:textId="77777777" w:rsidR="000C7D05" w:rsidRDefault="000C7D05">
      <w:pPr>
        <w:spacing w:line="360" w:lineRule="auto"/>
        <w:jc w:val="both"/>
        <w:rPr>
          <w:rFonts w:ascii="Palatino Linotype" w:eastAsia="Palatino Linotype" w:hAnsi="Palatino Linotype" w:cs="Palatino Linotype"/>
          <w:b/>
          <w:sz w:val="22"/>
          <w:szCs w:val="22"/>
        </w:rPr>
      </w:pPr>
    </w:p>
    <w:p w14:paraId="416FDB69" w14:textId="77777777" w:rsidR="000C7D05" w:rsidRDefault="002156D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lo dispuesto en el artículo 186, fracción I, de la Ley de Transparencia y Acceso a la Información Pública del Estado de México y Municipios, se considera procedente </w:t>
      </w:r>
      <w:r>
        <w:rPr>
          <w:rFonts w:ascii="Palatino Linotype" w:eastAsia="Palatino Linotype" w:hAnsi="Palatino Linotype" w:cs="Palatino Linotype"/>
          <w:b/>
          <w:sz w:val="22"/>
          <w:szCs w:val="22"/>
        </w:rPr>
        <w:t xml:space="preserve">SOBRESEER </w:t>
      </w:r>
      <w:r>
        <w:rPr>
          <w:rFonts w:ascii="Palatino Linotype" w:eastAsia="Palatino Linotype" w:hAnsi="Palatino Linotype" w:cs="Palatino Linotype"/>
          <w:sz w:val="22"/>
          <w:szCs w:val="22"/>
        </w:rPr>
        <w:t xml:space="preserve">el Recurso de Revisión, en virtud de que se actualiza la hipótesis normativa prevista en la fracción IV, del artículo 192, por actualizarse la causal de improcedencia establecida en el artículo 191, fracción VI. </w:t>
      </w:r>
    </w:p>
    <w:p w14:paraId="7B412668" w14:textId="77777777" w:rsidR="000C7D05" w:rsidRDefault="000C7D05">
      <w:pPr>
        <w:spacing w:line="360" w:lineRule="auto"/>
        <w:jc w:val="both"/>
        <w:rPr>
          <w:rFonts w:ascii="Palatino Linotype" w:eastAsia="Palatino Linotype" w:hAnsi="Palatino Linotype" w:cs="Palatino Linotype"/>
          <w:sz w:val="22"/>
          <w:szCs w:val="22"/>
        </w:rPr>
      </w:pPr>
    </w:p>
    <w:p w14:paraId="0D6B523B"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693E4B04" w14:textId="77777777" w:rsidR="000C7D05" w:rsidRDefault="000C7D05">
      <w:pPr>
        <w:spacing w:line="360" w:lineRule="auto"/>
        <w:jc w:val="both"/>
        <w:rPr>
          <w:rFonts w:ascii="Palatino Linotype" w:eastAsia="Palatino Linotype" w:hAnsi="Palatino Linotype" w:cs="Palatino Linotype"/>
          <w:b/>
          <w:sz w:val="22"/>
          <w:szCs w:val="22"/>
        </w:rPr>
      </w:pPr>
    </w:p>
    <w:p w14:paraId="15D0D164" w14:textId="77777777" w:rsidR="000C7D05" w:rsidRDefault="002156D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Instituto Garante, determinó Sobreseer el presente Recurso de Revisión, toda vez que </w:t>
      </w:r>
      <w:r>
        <w:rPr>
          <w:rFonts w:ascii="Palatino Linotype" w:eastAsia="Palatino Linotype" w:hAnsi="Palatino Linotype" w:cs="Palatino Linotype"/>
          <w:sz w:val="22"/>
          <w:szCs w:val="22"/>
        </w:rPr>
        <w:lastRenderedPageBreak/>
        <w:t>se trata de una consulta, tenemos claro que a través de diversas solicitudes y recursos de revisión ha intentado obtener un pronunciamiento específico sobre el tema del árbol que le causa afectación; sin embargo, es importante hacerle saber que el derecho de acceso a la información puede ser utilizado a su favor, en la entrega de documentos que han sido generados previamente por las instituciones públicas. En los casos que nos ha presentado, no ha sido posible identificar que la autoridad haya emitido las respuestas que requiere.</w:t>
      </w:r>
    </w:p>
    <w:p w14:paraId="06FDA340" w14:textId="77777777" w:rsidR="000C7D05" w:rsidRDefault="000C7D05">
      <w:pPr>
        <w:widowControl w:val="0"/>
        <w:spacing w:line="360" w:lineRule="auto"/>
        <w:jc w:val="both"/>
        <w:rPr>
          <w:rFonts w:ascii="Palatino Linotype" w:eastAsia="Palatino Linotype" w:hAnsi="Palatino Linotype" w:cs="Palatino Linotype"/>
          <w:sz w:val="22"/>
          <w:szCs w:val="22"/>
        </w:rPr>
      </w:pPr>
    </w:p>
    <w:p w14:paraId="4B6C9163" w14:textId="77777777" w:rsidR="000C7D05" w:rsidRDefault="002156D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usted puede solicitar la información a través del ejercicio del derecho de petición, ya que hemos advertido que pueda ser la vía idónea para que atiendan el tema que le ocupa, finalmente, le informamos que labor del Instituto, es apoyar a la población a acceder a la información pública y garantizar la protección de sus datos personales.</w:t>
      </w:r>
    </w:p>
    <w:p w14:paraId="1F125337" w14:textId="77777777" w:rsidR="000C7D05" w:rsidRDefault="000C7D05">
      <w:pPr>
        <w:spacing w:line="360" w:lineRule="auto"/>
        <w:jc w:val="both"/>
        <w:rPr>
          <w:rFonts w:ascii="Palatino Linotype" w:eastAsia="Palatino Linotype" w:hAnsi="Palatino Linotype" w:cs="Palatino Linotype"/>
          <w:b/>
          <w:color w:val="000000"/>
          <w:sz w:val="22"/>
          <w:szCs w:val="22"/>
        </w:rPr>
      </w:pPr>
    </w:p>
    <w:p w14:paraId="1D0F2D10"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6A408E9C" w14:textId="77777777" w:rsidR="000C7D05" w:rsidRDefault="000C7D05">
      <w:pPr>
        <w:spacing w:line="360" w:lineRule="auto"/>
        <w:jc w:val="both"/>
        <w:rPr>
          <w:rFonts w:ascii="Palatino Linotype" w:eastAsia="Palatino Linotype" w:hAnsi="Palatino Linotype" w:cs="Palatino Linotype"/>
          <w:sz w:val="22"/>
          <w:szCs w:val="22"/>
        </w:rPr>
      </w:pPr>
    </w:p>
    <w:p w14:paraId="49ABE1AB" w14:textId="77777777" w:rsidR="000C7D05" w:rsidRDefault="002156D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61FD45A5" w14:textId="77777777" w:rsidR="000C7D05" w:rsidRDefault="000C7D05">
      <w:pPr>
        <w:spacing w:line="360" w:lineRule="auto"/>
        <w:ind w:right="113"/>
        <w:jc w:val="both"/>
        <w:rPr>
          <w:rFonts w:ascii="Palatino Linotype" w:eastAsia="Palatino Linotype" w:hAnsi="Palatino Linotype" w:cs="Palatino Linotype"/>
          <w:b/>
          <w:sz w:val="22"/>
          <w:szCs w:val="22"/>
        </w:rPr>
      </w:pPr>
    </w:p>
    <w:p w14:paraId="4C65B3B1" w14:textId="77777777" w:rsidR="000C7D05" w:rsidRDefault="002156D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SOBRESEE</w:t>
      </w:r>
      <w:r>
        <w:rPr>
          <w:rFonts w:ascii="Palatino Linotype" w:eastAsia="Palatino Linotype" w:hAnsi="Palatino Linotype" w:cs="Palatino Linotype"/>
          <w:color w:val="000000"/>
          <w:sz w:val="22"/>
          <w:szCs w:val="22"/>
        </w:rPr>
        <w:t xml:space="preserve"> por improcedente, el Recurso de Revisión número </w:t>
      </w:r>
      <w:r>
        <w:rPr>
          <w:rFonts w:ascii="Palatino Linotype" w:eastAsia="Palatino Linotype" w:hAnsi="Palatino Linotype" w:cs="Palatino Linotype"/>
          <w:b/>
          <w:color w:val="000000"/>
          <w:sz w:val="22"/>
          <w:szCs w:val="22"/>
        </w:rPr>
        <w:t>07451/INFOEM/IP/RR/2024</w:t>
      </w:r>
      <w:r>
        <w:rPr>
          <w:rFonts w:ascii="Palatino Linotype" w:eastAsia="Palatino Linotype" w:hAnsi="Palatino Linotype" w:cs="Palatino Linotype"/>
          <w:color w:val="000000"/>
          <w:sz w:val="22"/>
          <w:szCs w:val="22"/>
        </w:rPr>
        <w:t>, en términos del artículo 192, fracción IV, con relación al 191, fracción VI, ambos de la Ley de Transparencia y Acceso a la Información Pública del Estado de México y Municipios, de conformidad con los Considerandos TERCERO y CUARTO de la presente Resolución.</w:t>
      </w:r>
    </w:p>
    <w:p w14:paraId="74AB6497" w14:textId="77777777" w:rsidR="000C7D05" w:rsidRDefault="000C7D05">
      <w:pPr>
        <w:spacing w:line="360" w:lineRule="auto"/>
        <w:jc w:val="both"/>
        <w:rPr>
          <w:rFonts w:ascii="Palatino Linotype" w:eastAsia="Palatino Linotype" w:hAnsi="Palatino Linotype" w:cs="Palatino Linotype"/>
          <w:b/>
          <w:color w:val="000000"/>
          <w:sz w:val="22"/>
          <w:szCs w:val="22"/>
        </w:rPr>
      </w:pPr>
    </w:p>
    <w:p w14:paraId="6E3EE625" w14:textId="77777777" w:rsidR="000C7D05" w:rsidRDefault="002156D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NOTIFÍQUESE POR SAIMEX </w:t>
      </w:r>
      <w:r>
        <w:rPr>
          <w:rFonts w:ascii="Palatino Linotype" w:eastAsia="Palatino Linotype" w:hAnsi="Palatino Linotype" w:cs="Palatino Linotype"/>
          <w:color w:val="000000"/>
          <w:sz w:val="22"/>
          <w:szCs w:val="22"/>
        </w:rPr>
        <w:t>la presente Resolución</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al Titular de la Unidad de Transparencia de la Secretaría del Agua.</w:t>
      </w:r>
    </w:p>
    <w:p w14:paraId="7E100BDA"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48A3B87C" w14:textId="77777777" w:rsidR="000C7D05" w:rsidRDefault="002156D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TERCERO.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BE9447D" w14:textId="77777777" w:rsidR="000C7D05" w:rsidRDefault="000C7D05">
      <w:pPr>
        <w:spacing w:line="360" w:lineRule="auto"/>
        <w:jc w:val="both"/>
        <w:rPr>
          <w:rFonts w:ascii="Palatino Linotype" w:eastAsia="Palatino Linotype" w:hAnsi="Palatino Linotype" w:cs="Palatino Linotype"/>
          <w:color w:val="000000"/>
          <w:sz w:val="22"/>
          <w:szCs w:val="22"/>
        </w:rPr>
      </w:pPr>
    </w:p>
    <w:p w14:paraId="4EF54846" w14:textId="77777777" w:rsidR="000C7D05" w:rsidRDefault="002156DB">
      <w:pPr>
        <w:spacing w:line="360" w:lineRule="auto"/>
        <w:jc w:val="both"/>
        <w:rPr>
          <w:rFonts w:ascii="Palatino Linotype" w:eastAsia="Palatino Linotype" w:hAnsi="Palatino Linotype" w:cs="Palatino Linotype"/>
          <w:color w:val="000000"/>
          <w:sz w:val="22"/>
          <w:szCs w:val="22"/>
        </w:rPr>
      </w:pPr>
      <w:bookmarkStart w:id="1" w:name="_heading=h.30j0zll" w:colFirst="0" w:colLast="0"/>
      <w:bookmarkEnd w:id="1"/>
      <w:r>
        <w:rPr>
          <w:rFonts w:ascii="Palatino Linotype" w:eastAsia="Palatino Linotype" w:hAnsi="Palatino Linotype" w:cs="Palatino Linotype"/>
          <w:color w:val="000000"/>
          <w:sz w:val="22"/>
          <w:szCs w:val="22"/>
        </w:rPr>
        <w:t xml:space="preserve">ASÍ LO RESUELVE, POR </w:t>
      </w:r>
      <w:r>
        <w:rPr>
          <w:rFonts w:ascii="Palatino Linotype" w:eastAsia="Palatino Linotype" w:hAnsi="Palatino Linotype" w:cs="Palatino Linotype"/>
          <w:b/>
          <w:color w:val="000000"/>
          <w:sz w:val="22"/>
          <w:szCs w:val="22"/>
        </w:rPr>
        <w:t>UNANIMIDAD</w:t>
      </w:r>
      <w:r>
        <w:rPr>
          <w:rFonts w:ascii="Palatino Linotype" w:eastAsia="Palatino Linotype" w:hAnsi="Palatino Linotype" w:cs="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32E28F9B" w14:textId="77777777" w:rsidR="000C7D05" w:rsidRDefault="002156DB">
      <w:pPr>
        <w:spacing w:after="160" w:line="259" w:lineRule="auto"/>
        <w:rPr>
          <w:rFonts w:ascii="Palatino Linotype" w:eastAsia="Palatino Linotype" w:hAnsi="Palatino Linotype" w:cs="Palatino Linotype"/>
          <w:sz w:val="22"/>
          <w:szCs w:val="22"/>
        </w:rPr>
      </w:pPr>
      <w:r>
        <w:br w:type="page"/>
      </w:r>
    </w:p>
    <w:p w14:paraId="38ABEF8C" w14:textId="77777777" w:rsidR="000C7D05" w:rsidRDefault="000C7D05">
      <w:pPr>
        <w:spacing w:line="360" w:lineRule="auto"/>
        <w:jc w:val="both"/>
        <w:rPr>
          <w:rFonts w:ascii="Palatino Linotype" w:eastAsia="Palatino Linotype" w:hAnsi="Palatino Linotype" w:cs="Palatino Linotype"/>
          <w:sz w:val="22"/>
          <w:szCs w:val="22"/>
        </w:rPr>
      </w:pPr>
    </w:p>
    <w:sectPr w:rsidR="000C7D0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FAE6" w14:textId="77777777" w:rsidR="00EC4954" w:rsidRDefault="00EC4954">
      <w:r>
        <w:separator/>
      </w:r>
    </w:p>
  </w:endnote>
  <w:endnote w:type="continuationSeparator" w:id="0">
    <w:p w14:paraId="18FD9DDC" w14:textId="77777777" w:rsidR="00EC4954" w:rsidRDefault="00EC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E23F" w14:textId="77777777" w:rsidR="000C7D05" w:rsidRDefault="002156DB">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01356">
      <w:rPr>
        <w:rFonts w:ascii="Palatino Linotype" w:eastAsia="Palatino Linotype" w:hAnsi="Palatino Linotype" w:cs="Palatino Linotype"/>
        <w:b/>
        <w:noProof/>
        <w:color w:val="000000"/>
        <w:sz w:val="22"/>
        <w:szCs w:val="22"/>
      </w:rPr>
      <w:t>15</w:t>
    </w:r>
    <w:r>
      <w:rPr>
        <w:rFonts w:ascii="Palatino Linotype" w:eastAsia="Palatino Linotype" w:hAnsi="Palatino Linotype" w:cs="Palatino Linotype"/>
        <w:b/>
        <w:color w:val="000000"/>
        <w:sz w:val="22"/>
        <w:szCs w:val="22"/>
      </w:rPr>
      <w:fldChar w:fldCharType="end"/>
    </w:r>
  </w:p>
  <w:p w14:paraId="2860530B" w14:textId="77777777" w:rsidR="000C7D05" w:rsidRDefault="000C7D0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56B7" w14:textId="77777777" w:rsidR="000C7D05" w:rsidRDefault="002156DB">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01356">
      <w:rPr>
        <w:rFonts w:ascii="Palatino Linotype" w:eastAsia="Palatino Linotype" w:hAnsi="Palatino Linotype" w:cs="Palatino Linotype"/>
        <w:b/>
        <w:noProof/>
        <w:color w:val="000000"/>
        <w:sz w:val="22"/>
        <w:szCs w:val="22"/>
      </w:rPr>
      <w:t>14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01356">
      <w:rPr>
        <w:rFonts w:ascii="Palatino Linotype" w:eastAsia="Palatino Linotype" w:hAnsi="Palatino Linotype" w:cs="Palatino Linotype"/>
        <w:b/>
        <w:noProof/>
        <w:color w:val="000000"/>
        <w:sz w:val="22"/>
        <w:szCs w:val="22"/>
      </w:rPr>
      <w:t>15</w:t>
    </w:r>
    <w:r>
      <w:rPr>
        <w:rFonts w:ascii="Palatino Linotype" w:eastAsia="Palatino Linotype" w:hAnsi="Palatino Linotype" w:cs="Palatino Linotype"/>
        <w:b/>
        <w:color w:val="000000"/>
        <w:sz w:val="22"/>
        <w:szCs w:val="22"/>
      </w:rPr>
      <w:fldChar w:fldCharType="end"/>
    </w:r>
  </w:p>
  <w:p w14:paraId="21B49362" w14:textId="77777777" w:rsidR="000C7D05" w:rsidRDefault="000C7D0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2E38" w14:textId="77777777" w:rsidR="000C7D05" w:rsidRDefault="002156D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301356">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01356">
      <w:rPr>
        <w:rFonts w:ascii="Palatino Linotype" w:eastAsia="Palatino Linotype" w:hAnsi="Palatino Linotype" w:cs="Palatino Linotype"/>
        <w:b/>
        <w:noProof/>
        <w:color w:val="000000"/>
        <w:sz w:val="22"/>
        <w:szCs w:val="22"/>
      </w:rPr>
      <w:t>15</w:t>
    </w:r>
    <w:r>
      <w:rPr>
        <w:rFonts w:ascii="Palatino Linotype" w:eastAsia="Palatino Linotype" w:hAnsi="Palatino Linotype" w:cs="Palatino Linotype"/>
        <w:b/>
        <w:color w:val="000000"/>
        <w:sz w:val="22"/>
        <w:szCs w:val="22"/>
      </w:rPr>
      <w:fldChar w:fldCharType="end"/>
    </w:r>
  </w:p>
  <w:p w14:paraId="75A8EF03" w14:textId="77777777" w:rsidR="000C7D05" w:rsidRDefault="000C7D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6D7C" w14:textId="77777777" w:rsidR="00EC4954" w:rsidRDefault="00EC4954">
      <w:r>
        <w:separator/>
      </w:r>
    </w:p>
  </w:footnote>
  <w:footnote w:type="continuationSeparator" w:id="0">
    <w:p w14:paraId="06A42A62" w14:textId="77777777" w:rsidR="00EC4954" w:rsidRDefault="00EC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0794" w14:textId="77777777" w:rsidR="000C7D05" w:rsidRDefault="000C7D05">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5"/>
      <w:tblW w:w="9705" w:type="dxa"/>
      <w:tblInd w:w="0" w:type="dxa"/>
      <w:tblLayout w:type="fixed"/>
      <w:tblLook w:val="0400" w:firstRow="0" w:lastRow="0" w:firstColumn="0" w:lastColumn="0" w:noHBand="0" w:noVBand="1"/>
    </w:tblPr>
    <w:tblGrid>
      <w:gridCol w:w="2972"/>
      <w:gridCol w:w="6733"/>
    </w:tblGrid>
    <w:tr w:rsidR="000C7D05" w14:paraId="2637BD51" w14:textId="77777777">
      <w:trPr>
        <w:trHeight w:val="1435"/>
      </w:trPr>
      <w:tc>
        <w:tcPr>
          <w:tcW w:w="2972" w:type="dxa"/>
        </w:tcPr>
        <w:p w14:paraId="652C8963" w14:textId="77777777" w:rsidR="000C7D05" w:rsidRDefault="000C7D05">
          <w:pPr>
            <w:tabs>
              <w:tab w:val="right" w:pos="4273"/>
            </w:tabs>
            <w:spacing w:line="256" w:lineRule="auto"/>
            <w:rPr>
              <w:rFonts w:ascii="Garamond" w:eastAsia="Garamond" w:hAnsi="Garamond" w:cs="Garamond"/>
              <w:sz w:val="22"/>
              <w:szCs w:val="22"/>
            </w:rPr>
          </w:pPr>
        </w:p>
      </w:tc>
      <w:tc>
        <w:tcPr>
          <w:tcW w:w="6733" w:type="dxa"/>
        </w:tcPr>
        <w:p w14:paraId="789F85E2" w14:textId="77777777" w:rsidR="000C7D05" w:rsidRDefault="000C7D0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6"/>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0C7D05" w14:paraId="2252A199" w14:textId="77777777">
            <w:trPr>
              <w:trHeight w:val="144"/>
            </w:trPr>
            <w:tc>
              <w:tcPr>
                <w:tcW w:w="2447" w:type="dxa"/>
              </w:tcPr>
              <w:p w14:paraId="1AE03706" w14:textId="77777777" w:rsidR="000C7D05" w:rsidRDefault="002156DB">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88" w:type="dxa"/>
              </w:tcPr>
              <w:p w14:paraId="26ABA7D7" w14:textId="77777777" w:rsidR="000C7D05" w:rsidRDefault="002156D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0C7D05" w14:paraId="050FA252" w14:textId="77777777">
            <w:trPr>
              <w:trHeight w:val="283"/>
            </w:trPr>
            <w:tc>
              <w:tcPr>
                <w:tcW w:w="2447" w:type="dxa"/>
              </w:tcPr>
              <w:p w14:paraId="570E30CA" w14:textId="77777777" w:rsidR="000C7D05" w:rsidRDefault="002156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8" w:type="dxa"/>
              </w:tcPr>
              <w:p w14:paraId="567296CA" w14:textId="77777777" w:rsidR="000C7D05" w:rsidRDefault="002156DB">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0C7D05" w14:paraId="68AECE53" w14:textId="77777777">
            <w:trPr>
              <w:trHeight w:val="283"/>
            </w:trPr>
            <w:tc>
              <w:tcPr>
                <w:tcW w:w="2447" w:type="dxa"/>
              </w:tcPr>
              <w:p w14:paraId="43D2DC96" w14:textId="77777777" w:rsidR="000C7D05" w:rsidRDefault="002156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088" w:type="dxa"/>
              </w:tcPr>
              <w:p w14:paraId="0B653432" w14:textId="77777777" w:rsidR="000C7D05" w:rsidRDefault="002156D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44902380" w14:textId="77777777" w:rsidR="000C7D05" w:rsidRDefault="000C7D05">
                <w:pPr>
                  <w:tabs>
                    <w:tab w:val="right" w:pos="8838"/>
                  </w:tabs>
                  <w:ind w:left="-74" w:right="-105"/>
                  <w:jc w:val="both"/>
                  <w:rPr>
                    <w:rFonts w:ascii="Palatino Linotype" w:eastAsia="Palatino Linotype" w:hAnsi="Palatino Linotype" w:cs="Palatino Linotype"/>
                    <w:b/>
                    <w:sz w:val="22"/>
                    <w:szCs w:val="22"/>
                  </w:rPr>
                </w:pPr>
              </w:p>
            </w:tc>
          </w:tr>
        </w:tbl>
        <w:p w14:paraId="152E246A" w14:textId="77777777" w:rsidR="000C7D05" w:rsidRDefault="000C7D05">
          <w:pPr>
            <w:tabs>
              <w:tab w:val="right" w:pos="8838"/>
            </w:tabs>
            <w:spacing w:line="256" w:lineRule="auto"/>
            <w:ind w:left="-28"/>
            <w:jc w:val="both"/>
            <w:rPr>
              <w:rFonts w:ascii="Arial" w:eastAsia="Arial" w:hAnsi="Arial" w:cs="Arial"/>
              <w:b/>
              <w:sz w:val="22"/>
              <w:szCs w:val="22"/>
            </w:rPr>
          </w:pPr>
        </w:p>
      </w:tc>
    </w:tr>
  </w:tbl>
  <w:p w14:paraId="436698DA" w14:textId="77777777" w:rsidR="000C7D05" w:rsidRDefault="002156DB">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14:anchorId="346CFA79" wp14:editId="53D1CF5E">
          <wp:simplePos x="0" y="0"/>
          <wp:positionH relativeFrom="margin">
            <wp:posOffset>-1381123</wp:posOffset>
          </wp:positionH>
          <wp:positionV relativeFrom="margin">
            <wp:posOffset>-1611628</wp:posOffset>
          </wp:positionV>
          <wp:extent cx="5612130" cy="7308215"/>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41D6" w14:textId="77777777" w:rsidR="000C7D05" w:rsidRDefault="000C7D05">
    <w:pPr>
      <w:widowControl w:val="0"/>
      <w:pBdr>
        <w:top w:val="nil"/>
        <w:left w:val="nil"/>
        <w:bottom w:val="nil"/>
        <w:right w:val="nil"/>
        <w:between w:val="nil"/>
      </w:pBdr>
      <w:spacing w:line="276" w:lineRule="auto"/>
      <w:rPr>
        <w:color w:val="000000"/>
      </w:rPr>
    </w:pPr>
  </w:p>
  <w:tbl>
    <w:tblPr>
      <w:tblStyle w:val="a7"/>
      <w:tblW w:w="8718" w:type="dxa"/>
      <w:tblInd w:w="0" w:type="dxa"/>
      <w:tblLayout w:type="fixed"/>
      <w:tblLook w:val="0400" w:firstRow="0" w:lastRow="0" w:firstColumn="0" w:lastColumn="0" w:noHBand="0" w:noVBand="1"/>
    </w:tblPr>
    <w:tblGrid>
      <w:gridCol w:w="1985"/>
      <w:gridCol w:w="6733"/>
    </w:tblGrid>
    <w:tr w:rsidR="000C7D05" w14:paraId="44FD9BAE" w14:textId="77777777">
      <w:trPr>
        <w:trHeight w:val="1435"/>
      </w:trPr>
      <w:tc>
        <w:tcPr>
          <w:tcW w:w="1985" w:type="dxa"/>
        </w:tcPr>
        <w:p w14:paraId="44C386A2" w14:textId="77777777" w:rsidR="000C7D05" w:rsidRDefault="000C7D05">
          <w:pPr>
            <w:tabs>
              <w:tab w:val="right" w:pos="4273"/>
            </w:tabs>
            <w:spacing w:line="256" w:lineRule="auto"/>
            <w:rPr>
              <w:rFonts w:ascii="Garamond" w:eastAsia="Garamond" w:hAnsi="Garamond" w:cs="Garamond"/>
              <w:sz w:val="22"/>
              <w:szCs w:val="22"/>
            </w:rPr>
          </w:pPr>
        </w:p>
      </w:tc>
      <w:tc>
        <w:tcPr>
          <w:tcW w:w="6733" w:type="dxa"/>
        </w:tcPr>
        <w:p w14:paraId="1C10D12A" w14:textId="77777777" w:rsidR="000C7D05" w:rsidRDefault="000C7D05">
          <w:pPr>
            <w:ind w:right="-40"/>
            <w:rPr>
              <w:sz w:val="28"/>
              <w:szCs w:val="28"/>
            </w:rPr>
          </w:pPr>
        </w:p>
        <w:tbl>
          <w:tblPr>
            <w:tblStyle w:val="a8"/>
            <w:tblW w:w="6322" w:type="dxa"/>
            <w:tblInd w:w="310" w:type="dxa"/>
            <w:tblBorders>
              <w:top w:val="nil"/>
              <w:left w:val="nil"/>
              <w:bottom w:val="nil"/>
              <w:right w:val="nil"/>
              <w:insideH w:val="nil"/>
              <w:insideV w:val="nil"/>
            </w:tblBorders>
            <w:tblLayout w:type="fixed"/>
            <w:tblLook w:val="0400" w:firstRow="0" w:lastRow="0" w:firstColumn="0" w:lastColumn="0" w:noHBand="0" w:noVBand="1"/>
          </w:tblPr>
          <w:tblGrid>
            <w:gridCol w:w="2410"/>
            <w:gridCol w:w="3912"/>
          </w:tblGrid>
          <w:tr w:rsidR="000C7D05" w14:paraId="18B4E3C0" w14:textId="77777777">
            <w:trPr>
              <w:trHeight w:val="194"/>
            </w:trPr>
            <w:tc>
              <w:tcPr>
                <w:tcW w:w="2410" w:type="dxa"/>
              </w:tcPr>
              <w:p w14:paraId="4C3509B4" w14:textId="77777777" w:rsidR="000C7D05" w:rsidRDefault="002156DB">
                <w:pPr>
                  <w:tabs>
                    <w:tab w:val="right" w:pos="8838"/>
                  </w:tabs>
                  <w:ind w:left="-114" w:right="-10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12" w:type="dxa"/>
              </w:tcPr>
              <w:p w14:paraId="29C2293D" w14:textId="77777777" w:rsidR="000C7D05" w:rsidRDefault="002156DB">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07451/INFOEM/IP/RR/2024</w:t>
                </w:r>
              </w:p>
            </w:tc>
          </w:tr>
          <w:tr w:rsidR="000C7D05" w14:paraId="5D08CCB4" w14:textId="77777777">
            <w:trPr>
              <w:trHeight w:val="383"/>
            </w:trPr>
            <w:tc>
              <w:tcPr>
                <w:tcW w:w="2410" w:type="dxa"/>
              </w:tcPr>
              <w:p w14:paraId="6E920760" w14:textId="77777777" w:rsidR="000C7D05" w:rsidRDefault="002156DB">
                <w:pPr>
                  <w:tabs>
                    <w:tab w:val="right" w:pos="8838"/>
                  </w:tabs>
                  <w:ind w:left="-114" w:right="-10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12" w:type="dxa"/>
              </w:tcPr>
              <w:p w14:paraId="7331EAC7" w14:textId="77777777" w:rsidR="000C7D05" w:rsidRDefault="002156DB">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Ecatepec de Morelos</w:t>
                </w:r>
              </w:p>
            </w:tc>
          </w:tr>
          <w:tr w:rsidR="000C7D05" w14:paraId="3D4F6EE2" w14:textId="77777777">
            <w:trPr>
              <w:trHeight w:val="383"/>
            </w:trPr>
            <w:tc>
              <w:tcPr>
                <w:tcW w:w="2410" w:type="dxa"/>
              </w:tcPr>
              <w:p w14:paraId="35A1EB56" w14:textId="77777777" w:rsidR="000C7D05" w:rsidRDefault="002156DB">
                <w:pPr>
                  <w:tabs>
                    <w:tab w:val="right" w:pos="8838"/>
                  </w:tabs>
                  <w:ind w:left="-114" w:right="-102"/>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12" w:type="dxa"/>
              </w:tcPr>
              <w:p w14:paraId="1FCE02D5" w14:textId="77777777" w:rsidR="000C7D05" w:rsidRDefault="002156DB">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2B5DB536" w14:textId="77777777" w:rsidR="000C7D05" w:rsidRDefault="000C7D05">
          <w:pPr>
            <w:tabs>
              <w:tab w:val="right" w:pos="8838"/>
            </w:tabs>
            <w:spacing w:line="256" w:lineRule="auto"/>
            <w:ind w:left="-28"/>
            <w:jc w:val="both"/>
            <w:rPr>
              <w:rFonts w:ascii="Arial" w:eastAsia="Arial" w:hAnsi="Arial" w:cs="Arial"/>
              <w:b/>
              <w:sz w:val="22"/>
              <w:szCs w:val="22"/>
            </w:rPr>
          </w:pPr>
        </w:p>
      </w:tc>
    </w:tr>
  </w:tbl>
  <w:p w14:paraId="504A2B7D" w14:textId="77777777" w:rsidR="000C7D05" w:rsidRDefault="002156DB">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14:anchorId="330D3A11" wp14:editId="1D796DC1">
          <wp:simplePos x="0" y="0"/>
          <wp:positionH relativeFrom="margin">
            <wp:posOffset>-1153157</wp:posOffset>
          </wp:positionH>
          <wp:positionV relativeFrom="margin">
            <wp:posOffset>-1539238</wp:posOffset>
          </wp:positionV>
          <wp:extent cx="7835900" cy="10203815"/>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F47" w14:textId="77777777" w:rsidR="000C7D05" w:rsidRDefault="000C7D05">
    <w:pPr>
      <w:widowControl w:val="0"/>
      <w:pBdr>
        <w:top w:val="nil"/>
        <w:left w:val="nil"/>
        <w:bottom w:val="nil"/>
        <w:right w:val="nil"/>
        <w:between w:val="nil"/>
      </w:pBdr>
      <w:spacing w:line="276" w:lineRule="auto"/>
      <w:rPr>
        <w:color w:val="000000"/>
      </w:rPr>
    </w:pPr>
  </w:p>
  <w:tbl>
    <w:tblPr>
      <w:tblStyle w:val="a9"/>
      <w:tblW w:w="9285" w:type="dxa"/>
      <w:tblInd w:w="0" w:type="dxa"/>
      <w:tblLayout w:type="fixed"/>
      <w:tblLook w:val="0400" w:firstRow="0" w:lastRow="0" w:firstColumn="0" w:lastColumn="0" w:noHBand="0" w:noVBand="1"/>
    </w:tblPr>
    <w:tblGrid>
      <w:gridCol w:w="2552"/>
      <w:gridCol w:w="6733"/>
    </w:tblGrid>
    <w:tr w:rsidR="000C7D05" w14:paraId="4EFB89C3" w14:textId="77777777">
      <w:trPr>
        <w:trHeight w:val="1435"/>
      </w:trPr>
      <w:tc>
        <w:tcPr>
          <w:tcW w:w="2552" w:type="dxa"/>
        </w:tcPr>
        <w:p w14:paraId="0494D9F6" w14:textId="77777777" w:rsidR="000C7D05" w:rsidRDefault="000C7D05">
          <w:pPr>
            <w:tabs>
              <w:tab w:val="right" w:pos="4273"/>
            </w:tabs>
            <w:spacing w:line="256" w:lineRule="auto"/>
            <w:rPr>
              <w:rFonts w:ascii="Garamond" w:eastAsia="Garamond" w:hAnsi="Garamond" w:cs="Garamond"/>
              <w:sz w:val="22"/>
              <w:szCs w:val="22"/>
            </w:rPr>
          </w:pPr>
        </w:p>
      </w:tc>
      <w:tc>
        <w:tcPr>
          <w:tcW w:w="6733" w:type="dxa"/>
        </w:tcPr>
        <w:p w14:paraId="5D7A6CE2" w14:textId="77777777" w:rsidR="000C7D05" w:rsidRDefault="000C7D05"/>
        <w:tbl>
          <w:tblPr>
            <w:tblStyle w:val="aa"/>
            <w:tblW w:w="68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19"/>
            <w:gridCol w:w="3958"/>
            <w:gridCol w:w="585"/>
          </w:tblGrid>
          <w:tr w:rsidR="000C7D05" w14:paraId="102F6BE2" w14:textId="77777777">
            <w:trPr>
              <w:gridAfter w:val="1"/>
              <w:wAfter w:w="585" w:type="dxa"/>
              <w:trHeight w:val="132"/>
            </w:trPr>
            <w:tc>
              <w:tcPr>
                <w:tcW w:w="2319" w:type="dxa"/>
              </w:tcPr>
              <w:p w14:paraId="3CB014FC" w14:textId="77777777" w:rsidR="000C7D05" w:rsidRDefault="002156DB">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58" w:type="dxa"/>
              </w:tcPr>
              <w:p w14:paraId="4A21DD31" w14:textId="77777777" w:rsidR="000C7D05" w:rsidRDefault="002156D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07451/INFOEM/IP/RR/2024</w:t>
                </w:r>
              </w:p>
            </w:tc>
          </w:tr>
          <w:tr w:rsidR="000C7D05" w14:paraId="7A5D08DB" w14:textId="77777777">
            <w:trPr>
              <w:gridAfter w:val="1"/>
              <w:wAfter w:w="585" w:type="dxa"/>
              <w:trHeight w:val="132"/>
            </w:trPr>
            <w:tc>
              <w:tcPr>
                <w:tcW w:w="2319" w:type="dxa"/>
              </w:tcPr>
              <w:p w14:paraId="064A70BB" w14:textId="77777777" w:rsidR="000C7D05" w:rsidRDefault="002156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58" w:type="dxa"/>
              </w:tcPr>
              <w:p w14:paraId="70D36F2D" w14:textId="09331FF8" w:rsidR="000C7D05" w:rsidRDefault="002117CE">
                <w:pPr>
                  <w:tabs>
                    <w:tab w:val="left" w:pos="3122"/>
                    <w:tab w:val="right" w:pos="8838"/>
                  </w:tabs>
                  <w:ind w:left="-74"/>
                  <w:jc w:val="both"/>
                  <w:rPr>
                    <w:rFonts w:ascii="Palatino Linotype" w:eastAsia="Palatino Linotype" w:hAnsi="Palatino Linotype" w:cs="Palatino Linotype"/>
                    <w:sz w:val="22"/>
                    <w:szCs w:val="22"/>
                  </w:rPr>
                </w:pPr>
                <w:r w:rsidRPr="008D158B">
                  <w:rPr>
                    <w:highlight w:val="black"/>
                  </w:rPr>
                  <w:t>XXXXXXXXXXXXXXXXXX</w:t>
                </w:r>
                <w:r>
                  <w:rPr>
                    <w:highlight w:val="black"/>
                  </w:rPr>
                  <w:t>XX</w:t>
                </w:r>
                <w:r w:rsidRPr="008D158B">
                  <w:rPr>
                    <w:highlight w:val="black"/>
                  </w:rPr>
                  <w:t>XXXXXXXXXXXXXXXXX</w:t>
                </w:r>
                <w:r>
                  <w:rPr>
                    <w:highlight w:val="black"/>
                  </w:rPr>
                  <w:t>XX</w:t>
                </w:r>
                <w:r w:rsidRPr="008D158B">
                  <w:rPr>
                    <w:highlight w:val="black"/>
                  </w:rPr>
                  <w:t>X</w:t>
                </w:r>
              </w:p>
            </w:tc>
          </w:tr>
          <w:tr w:rsidR="000C7D05" w14:paraId="72A0AD97" w14:textId="77777777">
            <w:trPr>
              <w:gridAfter w:val="1"/>
              <w:wAfter w:w="585" w:type="dxa"/>
              <w:trHeight w:val="261"/>
            </w:trPr>
            <w:tc>
              <w:tcPr>
                <w:tcW w:w="2319" w:type="dxa"/>
              </w:tcPr>
              <w:p w14:paraId="5E29AEF8" w14:textId="77777777" w:rsidR="000C7D05" w:rsidRDefault="002156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58" w:type="dxa"/>
              </w:tcPr>
              <w:p w14:paraId="002A5237" w14:textId="77777777" w:rsidR="000C7D05" w:rsidRDefault="002156DB">
                <w:pPr>
                  <w:tabs>
                    <w:tab w:val="left" w:pos="2834"/>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0C7D05" w14:paraId="43381E6A" w14:textId="77777777">
            <w:trPr>
              <w:trHeight w:val="261"/>
            </w:trPr>
            <w:tc>
              <w:tcPr>
                <w:tcW w:w="2319" w:type="dxa"/>
              </w:tcPr>
              <w:p w14:paraId="1930811B" w14:textId="77777777" w:rsidR="000C7D05" w:rsidRDefault="002156D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543" w:type="dxa"/>
                <w:gridSpan w:val="2"/>
              </w:tcPr>
              <w:p w14:paraId="74D5A56C" w14:textId="77777777" w:rsidR="000C7D05" w:rsidRDefault="002156D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5AF39DDA" w14:textId="77777777" w:rsidR="000C7D05" w:rsidRDefault="000C7D05">
          <w:pPr>
            <w:tabs>
              <w:tab w:val="right" w:pos="8838"/>
            </w:tabs>
            <w:spacing w:line="256" w:lineRule="auto"/>
            <w:ind w:left="-28"/>
            <w:jc w:val="both"/>
            <w:rPr>
              <w:rFonts w:ascii="Arial" w:eastAsia="Arial" w:hAnsi="Arial" w:cs="Arial"/>
              <w:b/>
              <w:sz w:val="22"/>
              <w:szCs w:val="22"/>
            </w:rPr>
          </w:pPr>
        </w:p>
      </w:tc>
    </w:tr>
  </w:tbl>
  <w:p w14:paraId="22E0E851" w14:textId="77777777" w:rsidR="000C7D05" w:rsidRDefault="002117CE">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w14:anchorId="56743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5pt;margin-top:-121.35pt;width:663.5pt;height:12in;z-index:-251657728;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F313E"/>
    <w:multiLevelType w:val="multilevel"/>
    <w:tmpl w:val="A9D62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83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05"/>
    <w:rsid w:val="000C7D05"/>
    <w:rsid w:val="001C2DEA"/>
    <w:rsid w:val="002117CE"/>
    <w:rsid w:val="002156DB"/>
    <w:rsid w:val="00301356"/>
    <w:rsid w:val="00642CC9"/>
    <w:rsid w:val="00E76DAE"/>
    <w:rsid w:val="00EC4954"/>
    <w:rsid w:val="00FC0074"/>
    <w:rsid w:val="00FE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C4C7E7"/>
  <w15:docId w15:val="{352B1DDD-203C-4621-B5C3-116044C7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9F"/>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836192"/>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36192"/>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6192"/>
    <w:pPr>
      <w:ind w:left="720"/>
      <w:contextualSpacing/>
    </w:pPr>
    <w:rPr>
      <w:rFonts w:ascii="Century Gothic" w:hAnsi="Century Gothic"/>
      <w:sz w:val="22"/>
      <w:szCs w:val="24"/>
    </w:rPr>
  </w:style>
  <w:style w:type="table" w:styleId="Tablaconcuadrcula">
    <w:name w:val="Table Grid"/>
    <w:basedOn w:val="Tablanormal"/>
    <w:uiPriority w:val="39"/>
    <w:rsid w:val="0083619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6192"/>
    <w:pPr>
      <w:tabs>
        <w:tab w:val="center" w:pos="4419"/>
        <w:tab w:val="right" w:pos="8838"/>
      </w:tabs>
    </w:pPr>
  </w:style>
  <w:style w:type="character" w:customStyle="1" w:styleId="EncabezadoCar">
    <w:name w:val="Encabezado Car"/>
    <w:basedOn w:val="Fuentedeprrafopredeter"/>
    <w:link w:val="Encabezado"/>
    <w:uiPriority w:val="99"/>
    <w:rsid w:val="0083619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36192"/>
    <w:pPr>
      <w:tabs>
        <w:tab w:val="center" w:pos="4419"/>
        <w:tab w:val="right" w:pos="8838"/>
      </w:tabs>
    </w:pPr>
  </w:style>
  <w:style w:type="character" w:customStyle="1" w:styleId="PiedepginaCar">
    <w:name w:val="Pie de página Car"/>
    <w:basedOn w:val="Fuentedeprrafopredeter"/>
    <w:link w:val="Piedepgina"/>
    <w:uiPriority w:val="99"/>
    <w:rsid w:val="0083619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836192"/>
    <w:pPr>
      <w:spacing w:after="160" w:line="259" w:lineRule="auto"/>
      <w:jc w:val="both"/>
    </w:pPr>
    <w:rPr>
      <w:rFonts w:eastAsiaTheme="minorHAnsi"/>
      <w:color w:val="000000" w:themeColor="text1"/>
      <w:sz w:val="24"/>
      <w:szCs w:val="24"/>
      <w:lang w:eastAsia="en-US"/>
    </w:rPr>
  </w:style>
  <w:style w:type="character" w:styleId="Hipervnculovisitado">
    <w:name w:val="FollowedHyperlink"/>
    <w:basedOn w:val="Fuentedeprrafopredeter"/>
    <w:uiPriority w:val="99"/>
    <w:semiHidden/>
    <w:unhideWhenUsed/>
    <w:rsid w:val="00504814"/>
    <w:rPr>
      <w:color w:val="954F72" w:themeColor="followedHyperlink"/>
      <w:u w:val="single"/>
    </w:rPr>
  </w:style>
  <w:style w:type="character" w:customStyle="1" w:styleId="Mencinsinresolver1">
    <w:name w:val="Mención sin resolver1"/>
    <w:basedOn w:val="Fuentedeprrafopredeter"/>
    <w:uiPriority w:val="99"/>
    <w:semiHidden/>
    <w:unhideWhenUsed/>
    <w:rsid w:val="00410D13"/>
    <w:rPr>
      <w:color w:val="605E5C"/>
      <w:shd w:val="clear" w:color="auto" w:fill="E1DFDD"/>
    </w:rPr>
  </w:style>
  <w:style w:type="character" w:customStyle="1" w:styleId="Mencinsinresolver2">
    <w:name w:val="Mención sin resolver2"/>
    <w:basedOn w:val="Fuentedeprrafopredeter"/>
    <w:uiPriority w:val="99"/>
    <w:semiHidden/>
    <w:unhideWhenUsed/>
    <w:rsid w:val="00A63A85"/>
    <w:rPr>
      <w:color w:val="605E5C"/>
      <w:shd w:val="clear" w:color="auto" w:fill="E1DFDD"/>
    </w:rPr>
  </w:style>
  <w:style w:type="character" w:customStyle="1" w:styleId="Mencinsinresolver3">
    <w:name w:val="Mención sin resolver3"/>
    <w:basedOn w:val="Fuentedeprrafopredeter"/>
    <w:uiPriority w:val="99"/>
    <w:semiHidden/>
    <w:unhideWhenUsed/>
    <w:rsid w:val="00315452"/>
    <w:rPr>
      <w:color w:val="605E5C"/>
      <w:shd w:val="clear" w:color="auto" w:fill="E1DFDD"/>
    </w:rPr>
  </w:style>
  <w:style w:type="character" w:customStyle="1" w:styleId="Mencinsinresolver4">
    <w:name w:val="Mención sin resolver4"/>
    <w:basedOn w:val="Fuentedeprrafopredeter"/>
    <w:uiPriority w:val="99"/>
    <w:semiHidden/>
    <w:unhideWhenUsed/>
    <w:rsid w:val="00785254"/>
    <w:rPr>
      <w:color w:val="605E5C"/>
      <w:shd w:val="clear" w:color="auto" w:fill="E1DFDD"/>
    </w:rPr>
  </w:style>
  <w:style w:type="character" w:customStyle="1" w:styleId="Mencinsinresolver5">
    <w:name w:val="Mención sin resolver5"/>
    <w:basedOn w:val="Fuentedeprrafopredeter"/>
    <w:uiPriority w:val="99"/>
    <w:semiHidden/>
    <w:unhideWhenUsed/>
    <w:rsid w:val="005C2963"/>
    <w:rPr>
      <w:color w:val="605E5C"/>
      <w:shd w:val="clear" w:color="auto" w:fill="E1DFDD"/>
    </w:rPr>
  </w:style>
  <w:style w:type="character" w:customStyle="1" w:styleId="normaltextrun">
    <w:name w:val="normaltextrun"/>
    <w:basedOn w:val="Fuentedeprrafopredeter"/>
    <w:rsid w:val="00B03895"/>
  </w:style>
  <w:style w:type="character" w:customStyle="1" w:styleId="eop">
    <w:name w:val="eop"/>
    <w:basedOn w:val="Fuentedeprrafopredeter"/>
    <w:rsid w:val="00B0389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AOlicwQK0VxOZHhRFguNEhwkQ==">CgMxLjAyCGguZ2pkZ3hzMgloLjMwajB6bGw4AHIhMVRMREFlQjNaWUIzblItd1N6TmEzU3RWRjgycWZaak5H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3525</Words>
  <Characters>19392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2025-01-17T16:05:00Z</cp:lastPrinted>
  <dcterms:created xsi:type="dcterms:W3CDTF">2025-01-17T16:05:00Z</dcterms:created>
  <dcterms:modified xsi:type="dcterms:W3CDTF">2025-01-23T21:25:00Z</dcterms:modified>
</cp:coreProperties>
</file>