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4943D175"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F51907">
        <w:rPr>
          <w:rFonts w:ascii="Palatino Linotype" w:eastAsia="Palatino Linotype" w:hAnsi="Palatino Linotype" w:cs="Palatino Linotype"/>
          <w:color w:val="000000"/>
        </w:rPr>
        <w:t xml:space="preserve">seis de marzo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16096DBF"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CA47DE">
        <w:rPr>
          <w:rFonts w:ascii="Palatino Linotype" w:eastAsia="Palatino Linotype" w:hAnsi="Palatino Linotype" w:cs="Palatino Linotype"/>
          <w:b/>
          <w:sz w:val="23"/>
          <w:szCs w:val="23"/>
        </w:rPr>
        <w:t>0700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CA47DE">
        <w:rPr>
          <w:rFonts w:ascii="Palatino Linotype" w:eastAsia="Palatino Linotype" w:hAnsi="Palatino Linotype" w:cs="Palatino Linotype"/>
        </w:rPr>
        <w:t>la</w:t>
      </w:r>
      <w:r>
        <w:rPr>
          <w:rFonts w:ascii="Palatino Linotype" w:eastAsia="Palatino Linotype" w:hAnsi="Palatino Linotype" w:cs="Palatino Linotype"/>
        </w:rPr>
        <w:t xml:space="preserve"> </w:t>
      </w:r>
      <w:r w:rsidRPr="00693587">
        <w:rPr>
          <w:rFonts w:ascii="Palatino Linotype" w:eastAsia="Palatino Linotype" w:hAnsi="Palatino Linotype" w:cs="Palatino Linotype"/>
          <w:b/>
        </w:rPr>
        <w:t xml:space="preserve">C. </w:t>
      </w:r>
      <w:r w:rsidR="00273021">
        <w:rPr>
          <w:rFonts w:ascii="Palatino Linotype" w:eastAsia="Palatino Linotype" w:hAnsi="Palatino Linotype" w:cs="Palatino Linotype"/>
          <w:b/>
        </w:rPr>
        <w:t>XXXXXXXXXXXXXXXXXXXX</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ra de</w:t>
      </w:r>
      <w:bookmarkStart w:id="0" w:name="_GoBack"/>
      <w:bookmarkEnd w:id="0"/>
      <w:r w:rsidR="00693587">
        <w:rPr>
          <w:rFonts w:ascii="Palatino Linotype" w:eastAsia="Palatino Linotype" w:hAnsi="Palatino Linotype" w:cs="Palatino Linotype"/>
        </w:rPr>
        <w:t xml:space="preserve"> la falta de respuesta del </w:t>
      </w:r>
      <w:r w:rsidR="00CA47DE" w:rsidRPr="00CA47DE">
        <w:rPr>
          <w:rFonts w:ascii="Palatino Linotype" w:eastAsia="Palatino Linotype" w:hAnsi="Palatino Linotype" w:cs="Palatino Linotype"/>
          <w:b/>
        </w:rPr>
        <w:t>Ayuntamiento de Mexicaltzingo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7FCB773A"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CA47DE">
        <w:rPr>
          <w:rFonts w:ascii="Palatino Linotype" w:eastAsia="Palatino Linotype" w:hAnsi="Palatino Linotype" w:cs="Palatino Linotype"/>
        </w:rPr>
        <w:t>trece de diciembre</w:t>
      </w:r>
      <w:r>
        <w:rPr>
          <w:rFonts w:ascii="Palatino Linotype" w:eastAsia="Palatino Linotype" w:hAnsi="Palatino Linotype" w:cs="Palatino Linotype"/>
        </w:rPr>
        <w:t xml:space="preserve"> de dos mil veinticuatro,</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CA47DE" w:rsidRPr="00CA47DE">
        <w:rPr>
          <w:rFonts w:ascii="Palatino Linotype" w:eastAsia="Palatino Linotype" w:hAnsi="Palatino Linotype" w:cs="Palatino Linotype"/>
          <w:b/>
        </w:rPr>
        <w:t>00248/MEXICAL/IP/2024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06B64386" w14:textId="7228A7C6" w:rsidR="00785E98" w:rsidRDefault="00693587" w:rsidP="00693587">
      <w:pPr>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CA47DE" w:rsidRPr="00CA47DE">
        <w:rPr>
          <w:rFonts w:ascii="Palatino Linotype" w:eastAsia="Palatino Linotype" w:hAnsi="Palatino Linotype" w:cs="Palatino Linotype"/>
          <w:i/>
        </w:rPr>
        <w:t xml:space="preserve">Cedula profesional de los integrantes del </w:t>
      </w:r>
      <w:proofErr w:type="spellStart"/>
      <w:r w:rsidR="00CA47DE" w:rsidRPr="00CA47DE">
        <w:rPr>
          <w:rFonts w:ascii="Palatino Linotype" w:eastAsia="Palatino Linotype" w:hAnsi="Palatino Linotype" w:cs="Palatino Linotype"/>
          <w:i/>
        </w:rPr>
        <w:t>oic</w:t>
      </w:r>
      <w:proofErr w:type="spellEnd"/>
      <w:r w:rsidRPr="00693587">
        <w:rPr>
          <w:rFonts w:ascii="Palatino Linotype" w:eastAsia="Palatino Linotype" w:hAnsi="Palatino Linotype" w:cs="Palatino Linotype"/>
          <w:i/>
        </w:rPr>
        <w:t xml:space="preserve">” (Sic). </w:t>
      </w:r>
    </w:p>
    <w:p w14:paraId="721F11B2" w14:textId="77777777" w:rsidR="00CA47DE" w:rsidRPr="00CA47DE" w:rsidRDefault="00CA47DE" w:rsidP="00693587">
      <w:pPr>
        <w:ind w:left="567" w:right="474"/>
        <w:jc w:val="both"/>
        <w:rPr>
          <w:rFonts w:ascii="Palatino Linotype" w:eastAsia="Palatino Linotype" w:hAnsi="Palatino Linotype" w:cs="Palatino Linotype"/>
          <w:i/>
          <w:sz w:val="18"/>
          <w:szCs w:val="18"/>
        </w:rPr>
      </w:pPr>
    </w:p>
    <w:p w14:paraId="19491BC9" w14:textId="77777777" w:rsidR="00693587" w:rsidRPr="00693587" w:rsidRDefault="00693587" w:rsidP="00693587">
      <w:pPr>
        <w:ind w:left="567" w:right="474"/>
        <w:jc w:val="both"/>
        <w:rPr>
          <w:rFonts w:ascii="Palatino Linotype" w:eastAsia="Palatino Linotype" w:hAnsi="Palatino Linotype" w:cs="Palatino Linotype"/>
          <w:i/>
        </w:rPr>
      </w:pPr>
    </w:p>
    <w:p w14:paraId="08EF778A" w14:textId="2CF6C50A" w:rsidR="00CA47DE"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04AC6473" w14:textId="77777777" w:rsidR="00CA47DE" w:rsidRDefault="00CA47DE">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w:t>
      </w:r>
      <w:r>
        <w:rPr>
          <w:rFonts w:ascii="Palatino Linotype" w:eastAsia="Palatino Linotype" w:hAnsi="Palatino Linotype" w:cs="Palatino Linotype"/>
        </w:rPr>
        <w:lastRenderedPageBreak/>
        <w:t xml:space="preserve">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5A0ECD5E"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CA47DE">
        <w:rPr>
          <w:rFonts w:ascii="Palatino Linotype" w:eastAsia="Palatino Linotype" w:hAnsi="Palatino Linotype" w:cs="Palatino Linotype"/>
        </w:rPr>
        <w:t>seis de febrero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CA47DE">
        <w:rPr>
          <w:rFonts w:ascii="Palatino Linotype" w:eastAsia="Palatino Linotype" w:hAnsi="Palatino Linotype" w:cs="Palatino Linotype"/>
          <w:b/>
          <w:sz w:val="23"/>
          <w:szCs w:val="23"/>
        </w:rPr>
        <w:t>0700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2805B93E" w:rsidR="00785E98" w:rsidRPr="00693587" w:rsidRDefault="00693587" w:rsidP="00693587">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CA47DE" w:rsidRPr="00CA47DE">
        <w:rPr>
          <w:rFonts w:ascii="Palatino Linotype" w:eastAsia="Palatino Linotype" w:hAnsi="Palatino Linotype" w:cs="Palatino Linotype"/>
          <w:i/>
          <w:color w:val="000000"/>
        </w:rPr>
        <w:t>No dieron información</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78A21358" w:rsidR="00693587" w:rsidRPr="00693587" w:rsidRDefault="00693587" w:rsidP="00693587">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CA47DE" w:rsidRPr="00CA47DE">
        <w:rPr>
          <w:rFonts w:ascii="Palatino Linotype" w:eastAsia="Palatino Linotype" w:hAnsi="Palatino Linotype" w:cs="Palatino Linotype"/>
          <w:i/>
          <w:color w:val="000000"/>
        </w:rPr>
        <w:t xml:space="preserve">La información no </w:t>
      </w:r>
      <w:proofErr w:type="spellStart"/>
      <w:r w:rsidR="00CA47DE" w:rsidRPr="00CA47DE">
        <w:rPr>
          <w:rFonts w:ascii="Palatino Linotype" w:eastAsia="Palatino Linotype" w:hAnsi="Palatino Linotype" w:cs="Palatino Linotype"/>
          <w:i/>
          <w:color w:val="000000"/>
        </w:rPr>
        <w:t>escorecta</w:t>
      </w:r>
      <w:proofErr w:type="spellEnd"/>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0DA2CB8A"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E94B1F">
        <w:rPr>
          <w:rFonts w:ascii="Palatino Linotype" w:eastAsia="Palatino Linotype" w:hAnsi="Palatino Linotype" w:cs="Palatino Linotype"/>
        </w:rPr>
        <w:t>doce de febrero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43300485" w14:textId="77777777" w:rsidR="00E94B1F" w:rsidRDefault="00E94B1F">
      <w:pPr>
        <w:spacing w:line="360" w:lineRule="auto"/>
        <w:jc w:val="both"/>
        <w:rPr>
          <w:rFonts w:ascii="Palatino Linotype" w:eastAsia="Palatino Linotype" w:hAnsi="Palatino Linotype" w:cs="Palatino Linotype"/>
        </w:rPr>
      </w:pPr>
    </w:p>
    <w:p w14:paraId="456EC5EE" w14:textId="77777777" w:rsidR="00E94B1F" w:rsidRDefault="00E94B1F">
      <w:pPr>
        <w:spacing w:line="360" w:lineRule="auto"/>
        <w:jc w:val="both"/>
        <w:rPr>
          <w:rFonts w:ascii="Palatino Linotype" w:eastAsia="Palatino Linotype" w:hAnsi="Palatino Linotype" w:cs="Palatino Linotype"/>
        </w:rPr>
      </w:pPr>
    </w:p>
    <w:p w14:paraId="73DCD21C" w14:textId="77777777" w:rsidR="00E94B1F" w:rsidRDefault="00E94B1F">
      <w:pPr>
        <w:spacing w:line="360" w:lineRule="auto"/>
        <w:jc w:val="both"/>
        <w:rPr>
          <w:rFonts w:ascii="Palatino Linotype" w:eastAsia="Palatino Linotype" w:hAnsi="Palatino Linotype" w:cs="Palatino Linotype"/>
        </w:rPr>
      </w:pPr>
    </w:p>
    <w:p w14:paraId="2A28CC85" w14:textId="77777777" w:rsidR="00E94B1F" w:rsidRDefault="00E94B1F">
      <w:pPr>
        <w:spacing w:line="360" w:lineRule="auto"/>
        <w:jc w:val="both"/>
        <w:rPr>
          <w:rFonts w:ascii="Palatino Linotype" w:eastAsia="Palatino Linotype" w:hAnsi="Palatino Linotype" w:cs="Palatino Linotype"/>
        </w:rPr>
      </w:pP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087D424C"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E94B1F">
        <w:rPr>
          <w:rFonts w:ascii="Palatino Linotype" w:eastAsia="Palatino Linotype" w:hAnsi="Palatino Linotype" w:cs="Palatino Linotype"/>
        </w:rPr>
        <w:t>veinticuatro de febrero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36507CFF"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222222"/>
          <w:highlight w:val="white"/>
        </w:rPr>
        <w:lastRenderedPageBreak/>
        <w:t>Transparencia, Acceso a la Información Pública y Protección de Datos Personales del Estado de México y Municipios.</w:t>
      </w:r>
    </w:p>
    <w:p w14:paraId="48D819EE"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la interpretación al precepto legal inserto, se advierte que el plazo que les asiste a los Sujetos Obligados para notificar la respuesta a una solicitud de información pública, es de quince días hábiles posteriores a la presentación de ésta.</w:t>
      </w:r>
    </w:p>
    <w:p w14:paraId="338DEC58" w14:textId="77777777" w:rsidR="00785E98" w:rsidRDefault="00785E98">
      <w:pPr>
        <w:spacing w:line="360" w:lineRule="auto"/>
        <w:jc w:val="both"/>
        <w:rPr>
          <w:rFonts w:ascii="Palatino Linotype" w:eastAsia="Palatino Linotype" w:hAnsi="Palatino Linotype" w:cs="Palatino Linotype"/>
        </w:rPr>
      </w:pP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w:t>
      </w:r>
      <w:r>
        <w:rPr>
          <w:rFonts w:ascii="Palatino Linotype" w:eastAsia="Palatino Linotype" w:hAnsi="Palatino Linotype" w:cs="Palatino Linotype"/>
          <w:color w:val="000000"/>
        </w:rPr>
        <w:lastRenderedPageBreak/>
        <w:t xml:space="preserve">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BA994AD" w14:textId="77777777" w:rsidR="00785E98" w:rsidRDefault="00785E98">
      <w:pPr>
        <w:spacing w:line="360" w:lineRule="auto"/>
        <w:jc w:val="both"/>
        <w:rPr>
          <w:rFonts w:ascii="Palatino Linotype" w:eastAsia="Palatino Linotype" w:hAnsi="Palatino Linotype" w:cs="Palatino Linotype"/>
        </w:rPr>
      </w:pPr>
    </w:p>
    <w:p w14:paraId="73B98FA1"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 xml:space="preserve">no se advierte que el derecho interno desatienda los estándares que pretenden proteger los derechos humanos en dicho tratado, por regular causas de improcedencia y sobreseimiento </w:t>
      </w:r>
      <w:r>
        <w:rPr>
          <w:rFonts w:ascii="Palatino Linotype" w:eastAsia="Palatino Linotype" w:hAnsi="Palatino Linotype" w:cs="Palatino Linotype"/>
          <w:b/>
          <w:i/>
          <w:color w:val="000000"/>
          <w:sz w:val="22"/>
          <w:szCs w:val="22"/>
          <w:u w:val="single"/>
        </w:rPr>
        <w:lastRenderedPageBreak/>
        <w:t>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las cosas, al no existir causas de improcedencia invocadas por las partes ni advertidas de oficio por este Resolutor, se proceden al análisis del fondo de los asuntos en los siguientes términos.</w:t>
      </w:r>
    </w:p>
    <w:p w14:paraId="050B6C34"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77777777" w:rsidR="00785E98" w:rsidRDefault="00CA19C9">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 xml:space="preserve">en la fracción VII, del </w:t>
      </w:r>
      <w:r>
        <w:rPr>
          <w:rFonts w:ascii="Palatino Linotype" w:eastAsia="Palatino Linotype" w:hAnsi="Palatino Linotype" w:cs="Palatino Linotype"/>
          <w:color w:val="000000"/>
        </w:rPr>
        <w:lastRenderedPageBreak/>
        <w:t>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Pr>
          <w:rFonts w:ascii="Palatino Linotype" w:eastAsia="Palatino Linotype" w:hAnsi="Palatino Linotype" w:cs="Palatino Linotype"/>
        </w:rPr>
        <w:lastRenderedPageBreak/>
        <w:t>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0D35536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4EFCC0CE" w14:textId="77777777" w:rsidR="00785E98" w:rsidRDefault="005D216E">
      <w:pPr>
        <w:numPr>
          <w:ilvl w:val="0"/>
          <w:numId w:val="1"/>
        </w:numPr>
        <w:pBdr>
          <w:top w:val="nil"/>
          <w:left w:val="nil"/>
          <w:bottom w:val="nil"/>
          <w:right w:val="nil"/>
          <w:between w:val="nil"/>
        </w:pBdr>
        <w:spacing w:after="160" w:line="360" w:lineRule="auto"/>
        <w:jc w:val="both"/>
        <w:rPr>
          <w:b/>
          <w:color w:val="000000"/>
          <w:sz w:val="28"/>
          <w:szCs w:val="28"/>
        </w:rPr>
      </w:pPr>
      <w:r>
        <w:rPr>
          <w:rFonts w:ascii="Palatino Linotype" w:eastAsia="Palatino Linotype" w:hAnsi="Palatino Linotype" w:cs="Palatino Linotype"/>
          <w:b/>
          <w:color w:val="000000"/>
          <w:sz w:val="28"/>
          <w:szCs w:val="28"/>
        </w:rPr>
        <w:lastRenderedPageBreak/>
        <w:t>De la clasificación de la información</w:t>
      </w:r>
    </w:p>
    <w:p w14:paraId="517D8DA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la clasificación de la información como reservada se deben establecer, de manera fundada y motivada, las hipótesis normativas aplicables al caso concreto y se analice </w:t>
      </w:r>
      <w:r>
        <w:rPr>
          <w:rFonts w:ascii="Palatino Linotype" w:eastAsia="Palatino Linotype" w:hAnsi="Palatino Linotype" w:cs="Palatino Linotype"/>
        </w:rPr>
        <w:lastRenderedPageBreak/>
        <w:t>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pPr>
        <w:numPr>
          <w:ilvl w:val="0"/>
          <w:numId w:val="1"/>
        </w:numPr>
        <w:pBdr>
          <w:top w:val="nil"/>
          <w:left w:val="nil"/>
          <w:bottom w:val="nil"/>
          <w:right w:val="nil"/>
          <w:between w:val="nil"/>
        </w:pBdr>
        <w:tabs>
          <w:tab w:val="left" w:pos="7938"/>
        </w:tabs>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no proporcionó respuesta a la solicitud de acceso a la información pública, en el término previsto en el artículo 163 de la Ley de </w:t>
      </w:r>
      <w:r>
        <w:rPr>
          <w:rFonts w:ascii="Palatino Linotype" w:eastAsia="Palatino Linotype" w:hAnsi="Palatino Linotype" w:cs="Palatino Linotype"/>
        </w:rPr>
        <w:lastRenderedPageBreak/>
        <w:t>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08340D8A"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CA47DE" w:rsidRPr="00CA47DE">
        <w:rPr>
          <w:rFonts w:ascii="Palatino Linotype" w:eastAsia="Palatino Linotype" w:hAnsi="Palatino Linotype" w:cs="Palatino Linotype"/>
          <w:b/>
        </w:rPr>
        <w:t>00248/MEXICAL/IP/2024</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78560DEE" w14:textId="77777777" w:rsidR="00E94B1F" w:rsidRPr="00CA19C9" w:rsidRDefault="00E94B1F"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77777777"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93587">
        <w:rPr>
          <w:rFonts w:ascii="Palatino Linotype" w:eastAsia="Palatino Linotype" w:hAnsi="Palatino Linotype" w:cs="Palatino Linotype"/>
          <w:b/>
        </w:rPr>
        <w:t>CUAR</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5E907215"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CA47DE" w:rsidRPr="00CA47DE">
        <w:rPr>
          <w:rFonts w:ascii="Palatino Linotype" w:eastAsia="Palatino Linotype" w:hAnsi="Palatino Linotype" w:cs="Palatino Linotype"/>
          <w:b/>
        </w:rPr>
        <w:t>00248/MEXICAL/IP/2024</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93587">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65E61E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Pr>
          <w:rFonts w:ascii="Palatino Linotype" w:eastAsia="Palatino Linotype" w:hAnsi="Palatino Linotype" w:cs="Palatino Linotype"/>
          <w:b/>
        </w:rPr>
        <w:t>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650E9A55"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A47DE">
        <w:rPr>
          <w:rFonts w:ascii="Palatino Linotype" w:eastAsia="Palatino Linotype" w:hAnsi="Palatino Linotype" w:cs="Palatino Linotype"/>
        </w:rPr>
        <w:t>OCTAV</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CA47DE" w:rsidRPr="00CA47DE">
        <w:rPr>
          <w:rFonts w:ascii="Palatino Linotype" w:eastAsia="Palatino Linotype" w:hAnsi="Palatino Linotype" w:cs="Palatino Linotype"/>
        </w:rPr>
        <w:t>SEIS DE MARZO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6BDE4" w14:textId="77777777" w:rsidR="00784677" w:rsidRDefault="00784677">
      <w:r>
        <w:separator/>
      </w:r>
    </w:p>
  </w:endnote>
  <w:endnote w:type="continuationSeparator" w:id="0">
    <w:p w14:paraId="1B2C8D11" w14:textId="77777777" w:rsidR="00784677" w:rsidRDefault="0078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73021">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73021">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7302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73021">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044B2" w14:textId="77777777" w:rsidR="00784677" w:rsidRDefault="00784677">
      <w:r>
        <w:separator/>
      </w:r>
    </w:p>
  </w:footnote>
  <w:footnote w:type="continuationSeparator" w:id="0">
    <w:p w14:paraId="310A1216" w14:textId="77777777" w:rsidR="00784677" w:rsidRDefault="00784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273021">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273021">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30.6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4C86E379"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F51907">
            <w:rPr>
              <w:rFonts w:ascii="Palatino Linotype" w:eastAsia="Palatino Linotype" w:hAnsi="Palatino Linotype" w:cs="Palatino Linotype"/>
              <w:sz w:val="22"/>
              <w:szCs w:val="22"/>
            </w:rPr>
            <w:t>0700</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62C6EA68" w:rsidR="00785E98" w:rsidRDefault="00F51907">
          <w:pPr>
            <w:spacing w:line="276" w:lineRule="auto"/>
            <w:jc w:val="right"/>
            <w:rPr>
              <w:rFonts w:ascii="Palatino Linotype" w:eastAsia="Palatino Linotype" w:hAnsi="Palatino Linotype" w:cs="Palatino Linotype"/>
              <w:sz w:val="21"/>
              <w:szCs w:val="21"/>
            </w:rPr>
          </w:pPr>
          <w:r w:rsidRPr="00F51907">
            <w:rPr>
              <w:rFonts w:ascii="Palatino Linotype" w:eastAsia="Palatino Linotype" w:hAnsi="Palatino Linotype" w:cs="Palatino Linotype"/>
              <w:sz w:val="21"/>
              <w:szCs w:val="21"/>
            </w:rPr>
            <w:t>Ayuntamiento de Mexicaltzingo</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27302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08A85652"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F51907">
            <w:rPr>
              <w:rFonts w:ascii="Palatino Linotype" w:eastAsia="Palatino Linotype" w:hAnsi="Palatino Linotype" w:cs="Palatino Linotype"/>
              <w:sz w:val="22"/>
              <w:szCs w:val="22"/>
            </w:rPr>
            <w:t>0700</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64022D1D" w:rsidR="00785E98" w:rsidRDefault="00273021">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1423834B" w:rsidR="00785E98" w:rsidRDefault="00F51907">
          <w:pPr>
            <w:jc w:val="right"/>
            <w:rPr>
              <w:rFonts w:ascii="Palatino Linotype" w:eastAsia="Palatino Linotype" w:hAnsi="Palatino Linotype" w:cs="Palatino Linotype"/>
              <w:sz w:val="21"/>
              <w:szCs w:val="21"/>
            </w:rPr>
          </w:pPr>
          <w:r w:rsidRPr="00F51907">
            <w:rPr>
              <w:rFonts w:ascii="Palatino Linotype" w:eastAsia="Palatino Linotype" w:hAnsi="Palatino Linotype" w:cs="Palatino Linotype"/>
              <w:sz w:val="21"/>
              <w:szCs w:val="21"/>
            </w:rPr>
            <w:t>Ayuntamiento de Mexicaltzingo</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273021"/>
    <w:rsid w:val="00543AA4"/>
    <w:rsid w:val="005D216E"/>
    <w:rsid w:val="00603A5B"/>
    <w:rsid w:val="00645942"/>
    <w:rsid w:val="00693587"/>
    <w:rsid w:val="00784677"/>
    <w:rsid w:val="00785E98"/>
    <w:rsid w:val="009E14D9"/>
    <w:rsid w:val="00A15154"/>
    <w:rsid w:val="00B451BA"/>
    <w:rsid w:val="00BE036E"/>
    <w:rsid w:val="00CA19C9"/>
    <w:rsid w:val="00CA47DE"/>
    <w:rsid w:val="00E94B1F"/>
    <w:rsid w:val="00EB1290"/>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4189</Words>
  <Characters>23043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6</cp:revision>
  <dcterms:created xsi:type="dcterms:W3CDTF">2025-02-24T16:57:00Z</dcterms:created>
  <dcterms:modified xsi:type="dcterms:W3CDTF">2025-03-26T19:52:00Z</dcterms:modified>
</cp:coreProperties>
</file>